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92" w:rsidRDefault="00991292">
      <w:pPr>
        <w:spacing w:line="360" w:lineRule="auto"/>
        <w:ind w:leftChars="-342" w:left="-718"/>
        <w:jc w:val="center"/>
        <w:rPr>
          <w:rFonts w:ascii="宋体" w:hAnsi="宋体"/>
          <w:b/>
          <w:bCs/>
          <w:sz w:val="32"/>
        </w:rPr>
      </w:pPr>
    </w:p>
    <w:p w:rsidR="00991292" w:rsidRPr="000463FA" w:rsidRDefault="00184FDA">
      <w:pPr>
        <w:spacing w:line="360" w:lineRule="auto"/>
        <w:ind w:left="-342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sz w:val="44"/>
          <w:szCs w:val="44"/>
        </w:rPr>
        <w:t>《</w:t>
      </w:r>
      <w:r w:rsidR="00296C68" w:rsidRPr="000463FA">
        <w:rPr>
          <w:rFonts w:ascii="方正小标宋_GBK" w:eastAsia="方正小标宋_GBK" w:hAnsi="宋体" w:hint="eastAsia"/>
          <w:b/>
          <w:bCs/>
          <w:sz w:val="44"/>
          <w:szCs w:val="44"/>
        </w:rPr>
        <w:t>车载抬头显示器计量测试规范</w:t>
      </w:r>
      <w:r>
        <w:rPr>
          <w:rFonts w:ascii="方正小标宋_GBK" w:eastAsia="方正小标宋_GBK" w:hAnsi="宋体" w:hint="eastAsia"/>
          <w:b/>
          <w:bCs/>
          <w:sz w:val="44"/>
          <w:szCs w:val="44"/>
        </w:rPr>
        <w:t>》</w:t>
      </w:r>
    </w:p>
    <w:p w:rsidR="00991292" w:rsidRDefault="00967336">
      <w:pPr>
        <w:spacing w:line="360" w:lineRule="auto"/>
        <w:ind w:left="-342"/>
        <w:jc w:val="center"/>
        <w:rPr>
          <w:rFonts w:ascii="宋体" w:hAnsi="宋体"/>
          <w:b/>
          <w:bCs/>
          <w:sz w:val="48"/>
        </w:rPr>
      </w:pPr>
      <w:r w:rsidRPr="000463FA">
        <w:rPr>
          <w:rFonts w:ascii="方正小标宋_GBK" w:eastAsia="方正小标宋_GBK" w:hAnsi="宋体" w:hint="eastAsia"/>
          <w:b/>
          <w:bCs/>
          <w:sz w:val="44"/>
          <w:szCs w:val="44"/>
        </w:rPr>
        <w:t>编 制 说 明</w:t>
      </w: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b/>
          <w:bCs/>
          <w:sz w:val="44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sz w:val="32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sz w:val="32"/>
        </w:rPr>
      </w:pPr>
    </w:p>
    <w:p w:rsidR="00991292" w:rsidRDefault="00991292">
      <w:pPr>
        <w:spacing w:line="360" w:lineRule="auto"/>
        <w:ind w:left="-342"/>
        <w:jc w:val="center"/>
        <w:rPr>
          <w:rFonts w:ascii="宋体" w:hAnsi="宋体"/>
          <w:sz w:val="32"/>
        </w:rPr>
      </w:pPr>
    </w:p>
    <w:p w:rsidR="00991292" w:rsidRPr="000463FA" w:rsidRDefault="00991292">
      <w:pPr>
        <w:spacing w:line="360" w:lineRule="auto"/>
        <w:ind w:left="-342"/>
        <w:rPr>
          <w:rFonts w:ascii="方正小标宋_GBK" w:eastAsia="方正小标宋_GBK" w:hAnsi="宋体"/>
          <w:sz w:val="32"/>
        </w:rPr>
      </w:pPr>
    </w:p>
    <w:p w:rsidR="000F1216" w:rsidRPr="000463FA" w:rsidRDefault="00967336" w:rsidP="000F1216">
      <w:pPr>
        <w:spacing w:line="360" w:lineRule="auto"/>
        <w:ind w:left="-342"/>
        <w:jc w:val="center"/>
        <w:rPr>
          <w:rFonts w:ascii="方正小标宋_GBK" w:eastAsia="方正小标宋_GBK" w:hAnsi="宋体"/>
          <w:b/>
          <w:bCs/>
          <w:sz w:val="32"/>
        </w:rPr>
      </w:pPr>
      <w:r w:rsidRPr="000463FA">
        <w:rPr>
          <w:rFonts w:ascii="方正小标宋_GBK" w:eastAsia="方正小标宋_GBK" w:hAnsi="宋体" w:hint="eastAsia"/>
          <w:b/>
          <w:bCs/>
          <w:sz w:val="32"/>
        </w:rPr>
        <w:t>起草小组</w:t>
      </w:r>
    </w:p>
    <w:p w:rsidR="00991292" w:rsidRDefault="00967336" w:rsidP="000F1216">
      <w:pPr>
        <w:spacing w:line="360" w:lineRule="auto"/>
        <w:ind w:left="-342"/>
        <w:jc w:val="center"/>
        <w:rPr>
          <w:rFonts w:ascii="宋体" w:hAnsi="宋体"/>
          <w:b/>
          <w:bCs/>
          <w:sz w:val="32"/>
        </w:rPr>
      </w:pPr>
      <w:r w:rsidRPr="000463FA">
        <w:rPr>
          <w:rFonts w:ascii="方正小标宋_GBK" w:eastAsia="方正小标宋_GBK" w:hAnsi="宋体" w:hint="eastAsia"/>
          <w:b/>
          <w:bCs/>
          <w:sz w:val="32"/>
        </w:rPr>
        <w:t>202</w:t>
      </w:r>
      <w:r w:rsidR="00296C68" w:rsidRPr="000463FA">
        <w:rPr>
          <w:rFonts w:ascii="方正小标宋_GBK" w:eastAsia="方正小标宋_GBK" w:hAnsi="宋体" w:hint="eastAsia"/>
          <w:b/>
          <w:bCs/>
          <w:sz w:val="32"/>
        </w:rPr>
        <w:t>5</w:t>
      </w:r>
      <w:r w:rsidRPr="000463FA">
        <w:rPr>
          <w:rFonts w:ascii="方正小标宋_GBK" w:eastAsia="方正小标宋_GBK" w:hAnsi="宋体" w:hint="eastAsia"/>
          <w:b/>
          <w:bCs/>
          <w:sz w:val="32"/>
        </w:rPr>
        <w:t>年</w:t>
      </w:r>
      <w:r w:rsidR="00B76DDC">
        <w:rPr>
          <w:rFonts w:ascii="方正小标宋_GBK" w:eastAsia="方正小标宋_GBK" w:hAnsi="宋体" w:hint="eastAsia"/>
          <w:b/>
          <w:bCs/>
          <w:sz w:val="32"/>
        </w:rPr>
        <w:t>5</w:t>
      </w:r>
      <w:r w:rsidRPr="000463FA">
        <w:rPr>
          <w:rFonts w:ascii="方正小标宋_GBK" w:eastAsia="方正小标宋_GBK" w:hAnsi="宋体" w:hint="eastAsia"/>
          <w:b/>
          <w:bCs/>
          <w:sz w:val="32"/>
        </w:rPr>
        <w:t>月</w:t>
      </w:r>
    </w:p>
    <w:p w:rsidR="00991292" w:rsidRDefault="00991292">
      <w:pPr>
        <w:spacing w:line="360" w:lineRule="auto"/>
        <w:ind w:left="-342"/>
        <w:rPr>
          <w:sz w:val="32"/>
        </w:rPr>
      </w:pPr>
    </w:p>
    <w:p w:rsidR="00991292" w:rsidRPr="000463FA" w:rsidRDefault="00967336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sz w:val="28"/>
          <w:szCs w:val="28"/>
        </w:rPr>
        <w:br w:type="page"/>
      </w:r>
    </w:p>
    <w:p w:rsidR="00184FDA" w:rsidRDefault="00184FDA" w:rsidP="00184FDA">
      <w:pPr>
        <w:jc w:val="center"/>
        <w:rPr>
          <w:rFonts w:ascii="方正黑体_GBK" w:eastAsia="方正黑体_GBK" w:hAnsi="方正仿宋_GBK" w:cs="方正仿宋_GBK"/>
          <w:sz w:val="32"/>
          <w:szCs w:val="32"/>
        </w:rPr>
      </w:pPr>
      <w:r w:rsidRPr="00487AE2">
        <w:rPr>
          <w:rFonts w:ascii="方正黑体_GBK" w:eastAsia="方正黑体_GBK" w:hAnsi="方正仿宋_GBK" w:cs="方正仿宋_GBK" w:hint="eastAsia"/>
          <w:sz w:val="32"/>
          <w:szCs w:val="30"/>
        </w:rPr>
        <w:lastRenderedPageBreak/>
        <w:t>《车载抬头显示器计量测试规范》编制说</w:t>
      </w:r>
      <w:r w:rsidRPr="00487AE2">
        <w:rPr>
          <w:rFonts w:ascii="方正黑体_GBK" w:eastAsia="方正黑体_GBK" w:hAnsi="方正仿宋_GBK" w:cs="方正仿宋_GBK" w:hint="eastAsia"/>
          <w:sz w:val="32"/>
          <w:szCs w:val="32"/>
        </w:rPr>
        <w:t>明</w:t>
      </w:r>
    </w:p>
    <w:p w:rsidR="00811A1D" w:rsidRDefault="00811A1D" w:rsidP="00811A1D">
      <w:pPr>
        <w:rPr>
          <w:rFonts w:ascii="方正黑体_GBK" w:eastAsia="方正黑体_GBK" w:hAnsi="方正仿宋_GBK" w:cs="方正仿宋_GBK"/>
          <w:sz w:val="24"/>
          <w:szCs w:val="30"/>
        </w:rPr>
      </w:pPr>
    </w:p>
    <w:p w:rsidR="00991292" w:rsidRPr="001E482D" w:rsidRDefault="00967336" w:rsidP="00893115">
      <w:pPr>
        <w:spacing w:beforeLines="50" w:afterLines="50"/>
        <w:rPr>
          <w:rFonts w:ascii="宋体" w:hAnsi="宋体" w:cs="方正仿宋_GBK"/>
          <w:b/>
          <w:sz w:val="24"/>
          <w:szCs w:val="30"/>
        </w:rPr>
      </w:pPr>
      <w:r w:rsidRPr="001E482D">
        <w:rPr>
          <w:rFonts w:ascii="宋体" w:hAnsi="宋体" w:cs="方正仿宋_GBK" w:hint="eastAsia"/>
          <w:b/>
          <w:sz w:val="24"/>
          <w:szCs w:val="30"/>
        </w:rPr>
        <w:t>一、任务来源</w:t>
      </w:r>
    </w:p>
    <w:p w:rsidR="00991292" w:rsidRPr="001E482D" w:rsidRDefault="00967336" w:rsidP="00C37D61">
      <w:pPr>
        <w:pStyle w:val="30"/>
        <w:ind w:firstLine="480"/>
        <w:jc w:val="both"/>
        <w:rPr>
          <w:rFonts w:cs="方正仿宋_GBK"/>
          <w:sz w:val="24"/>
          <w:szCs w:val="30"/>
        </w:rPr>
      </w:pPr>
      <w:r w:rsidRPr="001E482D">
        <w:rPr>
          <w:rFonts w:cs="方正仿宋_GBK" w:hint="eastAsia"/>
          <w:sz w:val="24"/>
          <w:szCs w:val="30"/>
        </w:rPr>
        <w:t>根据国家市场监督管理总局办公厅文件-</w:t>
      </w:r>
      <w:proofErr w:type="gramStart"/>
      <w:r w:rsidRPr="001E482D">
        <w:rPr>
          <w:rFonts w:cs="方正仿宋_GBK"/>
          <w:sz w:val="24"/>
          <w:szCs w:val="30"/>
        </w:rPr>
        <w:t>市监计量</w:t>
      </w:r>
      <w:proofErr w:type="gramEnd"/>
      <w:r w:rsidRPr="001E482D">
        <w:rPr>
          <w:rFonts w:cs="方正仿宋_GBK"/>
          <w:sz w:val="24"/>
          <w:szCs w:val="30"/>
        </w:rPr>
        <w:t>发〔2023〕56 号</w:t>
      </w:r>
      <w:r w:rsidRPr="001E482D">
        <w:rPr>
          <w:rFonts w:cs="方正仿宋_GBK" w:hint="eastAsia"/>
          <w:sz w:val="24"/>
          <w:szCs w:val="30"/>
        </w:rPr>
        <w:t>“市场监管总局办公厅关于印发2023年国家计量技术规范制定、修订及宣贯计划的通知”，以及</w:t>
      </w:r>
      <w:r w:rsidR="00115345" w:rsidRPr="001E482D">
        <w:rPr>
          <w:rFonts w:cs="方正仿宋_GBK"/>
          <w:sz w:val="24"/>
          <w:szCs w:val="30"/>
        </w:rPr>
        <w:t>全国智能网联汽车专用计量测试技术委员会</w:t>
      </w:r>
      <w:r w:rsidRPr="001E482D">
        <w:rPr>
          <w:rFonts w:cs="方正仿宋_GBK" w:hint="eastAsia"/>
          <w:sz w:val="24"/>
          <w:szCs w:val="30"/>
        </w:rPr>
        <w:t>关于制订国家计量</w:t>
      </w:r>
      <w:r w:rsidR="00677881">
        <w:rPr>
          <w:rFonts w:cs="方正仿宋_GBK" w:hint="eastAsia"/>
          <w:sz w:val="24"/>
          <w:szCs w:val="30"/>
        </w:rPr>
        <w:t>测试</w:t>
      </w:r>
      <w:r w:rsidRPr="001E482D">
        <w:rPr>
          <w:rFonts w:cs="方正仿宋_GBK" w:hint="eastAsia"/>
          <w:sz w:val="24"/>
          <w:szCs w:val="30"/>
        </w:rPr>
        <w:t>规范的要求，江苏省计量科学研究院</w:t>
      </w:r>
      <w:r w:rsidR="005F0B8C" w:rsidRPr="001E482D">
        <w:rPr>
          <w:rFonts w:cs="方正仿宋_GBK"/>
          <w:sz w:val="24"/>
          <w:szCs w:val="30"/>
        </w:rPr>
        <w:t>（江苏省能源计量数据中心）</w:t>
      </w:r>
      <w:r w:rsidR="005F0B8C" w:rsidRPr="001E482D">
        <w:rPr>
          <w:rFonts w:cs="方正仿宋_GBK" w:hint="eastAsia"/>
          <w:sz w:val="24"/>
          <w:szCs w:val="30"/>
        </w:rPr>
        <w:t>、</w:t>
      </w:r>
      <w:r w:rsidR="005F0B8C" w:rsidRPr="001E482D">
        <w:rPr>
          <w:rFonts w:cs="方正仿宋_GBK"/>
          <w:sz w:val="24"/>
          <w:szCs w:val="30"/>
        </w:rPr>
        <w:t>中国航空工业集团公司洛阳电光设备研究所</w:t>
      </w:r>
      <w:r w:rsidR="005F0B8C" w:rsidRPr="001E482D">
        <w:rPr>
          <w:rFonts w:cs="方正仿宋_GBK" w:hint="eastAsia"/>
          <w:sz w:val="24"/>
          <w:szCs w:val="30"/>
        </w:rPr>
        <w:t>、</w:t>
      </w:r>
      <w:r w:rsidR="005F0B8C" w:rsidRPr="001E482D">
        <w:rPr>
          <w:rFonts w:cs="方正仿宋_GBK"/>
          <w:sz w:val="24"/>
          <w:szCs w:val="30"/>
        </w:rPr>
        <w:t>上海机动车检测认证技术研究中心</w:t>
      </w:r>
      <w:r w:rsidR="00B014FC" w:rsidRPr="001E482D">
        <w:rPr>
          <w:rFonts w:cs="方正仿宋_GBK"/>
          <w:sz w:val="24"/>
          <w:szCs w:val="30"/>
        </w:rPr>
        <w:t>有限公司、中国计量科学研究院</w:t>
      </w:r>
      <w:r w:rsidRPr="001E482D">
        <w:rPr>
          <w:rFonts w:cs="方正仿宋_GBK" w:hint="eastAsia"/>
          <w:sz w:val="24"/>
          <w:szCs w:val="30"/>
        </w:rPr>
        <w:t>作为主要起草单位，承担了《</w:t>
      </w:r>
      <w:bookmarkStart w:id="0" w:name="OLE_LINK1"/>
      <w:r w:rsidR="00115345" w:rsidRPr="001E482D">
        <w:rPr>
          <w:rFonts w:cs="方正仿宋_GBK"/>
          <w:sz w:val="24"/>
          <w:szCs w:val="30"/>
        </w:rPr>
        <w:t>车载抬头显示器</w:t>
      </w:r>
      <w:bookmarkEnd w:id="0"/>
      <w:r w:rsidR="00115345" w:rsidRPr="001E482D">
        <w:rPr>
          <w:rFonts w:cs="方正仿宋_GBK"/>
          <w:sz w:val="24"/>
          <w:szCs w:val="30"/>
        </w:rPr>
        <w:t>计量测试规范</w:t>
      </w:r>
      <w:r w:rsidRPr="001E482D">
        <w:rPr>
          <w:rFonts w:cs="方正仿宋_GBK" w:hint="eastAsia"/>
          <w:sz w:val="24"/>
          <w:szCs w:val="30"/>
        </w:rPr>
        <w:t>》国家计量</w:t>
      </w:r>
      <w:r w:rsidR="00811A1D">
        <w:rPr>
          <w:rFonts w:cs="方正仿宋_GBK" w:hint="eastAsia"/>
          <w:sz w:val="24"/>
          <w:szCs w:val="30"/>
        </w:rPr>
        <w:t>测试</w:t>
      </w:r>
      <w:r w:rsidRPr="001E482D">
        <w:rPr>
          <w:rFonts w:cs="方正仿宋_GBK" w:hint="eastAsia"/>
          <w:sz w:val="24"/>
          <w:szCs w:val="30"/>
        </w:rPr>
        <w:t>规范的起草工作，归口</w:t>
      </w:r>
      <w:r w:rsidR="005F0B8C" w:rsidRPr="001E482D">
        <w:rPr>
          <w:rFonts w:cs="方正仿宋_GBK" w:hint="eastAsia"/>
          <w:sz w:val="24"/>
          <w:szCs w:val="30"/>
        </w:rPr>
        <w:t>单位</w:t>
      </w:r>
      <w:r w:rsidRPr="001E482D">
        <w:rPr>
          <w:rFonts w:cs="方正仿宋_GBK" w:hint="eastAsia"/>
          <w:sz w:val="24"/>
          <w:szCs w:val="30"/>
        </w:rPr>
        <w:t>为</w:t>
      </w:r>
      <w:r w:rsidR="00115345" w:rsidRPr="001E482D">
        <w:rPr>
          <w:rFonts w:cs="方正仿宋_GBK"/>
          <w:sz w:val="24"/>
          <w:szCs w:val="30"/>
        </w:rPr>
        <w:t>全国智能网联汽车专用计量测试技术委员会</w:t>
      </w:r>
      <w:r w:rsidRPr="001E482D">
        <w:rPr>
          <w:rFonts w:cs="方正仿宋_GBK" w:hint="eastAsia"/>
          <w:sz w:val="24"/>
          <w:szCs w:val="30"/>
        </w:rPr>
        <w:t>。</w:t>
      </w:r>
    </w:p>
    <w:p w:rsidR="00991292" w:rsidRPr="001E482D" w:rsidRDefault="00967336" w:rsidP="00893115">
      <w:pPr>
        <w:spacing w:beforeLines="50" w:afterLines="50"/>
        <w:rPr>
          <w:rFonts w:ascii="宋体" w:hAnsi="宋体" w:cs="方正仿宋_GBK"/>
          <w:b/>
          <w:sz w:val="24"/>
          <w:szCs w:val="30"/>
        </w:rPr>
      </w:pPr>
      <w:r w:rsidRPr="001E482D">
        <w:rPr>
          <w:rFonts w:ascii="宋体" w:hAnsi="宋体" w:cs="方正仿宋_GBK" w:hint="eastAsia"/>
          <w:b/>
          <w:sz w:val="24"/>
          <w:szCs w:val="30"/>
        </w:rPr>
        <w:t>二、规范制定的必要性</w:t>
      </w:r>
    </w:p>
    <w:p w:rsidR="00CE538B" w:rsidRPr="001E482D" w:rsidRDefault="00CE538B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随着汽车智能化迅速发展，人机融合的功能日益升级，</w:t>
      </w:r>
      <w:r w:rsidRPr="001E482D">
        <w:rPr>
          <w:rFonts w:ascii="宋体" w:hAnsi="宋体" w:cs="方正仿宋_GBK"/>
          <w:sz w:val="24"/>
          <w:szCs w:val="30"/>
        </w:rPr>
        <w:t>车载抬头显示器</w:t>
      </w:r>
      <w:r w:rsidRPr="001E482D">
        <w:rPr>
          <w:rFonts w:ascii="宋体" w:hAnsi="宋体" w:cs="方正仿宋_GBK" w:hint="eastAsia"/>
          <w:sz w:val="24"/>
          <w:szCs w:val="30"/>
        </w:rPr>
        <w:t>的应用从车辆销售的高端选配逐渐变为一般车辆</w:t>
      </w:r>
      <w:r w:rsidR="00401AE2" w:rsidRPr="001E482D">
        <w:rPr>
          <w:rFonts w:ascii="宋体" w:hAnsi="宋体" w:cs="方正仿宋_GBK" w:hint="eastAsia"/>
          <w:sz w:val="24"/>
          <w:szCs w:val="30"/>
        </w:rPr>
        <w:t>的</w:t>
      </w:r>
      <w:r w:rsidRPr="001E482D">
        <w:rPr>
          <w:rFonts w:ascii="宋体" w:hAnsi="宋体" w:cs="方正仿宋_GBK" w:hint="eastAsia"/>
          <w:sz w:val="24"/>
          <w:szCs w:val="30"/>
        </w:rPr>
        <w:t>普遍适配，已经广泛应用于市场上的众多车型。车载抬头显示器的应用是智能驾驶与智能座舱的融合，</w:t>
      </w:r>
      <w:r w:rsidR="00401AE2" w:rsidRPr="001E482D">
        <w:rPr>
          <w:rFonts w:ascii="宋体" w:hAnsi="宋体" w:cs="方正仿宋_GBK" w:hint="eastAsia"/>
          <w:sz w:val="24"/>
          <w:szCs w:val="30"/>
        </w:rPr>
        <w:t>其</w:t>
      </w:r>
      <w:r w:rsidR="005E0440" w:rsidRPr="001E482D">
        <w:rPr>
          <w:rFonts w:ascii="宋体" w:hAnsi="宋体" w:cs="方正仿宋_GBK" w:hint="eastAsia"/>
          <w:sz w:val="24"/>
          <w:szCs w:val="30"/>
        </w:rPr>
        <w:t>实用价值</w:t>
      </w:r>
      <w:r w:rsidR="00401AE2" w:rsidRPr="001E482D">
        <w:rPr>
          <w:rFonts w:ascii="宋体" w:hAnsi="宋体" w:cs="方正仿宋_GBK" w:hint="eastAsia"/>
          <w:sz w:val="24"/>
          <w:szCs w:val="30"/>
        </w:rPr>
        <w:t>在于</w:t>
      </w:r>
      <w:r w:rsidRPr="001E482D">
        <w:rPr>
          <w:rFonts w:ascii="宋体" w:hAnsi="宋体" w:cs="方正仿宋_GBK" w:hint="eastAsia"/>
          <w:sz w:val="24"/>
          <w:szCs w:val="30"/>
        </w:rPr>
        <w:t>有效提升</w:t>
      </w:r>
      <w:r w:rsidR="005E0440" w:rsidRPr="001E482D">
        <w:rPr>
          <w:rFonts w:ascii="宋体" w:hAnsi="宋体" w:cs="方正仿宋_GBK" w:hint="eastAsia"/>
          <w:sz w:val="24"/>
          <w:szCs w:val="30"/>
        </w:rPr>
        <w:t>车辆</w:t>
      </w:r>
      <w:r w:rsidR="00401AE2" w:rsidRPr="001E482D">
        <w:rPr>
          <w:rFonts w:ascii="宋体" w:hAnsi="宋体" w:cs="方正仿宋_GBK" w:hint="eastAsia"/>
          <w:sz w:val="24"/>
          <w:szCs w:val="30"/>
        </w:rPr>
        <w:t>驾驶的</w:t>
      </w:r>
      <w:r w:rsidRPr="001E482D">
        <w:rPr>
          <w:rFonts w:ascii="宋体" w:hAnsi="宋体" w:cs="方正仿宋_GBK" w:hint="eastAsia"/>
          <w:sz w:val="24"/>
          <w:szCs w:val="30"/>
        </w:rPr>
        <w:t>安全性。</w:t>
      </w:r>
    </w:p>
    <w:p w:rsidR="001B2FB5" w:rsidRPr="001E482D" w:rsidRDefault="008D29E8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2020年2月</w:t>
      </w:r>
      <w:r w:rsidR="00C11741" w:rsidRPr="001E482D">
        <w:rPr>
          <w:rFonts w:ascii="宋体" w:hAnsi="宋体" w:cs="方正仿宋_GBK" w:hint="eastAsia"/>
          <w:sz w:val="24"/>
          <w:szCs w:val="30"/>
        </w:rPr>
        <w:t>，</w:t>
      </w:r>
      <w:r w:rsidR="00A5457A" w:rsidRPr="001E482D">
        <w:rPr>
          <w:rFonts w:ascii="宋体" w:hAnsi="宋体" w:cs="方正仿宋_GBK" w:hint="eastAsia"/>
          <w:sz w:val="24"/>
          <w:szCs w:val="30"/>
        </w:rPr>
        <w:t>国家发展改革委等发布了</w:t>
      </w:r>
      <w:r w:rsidRPr="001E482D">
        <w:rPr>
          <w:rFonts w:ascii="宋体" w:hAnsi="宋体" w:cs="方正仿宋_GBK" w:hint="eastAsia"/>
          <w:sz w:val="24"/>
          <w:szCs w:val="30"/>
        </w:rPr>
        <w:t>《智能汽车创新发展战略》</w:t>
      </w:r>
      <w:r w:rsidRPr="001E482D">
        <w:rPr>
          <w:rFonts w:ascii="宋体" w:hAnsi="宋体" w:cs="方正仿宋_GBK"/>
          <w:sz w:val="24"/>
          <w:szCs w:val="30"/>
        </w:rPr>
        <w:t>明确提出“构建智能汽车创新体系”，将</w:t>
      </w:r>
      <w:r w:rsidR="00386997" w:rsidRPr="001E482D">
        <w:rPr>
          <w:rFonts w:ascii="宋体" w:hAnsi="宋体" w:cs="方正仿宋_GBK" w:hint="eastAsia"/>
          <w:sz w:val="24"/>
          <w:szCs w:val="30"/>
        </w:rPr>
        <w:t>抬头显示器（</w:t>
      </w:r>
      <w:r w:rsidR="00386997" w:rsidRPr="001E482D">
        <w:rPr>
          <w:rFonts w:ascii="宋体" w:hAnsi="宋体" w:cs="方正仿宋_GBK"/>
          <w:sz w:val="24"/>
          <w:szCs w:val="30"/>
        </w:rPr>
        <w:t>HUD</w:t>
      </w:r>
      <w:r w:rsidR="00386997" w:rsidRPr="001E482D">
        <w:rPr>
          <w:rFonts w:ascii="宋体" w:hAnsi="宋体" w:cs="方正仿宋_GBK" w:hint="eastAsia"/>
          <w:sz w:val="24"/>
          <w:szCs w:val="30"/>
        </w:rPr>
        <w:t>）</w:t>
      </w:r>
      <w:r w:rsidRPr="001E482D">
        <w:rPr>
          <w:rFonts w:ascii="宋体" w:hAnsi="宋体" w:cs="方正仿宋_GBK"/>
          <w:sz w:val="24"/>
          <w:szCs w:val="30"/>
        </w:rPr>
        <w:t>作为智能座舱的关键技术之一，要求提升车载显示与交互系统的集成化水平。文件强调推动“车路云”协同发展，为AR-HUD（增强现实抬头显示）等技术提供应用场景支撑</w:t>
      </w:r>
      <w:r w:rsidR="00CE538B" w:rsidRPr="001E482D">
        <w:rPr>
          <w:rFonts w:ascii="宋体" w:hAnsi="宋体" w:cs="方正仿宋_GBK" w:hint="eastAsia"/>
          <w:sz w:val="24"/>
          <w:szCs w:val="30"/>
        </w:rPr>
        <w:t>。</w:t>
      </w:r>
      <w:r w:rsidR="002E676D" w:rsidRPr="001E482D">
        <w:rPr>
          <w:rFonts w:ascii="宋体" w:hAnsi="宋体" w:cs="方正仿宋_GBK" w:hint="eastAsia"/>
          <w:sz w:val="24"/>
          <w:szCs w:val="30"/>
        </w:rPr>
        <w:t>2023年11月，工业和信息化部、公安部、住房和城乡建设部和交通运输部一起发布了《关于开展智能网联汽车准入和上路通行试点工作的通知》，</w:t>
      </w:r>
      <w:r w:rsidR="00E444BE" w:rsidRPr="001E482D">
        <w:rPr>
          <w:rFonts w:ascii="宋体" w:hAnsi="宋体" w:cs="方正仿宋_GBK" w:hint="eastAsia"/>
          <w:sz w:val="24"/>
          <w:szCs w:val="30"/>
        </w:rPr>
        <w:t>通知</w:t>
      </w:r>
      <w:r w:rsidR="002E676D" w:rsidRPr="001E482D">
        <w:rPr>
          <w:rFonts w:ascii="宋体" w:hAnsi="宋体" w:cs="方正仿宋_GBK" w:hint="eastAsia"/>
          <w:sz w:val="24"/>
          <w:szCs w:val="30"/>
        </w:rPr>
        <w:t>允许通过准入试点的智能网联汽车在限定区域开展商业化运营，HUD作为辅助驾驶信息显示的核心设备，被纳入试点技术范围。政策</w:t>
      </w:r>
      <w:proofErr w:type="gramStart"/>
      <w:r w:rsidR="002E676D" w:rsidRPr="001E482D">
        <w:rPr>
          <w:rFonts w:ascii="宋体" w:hAnsi="宋体" w:cs="方正仿宋_GBK" w:hint="eastAsia"/>
          <w:sz w:val="24"/>
          <w:szCs w:val="30"/>
        </w:rPr>
        <w:t>要求车企在</w:t>
      </w:r>
      <w:proofErr w:type="gramEnd"/>
      <w:r w:rsidR="002E676D" w:rsidRPr="001E482D">
        <w:rPr>
          <w:rFonts w:ascii="宋体" w:hAnsi="宋体" w:cs="方正仿宋_GBK" w:hint="eastAsia"/>
          <w:sz w:val="24"/>
          <w:szCs w:val="30"/>
        </w:rPr>
        <w:t>试点中验证HUD与车路协同系统的兼容性。</w:t>
      </w:r>
    </w:p>
    <w:p w:rsidR="002E676D" w:rsidRPr="001E482D" w:rsidRDefault="002E676D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虽然HUD已经被国内各大车</w:t>
      </w:r>
      <w:proofErr w:type="gramStart"/>
      <w:r w:rsidRPr="001E482D">
        <w:rPr>
          <w:rFonts w:ascii="宋体" w:hAnsi="宋体" w:cs="方正仿宋_GBK" w:hint="eastAsia"/>
          <w:sz w:val="24"/>
          <w:szCs w:val="30"/>
        </w:rPr>
        <w:t>企广泛</w:t>
      </w:r>
      <w:proofErr w:type="gramEnd"/>
      <w:r w:rsidRPr="001E482D">
        <w:rPr>
          <w:rFonts w:ascii="宋体" w:hAnsi="宋体" w:cs="方正仿宋_GBK" w:hint="eastAsia"/>
          <w:sz w:val="24"/>
          <w:szCs w:val="30"/>
        </w:rPr>
        <w:t>应用，但</w:t>
      </w:r>
      <w:r w:rsidR="00967336" w:rsidRPr="001E482D">
        <w:rPr>
          <w:rFonts w:ascii="宋体" w:hAnsi="宋体" w:cs="方正仿宋_GBK" w:hint="eastAsia"/>
          <w:sz w:val="24"/>
          <w:szCs w:val="30"/>
        </w:rPr>
        <w:t>国内目前没有适用于</w:t>
      </w:r>
      <w:r w:rsidRPr="001E482D">
        <w:rPr>
          <w:rFonts w:ascii="宋体" w:hAnsi="宋体" w:cs="方正仿宋_GBK" w:hint="eastAsia"/>
          <w:sz w:val="24"/>
          <w:szCs w:val="30"/>
        </w:rPr>
        <w:t>车载抬头显示器</w:t>
      </w:r>
      <w:r w:rsidR="00967336" w:rsidRPr="001E482D">
        <w:rPr>
          <w:rFonts w:ascii="宋体" w:hAnsi="宋体" w:cs="方正仿宋_GBK" w:hint="eastAsia"/>
          <w:sz w:val="24"/>
          <w:szCs w:val="30"/>
        </w:rPr>
        <w:t>的国家计量技术规范。</w:t>
      </w:r>
      <w:r w:rsidRPr="001E482D">
        <w:rPr>
          <w:rFonts w:ascii="宋体" w:hAnsi="宋体" w:cs="方正仿宋_GBK" w:hint="eastAsia"/>
          <w:sz w:val="24"/>
          <w:szCs w:val="30"/>
        </w:rPr>
        <w:t>各技术机构</w:t>
      </w:r>
      <w:r w:rsidR="008B6601" w:rsidRPr="001E482D">
        <w:rPr>
          <w:rFonts w:ascii="宋体" w:hAnsi="宋体" w:cs="方正仿宋_GBK" w:hint="eastAsia"/>
          <w:sz w:val="24"/>
          <w:szCs w:val="30"/>
        </w:rPr>
        <w:t>有的</w:t>
      </w:r>
      <w:r w:rsidRPr="001E482D">
        <w:rPr>
          <w:rFonts w:ascii="宋体" w:hAnsi="宋体" w:cs="方正仿宋_GBK" w:hint="eastAsia"/>
          <w:sz w:val="24"/>
          <w:szCs w:val="30"/>
        </w:rPr>
        <w:t>参照国外的相关行业测试标准进行</w:t>
      </w:r>
      <w:r w:rsidR="008B6601" w:rsidRPr="001E482D">
        <w:rPr>
          <w:rFonts w:ascii="宋体" w:hAnsi="宋体" w:cs="方正仿宋_GBK" w:hint="eastAsia"/>
          <w:sz w:val="24"/>
          <w:szCs w:val="30"/>
        </w:rPr>
        <w:t>出厂检测，有的参照</w:t>
      </w:r>
      <w:r w:rsidR="00745442" w:rsidRPr="001E482D">
        <w:rPr>
          <w:rFonts w:ascii="宋体" w:hAnsi="宋体" w:cs="方正仿宋_GBK" w:hint="eastAsia"/>
          <w:sz w:val="24"/>
          <w:szCs w:val="30"/>
        </w:rPr>
        <w:t>军用平视</w:t>
      </w:r>
      <w:r w:rsidR="008B6601" w:rsidRPr="001E482D">
        <w:rPr>
          <w:rFonts w:ascii="宋体" w:hAnsi="宋体" w:cs="方正仿宋_GBK" w:hint="eastAsia"/>
          <w:sz w:val="24"/>
          <w:szCs w:val="30"/>
        </w:rPr>
        <w:t>显示器的标准进行检测，存在方法不规范，标准不统</w:t>
      </w:r>
      <w:r w:rsidR="008B6601" w:rsidRPr="001E482D">
        <w:rPr>
          <w:rFonts w:ascii="宋体" w:hAnsi="宋体" w:cs="方正仿宋_GBK" w:hint="eastAsia"/>
          <w:sz w:val="24"/>
          <w:szCs w:val="30"/>
        </w:rPr>
        <w:lastRenderedPageBreak/>
        <w:t>一的问题。造成市面上HUD产品质量参差不齐，有重大使用安全隐患。指定统一的车载抬头显示器的计量测试标准，有利于行业本身的健康发展，同时保障消费者的合法权益，有较大的社会意义。</w:t>
      </w:r>
    </w:p>
    <w:p w:rsidR="00991292" w:rsidRPr="001E482D" w:rsidRDefault="00967336" w:rsidP="00893115">
      <w:pPr>
        <w:spacing w:beforeLines="50" w:afterLines="50"/>
        <w:rPr>
          <w:rFonts w:ascii="宋体" w:hAnsi="宋体" w:cs="方正仿宋_GBK"/>
          <w:b/>
          <w:sz w:val="24"/>
          <w:szCs w:val="30"/>
        </w:rPr>
      </w:pPr>
      <w:r w:rsidRPr="001E482D">
        <w:rPr>
          <w:rFonts w:ascii="宋体" w:hAnsi="宋体" w:cs="方正仿宋_GBK" w:hint="eastAsia"/>
          <w:b/>
          <w:sz w:val="24"/>
          <w:szCs w:val="30"/>
        </w:rPr>
        <w:t>三、编制的依据、参考资料和原则</w:t>
      </w:r>
    </w:p>
    <w:p w:rsidR="00991292" w:rsidRPr="001E482D" w:rsidRDefault="00967336" w:rsidP="00E97C10">
      <w:pPr>
        <w:spacing w:line="360" w:lineRule="auto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1、编制的依据</w:t>
      </w:r>
    </w:p>
    <w:p w:rsidR="00991292" w:rsidRPr="001E482D" w:rsidRDefault="00967336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/>
          <w:sz w:val="24"/>
          <w:szCs w:val="30"/>
        </w:rPr>
        <w:t>JJF 1071《国家计量校准规范编写规则》</w:t>
      </w:r>
    </w:p>
    <w:p w:rsidR="00991292" w:rsidRPr="001E482D" w:rsidRDefault="00967336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JJG1059</w:t>
      </w:r>
      <w:r w:rsidRPr="001E482D">
        <w:rPr>
          <w:rFonts w:ascii="宋体" w:hAnsi="宋体" w:cs="方正仿宋_GBK"/>
          <w:sz w:val="24"/>
          <w:szCs w:val="30"/>
        </w:rPr>
        <w:t>.1-2012</w:t>
      </w:r>
      <w:r w:rsidRPr="001E482D">
        <w:rPr>
          <w:rFonts w:ascii="宋体" w:hAnsi="宋体" w:cs="方正仿宋_GBK" w:hint="eastAsia"/>
          <w:sz w:val="24"/>
          <w:szCs w:val="30"/>
        </w:rPr>
        <w:t>《测定不确定度评定与表示》</w:t>
      </w:r>
    </w:p>
    <w:p w:rsidR="00991292" w:rsidRPr="001E482D" w:rsidRDefault="00967336" w:rsidP="00E97C10">
      <w:pPr>
        <w:spacing w:line="360" w:lineRule="auto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2、参考资料</w:t>
      </w:r>
    </w:p>
    <w:p w:rsidR="006021BD" w:rsidRPr="001E482D" w:rsidRDefault="006021BD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bookmarkStart w:id="1" w:name="OLE_LINK2"/>
      <w:r w:rsidRPr="001E482D">
        <w:rPr>
          <w:rFonts w:ascii="宋体" w:hAnsi="宋体" w:cs="方正仿宋_GBK"/>
          <w:sz w:val="24"/>
          <w:szCs w:val="30"/>
        </w:rPr>
        <w:t>HB</w:t>
      </w:r>
      <w:r w:rsidRPr="001E482D">
        <w:rPr>
          <w:rFonts w:ascii="宋体" w:hAnsi="宋体" w:cs="方正仿宋_GBK" w:hint="eastAsia"/>
          <w:sz w:val="24"/>
          <w:szCs w:val="30"/>
        </w:rPr>
        <w:t xml:space="preserve"> 844</w:t>
      </w:r>
      <w:r w:rsidRPr="001E482D">
        <w:rPr>
          <w:rFonts w:ascii="宋体" w:hAnsi="宋体" w:cs="方正仿宋_GBK"/>
          <w:sz w:val="24"/>
          <w:szCs w:val="30"/>
        </w:rPr>
        <w:t>8</w:t>
      </w:r>
      <w:r w:rsidRPr="001E482D">
        <w:rPr>
          <w:rFonts w:ascii="宋体" w:hAnsi="宋体" w:cs="方正仿宋_GBK" w:hint="eastAsia"/>
          <w:sz w:val="24"/>
          <w:szCs w:val="30"/>
        </w:rPr>
        <w:t xml:space="preserve"> 民用飞机平视显示器通用规范</w:t>
      </w:r>
    </w:p>
    <w:bookmarkEnd w:id="1"/>
    <w:p w:rsidR="006021BD" w:rsidRPr="001E482D" w:rsidRDefault="006021BD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SAE J1757</w:t>
      </w:r>
      <w:r w:rsidR="00631BF2" w:rsidRPr="001E482D">
        <w:rPr>
          <w:rFonts w:ascii="宋体" w:hAnsi="宋体" w:cs="方正仿宋_GBK" w:hint="eastAsia"/>
          <w:sz w:val="24"/>
          <w:szCs w:val="30"/>
        </w:rPr>
        <w:t>-2</w:t>
      </w:r>
      <w:r w:rsidRPr="001E482D">
        <w:rPr>
          <w:rFonts w:ascii="宋体" w:hAnsi="宋体" w:cs="方正仿宋_GBK" w:hint="eastAsia"/>
          <w:sz w:val="24"/>
          <w:szCs w:val="30"/>
        </w:rPr>
        <w:t xml:space="preserve"> 汽车HUD光学系统测量规范</w:t>
      </w:r>
    </w:p>
    <w:p w:rsidR="00991292" w:rsidRPr="001E482D" w:rsidRDefault="00967336" w:rsidP="00E97C10">
      <w:pPr>
        <w:spacing w:line="360" w:lineRule="auto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3、编写原则</w:t>
      </w:r>
    </w:p>
    <w:p w:rsidR="00991292" w:rsidRPr="001E482D" w:rsidRDefault="00F80949" w:rsidP="00C37D61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车载抬头显示已大量安装至在用车辆上，产品性能在出厂由抬头显示器厂家在产品下线时进行检测。</w:t>
      </w:r>
      <w:r w:rsidR="00967336" w:rsidRPr="001E482D">
        <w:rPr>
          <w:rFonts w:ascii="宋体" w:hAnsi="宋体" w:cs="方正仿宋_GBK" w:hint="eastAsia"/>
          <w:sz w:val="24"/>
          <w:szCs w:val="30"/>
        </w:rPr>
        <w:t>在编写过程中，起草小组</w:t>
      </w:r>
      <w:r w:rsidR="006B5652">
        <w:rPr>
          <w:rFonts w:ascii="宋体" w:hAnsi="宋体" w:cs="方正仿宋_GBK" w:hint="eastAsia"/>
          <w:sz w:val="24"/>
          <w:szCs w:val="30"/>
        </w:rPr>
        <w:t>深入调研</w:t>
      </w:r>
      <w:r w:rsidR="00BD52B6" w:rsidRPr="001E482D">
        <w:rPr>
          <w:rFonts w:ascii="宋体" w:hAnsi="宋体" w:cs="方正仿宋_GBK" w:hint="eastAsia"/>
          <w:sz w:val="24"/>
          <w:szCs w:val="30"/>
        </w:rPr>
        <w:t>国内外技术现状，</w:t>
      </w:r>
      <w:r w:rsidR="00967336" w:rsidRPr="001E482D">
        <w:rPr>
          <w:rFonts w:ascii="宋体" w:hAnsi="宋体" w:cs="方正仿宋_GBK" w:hint="eastAsia"/>
          <w:sz w:val="24"/>
          <w:szCs w:val="30"/>
        </w:rPr>
        <w:t>参考现有的</w:t>
      </w:r>
      <w:r w:rsidR="006B5652">
        <w:rPr>
          <w:rFonts w:ascii="宋体" w:hAnsi="宋体" w:cs="方正仿宋_GBK" w:hint="eastAsia"/>
          <w:sz w:val="24"/>
          <w:szCs w:val="30"/>
        </w:rPr>
        <w:t>国内外</w:t>
      </w:r>
      <w:r w:rsidR="00BD52B6" w:rsidRPr="001E482D">
        <w:rPr>
          <w:rFonts w:ascii="宋体" w:hAnsi="宋体" w:cs="方正仿宋_GBK" w:hint="eastAsia"/>
          <w:sz w:val="24"/>
          <w:szCs w:val="30"/>
        </w:rPr>
        <w:t>标准</w:t>
      </w:r>
      <w:r w:rsidR="006B5652">
        <w:rPr>
          <w:rFonts w:ascii="宋体" w:hAnsi="宋体" w:cs="方正仿宋_GBK" w:hint="eastAsia"/>
          <w:sz w:val="24"/>
          <w:szCs w:val="30"/>
        </w:rPr>
        <w:t>中的</w:t>
      </w:r>
      <w:r w:rsidR="006039E5" w:rsidRPr="001E482D">
        <w:rPr>
          <w:rFonts w:ascii="宋体" w:hAnsi="宋体" w:cs="方正仿宋_GBK" w:hint="eastAsia"/>
          <w:sz w:val="24"/>
          <w:szCs w:val="30"/>
        </w:rPr>
        <w:t>测试</w:t>
      </w:r>
      <w:r w:rsidR="00967336" w:rsidRPr="001E482D">
        <w:rPr>
          <w:rFonts w:ascii="宋体" w:hAnsi="宋体" w:cs="方正仿宋_GBK" w:hint="eastAsia"/>
          <w:sz w:val="24"/>
          <w:szCs w:val="30"/>
        </w:rPr>
        <w:t>方法</w:t>
      </w:r>
      <w:r w:rsidR="00BD52B6" w:rsidRPr="001E482D">
        <w:rPr>
          <w:rFonts w:ascii="宋体" w:hAnsi="宋体" w:cs="方正仿宋_GBK" w:hint="eastAsia"/>
          <w:sz w:val="24"/>
          <w:szCs w:val="30"/>
        </w:rPr>
        <w:t>，保证</w:t>
      </w:r>
      <w:r w:rsidR="006B5652">
        <w:rPr>
          <w:rFonts w:ascii="宋体" w:hAnsi="宋体" w:cs="方正仿宋_GBK" w:hint="eastAsia"/>
          <w:sz w:val="24"/>
          <w:szCs w:val="30"/>
        </w:rPr>
        <w:t>规范的</w:t>
      </w:r>
      <w:r w:rsidR="00BD52B6" w:rsidRPr="001E482D">
        <w:rPr>
          <w:rFonts w:ascii="宋体" w:hAnsi="宋体" w:cs="方正仿宋_GBK" w:hint="eastAsia"/>
          <w:sz w:val="24"/>
          <w:szCs w:val="30"/>
        </w:rPr>
        <w:t>科学性、可行性</w:t>
      </w:r>
      <w:r w:rsidR="006B5652">
        <w:rPr>
          <w:rFonts w:ascii="宋体" w:hAnsi="宋体" w:cs="方正仿宋_GBK" w:hint="eastAsia"/>
          <w:sz w:val="24"/>
          <w:szCs w:val="30"/>
        </w:rPr>
        <w:t>和</w:t>
      </w:r>
      <w:r w:rsidR="00967336" w:rsidRPr="001E482D">
        <w:rPr>
          <w:rFonts w:ascii="宋体" w:hAnsi="宋体" w:cs="方正仿宋_GBK" w:hint="eastAsia"/>
          <w:sz w:val="24"/>
          <w:szCs w:val="30"/>
        </w:rPr>
        <w:t>适用性。</w:t>
      </w:r>
    </w:p>
    <w:p w:rsidR="00991292" w:rsidRPr="001E482D" w:rsidRDefault="00967336" w:rsidP="00893115">
      <w:pPr>
        <w:spacing w:beforeLines="50" w:afterLines="50"/>
        <w:rPr>
          <w:rFonts w:ascii="宋体" w:hAnsi="宋体" w:cs="方正仿宋_GBK"/>
          <w:b/>
          <w:sz w:val="24"/>
          <w:szCs w:val="30"/>
        </w:rPr>
      </w:pPr>
      <w:r w:rsidRPr="001E482D">
        <w:rPr>
          <w:rFonts w:ascii="宋体" w:hAnsi="宋体" w:cs="方正仿宋_GBK" w:hint="eastAsia"/>
          <w:b/>
          <w:sz w:val="24"/>
          <w:szCs w:val="30"/>
        </w:rPr>
        <w:t>四、编制过程说明</w:t>
      </w:r>
    </w:p>
    <w:p w:rsidR="00991292" w:rsidRPr="001E482D" w:rsidRDefault="00967336" w:rsidP="000B5437">
      <w:pPr>
        <w:spacing w:line="360" w:lineRule="auto"/>
        <w:ind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2022年起草小组就开始对</w:t>
      </w:r>
      <w:r w:rsidR="0014221A" w:rsidRPr="001E482D">
        <w:rPr>
          <w:rFonts w:ascii="宋体" w:hAnsi="宋体" w:cs="方正仿宋_GBK" w:hint="eastAsia"/>
          <w:sz w:val="24"/>
          <w:szCs w:val="30"/>
        </w:rPr>
        <w:t>车载抬头显示器</w:t>
      </w:r>
      <w:r w:rsidRPr="001E482D">
        <w:rPr>
          <w:rFonts w:ascii="宋体" w:hAnsi="宋体" w:cs="方正仿宋_GBK" w:hint="eastAsia"/>
          <w:sz w:val="24"/>
          <w:szCs w:val="30"/>
        </w:rPr>
        <w:t>生产企业进行实地调研，2023年纳入国家计量技术规范制定计划后，起草小组在前期调研工作的基础上，对目前市场上</w:t>
      </w:r>
      <w:r w:rsidR="005218CD" w:rsidRPr="001E482D">
        <w:rPr>
          <w:rFonts w:ascii="宋体" w:hAnsi="宋体" w:cs="方正仿宋_GBK" w:hint="eastAsia"/>
          <w:sz w:val="24"/>
          <w:szCs w:val="30"/>
        </w:rPr>
        <w:t>车载抬头显示器的</w:t>
      </w:r>
      <w:r w:rsidRPr="001E482D">
        <w:rPr>
          <w:rFonts w:ascii="宋体" w:hAnsi="宋体" w:cs="方正仿宋_GBK" w:hint="eastAsia"/>
          <w:sz w:val="24"/>
          <w:szCs w:val="30"/>
        </w:rPr>
        <w:t>技术指标进行了充分的研讨，同时在2023年底和2024年初深入生产企业进行了大量现场测试</w:t>
      </w:r>
      <w:r w:rsidR="005218CD" w:rsidRPr="001E482D">
        <w:rPr>
          <w:rFonts w:ascii="宋体" w:hAnsi="宋体" w:cs="方正仿宋_GBK" w:hint="eastAsia"/>
          <w:sz w:val="24"/>
          <w:szCs w:val="30"/>
        </w:rPr>
        <w:t>。</w:t>
      </w:r>
      <w:r w:rsidRPr="001E482D">
        <w:rPr>
          <w:rFonts w:ascii="宋体" w:hAnsi="宋体" w:cs="方正仿宋_GBK" w:hint="eastAsia"/>
          <w:sz w:val="24"/>
          <w:szCs w:val="30"/>
        </w:rPr>
        <w:t>同时</w:t>
      </w:r>
      <w:r w:rsidR="005218CD" w:rsidRPr="001E482D">
        <w:rPr>
          <w:rFonts w:ascii="宋体" w:hAnsi="宋体" w:cs="方正仿宋_GBK" w:hint="eastAsia"/>
          <w:sz w:val="24"/>
          <w:szCs w:val="30"/>
        </w:rPr>
        <w:t>，</w:t>
      </w:r>
      <w:r w:rsidRPr="001E482D">
        <w:rPr>
          <w:rFonts w:ascii="宋体" w:hAnsi="宋体" w:cs="方正仿宋_GBK" w:hint="eastAsia"/>
          <w:sz w:val="24"/>
          <w:szCs w:val="30"/>
        </w:rPr>
        <w:t>也与国内从事</w:t>
      </w:r>
      <w:r w:rsidR="005218CD" w:rsidRPr="001E482D">
        <w:rPr>
          <w:rFonts w:ascii="宋体" w:hAnsi="宋体" w:cs="方正仿宋_GBK" w:hint="eastAsia"/>
          <w:sz w:val="24"/>
          <w:szCs w:val="30"/>
        </w:rPr>
        <w:t>智能网联汽车装备研制、显示器计量检测、光学检测</w:t>
      </w:r>
      <w:r w:rsidRPr="001E482D">
        <w:rPr>
          <w:rFonts w:ascii="宋体" w:hAnsi="宋体" w:cs="方正仿宋_GBK" w:hint="eastAsia"/>
          <w:sz w:val="24"/>
          <w:szCs w:val="30"/>
        </w:rPr>
        <w:t>的专家、学者们进行了广泛的交流探讨，并得到了他们的大力支持和帮助。在上述工作的基础上，规范起草小组于202</w:t>
      </w:r>
      <w:r w:rsidR="0014221A" w:rsidRPr="001E482D">
        <w:rPr>
          <w:rFonts w:ascii="宋体" w:hAnsi="宋体" w:cs="方正仿宋_GBK" w:hint="eastAsia"/>
          <w:sz w:val="24"/>
          <w:szCs w:val="30"/>
        </w:rPr>
        <w:t>5</w:t>
      </w:r>
      <w:r w:rsidRPr="001E482D">
        <w:rPr>
          <w:rFonts w:ascii="宋体" w:hAnsi="宋体" w:cs="方正仿宋_GBK" w:hint="eastAsia"/>
          <w:sz w:val="24"/>
          <w:szCs w:val="30"/>
        </w:rPr>
        <w:t>年</w:t>
      </w:r>
      <w:r w:rsidR="0014221A" w:rsidRPr="001E482D">
        <w:rPr>
          <w:rFonts w:ascii="宋体" w:hAnsi="宋体" w:cs="方正仿宋_GBK" w:hint="eastAsia"/>
          <w:sz w:val="24"/>
          <w:szCs w:val="30"/>
        </w:rPr>
        <w:t>4</w:t>
      </w:r>
      <w:r w:rsidRPr="001E482D">
        <w:rPr>
          <w:rFonts w:ascii="宋体" w:hAnsi="宋体" w:cs="方正仿宋_GBK" w:hint="eastAsia"/>
          <w:sz w:val="24"/>
          <w:szCs w:val="30"/>
        </w:rPr>
        <w:t>月完成了《</w:t>
      </w:r>
      <w:r w:rsidR="0014221A" w:rsidRPr="001E482D">
        <w:rPr>
          <w:rFonts w:ascii="宋体" w:hAnsi="宋体" w:cs="方正仿宋_GBK" w:hint="eastAsia"/>
          <w:sz w:val="24"/>
          <w:szCs w:val="30"/>
        </w:rPr>
        <w:t>车载抬头显示器计量测试规范</w:t>
      </w:r>
      <w:r w:rsidRPr="001E482D">
        <w:rPr>
          <w:rFonts w:ascii="宋体" w:hAnsi="宋体" w:cs="方正仿宋_GBK" w:hint="eastAsia"/>
          <w:sz w:val="24"/>
          <w:szCs w:val="30"/>
        </w:rPr>
        <w:t>》的征求意见稿。</w:t>
      </w:r>
    </w:p>
    <w:p w:rsidR="00991292" w:rsidRPr="001E482D" w:rsidRDefault="00B5295E" w:rsidP="00C37D61">
      <w:pPr>
        <w:spacing w:line="360" w:lineRule="auto"/>
        <w:ind w:leftChars="3" w:left="6" w:firstLineChars="200" w:firstLine="480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由于水平有限，难免存在不妥之处，敬请各位专家</w:t>
      </w:r>
      <w:r w:rsidR="000B5437">
        <w:rPr>
          <w:rFonts w:ascii="宋体" w:hAnsi="宋体" w:cs="方正仿宋_GBK" w:hint="eastAsia"/>
          <w:sz w:val="24"/>
          <w:szCs w:val="30"/>
        </w:rPr>
        <w:t>多提</w:t>
      </w:r>
      <w:r w:rsidRPr="001E482D">
        <w:rPr>
          <w:rFonts w:ascii="宋体" w:hAnsi="宋体" w:cs="方正仿宋_GBK" w:hint="eastAsia"/>
          <w:sz w:val="24"/>
          <w:szCs w:val="30"/>
        </w:rPr>
        <w:t>宝贵意见和建议，使之更加完善。</w:t>
      </w:r>
    </w:p>
    <w:p w:rsidR="00991292" w:rsidRPr="001E482D" w:rsidRDefault="00991292" w:rsidP="00C37D61">
      <w:pPr>
        <w:spacing w:line="360" w:lineRule="auto"/>
        <w:ind w:leftChars="-86" w:left="-181" w:firstLineChars="200" w:firstLine="480"/>
        <w:rPr>
          <w:rFonts w:ascii="宋体" w:hAnsi="宋体" w:cs="方正仿宋_GBK"/>
          <w:sz w:val="24"/>
          <w:szCs w:val="30"/>
        </w:rPr>
      </w:pPr>
    </w:p>
    <w:p w:rsidR="00991292" w:rsidRPr="001E482D" w:rsidRDefault="00967336" w:rsidP="00C37D61">
      <w:pPr>
        <w:wordWrap w:val="0"/>
        <w:spacing w:line="360" w:lineRule="auto"/>
        <w:ind w:leftChars="-86" w:left="-181" w:firstLineChars="200" w:firstLine="480"/>
        <w:jc w:val="right"/>
        <w:rPr>
          <w:rFonts w:ascii="宋体" w:hAnsi="宋体" w:cs="方正仿宋_GBK"/>
          <w:sz w:val="24"/>
          <w:szCs w:val="30"/>
        </w:rPr>
      </w:pPr>
      <w:r w:rsidRPr="001E482D">
        <w:rPr>
          <w:rFonts w:ascii="宋体" w:hAnsi="宋体" w:cs="方正仿宋_GBK" w:hint="eastAsia"/>
          <w:sz w:val="24"/>
          <w:szCs w:val="30"/>
        </w:rPr>
        <w:t>规范</w:t>
      </w:r>
      <w:r w:rsidRPr="001E482D">
        <w:rPr>
          <w:rFonts w:ascii="宋体" w:hAnsi="宋体" w:cs="方正仿宋_GBK"/>
          <w:sz w:val="24"/>
          <w:szCs w:val="30"/>
        </w:rPr>
        <w:t>起草小组</w:t>
      </w:r>
    </w:p>
    <w:p w:rsidR="00991292" w:rsidRPr="001E482D" w:rsidRDefault="00967336" w:rsidP="00811A1D">
      <w:pPr>
        <w:wordWrap w:val="0"/>
        <w:spacing w:line="360" w:lineRule="auto"/>
        <w:ind w:leftChars="-86" w:left="-181"/>
        <w:jc w:val="right"/>
        <w:rPr>
          <w:rFonts w:ascii="宋体" w:hAnsi="宋体"/>
        </w:rPr>
      </w:pPr>
      <w:r w:rsidRPr="001E482D">
        <w:rPr>
          <w:rFonts w:ascii="宋体" w:hAnsi="宋体" w:cs="方正仿宋_GBK"/>
          <w:sz w:val="24"/>
          <w:szCs w:val="30"/>
        </w:rPr>
        <w:t>202</w:t>
      </w:r>
      <w:r w:rsidR="005218CD" w:rsidRPr="001E482D">
        <w:rPr>
          <w:rFonts w:ascii="宋体" w:hAnsi="宋体" w:cs="方正仿宋_GBK" w:hint="eastAsia"/>
          <w:sz w:val="24"/>
          <w:szCs w:val="30"/>
        </w:rPr>
        <w:t>5</w:t>
      </w:r>
      <w:r w:rsidRPr="001E482D">
        <w:rPr>
          <w:rFonts w:ascii="宋体" w:hAnsi="宋体" w:cs="方正仿宋_GBK" w:hint="eastAsia"/>
          <w:sz w:val="24"/>
          <w:szCs w:val="30"/>
        </w:rPr>
        <w:t>年</w:t>
      </w:r>
      <w:r w:rsidR="00B76DDC">
        <w:rPr>
          <w:rFonts w:ascii="宋体" w:hAnsi="宋体" w:cs="方正仿宋_GBK" w:hint="eastAsia"/>
          <w:sz w:val="24"/>
          <w:szCs w:val="30"/>
        </w:rPr>
        <w:t>5</w:t>
      </w:r>
      <w:r w:rsidRPr="001E482D">
        <w:rPr>
          <w:rFonts w:ascii="宋体" w:hAnsi="宋体" w:cs="方正仿宋_GBK"/>
          <w:sz w:val="24"/>
          <w:szCs w:val="30"/>
        </w:rPr>
        <w:t>月</w:t>
      </w:r>
    </w:p>
    <w:sectPr w:rsidR="00991292" w:rsidRPr="001E482D" w:rsidSect="0099129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D7" w:rsidRDefault="001C33D7" w:rsidP="00991292">
      <w:pPr>
        <w:ind w:firstLine="480"/>
      </w:pPr>
      <w:r>
        <w:separator/>
      </w:r>
    </w:p>
  </w:endnote>
  <w:endnote w:type="continuationSeparator" w:id="1">
    <w:p w:rsidR="001C33D7" w:rsidRDefault="001C33D7" w:rsidP="0099129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92" w:rsidRDefault="00893115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6733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91292" w:rsidRDefault="009912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92" w:rsidRDefault="00893115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6733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76DDC">
      <w:rPr>
        <w:rStyle w:val="ae"/>
        <w:noProof/>
      </w:rPr>
      <w:t>2</w:t>
    </w:r>
    <w:r>
      <w:rPr>
        <w:rStyle w:val="ae"/>
      </w:rPr>
      <w:fldChar w:fldCharType="end"/>
    </w:r>
  </w:p>
  <w:p w:rsidR="00991292" w:rsidRDefault="009912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D7" w:rsidRDefault="001C33D7" w:rsidP="00991292">
      <w:pPr>
        <w:ind w:firstLine="480"/>
      </w:pPr>
      <w:r>
        <w:separator/>
      </w:r>
    </w:p>
  </w:footnote>
  <w:footnote w:type="continuationSeparator" w:id="1">
    <w:p w:rsidR="001C33D7" w:rsidRDefault="001C33D7" w:rsidP="00991292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7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4"/>
      <w:numFmt w:val="none"/>
      <w:pStyle w:val="a2"/>
      <w:suff w:val="nothing"/>
      <w:lvlText w:val="7.4.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OWE3OTdiNGRiYjNjYWE0ZDZiNDY3MjBiMGY2N2EifQ=="/>
  </w:docVars>
  <w:rsids>
    <w:rsidRoot w:val="009C547B"/>
    <w:rsid w:val="00006CCD"/>
    <w:rsid w:val="000122B0"/>
    <w:rsid w:val="00017FB3"/>
    <w:rsid w:val="000463FA"/>
    <w:rsid w:val="00046F66"/>
    <w:rsid w:val="000676D5"/>
    <w:rsid w:val="000A004A"/>
    <w:rsid w:val="000B5437"/>
    <w:rsid w:val="000C6126"/>
    <w:rsid w:val="000E49A8"/>
    <w:rsid w:val="000F1216"/>
    <w:rsid w:val="001040A5"/>
    <w:rsid w:val="0011203B"/>
    <w:rsid w:val="00115345"/>
    <w:rsid w:val="00120BC5"/>
    <w:rsid w:val="00124E87"/>
    <w:rsid w:val="0014221A"/>
    <w:rsid w:val="0016381D"/>
    <w:rsid w:val="00176DD6"/>
    <w:rsid w:val="00184FDA"/>
    <w:rsid w:val="001A124C"/>
    <w:rsid w:val="001A251A"/>
    <w:rsid w:val="001A5393"/>
    <w:rsid w:val="001A67D3"/>
    <w:rsid w:val="001B2FB5"/>
    <w:rsid w:val="001C07F8"/>
    <w:rsid w:val="001C33D7"/>
    <w:rsid w:val="001C7203"/>
    <w:rsid w:val="001E482D"/>
    <w:rsid w:val="001F1E24"/>
    <w:rsid w:val="001F276E"/>
    <w:rsid w:val="00216B3A"/>
    <w:rsid w:val="00221436"/>
    <w:rsid w:val="002360AC"/>
    <w:rsid w:val="00296544"/>
    <w:rsid w:val="00296C68"/>
    <w:rsid w:val="002A166E"/>
    <w:rsid w:val="002A62A0"/>
    <w:rsid w:val="002B0F9A"/>
    <w:rsid w:val="002B75D7"/>
    <w:rsid w:val="002E0B7D"/>
    <w:rsid w:val="002E676D"/>
    <w:rsid w:val="002F2A4A"/>
    <w:rsid w:val="003133A5"/>
    <w:rsid w:val="00335420"/>
    <w:rsid w:val="00344299"/>
    <w:rsid w:val="00386997"/>
    <w:rsid w:val="00397745"/>
    <w:rsid w:val="003D24DD"/>
    <w:rsid w:val="003D4C04"/>
    <w:rsid w:val="003E7587"/>
    <w:rsid w:val="00401AE2"/>
    <w:rsid w:val="00444BAA"/>
    <w:rsid w:val="00487AE2"/>
    <w:rsid w:val="004B35A6"/>
    <w:rsid w:val="004B7FD2"/>
    <w:rsid w:val="004C2B2F"/>
    <w:rsid w:val="004D0024"/>
    <w:rsid w:val="004D2AD3"/>
    <w:rsid w:val="004E67EC"/>
    <w:rsid w:val="004E6EFD"/>
    <w:rsid w:val="00507718"/>
    <w:rsid w:val="00513ED4"/>
    <w:rsid w:val="005218CD"/>
    <w:rsid w:val="0053267D"/>
    <w:rsid w:val="00556660"/>
    <w:rsid w:val="0056288D"/>
    <w:rsid w:val="00570906"/>
    <w:rsid w:val="00596540"/>
    <w:rsid w:val="005A5313"/>
    <w:rsid w:val="005B5832"/>
    <w:rsid w:val="005C7A53"/>
    <w:rsid w:val="005E0440"/>
    <w:rsid w:val="005F0B8C"/>
    <w:rsid w:val="00601A5A"/>
    <w:rsid w:val="006021BD"/>
    <w:rsid w:val="006039E5"/>
    <w:rsid w:val="006279C3"/>
    <w:rsid w:val="00631BF2"/>
    <w:rsid w:val="00677881"/>
    <w:rsid w:val="006A1620"/>
    <w:rsid w:val="006B5652"/>
    <w:rsid w:val="006D2238"/>
    <w:rsid w:val="006E56AA"/>
    <w:rsid w:val="006E7B9E"/>
    <w:rsid w:val="00702EAD"/>
    <w:rsid w:val="007122BB"/>
    <w:rsid w:val="007131BA"/>
    <w:rsid w:val="00715974"/>
    <w:rsid w:val="007211C1"/>
    <w:rsid w:val="00745442"/>
    <w:rsid w:val="00782129"/>
    <w:rsid w:val="00787326"/>
    <w:rsid w:val="007A6858"/>
    <w:rsid w:val="007B34F3"/>
    <w:rsid w:val="007B7180"/>
    <w:rsid w:val="007D2859"/>
    <w:rsid w:val="007E7CD5"/>
    <w:rsid w:val="007F2F6A"/>
    <w:rsid w:val="00802921"/>
    <w:rsid w:val="00811A1D"/>
    <w:rsid w:val="0082307E"/>
    <w:rsid w:val="00823766"/>
    <w:rsid w:val="00827553"/>
    <w:rsid w:val="008331F8"/>
    <w:rsid w:val="00866257"/>
    <w:rsid w:val="008878AD"/>
    <w:rsid w:val="00890D44"/>
    <w:rsid w:val="00893115"/>
    <w:rsid w:val="00895ADC"/>
    <w:rsid w:val="00896452"/>
    <w:rsid w:val="008B6601"/>
    <w:rsid w:val="008D29E8"/>
    <w:rsid w:val="008D3D67"/>
    <w:rsid w:val="008D408E"/>
    <w:rsid w:val="008E0E94"/>
    <w:rsid w:val="008F243D"/>
    <w:rsid w:val="008F368D"/>
    <w:rsid w:val="008F7008"/>
    <w:rsid w:val="00920CE5"/>
    <w:rsid w:val="00930CE1"/>
    <w:rsid w:val="00935E65"/>
    <w:rsid w:val="00967336"/>
    <w:rsid w:val="00967BEA"/>
    <w:rsid w:val="00991292"/>
    <w:rsid w:val="009A03C8"/>
    <w:rsid w:val="009A3043"/>
    <w:rsid w:val="009B4605"/>
    <w:rsid w:val="009C547B"/>
    <w:rsid w:val="00A25FBE"/>
    <w:rsid w:val="00A335D7"/>
    <w:rsid w:val="00A338B0"/>
    <w:rsid w:val="00A53C60"/>
    <w:rsid w:val="00A5457A"/>
    <w:rsid w:val="00A80674"/>
    <w:rsid w:val="00AA3D66"/>
    <w:rsid w:val="00AD2339"/>
    <w:rsid w:val="00B0144A"/>
    <w:rsid w:val="00B014FC"/>
    <w:rsid w:val="00B11A56"/>
    <w:rsid w:val="00B23424"/>
    <w:rsid w:val="00B24E08"/>
    <w:rsid w:val="00B2598D"/>
    <w:rsid w:val="00B37E0C"/>
    <w:rsid w:val="00B5295E"/>
    <w:rsid w:val="00B52D73"/>
    <w:rsid w:val="00B715A8"/>
    <w:rsid w:val="00B76DDC"/>
    <w:rsid w:val="00BB2876"/>
    <w:rsid w:val="00BD52B6"/>
    <w:rsid w:val="00BE1BAD"/>
    <w:rsid w:val="00C00730"/>
    <w:rsid w:val="00C01350"/>
    <w:rsid w:val="00C11741"/>
    <w:rsid w:val="00C30DB1"/>
    <w:rsid w:val="00C37D61"/>
    <w:rsid w:val="00C4089E"/>
    <w:rsid w:val="00C64CAD"/>
    <w:rsid w:val="00C7732F"/>
    <w:rsid w:val="00CD0BA0"/>
    <w:rsid w:val="00CD6C11"/>
    <w:rsid w:val="00CE538B"/>
    <w:rsid w:val="00D0376C"/>
    <w:rsid w:val="00D16CB8"/>
    <w:rsid w:val="00D17798"/>
    <w:rsid w:val="00D20C17"/>
    <w:rsid w:val="00D35BA5"/>
    <w:rsid w:val="00D40053"/>
    <w:rsid w:val="00D52146"/>
    <w:rsid w:val="00D74621"/>
    <w:rsid w:val="00DC4FD9"/>
    <w:rsid w:val="00E040E1"/>
    <w:rsid w:val="00E34F50"/>
    <w:rsid w:val="00E444BE"/>
    <w:rsid w:val="00E57E45"/>
    <w:rsid w:val="00E97C10"/>
    <w:rsid w:val="00ED07F0"/>
    <w:rsid w:val="00EE2243"/>
    <w:rsid w:val="00EF07A1"/>
    <w:rsid w:val="00F05785"/>
    <w:rsid w:val="00F23BDE"/>
    <w:rsid w:val="00F31579"/>
    <w:rsid w:val="00F433F8"/>
    <w:rsid w:val="00F7090B"/>
    <w:rsid w:val="00F72810"/>
    <w:rsid w:val="00F80949"/>
    <w:rsid w:val="00FB05BB"/>
    <w:rsid w:val="00FC2ED4"/>
    <w:rsid w:val="016820CA"/>
    <w:rsid w:val="0F063B12"/>
    <w:rsid w:val="43FE608C"/>
    <w:rsid w:val="456F5201"/>
    <w:rsid w:val="59200147"/>
    <w:rsid w:val="61EE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9912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6"/>
    <w:next w:val="a6"/>
    <w:autoRedefine/>
    <w:uiPriority w:val="9"/>
    <w:qFormat/>
    <w:rsid w:val="009912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qFormat/>
    <w:rsid w:val="00991292"/>
    <w:pPr>
      <w:ind w:left="-1020"/>
    </w:pPr>
    <w:rPr>
      <w:rFonts w:ascii="宋体" w:hAnsi="宋体"/>
      <w:sz w:val="28"/>
    </w:rPr>
  </w:style>
  <w:style w:type="paragraph" w:styleId="ab">
    <w:name w:val="footer"/>
    <w:basedOn w:val="a6"/>
    <w:autoRedefine/>
    <w:qFormat/>
    <w:rsid w:val="00991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Char"/>
    <w:autoRedefine/>
    <w:qFormat/>
    <w:rsid w:val="00991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30">
    <w:name w:val="Body Text Indent 3"/>
    <w:basedOn w:val="a6"/>
    <w:autoRedefine/>
    <w:rsid w:val="00991292"/>
    <w:pPr>
      <w:spacing w:line="360" w:lineRule="auto"/>
      <w:ind w:firstLineChars="200" w:firstLine="560"/>
      <w:jc w:val="left"/>
    </w:pPr>
    <w:rPr>
      <w:rFonts w:ascii="宋体" w:hAnsi="宋体"/>
      <w:sz w:val="28"/>
    </w:rPr>
  </w:style>
  <w:style w:type="character" w:styleId="ad">
    <w:name w:val="Strong"/>
    <w:qFormat/>
    <w:rsid w:val="00991292"/>
    <w:rPr>
      <w:rFonts w:ascii="黑体" w:eastAsia="黑体" w:hAnsi="宋体"/>
      <w:sz w:val="28"/>
    </w:rPr>
  </w:style>
  <w:style w:type="character" w:styleId="ae">
    <w:name w:val="page number"/>
    <w:basedOn w:val="a7"/>
    <w:autoRedefine/>
    <w:rsid w:val="00991292"/>
  </w:style>
  <w:style w:type="character" w:customStyle="1" w:styleId="Char">
    <w:name w:val="页眉 Char"/>
    <w:link w:val="ac"/>
    <w:rsid w:val="00991292"/>
    <w:rPr>
      <w:kern w:val="2"/>
      <w:sz w:val="18"/>
      <w:szCs w:val="18"/>
    </w:rPr>
  </w:style>
  <w:style w:type="paragraph" w:customStyle="1" w:styleId="a0">
    <w:name w:val="标准文件_章标题"/>
    <w:next w:val="a6"/>
    <w:qFormat/>
    <w:rsid w:val="00991292"/>
    <w:pPr>
      <w:numPr>
        <w:ilvl w:val="1"/>
        <w:numId w:val="1"/>
      </w:numPr>
      <w:spacing w:beforeLines="50" w:afterLines="50"/>
      <w:ind w:rightChars="-50" w:right="-50"/>
      <w:jc w:val="both"/>
      <w:outlineLvl w:val="1"/>
    </w:pPr>
    <w:rPr>
      <w:rFonts w:ascii="黑体" w:eastAsia="黑体"/>
      <w:spacing w:val="2"/>
      <w:sz w:val="21"/>
    </w:rPr>
  </w:style>
  <w:style w:type="paragraph" w:customStyle="1" w:styleId="a1">
    <w:name w:val="标准文件_一级条标题"/>
    <w:basedOn w:val="a0"/>
    <w:next w:val="a6"/>
    <w:rsid w:val="00991292"/>
    <w:pPr>
      <w:numPr>
        <w:ilvl w:val="2"/>
      </w:numPr>
      <w:spacing w:beforeLines="0" w:afterLines="0"/>
      <w:outlineLvl w:val="2"/>
    </w:pPr>
  </w:style>
  <w:style w:type="paragraph" w:customStyle="1" w:styleId="a2">
    <w:name w:val="标准文件_二级条标题"/>
    <w:basedOn w:val="a1"/>
    <w:next w:val="a6"/>
    <w:qFormat/>
    <w:rsid w:val="00991292"/>
    <w:pPr>
      <w:numPr>
        <w:ilvl w:val="3"/>
      </w:numPr>
      <w:outlineLvl w:val="3"/>
    </w:pPr>
  </w:style>
  <w:style w:type="paragraph" w:customStyle="1" w:styleId="a">
    <w:name w:val="前言标题"/>
    <w:next w:val="a6"/>
    <w:autoRedefine/>
    <w:qFormat/>
    <w:rsid w:val="00991292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标准文件_三级条标题"/>
    <w:basedOn w:val="a2"/>
    <w:next w:val="a6"/>
    <w:autoRedefine/>
    <w:rsid w:val="00991292"/>
    <w:pPr>
      <w:numPr>
        <w:ilvl w:val="4"/>
      </w:numPr>
      <w:outlineLvl w:val="4"/>
    </w:pPr>
  </w:style>
  <w:style w:type="paragraph" w:customStyle="1" w:styleId="a4">
    <w:name w:val="标准文件_四级条标题"/>
    <w:basedOn w:val="a3"/>
    <w:next w:val="a6"/>
    <w:autoRedefine/>
    <w:qFormat/>
    <w:rsid w:val="00991292"/>
    <w:pPr>
      <w:numPr>
        <w:ilvl w:val="5"/>
      </w:numPr>
      <w:outlineLvl w:val="5"/>
    </w:pPr>
  </w:style>
  <w:style w:type="paragraph" w:customStyle="1" w:styleId="a5">
    <w:name w:val="标准文件_五级条标题"/>
    <w:basedOn w:val="a4"/>
    <w:next w:val="a6"/>
    <w:autoRedefine/>
    <w:rsid w:val="00991292"/>
    <w:pPr>
      <w:numPr>
        <w:ilvl w:val="6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222</Words>
  <Characters>1271</Characters>
  <Application>Microsoft Office Word</Application>
  <DocSecurity>0</DocSecurity>
  <Lines>10</Lines>
  <Paragraphs>2</Paragraphs>
  <ScaleCrop>false</ScaleCrop>
  <Company>MC SYSTEM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张建</cp:lastModifiedBy>
  <cp:revision>8</cp:revision>
  <cp:lastPrinted>2006-07-07T03:21:00Z</cp:lastPrinted>
  <dcterms:created xsi:type="dcterms:W3CDTF">2025-06-08T04:15:00Z</dcterms:created>
  <dcterms:modified xsi:type="dcterms:W3CDTF">2025-06-08T11:23:00Z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97184092D5E5488789195B35EEAE89B1</vt:lpwstr>
  </property>
</Properties>
</file>