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00172">
      <w:pPr>
        <w:jc w:val="center"/>
        <w:rPr>
          <w:rFonts w:ascii="宋体" w:hAnsi="宋体" w:eastAsia="宋体"/>
          <w:sz w:val="28"/>
          <w:szCs w:val="28"/>
        </w:rPr>
      </w:pPr>
      <w:r>
        <w:rPr>
          <w:rFonts w:hint="eastAsia" w:ascii="黑体" w:hAnsi="黑体" w:eastAsia="黑体" w:cs="黑体"/>
          <w:color w:val="000000"/>
          <w:sz w:val="44"/>
          <w:szCs w:val="44"/>
          <w:lang w:eastAsia="zh-CN"/>
        </w:rPr>
        <w:t>《</w:t>
      </w:r>
      <w:r>
        <w:rPr>
          <w:rFonts w:hint="eastAsia" w:ascii="黑体" w:hAnsi="黑体" w:eastAsia="黑体" w:cs="黑体"/>
          <w:color w:val="000000"/>
          <w:sz w:val="44"/>
          <w:szCs w:val="44"/>
        </w:rPr>
        <w:t>电控负载柜及开关插座试验机校准规范</w:t>
      </w:r>
      <w:r>
        <w:rPr>
          <w:rFonts w:hint="eastAsia" w:ascii="黑体" w:hAnsi="黑体" w:eastAsia="黑体" w:cs="黑体"/>
          <w:color w:val="000000"/>
          <w:sz w:val="44"/>
          <w:szCs w:val="44"/>
          <w:lang w:eastAsia="zh-CN"/>
        </w:rPr>
        <w:t>》（</w:t>
      </w:r>
      <w:r>
        <w:rPr>
          <w:rFonts w:hint="eastAsia" w:ascii="黑体" w:hAnsi="黑体" w:eastAsia="黑体" w:cs="黑体"/>
          <w:color w:val="000000"/>
          <w:sz w:val="44"/>
          <w:szCs w:val="44"/>
          <w:lang w:val="en-US" w:eastAsia="zh-CN"/>
        </w:rPr>
        <w:t>征求意见稿）</w:t>
      </w:r>
      <w:bookmarkStart w:id="0" w:name="_GoBack"/>
      <w:bookmarkEnd w:id="0"/>
      <w:r>
        <w:rPr>
          <w:rFonts w:hint="eastAsia" w:ascii="黑体" w:hAnsi="黑体" w:eastAsia="黑体" w:cs="黑体"/>
          <w:color w:val="000000"/>
          <w:sz w:val="44"/>
          <w:szCs w:val="44"/>
        </w:rPr>
        <w:t>编制说明</w:t>
      </w:r>
    </w:p>
    <w:p w14:paraId="55F6D679">
      <w:pPr>
        <w:rPr>
          <w:rFonts w:ascii="宋体" w:hAnsi="宋体" w:eastAsia="宋体"/>
          <w:b/>
          <w:sz w:val="28"/>
          <w:szCs w:val="28"/>
        </w:rPr>
      </w:pPr>
      <w:r>
        <w:rPr>
          <w:rFonts w:hint="eastAsia" w:ascii="宋体" w:hAnsi="宋体" w:eastAsia="宋体"/>
          <w:b/>
          <w:sz w:val="28"/>
          <w:szCs w:val="28"/>
        </w:rPr>
        <w:t>一、必要性及意义</w:t>
      </w:r>
    </w:p>
    <w:p w14:paraId="78BEBBE8">
      <w:pPr>
        <w:ind w:firstLine="560" w:firstLineChars="200"/>
        <w:rPr>
          <w:rFonts w:ascii="宋体" w:hAnsi="宋体" w:eastAsia="宋体"/>
          <w:sz w:val="28"/>
          <w:szCs w:val="28"/>
        </w:rPr>
      </w:pPr>
      <w:r>
        <w:rPr>
          <w:rFonts w:hint="eastAsia" w:ascii="宋体" w:hAnsi="宋体" w:cs="宋体"/>
          <w:color w:val="000000"/>
          <w:sz w:val="28"/>
          <w:szCs w:val="28"/>
        </w:rPr>
        <w:t>国家电控负载柜及开关插座试验机校准规范相关规程规范，也没有制修订计划，我省已广泛使用电控负载柜及开关插座试验机，制定该计量校准规范确有必要，规范形成后有效指导全省电控负载柜及开关插座试验机的校准工作，确保仪器计量性能符合相关要求。</w:t>
      </w:r>
    </w:p>
    <w:p w14:paraId="2384A661">
      <w:pPr>
        <w:rPr>
          <w:rFonts w:ascii="宋体" w:hAnsi="宋体" w:eastAsia="宋体"/>
          <w:b/>
          <w:sz w:val="28"/>
          <w:szCs w:val="28"/>
        </w:rPr>
      </w:pPr>
      <w:r>
        <w:rPr>
          <w:rFonts w:hint="eastAsia" w:ascii="宋体" w:hAnsi="宋体" w:eastAsia="宋体"/>
          <w:b/>
          <w:sz w:val="28"/>
          <w:szCs w:val="28"/>
        </w:rPr>
        <w:t>二、任务来源</w:t>
      </w:r>
    </w:p>
    <w:p w14:paraId="47EDE77E">
      <w:pPr>
        <w:ind w:firstLine="417" w:firstLineChars="149"/>
        <w:rPr>
          <w:rFonts w:ascii="宋体" w:hAnsi="宋体" w:cs="宋体"/>
          <w:color w:val="000000"/>
          <w:sz w:val="28"/>
          <w:szCs w:val="28"/>
        </w:rPr>
      </w:pPr>
      <w:r>
        <w:rPr>
          <w:rFonts w:hint="eastAsia" w:ascii="宋体" w:hAnsi="宋体" w:cs="宋体"/>
          <w:color w:val="000000"/>
          <w:sz w:val="28"/>
          <w:szCs w:val="28"/>
        </w:rPr>
        <w:t>黔东南质量技术监督检测所于2024年3月向贵州省市场监督管理局申请起草《电控负载柜及开关插座试验机校准规范》，贵州省市场监督管理局根据各单位递交的《贵州省地方计量检定规程、校准规范项目计划任务书》，按照《贵州省地方计量检定规程、校准规范制 修订办理程序》（黔质技监量〔</w:t>
      </w:r>
      <w:r>
        <w:rPr>
          <w:rFonts w:ascii="宋体" w:hAnsi="宋体" w:cs="宋体"/>
          <w:color w:val="000000"/>
          <w:sz w:val="28"/>
          <w:szCs w:val="28"/>
        </w:rPr>
        <w:t>2014</w:t>
      </w:r>
      <w:r>
        <w:rPr>
          <w:rFonts w:hint="eastAsia" w:ascii="宋体" w:hAnsi="宋体" w:cs="宋体"/>
          <w:color w:val="000000"/>
          <w:sz w:val="28"/>
          <w:szCs w:val="28"/>
        </w:rPr>
        <w:t>〕</w:t>
      </w:r>
      <w:r>
        <w:rPr>
          <w:rFonts w:ascii="宋体" w:hAnsi="宋体" w:cs="宋体"/>
          <w:color w:val="000000"/>
          <w:sz w:val="28"/>
          <w:szCs w:val="28"/>
        </w:rPr>
        <w:t xml:space="preserve">161 </w:t>
      </w:r>
      <w:r>
        <w:rPr>
          <w:rFonts w:hint="eastAsia" w:ascii="宋体" w:hAnsi="宋体" w:cs="宋体"/>
          <w:color w:val="000000"/>
          <w:sz w:val="28"/>
          <w:szCs w:val="28"/>
        </w:rPr>
        <w:t>号）要求，</w:t>
      </w:r>
      <w:r>
        <w:rPr>
          <w:rFonts w:ascii="宋体" w:hAnsi="宋体" w:cs="宋体"/>
          <w:color w:val="000000"/>
          <w:sz w:val="28"/>
          <w:szCs w:val="28"/>
        </w:rPr>
        <w:t xml:space="preserve">2024 </w:t>
      </w:r>
      <w:r>
        <w:rPr>
          <w:rFonts w:hint="eastAsia" w:ascii="宋体" w:hAnsi="宋体" w:cs="宋体"/>
          <w:color w:val="000000"/>
          <w:sz w:val="28"/>
          <w:szCs w:val="28"/>
        </w:rPr>
        <w:t xml:space="preserve">年 </w:t>
      </w:r>
      <w:r>
        <w:rPr>
          <w:rFonts w:ascii="宋体" w:hAnsi="宋体" w:cs="宋体"/>
          <w:color w:val="000000"/>
          <w:sz w:val="28"/>
          <w:szCs w:val="28"/>
        </w:rPr>
        <w:t xml:space="preserve">11 </w:t>
      </w:r>
      <w:r>
        <w:rPr>
          <w:rFonts w:hint="eastAsia" w:ascii="宋体" w:hAnsi="宋体" w:cs="宋体"/>
          <w:color w:val="000000"/>
          <w:sz w:val="28"/>
          <w:szCs w:val="28"/>
        </w:rPr>
        <w:t xml:space="preserve">月 </w:t>
      </w:r>
      <w:r>
        <w:rPr>
          <w:rFonts w:ascii="宋体" w:hAnsi="宋体" w:cs="宋体"/>
          <w:color w:val="000000"/>
          <w:sz w:val="28"/>
          <w:szCs w:val="28"/>
        </w:rPr>
        <w:t xml:space="preserve">7 </w:t>
      </w:r>
      <w:r>
        <w:rPr>
          <w:rFonts w:hint="eastAsia" w:ascii="宋体" w:hAnsi="宋体" w:cs="宋体"/>
          <w:color w:val="000000"/>
          <w:sz w:val="28"/>
          <w:szCs w:val="28"/>
        </w:rPr>
        <w:t xml:space="preserve">日至 </w:t>
      </w:r>
      <w:r>
        <w:rPr>
          <w:rFonts w:ascii="宋体" w:hAnsi="宋体" w:cs="宋体"/>
          <w:color w:val="000000"/>
          <w:sz w:val="28"/>
          <w:szCs w:val="28"/>
        </w:rPr>
        <w:t xml:space="preserve">11 </w:t>
      </w:r>
      <w:r>
        <w:rPr>
          <w:rFonts w:hint="eastAsia" w:ascii="宋体" w:hAnsi="宋体" w:cs="宋体"/>
          <w:color w:val="000000"/>
          <w:sz w:val="28"/>
          <w:szCs w:val="28"/>
        </w:rPr>
        <w:t xml:space="preserve">月 </w:t>
      </w:r>
      <w:r>
        <w:rPr>
          <w:rFonts w:ascii="宋体" w:hAnsi="宋体" w:cs="宋体"/>
          <w:color w:val="000000"/>
          <w:sz w:val="28"/>
          <w:szCs w:val="28"/>
        </w:rPr>
        <w:t xml:space="preserve">8 </w:t>
      </w:r>
      <w:r>
        <w:rPr>
          <w:rFonts w:hint="eastAsia" w:ascii="宋体" w:hAnsi="宋体" w:cs="宋体"/>
          <w:color w:val="000000"/>
          <w:sz w:val="28"/>
          <w:szCs w:val="28"/>
        </w:rPr>
        <w:t>日，省局组织专家组对《链码校准规范》等地方检定规程、校准规范开展立项审查。根据专家组审查意见，同意《电控负载柜及插座试验机校准规范》的立项申请。2024年12月4日，黔东南质量技术监督检测所成立电控负载柜及开关插座试验机校准</w:t>
      </w:r>
      <w:r>
        <w:rPr>
          <w:rFonts w:ascii="宋体" w:hAnsi="宋体" w:cs="宋体"/>
          <w:color w:val="000000"/>
          <w:sz w:val="28"/>
          <w:szCs w:val="28"/>
        </w:rPr>
        <w:t>规范</w:t>
      </w:r>
      <w:r>
        <w:rPr>
          <w:rFonts w:hint="eastAsia" w:ascii="宋体" w:hAnsi="宋体" w:cs="宋体"/>
          <w:color w:val="000000"/>
          <w:sz w:val="28"/>
          <w:szCs w:val="28"/>
        </w:rPr>
        <w:t>编制小组，负责校准规范的编制工作。</w:t>
      </w:r>
    </w:p>
    <w:p w14:paraId="383AC939">
      <w:pPr>
        <w:rPr>
          <w:rFonts w:ascii="宋体" w:hAnsi="宋体" w:eastAsia="宋体"/>
          <w:b/>
          <w:sz w:val="28"/>
          <w:szCs w:val="28"/>
        </w:rPr>
      </w:pPr>
      <w:r>
        <w:rPr>
          <w:rFonts w:hint="eastAsia" w:ascii="宋体" w:hAnsi="宋体" w:eastAsia="宋体"/>
          <w:b/>
          <w:sz w:val="28"/>
          <w:szCs w:val="28"/>
        </w:rPr>
        <w:t xml:space="preserve">三、编制计划 </w:t>
      </w:r>
    </w:p>
    <w:p w14:paraId="4B686007">
      <w:pPr>
        <w:rPr>
          <w:rFonts w:ascii="宋体" w:hAnsi="宋体" w:cs="宋体"/>
          <w:color w:val="000000"/>
          <w:sz w:val="28"/>
          <w:szCs w:val="28"/>
        </w:rPr>
      </w:pPr>
      <w:r>
        <w:rPr>
          <w:rFonts w:hint="eastAsia"/>
        </w:rPr>
        <w:t>（</w:t>
      </w:r>
      <w:r>
        <w:rPr>
          <w:rFonts w:hint="eastAsia" w:ascii="宋体" w:hAnsi="宋体" w:cs="宋体"/>
          <w:color w:val="000000"/>
          <w:sz w:val="28"/>
          <w:szCs w:val="28"/>
        </w:rPr>
        <w:t>一）2024年11月08日贵州省市场监督管理局批准黔东南质量技术监督检测所关于《电控负载柜及开关插座试验机校准规范》的立项。黔东南质量技术监督检测所作为主要起草单位承担起草工作，项目正式启动。</w:t>
      </w:r>
    </w:p>
    <w:p w14:paraId="0BC55F12">
      <w:pPr>
        <w:rPr>
          <w:rFonts w:ascii="宋体" w:hAnsi="宋体" w:cs="宋体"/>
          <w:color w:val="000000"/>
          <w:sz w:val="28"/>
          <w:szCs w:val="28"/>
        </w:rPr>
      </w:pPr>
      <w:r>
        <w:rPr>
          <w:rFonts w:hint="eastAsia" w:ascii="宋体" w:hAnsi="宋体" w:cs="宋体"/>
          <w:color w:val="000000"/>
          <w:sz w:val="28"/>
          <w:szCs w:val="28"/>
        </w:rPr>
        <w:t>（二）2024年12月4日，成立起草小组，明确项目负责人和技术负责人，全面落实编制工作，起草小组认真制定了详细的编制计划、实施步骤、实验方案等。</w:t>
      </w:r>
    </w:p>
    <w:p w14:paraId="4566BF4F">
      <w:pPr>
        <w:rPr>
          <w:rFonts w:ascii="宋体" w:hAnsi="宋体" w:cs="宋体"/>
          <w:color w:val="000000"/>
          <w:sz w:val="28"/>
          <w:szCs w:val="28"/>
        </w:rPr>
      </w:pPr>
      <w:r>
        <w:rPr>
          <w:rFonts w:hint="eastAsia" w:ascii="宋体" w:hAnsi="宋体" w:cs="宋体"/>
          <w:color w:val="000000"/>
          <w:sz w:val="28"/>
          <w:szCs w:val="28"/>
        </w:rPr>
        <w:t>（三）2024年12月，校准规范起草小组认真查阅相关行业标准和文献等资料，对电控负载柜及开关插座试验机的使用情况、主要原理、性能指标等进行了全面调研。</w:t>
      </w:r>
    </w:p>
    <w:p w14:paraId="52EE40AD">
      <w:pPr>
        <w:rPr>
          <w:rFonts w:ascii="宋体" w:hAnsi="宋体" w:cs="宋体"/>
          <w:color w:val="000000"/>
          <w:sz w:val="28"/>
          <w:szCs w:val="28"/>
        </w:rPr>
      </w:pPr>
      <w:r>
        <w:rPr>
          <w:rFonts w:hint="eastAsia" w:ascii="宋体" w:hAnsi="宋体" w:cs="宋体"/>
          <w:color w:val="000000"/>
          <w:sz w:val="28"/>
          <w:szCs w:val="28"/>
        </w:rPr>
        <w:t>（四）2025年1月至2月，起草小组开展多次讨论，对规范的框架结构、适用范围、技术指标要求等进行研究，并通过对不同厂家、不同型号的仪器进行校准试验，验证了校准方法的适用性，形成了校准规范初稿。</w:t>
      </w:r>
    </w:p>
    <w:p w14:paraId="6D41DCB2">
      <w:pPr>
        <w:rPr>
          <w:rFonts w:ascii="宋体" w:hAnsi="宋体" w:cs="宋体"/>
          <w:color w:val="000000"/>
          <w:sz w:val="28"/>
          <w:szCs w:val="28"/>
        </w:rPr>
      </w:pPr>
      <w:r>
        <w:rPr>
          <w:rFonts w:hint="eastAsia" w:ascii="宋体" w:hAnsi="宋体" w:cs="宋体"/>
          <w:color w:val="000000"/>
          <w:sz w:val="28"/>
          <w:szCs w:val="28"/>
        </w:rPr>
        <w:t>（五）2025年2月至3月，编制完成《电控负载柜及开关插座试验机》(征求意见稿)、编制说明、试验报告和不确定度评定报告。</w:t>
      </w:r>
    </w:p>
    <w:p w14:paraId="0076D942">
      <w:pPr>
        <w:rPr>
          <w:rFonts w:ascii="宋体" w:hAnsi="宋体" w:cs="宋体"/>
          <w:color w:val="000000"/>
          <w:sz w:val="28"/>
          <w:szCs w:val="28"/>
        </w:rPr>
      </w:pPr>
      <w:r>
        <w:rPr>
          <w:rFonts w:hint="eastAsia" w:ascii="宋体" w:hAnsi="宋体" w:cs="宋体"/>
          <w:color w:val="000000"/>
          <w:sz w:val="28"/>
          <w:szCs w:val="28"/>
        </w:rPr>
        <w:t>（六）2025年3月至8月根据挂网征求、仪器使用单位、计量技术机构等的反馈意见，修改形成《电控负载柜及开关插座试验机校准规范》(送审稿)，报送省市场监督管理局申请评审。</w:t>
      </w:r>
    </w:p>
    <w:p w14:paraId="1B6F0163">
      <w:pPr>
        <w:rPr>
          <w:rFonts w:ascii="宋体" w:hAnsi="宋体" w:cs="宋体"/>
          <w:color w:val="000000"/>
          <w:sz w:val="28"/>
          <w:szCs w:val="28"/>
        </w:rPr>
      </w:pPr>
      <w:r>
        <w:rPr>
          <w:rFonts w:hint="eastAsia" w:ascii="宋体" w:hAnsi="宋体" w:cs="宋体"/>
          <w:color w:val="000000"/>
          <w:sz w:val="28"/>
          <w:szCs w:val="28"/>
        </w:rPr>
        <w:t>（七）2025年9月，贵州省市场监督管理局组织有关专家对校准规范送审稿进行评审，专家组通过评审，提出修改意见。</w:t>
      </w:r>
    </w:p>
    <w:p w14:paraId="17109221">
      <w:pPr>
        <w:rPr>
          <w:rFonts w:ascii="宋体" w:hAnsi="宋体" w:cs="宋体"/>
          <w:color w:val="000000"/>
          <w:sz w:val="28"/>
          <w:szCs w:val="28"/>
        </w:rPr>
      </w:pPr>
      <w:r>
        <w:rPr>
          <w:rFonts w:hint="eastAsia" w:ascii="宋体" w:hAnsi="宋体" w:cs="宋体"/>
          <w:color w:val="000000"/>
          <w:sz w:val="28"/>
          <w:szCs w:val="28"/>
        </w:rPr>
        <w:t>（八）2025年9月中旬至10月，起草小组按照专家组提出的修改意见，对校准规范进行修改和完善，形成报批稿，报送贵州省市场监督管理局审批。</w:t>
      </w:r>
    </w:p>
    <w:p w14:paraId="538A3233">
      <w:pPr>
        <w:rPr>
          <w:rFonts w:ascii="宋体" w:hAnsi="宋体" w:eastAsia="宋体"/>
          <w:b/>
          <w:sz w:val="28"/>
          <w:szCs w:val="28"/>
        </w:rPr>
      </w:pPr>
      <w:r>
        <w:rPr>
          <w:rFonts w:hint="eastAsia" w:ascii="宋体" w:hAnsi="宋体" w:eastAsia="宋体"/>
          <w:b/>
          <w:sz w:val="28"/>
          <w:szCs w:val="28"/>
        </w:rPr>
        <w:t>四、主要技术依据</w:t>
      </w:r>
    </w:p>
    <w:p w14:paraId="1323B7D7">
      <w:pPr>
        <w:pStyle w:val="14"/>
        <w:ind w:left="720" w:firstLine="560"/>
        <w:rPr>
          <w:rFonts w:ascii="宋体" w:hAnsi="宋体" w:cs="宋体"/>
          <w:color w:val="000000"/>
          <w:sz w:val="28"/>
          <w:szCs w:val="28"/>
        </w:rPr>
      </w:pPr>
      <w:r>
        <w:rPr>
          <w:rFonts w:ascii="宋体" w:hAnsi="宋体" w:cs="宋体"/>
          <w:color w:val="000000"/>
          <w:sz w:val="28"/>
          <w:szCs w:val="28"/>
        </w:rPr>
        <w:t>GB 2099.1-20</w:t>
      </w:r>
      <w:r>
        <w:rPr>
          <w:rFonts w:hint="eastAsia" w:ascii="宋体" w:hAnsi="宋体" w:cs="宋体"/>
          <w:color w:val="000000"/>
          <w:sz w:val="28"/>
          <w:szCs w:val="28"/>
        </w:rPr>
        <w:t>21家用和类似用途插头插座第1部分:通用要求</w:t>
      </w:r>
    </w:p>
    <w:p w14:paraId="6203CF87">
      <w:pPr>
        <w:pStyle w:val="14"/>
        <w:ind w:left="720" w:firstLine="560"/>
        <w:rPr>
          <w:rFonts w:ascii="宋体" w:hAnsi="宋体" w:cs="宋体"/>
          <w:color w:val="000000"/>
          <w:sz w:val="28"/>
          <w:szCs w:val="28"/>
        </w:rPr>
      </w:pPr>
      <w:r>
        <w:rPr>
          <w:rFonts w:hint="eastAsia" w:ascii="宋体" w:hAnsi="宋体" w:cs="宋体"/>
          <w:color w:val="000000"/>
          <w:sz w:val="28"/>
          <w:szCs w:val="28"/>
        </w:rPr>
        <w:t>GB 16915.1-2024家用和类似用途固定式电气装置的开关第1部分:通用要求</w:t>
      </w:r>
    </w:p>
    <w:p w14:paraId="7BCBE7F7">
      <w:pPr>
        <w:rPr>
          <w:rFonts w:ascii="宋体" w:hAnsi="宋体" w:eastAsia="宋体"/>
          <w:b/>
          <w:sz w:val="28"/>
          <w:szCs w:val="28"/>
        </w:rPr>
      </w:pPr>
      <w:r>
        <w:rPr>
          <w:rFonts w:hint="eastAsia" w:ascii="宋体" w:hAnsi="宋体" w:eastAsia="宋体"/>
          <w:b/>
          <w:sz w:val="28"/>
          <w:szCs w:val="28"/>
        </w:rPr>
        <w:t>五、主要技术内容及说明</w:t>
      </w:r>
    </w:p>
    <w:p w14:paraId="05C52B5E">
      <w:pPr>
        <w:rPr>
          <w:rFonts w:ascii="宋体" w:hAnsi="宋体" w:cs="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、范围：本规范适用于电控负载柜及开关插座试验机的校准的首次校准、后续校准和使用中检查。</w:t>
      </w:r>
    </w:p>
    <w:p w14:paraId="2F893EEC">
      <w:pPr>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、引用标准：</w:t>
      </w:r>
      <w:r>
        <w:rPr>
          <w:rFonts w:ascii="宋体" w:hAnsi="宋体" w:cs="宋体"/>
          <w:color w:val="000000"/>
          <w:sz w:val="28"/>
          <w:szCs w:val="28"/>
        </w:rPr>
        <w:t>GB 2099.1-20</w:t>
      </w:r>
      <w:r>
        <w:rPr>
          <w:rFonts w:hint="eastAsia" w:ascii="宋体" w:hAnsi="宋体" w:cs="宋体"/>
          <w:color w:val="000000"/>
          <w:sz w:val="28"/>
          <w:szCs w:val="28"/>
        </w:rPr>
        <w:t>21家用和类似用途插头插座第1部分:通用要求，GB 16915.1-2024家用和类似用途固定式电气装置的开关第1部分:通用要求</w:t>
      </w:r>
    </w:p>
    <w:p w14:paraId="3A7143A9">
      <w:pPr>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概述。电控负载柜及开关插座试验机是测试电气装置的开关、插头插座的重要设备。可以模拟在不同负载条件下的开关试验和插头插座插拔试验。电控负载柜及开关插座试验机一般由调压器、可调负载柜、寿命试验机组成。</w:t>
      </w:r>
    </w:p>
    <w:p w14:paraId="7FE43194">
      <w:pPr>
        <w:rPr>
          <w:rFonts w:ascii="宋体" w:hAnsi="宋体" w:cs="宋体"/>
          <w:color w:val="000000"/>
          <w:sz w:val="28"/>
          <w:szCs w:val="28"/>
        </w:rPr>
      </w:pPr>
      <w:r>
        <w:rPr>
          <w:rFonts w:ascii="宋体" w:hAnsi="宋体" w:cs="宋体"/>
          <w:color w:val="000000"/>
          <w:sz w:val="28"/>
          <w:szCs w:val="28"/>
        </w:rPr>
        <w:t>4</w:t>
      </w:r>
      <w:r>
        <w:rPr>
          <w:rFonts w:hint="eastAsia" w:ascii="宋体" w:hAnsi="宋体" w:cs="宋体"/>
          <w:color w:val="000000"/>
          <w:sz w:val="28"/>
          <w:szCs w:val="28"/>
        </w:rPr>
        <w:t>、计量特性：</w:t>
      </w:r>
      <w:r>
        <w:rPr>
          <w:rFonts w:ascii="宋体" w:hAnsi="宋体" w:cs="宋体"/>
          <w:color w:val="000000"/>
          <w:sz w:val="28"/>
          <w:szCs w:val="28"/>
        </w:rPr>
        <w:t>根据企业生产技术能力、产品性能、</w:t>
      </w:r>
      <w:r>
        <w:rPr>
          <w:rFonts w:hint="eastAsia" w:ascii="宋体" w:hAnsi="宋体" w:cs="宋体"/>
          <w:color w:val="000000"/>
          <w:sz w:val="28"/>
          <w:szCs w:val="28"/>
        </w:rPr>
        <w:t>参照</w:t>
      </w:r>
      <w:r>
        <w:rPr>
          <w:rFonts w:ascii="宋体" w:hAnsi="宋体" w:cs="宋体"/>
          <w:color w:val="000000"/>
          <w:sz w:val="28"/>
          <w:szCs w:val="28"/>
        </w:rPr>
        <w:t>GB 2099.1-2008</w:t>
      </w:r>
      <w:r>
        <w:rPr>
          <w:rFonts w:hint="eastAsia" w:ascii="宋体" w:hAnsi="宋体" w:cs="宋体"/>
          <w:color w:val="000000"/>
          <w:sz w:val="28"/>
          <w:szCs w:val="28"/>
        </w:rPr>
        <w:t>家用和类似用途插头插座第1部分:通用要求，GB 16915.1-2014家用和类似用途固定式电气装置的开关第1部分:通用要求，对电控负载柜及开关插座试验机的外观检查、交流电压、交流电流、功率因数、插合持续时间、接通持续时间进行了要求。</w:t>
      </w:r>
    </w:p>
    <w:p w14:paraId="7EED7E8A">
      <w:pPr>
        <w:jc w:val="left"/>
        <w:rPr>
          <w:rFonts w:ascii="宋体" w:hAnsi="宋体" w:cs="宋体"/>
          <w:color w:val="000000"/>
          <w:sz w:val="28"/>
          <w:szCs w:val="28"/>
        </w:rPr>
      </w:pPr>
      <w:r>
        <w:rPr>
          <w:rFonts w:hint="eastAsia" w:ascii="宋体" w:hAnsi="宋体" w:cs="宋体"/>
          <w:color w:val="000000"/>
          <w:sz w:val="28"/>
          <w:szCs w:val="28"/>
        </w:rPr>
        <w:t>5、校准条件：环境条件（温度、湿度、电磁场环境影响）、校准主要设备</w:t>
      </w:r>
      <w:r>
        <w:rPr>
          <w:rFonts w:ascii="宋体" w:hAnsi="宋体" w:cs="宋体"/>
          <w:color w:val="000000"/>
          <w:sz w:val="28"/>
          <w:szCs w:val="28"/>
        </w:rPr>
        <w:t>标</w:t>
      </w:r>
      <w:r>
        <w:rPr>
          <w:rFonts w:hint="eastAsia" w:ascii="宋体" w:hAnsi="宋体" w:cs="宋体"/>
          <w:color w:val="000000"/>
          <w:sz w:val="28"/>
          <w:szCs w:val="28"/>
        </w:rPr>
        <w:t>数字功率计（交流电压：最大允许误差±</w:t>
      </w:r>
      <w:r>
        <w:rPr>
          <w:rFonts w:ascii="宋体" w:hAnsi="宋体" w:cs="宋体"/>
          <w:color w:val="000000"/>
          <w:sz w:val="28"/>
          <w:szCs w:val="28"/>
        </w:rPr>
        <w:t>0.5%</w:t>
      </w:r>
      <w:r>
        <w:rPr>
          <w:rFonts w:hint="eastAsia" w:ascii="宋体" w:hAnsi="宋体" w:cs="宋体"/>
          <w:color w:val="000000"/>
          <w:sz w:val="28"/>
          <w:szCs w:val="28"/>
        </w:rPr>
        <w:t>，交流电流：最大允许误差±</w:t>
      </w:r>
      <w:r>
        <w:rPr>
          <w:rFonts w:ascii="宋体" w:hAnsi="宋体" w:cs="宋体"/>
          <w:color w:val="000000"/>
          <w:sz w:val="28"/>
          <w:szCs w:val="28"/>
        </w:rPr>
        <w:t>0.5%</w:t>
      </w:r>
      <w:r>
        <w:rPr>
          <w:rFonts w:hint="eastAsia" w:ascii="宋体" w:hAnsi="宋体" w:cs="宋体"/>
          <w:color w:val="000000"/>
          <w:sz w:val="28"/>
          <w:szCs w:val="28"/>
        </w:rPr>
        <w:t>，功率因数：最大允许误差±</w:t>
      </w:r>
      <w:r>
        <w:rPr>
          <w:rFonts w:ascii="宋体" w:hAnsi="宋体" w:cs="宋体"/>
          <w:color w:val="000000"/>
          <w:sz w:val="28"/>
          <w:szCs w:val="28"/>
        </w:rPr>
        <w:t>0.005</w:t>
      </w:r>
      <w:r>
        <w:rPr>
          <w:rFonts w:hint="eastAsia" w:ascii="宋体" w:hAnsi="宋体" w:cs="宋体"/>
          <w:color w:val="000000"/>
          <w:sz w:val="28"/>
          <w:szCs w:val="28"/>
        </w:rPr>
        <w:t>），示波器及探头（插合持续时间：最大允许误差±</w:t>
      </w:r>
      <w:r>
        <w:rPr>
          <w:rFonts w:ascii="宋体" w:hAnsi="宋体" w:cs="宋体"/>
          <w:color w:val="000000"/>
          <w:sz w:val="28"/>
          <w:szCs w:val="28"/>
        </w:rPr>
        <w:t>0.15s</w:t>
      </w:r>
      <w:r>
        <w:rPr>
          <w:rFonts w:hint="eastAsia" w:ascii="宋体" w:hAnsi="宋体" w:cs="宋体"/>
          <w:color w:val="000000"/>
          <w:sz w:val="28"/>
          <w:szCs w:val="28"/>
        </w:rPr>
        <w:t>，接通持续时间：最大允许误差±</w:t>
      </w:r>
      <w:r>
        <w:rPr>
          <w:rFonts w:ascii="宋体" w:hAnsi="宋体" w:cs="宋体"/>
          <w:color w:val="000000"/>
          <w:sz w:val="28"/>
          <w:szCs w:val="28"/>
        </w:rPr>
        <w:t>0.15s</w:t>
      </w:r>
      <w:r>
        <w:rPr>
          <w:rFonts w:hint="eastAsia" w:ascii="宋体" w:hAnsi="宋体" w:cs="宋体"/>
          <w:color w:val="000000"/>
          <w:sz w:val="28"/>
          <w:szCs w:val="28"/>
        </w:rPr>
        <w:t>）</w:t>
      </w:r>
    </w:p>
    <w:p w14:paraId="49B69360">
      <w:pPr>
        <w:rPr>
          <w:rFonts w:ascii="宋体" w:hAnsi="宋体" w:cs="宋体"/>
          <w:color w:val="000000"/>
          <w:sz w:val="28"/>
          <w:szCs w:val="28"/>
        </w:rPr>
      </w:pPr>
      <w:r>
        <w:rPr>
          <w:rFonts w:hint="eastAsia" w:ascii="宋体" w:hAnsi="宋体" w:cs="宋体"/>
          <w:color w:val="000000"/>
          <w:sz w:val="28"/>
          <w:szCs w:val="28"/>
        </w:rPr>
        <w:t>6、校准项目和校准方法：外观检查、交流电压、交流电流、功率因数、插合持续时间、接通持续时间</w:t>
      </w:r>
    </w:p>
    <w:p w14:paraId="6CC815CC">
      <w:pPr>
        <w:rPr>
          <w:rFonts w:ascii="宋体" w:hAnsi="宋体" w:cs="宋体"/>
          <w:color w:val="000000"/>
          <w:sz w:val="28"/>
          <w:szCs w:val="28"/>
        </w:rPr>
      </w:pPr>
      <w:r>
        <w:rPr>
          <w:rFonts w:hint="eastAsia" w:ascii="宋体" w:hAnsi="宋体" w:cs="宋体"/>
          <w:color w:val="000000"/>
          <w:sz w:val="28"/>
          <w:szCs w:val="28"/>
        </w:rPr>
        <w:t>7、校准结果表达。</w:t>
      </w:r>
    </w:p>
    <w:p w14:paraId="0ED8F8DC">
      <w:pPr>
        <w:rPr>
          <w:rFonts w:ascii="宋体" w:hAnsi="宋体" w:cs="宋体"/>
          <w:color w:val="000000"/>
          <w:sz w:val="28"/>
          <w:szCs w:val="28"/>
        </w:rPr>
      </w:pPr>
      <w:r>
        <w:rPr>
          <w:rFonts w:hint="eastAsia" w:ascii="宋体" w:hAnsi="宋体" w:cs="宋体"/>
          <w:color w:val="000000"/>
          <w:sz w:val="28"/>
          <w:szCs w:val="28"/>
        </w:rPr>
        <w:t>8、复校时间间隔。</w:t>
      </w:r>
    </w:p>
    <w:p w14:paraId="4E9C9A5C">
      <w:pPr>
        <w:rPr>
          <w:rFonts w:ascii="宋体" w:hAnsi="宋体" w:cs="宋体"/>
          <w:color w:val="000000"/>
          <w:sz w:val="28"/>
          <w:szCs w:val="28"/>
        </w:rPr>
      </w:pPr>
      <w:r>
        <w:rPr>
          <w:rFonts w:hint="eastAsia" w:ascii="宋体" w:hAnsi="宋体" w:cs="宋体"/>
          <w:color w:val="000000"/>
          <w:sz w:val="28"/>
          <w:szCs w:val="28"/>
        </w:rPr>
        <w:t>9、附录。</w:t>
      </w:r>
    </w:p>
    <w:p w14:paraId="616746BD">
      <w:pPr>
        <w:rPr>
          <w:rFonts w:ascii="宋体" w:hAnsi="宋体" w:eastAsia="宋体"/>
          <w:b/>
          <w:sz w:val="28"/>
          <w:szCs w:val="28"/>
        </w:rPr>
      </w:pPr>
      <w:r>
        <w:rPr>
          <w:rFonts w:hint="eastAsia" w:ascii="宋体" w:hAnsi="宋体" w:eastAsia="宋体"/>
          <w:b/>
          <w:sz w:val="28"/>
          <w:szCs w:val="28"/>
        </w:rPr>
        <w:t>六、主要试验验证情况</w:t>
      </w:r>
    </w:p>
    <w:p w14:paraId="71EC7EA8">
      <w:pPr>
        <w:ind w:firstLine="840" w:firstLineChars="300"/>
        <w:jc w:val="left"/>
        <w:rPr>
          <w:rFonts w:ascii="宋体" w:hAnsi="宋体" w:cs="宋体"/>
          <w:color w:val="000000"/>
          <w:sz w:val="28"/>
          <w:szCs w:val="28"/>
        </w:rPr>
      </w:pPr>
      <w:r>
        <w:rPr>
          <w:rFonts w:hint="eastAsia" w:ascii="宋体" w:hAnsi="宋体" w:cs="宋体"/>
          <w:color w:val="000000"/>
          <w:sz w:val="28"/>
          <w:szCs w:val="28"/>
        </w:rPr>
        <w:t>见试验方法 。</w:t>
      </w:r>
    </w:p>
    <w:p w14:paraId="4E55E35A">
      <w:pPr>
        <w:ind w:firstLine="417" w:firstLineChars="149"/>
        <w:rPr>
          <w:rFonts w:ascii="宋体" w:hAnsi="宋体" w:eastAsia="宋体"/>
          <w:b/>
          <w:sz w:val="28"/>
          <w:szCs w:val="28"/>
        </w:rPr>
      </w:pPr>
      <w:r>
        <w:rPr>
          <w:rFonts w:hint="eastAsia" w:ascii="宋体" w:hAnsi="宋体" w:eastAsia="宋体"/>
          <w:b/>
          <w:sz w:val="28"/>
          <w:szCs w:val="28"/>
        </w:rPr>
        <w:t>七、重大分歧意见处理情况</w:t>
      </w:r>
    </w:p>
    <w:p w14:paraId="29EFAADC">
      <w:pPr>
        <w:ind w:firstLine="420" w:firstLineChars="150"/>
        <w:rPr>
          <w:rFonts w:ascii="宋体" w:hAnsi="宋体" w:cs="宋体"/>
          <w:color w:val="000000"/>
          <w:sz w:val="28"/>
          <w:szCs w:val="28"/>
        </w:rPr>
      </w:pPr>
      <w:r>
        <w:rPr>
          <w:rFonts w:ascii="宋体" w:hAnsi="宋体" w:cs="宋体"/>
          <w:color w:val="000000"/>
          <w:sz w:val="28"/>
          <w:szCs w:val="28"/>
        </w:rPr>
        <w:t>本规范在制定过程中</w:t>
      </w:r>
      <w:r>
        <w:rPr>
          <w:rFonts w:hint="eastAsia" w:ascii="宋体" w:hAnsi="宋体" w:cs="宋体"/>
          <w:color w:val="000000"/>
          <w:sz w:val="28"/>
          <w:szCs w:val="28"/>
        </w:rPr>
        <w:t>会</w:t>
      </w:r>
      <w:r>
        <w:rPr>
          <w:rFonts w:ascii="宋体" w:hAnsi="宋体" w:cs="宋体"/>
          <w:color w:val="000000"/>
          <w:sz w:val="28"/>
          <w:szCs w:val="28"/>
        </w:rPr>
        <w:t>征求了多家</w:t>
      </w:r>
      <w:r>
        <w:rPr>
          <w:rFonts w:hint="eastAsia" w:ascii="宋体" w:hAnsi="宋体" w:cs="宋体"/>
          <w:color w:val="000000"/>
          <w:sz w:val="28"/>
          <w:szCs w:val="28"/>
        </w:rPr>
        <w:t>企业单位使用方德</w:t>
      </w:r>
      <w:r>
        <w:rPr>
          <w:rFonts w:ascii="宋体" w:hAnsi="宋体" w:cs="宋体"/>
          <w:color w:val="000000"/>
          <w:sz w:val="28"/>
          <w:szCs w:val="28"/>
        </w:rPr>
        <w:t>的意见，均无重大意见分歧</w:t>
      </w:r>
      <w:r>
        <w:rPr>
          <w:rFonts w:hint="eastAsia" w:ascii="宋体" w:hAnsi="宋体" w:cs="宋体"/>
          <w:color w:val="000000"/>
          <w:sz w:val="28"/>
          <w:szCs w:val="28"/>
        </w:rPr>
        <w:t>后再成文。</w:t>
      </w:r>
      <w:r>
        <w:rPr>
          <w:rFonts w:ascii="宋体" w:hAnsi="宋体" w:cs="宋体"/>
          <w:color w:val="000000"/>
          <w:sz w:val="28"/>
          <w:szCs w:val="28"/>
        </w:rPr>
        <w:t>。</w:t>
      </w:r>
    </w:p>
    <w:p w14:paraId="40C6F55C">
      <w:pPr>
        <w:ind w:firstLine="417" w:firstLineChars="149"/>
        <w:rPr>
          <w:rFonts w:ascii="宋体" w:hAnsi="宋体" w:eastAsia="宋体"/>
          <w:b/>
          <w:sz w:val="28"/>
          <w:szCs w:val="28"/>
        </w:rPr>
      </w:pPr>
      <w:r>
        <w:rPr>
          <w:rFonts w:hint="eastAsia" w:ascii="宋体" w:hAnsi="宋体" w:eastAsia="宋体"/>
          <w:b/>
          <w:sz w:val="28"/>
          <w:szCs w:val="28"/>
        </w:rPr>
        <w:t>八、归口管理及获取意见建议方式（长期稳定）</w:t>
      </w:r>
    </w:p>
    <w:p w14:paraId="6E8FE3FA">
      <w:pPr>
        <w:pStyle w:val="14"/>
        <w:ind w:left="720" w:firstLine="560"/>
        <w:rPr>
          <w:rFonts w:ascii="宋体" w:hAnsi="宋体" w:cs="宋体"/>
          <w:color w:val="000000"/>
          <w:sz w:val="28"/>
          <w:szCs w:val="28"/>
        </w:rPr>
      </w:pPr>
      <w:r>
        <w:rPr>
          <w:rFonts w:hint="eastAsia" w:ascii="宋体" w:hAnsi="宋体" w:cs="宋体"/>
          <w:color w:val="000000"/>
          <w:sz w:val="28"/>
          <w:szCs w:val="28"/>
        </w:rPr>
        <w:t>本规范由贵州省市场监督管理局归口管理，并委托黔东南质量技术监督检测所对规范内容进行解释，获取意见建议方式：</w:t>
      </w:r>
    </w:p>
    <w:p w14:paraId="4BB6B9FF">
      <w:pPr>
        <w:pStyle w:val="14"/>
        <w:ind w:left="720" w:firstLine="560"/>
        <w:rPr>
          <w:rFonts w:ascii="宋体" w:hAnsi="宋体" w:cs="宋体"/>
          <w:color w:val="000000"/>
          <w:sz w:val="28"/>
          <w:szCs w:val="28"/>
        </w:rPr>
      </w:pPr>
      <w:r>
        <w:rPr>
          <w:rFonts w:hint="eastAsia" w:ascii="宋体" w:hAnsi="宋体" w:cs="宋体"/>
          <w:color w:val="000000"/>
          <w:sz w:val="28"/>
          <w:szCs w:val="28"/>
        </w:rPr>
        <w:t xml:space="preserve">联 系 人：杨鹏 </w:t>
      </w:r>
    </w:p>
    <w:p w14:paraId="02E56257">
      <w:pPr>
        <w:pStyle w:val="14"/>
        <w:ind w:left="720" w:firstLine="560"/>
        <w:rPr>
          <w:rFonts w:ascii="宋体" w:hAnsi="宋体" w:cs="宋体"/>
          <w:color w:val="000000"/>
          <w:sz w:val="28"/>
          <w:szCs w:val="28"/>
        </w:rPr>
      </w:pPr>
      <w:r>
        <w:rPr>
          <w:rFonts w:hint="eastAsia" w:ascii="宋体" w:hAnsi="宋体" w:cs="宋体"/>
          <w:color w:val="000000"/>
          <w:sz w:val="28"/>
          <w:szCs w:val="28"/>
        </w:rPr>
        <w:t>联系电话：13765508388</w:t>
      </w:r>
    </w:p>
    <w:p w14:paraId="3CF08379">
      <w:pPr>
        <w:ind w:firstLine="417" w:firstLineChars="149"/>
        <w:rPr>
          <w:rFonts w:ascii="宋体" w:hAnsi="宋体" w:eastAsia="宋体"/>
          <w:b/>
          <w:sz w:val="28"/>
          <w:szCs w:val="28"/>
        </w:rPr>
      </w:pPr>
      <w:r>
        <w:rPr>
          <w:rFonts w:hint="eastAsia" w:ascii="宋体" w:hAnsi="宋体" w:eastAsia="宋体"/>
          <w:b/>
          <w:sz w:val="28"/>
          <w:szCs w:val="28"/>
        </w:rPr>
        <w:t>十、</w:t>
      </w:r>
      <w:r>
        <w:rPr>
          <w:rFonts w:ascii="宋体" w:hAnsi="宋体" w:eastAsia="宋体"/>
          <w:b/>
          <w:sz w:val="28"/>
          <w:szCs w:val="28"/>
        </w:rPr>
        <w:t>其它事项说明</w:t>
      </w:r>
    </w:p>
    <w:p w14:paraId="1C1707ED">
      <w:pPr>
        <w:pStyle w:val="14"/>
        <w:ind w:left="720" w:firstLine="560"/>
        <w:rPr>
          <w:rFonts w:ascii="宋体" w:hAnsi="宋体" w:cs="宋体"/>
          <w:color w:val="000000"/>
          <w:sz w:val="28"/>
          <w:szCs w:val="28"/>
        </w:rPr>
      </w:pPr>
      <w:r>
        <w:rPr>
          <w:rFonts w:hint="eastAsia" w:ascii="宋体" w:hAnsi="宋体" w:cs="宋体"/>
          <w:color w:val="000000"/>
          <w:sz w:val="28"/>
          <w:szCs w:val="28"/>
        </w:rPr>
        <w:t>《电控负载柜及开关插座试验机校准规范》制定后，能够满足省内电控负载柜及开关插座试验机的校准要求，校准方法、受检项目和数据处理更加成熟和完善，对于生产厂家的质量要求和使用单位控制计量性能方面均能起到重要作用，其潜在的社会效益和经济效益非常显著。</w:t>
      </w:r>
    </w:p>
    <w:p w14:paraId="11D4021B">
      <w:pPr>
        <w:pStyle w:val="14"/>
        <w:ind w:left="720" w:firstLine="560"/>
        <w:jc w:val="right"/>
        <w:rPr>
          <w:rFonts w:ascii="宋体" w:hAnsi="宋体" w:cs="宋体"/>
          <w:color w:val="000000"/>
          <w:sz w:val="28"/>
          <w:szCs w:val="28"/>
        </w:rPr>
      </w:pPr>
      <w:r>
        <w:rPr>
          <w:rFonts w:hint="eastAsia" w:ascii="宋体" w:hAnsi="宋体" w:cs="宋体"/>
          <w:color w:val="000000"/>
          <w:sz w:val="28"/>
          <w:szCs w:val="28"/>
        </w:rPr>
        <w:t>贵州省计量技术规范《脉冲式</w:t>
      </w:r>
      <w:r>
        <w:rPr>
          <w:rFonts w:ascii="宋体" w:hAnsi="宋体" w:cs="宋体"/>
          <w:color w:val="000000"/>
          <w:sz w:val="28"/>
          <w:szCs w:val="28"/>
        </w:rPr>
        <w:t>电火花检漏仪</w:t>
      </w:r>
      <w:r>
        <w:rPr>
          <w:rFonts w:hint="eastAsia" w:ascii="宋体" w:hAnsi="宋体" w:cs="宋体"/>
          <w:color w:val="000000"/>
          <w:sz w:val="28"/>
          <w:szCs w:val="28"/>
        </w:rPr>
        <w:t>校准规范》                               起草小组</w:t>
      </w:r>
    </w:p>
    <w:p w14:paraId="2274E469">
      <w:pPr>
        <w:pStyle w:val="14"/>
        <w:ind w:left="720" w:firstLine="560"/>
      </w:pPr>
      <w:r>
        <w:rPr>
          <w:rFonts w:hint="eastAsia" w:ascii="宋体" w:hAnsi="宋体" w:cs="宋体"/>
          <w:color w:val="000000"/>
          <w:sz w:val="28"/>
          <w:szCs w:val="28"/>
        </w:rPr>
        <w:t xml:space="preserve">                                         2025年05月15日</w:t>
      </w:r>
    </w:p>
    <w:sectPr>
      <w:pgSz w:w="11906" w:h="16838"/>
      <w:pgMar w:top="1440" w:right="709" w:bottom="1440" w:left="1797" w:header="851"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F2E01"/>
    <w:multiLevelType w:val="multilevel"/>
    <w:tmpl w:val="27FF2E01"/>
    <w:lvl w:ilvl="0" w:tentative="0">
      <w:start w:val="1"/>
      <w:numFmt w:val="decimal"/>
      <w:pStyle w:val="2"/>
      <w:lvlText w:val="%1"/>
      <w:lvlJc w:val="left"/>
      <w:pPr>
        <w:tabs>
          <w:tab w:val="left" w:pos="425"/>
        </w:tabs>
        <w:ind w:left="425" w:hanging="425"/>
      </w:pPr>
      <w:rPr>
        <w:rFonts w:hint="eastAsia" w:eastAsia="黑体"/>
        <w:b w:val="0"/>
        <w:i w:val="0"/>
        <w:sz w:val="24"/>
        <w:szCs w:val="24"/>
      </w:rPr>
    </w:lvl>
    <w:lvl w:ilvl="1" w:tentative="0">
      <w:start w:val="1"/>
      <w:numFmt w:val="decimal"/>
      <w:pStyle w:val="3"/>
      <w:lvlText w:val="%1.%2"/>
      <w:lvlJc w:val="left"/>
      <w:pPr>
        <w:tabs>
          <w:tab w:val="left" w:pos="567"/>
        </w:tabs>
        <w:ind w:left="567" w:hanging="567"/>
      </w:pPr>
      <w:rPr>
        <w:rFonts w:hint="eastAsia"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23"/>
      <w:lvlText w:val="%1.%2.%3"/>
      <w:lvlJc w:val="left"/>
      <w:pPr>
        <w:tabs>
          <w:tab w:val="left" w:pos="1249"/>
        </w:tabs>
        <w:ind w:left="1249" w:hanging="709"/>
      </w:pPr>
      <w:rPr>
        <w:rFonts w:hint="eastAsia" w:ascii="Arial" w:hAnsi="Arial" w:eastAsia="黑体" w:cs="Times New Roman"/>
        <w:b w:val="0"/>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rPr>
    </w:lvl>
    <w:lvl w:ilvl="3" w:tentative="0">
      <w:start w:val="1"/>
      <w:numFmt w:val="decimal"/>
      <w:pStyle w:val="5"/>
      <w:lvlText w:val="%1.%2.%3.%4"/>
      <w:lvlJc w:val="left"/>
      <w:pPr>
        <w:tabs>
          <w:tab w:val="left" w:pos="851"/>
        </w:tabs>
        <w:ind w:left="851" w:hanging="851"/>
      </w:pPr>
      <w:rPr>
        <w:rFonts w:hint="default" w:ascii="Arial" w:hAnsi="Arial" w:cs="Arial"/>
        <w:b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E4"/>
    <w:rsid w:val="000E260A"/>
    <w:rsid w:val="00104882"/>
    <w:rsid w:val="001226BE"/>
    <w:rsid w:val="001D190C"/>
    <w:rsid w:val="003271E7"/>
    <w:rsid w:val="003510A6"/>
    <w:rsid w:val="00367AA7"/>
    <w:rsid w:val="004C01E7"/>
    <w:rsid w:val="005800B6"/>
    <w:rsid w:val="00625C69"/>
    <w:rsid w:val="006411B0"/>
    <w:rsid w:val="00672F02"/>
    <w:rsid w:val="007B1F65"/>
    <w:rsid w:val="008215CD"/>
    <w:rsid w:val="00885964"/>
    <w:rsid w:val="00946F6D"/>
    <w:rsid w:val="00984F1D"/>
    <w:rsid w:val="00996738"/>
    <w:rsid w:val="00A3281D"/>
    <w:rsid w:val="00AC5B79"/>
    <w:rsid w:val="00AF76B5"/>
    <w:rsid w:val="00B11F51"/>
    <w:rsid w:val="00B37F5E"/>
    <w:rsid w:val="00B45BE4"/>
    <w:rsid w:val="00B60E7D"/>
    <w:rsid w:val="00C07E72"/>
    <w:rsid w:val="00C1026F"/>
    <w:rsid w:val="00CD1C54"/>
    <w:rsid w:val="00CF1861"/>
    <w:rsid w:val="00D15976"/>
    <w:rsid w:val="00D72F19"/>
    <w:rsid w:val="00D85898"/>
    <w:rsid w:val="00E363B1"/>
    <w:rsid w:val="00EB6CD0"/>
    <w:rsid w:val="00F00D9D"/>
    <w:rsid w:val="00F04A42"/>
    <w:rsid w:val="00F25F88"/>
    <w:rsid w:val="00F801CE"/>
    <w:rsid w:val="4372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0"/>
    <w:pPr>
      <w:keepNext/>
      <w:numPr>
        <w:ilvl w:val="0"/>
        <w:numId w:val="1"/>
      </w:numPr>
      <w:spacing w:beforeLines="50" w:afterLines="50" w:line="240" w:lineRule="auto"/>
      <w:jc w:val="left"/>
      <w:outlineLvl w:val="0"/>
    </w:pPr>
    <w:rPr>
      <w:rFonts w:ascii="黑体" w:hAnsi="Times New Roman" w:eastAsia="黑体" w:cs="Times New Roman"/>
      <w:sz w:val="24"/>
      <w:szCs w:val="24"/>
    </w:rPr>
  </w:style>
  <w:style w:type="paragraph" w:styleId="3">
    <w:name w:val="heading 2"/>
    <w:basedOn w:val="1"/>
    <w:next w:val="1"/>
    <w:link w:val="21"/>
    <w:autoRedefine/>
    <w:qFormat/>
    <w:uiPriority w:val="0"/>
    <w:pPr>
      <w:keepNext/>
      <w:keepLines/>
      <w:numPr>
        <w:ilvl w:val="1"/>
        <w:numId w:val="1"/>
      </w:numPr>
      <w:spacing w:beforeLines="50" w:line="300" w:lineRule="auto"/>
      <w:jc w:val="left"/>
      <w:outlineLvl w:val="1"/>
    </w:pPr>
    <w:rPr>
      <w:rFonts w:ascii="Arial" w:hAnsi="Arial" w:eastAsia="宋体" w:cs="Times New Roman"/>
      <w:bCs/>
      <w:kern w:val="0"/>
      <w:sz w:val="24"/>
      <w:szCs w:val="24"/>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numPr>
        <w:ilvl w:val="3"/>
        <w:numId w:val="1"/>
      </w:numPr>
      <w:spacing w:before="280" w:after="290" w:line="376" w:lineRule="auto"/>
      <w:jc w:val="left"/>
      <w:outlineLvl w:val="3"/>
    </w:pPr>
    <w:rPr>
      <w:rFonts w:ascii="Arial" w:hAnsi="Arial" w:eastAsia="黑体" w:cs="Times New Roman"/>
      <w:bCs/>
      <w:sz w:val="24"/>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Indent"/>
    <w:basedOn w:val="1"/>
    <w:link w:val="17"/>
    <w:uiPriority w:val="0"/>
    <w:pPr>
      <w:ind w:firstLine="482"/>
    </w:pPr>
    <w:rPr>
      <w:rFonts w:ascii="宋体" w:hAnsi="Times New Roman" w:eastAsia="宋体" w:cs="Times New Roman"/>
      <w:sz w:val="28"/>
      <w:szCs w:val="20"/>
    </w:rPr>
  </w:style>
  <w:style w:type="paragraph" w:styleId="7">
    <w:name w:val="Balloon Text"/>
    <w:basedOn w:val="1"/>
    <w:link w:val="26"/>
    <w:semiHidden/>
    <w:unhideWhenUsed/>
    <w:uiPriority w:val="99"/>
    <w:pPr>
      <w:spacing w:line="240" w:lineRule="auto"/>
    </w:pPr>
    <w:rPr>
      <w:sz w:val="18"/>
      <w:szCs w:val="18"/>
    </w:rPr>
  </w:style>
  <w:style w:type="paragraph" w:styleId="8">
    <w:name w:val="footer"/>
    <w:basedOn w:val="1"/>
    <w:link w:val="16"/>
    <w:unhideWhenUsed/>
    <w:uiPriority w:val="99"/>
    <w:pPr>
      <w:tabs>
        <w:tab w:val="center" w:pos="4153"/>
        <w:tab w:val="right" w:pos="8306"/>
      </w:tabs>
      <w:snapToGrid w:val="0"/>
      <w:spacing w:line="240" w:lineRule="auto"/>
      <w:jc w:val="left"/>
    </w:pPr>
    <w:rPr>
      <w:sz w:val="18"/>
      <w:szCs w:val="18"/>
    </w:rPr>
  </w:style>
  <w:style w:type="paragraph" w:styleId="9">
    <w:name w:val="header"/>
    <w:basedOn w:val="1"/>
    <w:link w:val="15"/>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12">
    <w:name w:val="Table Grid"/>
    <w:basedOn w:val="11"/>
    <w:qFormat/>
    <w:uiPriority w:val="59"/>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character" w:customStyle="1" w:styleId="15">
    <w:name w:val="页眉 Char"/>
    <w:basedOn w:val="13"/>
    <w:link w:val="9"/>
    <w:uiPriority w:val="99"/>
    <w:rPr>
      <w:sz w:val="18"/>
      <w:szCs w:val="18"/>
    </w:rPr>
  </w:style>
  <w:style w:type="character" w:customStyle="1" w:styleId="16">
    <w:name w:val="页脚 Char"/>
    <w:basedOn w:val="13"/>
    <w:link w:val="8"/>
    <w:uiPriority w:val="99"/>
    <w:rPr>
      <w:sz w:val="18"/>
      <w:szCs w:val="18"/>
    </w:rPr>
  </w:style>
  <w:style w:type="character" w:customStyle="1" w:styleId="17">
    <w:name w:val="正文文本缩进 Char"/>
    <w:basedOn w:val="13"/>
    <w:link w:val="6"/>
    <w:uiPriority w:val="0"/>
    <w:rPr>
      <w:rFonts w:ascii="宋体" w:hAnsi="Times New Roman" w:eastAsia="宋体" w:cs="Times New Roman"/>
      <w:sz w:val="28"/>
      <w:szCs w:val="20"/>
    </w:rPr>
  </w:style>
  <w:style w:type="paragraph" w:customStyle="1" w:styleId="18">
    <w:name w:val="条文"/>
    <w:basedOn w:val="1"/>
    <w:link w:val="19"/>
    <w:qFormat/>
    <w:uiPriority w:val="0"/>
    <w:pPr>
      <w:spacing w:line="312" w:lineRule="auto"/>
      <w:ind w:firstLine="200" w:firstLineChars="200"/>
      <w:jc w:val="left"/>
      <w:outlineLvl w:val="3"/>
    </w:pPr>
    <w:rPr>
      <w:rFonts w:ascii="宋体" w:hAnsi="宋体" w:eastAsia="宋体" w:cs="Times New Roman"/>
      <w:sz w:val="24"/>
      <w:szCs w:val="24"/>
    </w:rPr>
  </w:style>
  <w:style w:type="character" w:customStyle="1" w:styleId="19">
    <w:name w:val="条文 Char"/>
    <w:basedOn w:val="13"/>
    <w:link w:val="18"/>
    <w:qFormat/>
    <w:uiPriority w:val="0"/>
    <w:rPr>
      <w:rFonts w:ascii="宋体" w:hAnsi="宋体" w:eastAsia="宋体" w:cs="Times New Roman"/>
      <w:sz w:val="24"/>
      <w:szCs w:val="24"/>
    </w:rPr>
  </w:style>
  <w:style w:type="character" w:customStyle="1" w:styleId="20">
    <w:name w:val="标题 1 Char"/>
    <w:basedOn w:val="13"/>
    <w:link w:val="2"/>
    <w:uiPriority w:val="0"/>
    <w:rPr>
      <w:rFonts w:ascii="黑体" w:hAnsi="Times New Roman" w:eastAsia="黑体" w:cs="Times New Roman"/>
      <w:sz w:val="24"/>
      <w:szCs w:val="24"/>
    </w:rPr>
  </w:style>
  <w:style w:type="character" w:customStyle="1" w:styleId="21">
    <w:name w:val="标题 2 Char"/>
    <w:basedOn w:val="13"/>
    <w:link w:val="3"/>
    <w:uiPriority w:val="0"/>
    <w:rPr>
      <w:rFonts w:ascii="Arial" w:hAnsi="Arial" w:eastAsia="宋体" w:cs="Times New Roman"/>
      <w:bCs/>
      <w:kern w:val="0"/>
      <w:sz w:val="24"/>
      <w:szCs w:val="24"/>
    </w:rPr>
  </w:style>
  <w:style w:type="character" w:customStyle="1" w:styleId="22">
    <w:name w:val="标题 4 Char"/>
    <w:basedOn w:val="13"/>
    <w:link w:val="5"/>
    <w:uiPriority w:val="0"/>
    <w:rPr>
      <w:rFonts w:ascii="Arial" w:hAnsi="Arial" w:eastAsia="黑体" w:cs="Times New Roman"/>
      <w:bCs/>
      <w:sz w:val="24"/>
      <w:szCs w:val="28"/>
    </w:rPr>
  </w:style>
  <w:style w:type="paragraph" w:customStyle="1" w:styleId="23">
    <w:name w:val="样式 标题 3 + 左侧:  0 厘米 段前: 5 磅 段后: 5 磅 行距: 单倍行距"/>
    <w:basedOn w:val="4"/>
    <w:next w:val="7"/>
    <w:uiPriority w:val="0"/>
    <w:pPr>
      <w:numPr>
        <w:ilvl w:val="2"/>
        <w:numId w:val="1"/>
      </w:numPr>
      <w:tabs>
        <w:tab w:val="left" w:pos="360"/>
        <w:tab w:val="clear" w:pos="1249"/>
      </w:tabs>
      <w:spacing w:before="100" w:after="100" w:line="240" w:lineRule="auto"/>
      <w:ind w:left="0" w:firstLine="0"/>
      <w:jc w:val="left"/>
    </w:pPr>
    <w:rPr>
      <w:rFonts w:ascii="Times New Roman" w:hAnsi="Times New Roman" w:eastAsia="黑体" w:cs="宋体"/>
      <w:b w:val="0"/>
      <w:bCs w:val="0"/>
      <w:kern w:val="0"/>
      <w:sz w:val="24"/>
      <w:szCs w:val="20"/>
    </w:rPr>
  </w:style>
  <w:style w:type="paragraph" w:customStyle="1" w:styleId="24">
    <w:name w:val="Default"/>
    <w:qFormat/>
    <w:uiPriority w:val="99"/>
    <w:pPr>
      <w:widowControl w:val="0"/>
      <w:autoSpaceDE w:val="0"/>
      <w:autoSpaceDN w:val="0"/>
      <w:adjustRightInd w:val="0"/>
      <w:spacing w:line="240" w:lineRule="auto"/>
    </w:pPr>
    <w:rPr>
      <w:rFonts w:ascii="Times New Roman" w:hAnsi="Times New Roman" w:eastAsia="宋体" w:cs="Times New Roman"/>
      <w:color w:val="000000"/>
      <w:kern w:val="0"/>
      <w:sz w:val="24"/>
      <w:szCs w:val="24"/>
      <w:lang w:val="en-US" w:eastAsia="zh-CN" w:bidi="ar-SA"/>
    </w:rPr>
  </w:style>
  <w:style w:type="character" w:customStyle="1" w:styleId="25">
    <w:name w:val="标题 3 Char"/>
    <w:basedOn w:val="13"/>
    <w:link w:val="4"/>
    <w:semiHidden/>
    <w:uiPriority w:val="9"/>
    <w:rPr>
      <w:b/>
      <w:bCs/>
      <w:sz w:val="32"/>
      <w:szCs w:val="32"/>
    </w:rPr>
  </w:style>
  <w:style w:type="character" w:customStyle="1" w:styleId="26">
    <w:name w:val="批注框文本 Char"/>
    <w:basedOn w:val="13"/>
    <w:link w:val="7"/>
    <w:semiHidden/>
    <w:uiPriority w:val="99"/>
    <w:rPr>
      <w:sz w:val="18"/>
      <w:szCs w:val="18"/>
    </w:rPr>
  </w:style>
  <w:style w:type="character" w:customStyle="1" w:styleId="27">
    <w:name w:val="段 Char"/>
    <w:link w:val="28"/>
    <w:qFormat/>
    <w:uiPriority w:val="0"/>
    <w:rPr>
      <w:rFonts w:ascii="宋体"/>
    </w:rPr>
  </w:style>
  <w:style w:type="paragraph" w:customStyle="1" w:styleId="28">
    <w:name w:val="段"/>
    <w:link w:val="27"/>
    <w:qFormat/>
    <w:uiPriority w:val="0"/>
    <w:pPr>
      <w:autoSpaceDE w:val="0"/>
      <w:autoSpaceDN w:val="0"/>
      <w:spacing w:line="240" w:lineRule="auto"/>
      <w:ind w:firstLine="20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1919</Words>
  <Characters>2067</Characters>
  <Lines>15</Lines>
  <Paragraphs>4</Paragraphs>
  <TotalTime>259</TotalTime>
  <ScaleCrop>false</ScaleCrop>
  <LinksUpToDate>false</LinksUpToDate>
  <CharactersWithSpaces>2161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2025-05-19T01:04:00Z</dcterms:created>
  <dc:creator>sjp</dc:creator>
  <cp:lastModifiedBy>JL</cp:lastModifiedBy>
  <cp:lastPrinted>2024-10-08T07:24:00Z</cp:lastPrinted>
  <dcterms:modified xsi:type="dcterms:W3CDTF">2025-06-04T07:56:29Z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eyJoZGlkIjoiMGJiMzI3NzVmMDNmMGI4NjFmNjkxNzI5YzZlMTA0ZmYifQ==</vt:lpwstr>
  </property>
  <property fmtid="{D5CDD505-2E9C-101B-9397-08002B2CF9AE}" pid="3" name="KSOProductBuildVer">
    <vt:lpwstr>2052-12.1.0.20784</vt:lpwstr>
  </property>
  <property fmtid="{D5CDD505-2E9C-101B-9397-08002B2CF9AE}" pid="4" name="ICV">
    <vt:lpwstr>F6653B9621EB498A89CCBD8B29354599_12</vt:lpwstr>
  </property>
</Properties>
</file>