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4EFDFB">
      <w:pPr>
        <w:keepNext/>
        <w:keepLines/>
        <w:spacing w:before="280" w:after="290" w:line="376" w:lineRule="auto"/>
        <w:outlineLvl w:val="4"/>
        <w:rPr>
          <w:sz w:val="28"/>
          <w:szCs w:val="28"/>
        </w:rPr>
      </w:pPr>
      <w:bookmarkStart w:id="0" w:name="SectionMark1"/>
      <w:bookmarkStart w:id="1" w:name="_Toc388963948"/>
      <w:bookmarkStart w:id="2" w:name="_Toc388963888"/>
      <w:bookmarkStart w:id="3" w:name="_Toc349718154"/>
      <w:bookmarkStart w:id="4" w:name="SectionMark4"/>
      <w:r>
        <w:rPr>
          <w:sz w:val="28"/>
          <w:szCs w:val="28"/>
        </w:rPr>
        <w:drawing>
          <wp:anchor distT="0" distB="0" distL="114300" distR="114300" simplePos="0" relativeHeight="251665408" behindDoc="0" locked="0" layoutInCell="1" allowOverlap="1">
            <wp:simplePos x="0" y="0"/>
            <wp:positionH relativeFrom="column">
              <wp:posOffset>3667125</wp:posOffset>
            </wp:positionH>
            <wp:positionV relativeFrom="paragraph">
              <wp:posOffset>-175260</wp:posOffset>
            </wp:positionV>
            <wp:extent cx="1464945" cy="594360"/>
            <wp:effectExtent l="0" t="0" r="0" b="0"/>
            <wp:wrapNone/>
            <wp:docPr id="141" name="图片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29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1464945" cy="594360"/>
                    </a:xfrm>
                    <a:prstGeom prst="rect">
                      <a:avLst/>
                    </a:prstGeom>
                    <a:noFill/>
                    <a:ln>
                      <a:noFill/>
                    </a:ln>
                  </pic:spPr>
                </pic:pic>
              </a:graphicData>
            </a:graphic>
          </wp:anchor>
        </w:drawing>
      </w:r>
    </w:p>
    <w:p w14:paraId="0072803F">
      <w:pPr>
        <w:spacing w:line="360" w:lineRule="auto"/>
        <w:ind w:right="-289"/>
        <w:rPr>
          <w:sz w:val="48"/>
          <w:szCs w:val="48"/>
        </w:rPr>
      </w:pPr>
      <w:r>
        <mc:AlternateContent>
          <mc:Choice Requires="wps">
            <w:drawing>
              <wp:anchor distT="0" distB="0" distL="114300" distR="114300" simplePos="0" relativeHeight="251659264" behindDoc="1" locked="0" layoutInCell="1" allowOverlap="1">
                <wp:simplePos x="0" y="0"/>
                <wp:positionH relativeFrom="column">
                  <wp:posOffset>-423545</wp:posOffset>
                </wp:positionH>
                <wp:positionV relativeFrom="paragraph">
                  <wp:posOffset>205740</wp:posOffset>
                </wp:positionV>
                <wp:extent cx="6162040" cy="485775"/>
                <wp:effectExtent l="0" t="0" r="10160" b="9525"/>
                <wp:wrapNone/>
                <wp:docPr id="10" name="文本框 298"/>
                <wp:cNvGraphicFramePr/>
                <a:graphic xmlns:a="http://schemas.openxmlformats.org/drawingml/2006/main">
                  <a:graphicData uri="http://schemas.microsoft.com/office/word/2010/wordprocessingShape">
                    <wps:wsp>
                      <wps:cNvSpPr txBox="1">
                        <a:spLocks noChangeArrowheads="1"/>
                      </wps:cNvSpPr>
                      <wps:spPr bwMode="auto">
                        <a:xfrm>
                          <a:off x="0" y="0"/>
                          <a:ext cx="6162040" cy="485775"/>
                        </a:xfrm>
                        <a:prstGeom prst="rect">
                          <a:avLst/>
                        </a:prstGeom>
                        <a:solidFill>
                          <a:srgbClr val="FFFFFF"/>
                        </a:solidFill>
                        <a:ln>
                          <a:noFill/>
                        </a:ln>
                      </wps:spPr>
                      <wps:txbx>
                        <w:txbxContent>
                          <w:p w14:paraId="35590093">
                            <w:pPr>
                              <w:jc w:val="center"/>
                              <w:rPr>
                                <w:rFonts w:hint="eastAsia" w:ascii="方正小标宋简体" w:hAnsi="方正小标宋简体" w:eastAsia="方正小标宋简体" w:cs="方正小标宋简体"/>
                                <w:b/>
                                <w:spacing w:val="23"/>
                                <w:w w:val="110"/>
                                <w:kern w:val="0"/>
                                <w:sz w:val="52"/>
                                <w:szCs w:val="52"/>
                              </w:rPr>
                            </w:pPr>
                            <w:r>
                              <w:rPr>
                                <w:rFonts w:hint="eastAsia" w:ascii="方正小标宋简体" w:hAnsi="方正小标宋简体" w:eastAsia="方正小标宋简体" w:cs="方正小标宋简体"/>
                                <w:b/>
                                <w:spacing w:val="23"/>
                                <w:w w:val="110"/>
                                <w:kern w:val="0"/>
                                <w:sz w:val="52"/>
                                <w:szCs w:val="52"/>
                              </w:rPr>
                              <w:t>中华人民共和国国家计量技术规范</w:t>
                            </w:r>
                          </w:p>
                        </w:txbxContent>
                      </wps:txbx>
                      <wps:bodyPr rot="0" vert="horz" wrap="square" lIns="0" tIns="0" rIns="0" bIns="0" anchor="t" anchorCtr="0" upright="1">
                        <a:noAutofit/>
                      </wps:bodyPr>
                    </wps:wsp>
                  </a:graphicData>
                </a:graphic>
              </wp:anchor>
            </w:drawing>
          </mc:Choice>
          <mc:Fallback>
            <w:pict>
              <v:shape id="文本框 298" o:spid="_x0000_s1026" o:spt="202" type="#_x0000_t202" style="position:absolute;left:0pt;margin-left:-33.35pt;margin-top:16.2pt;height:38.25pt;width:485.2pt;z-index:-251657216;mso-width-relative:page;mso-height-relative:page;" fillcolor="#FFFFFF" filled="t" stroked="f" coordsize="21600,21600" o:gfxdata="UEsDBAoAAAAAAIdO4kAAAAAAAAAAAAAAAAAEAAAAZHJzL1BLAwQUAAAACACHTuJAr5N8rNkAAAAK&#10;AQAADwAAAGRycy9kb3ducmV2LnhtbE2PwU7DMAyG70i8Q2QkLmhLVqCU0nQSG9zGYWPa2WtCW9E4&#10;VZOu29tjTnC0/en39xfLs+vEyQ6h9aRhMVcgLFXetFRr2H++zzIQISIZ7DxZDRcbYFleXxWYGz/R&#10;1p52sRYcQiFHDU2MfS5lqBrrMMx9b4lvX35wGHkcamkGnDjcdTJRKpUOW+IPDfZ21djqezc6Del6&#10;GKctre7W+7cNfvR1cni9HLS+vVmoFxDRnuMfDL/6rA4lOx39SCaITsMsTZ8Y1XCfPIBgIHvMeHFk&#10;UmXPIMtC/q9Q/gBQSwMEFAAAAAgAh07iQB4eHj4kAgAAMQQAAA4AAABkcnMvZTJvRG9jLnhtbK1T&#10;zY7TMBC+I/EOlu80bUW33ajpamlVhLT8SAsP4DpOYpF4zNhtsjwAvMGeuHDnufocjJ20LMtlD+QQ&#10;jT0z38z3zXh51TU1Oyh0GkzGJ6MxZ8pIyLUpM/7p4/bFgjPnhclFDUZl/E45frV6/mzZ2lRNoYI6&#10;V8gIxLi0tRmvvLdpkjhZqUa4EVhlyFkANsLTEcskR9ESelMn0/H4ImkBc4sglXN0u+mdfEDEpwBC&#10;UWipNiD3jTK+R0VVC0+UXKWt46vYbVEo6d8XhVOe1Rknpj7+qQjZu/BPVkuRlihspeXQgnhKC484&#10;NUIbKnqG2ggv2B71P1CNlggOCj+S0CQ9kagIsZiMH2lzWwmrIheS2tmz6O7/wcp3hw/IdE6bQJIY&#10;0dDEj/ffjz9+HX9+Y9PLRVCotS6lwFtLob57BR1FR7bO3oD87JiBdSVMqa4Roa2UyKnDSchMHqT2&#10;OC6A7Nq3kFMlsfcQgboCmyAfCcIInVq5O09HdZ5Jupwt5hfTS3JJ8r1czObzWSwh0lO2RedfK2hY&#10;MDKONP2ILg43zoduRHoKCcUc1Drf6rqOByx36xrZQdCmbOM3oP8VVpsQbCCk9YjhJtIMzHqOvtt1&#10;g2w7yO+IMEK/efTuyKgAv3LW0tZl3H3ZC1Sc1W8MiUbs/MnAk7E7GcJISs2456w3175f5b1FXVaE&#10;3I/FwDUJW+jIOUyg72LokzYpSjFsfVjVh+cY9eelr3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r5N8rNkAAAAKAQAADwAAAAAAAAABACAAAAAiAAAAZHJzL2Rvd25yZXYueG1sUEsBAhQAFAAAAAgA&#10;h07iQB4eHj4kAgAAMQQAAA4AAAAAAAAAAQAgAAAAKAEAAGRycy9lMm9Eb2MueG1sUEsFBgAAAAAG&#10;AAYAWQEAAL4FAAAAAA==&#10;">
                <v:fill on="t" focussize="0,0"/>
                <v:stroke on="f"/>
                <v:imagedata o:title=""/>
                <o:lock v:ext="edit" aspectratio="f"/>
                <v:textbox inset="0mm,0mm,0mm,0mm">
                  <w:txbxContent>
                    <w:p w14:paraId="35590093">
                      <w:pPr>
                        <w:jc w:val="center"/>
                        <w:rPr>
                          <w:rFonts w:hint="eastAsia" w:ascii="方正小标宋简体" w:hAnsi="方正小标宋简体" w:eastAsia="方正小标宋简体" w:cs="方正小标宋简体"/>
                          <w:b/>
                          <w:spacing w:val="23"/>
                          <w:w w:val="110"/>
                          <w:kern w:val="0"/>
                          <w:sz w:val="52"/>
                          <w:szCs w:val="52"/>
                        </w:rPr>
                      </w:pPr>
                      <w:r>
                        <w:rPr>
                          <w:rFonts w:hint="eastAsia" w:ascii="方正小标宋简体" w:hAnsi="方正小标宋简体" w:eastAsia="方正小标宋简体" w:cs="方正小标宋简体"/>
                          <w:b/>
                          <w:spacing w:val="23"/>
                          <w:w w:val="110"/>
                          <w:kern w:val="0"/>
                          <w:sz w:val="52"/>
                          <w:szCs w:val="52"/>
                        </w:rPr>
                        <w:t>中华人民共和国国家计量技术规范</w:t>
                      </w:r>
                    </w:p>
                  </w:txbxContent>
                </v:textbox>
              </v:shape>
            </w:pict>
          </mc:Fallback>
        </mc:AlternateContent>
      </w:r>
    </w:p>
    <w:p w14:paraId="43AEA03E">
      <w:pPr>
        <w:spacing w:line="360" w:lineRule="auto"/>
        <w:ind w:right="-289"/>
        <w:rPr>
          <w:sz w:val="48"/>
          <w:szCs w:val="48"/>
        </w:rPr>
      </w:pPr>
    </w:p>
    <w:p w14:paraId="1D463C93">
      <w:pPr>
        <w:spacing w:line="360" w:lineRule="auto"/>
        <w:ind w:right="-289"/>
        <w:rPr>
          <w:sz w:val="48"/>
          <w:szCs w:val="48"/>
        </w:rPr>
      </w:pPr>
      <w:r>
        <mc:AlternateContent>
          <mc:Choice Requires="wps">
            <w:drawing>
              <wp:anchor distT="0" distB="0" distL="114300" distR="114300" simplePos="0" relativeHeight="251666432" behindDoc="0" locked="0" layoutInCell="1" allowOverlap="1">
                <wp:simplePos x="0" y="0"/>
                <wp:positionH relativeFrom="column">
                  <wp:posOffset>3164205</wp:posOffset>
                </wp:positionH>
                <wp:positionV relativeFrom="paragraph">
                  <wp:posOffset>60960</wp:posOffset>
                </wp:positionV>
                <wp:extent cx="1748790" cy="396240"/>
                <wp:effectExtent l="1905" t="1905" r="1905" b="1905"/>
                <wp:wrapNone/>
                <wp:docPr id="9" name="文本框 299"/>
                <wp:cNvGraphicFramePr/>
                <a:graphic xmlns:a="http://schemas.openxmlformats.org/drawingml/2006/main">
                  <a:graphicData uri="http://schemas.microsoft.com/office/word/2010/wordprocessingShape">
                    <wps:wsp>
                      <wps:cNvSpPr txBox="1">
                        <a:spLocks noChangeArrowheads="1"/>
                      </wps:cNvSpPr>
                      <wps:spPr bwMode="auto">
                        <a:xfrm>
                          <a:off x="0" y="0"/>
                          <a:ext cx="1748790" cy="396240"/>
                        </a:xfrm>
                        <a:prstGeom prst="rect">
                          <a:avLst/>
                        </a:prstGeom>
                        <a:solidFill>
                          <a:srgbClr val="FFFFFF"/>
                        </a:solidFill>
                        <a:ln>
                          <a:noFill/>
                        </a:ln>
                      </wps:spPr>
                      <wps:txbx>
                        <w:txbxContent>
                          <w:p w14:paraId="3803C77F">
                            <w:pPr>
                              <w:jc w:val="center"/>
                              <w:rPr>
                                <w:rFonts w:hint="eastAsia" w:ascii="黑体" w:hAnsi="黑体" w:eastAsia="黑体"/>
                                <w:sz w:val="28"/>
                                <w:szCs w:val="28"/>
                              </w:rPr>
                            </w:pPr>
                            <w:r>
                              <w:rPr>
                                <w:rFonts w:ascii="黑体" w:hAnsi="黑体" w:eastAsia="黑体"/>
                                <w:sz w:val="28"/>
                                <w:szCs w:val="28"/>
                              </w:rPr>
                              <w:t>JJF XXX—XXXX</w:t>
                            </w:r>
                          </w:p>
                        </w:txbxContent>
                      </wps:txbx>
                      <wps:bodyPr rot="0" vert="horz" wrap="square" lIns="0" tIns="0" rIns="0" bIns="0" anchor="t" anchorCtr="0" upright="1">
                        <a:spAutoFit/>
                      </wps:bodyPr>
                    </wps:wsp>
                  </a:graphicData>
                </a:graphic>
              </wp:anchor>
            </w:drawing>
          </mc:Choice>
          <mc:Fallback>
            <w:pict>
              <v:shape id="文本框 299" o:spid="_x0000_s1026" o:spt="202" type="#_x0000_t202" style="position:absolute;left:0pt;margin-left:249.15pt;margin-top:4.8pt;height:31.2pt;width:137.7pt;z-index:251666432;mso-width-relative:page;mso-height-relative:page;" fillcolor="#FFFFFF" filled="t" stroked="f" coordsize="21600,21600" o:gfxdata="UEsDBAoAAAAAAIdO4kAAAAAAAAAAAAAAAAAEAAAAZHJzL1BLAwQUAAAACACHTuJAAa4F+9oAAAAI&#10;AQAADwAAAGRycy9kb3ducmV2LnhtbE2PwU7DMBBE70j8g7VIXBC120RJG+JUqIJDuVSEXri5sRsH&#10;4nUUO235e7YnuM1qRjNvy/XF9exkxtB5lDCfCWAGG687bCXsP14fl8BCVKhV79FI+DEB1tXtTakK&#10;7c/4bk51bBmVYCiUBBvjUHAeGmucCjM/GCTv6EenIp1jy/WozlTuer4QIuNOdUgLVg1mY03zXU9O&#10;wi793NmH6fjy9pwm43Y/bbKvtpby/m4unoBFc4l/YbjiEzpUxHTwE+rAegnpaplQVMIqA0Z+nic5&#10;sAOJhQBelfz/A9UvUEsDBBQAAAAIAIdO4kDVjiv/IgIAADAEAAAOAAAAZHJzL2Uyb0RvYy54bWyt&#10;U82O0zAQviPxDpbvNG1Z7W6jpqulVRHS8iMtPIDjOIlF4jFjt8nyAPAGnLhw57n6HIydpqzKZQ/k&#10;EI3jmW/m++bL8qZvG7ZX6DSYjM8mU86UkVBoU2X808fti2vOnBemEA0YlfEH5fjN6vmzZWdTNYca&#10;mkIhIxDj0s5mvPbepkniZK1a4SZglaHLErAVno5YJQWKjtDbJplPp5dJB1hYBKmco6+b4ZIfEfEp&#10;gFCWWqoNyF2rjB9QUTXCEyVXa+v4Kk5blkr692XplGdNxompj29qQnEe3slqKdIKha21PI4gnjLC&#10;GadWaENNT1Ab4QXbof4HqtUSwUHpJxLaZCASFSEWs+mZNve1sCpyIamdPYnu/h+sfLf/gEwXGV9w&#10;ZkRLCz/8+H74+fvw6xubLxZBoM66lPLuLWX6/hX0ZJtI1tk7kJ8dM7CuhanULSJ0tRIFDTgLlcmj&#10;0gHHBZC8ewsFdRI7DxGoL7EN6pEejNBpOQ+n5ajeMxlaXl1cXy3oStLdy8Xl/CJuLxHpWG3R+dcK&#10;WhaCjCMtP6KL/Z3zYRqRjimhmYNGF1vdNPGAVb5ukO0FGWUbn0jgLK0xIdlAKBsQw5dIMzAbOPo+&#10;74+y5VA8EGGEwXj021FQA37lrCPTZdx92QlUnDVvDIkWHDoGOAb5GAgjqTTjnrMhXPvByTuLuqoJ&#10;eVzLLQm71ZFz2MAwxXFOMlKU4mj64NTH55j190df/Q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B&#10;rgX72gAAAAgBAAAPAAAAAAAAAAEAIAAAACIAAABkcnMvZG93bnJldi54bWxQSwECFAAUAAAACACH&#10;TuJA1Y4r/yICAAAwBAAADgAAAAAAAAABACAAAAApAQAAZHJzL2Uyb0RvYy54bWxQSwUGAAAAAAYA&#10;BgBZAQAAvQUAAAAA&#10;">
                <v:fill on="t" focussize="0,0"/>
                <v:stroke on="f"/>
                <v:imagedata o:title=""/>
                <o:lock v:ext="edit" aspectratio="f"/>
                <v:textbox inset="0mm,0mm,0mm,0mm" style="mso-fit-shape-to-text:t;">
                  <w:txbxContent>
                    <w:p w14:paraId="3803C77F">
                      <w:pPr>
                        <w:jc w:val="center"/>
                        <w:rPr>
                          <w:rFonts w:hint="eastAsia" w:ascii="黑体" w:hAnsi="黑体" w:eastAsia="黑体"/>
                          <w:sz w:val="28"/>
                          <w:szCs w:val="28"/>
                        </w:rPr>
                      </w:pPr>
                      <w:r>
                        <w:rPr>
                          <w:rFonts w:ascii="黑体" w:hAnsi="黑体" w:eastAsia="黑体"/>
                          <w:sz w:val="28"/>
                          <w:szCs w:val="28"/>
                        </w:rPr>
                        <w:t>JJF XXX—XXXX</w:t>
                      </w:r>
                    </w:p>
                  </w:txbxContent>
                </v:textbox>
              </v:shape>
            </w:pict>
          </mc:Fallback>
        </mc:AlternateContent>
      </w:r>
    </w:p>
    <w:p w14:paraId="2A8E8E5F">
      <w:pPr>
        <w:spacing w:line="360" w:lineRule="auto"/>
        <w:jc w:val="center"/>
        <w:rPr>
          <w:sz w:val="36"/>
        </w:rPr>
      </w:pPr>
      <w:r>
        <w:rPr>
          <w:sz w:val="48"/>
          <w:szCs w:val="48"/>
        </w:rPr>
        <mc:AlternateContent>
          <mc:Choice Requires="wps">
            <w:drawing>
              <wp:anchor distT="0" distB="0" distL="114300" distR="114300" simplePos="0" relativeHeight="251662336" behindDoc="0" locked="0" layoutInCell="1" allowOverlap="1">
                <wp:simplePos x="0" y="0"/>
                <wp:positionH relativeFrom="column">
                  <wp:posOffset>-333375</wp:posOffset>
                </wp:positionH>
                <wp:positionV relativeFrom="paragraph">
                  <wp:posOffset>300990</wp:posOffset>
                </wp:positionV>
                <wp:extent cx="5786120" cy="10160"/>
                <wp:effectExtent l="9525" t="9525" r="14605" b="8890"/>
                <wp:wrapNone/>
                <wp:docPr id="8" name="自选图形 292"/>
                <wp:cNvGraphicFramePr/>
                <a:graphic xmlns:a="http://schemas.openxmlformats.org/drawingml/2006/main">
                  <a:graphicData uri="http://schemas.microsoft.com/office/word/2010/wordprocessingShape">
                    <wps:wsp>
                      <wps:cNvCnPr>
                        <a:cxnSpLocks noChangeShapeType="1"/>
                      </wps:cNvCnPr>
                      <wps:spPr bwMode="auto">
                        <a:xfrm>
                          <a:off x="0" y="0"/>
                          <a:ext cx="5786120" cy="10160"/>
                        </a:xfrm>
                        <a:prstGeom prst="straightConnector1">
                          <a:avLst/>
                        </a:prstGeom>
                        <a:noFill/>
                        <a:ln w="12700">
                          <a:solidFill>
                            <a:srgbClr val="000000"/>
                          </a:solidFill>
                          <a:round/>
                        </a:ln>
                      </wps:spPr>
                      <wps:bodyPr/>
                    </wps:wsp>
                  </a:graphicData>
                </a:graphic>
              </wp:anchor>
            </w:drawing>
          </mc:Choice>
          <mc:Fallback>
            <w:pict>
              <v:shape id="自选图形 292" o:spid="_x0000_s1026" o:spt="32" type="#_x0000_t32" style="position:absolute;left:0pt;margin-left:-26.25pt;margin-top:23.7pt;height:0.8pt;width:455.6pt;z-index:251662336;mso-width-relative:page;mso-height-relative:page;" filled="f" stroked="t" coordsize="21600,21600" o:gfxdata="UEsDBAoAAAAAAIdO4kAAAAAAAAAAAAAAAAAEAAAAZHJzL1BLAwQUAAAACACHTuJAbtlQx9YAAAAJ&#10;AQAADwAAAGRycy9kb3ducmV2LnhtbE2PwU7DMAyG70i8Q2QkbluyqVlLaToJJM4THRdubuM1FU1S&#10;Ndla3p5wgqPtT7+/vzqudmQ3msPgnYLdVgAj13k9uF7Bx/ltUwALEZ3G0TtS8E0BjvX9XYWl9ot7&#10;p1sTe5ZCXChRgYlxKjkPnSGLYesncul28bPFmMa553rGJYXbke+FOHCLg0sfDE70aqj7aq5WQZ7p&#10;T4+HF9nK5XSOdDFNcVqVenzYiWdgkdb4B8OvflKHOjm1/up0YKOCjdzLhCrI8gxYAgpZ5MDatHgS&#10;wOuK/29Q/wBQSwMEFAAAAAgAh07iQLIdh0/yAQAAvAMAAA4AAABkcnMvZTJvRG9jLnhtbK1TS44T&#10;MRDdI3EHy3vSH4nM0EpnFomGzQCRZjiA43Z3W7hdlstJJzt2iDOwY8kd4DYjwS0oOx+GYTMLemG5&#10;XFWv6r2qnl3tBsO2yqMGW/NiknOmrIRG267m7++uX1xyhkHYRhiwquZ7hfxq/vzZbHSVKqEH0yjP&#10;CMRiNbqa9yG4KstQ9moQOAGnLDlb8IMIZPoua7wYCX0wWZnn02wE3zgPUiHS6/Lg5EdE/xRAaFst&#10;1RLkZlA2HFC9MiIQJey1Qz5P3batkuFd26IKzNScmIZ0UhG6r+OZzWei6rxwvZbHFsRTWnjEaRDa&#10;UtEz1FIEwTZe/wM1aOkBoQ0TCUN2IJIUIRZF/kib2144lbiQ1OjOouP/g5VvtyvPdFNzGrsVAw38&#10;56dvvz5+vv/y4/77V1a+KqNGo8OKQhd25SNLubO37gbkB2QWFr2wnUq93u0dARQxI/srJRroqNJ6&#10;fAMNxYhNgCTYrvVDhCQp2C7NZX+ei9oFJunx5cXltChpZJJ8RV5M09wyUZ2SncfwWsHA4qXmGLzQ&#10;XR8WYC1tAPgilRLbGwyxNVGdEmJlC9famLQIxrKRKpQXeZ4yEIxuojfGoe/WC+PZVsRdSl8iSp6H&#10;YR42tjlUMfaoQ6R+EHENzX7lT/rQUFM7xwWMW/PQTtl/frr5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G7ZUMfWAAAACQEAAA8AAAAAAAAAAQAgAAAAIgAAAGRycy9kb3ducmV2LnhtbFBLAQIUABQA&#10;AAAIAIdO4kCyHYdP8gEAALwDAAAOAAAAAAAAAAEAIAAAACUBAABkcnMvZTJvRG9jLnhtbFBLBQYA&#10;AAAABgAGAFkBAACJBQAAAAA=&#10;">
                <v:fill on="f" focussize="0,0"/>
                <v:stroke weight="1pt" color="#000000" joinstyle="round"/>
                <v:imagedata o:title=""/>
                <o:lock v:ext="edit" aspectratio="f"/>
              </v:shape>
            </w:pict>
          </mc:Fallback>
        </mc:AlternateContent>
      </w:r>
    </w:p>
    <w:p w14:paraId="39F8AA7A">
      <w:pPr>
        <w:spacing w:line="360" w:lineRule="auto"/>
        <w:jc w:val="center"/>
        <w:rPr>
          <w:sz w:val="36"/>
        </w:rPr>
      </w:pPr>
    </w:p>
    <w:p w14:paraId="13B0ED9A">
      <w:pPr>
        <w:spacing w:line="360" w:lineRule="auto"/>
        <w:rPr>
          <w:rFonts w:eastAsia="黑体"/>
          <w:sz w:val="48"/>
        </w:rPr>
      </w:pPr>
      <w:r>
        <w:rPr>
          <w:sz w:val="36"/>
        </w:rPr>
        <mc:AlternateContent>
          <mc:Choice Requires="wps">
            <w:drawing>
              <wp:anchor distT="0" distB="0" distL="114300" distR="114300" simplePos="0" relativeHeight="251663360" behindDoc="0" locked="0" layoutInCell="1" allowOverlap="1">
                <wp:simplePos x="0" y="0"/>
                <wp:positionH relativeFrom="column">
                  <wp:posOffset>-440055</wp:posOffset>
                </wp:positionH>
                <wp:positionV relativeFrom="paragraph">
                  <wp:posOffset>373380</wp:posOffset>
                </wp:positionV>
                <wp:extent cx="6401435" cy="706120"/>
                <wp:effectExtent l="0" t="0" r="1270" b="635"/>
                <wp:wrapNone/>
                <wp:docPr id="7" name="文本框 293"/>
                <wp:cNvGraphicFramePr/>
                <a:graphic xmlns:a="http://schemas.openxmlformats.org/drawingml/2006/main">
                  <a:graphicData uri="http://schemas.microsoft.com/office/word/2010/wordprocessingShape">
                    <wps:wsp>
                      <wps:cNvSpPr txBox="1">
                        <a:spLocks noChangeArrowheads="1"/>
                      </wps:cNvSpPr>
                      <wps:spPr bwMode="auto">
                        <a:xfrm>
                          <a:off x="0" y="0"/>
                          <a:ext cx="6401435" cy="706120"/>
                        </a:xfrm>
                        <a:prstGeom prst="rect">
                          <a:avLst/>
                        </a:prstGeom>
                        <a:solidFill>
                          <a:srgbClr val="FFFFFF"/>
                        </a:solidFill>
                        <a:ln>
                          <a:noFill/>
                        </a:ln>
                        <a:effectLst/>
                      </wps:spPr>
                      <wps:txbx>
                        <w:txbxContent>
                          <w:p w14:paraId="6BDEE938">
                            <w:pPr>
                              <w:tabs>
                                <w:tab w:val="left" w:pos="6000"/>
                              </w:tabs>
                              <w:spacing w:line="560" w:lineRule="exact"/>
                              <w:jc w:val="center"/>
                              <w:rPr>
                                <w:rFonts w:eastAsia="黑体"/>
                              </w:rPr>
                            </w:pPr>
                            <w:r>
                              <w:rPr>
                                <w:rFonts w:hint="eastAsia" w:eastAsia="黑体"/>
                                <w:sz w:val="52"/>
                              </w:rPr>
                              <w:t>船载水声探测系统噪声原位校准规范</w:t>
                            </w:r>
                          </w:p>
                        </w:txbxContent>
                      </wps:txbx>
                      <wps:bodyPr rot="0" vert="horz" wrap="square" lIns="0" tIns="0" rIns="0" bIns="0" anchor="t" anchorCtr="0" upright="1">
                        <a:noAutofit/>
                      </wps:bodyPr>
                    </wps:wsp>
                  </a:graphicData>
                </a:graphic>
              </wp:anchor>
            </w:drawing>
          </mc:Choice>
          <mc:Fallback>
            <w:pict>
              <v:shape id="文本框 293" o:spid="_x0000_s1026" o:spt="202" type="#_x0000_t202" style="position:absolute;left:0pt;margin-left:-34.65pt;margin-top:29.4pt;height:55.6pt;width:504.05pt;z-index:251663360;mso-width-relative:page;mso-height-relative:page;" fillcolor="#FFFFFF" filled="t" stroked="f" coordsize="21600,21600" o:gfxdata="UEsDBAoAAAAAAIdO4kAAAAAAAAAAAAAAAAAEAAAAZHJzL1BLAwQUAAAACACHTuJA9pvbvtgAAAAK&#10;AQAADwAAAGRycy9kb3ducmV2LnhtbE2PwW7CMAyG75P2DpEn7TJBAmgdlKZIg+22HWCIs2mztqJx&#10;qiSl8PYzp3Gz5U+/vz9bXWwrzsaHxpGGyViBMFS4sqFKw/7nczQHESJSia0jo+FqAqzyx4cM09IN&#10;tDXnXawEh1BIUUMdY5dKGYraWAxj1xni26/zFiOvvpKlx4HDbSunSiXSYkP8ocbOrGtTnHa91ZBs&#10;fD9saf2y2X984XdXTQ/v14PWz08TtQQRzSX+w3DTZ3XI2enoeiqDaDWMksWMUQ2vc67AwGJ2G45M&#10;vikFMs/kfYX8D1BLAwQUAAAACACHTuJAdHFOfSkCAAA+BAAADgAAAGRycy9lMm9Eb2MueG1srVPN&#10;jtMwEL4j8Q6W7zRpd+lC1HS1tCpCWn6khQdwHKexSDxm7DZZHgDegBMX7jxXn4Oxk5ZVueyBHKKx&#10;Pf5mvm8+L677tmF7hU6Dyfl0knKmjIRSm23OP33cPHvBmfPClKIBo3J+rxy/Xj59suhspmZQQ1Mq&#10;ZARiXNbZnNfe2yxJnKxVK9wErDJ0WAG2wtMSt0mJoiP0tklmaTpPOsDSIkjlHO2uh0M+IuJjAKGq&#10;tFRrkLtWGT+gomqEJ0qu1tbxZey2qpT076vKKc+anBNTH/9UhOIi/JPlQmRbFLbWcmxBPKaFM06t&#10;0IaKnqDWwgu2Q/0PVKslgoPKTyS0yUAkKkIspumZNne1sCpyIamdPYnu/h+sfLf/gEyXOb/izIiW&#10;Bn748f3w8/fh1zc2e3kRBOqsyyjvzlKm719BT7aJZJ29BfnZMQOrWpitukGErlaipAan4Wby4OqA&#10;4wJI0b2FkiqJnYcI1FfYBvVID0boNJz703BU75mkzfllOr28eM6ZpLOrdD6dxeklIjvetuj8awUt&#10;C0HOkYYf0cX+1vnQjciOKaGYg0aXG900cYHbYtUg2wsyyiZ+kcBZWmNCsoFwbUAcdlS02lgmkA48&#10;B8a+L/pRxALKe6KPMNiQHiEFNeBXzjqyYM7dl51AxVnzxpCEwa/HAI9BcQyEkXQ1556zIVz5wdc7&#10;i3pbE/IwJAM3JHOlowKhtaGLcThkqyjM+ASCbx+uY9bfZ7/8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Pab277YAAAACgEAAA8AAAAAAAAAAQAgAAAAIgAAAGRycy9kb3ducmV2LnhtbFBLAQIUABQA&#10;AAAIAIdO4kB0cU59KQIAAD4EAAAOAAAAAAAAAAEAIAAAACcBAABkcnMvZTJvRG9jLnhtbFBLBQYA&#10;AAAABgAGAFkBAADCBQAAAAA=&#10;">
                <v:fill on="t" focussize="0,0"/>
                <v:stroke on="f"/>
                <v:imagedata o:title=""/>
                <o:lock v:ext="edit" aspectratio="f"/>
                <v:textbox inset="0mm,0mm,0mm,0mm">
                  <w:txbxContent>
                    <w:p w14:paraId="6BDEE938">
                      <w:pPr>
                        <w:tabs>
                          <w:tab w:val="left" w:pos="6000"/>
                        </w:tabs>
                        <w:spacing w:line="560" w:lineRule="exact"/>
                        <w:jc w:val="center"/>
                        <w:rPr>
                          <w:rFonts w:eastAsia="黑体"/>
                        </w:rPr>
                      </w:pPr>
                      <w:r>
                        <w:rPr>
                          <w:rFonts w:hint="eastAsia" w:eastAsia="黑体"/>
                          <w:sz w:val="52"/>
                        </w:rPr>
                        <w:t>船载水声探测系统噪声原位校准规范</w:t>
                      </w:r>
                    </w:p>
                  </w:txbxContent>
                </v:textbox>
              </v:shape>
            </w:pict>
          </mc:Fallback>
        </mc:AlternateContent>
      </w:r>
    </w:p>
    <w:p w14:paraId="0597FA46">
      <w:pPr>
        <w:spacing w:line="360" w:lineRule="auto"/>
        <w:jc w:val="center"/>
        <w:rPr>
          <w:rFonts w:eastAsia="黑体"/>
          <w:sz w:val="48"/>
        </w:rPr>
      </w:pPr>
      <w:r>
        <w:rPr>
          <w:rFonts w:eastAsia="黑体"/>
          <w:sz w:val="48"/>
        </w:rPr>
        <w:t xml:space="preserve"> </w:t>
      </w:r>
      <w:bookmarkStart w:id="157" w:name="_GoBack"/>
      <w:bookmarkEnd w:id="157"/>
    </w:p>
    <w:p w14:paraId="3269144A">
      <w:pPr>
        <w:spacing w:line="360" w:lineRule="auto"/>
        <w:jc w:val="center"/>
        <w:rPr>
          <w:sz w:val="28"/>
          <w:szCs w:val="28"/>
        </w:rPr>
      </w:pPr>
    </w:p>
    <w:p w14:paraId="043C31F4">
      <w:pPr>
        <w:spacing w:line="360" w:lineRule="auto"/>
        <w:jc w:val="center"/>
        <w:rPr>
          <w:sz w:val="24"/>
        </w:rPr>
      </w:pPr>
      <w:r>
        <w:rPr>
          <w:sz w:val="28"/>
          <w:szCs w:val="28"/>
        </w:rPr>
        <mc:AlternateContent>
          <mc:Choice Requires="wps">
            <w:drawing>
              <wp:anchor distT="0" distB="0" distL="114300" distR="114300" simplePos="0" relativeHeight="251664384" behindDoc="0" locked="0" layoutInCell="1" allowOverlap="1">
                <wp:simplePos x="0" y="0"/>
                <wp:positionH relativeFrom="column">
                  <wp:posOffset>-516890</wp:posOffset>
                </wp:positionH>
                <wp:positionV relativeFrom="paragraph">
                  <wp:posOffset>29845</wp:posOffset>
                </wp:positionV>
                <wp:extent cx="6293485" cy="768350"/>
                <wp:effectExtent l="0" t="0" r="0" b="0"/>
                <wp:wrapNone/>
                <wp:docPr id="6" name="文本框 294"/>
                <wp:cNvGraphicFramePr/>
                <a:graphic xmlns:a="http://schemas.openxmlformats.org/drawingml/2006/main">
                  <a:graphicData uri="http://schemas.microsoft.com/office/word/2010/wordprocessingShape">
                    <wps:wsp>
                      <wps:cNvSpPr txBox="1">
                        <a:spLocks noChangeArrowheads="1"/>
                      </wps:cNvSpPr>
                      <wps:spPr bwMode="auto">
                        <a:xfrm>
                          <a:off x="0" y="0"/>
                          <a:ext cx="6293485" cy="768350"/>
                        </a:xfrm>
                        <a:prstGeom prst="rect">
                          <a:avLst/>
                        </a:prstGeom>
                        <a:solidFill>
                          <a:srgbClr val="FFFFFF"/>
                        </a:solidFill>
                        <a:ln>
                          <a:noFill/>
                        </a:ln>
                        <a:effectLst/>
                      </wps:spPr>
                      <wps:txbx>
                        <w:txbxContent>
                          <w:p w14:paraId="36E372F9">
                            <w:pPr>
                              <w:pStyle w:val="14"/>
                              <w:spacing w:before="0" w:beforeAutospacing="0" w:after="0" w:afterAutospacing="0" w:line="450" w:lineRule="atLeast"/>
                              <w:jc w:val="center"/>
                              <w:rPr>
                                <w:rFonts w:ascii="Times New Roman" w:hAnsi="Times New Roman"/>
                                <w:szCs w:val="28"/>
                              </w:rPr>
                            </w:pPr>
                            <w:r>
                              <w:rPr>
                                <w:rFonts w:ascii="Times New Roman" w:hAnsi="Times New Roman" w:eastAsia="黑体"/>
                                <w:b/>
                                <w:bCs/>
                                <w:w w:val="90"/>
                                <w:sz w:val="28"/>
                                <w:szCs w:val="28"/>
                              </w:rPr>
                              <w:t>Specification for in-situ calibration of noise in shipborne acoustic detection systems</w:t>
                            </w:r>
                          </w:p>
                        </w:txbxContent>
                      </wps:txbx>
                      <wps:bodyPr rot="0" vert="horz" wrap="square" lIns="0" tIns="0" rIns="0" bIns="0" anchor="t" anchorCtr="0" upright="1">
                        <a:noAutofit/>
                      </wps:bodyPr>
                    </wps:wsp>
                  </a:graphicData>
                </a:graphic>
              </wp:anchor>
            </w:drawing>
          </mc:Choice>
          <mc:Fallback>
            <w:pict>
              <v:shape id="文本框 294" o:spid="_x0000_s1026" o:spt="202" type="#_x0000_t202" style="position:absolute;left:0pt;margin-left:-40.7pt;margin-top:2.35pt;height:60.5pt;width:495.55pt;z-index:251664384;mso-width-relative:page;mso-height-relative:page;" fillcolor="#FFFFFF" filled="t" stroked="f" coordsize="21600,21600" o:gfxdata="UEsDBAoAAAAAAIdO4kAAAAAAAAAAAAAAAAAEAAAAZHJzL1BLAwQUAAAACACHTuJAMnlal9kAAAAJ&#10;AQAADwAAAGRycy9kb3ducmV2LnhtbE2PTU/DMAyG70j8h8hIXNCWtBr7KE0nscENDhvTzl4T2orG&#10;qZp03f495jRutt5Hrx/n64trxdn2ofGkIZkqEJZKbxqqNBy+3idLECEiGWw9WQ1XG2Bd3N/lmBk/&#10;0s6e97ESXEIhQw11jF0mZShr6zBMfWeJs2/fO4y89pU0PY5c7lqZKjWXDhviCzV2dlPb8mc/OA3z&#10;bT+MO9o8bQ9vH/jZVenx9XrU+vEhUS8gor3EGwx/+qwOBTud/EAmiFbDZJnMGNUwW4DgfKVWPJwY&#10;TJ8XIItc/v+g+AVQSwMEFAAAAAgAh07iQMoQHj0qAgAAPgQAAA4AAABkcnMvZTJvRG9jLnhtbK1T&#10;zY7TMBC+I/EOlu80bXe3dKOmq6VVEdLyIy08gOM4jUXiMWO3yfIA8AacuHDnufocjJ20rMplD+QQ&#10;je3xN/N983lx0zU12yt0GkzGJ6MxZ8pIKLTZZvzTx82LOWfOC1OIGozK+INy/Gb5/NmitamaQgV1&#10;oZARiHFpazNeeW/TJHGyUo1wI7DK0GEJ2AhPS9wmBYqW0Js6mY7Hs6QFLCyCVM7R7ro/5AMiPgUQ&#10;ylJLtQa5a5TxPSqqWnii5CptHV/GbstSSf++LJ3yrM44MfXxT0UozsM/WS5EukVhKy2HFsRTWjjj&#10;1AhtqOgJai28YDvU/0A1WiI4KP1IQpP0RKIixGIyPtPmvhJWRS4ktbMn0d3/g5Xv9h+Q6SLjM86M&#10;aGjghx/fDz9/H359Y9PryyBQa11KefeWMn33CjqyTSTr7B3Iz44ZWFXCbNUtIrSVEgU1OAk3k0dX&#10;exwXQPL2LRRUSew8RKCuxCaoR3owQqfhPJyGozrPJG3OptcXl/MrziSdvZzNL67i9BKRHm9bdP61&#10;goaFIONIw4/oYn/nfOhGpMeUUMxBrYuNruu4wG2+qpHtBRllE79I4CytNiHZQLjWI/Y7KlptKBNI&#10;B549Y9/l3SBiDsUD0UfobUiPkIIK8CtnLVkw4+7LTqDirH5jSMLg12OAxyA/BsJIuppxz1kfrnzv&#10;651Fva0IuR+SgVuSudRRgdBa38UwHLJVFGZ4AsG3j9cx6++zX/4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Mnlal9kAAAAJAQAADwAAAAAAAAABACAAAAAiAAAAZHJzL2Rvd25yZXYueG1sUEsBAhQA&#10;FAAAAAgAh07iQMoQHj0qAgAAPgQAAA4AAAAAAAAAAQAgAAAAKAEAAGRycy9lMm9Eb2MueG1sUEsF&#10;BgAAAAAGAAYAWQEAAMQFAAAAAA==&#10;">
                <v:fill on="t" focussize="0,0"/>
                <v:stroke on="f"/>
                <v:imagedata o:title=""/>
                <o:lock v:ext="edit" aspectratio="f"/>
                <v:textbox inset="0mm,0mm,0mm,0mm">
                  <w:txbxContent>
                    <w:p w14:paraId="36E372F9">
                      <w:pPr>
                        <w:pStyle w:val="14"/>
                        <w:spacing w:before="0" w:beforeAutospacing="0" w:after="0" w:afterAutospacing="0" w:line="450" w:lineRule="atLeast"/>
                        <w:jc w:val="center"/>
                        <w:rPr>
                          <w:rFonts w:ascii="Times New Roman" w:hAnsi="Times New Roman"/>
                          <w:szCs w:val="28"/>
                        </w:rPr>
                      </w:pPr>
                      <w:r>
                        <w:rPr>
                          <w:rFonts w:ascii="Times New Roman" w:hAnsi="Times New Roman" w:eastAsia="黑体"/>
                          <w:b/>
                          <w:bCs/>
                          <w:w w:val="90"/>
                          <w:sz w:val="28"/>
                          <w:szCs w:val="28"/>
                        </w:rPr>
                        <w:t>Specification for in-situ calibration of noise in shipborne acoustic detection systems</w:t>
                      </w:r>
                    </w:p>
                  </w:txbxContent>
                </v:textbox>
              </v:shape>
            </w:pict>
          </mc:Fallback>
        </mc:AlternateContent>
      </w:r>
    </w:p>
    <w:p w14:paraId="145513AB">
      <w:pPr>
        <w:spacing w:line="360" w:lineRule="auto"/>
        <w:jc w:val="center"/>
        <w:rPr>
          <w:sz w:val="24"/>
        </w:rPr>
      </w:pPr>
    </w:p>
    <w:p w14:paraId="1EE0392D">
      <w:pPr>
        <w:spacing w:line="360" w:lineRule="auto"/>
        <w:rPr>
          <w:sz w:val="24"/>
        </w:rPr>
      </w:pPr>
    </w:p>
    <w:p w14:paraId="1AFE33B7">
      <w:pPr>
        <w:spacing w:line="360" w:lineRule="auto"/>
        <w:rPr>
          <w:sz w:val="24"/>
        </w:rPr>
      </w:pPr>
    </w:p>
    <w:p w14:paraId="2512A815">
      <w:pPr>
        <w:spacing w:line="360" w:lineRule="auto"/>
        <w:jc w:val="center"/>
        <w:rPr>
          <w:sz w:val="24"/>
        </w:rPr>
      </w:pPr>
      <w:r>
        <w:rPr>
          <w:sz w:val="24"/>
        </w:rPr>
        <w:t>（</w:t>
      </w:r>
      <w:r>
        <w:rPr>
          <w:rFonts w:hint="eastAsia"/>
          <w:sz w:val="24"/>
        </w:rPr>
        <w:t>征求意见稿</w:t>
      </w:r>
      <w:r>
        <w:rPr>
          <w:sz w:val="24"/>
        </w:rPr>
        <w:t>）</w:t>
      </w:r>
    </w:p>
    <w:p w14:paraId="57C6F4BC">
      <w:pPr>
        <w:spacing w:line="360" w:lineRule="auto"/>
        <w:jc w:val="center"/>
        <w:rPr>
          <w:sz w:val="24"/>
        </w:rPr>
      </w:pPr>
    </w:p>
    <w:p w14:paraId="06A7B89A">
      <w:pPr>
        <w:spacing w:line="360" w:lineRule="auto"/>
        <w:jc w:val="center"/>
        <w:rPr>
          <w:sz w:val="24"/>
        </w:rPr>
      </w:pPr>
    </w:p>
    <w:p w14:paraId="6B61996D">
      <w:pPr>
        <w:spacing w:line="360" w:lineRule="auto"/>
        <w:jc w:val="center"/>
        <w:rPr>
          <w:sz w:val="24"/>
        </w:rPr>
      </w:pPr>
    </w:p>
    <w:p w14:paraId="1A47CE41">
      <w:pPr>
        <w:spacing w:line="360" w:lineRule="auto"/>
        <w:jc w:val="center"/>
        <w:rPr>
          <w:sz w:val="24"/>
        </w:rPr>
      </w:pPr>
    </w:p>
    <w:p w14:paraId="4FC05D91">
      <w:pPr>
        <w:spacing w:line="360" w:lineRule="auto"/>
        <w:jc w:val="center"/>
        <w:rPr>
          <w:sz w:val="24"/>
        </w:rPr>
      </w:pPr>
    </w:p>
    <w:p w14:paraId="21D2683B">
      <w:pPr>
        <w:jc w:val="center"/>
        <w:rPr>
          <w:rFonts w:eastAsia="黑体"/>
          <w:spacing w:val="40"/>
          <w:sz w:val="28"/>
          <w:szCs w:val="28"/>
        </w:rPr>
      </w:pPr>
    </w:p>
    <w:p w14:paraId="1FF57022">
      <w:pPr>
        <w:jc w:val="both"/>
        <w:rPr>
          <w:rFonts w:eastAsia="黑体"/>
          <w:spacing w:val="40"/>
          <w:sz w:val="28"/>
          <w:szCs w:val="28"/>
        </w:rPr>
      </w:pPr>
    </w:p>
    <w:p w14:paraId="25DB93E2">
      <w:pPr>
        <w:jc w:val="center"/>
        <w:rPr>
          <w:spacing w:val="40"/>
          <w:sz w:val="24"/>
        </w:rPr>
      </w:pPr>
      <w:r>
        <w:rPr>
          <w:rFonts w:eastAsia="黑体"/>
          <w:spacing w:val="40"/>
          <w:sz w:val="28"/>
          <w:szCs w:val="28"/>
        </w:rPr>
        <w:t>XXXX-XX-XX发布       XXXX-XX-XX 实施</w:t>
      </w:r>
    </w:p>
    <w:p w14:paraId="73C4FC2C">
      <w:pPr>
        <w:spacing w:line="620" w:lineRule="exact"/>
        <w:jc w:val="center"/>
        <w:rPr>
          <w:spacing w:val="100"/>
          <w:sz w:val="44"/>
        </w:rPr>
      </w:pPr>
      <w:r>
        <w:rPr>
          <w:spacing w:val="20"/>
          <w:w w:val="90"/>
          <w:sz w:val="44"/>
        </w:rPr>
        <mc:AlternateContent>
          <mc:Choice Requires="wps">
            <w:drawing>
              <wp:anchor distT="0" distB="0" distL="114300" distR="114300" simplePos="0" relativeHeight="251661312" behindDoc="0" locked="0" layoutInCell="0" allowOverlap="1">
                <wp:simplePos x="0" y="0"/>
                <wp:positionH relativeFrom="column">
                  <wp:posOffset>-333375</wp:posOffset>
                </wp:positionH>
                <wp:positionV relativeFrom="paragraph">
                  <wp:posOffset>169545</wp:posOffset>
                </wp:positionV>
                <wp:extent cx="5939790" cy="0"/>
                <wp:effectExtent l="19050" t="19050" r="13335" b="19050"/>
                <wp:wrapNone/>
                <wp:docPr id="5" name="直线 287"/>
                <wp:cNvGraphicFramePr/>
                <a:graphic xmlns:a="http://schemas.openxmlformats.org/drawingml/2006/main">
                  <a:graphicData uri="http://schemas.microsoft.com/office/word/2010/wordprocessingShape">
                    <wps:wsp>
                      <wps:cNvCnPr>
                        <a:cxnSpLocks noChangeShapeType="1"/>
                      </wps:cNvCnPr>
                      <wps:spPr bwMode="auto">
                        <a:xfrm flipV="1">
                          <a:off x="0" y="0"/>
                          <a:ext cx="5939790" cy="0"/>
                        </a:xfrm>
                        <a:prstGeom prst="line">
                          <a:avLst/>
                        </a:prstGeom>
                        <a:noFill/>
                        <a:ln w="25400">
                          <a:solidFill>
                            <a:srgbClr val="000000"/>
                          </a:solidFill>
                          <a:round/>
                        </a:ln>
                      </wps:spPr>
                      <wps:bodyPr/>
                    </wps:wsp>
                  </a:graphicData>
                </a:graphic>
              </wp:anchor>
            </w:drawing>
          </mc:Choice>
          <mc:Fallback>
            <w:pict>
              <v:line id="直线 287" o:spid="_x0000_s1026" o:spt="20" style="position:absolute;left:0pt;flip:y;margin-left:-26.25pt;margin-top:13.35pt;height:0pt;width:467.7pt;z-index:251661312;mso-width-relative:page;mso-height-relative:page;" filled="f" stroked="t" coordsize="21600,21600" o:allowincell="f" o:gfxdata="UEsDBAoAAAAAAIdO4kAAAAAAAAAAAAAAAAAEAAAAZHJzL1BLAwQUAAAACACHTuJATNnnFdYAAAAJ&#10;AQAADwAAAGRycy9kb3ducmV2LnhtbE2PwU7DMAyG70i8Q2Qkblu6iI3SNd0BCTgyxrhnjdeGNU6V&#10;pGvh6QniMI62P/3+/nIz2Y6d0QfjSMJingFDqp021EjYvz/NcmAhKtKqc4QSvjDAprq+KlWh3Uhv&#10;eN7FhqUQCoWS0MbYF5yHukWrwtz1SOl2dN6qmEbfcO3VmMJtx0WWrbhVhtKHVvX42GJ92g1Wwul7&#10;O77sX4e7IOIH4fbZTP7TSHl7s8jWwCJO8QLDr35Shyo5HdxAOrBOwmwplgmVIFb3wBKQ5+IB2OFv&#10;wauS/29Q/QBQSwMEFAAAAAgAh07iQHJwyzXgAQAArgMAAA4AAABkcnMvZTJvRG9jLnhtbK1TsW7b&#10;MBDdC/QfCO61ZLduYsFyBhvpkrYGknanKUoiSvIIHm3Z39Lf6NSln5PfyJF2nDRdMlQDQfLuvbv3&#10;jppf7a1hOxVQg6v5eFRyppyERruu5t/urt9dcoZRuEYYcKrmB4X8avH2zXzwlZpAD6ZRgRGJw2rw&#10;Ne9j9FVRoOyVFTgCrxwFWwhWRDqGrmiCGIjdmmJSlh+LAULjA0iFSLerY5CfGMNrCKFttVQrkFur&#10;XDyyBmVEJEnYa498kbttWyXj17ZFFZmpOSmNeaUitN+ktVjMRdUF4XstTy2I17TwQpMV2lHRM9VK&#10;RMG2Qf9DZbUMgNDGkQRbHIVkR0jFuHzhzW0vvMpayGr0Z9Px/9HKL7t1YLqp+ZQzJywN/P7nr/vf&#10;f9jk8iK5M3isKGnp1iHpk3t3629A/kDmYNkL16nc5d3BE3ScEMVfkHRATzU2w2doKEdsI2Sr9m2w&#10;rDXaf0/ARE52sH2ezeE8G7WPTNLldPZ+djGjscnHWCGqRJGAPmD8pMCytKm50S7ZJiqxu8GYWnpK&#10;SdcOrrUxefTGsaHmk+mHsswIBKObFE15GLrN0gS2E+n15C8LpMjztABb1xyrGHfSnyQfzdtAc1iH&#10;R19ojLmd05NL7+T5OaOffrPF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EzZ5xXWAAAACQEAAA8A&#10;AAAAAAAAAQAgAAAAIgAAAGRycy9kb3ducmV2LnhtbFBLAQIUABQAAAAIAIdO4kBycMs14AEAAK4D&#10;AAAOAAAAAAAAAAEAIAAAACUBAABkcnMvZTJvRG9jLnhtbFBLBQYAAAAABgAGAFkBAAB3BQAAAAA=&#10;">
                <v:fill on="f" focussize="0,0"/>
                <v:stroke weight="2pt" color="#000000" joinstyle="round"/>
                <v:imagedata o:title=""/>
                <o:lock v:ext="edit" aspectratio="f"/>
              </v:line>
            </w:pict>
          </mc:Fallback>
        </mc:AlternateContent>
      </w:r>
    </w:p>
    <w:p w14:paraId="670B113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spacing w:val="100"/>
          <w:sz w:val="44"/>
        </w:rPr>
      </w:pPr>
      <w:r>
        <w:rPr>
          <w:rFonts w:hint="eastAsia" w:ascii="方正小标宋简体" w:hAnsi="方正小标宋简体" w:eastAsia="方正小标宋简体" w:cs="方正小标宋简体"/>
          <w:spacing w:val="100"/>
          <w:sz w:val="44"/>
        </w:rPr>
        <w:t>国家市场监督管理总局</w:t>
      </w:r>
      <w:r>
        <w:rPr>
          <w:w w:val="40"/>
          <w:sz w:val="44"/>
        </w:rPr>
        <w:t xml:space="preserve"> </w:t>
      </w:r>
      <w:r>
        <w:rPr>
          <w:rFonts w:eastAsia="黑体"/>
          <w:w w:val="90"/>
          <w:sz w:val="28"/>
          <w:szCs w:val="28"/>
        </w:rPr>
        <w:t xml:space="preserve">发 布 </w:t>
      </w:r>
    </w:p>
    <w:p w14:paraId="2EA0D7FB">
      <w:pPr>
        <w:spacing w:line="1000" w:lineRule="exact"/>
        <w:jc w:val="center"/>
        <w:rPr>
          <w:rFonts w:eastAsia="黑体"/>
          <w:w w:val="90"/>
        </w:rPr>
        <w:sectPr>
          <w:headerReference r:id="rId4" w:type="first"/>
          <w:headerReference r:id="rId3" w:type="even"/>
          <w:footerReference r:id="rId5" w:type="even"/>
          <w:pgSz w:w="11906" w:h="16838"/>
          <w:pgMar w:top="1440" w:right="1800" w:bottom="1440" w:left="1800" w:header="851" w:footer="992" w:gutter="0"/>
          <w:pgNumType w:start="1"/>
          <w:cols w:space="720" w:num="1"/>
          <w:docGrid w:type="lines" w:linePitch="312" w:charSpace="0"/>
        </w:sectPr>
      </w:pPr>
    </w:p>
    <w:p w14:paraId="6B8A7FF6">
      <w:pPr>
        <w:spacing w:line="360" w:lineRule="auto"/>
        <w:rPr>
          <w:rFonts w:eastAsia="黑体"/>
          <w:sz w:val="44"/>
        </w:rPr>
      </w:pPr>
    </w:p>
    <w:p w14:paraId="3B5C0105">
      <w:pPr>
        <w:tabs>
          <w:tab w:val="left" w:pos="6000"/>
        </w:tabs>
        <w:spacing w:line="560" w:lineRule="exact"/>
        <w:ind w:firstLine="440" w:firstLineChars="100"/>
        <w:jc w:val="left"/>
        <w:rPr>
          <w:rFonts w:eastAsia="黑体"/>
          <w:sz w:val="44"/>
          <w:szCs w:val="44"/>
        </w:rPr>
      </w:pPr>
      <w:r>
        <w:rPr>
          <w:rFonts w:eastAsia="黑体"/>
          <w:sz w:val="44"/>
          <w:szCs w:val="44"/>
        </w:rPr>
        <mc:AlternateContent>
          <mc:Choice Requires="wps">
            <w:drawing>
              <wp:anchor distT="0" distB="0" distL="114300" distR="114300" simplePos="0" relativeHeight="251667456" behindDoc="0" locked="0" layoutInCell="1" allowOverlap="1">
                <wp:simplePos x="0" y="0"/>
                <wp:positionH relativeFrom="column">
                  <wp:posOffset>3922395</wp:posOffset>
                </wp:positionH>
                <wp:positionV relativeFrom="paragraph">
                  <wp:posOffset>236220</wp:posOffset>
                </wp:positionV>
                <wp:extent cx="1981200" cy="931545"/>
                <wp:effectExtent l="31750" t="37465" r="34925" b="31115"/>
                <wp:wrapNone/>
                <wp:docPr id="4" name="Rectangle 11"/>
                <wp:cNvGraphicFramePr/>
                <a:graphic xmlns:a="http://schemas.openxmlformats.org/drawingml/2006/main">
                  <a:graphicData uri="http://schemas.microsoft.com/office/word/2010/wordprocessingShape">
                    <wps:wsp>
                      <wps:cNvSpPr>
                        <a:spLocks noChangeArrowheads="1"/>
                      </wps:cNvSpPr>
                      <wps:spPr bwMode="auto">
                        <a:xfrm>
                          <a:off x="0" y="0"/>
                          <a:ext cx="1981200" cy="931545"/>
                        </a:xfrm>
                        <a:prstGeom prst="rect">
                          <a:avLst/>
                        </a:prstGeom>
                        <a:solidFill>
                          <a:srgbClr val="FFFFFF"/>
                        </a:solidFill>
                        <a:ln w="57150" cap="rnd">
                          <a:solidFill>
                            <a:srgbClr val="000000"/>
                          </a:solidFill>
                          <a:prstDash val="sysDot"/>
                          <a:miter lim="800000"/>
                        </a:ln>
                      </wps:spPr>
                      <wps:txbx>
                        <w:txbxContent>
                          <w:p w14:paraId="0C9B2B34">
                            <w:pPr>
                              <w:pStyle w:val="3"/>
                              <w:jc w:val="center"/>
                              <w:rPr>
                                <w:rFonts w:hint="eastAsia" w:ascii="黑体" w:hAnsi="黑体"/>
                                <w:b w:val="0"/>
                                <w:bCs w:val="0"/>
                              </w:rPr>
                            </w:pPr>
                            <w:bookmarkStart w:id="131" w:name="_Toc199420191"/>
                            <w:bookmarkStart w:id="132" w:name="_Toc200290535"/>
                            <w:bookmarkStart w:id="133" w:name="_Toc151407237"/>
                            <w:bookmarkStart w:id="134" w:name="_Toc200234299"/>
                            <w:bookmarkStart w:id="135" w:name="_Toc88913382"/>
                            <w:bookmarkStart w:id="136" w:name="_Toc526840786"/>
                            <w:bookmarkStart w:id="137" w:name="_Toc3793603"/>
                            <w:bookmarkStart w:id="138" w:name="_Toc4687718"/>
                            <w:bookmarkStart w:id="139" w:name="_Toc151407011"/>
                            <w:r>
                              <w:rPr>
                                <w:rFonts w:hint="eastAsia" w:ascii="黑体" w:hAnsi="黑体"/>
                                <w:b w:val="0"/>
                                <w:bCs w:val="0"/>
                              </w:rPr>
                              <w:t xml:space="preserve">JJF </w:t>
                            </w:r>
                            <w:r>
                              <w:rPr>
                                <w:rFonts w:ascii="黑体" w:hAnsi="黑体"/>
                                <w:b w:val="0"/>
                                <w:bCs w:val="0"/>
                                <w:sz w:val="30"/>
                                <w:szCs w:val="30"/>
                              </w:rPr>
                              <w:t>X</w:t>
                            </w:r>
                            <w:r>
                              <w:rPr>
                                <w:rFonts w:hint="eastAsia" w:ascii="黑体" w:hAnsi="黑体"/>
                                <w:b w:val="0"/>
                                <w:bCs w:val="0"/>
                                <w:sz w:val="30"/>
                                <w:szCs w:val="30"/>
                              </w:rPr>
                              <w:t>X</w:t>
                            </w:r>
                            <w:r>
                              <w:rPr>
                                <w:rFonts w:ascii="黑体" w:hAnsi="黑体"/>
                                <w:b w:val="0"/>
                                <w:bCs w:val="0"/>
                                <w:sz w:val="30"/>
                                <w:szCs w:val="30"/>
                              </w:rPr>
                              <w:t>X</w:t>
                            </w:r>
                            <w:r>
                              <w:rPr>
                                <w:rFonts w:ascii="黑体" w:hAnsi="黑体"/>
                                <w:b w:val="0"/>
                                <w:bCs w:val="0"/>
                              </w:rPr>
                              <w:t>—</w:t>
                            </w:r>
                            <w:r>
                              <w:rPr>
                                <w:rFonts w:hint="eastAsia" w:ascii="黑体" w:hAnsi="黑体"/>
                                <w:b w:val="0"/>
                                <w:bCs w:val="0"/>
                                <w:sz w:val="30"/>
                                <w:szCs w:val="30"/>
                              </w:rPr>
                              <w:t>X</w:t>
                            </w:r>
                            <w:r>
                              <w:rPr>
                                <w:rFonts w:ascii="黑体" w:hAnsi="黑体"/>
                                <w:b w:val="0"/>
                                <w:bCs w:val="0"/>
                                <w:sz w:val="30"/>
                                <w:szCs w:val="30"/>
                              </w:rPr>
                              <w:t>X</w:t>
                            </w:r>
                            <w:r>
                              <w:rPr>
                                <w:rFonts w:hint="eastAsia" w:ascii="黑体" w:hAnsi="黑体"/>
                                <w:b w:val="0"/>
                                <w:bCs w:val="0"/>
                                <w:sz w:val="30"/>
                                <w:szCs w:val="30"/>
                              </w:rPr>
                              <w:t>X</w:t>
                            </w:r>
                            <w:r>
                              <w:rPr>
                                <w:rFonts w:ascii="黑体" w:hAnsi="黑体"/>
                                <w:b w:val="0"/>
                                <w:bCs w:val="0"/>
                                <w:sz w:val="30"/>
                                <w:szCs w:val="30"/>
                              </w:rPr>
                              <w:t>X</w:t>
                            </w:r>
                            <w:bookmarkEnd w:id="131"/>
                            <w:bookmarkEnd w:id="132"/>
                          </w:p>
                          <w:p w14:paraId="37D50EFB">
                            <w:r>
                              <w:rPr>
                                <w:rFonts w:hint="eastAsia"/>
                                <w:b/>
                                <w:bCs/>
                                <w:sz w:val="30"/>
                              </w:rPr>
                              <w:t>代替JJF1033-2001</w:t>
                            </w:r>
                          </w:p>
                          <w:p w14:paraId="03AC89A8"/>
                          <w:p w14:paraId="0D2996AD">
                            <w:pPr>
                              <w:pStyle w:val="3"/>
                              <w:rPr>
                                <w:rFonts w:ascii="Times New Roman" w:hAnsi="Times New Roman"/>
                                <w:b w:val="0"/>
                                <w:bCs w:val="0"/>
                              </w:rPr>
                            </w:pPr>
                            <w:bookmarkStart w:id="140" w:name="_Toc200290536"/>
                            <w:bookmarkStart w:id="141" w:name="_Toc199420192"/>
                            <w:r>
                              <w:rPr>
                                <w:rFonts w:hint="eastAsia"/>
                                <w:b w:val="0"/>
                                <w:bCs w:val="0"/>
                              </w:rPr>
                              <w:t xml:space="preserve">JJF </w:t>
                            </w:r>
                            <w:r>
                              <w:rPr>
                                <w:rFonts w:ascii="Times New Roman" w:hAnsi="Times New Roman"/>
                                <w:b w:val="0"/>
                                <w:bCs w:val="0"/>
                                <w:sz w:val="30"/>
                                <w:szCs w:val="30"/>
                              </w:rPr>
                              <w:t>X</w:t>
                            </w:r>
                            <w:r>
                              <w:rPr>
                                <w:rFonts w:hint="eastAsia" w:ascii="Times New Roman" w:hAnsi="Times New Roman"/>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hint="eastAsia" w:ascii="Times New Roman" w:hAnsi="Times New Roman"/>
                                <w:b w:val="0"/>
                                <w:bCs w:val="0"/>
                                <w:sz w:val="30"/>
                                <w:szCs w:val="30"/>
                              </w:rPr>
                              <w:t>X</w:t>
                            </w:r>
                            <w:r>
                              <w:rPr>
                                <w:rFonts w:ascii="Times New Roman" w:hAnsi="Times New Roman"/>
                                <w:b w:val="0"/>
                                <w:bCs w:val="0"/>
                                <w:sz w:val="30"/>
                                <w:szCs w:val="30"/>
                              </w:rPr>
                              <w:t>X</w:t>
                            </w:r>
                            <w:r>
                              <w:rPr>
                                <w:rFonts w:hint="eastAsia" w:ascii="Times New Roman" w:hAnsi="Times New Roman"/>
                                <w:b w:val="0"/>
                                <w:bCs w:val="0"/>
                                <w:sz w:val="30"/>
                                <w:szCs w:val="30"/>
                              </w:rPr>
                              <w:t>X</w:t>
                            </w:r>
                            <w:r>
                              <w:rPr>
                                <w:rFonts w:ascii="Times New Roman" w:hAnsi="Times New Roman"/>
                                <w:b w:val="0"/>
                                <w:bCs w:val="0"/>
                                <w:sz w:val="30"/>
                                <w:szCs w:val="30"/>
                              </w:rPr>
                              <w:t>X</w:t>
                            </w:r>
                            <w:bookmarkEnd w:id="140"/>
                            <w:bookmarkEnd w:id="141"/>
                          </w:p>
                          <w:p w14:paraId="0F861782">
                            <w:r>
                              <w:rPr>
                                <w:rFonts w:hint="eastAsia"/>
                                <w:b/>
                                <w:bCs/>
                                <w:sz w:val="30"/>
                              </w:rPr>
                              <w:t>代替JJF1033-2001</w:t>
                            </w:r>
                          </w:p>
                          <w:p w14:paraId="26409398"/>
                          <w:p w14:paraId="166AFEFF">
                            <w:pPr>
                              <w:pStyle w:val="3"/>
                              <w:rPr>
                                <w:rFonts w:ascii="Times New Roman" w:hAnsi="Times New Roman"/>
                                <w:b w:val="0"/>
                                <w:bCs w:val="0"/>
                              </w:rPr>
                            </w:pPr>
                            <w:bookmarkStart w:id="142" w:name="_Toc200290537"/>
                            <w:r>
                              <w:rPr>
                                <w:rFonts w:hint="eastAsia"/>
                                <w:b w:val="0"/>
                                <w:bCs w:val="0"/>
                              </w:rPr>
                              <w:t xml:space="preserve">JJF </w:t>
                            </w:r>
                            <w:r>
                              <w:rPr>
                                <w:rFonts w:ascii="Times New Roman" w:hAnsi="Times New Roman"/>
                                <w:b w:val="0"/>
                                <w:bCs w:val="0"/>
                                <w:sz w:val="30"/>
                                <w:szCs w:val="30"/>
                              </w:rPr>
                              <w:t>X</w:t>
                            </w:r>
                            <w:r>
                              <w:rPr>
                                <w:rFonts w:hint="eastAsia" w:ascii="Times New Roman" w:hAnsi="Times New Roman"/>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hint="eastAsia" w:ascii="Times New Roman" w:hAnsi="Times New Roman"/>
                                <w:b w:val="0"/>
                                <w:bCs w:val="0"/>
                                <w:sz w:val="30"/>
                                <w:szCs w:val="30"/>
                              </w:rPr>
                              <w:t>X</w:t>
                            </w:r>
                            <w:r>
                              <w:rPr>
                                <w:rFonts w:ascii="Times New Roman" w:hAnsi="Times New Roman"/>
                                <w:b w:val="0"/>
                                <w:bCs w:val="0"/>
                                <w:sz w:val="30"/>
                                <w:szCs w:val="30"/>
                              </w:rPr>
                              <w:t>X</w:t>
                            </w:r>
                            <w:r>
                              <w:rPr>
                                <w:rFonts w:hint="eastAsia" w:ascii="Times New Roman" w:hAnsi="Times New Roman"/>
                                <w:b w:val="0"/>
                                <w:bCs w:val="0"/>
                                <w:sz w:val="30"/>
                                <w:szCs w:val="30"/>
                              </w:rPr>
                              <w:t>X</w:t>
                            </w:r>
                            <w:r>
                              <w:rPr>
                                <w:rFonts w:ascii="Times New Roman" w:hAnsi="Times New Roman"/>
                                <w:b w:val="0"/>
                                <w:bCs w:val="0"/>
                                <w:sz w:val="30"/>
                                <w:szCs w:val="30"/>
                              </w:rPr>
                              <w:t>X</w:t>
                            </w:r>
                            <w:bookmarkEnd w:id="142"/>
                          </w:p>
                          <w:p w14:paraId="21C528C6">
                            <w:r>
                              <w:rPr>
                                <w:rFonts w:hint="eastAsia"/>
                                <w:b/>
                                <w:bCs/>
                                <w:sz w:val="30"/>
                              </w:rPr>
                              <w:t>代替JJF1033-2001</w:t>
                            </w:r>
                          </w:p>
                          <w:p w14:paraId="23B9E6E2"/>
                          <w:p w14:paraId="2DDB335C">
                            <w:pPr>
                              <w:pStyle w:val="3"/>
                              <w:rPr>
                                <w:rFonts w:ascii="Times New Roman" w:hAnsi="Times New Roman"/>
                                <w:b w:val="0"/>
                                <w:bCs w:val="0"/>
                              </w:rPr>
                            </w:pPr>
                            <w:bookmarkStart w:id="143" w:name="_Toc200290538"/>
                            <w:r>
                              <w:rPr>
                                <w:rFonts w:hint="eastAsia"/>
                                <w:b w:val="0"/>
                                <w:bCs w:val="0"/>
                              </w:rPr>
                              <w:t xml:space="preserve">JJF </w:t>
                            </w:r>
                            <w:r>
                              <w:rPr>
                                <w:rFonts w:ascii="Times New Roman" w:hAnsi="Times New Roman"/>
                                <w:b w:val="0"/>
                                <w:bCs w:val="0"/>
                                <w:sz w:val="30"/>
                                <w:szCs w:val="30"/>
                              </w:rPr>
                              <w:t>X</w:t>
                            </w:r>
                            <w:r>
                              <w:rPr>
                                <w:rFonts w:hint="eastAsia" w:ascii="Times New Roman" w:hAnsi="Times New Roman"/>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hint="eastAsia" w:ascii="Times New Roman" w:hAnsi="Times New Roman"/>
                                <w:b w:val="0"/>
                                <w:bCs w:val="0"/>
                                <w:sz w:val="30"/>
                                <w:szCs w:val="30"/>
                              </w:rPr>
                              <w:t>X</w:t>
                            </w:r>
                            <w:r>
                              <w:rPr>
                                <w:rFonts w:ascii="Times New Roman" w:hAnsi="Times New Roman"/>
                                <w:b w:val="0"/>
                                <w:bCs w:val="0"/>
                                <w:sz w:val="30"/>
                                <w:szCs w:val="30"/>
                              </w:rPr>
                              <w:t>X</w:t>
                            </w:r>
                            <w:r>
                              <w:rPr>
                                <w:rFonts w:hint="eastAsia" w:ascii="Times New Roman" w:hAnsi="Times New Roman"/>
                                <w:b w:val="0"/>
                                <w:bCs w:val="0"/>
                                <w:sz w:val="30"/>
                                <w:szCs w:val="30"/>
                              </w:rPr>
                              <w:t>X</w:t>
                            </w:r>
                            <w:r>
                              <w:rPr>
                                <w:rFonts w:ascii="Times New Roman" w:hAnsi="Times New Roman"/>
                                <w:b w:val="0"/>
                                <w:bCs w:val="0"/>
                                <w:sz w:val="30"/>
                                <w:szCs w:val="30"/>
                              </w:rPr>
                              <w:t>X</w:t>
                            </w:r>
                            <w:bookmarkEnd w:id="143"/>
                          </w:p>
                          <w:p w14:paraId="4D4E204C">
                            <w:r>
                              <w:rPr>
                                <w:rFonts w:hint="eastAsia"/>
                                <w:b/>
                                <w:bCs/>
                                <w:sz w:val="30"/>
                              </w:rPr>
                              <w:t>代替JJF1033-2001</w:t>
                            </w:r>
                          </w:p>
                          <w:p w14:paraId="4939CF36"/>
                          <w:p w14:paraId="49CF2F05">
                            <w:pPr>
                              <w:pStyle w:val="3"/>
                              <w:rPr>
                                <w:rFonts w:ascii="Times New Roman" w:hAnsi="Times New Roman"/>
                                <w:b w:val="0"/>
                                <w:bCs w:val="0"/>
                              </w:rPr>
                            </w:pPr>
                            <w:bookmarkStart w:id="144" w:name="_Toc200290539"/>
                            <w:r>
                              <w:rPr>
                                <w:rFonts w:hint="eastAsia"/>
                                <w:b w:val="0"/>
                                <w:bCs w:val="0"/>
                              </w:rPr>
                              <w:t xml:space="preserve">JJF </w:t>
                            </w:r>
                            <w:r>
                              <w:rPr>
                                <w:rFonts w:ascii="Times New Roman" w:hAnsi="Times New Roman"/>
                                <w:b w:val="0"/>
                                <w:bCs w:val="0"/>
                                <w:sz w:val="30"/>
                                <w:szCs w:val="30"/>
                              </w:rPr>
                              <w:t>X</w:t>
                            </w:r>
                            <w:r>
                              <w:rPr>
                                <w:rFonts w:hint="eastAsia" w:ascii="Times New Roman" w:hAnsi="Times New Roman"/>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hint="eastAsia" w:ascii="Times New Roman" w:hAnsi="Times New Roman"/>
                                <w:b w:val="0"/>
                                <w:bCs w:val="0"/>
                                <w:sz w:val="30"/>
                                <w:szCs w:val="30"/>
                              </w:rPr>
                              <w:t>X</w:t>
                            </w:r>
                            <w:r>
                              <w:rPr>
                                <w:rFonts w:ascii="Times New Roman" w:hAnsi="Times New Roman"/>
                                <w:b w:val="0"/>
                                <w:bCs w:val="0"/>
                                <w:sz w:val="30"/>
                                <w:szCs w:val="30"/>
                              </w:rPr>
                              <w:t>X</w:t>
                            </w:r>
                            <w:r>
                              <w:rPr>
                                <w:rFonts w:hint="eastAsia" w:ascii="Times New Roman" w:hAnsi="Times New Roman"/>
                                <w:b w:val="0"/>
                                <w:bCs w:val="0"/>
                                <w:sz w:val="30"/>
                                <w:szCs w:val="30"/>
                              </w:rPr>
                              <w:t>X</w:t>
                            </w:r>
                            <w:r>
                              <w:rPr>
                                <w:rFonts w:ascii="Times New Roman" w:hAnsi="Times New Roman"/>
                                <w:b w:val="0"/>
                                <w:bCs w:val="0"/>
                                <w:sz w:val="30"/>
                                <w:szCs w:val="30"/>
                              </w:rPr>
                              <w:t>X</w:t>
                            </w:r>
                            <w:bookmarkEnd w:id="144"/>
                          </w:p>
                          <w:p w14:paraId="2C4BBBF1">
                            <w:r>
                              <w:rPr>
                                <w:rFonts w:hint="eastAsia"/>
                                <w:b/>
                                <w:bCs/>
                                <w:sz w:val="30"/>
                              </w:rPr>
                              <w:t>代替JJF1033-2001</w:t>
                            </w:r>
                          </w:p>
                          <w:p w14:paraId="7075E051"/>
                          <w:p w14:paraId="752B8679">
                            <w:pPr>
                              <w:pStyle w:val="3"/>
                              <w:rPr>
                                <w:rFonts w:ascii="Times New Roman" w:hAnsi="Times New Roman"/>
                                <w:b w:val="0"/>
                                <w:bCs w:val="0"/>
                              </w:rPr>
                            </w:pPr>
                            <w:bookmarkStart w:id="145" w:name="_Toc200290540"/>
                            <w:r>
                              <w:rPr>
                                <w:rFonts w:hint="eastAsia"/>
                                <w:b w:val="0"/>
                                <w:bCs w:val="0"/>
                              </w:rPr>
                              <w:t xml:space="preserve">JJF </w:t>
                            </w:r>
                            <w:r>
                              <w:rPr>
                                <w:rFonts w:ascii="Times New Roman" w:hAnsi="Times New Roman"/>
                                <w:b w:val="0"/>
                                <w:bCs w:val="0"/>
                                <w:sz w:val="30"/>
                                <w:szCs w:val="30"/>
                              </w:rPr>
                              <w:t>X</w:t>
                            </w:r>
                            <w:r>
                              <w:rPr>
                                <w:rFonts w:hint="eastAsia" w:ascii="Times New Roman" w:hAnsi="Times New Roman"/>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hint="eastAsia" w:ascii="Times New Roman" w:hAnsi="Times New Roman"/>
                                <w:b w:val="0"/>
                                <w:bCs w:val="0"/>
                                <w:sz w:val="30"/>
                                <w:szCs w:val="30"/>
                              </w:rPr>
                              <w:t>X</w:t>
                            </w:r>
                            <w:r>
                              <w:rPr>
                                <w:rFonts w:ascii="Times New Roman" w:hAnsi="Times New Roman"/>
                                <w:b w:val="0"/>
                                <w:bCs w:val="0"/>
                                <w:sz w:val="30"/>
                                <w:szCs w:val="30"/>
                              </w:rPr>
                              <w:t>X</w:t>
                            </w:r>
                            <w:r>
                              <w:rPr>
                                <w:rFonts w:hint="eastAsia" w:ascii="Times New Roman" w:hAnsi="Times New Roman"/>
                                <w:b w:val="0"/>
                                <w:bCs w:val="0"/>
                                <w:sz w:val="30"/>
                                <w:szCs w:val="30"/>
                              </w:rPr>
                              <w:t>X</w:t>
                            </w:r>
                            <w:r>
                              <w:rPr>
                                <w:rFonts w:ascii="Times New Roman" w:hAnsi="Times New Roman"/>
                                <w:b w:val="0"/>
                                <w:bCs w:val="0"/>
                                <w:sz w:val="30"/>
                                <w:szCs w:val="30"/>
                              </w:rPr>
                              <w:t>X</w:t>
                            </w:r>
                            <w:bookmarkEnd w:id="145"/>
                          </w:p>
                          <w:p w14:paraId="21D2C453">
                            <w:r>
                              <w:rPr>
                                <w:rFonts w:hint="eastAsia"/>
                                <w:b/>
                                <w:bCs/>
                                <w:sz w:val="30"/>
                              </w:rPr>
                              <w:t>代替JJF1033-2001</w:t>
                            </w:r>
                          </w:p>
                          <w:p w14:paraId="2DC25B14"/>
                          <w:p w14:paraId="142CC737">
                            <w:pPr>
                              <w:pStyle w:val="3"/>
                              <w:rPr>
                                <w:rFonts w:ascii="Times New Roman" w:hAnsi="Times New Roman"/>
                                <w:b w:val="0"/>
                                <w:bCs w:val="0"/>
                              </w:rPr>
                            </w:pPr>
                            <w:bookmarkStart w:id="146" w:name="_Toc200290541"/>
                            <w:r>
                              <w:rPr>
                                <w:rFonts w:hint="eastAsia"/>
                                <w:b w:val="0"/>
                                <w:bCs w:val="0"/>
                              </w:rPr>
                              <w:t xml:space="preserve">JJF </w:t>
                            </w:r>
                            <w:r>
                              <w:rPr>
                                <w:rFonts w:ascii="Times New Roman" w:hAnsi="Times New Roman"/>
                                <w:b w:val="0"/>
                                <w:bCs w:val="0"/>
                                <w:sz w:val="30"/>
                                <w:szCs w:val="30"/>
                              </w:rPr>
                              <w:t>X</w:t>
                            </w:r>
                            <w:r>
                              <w:rPr>
                                <w:rFonts w:hint="eastAsia" w:ascii="Times New Roman" w:hAnsi="Times New Roman"/>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hint="eastAsia" w:ascii="Times New Roman" w:hAnsi="Times New Roman"/>
                                <w:b w:val="0"/>
                                <w:bCs w:val="0"/>
                                <w:sz w:val="30"/>
                                <w:szCs w:val="30"/>
                              </w:rPr>
                              <w:t>X</w:t>
                            </w:r>
                            <w:r>
                              <w:rPr>
                                <w:rFonts w:ascii="Times New Roman" w:hAnsi="Times New Roman"/>
                                <w:b w:val="0"/>
                                <w:bCs w:val="0"/>
                                <w:sz w:val="30"/>
                                <w:szCs w:val="30"/>
                              </w:rPr>
                              <w:t>X</w:t>
                            </w:r>
                            <w:r>
                              <w:rPr>
                                <w:rFonts w:hint="eastAsia" w:ascii="Times New Roman" w:hAnsi="Times New Roman"/>
                                <w:b w:val="0"/>
                                <w:bCs w:val="0"/>
                                <w:sz w:val="30"/>
                                <w:szCs w:val="30"/>
                              </w:rPr>
                              <w:t>X</w:t>
                            </w:r>
                            <w:r>
                              <w:rPr>
                                <w:rFonts w:ascii="Times New Roman" w:hAnsi="Times New Roman"/>
                                <w:b w:val="0"/>
                                <w:bCs w:val="0"/>
                                <w:sz w:val="30"/>
                                <w:szCs w:val="30"/>
                              </w:rPr>
                              <w:t>X</w:t>
                            </w:r>
                            <w:bookmarkEnd w:id="146"/>
                          </w:p>
                          <w:p w14:paraId="14E33E42">
                            <w:r>
                              <w:rPr>
                                <w:rFonts w:hint="eastAsia"/>
                                <w:b/>
                                <w:bCs/>
                                <w:sz w:val="30"/>
                              </w:rPr>
                              <w:t>代替JJF1033-2001</w:t>
                            </w:r>
                          </w:p>
                          <w:p w14:paraId="6CD82312"/>
                          <w:p w14:paraId="3AC6531D">
                            <w:pPr>
                              <w:pStyle w:val="3"/>
                              <w:rPr>
                                <w:rFonts w:ascii="Times New Roman" w:hAnsi="Times New Roman"/>
                                <w:b w:val="0"/>
                                <w:bCs w:val="0"/>
                              </w:rPr>
                            </w:pPr>
                            <w:bookmarkStart w:id="147" w:name="_Toc200290542"/>
                            <w:r>
                              <w:rPr>
                                <w:rFonts w:hint="eastAsia"/>
                                <w:b w:val="0"/>
                                <w:bCs w:val="0"/>
                              </w:rPr>
                              <w:t xml:space="preserve">JJF </w:t>
                            </w:r>
                            <w:r>
                              <w:rPr>
                                <w:rFonts w:ascii="Times New Roman" w:hAnsi="Times New Roman"/>
                                <w:b w:val="0"/>
                                <w:bCs w:val="0"/>
                                <w:sz w:val="30"/>
                                <w:szCs w:val="30"/>
                              </w:rPr>
                              <w:t>X</w:t>
                            </w:r>
                            <w:r>
                              <w:rPr>
                                <w:rFonts w:hint="eastAsia" w:ascii="Times New Roman" w:hAnsi="Times New Roman"/>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hint="eastAsia" w:ascii="Times New Roman" w:hAnsi="Times New Roman"/>
                                <w:b w:val="0"/>
                                <w:bCs w:val="0"/>
                                <w:sz w:val="30"/>
                                <w:szCs w:val="30"/>
                              </w:rPr>
                              <w:t>X</w:t>
                            </w:r>
                            <w:r>
                              <w:rPr>
                                <w:rFonts w:ascii="Times New Roman" w:hAnsi="Times New Roman"/>
                                <w:b w:val="0"/>
                                <w:bCs w:val="0"/>
                                <w:sz w:val="30"/>
                                <w:szCs w:val="30"/>
                              </w:rPr>
                              <w:t>X</w:t>
                            </w:r>
                            <w:r>
                              <w:rPr>
                                <w:rFonts w:hint="eastAsia" w:ascii="Times New Roman" w:hAnsi="Times New Roman"/>
                                <w:b w:val="0"/>
                                <w:bCs w:val="0"/>
                                <w:sz w:val="30"/>
                                <w:szCs w:val="30"/>
                              </w:rPr>
                              <w:t>X</w:t>
                            </w:r>
                            <w:r>
                              <w:rPr>
                                <w:rFonts w:ascii="Times New Roman" w:hAnsi="Times New Roman"/>
                                <w:b w:val="0"/>
                                <w:bCs w:val="0"/>
                                <w:sz w:val="30"/>
                                <w:szCs w:val="30"/>
                              </w:rPr>
                              <w:t>X</w:t>
                            </w:r>
                            <w:bookmarkEnd w:id="147"/>
                          </w:p>
                          <w:p w14:paraId="656F56D3">
                            <w:r>
                              <w:rPr>
                                <w:rFonts w:hint="eastAsia"/>
                                <w:b/>
                                <w:bCs/>
                                <w:sz w:val="30"/>
                              </w:rPr>
                              <w:t>代替JJF1033-2001</w:t>
                            </w:r>
                          </w:p>
                          <w:p w14:paraId="7B62CDF1"/>
                          <w:p w14:paraId="020C27B1">
                            <w:pPr>
                              <w:pStyle w:val="3"/>
                              <w:rPr>
                                <w:rFonts w:ascii="Times New Roman" w:hAnsi="Times New Roman"/>
                                <w:b w:val="0"/>
                                <w:bCs w:val="0"/>
                              </w:rPr>
                            </w:pPr>
                            <w:bookmarkStart w:id="148" w:name="_Toc200290543"/>
                            <w:r>
                              <w:rPr>
                                <w:rFonts w:hint="eastAsia"/>
                                <w:b w:val="0"/>
                                <w:bCs w:val="0"/>
                              </w:rPr>
                              <w:t xml:space="preserve">JJF </w:t>
                            </w:r>
                            <w:r>
                              <w:rPr>
                                <w:rFonts w:ascii="Times New Roman" w:hAnsi="Times New Roman"/>
                                <w:b w:val="0"/>
                                <w:bCs w:val="0"/>
                                <w:sz w:val="30"/>
                                <w:szCs w:val="30"/>
                              </w:rPr>
                              <w:t>X</w:t>
                            </w:r>
                            <w:r>
                              <w:rPr>
                                <w:rFonts w:hint="eastAsia" w:ascii="Times New Roman" w:hAnsi="Times New Roman"/>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hint="eastAsia" w:ascii="Times New Roman" w:hAnsi="Times New Roman"/>
                                <w:b w:val="0"/>
                                <w:bCs w:val="0"/>
                                <w:sz w:val="30"/>
                                <w:szCs w:val="30"/>
                              </w:rPr>
                              <w:t>X</w:t>
                            </w:r>
                            <w:r>
                              <w:rPr>
                                <w:rFonts w:ascii="Times New Roman" w:hAnsi="Times New Roman"/>
                                <w:b w:val="0"/>
                                <w:bCs w:val="0"/>
                                <w:sz w:val="30"/>
                                <w:szCs w:val="30"/>
                              </w:rPr>
                              <w:t>X</w:t>
                            </w:r>
                            <w:r>
                              <w:rPr>
                                <w:rFonts w:hint="eastAsia" w:ascii="Times New Roman" w:hAnsi="Times New Roman"/>
                                <w:b w:val="0"/>
                                <w:bCs w:val="0"/>
                                <w:sz w:val="30"/>
                                <w:szCs w:val="30"/>
                              </w:rPr>
                              <w:t>X</w:t>
                            </w:r>
                            <w:r>
                              <w:rPr>
                                <w:rFonts w:ascii="Times New Roman" w:hAnsi="Times New Roman"/>
                                <w:b w:val="0"/>
                                <w:bCs w:val="0"/>
                                <w:sz w:val="30"/>
                                <w:szCs w:val="30"/>
                              </w:rPr>
                              <w:t>X</w:t>
                            </w:r>
                            <w:bookmarkEnd w:id="148"/>
                          </w:p>
                          <w:p w14:paraId="275B6EE5">
                            <w:r>
                              <w:rPr>
                                <w:rFonts w:hint="eastAsia"/>
                                <w:b/>
                                <w:bCs/>
                                <w:sz w:val="30"/>
                              </w:rPr>
                              <w:t>代替JJF1033-2001</w:t>
                            </w:r>
                          </w:p>
                          <w:p w14:paraId="79BA0681"/>
                          <w:p w14:paraId="7098865C">
                            <w:pPr>
                              <w:pStyle w:val="3"/>
                              <w:rPr>
                                <w:rFonts w:ascii="Times New Roman" w:hAnsi="Times New Roman"/>
                                <w:b w:val="0"/>
                                <w:bCs w:val="0"/>
                              </w:rPr>
                            </w:pPr>
                            <w:bookmarkStart w:id="149" w:name="_Toc200290544"/>
                            <w:r>
                              <w:rPr>
                                <w:rFonts w:hint="eastAsia"/>
                                <w:b w:val="0"/>
                                <w:bCs w:val="0"/>
                              </w:rPr>
                              <w:t xml:space="preserve">JJF </w:t>
                            </w:r>
                            <w:r>
                              <w:rPr>
                                <w:rFonts w:ascii="Times New Roman" w:hAnsi="Times New Roman"/>
                                <w:b w:val="0"/>
                                <w:bCs w:val="0"/>
                                <w:sz w:val="30"/>
                                <w:szCs w:val="30"/>
                              </w:rPr>
                              <w:t>X</w:t>
                            </w:r>
                            <w:r>
                              <w:rPr>
                                <w:rFonts w:hint="eastAsia" w:ascii="Times New Roman" w:hAnsi="Times New Roman"/>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hint="eastAsia" w:ascii="Times New Roman" w:hAnsi="Times New Roman"/>
                                <w:b w:val="0"/>
                                <w:bCs w:val="0"/>
                                <w:sz w:val="30"/>
                                <w:szCs w:val="30"/>
                              </w:rPr>
                              <w:t>X</w:t>
                            </w:r>
                            <w:r>
                              <w:rPr>
                                <w:rFonts w:ascii="Times New Roman" w:hAnsi="Times New Roman"/>
                                <w:b w:val="0"/>
                                <w:bCs w:val="0"/>
                                <w:sz w:val="30"/>
                                <w:szCs w:val="30"/>
                              </w:rPr>
                              <w:t>X</w:t>
                            </w:r>
                            <w:r>
                              <w:rPr>
                                <w:rFonts w:hint="eastAsia" w:ascii="Times New Roman" w:hAnsi="Times New Roman"/>
                                <w:b w:val="0"/>
                                <w:bCs w:val="0"/>
                                <w:sz w:val="30"/>
                                <w:szCs w:val="30"/>
                              </w:rPr>
                              <w:t>X</w:t>
                            </w:r>
                            <w:r>
                              <w:rPr>
                                <w:rFonts w:ascii="Times New Roman" w:hAnsi="Times New Roman"/>
                                <w:b w:val="0"/>
                                <w:bCs w:val="0"/>
                                <w:sz w:val="30"/>
                                <w:szCs w:val="30"/>
                              </w:rPr>
                              <w:t>X</w:t>
                            </w:r>
                            <w:bookmarkEnd w:id="149"/>
                          </w:p>
                          <w:p w14:paraId="26676F3C">
                            <w:r>
                              <w:rPr>
                                <w:rFonts w:hint="eastAsia"/>
                                <w:b/>
                                <w:bCs/>
                                <w:sz w:val="30"/>
                              </w:rPr>
                              <w:t>代替JJF1033-2001</w:t>
                            </w:r>
                          </w:p>
                          <w:p w14:paraId="6923155B"/>
                          <w:p w14:paraId="01F7259F">
                            <w:pPr>
                              <w:pStyle w:val="3"/>
                              <w:rPr>
                                <w:rFonts w:ascii="Times New Roman" w:hAnsi="Times New Roman"/>
                                <w:b w:val="0"/>
                                <w:bCs w:val="0"/>
                              </w:rPr>
                            </w:pPr>
                            <w:bookmarkStart w:id="150" w:name="_Toc200290545"/>
                            <w:r>
                              <w:rPr>
                                <w:rFonts w:hint="eastAsia"/>
                                <w:b w:val="0"/>
                                <w:bCs w:val="0"/>
                              </w:rPr>
                              <w:t xml:space="preserve">JJF </w:t>
                            </w:r>
                            <w:r>
                              <w:rPr>
                                <w:rFonts w:ascii="Times New Roman" w:hAnsi="Times New Roman"/>
                                <w:b w:val="0"/>
                                <w:bCs w:val="0"/>
                                <w:sz w:val="30"/>
                                <w:szCs w:val="30"/>
                              </w:rPr>
                              <w:t>X</w:t>
                            </w:r>
                            <w:r>
                              <w:rPr>
                                <w:rFonts w:hint="eastAsia" w:ascii="Times New Roman" w:hAnsi="Times New Roman"/>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hint="eastAsia" w:ascii="Times New Roman" w:hAnsi="Times New Roman"/>
                                <w:b w:val="0"/>
                                <w:bCs w:val="0"/>
                                <w:sz w:val="30"/>
                                <w:szCs w:val="30"/>
                              </w:rPr>
                              <w:t>X</w:t>
                            </w:r>
                            <w:r>
                              <w:rPr>
                                <w:rFonts w:ascii="Times New Roman" w:hAnsi="Times New Roman"/>
                                <w:b w:val="0"/>
                                <w:bCs w:val="0"/>
                                <w:sz w:val="30"/>
                                <w:szCs w:val="30"/>
                              </w:rPr>
                              <w:t>X</w:t>
                            </w:r>
                            <w:r>
                              <w:rPr>
                                <w:rFonts w:hint="eastAsia" w:ascii="Times New Roman" w:hAnsi="Times New Roman"/>
                                <w:b w:val="0"/>
                                <w:bCs w:val="0"/>
                                <w:sz w:val="30"/>
                                <w:szCs w:val="30"/>
                              </w:rPr>
                              <w:t>X</w:t>
                            </w:r>
                            <w:r>
                              <w:rPr>
                                <w:rFonts w:ascii="Times New Roman" w:hAnsi="Times New Roman"/>
                                <w:b w:val="0"/>
                                <w:bCs w:val="0"/>
                                <w:sz w:val="30"/>
                                <w:szCs w:val="30"/>
                              </w:rPr>
                              <w:t>X</w:t>
                            </w:r>
                            <w:bookmarkEnd w:id="150"/>
                          </w:p>
                          <w:p w14:paraId="016AE4E9">
                            <w:r>
                              <w:rPr>
                                <w:rFonts w:hint="eastAsia"/>
                                <w:b/>
                                <w:bCs/>
                                <w:sz w:val="30"/>
                              </w:rPr>
                              <w:t>代替JJF1033-2001</w:t>
                            </w:r>
                          </w:p>
                          <w:p w14:paraId="7CDC6F32"/>
                          <w:p w14:paraId="2FA2DCFA">
                            <w:pPr>
                              <w:pStyle w:val="3"/>
                              <w:rPr>
                                <w:rFonts w:ascii="Times New Roman" w:hAnsi="Times New Roman"/>
                                <w:b w:val="0"/>
                                <w:bCs w:val="0"/>
                              </w:rPr>
                            </w:pPr>
                            <w:bookmarkStart w:id="151" w:name="_Toc200290546"/>
                            <w:r>
                              <w:rPr>
                                <w:rFonts w:hint="eastAsia"/>
                                <w:b w:val="0"/>
                                <w:bCs w:val="0"/>
                              </w:rPr>
                              <w:t xml:space="preserve">JJF </w:t>
                            </w:r>
                            <w:r>
                              <w:rPr>
                                <w:rFonts w:ascii="Times New Roman" w:hAnsi="Times New Roman"/>
                                <w:b w:val="0"/>
                                <w:bCs w:val="0"/>
                                <w:sz w:val="30"/>
                                <w:szCs w:val="30"/>
                              </w:rPr>
                              <w:t>X</w:t>
                            </w:r>
                            <w:r>
                              <w:rPr>
                                <w:rFonts w:hint="eastAsia" w:ascii="Times New Roman" w:hAnsi="Times New Roman"/>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hint="eastAsia" w:ascii="Times New Roman" w:hAnsi="Times New Roman"/>
                                <w:b w:val="0"/>
                                <w:bCs w:val="0"/>
                                <w:sz w:val="30"/>
                                <w:szCs w:val="30"/>
                              </w:rPr>
                              <w:t>X</w:t>
                            </w:r>
                            <w:r>
                              <w:rPr>
                                <w:rFonts w:ascii="Times New Roman" w:hAnsi="Times New Roman"/>
                                <w:b w:val="0"/>
                                <w:bCs w:val="0"/>
                                <w:sz w:val="30"/>
                                <w:szCs w:val="30"/>
                              </w:rPr>
                              <w:t>X</w:t>
                            </w:r>
                            <w:r>
                              <w:rPr>
                                <w:rFonts w:hint="eastAsia" w:ascii="Times New Roman" w:hAnsi="Times New Roman"/>
                                <w:b w:val="0"/>
                                <w:bCs w:val="0"/>
                                <w:sz w:val="30"/>
                                <w:szCs w:val="30"/>
                              </w:rPr>
                              <w:t>X</w:t>
                            </w:r>
                            <w:r>
                              <w:rPr>
                                <w:rFonts w:ascii="Times New Roman" w:hAnsi="Times New Roman"/>
                                <w:b w:val="0"/>
                                <w:bCs w:val="0"/>
                                <w:sz w:val="30"/>
                                <w:szCs w:val="30"/>
                              </w:rPr>
                              <w:t>X</w:t>
                            </w:r>
                            <w:bookmarkEnd w:id="151"/>
                          </w:p>
                          <w:p w14:paraId="16042762">
                            <w:r>
                              <w:rPr>
                                <w:rFonts w:hint="eastAsia"/>
                                <w:b/>
                                <w:bCs/>
                                <w:sz w:val="30"/>
                              </w:rPr>
                              <w:t>代替JJF1033-2001</w:t>
                            </w:r>
                          </w:p>
                          <w:p w14:paraId="386795CC"/>
                          <w:p w14:paraId="1D29E2C9">
                            <w:pPr>
                              <w:pStyle w:val="3"/>
                              <w:rPr>
                                <w:rFonts w:ascii="Times New Roman" w:hAnsi="Times New Roman"/>
                                <w:b w:val="0"/>
                                <w:bCs w:val="0"/>
                              </w:rPr>
                            </w:pPr>
                            <w:bookmarkStart w:id="152" w:name="_Toc200290547"/>
                            <w:r>
                              <w:rPr>
                                <w:rFonts w:hint="eastAsia"/>
                                <w:b w:val="0"/>
                                <w:bCs w:val="0"/>
                              </w:rPr>
                              <w:t xml:space="preserve">JJF </w:t>
                            </w:r>
                            <w:r>
                              <w:rPr>
                                <w:rFonts w:ascii="Times New Roman" w:hAnsi="Times New Roman"/>
                                <w:b w:val="0"/>
                                <w:bCs w:val="0"/>
                                <w:sz w:val="30"/>
                                <w:szCs w:val="30"/>
                              </w:rPr>
                              <w:t>X</w:t>
                            </w:r>
                            <w:r>
                              <w:rPr>
                                <w:rFonts w:hint="eastAsia" w:ascii="Times New Roman" w:hAnsi="Times New Roman"/>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hint="eastAsia" w:ascii="Times New Roman" w:hAnsi="Times New Roman"/>
                                <w:b w:val="0"/>
                                <w:bCs w:val="0"/>
                                <w:sz w:val="30"/>
                                <w:szCs w:val="30"/>
                              </w:rPr>
                              <w:t>X</w:t>
                            </w:r>
                            <w:r>
                              <w:rPr>
                                <w:rFonts w:ascii="Times New Roman" w:hAnsi="Times New Roman"/>
                                <w:b w:val="0"/>
                                <w:bCs w:val="0"/>
                                <w:sz w:val="30"/>
                                <w:szCs w:val="30"/>
                              </w:rPr>
                              <w:t>X</w:t>
                            </w:r>
                            <w:r>
                              <w:rPr>
                                <w:rFonts w:hint="eastAsia" w:ascii="Times New Roman" w:hAnsi="Times New Roman"/>
                                <w:b w:val="0"/>
                                <w:bCs w:val="0"/>
                                <w:sz w:val="30"/>
                                <w:szCs w:val="30"/>
                              </w:rPr>
                              <w:t>X</w:t>
                            </w:r>
                            <w:r>
                              <w:rPr>
                                <w:rFonts w:ascii="Times New Roman" w:hAnsi="Times New Roman"/>
                                <w:b w:val="0"/>
                                <w:bCs w:val="0"/>
                                <w:sz w:val="30"/>
                                <w:szCs w:val="30"/>
                              </w:rPr>
                              <w:t>X</w:t>
                            </w:r>
                            <w:bookmarkEnd w:id="152"/>
                          </w:p>
                          <w:p w14:paraId="6AEE0A50">
                            <w:r>
                              <w:rPr>
                                <w:rFonts w:hint="eastAsia"/>
                                <w:b/>
                                <w:bCs/>
                                <w:sz w:val="30"/>
                              </w:rPr>
                              <w:t>代替JJF1033-2001</w:t>
                            </w:r>
                          </w:p>
                          <w:p w14:paraId="490EA256"/>
                          <w:p w14:paraId="5176A012">
                            <w:pPr>
                              <w:pStyle w:val="3"/>
                              <w:rPr>
                                <w:rFonts w:ascii="Times New Roman" w:hAnsi="Times New Roman"/>
                                <w:b w:val="0"/>
                                <w:bCs w:val="0"/>
                              </w:rPr>
                            </w:pPr>
                            <w:bookmarkStart w:id="153" w:name="_Toc200290548"/>
                            <w:r>
                              <w:rPr>
                                <w:rFonts w:hint="eastAsia"/>
                                <w:b w:val="0"/>
                                <w:bCs w:val="0"/>
                              </w:rPr>
                              <w:t xml:space="preserve">JJF </w:t>
                            </w:r>
                            <w:r>
                              <w:rPr>
                                <w:rFonts w:ascii="Times New Roman" w:hAnsi="Times New Roman"/>
                                <w:b w:val="0"/>
                                <w:bCs w:val="0"/>
                                <w:sz w:val="30"/>
                                <w:szCs w:val="30"/>
                              </w:rPr>
                              <w:t>X</w:t>
                            </w:r>
                            <w:r>
                              <w:rPr>
                                <w:rFonts w:hint="eastAsia" w:ascii="Times New Roman" w:hAnsi="Times New Roman"/>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hint="eastAsia" w:ascii="Times New Roman" w:hAnsi="Times New Roman"/>
                                <w:b w:val="0"/>
                                <w:bCs w:val="0"/>
                                <w:sz w:val="30"/>
                                <w:szCs w:val="30"/>
                              </w:rPr>
                              <w:t>X</w:t>
                            </w:r>
                            <w:r>
                              <w:rPr>
                                <w:rFonts w:ascii="Times New Roman" w:hAnsi="Times New Roman"/>
                                <w:b w:val="0"/>
                                <w:bCs w:val="0"/>
                                <w:sz w:val="30"/>
                                <w:szCs w:val="30"/>
                              </w:rPr>
                              <w:t>X</w:t>
                            </w:r>
                            <w:r>
                              <w:rPr>
                                <w:rFonts w:hint="eastAsia" w:ascii="Times New Roman" w:hAnsi="Times New Roman"/>
                                <w:b w:val="0"/>
                                <w:bCs w:val="0"/>
                                <w:sz w:val="30"/>
                                <w:szCs w:val="30"/>
                              </w:rPr>
                              <w:t>X</w:t>
                            </w:r>
                            <w:r>
                              <w:rPr>
                                <w:rFonts w:ascii="Times New Roman" w:hAnsi="Times New Roman"/>
                                <w:b w:val="0"/>
                                <w:bCs w:val="0"/>
                                <w:sz w:val="30"/>
                                <w:szCs w:val="30"/>
                              </w:rPr>
                              <w:t>X</w:t>
                            </w:r>
                            <w:bookmarkEnd w:id="153"/>
                          </w:p>
                          <w:p w14:paraId="4EE7C2C8">
                            <w:r>
                              <w:rPr>
                                <w:rFonts w:hint="eastAsia"/>
                                <w:b/>
                                <w:bCs/>
                                <w:sz w:val="30"/>
                              </w:rPr>
                              <w:t>代替JJF1033-2001</w:t>
                            </w:r>
                          </w:p>
                          <w:p w14:paraId="2C28503E"/>
                          <w:p w14:paraId="7FA260E8">
                            <w:pPr>
                              <w:pStyle w:val="3"/>
                              <w:rPr>
                                <w:rFonts w:ascii="Times New Roman" w:hAnsi="Times New Roman"/>
                                <w:b w:val="0"/>
                                <w:bCs w:val="0"/>
                              </w:rPr>
                            </w:pPr>
                            <w:bookmarkStart w:id="154" w:name="_Toc200290549"/>
                            <w:r>
                              <w:rPr>
                                <w:rFonts w:hint="eastAsia"/>
                                <w:b w:val="0"/>
                                <w:bCs w:val="0"/>
                              </w:rPr>
                              <w:t xml:space="preserve">JJF </w:t>
                            </w:r>
                            <w:r>
                              <w:rPr>
                                <w:rFonts w:ascii="Times New Roman" w:hAnsi="Times New Roman"/>
                                <w:b w:val="0"/>
                                <w:bCs w:val="0"/>
                                <w:sz w:val="30"/>
                                <w:szCs w:val="30"/>
                              </w:rPr>
                              <w:t>X</w:t>
                            </w:r>
                            <w:r>
                              <w:rPr>
                                <w:rFonts w:hint="eastAsia" w:ascii="Times New Roman" w:hAnsi="Times New Roman"/>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hint="eastAsia" w:ascii="Times New Roman" w:hAnsi="Times New Roman"/>
                                <w:b w:val="0"/>
                                <w:bCs w:val="0"/>
                                <w:sz w:val="30"/>
                                <w:szCs w:val="30"/>
                              </w:rPr>
                              <w:t>X</w:t>
                            </w:r>
                            <w:r>
                              <w:rPr>
                                <w:rFonts w:ascii="Times New Roman" w:hAnsi="Times New Roman"/>
                                <w:b w:val="0"/>
                                <w:bCs w:val="0"/>
                                <w:sz w:val="30"/>
                                <w:szCs w:val="30"/>
                              </w:rPr>
                              <w:t>X</w:t>
                            </w:r>
                            <w:r>
                              <w:rPr>
                                <w:rFonts w:hint="eastAsia" w:ascii="Times New Roman" w:hAnsi="Times New Roman"/>
                                <w:b w:val="0"/>
                                <w:bCs w:val="0"/>
                                <w:sz w:val="30"/>
                                <w:szCs w:val="30"/>
                              </w:rPr>
                              <w:t>X</w:t>
                            </w:r>
                            <w:r>
                              <w:rPr>
                                <w:rFonts w:ascii="Times New Roman" w:hAnsi="Times New Roman"/>
                                <w:b w:val="0"/>
                                <w:bCs w:val="0"/>
                                <w:sz w:val="30"/>
                                <w:szCs w:val="30"/>
                              </w:rPr>
                              <w:t>X</w:t>
                            </w:r>
                            <w:bookmarkEnd w:id="133"/>
                            <w:bookmarkEnd w:id="134"/>
                            <w:bookmarkEnd w:id="154"/>
                          </w:p>
                          <w:p w14:paraId="136CB100">
                            <w:r>
                              <w:rPr>
                                <w:rFonts w:hint="eastAsia"/>
                                <w:b/>
                                <w:bCs/>
                                <w:sz w:val="30"/>
                              </w:rPr>
                              <w:t>代替JJF1033-2001</w:t>
                            </w:r>
                          </w:p>
                          <w:p w14:paraId="4BCF0545"/>
                          <w:p w14:paraId="600A11B7">
                            <w:pPr>
                              <w:pStyle w:val="3"/>
                              <w:rPr>
                                <w:rFonts w:ascii="Times New Roman" w:hAnsi="Times New Roman"/>
                                <w:b w:val="0"/>
                                <w:bCs w:val="0"/>
                              </w:rPr>
                            </w:pPr>
                            <w:bookmarkStart w:id="155" w:name="_Toc200234300"/>
                            <w:bookmarkStart w:id="156" w:name="_Toc200290550"/>
                            <w:r>
                              <w:rPr>
                                <w:rFonts w:hint="eastAsia"/>
                                <w:b w:val="0"/>
                                <w:bCs w:val="0"/>
                              </w:rPr>
                              <w:t xml:space="preserve">JJF </w:t>
                            </w:r>
                            <w:r>
                              <w:rPr>
                                <w:rFonts w:ascii="Times New Roman" w:hAnsi="Times New Roman"/>
                                <w:b w:val="0"/>
                                <w:bCs w:val="0"/>
                                <w:sz w:val="30"/>
                                <w:szCs w:val="30"/>
                              </w:rPr>
                              <w:t>X</w:t>
                            </w:r>
                            <w:r>
                              <w:rPr>
                                <w:rFonts w:hint="eastAsia" w:ascii="Times New Roman" w:hAnsi="Times New Roman"/>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hint="eastAsia" w:ascii="Times New Roman" w:hAnsi="Times New Roman"/>
                                <w:b w:val="0"/>
                                <w:bCs w:val="0"/>
                                <w:sz w:val="30"/>
                                <w:szCs w:val="30"/>
                              </w:rPr>
                              <w:t>X</w:t>
                            </w:r>
                            <w:r>
                              <w:rPr>
                                <w:rFonts w:ascii="Times New Roman" w:hAnsi="Times New Roman"/>
                                <w:b w:val="0"/>
                                <w:bCs w:val="0"/>
                                <w:sz w:val="30"/>
                                <w:szCs w:val="30"/>
                              </w:rPr>
                              <w:t>X</w:t>
                            </w:r>
                            <w:r>
                              <w:rPr>
                                <w:rFonts w:hint="eastAsia" w:ascii="Times New Roman" w:hAnsi="Times New Roman"/>
                                <w:b w:val="0"/>
                                <w:bCs w:val="0"/>
                                <w:sz w:val="30"/>
                                <w:szCs w:val="30"/>
                              </w:rPr>
                              <w:t>X</w:t>
                            </w:r>
                            <w:r>
                              <w:rPr>
                                <w:rFonts w:ascii="Times New Roman" w:hAnsi="Times New Roman"/>
                                <w:b w:val="0"/>
                                <w:bCs w:val="0"/>
                                <w:sz w:val="30"/>
                                <w:szCs w:val="30"/>
                              </w:rPr>
                              <w:t>X</w:t>
                            </w:r>
                            <w:bookmarkEnd w:id="135"/>
                            <w:bookmarkEnd w:id="136"/>
                            <w:bookmarkEnd w:id="137"/>
                            <w:bookmarkEnd w:id="138"/>
                            <w:bookmarkEnd w:id="139"/>
                            <w:bookmarkEnd w:id="155"/>
                            <w:bookmarkEnd w:id="156"/>
                          </w:p>
                          <w:p w14:paraId="7D5677A9">
                            <w:r>
                              <w:rPr>
                                <w:rFonts w:hint="eastAsia"/>
                                <w:b/>
                                <w:bCs/>
                                <w:sz w:val="30"/>
                              </w:rPr>
                              <w:t>代替JJF1033-2001</w:t>
                            </w:r>
                          </w:p>
                        </w:txbxContent>
                      </wps:txbx>
                      <wps:bodyPr rot="0" vert="horz" wrap="square" lIns="91440" tIns="45720" rIns="91440" bIns="45720" anchor="t" anchorCtr="0" upright="1">
                        <a:noAutofit/>
                      </wps:bodyPr>
                    </wps:wsp>
                  </a:graphicData>
                </a:graphic>
              </wp:anchor>
            </w:drawing>
          </mc:Choice>
          <mc:Fallback>
            <w:pict>
              <v:rect id="Rectangle 11" o:spid="_x0000_s1026" o:spt="1" style="position:absolute;left:0pt;margin-left:308.85pt;margin-top:18.6pt;height:73.35pt;width:156pt;z-index:251667456;mso-width-relative:page;mso-height-relative:page;" fillcolor="#FFFFFF" filled="t" stroked="t" coordsize="21600,21600" o:gfxdata="UEsDBAoAAAAAAIdO4kAAAAAAAAAAAAAAAAAEAAAAZHJzL1BLAwQUAAAACACHTuJAALqKudcAAAAK&#10;AQAADwAAAGRycy9kb3ducmV2LnhtbE2Pu07EMBBFeyT+wRokOtZOVto8iLPFSlDQAAsNnTce4gg/&#10;gu195O8ZKihn5ujOud324iw7YUxT8BKKlQCGfgh68qOE97eHuxpYysprZYNHCQsm2PbXV51qdTj7&#10;Vzzt88goxKdWSTA5zy3naTDoVFqFGT3dPkN0KtMYR66jOlO4s7wUYsOdmjx9MGrGncHha390Ep4/&#10;Xgx+F411O/OoBX9a6iEuUt7eFOIeWMZL/oPhV5/UoSenQzh6nZiVsCmqilAJ66oERkBTNrQ4EFmv&#10;G+B9x/9X6H8AUEsDBBQAAAAIAIdO4kDD7L5TQQIAAKMEAAAOAAAAZHJzL2Uyb0RvYy54bWytVMFu&#10;2zAMvQ/YPwi6r467ZE2NOkXRoMOAbi3W7QMUWY6FyaJGKnGyrx8lp13a7dDDfDBEk3p8fCR9cbnr&#10;ndgaJAu+luXJRArjNTTWr2v5/dvNu7kUFJVvlANvark3JC8Xb99cDKEyp9CBawwKBvFUDaGWXYyh&#10;KgrSnekVnUAwnp0tYK8im7guGlQDo/euOJ1MPhQDYBMQtCHir8vRKQ+I+BpAaFurzRL0pjc+jqho&#10;nIpcEnU2kFxktm1rdLxrWzJRuFpypTG/OQmfV+ldLC5UtUYVOqsPFNRrKLyoqVfWc9InqKWKSmzQ&#10;/gXVW41A0MYTDX0xFpIV4SrKyQttHjoVTK6FpabwJDr9P1j9ZXuPwja1nErhVc8N/8qiKb92RpRl&#10;0mcIVHHYQ7jHVCGFW9A/SHi47jjMXCHC0BnVMKscXzy7kAziq2I1fIaG4dUmQpZq12KfAFkEscsd&#10;2T91xOyi0PyxPJ+XPDRSaPadvy9n01miVKjq8XZAih8N9CIdaolMPqOr7S3FMfQxJLMHZ5sb61w2&#10;cL26dii2iqfjJj8HdDoOc14MtZydlbNERPHMo29ykmdhdIw2yc+/0BKbpaJuzEp7WkJMcarqbeTN&#10;crav5fz4uvNc8aOOYz/ibrU7tGYFzZ7lRRhnmzebDx3gLykGnuta0s+NQiOF++S5RefldJoWIRvT&#10;2dkpG3jsWR17lNcMVcsoxXi8juPybALadceZyiyEhytua2uz4onqyOrAm2c39+ywZ2k5ju0c9eff&#10;svg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ALqKudcAAAAKAQAADwAAAAAAAAABACAAAAAiAAAA&#10;ZHJzL2Rvd25yZXYueG1sUEsBAhQAFAAAAAgAh07iQMPsvlNBAgAAowQAAA4AAAAAAAAAAQAgAAAA&#10;JgEAAGRycy9lMm9Eb2MueG1sUEsFBgAAAAAGAAYAWQEAANkFAAAAAA==&#10;">
                <v:fill on="t" focussize="0,0"/>
                <v:stroke weight="4.5pt" color="#000000" miterlimit="8" joinstyle="miter" dashstyle="1 1" endcap="round"/>
                <v:imagedata o:title=""/>
                <o:lock v:ext="edit" aspectratio="f"/>
                <v:textbox>
                  <w:txbxContent>
                    <w:p w14:paraId="0C9B2B34">
                      <w:pPr>
                        <w:pStyle w:val="3"/>
                        <w:jc w:val="center"/>
                        <w:rPr>
                          <w:rFonts w:hint="eastAsia" w:ascii="黑体" w:hAnsi="黑体"/>
                          <w:b w:val="0"/>
                          <w:bCs w:val="0"/>
                        </w:rPr>
                      </w:pPr>
                      <w:bookmarkStart w:id="131" w:name="_Toc199420191"/>
                      <w:bookmarkStart w:id="132" w:name="_Toc200290535"/>
                      <w:bookmarkStart w:id="133" w:name="_Toc151407237"/>
                      <w:bookmarkStart w:id="134" w:name="_Toc200234299"/>
                      <w:bookmarkStart w:id="135" w:name="_Toc88913382"/>
                      <w:bookmarkStart w:id="136" w:name="_Toc526840786"/>
                      <w:bookmarkStart w:id="137" w:name="_Toc3793603"/>
                      <w:bookmarkStart w:id="138" w:name="_Toc4687718"/>
                      <w:bookmarkStart w:id="139" w:name="_Toc151407011"/>
                      <w:r>
                        <w:rPr>
                          <w:rFonts w:hint="eastAsia" w:ascii="黑体" w:hAnsi="黑体"/>
                          <w:b w:val="0"/>
                          <w:bCs w:val="0"/>
                        </w:rPr>
                        <w:t xml:space="preserve">JJF </w:t>
                      </w:r>
                      <w:r>
                        <w:rPr>
                          <w:rFonts w:ascii="黑体" w:hAnsi="黑体"/>
                          <w:b w:val="0"/>
                          <w:bCs w:val="0"/>
                          <w:sz w:val="30"/>
                          <w:szCs w:val="30"/>
                        </w:rPr>
                        <w:t>X</w:t>
                      </w:r>
                      <w:r>
                        <w:rPr>
                          <w:rFonts w:hint="eastAsia" w:ascii="黑体" w:hAnsi="黑体"/>
                          <w:b w:val="0"/>
                          <w:bCs w:val="0"/>
                          <w:sz w:val="30"/>
                          <w:szCs w:val="30"/>
                        </w:rPr>
                        <w:t>X</w:t>
                      </w:r>
                      <w:r>
                        <w:rPr>
                          <w:rFonts w:ascii="黑体" w:hAnsi="黑体"/>
                          <w:b w:val="0"/>
                          <w:bCs w:val="0"/>
                          <w:sz w:val="30"/>
                          <w:szCs w:val="30"/>
                        </w:rPr>
                        <w:t>X</w:t>
                      </w:r>
                      <w:r>
                        <w:rPr>
                          <w:rFonts w:ascii="黑体" w:hAnsi="黑体"/>
                          <w:b w:val="0"/>
                          <w:bCs w:val="0"/>
                        </w:rPr>
                        <w:t>—</w:t>
                      </w:r>
                      <w:r>
                        <w:rPr>
                          <w:rFonts w:hint="eastAsia" w:ascii="黑体" w:hAnsi="黑体"/>
                          <w:b w:val="0"/>
                          <w:bCs w:val="0"/>
                          <w:sz w:val="30"/>
                          <w:szCs w:val="30"/>
                        </w:rPr>
                        <w:t>X</w:t>
                      </w:r>
                      <w:r>
                        <w:rPr>
                          <w:rFonts w:ascii="黑体" w:hAnsi="黑体"/>
                          <w:b w:val="0"/>
                          <w:bCs w:val="0"/>
                          <w:sz w:val="30"/>
                          <w:szCs w:val="30"/>
                        </w:rPr>
                        <w:t>X</w:t>
                      </w:r>
                      <w:r>
                        <w:rPr>
                          <w:rFonts w:hint="eastAsia" w:ascii="黑体" w:hAnsi="黑体"/>
                          <w:b w:val="0"/>
                          <w:bCs w:val="0"/>
                          <w:sz w:val="30"/>
                          <w:szCs w:val="30"/>
                        </w:rPr>
                        <w:t>X</w:t>
                      </w:r>
                      <w:r>
                        <w:rPr>
                          <w:rFonts w:ascii="黑体" w:hAnsi="黑体"/>
                          <w:b w:val="0"/>
                          <w:bCs w:val="0"/>
                          <w:sz w:val="30"/>
                          <w:szCs w:val="30"/>
                        </w:rPr>
                        <w:t>X</w:t>
                      </w:r>
                      <w:bookmarkEnd w:id="131"/>
                      <w:bookmarkEnd w:id="132"/>
                    </w:p>
                    <w:p w14:paraId="37D50EFB">
                      <w:r>
                        <w:rPr>
                          <w:rFonts w:hint="eastAsia"/>
                          <w:b/>
                          <w:bCs/>
                          <w:sz w:val="30"/>
                        </w:rPr>
                        <w:t>代替JJF1033-2001</w:t>
                      </w:r>
                    </w:p>
                    <w:p w14:paraId="03AC89A8"/>
                    <w:p w14:paraId="0D2996AD">
                      <w:pPr>
                        <w:pStyle w:val="3"/>
                        <w:rPr>
                          <w:rFonts w:ascii="Times New Roman" w:hAnsi="Times New Roman"/>
                          <w:b w:val="0"/>
                          <w:bCs w:val="0"/>
                        </w:rPr>
                      </w:pPr>
                      <w:bookmarkStart w:id="140" w:name="_Toc200290536"/>
                      <w:bookmarkStart w:id="141" w:name="_Toc199420192"/>
                      <w:r>
                        <w:rPr>
                          <w:rFonts w:hint="eastAsia"/>
                          <w:b w:val="0"/>
                          <w:bCs w:val="0"/>
                        </w:rPr>
                        <w:t xml:space="preserve">JJF </w:t>
                      </w:r>
                      <w:r>
                        <w:rPr>
                          <w:rFonts w:ascii="Times New Roman" w:hAnsi="Times New Roman"/>
                          <w:b w:val="0"/>
                          <w:bCs w:val="0"/>
                          <w:sz w:val="30"/>
                          <w:szCs w:val="30"/>
                        </w:rPr>
                        <w:t>X</w:t>
                      </w:r>
                      <w:r>
                        <w:rPr>
                          <w:rFonts w:hint="eastAsia" w:ascii="Times New Roman" w:hAnsi="Times New Roman"/>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hint="eastAsia" w:ascii="Times New Roman" w:hAnsi="Times New Roman"/>
                          <w:b w:val="0"/>
                          <w:bCs w:val="0"/>
                          <w:sz w:val="30"/>
                          <w:szCs w:val="30"/>
                        </w:rPr>
                        <w:t>X</w:t>
                      </w:r>
                      <w:r>
                        <w:rPr>
                          <w:rFonts w:ascii="Times New Roman" w:hAnsi="Times New Roman"/>
                          <w:b w:val="0"/>
                          <w:bCs w:val="0"/>
                          <w:sz w:val="30"/>
                          <w:szCs w:val="30"/>
                        </w:rPr>
                        <w:t>X</w:t>
                      </w:r>
                      <w:r>
                        <w:rPr>
                          <w:rFonts w:hint="eastAsia" w:ascii="Times New Roman" w:hAnsi="Times New Roman"/>
                          <w:b w:val="0"/>
                          <w:bCs w:val="0"/>
                          <w:sz w:val="30"/>
                          <w:szCs w:val="30"/>
                        </w:rPr>
                        <w:t>X</w:t>
                      </w:r>
                      <w:r>
                        <w:rPr>
                          <w:rFonts w:ascii="Times New Roman" w:hAnsi="Times New Roman"/>
                          <w:b w:val="0"/>
                          <w:bCs w:val="0"/>
                          <w:sz w:val="30"/>
                          <w:szCs w:val="30"/>
                        </w:rPr>
                        <w:t>X</w:t>
                      </w:r>
                      <w:bookmarkEnd w:id="140"/>
                      <w:bookmarkEnd w:id="141"/>
                    </w:p>
                    <w:p w14:paraId="0F861782">
                      <w:r>
                        <w:rPr>
                          <w:rFonts w:hint="eastAsia"/>
                          <w:b/>
                          <w:bCs/>
                          <w:sz w:val="30"/>
                        </w:rPr>
                        <w:t>代替JJF1033-2001</w:t>
                      </w:r>
                    </w:p>
                    <w:p w14:paraId="26409398"/>
                    <w:p w14:paraId="166AFEFF">
                      <w:pPr>
                        <w:pStyle w:val="3"/>
                        <w:rPr>
                          <w:rFonts w:ascii="Times New Roman" w:hAnsi="Times New Roman"/>
                          <w:b w:val="0"/>
                          <w:bCs w:val="0"/>
                        </w:rPr>
                      </w:pPr>
                      <w:bookmarkStart w:id="142" w:name="_Toc200290537"/>
                      <w:r>
                        <w:rPr>
                          <w:rFonts w:hint="eastAsia"/>
                          <w:b w:val="0"/>
                          <w:bCs w:val="0"/>
                        </w:rPr>
                        <w:t xml:space="preserve">JJF </w:t>
                      </w:r>
                      <w:r>
                        <w:rPr>
                          <w:rFonts w:ascii="Times New Roman" w:hAnsi="Times New Roman"/>
                          <w:b w:val="0"/>
                          <w:bCs w:val="0"/>
                          <w:sz w:val="30"/>
                          <w:szCs w:val="30"/>
                        </w:rPr>
                        <w:t>X</w:t>
                      </w:r>
                      <w:r>
                        <w:rPr>
                          <w:rFonts w:hint="eastAsia" w:ascii="Times New Roman" w:hAnsi="Times New Roman"/>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hint="eastAsia" w:ascii="Times New Roman" w:hAnsi="Times New Roman"/>
                          <w:b w:val="0"/>
                          <w:bCs w:val="0"/>
                          <w:sz w:val="30"/>
                          <w:szCs w:val="30"/>
                        </w:rPr>
                        <w:t>X</w:t>
                      </w:r>
                      <w:r>
                        <w:rPr>
                          <w:rFonts w:ascii="Times New Roman" w:hAnsi="Times New Roman"/>
                          <w:b w:val="0"/>
                          <w:bCs w:val="0"/>
                          <w:sz w:val="30"/>
                          <w:szCs w:val="30"/>
                        </w:rPr>
                        <w:t>X</w:t>
                      </w:r>
                      <w:r>
                        <w:rPr>
                          <w:rFonts w:hint="eastAsia" w:ascii="Times New Roman" w:hAnsi="Times New Roman"/>
                          <w:b w:val="0"/>
                          <w:bCs w:val="0"/>
                          <w:sz w:val="30"/>
                          <w:szCs w:val="30"/>
                        </w:rPr>
                        <w:t>X</w:t>
                      </w:r>
                      <w:r>
                        <w:rPr>
                          <w:rFonts w:ascii="Times New Roman" w:hAnsi="Times New Roman"/>
                          <w:b w:val="0"/>
                          <w:bCs w:val="0"/>
                          <w:sz w:val="30"/>
                          <w:szCs w:val="30"/>
                        </w:rPr>
                        <w:t>X</w:t>
                      </w:r>
                      <w:bookmarkEnd w:id="142"/>
                    </w:p>
                    <w:p w14:paraId="21C528C6">
                      <w:r>
                        <w:rPr>
                          <w:rFonts w:hint="eastAsia"/>
                          <w:b/>
                          <w:bCs/>
                          <w:sz w:val="30"/>
                        </w:rPr>
                        <w:t>代替JJF1033-2001</w:t>
                      </w:r>
                    </w:p>
                    <w:p w14:paraId="23B9E6E2"/>
                    <w:p w14:paraId="2DDB335C">
                      <w:pPr>
                        <w:pStyle w:val="3"/>
                        <w:rPr>
                          <w:rFonts w:ascii="Times New Roman" w:hAnsi="Times New Roman"/>
                          <w:b w:val="0"/>
                          <w:bCs w:val="0"/>
                        </w:rPr>
                      </w:pPr>
                      <w:bookmarkStart w:id="143" w:name="_Toc200290538"/>
                      <w:r>
                        <w:rPr>
                          <w:rFonts w:hint="eastAsia"/>
                          <w:b w:val="0"/>
                          <w:bCs w:val="0"/>
                        </w:rPr>
                        <w:t xml:space="preserve">JJF </w:t>
                      </w:r>
                      <w:r>
                        <w:rPr>
                          <w:rFonts w:ascii="Times New Roman" w:hAnsi="Times New Roman"/>
                          <w:b w:val="0"/>
                          <w:bCs w:val="0"/>
                          <w:sz w:val="30"/>
                          <w:szCs w:val="30"/>
                        </w:rPr>
                        <w:t>X</w:t>
                      </w:r>
                      <w:r>
                        <w:rPr>
                          <w:rFonts w:hint="eastAsia" w:ascii="Times New Roman" w:hAnsi="Times New Roman"/>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hint="eastAsia" w:ascii="Times New Roman" w:hAnsi="Times New Roman"/>
                          <w:b w:val="0"/>
                          <w:bCs w:val="0"/>
                          <w:sz w:val="30"/>
                          <w:szCs w:val="30"/>
                        </w:rPr>
                        <w:t>X</w:t>
                      </w:r>
                      <w:r>
                        <w:rPr>
                          <w:rFonts w:ascii="Times New Roman" w:hAnsi="Times New Roman"/>
                          <w:b w:val="0"/>
                          <w:bCs w:val="0"/>
                          <w:sz w:val="30"/>
                          <w:szCs w:val="30"/>
                        </w:rPr>
                        <w:t>X</w:t>
                      </w:r>
                      <w:r>
                        <w:rPr>
                          <w:rFonts w:hint="eastAsia" w:ascii="Times New Roman" w:hAnsi="Times New Roman"/>
                          <w:b w:val="0"/>
                          <w:bCs w:val="0"/>
                          <w:sz w:val="30"/>
                          <w:szCs w:val="30"/>
                        </w:rPr>
                        <w:t>X</w:t>
                      </w:r>
                      <w:r>
                        <w:rPr>
                          <w:rFonts w:ascii="Times New Roman" w:hAnsi="Times New Roman"/>
                          <w:b w:val="0"/>
                          <w:bCs w:val="0"/>
                          <w:sz w:val="30"/>
                          <w:szCs w:val="30"/>
                        </w:rPr>
                        <w:t>X</w:t>
                      </w:r>
                      <w:bookmarkEnd w:id="143"/>
                    </w:p>
                    <w:p w14:paraId="4D4E204C">
                      <w:r>
                        <w:rPr>
                          <w:rFonts w:hint="eastAsia"/>
                          <w:b/>
                          <w:bCs/>
                          <w:sz w:val="30"/>
                        </w:rPr>
                        <w:t>代替JJF1033-2001</w:t>
                      </w:r>
                    </w:p>
                    <w:p w14:paraId="4939CF36"/>
                    <w:p w14:paraId="49CF2F05">
                      <w:pPr>
                        <w:pStyle w:val="3"/>
                        <w:rPr>
                          <w:rFonts w:ascii="Times New Roman" w:hAnsi="Times New Roman"/>
                          <w:b w:val="0"/>
                          <w:bCs w:val="0"/>
                        </w:rPr>
                      </w:pPr>
                      <w:bookmarkStart w:id="144" w:name="_Toc200290539"/>
                      <w:r>
                        <w:rPr>
                          <w:rFonts w:hint="eastAsia"/>
                          <w:b w:val="0"/>
                          <w:bCs w:val="0"/>
                        </w:rPr>
                        <w:t xml:space="preserve">JJF </w:t>
                      </w:r>
                      <w:r>
                        <w:rPr>
                          <w:rFonts w:ascii="Times New Roman" w:hAnsi="Times New Roman"/>
                          <w:b w:val="0"/>
                          <w:bCs w:val="0"/>
                          <w:sz w:val="30"/>
                          <w:szCs w:val="30"/>
                        </w:rPr>
                        <w:t>X</w:t>
                      </w:r>
                      <w:r>
                        <w:rPr>
                          <w:rFonts w:hint="eastAsia" w:ascii="Times New Roman" w:hAnsi="Times New Roman"/>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hint="eastAsia" w:ascii="Times New Roman" w:hAnsi="Times New Roman"/>
                          <w:b w:val="0"/>
                          <w:bCs w:val="0"/>
                          <w:sz w:val="30"/>
                          <w:szCs w:val="30"/>
                        </w:rPr>
                        <w:t>X</w:t>
                      </w:r>
                      <w:r>
                        <w:rPr>
                          <w:rFonts w:ascii="Times New Roman" w:hAnsi="Times New Roman"/>
                          <w:b w:val="0"/>
                          <w:bCs w:val="0"/>
                          <w:sz w:val="30"/>
                          <w:szCs w:val="30"/>
                        </w:rPr>
                        <w:t>X</w:t>
                      </w:r>
                      <w:r>
                        <w:rPr>
                          <w:rFonts w:hint="eastAsia" w:ascii="Times New Roman" w:hAnsi="Times New Roman"/>
                          <w:b w:val="0"/>
                          <w:bCs w:val="0"/>
                          <w:sz w:val="30"/>
                          <w:szCs w:val="30"/>
                        </w:rPr>
                        <w:t>X</w:t>
                      </w:r>
                      <w:r>
                        <w:rPr>
                          <w:rFonts w:ascii="Times New Roman" w:hAnsi="Times New Roman"/>
                          <w:b w:val="0"/>
                          <w:bCs w:val="0"/>
                          <w:sz w:val="30"/>
                          <w:szCs w:val="30"/>
                        </w:rPr>
                        <w:t>X</w:t>
                      </w:r>
                      <w:bookmarkEnd w:id="144"/>
                    </w:p>
                    <w:p w14:paraId="2C4BBBF1">
                      <w:r>
                        <w:rPr>
                          <w:rFonts w:hint="eastAsia"/>
                          <w:b/>
                          <w:bCs/>
                          <w:sz w:val="30"/>
                        </w:rPr>
                        <w:t>代替JJF1033-2001</w:t>
                      </w:r>
                    </w:p>
                    <w:p w14:paraId="7075E051"/>
                    <w:p w14:paraId="752B8679">
                      <w:pPr>
                        <w:pStyle w:val="3"/>
                        <w:rPr>
                          <w:rFonts w:ascii="Times New Roman" w:hAnsi="Times New Roman"/>
                          <w:b w:val="0"/>
                          <w:bCs w:val="0"/>
                        </w:rPr>
                      </w:pPr>
                      <w:bookmarkStart w:id="145" w:name="_Toc200290540"/>
                      <w:r>
                        <w:rPr>
                          <w:rFonts w:hint="eastAsia"/>
                          <w:b w:val="0"/>
                          <w:bCs w:val="0"/>
                        </w:rPr>
                        <w:t xml:space="preserve">JJF </w:t>
                      </w:r>
                      <w:r>
                        <w:rPr>
                          <w:rFonts w:ascii="Times New Roman" w:hAnsi="Times New Roman"/>
                          <w:b w:val="0"/>
                          <w:bCs w:val="0"/>
                          <w:sz w:val="30"/>
                          <w:szCs w:val="30"/>
                        </w:rPr>
                        <w:t>X</w:t>
                      </w:r>
                      <w:r>
                        <w:rPr>
                          <w:rFonts w:hint="eastAsia" w:ascii="Times New Roman" w:hAnsi="Times New Roman"/>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hint="eastAsia" w:ascii="Times New Roman" w:hAnsi="Times New Roman"/>
                          <w:b w:val="0"/>
                          <w:bCs w:val="0"/>
                          <w:sz w:val="30"/>
                          <w:szCs w:val="30"/>
                        </w:rPr>
                        <w:t>X</w:t>
                      </w:r>
                      <w:r>
                        <w:rPr>
                          <w:rFonts w:ascii="Times New Roman" w:hAnsi="Times New Roman"/>
                          <w:b w:val="0"/>
                          <w:bCs w:val="0"/>
                          <w:sz w:val="30"/>
                          <w:szCs w:val="30"/>
                        </w:rPr>
                        <w:t>X</w:t>
                      </w:r>
                      <w:r>
                        <w:rPr>
                          <w:rFonts w:hint="eastAsia" w:ascii="Times New Roman" w:hAnsi="Times New Roman"/>
                          <w:b w:val="0"/>
                          <w:bCs w:val="0"/>
                          <w:sz w:val="30"/>
                          <w:szCs w:val="30"/>
                        </w:rPr>
                        <w:t>X</w:t>
                      </w:r>
                      <w:r>
                        <w:rPr>
                          <w:rFonts w:ascii="Times New Roman" w:hAnsi="Times New Roman"/>
                          <w:b w:val="0"/>
                          <w:bCs w:val="0"/>
                          <w:sz w:val="30"/>
                          <w:szCs w:val="30"/>
                        </w:rPr>
                        <w:t>X</w:t>
                      </w:r>
                      <w:bookmarkEnd w:id="145"/>
                    </w:p>
                    <w:p w14:paraId="21D2C453">
                      <w:r>
                        <w:rPr>
                          <w:rFonts w:hint="eastAsia"/>
                          <w:b/>
                          <w:bCs/>
                          <w:sz w:val="30"/>
                        </w:rPr>
                        <w:t>代替JJF1033-2001</w:t>
                      </w:r>
                    </w:p>
                    <w:p w14:paraId="2DC25B14"/>
                    <w:p w14:paraId="142CC737">
                      <w:pPr>
                        <w:pStyle w:val="3"/>
                        <w:rPr>
                          <w:rFonts w:ascii="Times New Roman" w:hAnsi="Times New Roman"/>
                          <w:b w:val="0"/>
                          <w:bCs w:val="0"/>
                        </w:rPr>
                      </w:pPr>
                      <w:bookmarkStart w:id="146" w:name="_Toc200290541"/>
                      <w:r>
                        <w:rPr>
                          <w:rFonts w:hint="eastAsia"/>
                          <w:b w:val="0"/>
                          <w:bCs w:val="0"/>
                        </w:rPr>
                        <w:t xml:space="preserve">JJF </w:t>
                      </w:r>
                      <w:r>
                        <w:rPr>
                          <w:rFonts w:ascii="Times New Roman" w:hAnsi="Times New Roman"/>
                          <w:b w:val="0"/>
                          <w:bCs w:val="0"/>
                          <w:sz w:val="30"/>
                          <w:szCs w:val="30"/>
                        </w:rPr>
                        <w:t>X</w:t>
                      </w:r>
                      <w:r>
                        <w:rPr>
                          <w:rFonts w:hint="eastAsia" w:ascii="Times New Roman" w:hAnsi="Times New Roman"/>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hint="eastAsia" w:ascii="Times New Roman" w:hAnsi="Times New Roman"/>
                          <w:b w:val="0"/>
                          <w:bCs w:val="0"/>
                          <w:sz w:val="30"/>
                          <w:szCs w:val="30"/>
                        </w:rPr>
                        <w:t>X</w:t>
                      </w:r>
                      <w:r>
                        <w:rPr>
                          <w:rFonts w:ascii="Times New Roman" w:hAnsi="Times New Roman"/>
                          <w:b w:val="0"/>
                          <w:bCs w:val="0"/>
                          <w:sz w:val="30"/>
                          <w:szCs w:val="30"/>
                        </w:rPr>
                        <w:t>X</w:t>
                      </w:r>
                      <w:r>
                        <w:rPr>
                          <w:rFonts w:hint="eastAsia" w:ascii="Times New Roman" w:hAnsi="Times New Roman"/>
                          <w:b w:val="0"/>
                          <w:bCs w:val="0"/>
                          <w:sz w:val="30"/>
                          <w:szCs w:val="30"/>
                        </w:rPr>
                        <w:t>X</w:t>
                      </w:r>
                      <w:r>
                        <w:rPr>
                          <w:rFonts w:ascii="Times New Roman" w:hAnsi="Times New Roman"/>
                          <w:b w:val="0"/>
                          <w:bCs w:val="0"/>
                          <w:sz w:val="30"/>
                          <w:szCs w:val="30"/>
                        </w:rPr>
                        <w:t>X</w:t>
                      </w:r>
                      <w:bookmarkEnd w:id="146"/>
                    </w:p>
                    <w:p w14:paraId="14E33E42">
                      <w:r>
                        <w:rPr>
                          <w:rFonts w:hint="eastAsia"/>
                          <w:b/>
                          <w:bCs/>
                          <w:sz w:val="30"/>
                        </w:rPr>
                        <w:t>代替JJF1033-2001</w:t>
                      </w:r>
                    </w:p>
                    <w:p w14:paraId="6CD82312"/>
                    <w:p w14:paraId="3AC6531D">
                      <w:pPr>
                        <w:pStyle w:val="3"/>
                        <w:rPr>
                          <w:rFonts w:ascii="Times New Roman" w:hAnsi="Times New Roman"/>
                          <w:b w:val="0"/>
                          <w:bCs w:val="0"/>
                        </w:rPr>
                      </w:pPr>
                      <w:bookmarkStart w:id="147" w:name="_Toc200290542"/>
                      <w:r>
                        <w:rPr>
                          <w:rFonts w:hint="eastAsia"/>
                          <w:b w:val="0"/>
                          <w:bCs w:val="0"/>
                        </w:rPr>
                        <w:t xml:space="preserve">JJF </w:t>
                      </w:r>
                      <w:r>
                        <w:rPr>
                          <w:rFonts w:ascii="Times New Roman" w:hAnsi="Times New Roman"/>
                          <w:b w:val="0"/>
                          <w:bCs w:val="0"/>
                          <w:sz w:val="30"/>
                          <w:szCs w:val="30"/>
                        </w:rPr>
                        <w:t>X</w:t>
                      </w:r>
                      <w:r>
                        <w:rPr>
                          <w:rFonts w:hint="eastAsia" w:ascii="Times New Roman" w:hAnsi="Times New Roman"/>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hint="eastAsia" w:ascii="Times New Roman" w:hAnsi="Times New Roman"/>
                          <w:b w:val="0"/>
                          <w:bCs w:val="0"/>
                          <w:sz w:val="30"/>
                          <w:szCs w:val="30"/>
                        </w:rPr>
                        <w:t>X</w:t>
                      </w:r>
                      <w:r>
                        <w:rPr>
                          <w:rFonts w:ascii="Times New Roman" w:hAnsi="Times New Roman"/>
                          <w:b w:val="0"/>
                          <w:bCs w:val="0"/>
                          <w:sz w:val="30"/>
                          <w:szCs w:val="30"/>
                        </w:rPr>
                        <w:t>X</w:t>
                      </w:r>
                      <w:r>
                        <w:rPr>
                          <w:rFonts w:hint="eastAsia" w:ascii="Times New Roman" w:hAnsi="Times New Roman"/>
                          <w:b w:val="0"/>
                          <w:bCs w:val="0"/>
                          <w:sz w:val="30"/>
                          <w:szCs w:val="30"/>
                        </w:rPr>
                        <w:t>X</w:t>
                      </w:r>
                      <w:r>
                        <w:rPr>
                          <w:rFonts w:ascii="Times New Roman" w:hAnsi="Times New Roman"/>
                          <w:b w:val="0"/>
                          <w:bCs w:val="0"/>
                          <w:sz w:val="30"/>
                          <w:szCs w:val="30"/>
                        </w:rPr>
                        <w:t>X</w:t>
                      </w:r>
                      <w:bookmarkEnd w:id="147"/>
                    </w:p>
                    <w:p w14:paraId="656F56D3">
                      <w:r>
                        <w:rPr>
                          <w:rFonts w:hint="eastAsia"/>
                          <w:b/>
                          <w:bCs/>
                          <w:sz w:val="30"/>
                        </w:rPr>
                        <w:t>代替JJF1033-2001</w:t>
                      </w:r>
                    </w:p>
                    <w:p w14:paraId="7B62CDF1"/>
                    <w:p w14:paraId="020C27B1">
                      <w:pPr>
                        <w:pStyle w:val="3"/>
                        <w:rPr>
                          <w:rFonts w:ascii="Times New Roman" w:hAnsi="Times New Roman"/>
                          <w:b w:val="0"/>
                          <w:bCs w:val="0"/>
                        </w:rPr>
                      </w:pPr>
                      <w:bookmarkStart w:id="148" w:name="_Toc200290543"/>
                      <w:r>
                        <w:rPr>
                          <w:rFonts w:hint="eastAsia"/>
                          <w:b w:val="0"/>
                          <w:bCs w:val="0"/>
                        </w:rPr>
                        <w:t xml:space="preserve">JJF </w:t>
                      </w:r>
                      <w:r>
                        <w:rPr>
                          <w:rFonts w:ascii="Times New Roman" w:hAnsi="Times New Roman"/>
                          <w:b w:val="0"/>
                          <w:bCs w:val="0"/>
                          <w:sz w:val="30"/>
                          <w:szCs w:val="30"/>
                        </w:rPr>
                        <w:t>X</w:t>
                      </w:r>
                      <w:r>
                        <w:rPr>
                          <w:rFonts w:hint="eastAsia" w:ascii="Times New Roman" w:hAnsi="Times New Roman"/>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hint="eastAsia" w:ascii="Times New Roman" w:hAnsi="Times New Roman"/>
                          <w:b w:val="0"/>
                          <w:bCs w:val="0"/>
                          <w:sz w:val="30"/>
                          <w:szCs w:val="30"/>
                        </w:rPr>
                        <w:t>X</w:t>
                      </w:r>
                      <w:r>
                        <w:rPr>
                          <w:rFonts w:ascii="Times New Roman" w:hAnsi="Times New Roman"/>
                          <w:b w:val="0"/>
                          <w:bCs w:val="0"/>
                          <w:sz w:val="30"/>
                          <w:szCs w:val="30"/>
                        </w:rPr>
                        <w:t>X</w:t>
                      </w:r>
                      <w:r>
                        <w:rPr>
                          <w:rFonts w:hint="eastAsia" w:ascii="Times New Roman" w:hAnsi="Times New Roman"/>
                          <w:b w:val="0"/>
                          <w:bCs w:val="0"/>
                          <w:sz w:val="30"/>
                          <w:szCs w:val="30"/>
                        </w:rPr>
                        <w:t>X</w:t>
                      </w:r>
                      <w:r>
                        <w:rPr>
                          <w:rFonts w:ascii="Times New Roman" w:hAnsi="Times New Roman"/>
                          <w:b w:val="0"/>
                          <w:bCs w:val="0"/>
                          <w:sz w:val="30"/>
                          <w:szCs w:val="30"/>
                        </w:rPr>
                        <w:t>X</w:t>
                      </w:r>
                      <w:bookmarkEnd w:id="148"/>
                    </w:p>
                    <w:p w14:paraId="275B6EE5">
                      <w:r>
                        <w:rPr>
                          <w:rFonts w:hint="eastAsia"/>
                          <w:b/>
                          <w:bCs/>
                          <w:sz w:val="30"/>
                        </w:rPr>
                        <w:t>代替JJF1033-2001</w:t>
                      </w:r>
                    </w:p>
                    <w:p w14:paraId="79BA0681"/>
                    <w:p w14:paraId="7098865C">
                      <w:pPr>
                        <w:pStyle w:val="3"/>
                        <w:rPr>
                          <w:rFonts w:ascii="Times New Roman" w:hAnsi="Times New Roman"/>
                          <w:b w:val="0"/>
                          <w:bCs w:val="0"/>
                        </w:rPr>
                      </w:pPr>
                      <w:bookmarkStart w:id="149" w:name="_Toc200290544"/>
                      <w:r>
                        <w:rPr>
                          <w:rFonts w:hint="eastAsia"/>
                          <w:b w:val="0"/>
                          <w:bCs w:val="0"/>
                        </w:rPr>
                        <w:t xml:space="preserve">JJF </w:t>
                      </w:r>
                      <w:r>
                        <w:rPr>
                          <w:rFonts w:ascii="Times New Roman" w:hAnsi="Times New Roman"/>
                          <w:b w:val="0"/>
                          <w:bCs w:val="0"/>
                          <w:sz w:val="30"/>
                          <w:szCs w:val="30"/>
                        </w:rPr>
                        <w:t>X</w:t>
                      </w:r>
                      <w:r>
                        <w:rPr>
                          <w:rFonts w:hint="eastAsia" w:ascii="Times New Roman" w:hAnsi="Times New Roman"/>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hint="eastAsia" w:ascii="Times New Roman" w:hAnsi="Times New Roman"/>
                          <w:b w:val="0"/>
                          <w:bCs w:val="0"/>
                          <w:sz w:val="30"/>
                          <w:szCs w:val="30"/>
                        </w:rPr>
                        <w:t>X</w:t>
                      </w:r>
                      <w:r>
                        <w:rPr>
                          <w:rFonts w:ascii="Times New Roman" w:hAnsi="Times New Roman"/>
                          <w:b w:val="0"/>
                          <w:bCs w:val="0"/>
                          <w:sz w:val="30"/>
                          <w:szCs w:val="30"/>
                        </w:rPr>
                        <w:t>X</w:t>
                      </w:r>
                      <w:r>
                        <w:rPr>
                          <w:rFonts w:hint="eastAsia" w:ascii="Times New Roman" w:hAnsi="Times New Roman"/>
                          <w:b w:val="0"/>
                          <w:bCs w:val="0"/>
                          <w:sz w:val="30"/>
                          <w:szCs w:val="30"/>
                        </w:rPr>
                        <w:t>X</w:t>
                      </w:r>
                      <w:r>
                        <w:rPr>
                          <w:rFonts w:ascii="Times New Roman" w:hAnsi="Times New Roman"/>
                          <w:b w:val="0"/>
                          <w:bCs w:val="0"/>
                          <w:sz w:val="30"/>
                          <w:szCs w:val="30"/>
                        </w:rPr>
                        <w:t>X</w:t>
                      </w:r>
                      <w:bookmarkEnd w:id="149"/>
                    </w:p>
                    <w:p w14:paraId="26676F3C">
                      <w:r>
                        <w:rPr>
                          <w:rFonts w:hint="eastAsia"/>
                          <w:b/>
                          <w:bCs/>
                          <w:sz w:val="30"/>
                        </w:rPr>
                        <w:t>代替JJF1033-2001</w:t>
                      </w:r>
                    </w:p>
                    <w:p w14:paraId="6923155B"/>
                    <w:p w14:paraId="01F7259F">
                      <w:pPr>
                        <w:pStyle w:val="3"/>
                        <w:rPr>
                          <w:rFonts w:ascii="Times New Roman" w:hAnsi="Times New Roman"/>
                          <w:b w:val="0"/>
                          <w:bCs w:val="0"/>
                        </w:rPr>
                      </w:pPr>
                      <w:bookmarkStart w:id="150" w:name="_Toc200290545"/>
                      <w:r>
                        <w:rPr>
                          <w:rFonts w:hint="eastAsia"/>
                          <w:b w:val="0"/>
                          <w:bCs w:val="0"/>
                        </w:rPr>
                        <w:t xml:space="preserve">JJF </w:t>
                      </w:r>
                      <w:r>
                        <w:rPr>
                          <w:rFonts w:ascii="Times New Roman" w:hAnsi="Times New Roman"/>
                          <w:b w:val="0"/>
                          <w:bCs w:val="0"/>
                          <w:sz w:val="30"/>
                          <w:szCs w:val="30"/>
                        </w:rPr>
                        <w:t>X</w:t>
                      </w:r>
                      <w:r>
                        <w:rPr>
                          <w:rFonts w:hint="eastAsia" w:ascii="Times New Roman" w:hAnsi="Times New Roman"/>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hint="eastAsia" w:ascii="Times New Roman" w:hAnsi="Times New Roman"/>
                          <w:b w:val="0"/>
                          <w:bCs w:val="0"/>
                          <w:sz w:val="30"/>
                          <w:szCs w:val="30"/>
                        </w:rPr>
                        <w:t>X</w:t>
                      </w:r>
                      <w:r>
                        <w:rPr>
                          <w:rFonts w:ascii="Times New Roman" w:hAnsi="Times New Roman"/>
                          <w:b w:val="0"/>
                          <w:bCs w:val="0"/>
                          <w:sz w:val="30"/>
                          <w:szCs w:val="30"/>
                        </w:rPr>
                        <w:t>X</w:t>
                      </w:r>
                      <w:r>
                        <w:rPr>
                          <w:rFonts w:hint="eastAsia" w:ascii="Times New Roman" w:hAnsi="Times New Roman"/>
                          <w:b w:val="0"/>
                          <w:bCs w:val="0"/>
                          <w:sz w:val="30"/>
                          <w:szCs w:val="30"/>
                        </w:rPr>
                        <w:t>X</w:t>
                      </w:r>
                      <w:r>
                        <w:rPr>
                          <w:rFonts w:ascii="Times New Roman" w:hAnsi="Times New Roman"/>
                          <w:b w:val="0"/>
                          <w:bCs w:val="0"/>
                          <w:sz w:val="30"/>
                          <w:szCs w:val="30"/>
                        </w:rPr>
                        <w:t>X</w:t>
                      </w:r>
                      <w:bookmarkEnd w:id="150"/>
                    </w:p>
                    <w:p w14:paraId="016AE4E9">
                      <w:r>
                        <w:rPr>
                          <w:rFonts w:hint="eastAsia"/>
                          <w:b/>
                          <w:bCs/>
                          <w:sz w:val="30"/>
                        </w:rPr>
                        <w:t>代替JJF1033-2001</w:t>
                      </w:r>
                    </w:p>
                    <w:p w14:paraId="7CDC6F32"/>
                    <w:p w14:paraId="2FA2DCFA">
                      <w:pPr>
                        <w:pStyle w:val="3"/>
                        <w:rPr>
                          <w:rFonts w:ascii="Times New Roman" w:hAnsi="Times New Roman"/>
                          <w:b w:val="0"/>
                          <w:bCs w:val="0"/>
                        </w:rPr>
                      </w:pPr>
                      <w:bookmarkStart w:id="151" w:name="_Toc200290546"/>
                      <w:r>
                        <w:rPr>
                          <w:rFonts w:hint="eastAsia"/>
                          <w:b w:val="0"/>
                          <w:bCs w:val="0"/>
                        </w:rPr>
                        <w:t xml:space="preserve">JJF </w:t>
                      </w:r>
                      <w:r>
                        <w:rPr>
                          <w:rFonts w:ascii="Times New Roman" w:hAnsi="Times New Roman"/>
                          <w:b w:val="0"/>
                          <w:bCs w:val="0"/>
                          <w:sz w:val="30"/>
                          <w:szCs w:val="30"/>
                        </w:rPr>
                        <w:t>X</w:t>
                      </w:r>
                      <w:r>
                        <w:rPr>
                          <w:rFonts w:hint="eastAsia" w:ascii="Times New Roman" w:hAnsi="Times New Roman"/>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hint="eastAsia" w:ascii="Times New Roman" w:hAnsi="Times New Roman"/>
                          <w:b w:val="0"/>
                          <w:bCs w:val="0"/>
                          <w:sz w:val="30"/>
                          <w:szCs w:val="30"/>
                        </w:rPr>
                        <w:t>X</w:t>
                      </w:r>
                      <w:r>
                        <w:rPr>
                          <w:rFonts w:ascii="Times New Roman" w:hAnsi="Times New Roman"/>
                          <w:b w:val="0"/>
                          <w:bCs w:val="0"/>
                          <w:sz w:val="30"/>
                          <w:szCs w:val="30"/>
                        </w:rPr>
                        <w:t>X</w:t>
                      </w:r>
                      <w:r>
                        <w:rPr>
                          <w:rFonts w:hint="eastAsia" w:ascii="Times New Roman" w:hAnsi="Times New Roman"/>
                          <w:b w:val="0"/>
                          <w:bCs w:val="0"/>
                          <w:sz w:val="30"/>
                          <w:szCs w:val="30"/>
                        </w:rPr>
                        <w:t>X</w:t>
                      </w:r>
                      <w:r>
                        <w:rPr>
                          <w:rFonts w:ascii="Times New Roman" w:hAnsi="Times New Roman"/>
                          <w:b w:val="0"/>
                          <w:bCs w:val="0"/>
                          <w:sz w:val="30"/>
                          <w:szCs w:val="30"/>
                        </w:rPr>
                        <w:t>X</w:t>
                      </w:r>
                      <w:bookmarkEnd w:id="151"/>
                    </w:p>
                    <w:p w14:paraId="16042762">
                      <w:r>
                        <w:rPr>
                          <w:rFonts w:hint="eastAsia"/>
                          <w:b/>
                          <w:bCs/>
                          <w:sz w:val="30"/>
                        </w:rPr>
                        <w:t>代替JJF1033-2001</w:t>
                      </w:r>
                    </w:p>
                    <w:p w14:paraId="386795CC"/>
                    <w:p w14:paraId="1D29E2C9">
                      <w:pPr>
                        <w:pStyle w:val="3"/>
                        <w:rPr>
                          <w:rFonts w:ascii="Times New Roman" w:hAnsi="Times New Roman"/>
                          <w:b w:val="0"/>
                          <w:bCs w:val="0"/>
                        </w:rPr>
                      </w:pPr>
                      <w:bookmarkStart w:id="152" w:name="_Toc200290547"/>
                      <w:r>
                        <w:rPr>
                          <w:rFonts w:hint="eastAsia"/>
                          <w:b w:val="0"/>
                          <w:bCs w:val="0"/>
                        </w:rPr>
                        <w:t xml:space="preserve">JJF </w:t>
                      </w:r>
                      <w:r>
                        <w:rPr>
                          <w:rFonts w:ascii="Times New Roman" w:hAnsi="Times New Roman"/>
                          <w:b w:val="0"/>
                          <w:bCs w:val="0"/>
                          <w:sz w:val="30"/>
                          <w:szCs w:val="30"/>
                        </w:rPr>
                        <w:t>X</w:t>
                      </w:r>
                      <w:r>
                        <w:rPr>
                          <w:rFonts w:hint="eastAsia" w:ascii="Times New Roman" w:hAnsi="Times New Roman"/>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hint="eastAsia" w:ascii="Times New Roman" w:hAnsi="Times New Roman"/>
                          <w:b w:val="0"/>
                          <w:bCs w:val="0"/>
                          <w:sz w:val="30"/>
                          <w:szCs w:val="30"/>
                        </w:rPr>
                        <w:t>X</w:t>
                      </w:r>
                      <w:r>
                        <w:rPr>
                          <w:rFonts w:ascii="Times New Roman" w:hAnsi="Times New Roman"/>
                          <w:b w:val="0"/>
                          <w:bCs w:val="0"/>
                          <w:sz w:val="30"/>
                          <w:szCs w:val="30"/>
                        </w:rPr>
                        <w:t>X</w:t>
                      </w:r>
                      <w:r>
                        <w:rPr>
                          <w:rFonts w:hint="eastAsia" w:ascii="Times New Roman" w:hAnsi="Times New Roman"/>
                          <w:b w:val="0"/>
                          <w:bCs w:val="0"/>
                          <w:sz w:val="30"/>
                          <w:szCs w:val="30"/>
                        </w:rPr>
                        <w:t>X</w:t>
                      </w:r>
                      <w:r>
                        <w:rPr>
                          <w:rFonts w:ascii="Times New Roman" w:hAnsi="Times New Roman"/>
                          <w:b w:val="0"/>
                          <w:bCs w:val="0"/>
                          <w:sz w:val="30"/>
                          <w:szCs w:val="30"/>
                        </w:rPr>
                        <w:t>X</w:t>
                      </w:r>
                      <w:bookmarkEnd w:id="152"/>
                    </w:p>
                    <w:p w14:paraId="6AEE0A50">
                      <w:r>
                        <w:rPr>
                          <w:rFonts w:hint="eastAsia"/>
                          <w:b/>
                          <w:bCs/>
                          <w:sz w:val="30"/>
                        </w:rPr>
                        <w:t>代替JJF1033-2001</w:t>
                      </w:r>
                    </w:p>
                    <w:p w14:paraId="490EA256"/>
                    <w:p w14:paraId="5176A012">
                      <w:pPr>
                        <w:pStyle w:val="3"/>
                        <w:rPr>
                          <w:rFonts w:ascii="Times New Roman" w:hAnsi="Times New Roman"/>
                          <w:b w:val="0"/>
                          <w:bCs w:val="0"/>
                        </w:rPr>
                      </w:pPr>
                      <w:bookmarkStart w:id="153" w:name="_Toc200290548"/>
                      <w:r>
                        <w:rPr>
                          <w:rFonts w:hint="eastAsia"/>
                          <w:b w:val="0"/>
                          <w:bCs w:val="0"/>
                        </w:rPr>
                        <w:t xml:space="preserve">JJF </w:t>
                      </w:r>
                      <w:r>
                        <w:rPr>
                          <w:rFonts w:ascii="Times New Roman" w:hAnsi="Times New Roman"/>
                          <w:b w:val="0"/>
                          <w:bCs w:val="0"/>
                          <w:sz w:val="30"/>
                          <w:szCs w:val="30"/>
                        </w:rPr>
                        <w:t>X</w:t>
                      </w:r>
                      <w:r>
                        <w:rPr>
                          <w:rFonts w:hint="eastAsia" w:ascii="Times New Roman" w:hAnsi="Times New Roman"/>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hint="eastAsia" w:ascii="Times New Roman" w:hAnsi="Times New Roman"/>
                          <w:b w:val="0"/>
                          <w:bCs w:val="0"/>
                          <w:sz w:val="30"/>
                          <w:szCs w:val="30"/>
                        </w:rPr>
                        <w:t>X</w:t>
                      </w:r>
                      <w:r>
                        <w:rPr>
                          <w:rFonts w:ascii="Times New Roman" w:hAnsi="Times New Roman"/>
                          <w:b w:val="0"/>
                          <w:bCs w:val="0"/>
                          <w:sz w:val="30"/>
                          <w:szCs w:val="30"/>
                        </w:rPr>
                        <w:t>X</w:t>
                      </w:r>
                      <w:r>
                        <w:rPr>
                          <w:rFonts w:hint="eastAsia" w:ascii="Times New Roman" w:hAnsi="Times New Roman"/>
                          <w:b w:val="0"/>
                          <w:bCs w:val="0"/>
                          <w:sz w:val="30"/>
                          <w:szCs w:val="30"/>
                        </w:rPr>
                        <w:t>X</w:t>
                      </w:r>
                      <w:r>
                        <w:rPr>
                          <w:rFonts w:ascii="Times New Roman" w:hAnsi="Times New Roman"/>
                          <w:b w:val="0"/>
                          <w:bCs w:val="0"/>
                          <w:sz w:val="30"/>
                          <w:szCs w:val="30"/>
                        </w:rPr>
                        <w:t>X</w:t>
                      </w:r>
                      <w:bookmarkEnd w:id="153"/>
                    </w:p>
                    <w:p w14:paraId="4EE7C2C8">
                      <w:r>
                        <w:rPr>
                          <w:rFonts w:hint="eastAsia"/>
                          <w:b/>
                          <w:bCs/>
                          <w:sz w:val="30"/>
                        </w:rPr>
                        <w:t>代替JJF1033-2001</w:t>
                      </w:r>
                    </w:p>
                    <w:p w14:paraId="2C28503E"/>
                    <w:p w14:paraId="7FA260E8">
                      <w:pPr>
                        <w:pStyle w:val="3"/>
                        <w:rPr>
                          <w:rFonts w:ascii="Times New Roman" w:hAnsi="Times New Roman"/>
                          <w:b w:val="0"/>
                          <w:bCs w:val="0"/>
                        </w:rPr>
                      </w:pPr>
                      <w:bookmarkStart w:id="154" w:name="_Toc200290549"/>
                      <w:r>
                        <w:rPr>
                          <w:rFonts w:hint="eastAsia"/>
                          <w:b w:val="0"/>
                          <w:bCs w:val="0"/>
                        </w:rPr>
                        <w:t xml:space="preserve">JJF </w:t>
                      </w:r>
                      <w:r>
                        <w:rPr>
                          <w:rFonts w:ascii="Times New Roman" w:hAnsi="Times New Roman"/>
                          <w:b w:val="0"/>
                          <w:bCs w:val="0"/>
                          <w:sz w:val="30"/>
                          <w:szCs w:val="30"/>
                        </w:rPr>
                        <w:t>X</w:t>
                      </w:r>
                      <w:r>
                        <w:rPr>
                          <w:rFonts w:hint="eastAsia" w:ascii="Times New Roman" w:hAnsi="Times New Roman"/>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hint="eastAsia" w:ascii="Times New Roman" w:hAnsi="Times New Roman"/>
                          <w:b w:val="0"/>
                          <w:bCs w:val="0"/>
                          <w:sz w:val="30"/>
                          <w:szCs w:val="30"/>
                        </w:rPr>
                        <w:t>X</w:t>
                      </w:r>
                      <w:r>
                        <w:rPr>
                          <w:rFonts w:ascii="Times New Roman" w:hAnsi="Times New Roman"/>
                          <w:b w:val="0"/>
                          <w:bCs w:val="0"/>
                          <w:sz w:val="30"/>
                          <w:szCs w:val="30"/>
                        </w:rPr>
                        <w:t>X</w:t>
                      </w:r>
                      <w:r>
                        <w:rPr>
                          <w:rFonts w:hint="eastAsia" w:ascii="Times New Roman" w:hAnsi="Times New Roman"/>
                          <w:b w:val="0"/>
                          <w:bCs w:val="0"/>
                          <w:sz w:val="30"/>
                          <w:szCs w:val="30"/>
                        </w:rPr>
                        <w:t>X</w:t>
                      </w:r>
                      <w:r>
                        <w:rPr>
                          <w:rFonts w:ascii="Times New Roman" w:hAnsi="Times New Roman"/>
                          <w:b w:val="0"/>
                          <w:bCs w:val="0"/>
                          <w:sz w:val="30"/>
                          <w:szCs w:val="30"/>
                        </w:rPr>
                        <w:t>X</w:t>
                      </w:r>
                      <w:bookmarkEnd w:id="133"/>
                      <w:bookmarkEnd w:id="134"/>
                      <w:bookmarkEnd w:id="154"/>
                    </w:p>
                    <w:p w14:paraId="136CB100">
                      <w:r>
                        <w:rPr>
                          <w:rFonts w:hint="eastAsia"/>
                          <w:b/>
                          <w:bCs/>
                          <w:sz w:val="30"/>
                        </w:rPr>
                        <w:t>代替JJF1033-2001</w:t>
                      </w:r>
                    </w:p>
                    <w:p w14:paraId="4BCF0545"/>
                    <w:p w14:paraId="600A11B7">
                      <w:pPr>
                        <w:pStyle w:val="3"/>
                        <w:rPr>
                          <w:rFonts w:ascii="Times New Roman" w:hAnsi="Times New Roman"/>
                          <w:b w:val="0"/>
                          <w:bCs w:val="0"/>
                        </w:rPr>
                      </w:pPr>
                      <w:bookmarkStart w:id="155" w:name="_Toc200234300"/>
                      <w:bookmarkStart w:id="156" w:name="_Toc200290550"/>
                      <w:r>
                        <w:rPr>
                          <w:rFonts w:hint="eastAsia"/>
                          <w:b w:val="0"/>
                          <w:bCs w:val="0"/>
                        </w:rPr>
                        <w:t xml:space="preserve">JJF </w:t>
                      </w:r>
                      <w:r>
                        <w:rPr>
                          <w:rFonts w:ascii="Times New Roman" w:hAnsi="Times New Roman"/>
                          <w:b w:val="0"/>
                          <w:bCs w:val="0"/>
                          <w:sz w:val="30"/>
                          <w:szCs w:val="30"/>
                        </w:rPr>
                        <w:t>X</w:t>
                      </w:r>
                      <w:r>
                        <w:rPr>
                          <w:rFonts w:hint="eastAsia" w:ascii="Times New Roman" w:hAnsi="Times New Roman"/>
                          <w:b w:val="0"/>
                          <w:bCs w:val="0"/>
                          <w:sz w:val="30"/>
                          <w:szCs w:val="30"/>
                        </w:rPr>
                        <w:t>XX</w:t>
                      </w:r>
                      <w:r>
                        <w:rPr>
                          <w:rFonts w:ascii="Times New Roman" w:hAnsi="Times New Roman"/>
                          <w:b w:val="0"/>
                          <w:bCs w:val="0"/>
                          <w:sz w:val="30"/>
                          <w:szCs w:val="30"/>
                        </w:rPr>
                        <w:t>X</w:t>
                      </w:r>
                      <w:r>
                        <w:rPr>
                          <w:rFonts w:ascii="Times New Roman" w:hAnsi="Times New Roman"/>
                          <w:b w:val="0"/>
                          <w:bCs w:val="0"/>
                        </w:rPr>
                        <w:t>—</w:t>
                      </w:r>
                      <w:r>
                        <w:rPr>
                          <w:rFonts w:hint="eastAsia" w:ascii="Times New Roman" w:hAnsi="Times New Roman"/>
                          <w:b w:val="0"/>
                          <w:bCs w:val="0"/>
                          <w:sz w:val="30"/>
                          <w:szCs w:val="30"/>
                        </w:rPr>
                        <w:t>X</w:t>
                      </w:r>
                      <w:r>
                        <w:rPr>
                          <w:rFonts w:ascii="Times New Roman" w:hAnsi="Times New Roman"/>
                          <w:b w:val="0"/>
                          <w:bCs w:val="0"/>
                          <w:sz w:val="30"/>
                          <w:szCs w:val="30"/>
                        </w:rPr>
                        <w:t>X</w:t>
                      </w:r>
                      <w:r>
                        <w:rPr>
                          <w:rFonts w:hint="eastAsia" w:ascii="Times New Roman" w:hAnsi="Times New Roman"/>
                          <w:b w:val="0"/>
                          <w:bCs w:val="0"/>
                          <w:sz w:val="30"/>
                          <w:szCs w:val="30"/>
                        </w:rPr>
                        <w:t>X</w:t>
                      </w:r>
                      <w:r>
                        <w:rPr>
                          <w:rFonts w:ascii="Times New Roman" w:hAnsi="Times New Roman"/>
                          <w:b w:val="0"/>
                          <w:bCs w:val="0"/>
                          <w:sz w:val="30"/>
                          <w:szCs w:val="30"/>
                        </w:rPr>
                        <w:t>X</w:t>
                      </w:r>
                      <w:bookmarkEnd w:id="135"/>
                      <w:bookmarkEnd w:id="136"/>
                      <w:bookmarkEnd w:id="137"/>
                      <w:bookmarkEnd w:id="138"/>
                      <w:bookmarkEnd w:id="139"/>
                      <w:bookmarkEnd w:id="155"/>
                      <w:bookmarkEnd w:id="156"/>
                    </w:p>
                    <w:p w14:paraId="7D5677A9">
                      <w:r>
                        <w:rPr>
                          <w:rFonts w:hint="eastAsia"/>
                          <w:b/>
                          <w:bCs/>
                          <w:sz w:val="30"/>
                        </w:rPr>
                        <w:t>代替JJF1033-2001</w:t>
                      </w:r>
                    </w:p>
                  </w:txbxContent>
                </v:textbox>
              </v:rect>
            </w:pict>
          </mc:Fallback>
        </mc:AlternateContent>
      </w:r>
      <w:r>
        <w:rPr>
          <w:rFonts w:eastAsia="黑体"/>
          <w:sz w:val="44"/>
          <w:szCs w:val="44"/>
        </w:rPr>
        <w:t>船载水声探测系统噪声</w:t>
      </w:r>
    </w:p>
    <w:p w14:paraId="539FF202">
      <w:pPr>
        <w:tabs>
          <w:tab w:val="left" w:pos="6000"/>
        </w:tabs>
        <w:spacing w:line="560" w:lineRule="exact"/>
        <w:ind w:firstLine="1320" w:firstLineChars="300"/>
        <w:jc w:val="left"/>
        <w:rPr>
          <w:sz w:val="44"/>
          <w:szCs w:val="44"/>
        </w:rPr>
      </w:pPr>
      <w:r>
        <w:rPr>
          <w:rFonts w:eastAsia="黑体"/>
          <w:sz w:val="44"/>
          <w:szCs w:val="44"/>
        </w:rPr>
        <w:t>原位校准规范</w:t>
      </w:r>
    </w:p>
    <w:p w14:paraId="3A1424B9">
      <w:pPr>
        <w:spacing w:line="480" w:lineRule="auto"/>
        <w:ind w:firstLine="252" w:firstLineChars="100"/>
        <w:rPr>
          <w:rFonts w:eastAsia="黑体"/>
          <w:w w:val="90"/>
          <w:kern w:val="0"/>
          <w:sz w:val="28"/>
          <w:szCs w:val="28"/>
        </w:rPr>
      </w:pPr>
      <w:r>
        <w:rPr>
          <w:rFonts w:eastAsia="黑体"/>
          <w:w w:val="90"/>
          <w:kern w:val="0"/>
          <w:sz w:val="28"/>
          <w:szCs w:val="28"/>
        </w:rPr>
        <w:t>Calibration</w:t>
      </w:r>
      <w:r>
        <w:rPr>
          <w:rFonts w:hint="eastAsia" w:eastAsia="黑体"/>
          <w:w w:val="90"/>
          <w:kern w:val="0"/>
          <w:sz w:val="28"/>
          <w:szCs w:val="28"/>
          <w:lang w:val="en-US" w:eastAsia="zh-CN"/>
        </w:rPr>
        <w:t xml:space="preserve"> s</w:t>
      </w:r>
      <w:r>
        <w:rPr>
          <w:rFonts w:eastAsia="黑体"/>
          <w:w w:val="90"/>
          <w:kern w:val="0"/>
          <w:sz w:val="28"/>
          <w:szCs w:val="28"/>
        </w:rPr>
        <w:t xml:space="preserve">pecification for in-situ calibration of noise in </w:t>
      </w:r>
    </w:p>
    <w:p w14:paraId="31D1998F">
      <w:pPr>
        <w:spacing w:line="480" w:lineRule="auto"/>
        <w:ind w:firstLine="504" w:firstLineChars="200"/>
        <w:rPr>
          <w:rFonts w:eastAsia="黑体"/>
          <w:w w:val="90"/>
          <w:kern w:val="0"/>
          <w:sz w:val="28"/>
          <w:szCs w:val="28"/>
        </w:rPr>
      </w:pPr>
      <w:r>
        <w:rPr>
          <w:rFonts w:eastAsia="黑体"/>
          <w:w w:val="90"/>
          <w:kern w:val="0"/>
          <w:sz w:val="28"/>
          <w:szCs w:val="28"/>
        </w:rPr>
        <w:t xml:space="preserve">shipborne acoustic detection systems </w:t>
      </w:r>
      <w:r>
        <w:rPr>
          <w:rFonts w:hint="eastAsia" w:eastAsia="黑体"/>
          <w:w w:val="90"/>
          <w:kern w:val="0"/>
          <w:sz w:val="28"/>
          <w:szCs w:val="28"/>
        </w:rPr>
        <w:t xml:space="preserve">               </w:t>
      </w:r>
    </w:p>
    <w:p w14:paraId="50FCE04F">
      <w:pPr>
        <w:rPr>
          <w:snapToGrid w:val="0"/>
          <w:kern w:val="0"/>
        </w:rPr>
      </w:pPr>
    </w:p>
    <w:p w14:paraId="10361CFB">
      <w:pPr>
        <w:spacing w:before="240" w:line="240" w:lineRule="atLeast"/>
        <w:rPr>
          <w:snapToGrid w:val="0"/>
          <w:kern w:val="0"/>
          <w:sz w:val="28"/>
        </w:rPr>
      </w:pPr>
      <w:r>
        <mc:AlternateContent>
          <mc:Choice Requires="wps">
            <w:drawing>
              <wp:anchor distT="0" distB="0" distL="114300" distR="114300" simplePos="0" relativeHeight="251660288" behindDoc="0" locked="0" layoutInCell="1" allowOverlap="1">
                <wp:simplePos x="0" y="0"/>
                <wp:positionH relativeFrom="column">
                  <wp:posOffset>-9525</wp:posOffset>
                </wp:positionH>
                <wp:positionV relativeFrom="paragraph">
                  <wp:posOffset>194945</wp:posOffset>
                </wp:positionV>
                <wp:extent cx="5986145" cy="0"/>
                <wp:effectExtent l="5080" t="12065" r="9525" b="6985"/>
                <wp:wrapNone/>
                <wp:docPr id="2" name="直线 113"/>
                <wp:cNvGraphicFramePr/>
                <a:graphic xmlns:a="http://schemas.openxmlformats.org/drawingml/2006/main">
                  <a:graphicData uri="http://schemas.microsoft.com/office/word/2010/wordprocessingShape">
                    <wps:wsp>
                      <wps:cNvCnPr>
                        <a:cxnSpLocks noChangeShapeType="1"/>
                      </wps:cNvCnPr>
                      <wps:spPr bwMode="auto">
                        <a:xfrm>
                          <a:off x="0" y="0"/>
                          <a:ext cx="5986145" cy="0"/>
                        </a:xfrm>
                        <a:prstGeom prst="line">
                          <a:avLst/>
                        </a:prstGeom>
                        <a:noFill/>
                        <a:ln w="9525">
                          <a:solidFill>
                            <a:srgbClr val="000000"/>
                          </a:solidFill>
                          <a:round/>
                        </a:ln>
                      </wps:spPr>
                      <wps:bodyPr/>
                    </wps:wsp>
                  </a:graphicData>
                </a:graphic>
              </wp:anchor>
            </w:drawing>
          </mc:Choice>
          <mc:Fallback>
            <w:pict>
              <v:line id="直线 113" o:spid="_x0000_s1026" o:spt="20" style="position:absolute;left:0pt;margin-left:-0.75pt;margin-top:15.35pt;height:0pt;width:471.35pt;z-index:251660288;mso-width-relative:page;mso-height-relative:page;" filled="f" stroked="t" coordsize="21600,21600" o:gfxdata="UEsDBAoAAAAAAIdO4kAAAAAAAAAAAAAAAAAEAAAAZHJzL1BLAwQUAAAACACHTuJAK82kQNcAAAAI&#10;AQAADwAAAGRycy9kb3ducmV2LnhtbE2PzU7DMBCE70i8g7VIXKrWTgqlDXF6AHLj0kLFdRsvSUS8&#10;TmP3hz49rjjAcXZGM9/my5PtxIEG3zrWkEwUCOLKmZZrDe9v5XgOwgdkg51j0vBNHpbF9VWOmXFH&#10;XtFhHWoRS9hnqKEJoc+k9FVDFv3E9cTR+3SDxRDlUEsz4DGW206mSs2kxZbjQoM9PTVUfa33VoMv&#10;N7Qrz6NqpD6mtaN09/z6glrf3iTqEUSgU/gLwwU/okMRmbZuz8aLTsM4uY9JDVP1ACL6i7skBbH9&#10;Pcgil/8fKH4AUEsDBBQAAAAIAIdO4kCcCokM2AEAAKMDAAAOAAAAZHJzL2Uyb0RvYy54bWytU0tu&#10;2zAQ3RfoHQjua1luHSSC5SxspJu0NZD0AGOKkoiSHIJDW/JZeo2uuulxco2S9KdpusmiWhCc35t5&#10;b6jF7Wg020tPCm3Ny8mUM2kFNsp2Nf/6ePfumjMKYBvQaGXND5L47fLtm8XgKjnDHnUjPYsglqrB&#10;1bwPwVVFQaKXBmiCTtoYbNEbCNH0XdF4GCK60cVsOr0qBvSN8ygkUfSuj0F+QvSvAcS2VUKuUeyM&#10;tOGI6qWGEClRrxzxZZ62baUIX9qWZGC65pFpyGdsEu/bdBbLBVSdB9crcRoBXjPCC04GlI1NL1Br&#10;CMB2Xv0DZZTwSNiGiUBTHIlkRSKLcvpCm4cenMxcotTkLqLT/4MVn/cbz1RT8xlnFkxc+NP3H08/&#10;f7GyfJ/UGRxVMWllNz7xE6N9cPcovhGzuOrBdjJP+XhwsbRMFcVfJckgF3tsh0/YxBzYBcxSja03&#10;CTKKwMa8kcNlI3IMTETn/Ob6qvww50ycYwVU50LnKXyUaFi61Fwrm8SCCvb3FNIgUJ1TktvindI6&#10;L1xbNtT8Zj6b5wJCrZoUTGnku+1Ke7aH9GTyl1nFyPM0jzvbHJtoeyKdeB4V22Jz2PizGHF3eZrT&#10;O0uP47mdq//8W8v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K82kQNcAAAAIAQAADwAAAAAAAAAB&#10;ACAAAAAiAAAAZHJzL2Rvd25yZXYueG1sUEsBAhQAFAAAAAgAh07iQJwKiQzYAQAAowMAAA4AAAAA&#10;AAAAAQAgAAAAJgEAAGRycy9lMm9Eb2MueG1sUEsFBgAAAAAGAAYAWQEAAHAFAAAAAA==&#10;">
                <v:fill on="f" focussize="0,0"/>
                <v:stroke color="#000000" joinstyle="round"/>
                <v:imagedata o:title=""/>
                <o:lock v:ext="edit" aspectratio="f"/>
              </v:line>
            </w:pict>
          </mc:Fallback>
        </mc:AlternateContent>
      </w:r>
      <w:r>
        <w:rPr>
          <w:snapToGrid w:val="0"/>
          <w:kern w:val="0"/>
        </w:rPr>
        <w:t xml:space="preserve">  </w:t>
      </w:r>
      <w:r>
        <w:rPr>
          <w:snapToGrid w:val="0"/>
          <w:kern w:val="0"/>
          <w:sz w:val="28"/>
        </w:rPr>
        <w:t xml:space="preserve"> </w:t>
      </w:r>
    </w:p>
    <w:p w14:paraId="07027A57">
      <w:pPr>
        <w:spacing w:line="240" w:lineRule="exact"/>
        <w:jc w:val="center"/>
        <w:rPr>
          <w:snapToGrid w:val="0"/>
          <w:kern w:val="0"/>
        </w:rPr>
      </w:pPr>
    </w:p>
    <w:p w14:paraId="051C1514"/>
    <w:p w14:paraId="21615FF5"/>
    <w:p w14:paraId="2FAAFC9E"/>
    <w:p w14:paraId="4DA9FF3B"/>
    <w:p w14:paraId="0DB15F5E">
      <w:pPr>
        <w:jc w:val="center"/>
        <w:rPr>
          <w:snapToGrid w:val="0"/>
          <w:spacing w:val="-20"/>
          <w:kern w:val="0"/>
        </w:rPr>
      </w:pPr>
    </w:p>
    <w:p w14:paraId="68A43FF6">
      <w:pPr>
        <w:ind w:firstLine="1226" w:firstLineChars="438"/>
        <w:rPr>
          <w:snapToGrid w:val="0"/>
          <w:kern w:val="0"/>
          <w:sz w:val="28"/>
        </w:rPr>
      </w:pPr>
      <w:r>
        <w:rPr>
          <w:rFonts w:eastAsia="黑体"/>
          <w:snapToGrid w:val="0"/>
          <w:kern w:val="0"/>
          <w:sz w:val="28"/>
        </w:rPr>
        <w:t>归  口 单 位</w:t>
      </w:r>
      <w:r>
        <w:rPr>
          <w:snapToGrid w:val="0"/>
          <w:kern w:val="0"/>
          <w:sz w:val="28"/>
        </w:rPr>
        <w:t>：全国水运专用计量器具计量技术委员会</w:t>
      </w:r>
    </w:p>
    <w:p w14:paraId="00369DA8">
      <w:pPr>
        <w:tabs>
          <w:tab w:val="left" w:pos="7245"/>
        </w:tabs>
        <w:ind w:firstLine="1226" w:firstLineChars="438"/>
        <w:rPr>
          <w:snapToGrid w:val="0"/>
          <w:kern w:val="0"/>
          <w:sz w:val="28"/>
        </w:rPr>
      </w:pPr>
      <w:r>
        <w:rPr>
          <w:rFonts w:eastAsia="黑体"/>
          <w:snapToGrid w:val="0"/>
          <w:kern w:val="0"/>
          <w:sz w:val="28"/>
        </w:rPr>
        <w:t>主要起草单位</w:t>
      </w:r>
      <w:r>
        <w:rPr>
          <w:snapToGrid w:val="0"/>
          <w:kern w:val="0"/>
          <w:sz w:val="28"/>
        </w:rPr>
        <w:t>：中国船舶集团有限公司第七一一研究所</w:t>
      </w:r>
    </w:p>
    <w:p w14:paraId="4A4AEEFA">
      <w:pPr>
        <w:tabs>
          <w:tab w:val="left" w:pos="7245"/>
        </w:tabs>
        <w:ind w:firstLine="3220" w:firstLineChars="1150"/>
        <w:rPr>
          <w:snapToGrid w:val="0"/>
          <w:kern w:val="0"/>
          <w:sz w:val="28"/>
        </w:rPr>
      </w:pPr>
      <w:r>
        <w:rPr>
          <w:snapToGrid w:val="0"/>
          <w:kern w:val="0"/>
          <w:sz w:val="28"/>
        </w:rPr>
        <w:t>交通运输部东海航海保障中心</w:t>
      </w:r>
    </w:p>
    <w:p w14:paraId="37BEC876">
      <w:pPr>
        <w:tabs>
          <w:tab w:val="left" w:pos="7245"/>
        </w:tabs>
        <w:ind w:firstLine="3220" w:firstLineChars="1150"/>
        <w:rPr>
          <w:snapToGrid w:val="0"/>
          <w:kern w:val="0"/>
          <w:sz w:val="28"/>
        </w:rPr>
      </w:pPr>
      <w:r>
        <w:rPr>
          <w:rFonts w:hint="eastAsia"/>
          <w:snapToGrid w:val="0"/>
          <w:kern w:val="0"/>
          <w:sz w:val="28"/>
        </w:rPr>
        <w:t>自然资源部第二海洋研究所</w:t>
      </w:r>
    </w:p>
    <w:p w14:paraId="2D1D1E5A">
      <w:pPr>
        <w:tabs>
          <w:tab w:val="left" w:pos="7245"/>
        </w:tabs>
        <w:ind w:firstLine="3220" w:firstLineChars="1150"/>
        <w:rPr>
          <w:snapToGrid w:val="0"/>
          <w:kern w:val="0"/>
          <w:sz w:val="28"/>
        </w:rPr>
      </w:pPr>
      <w:r>
        <w:rPr>
          <w:snapToGrid w:val="0"/>
          <w:kern w:val="0"/>
          <w:sz w:val="28"/>
        </w:rPr>
        <w:t>交通运输部天津水运工程科学研究所</w:t>
      </w:r>
    </w:p>
    <w:p w14:paraId="5122211C">
      <w:pPr>
        <w:tabs>
          <w:tab w:val="left" w:pos="7245"/>
        </w:tabs>
        <w:ind w:firstLine="1226" w:firstLineChars="438"/>
        <w:rPr>
          <w:snapToGrid w:val="0"/>
          <w:kern w:val="0"/>
          <w:sz w:val="28"/>
        </w:rPr>
      </w:pPr>
      <w:r>
        <w:rPr>
          <w:rFonts w:hint="eastAsia" w:eastAsia="黑体"/>
          <w:snapToGrid w:val="0"/>
          <w:kern w:val="0"/>
          <w:sz w:val="28"/>
        </w:rPr>
        <w:t>参加</w:t>
      </w:r>
      <w:r>
        <w:rPr>
          <w:rFonts w:eastAsia="黑体"/>
          <w:snapToGrid w:val="0"/>
          <w:kern w:val="0"/>
          <w:sz w:val="28"/>
        </w:rPr>
        <w:t>起草单位：</w:t>
      </w:r>
      <w:r>
        <w:rPr>
          <w:snapToGrid w:val="0"/>
          <w:kern w:val="0"/>
          <w:sz w:val="28"/>
        </w:rPr>
        <w:t>中国科学院声学研究所</w:t>
      </w:r>
    </w:p>
    <w:p w14:paraId="255D14C7">
      <w:pPr>
        <w:jc w:val="center"/>
        <w:rPr>
          <w:rFonts w:eastAsia="黑体"/>
          <w:snapToGrid w:val="0"/>
          <w:kern w:val="0"/>
          <w:sz w:val="28"/>
        </w:rPr>
      </w:pPr>
    </w:p>
    <w:p w14:paraId="7EF2D574">
      <w:pPr>
        <w:jc w:val="center"/>
        <w:rPr>
          <w:rFonts w:eastAsia="黑体"/>
          <w:snapToGrid w:val="0"/>
          <w:kern w:val="0"/>
          <w:sz w:val="28"/>
        </w:rPr>
      </w:pPr>
    </w:p>
    <w:p w14:paraId="44F3C810">
      <w:pPr>
        <w:jc w:val="center"/>
        <w:rPr>
          <w:rFonts w:eastAsia="黑体"/>
          <w:snapToGrid w:val="0"/>
          <w:kern w:val="0"/>
          <w:sz w:val="28"/>
        </w:rPr>
      </w:pPr>
    </w:p>
    <w:p w14:paraId="574EF0A4">
      <w:pPr>
        <w:jc w:val="center"/>
        <w:rPr>
          <w:rFonts w:eastAsia="黑体"/>
          <w:snapToGrid w:val="0"/>
          <w:kern w:val="0"/>
          <w:sz w:val="28"/>
        </w:rPr>
      </w:pPr>
    </w:p>
    <w:p w14:paraId="0A72B3D3">
      <w:pPr>
        <w:jc w:val="center"/>
        <w:rPr>
          <w:rFonts w:eastAsia="黑体"/>
          <w:snapToGrid w:val="0"/>
          <w:kern w:val="0"/>
          <w:sz w:val="28"/>
        </w:rPr>
      </w:pPr>
    </w:p>
    <w:p w14:paraId="6D695CDF">
      <w:pPr>
        <w:jc w:val="center"/>
        <w:rPr>
          <w:snapToGrid w:val="0"/>
          <w:kern w:val="0"/>
        </w:rPr>
      </w:pPr>
    </w:p>
    <w:p w14:paraId="7E1CD231">
      <w:pPr>
        <w:spacing w:line="400" w:lineRule="exact"/>
        <w:jc w:val="center"/>
        <w:rPr>
          <w:snapToGrid w:val="0"/>
          <w:kern w:val="0"/>
          <w:sz w:val="28"/>
        </w:rPr>
      </w:pPr>
      <w:r>
        <w:rPr>
          <w:snapToGrid w:val="0"/>
          <w:kern w:val="0"/>
          <w:sz w:val="28"/>
        </w:rPr>
        <w:t>本规范委托全国水运专用计量器具计量技术委员会负责解释</w:t>
      </w:r>
    </w:p>
    <w:p w14:paraId="32B89351">
      <w:pPr>
        <w:spacing w:line="400" w:lineRule="exact"/>
        <w:jc w:val="left"/>
        <w:rPr>
          <w:snapToGrid w:val="0"/>
          <w:kern w:val="0"/>
          <w:sz w:val="28"/>
        </w:rPr>
      </w:pPr>
      <w:r>
        <w:rPr>
          <w:snapToGrid w:val="0"/>
          <w:kern w:val="0"/>
          <w:sz w:val="28"/>
        </w:rPr>
        <w:br w:type="page"/>
      </w:r>
    </w:p>
    <w:p w14:paraId="6DF86B75">
      <w:pPr>
        <w:spacing w:line="400" w:lineRule="exact"/>
        <w:jc w:val="left"/>
        <w:rPr>
          <w:snapToGrid w:val="0"/>
          <w:kern w:val="0"/>
          <w:sz w:val="28"/>
        </w:rPr>
      </w:pPr>
    </w:p>
    <w:p w14:paraId="6E3F49F5">
      <w:pPr>
        <w:spacing w:line="400" w:lineRule="exact"/>
        <w:jc w:val="left"/>
        <w:rPr>
          <w:snapToGrid w:val="0"/>
          <w:kern w:val="0"/>
          <w:sz w:val="28"/>
        </w:rPr>
      </w:pPr>
    </w:p>
    <w:p w14:paraId="0D052FEC">
      <w:pPr>
        <w:tabs>
          <w:tab w:val="left" w:pos="2410"/>
        </w:tabs>
        <w:jc w:val="left"/>
        <w:rPr>
          <w:rFonts w:eastAsia="黑体"/>
          <w:sz w:val="28"/>
        </w:rPr>
      </w:pPr>
      <w:r>
        <w:rPr>
          <w:rFonts w:eastAsia="黑体"/>
          <w:sz w:val="28"/>
        </w:rPr>
        <w:t>本规范主要起草人：</w:t>
      </w:r>
    </w:p>
    <w:p w14:paraId="1B0C2436">
      <w:pPr>
        <w:tabs>
          <w:tab w:val="left" w:pos="2410"/>
        </w:tabs>
        <w:ind w:firstLine="1400" w:firstLineChars="500"/>
        <w:jc w:val="left"/>
        <w:rPr>
          <w:sz w:val="28"/>
        </w:rPr>
      </w:pPr>
      <w:r>
        <w:rPr>
          <w:sz w:val="28"/>
        </w:rPr>
        <w:t>叶林昌（</w:t>
      </w:r>
      <w:r>
        <w:rPr>
          <w:snapToGrid w:val="0"/>
          <w:kern w:val="0"/>
          <w:sz w:val="28"/>
        </w:rPr>
        <w:t>中国船舶集团有限公司第七一一研究所</w:t>
      </w:r>
      <w:r>
        <w:rPr>
          <w:sz w:val="28"/>
        </w:rPr>
        <w:t>）</w:t>
      </w:r>
    </w:p>
    <w:p w14:paraId="3BD5FD4A">
      <w:pPr>
        <w:tabs>
          <w:tab w:val="left" w:pos="2410"/>
        </w:tabs>
        <w:ind w:firstLine="1400" w:firstLineChars="500"/>
        <w:jc w:val="left"/>
        <w:rPr>
          <w:sz w:val="28"/>
        </w:rPr>
      </w:pPr>
      <w:r>
        <w:rPr>
          <w:sz w:val="28"/>
        </w:rPr>
        <w:t>张  良（交通运输部东海航海保障中心）</w:t>
      </w:r>
    </w:p>
    <w:p w14:paraId="1B62D946">
      <w:pPr>
        <w:tabs>
          <w:tab w:val="left" w:pos="2410"/>
        </w:tabs>
        <w:ind w:firstLine="1400" w:firstLineChars="500"/>
        <w:jc w:val="left"/>
        <w:rPr>
          <w:sz w:val="28"/>
        </w:rPr>
      </w:pPr>
      <w:r>
        <w:rPr>
          <w:sz w:val="28"/>
        </w:rPr>
        <w:t>童宗鹏（</w:t>
      </w:r>
      <w:r>
        <w:rPr>
          <w:snapToGrid w:val="0"/>
          <w:kern w:val="0"/>
          <w:sz w:val="28"/>
        </w:rPr>
        <w:t>中国船舶集团有限公司第七一一研究所</w:t>
      </w:r>
      <w:r>
        <w:rPr>
          <w:sz w:val="28"/>
        </w:rPr>
        <w:t>）</w:t>
      </w:r>
    </w:p>
    <w:p w14:paraId="3A3620A8">
      <w:pPr>
        <w:tabs>
          <w:tab w:val="left" w:pos="2410"/>
        </w:tabs>
        <w:ind w:firstLine="1400" w:firstLineChars="500"/>
        <w:jc w:val="left"/>
        <w:rPr>
          <w:sz w:val="28"/>
        </w:rPr>
      </w:pPr>
      <w:r>
        <w:rPr>
          <w:rFonts w:hint="eastAsia"/>
          <w:sz w:val="28"/>
        </w:rPr>
        <w:t>苟诤慷</w:t>
      </w:r>
      <w:r>
        <w:rPr>
          <w:sz w:val="28"/>
        </w:rPr>
        <w:t>（</w:t>
      </w:r>
      <w:r>
        <w:rPr>
          <w:rFonts w:hint="eastAsia"/>
          <w:sz w:val="28"/>
        </w:rPr>
        <w:t>自然资源部第二海洋研究所</w:t>
      </w:r>
      <w:r>
        <w:rPr>
          <w:sz w:val="28"/>
        </w:rPr>
        <w:t>）</w:t>
      </w:r>
    </w:p>
    <w:p w14:paraId="498F98C9">
      <w:pPr>
        <w:tabs>
          <w:tab w:val="left" w:pos="2410"/>
        </w:tabs>
        <w:ind w:firstLine="1400" w:firstLineChars="500"/>
        <w:jc w:val="left"/>
        <w:rPr>
          <w:sz w:val="28"/>
        </w:rPr>
      </w:pPr>
      <w:r>
        <w:rPr>
          <w:sz w:val="28"/>
        </w:rPr>
        <w:t>高术仙（</w:t>
      </w:r>
      <w:r>
        <w:rPr>
          <w:sz w:val="28"/>
          <w:szCs w:val="28"/>
        </w:rPr>
        <w:t>交通运输部天津水运工程科学研究所</w:t>
      </w:r>
      <w:r>
        <w:rPr>
          <w:sz w:val="28"/>
        </w:rPr>
        <w:t>）</w:t>
      </w:r>
    </w:p>
    <w:p w14:paraId="24E52300">
      <w:pPr>
        <w:tabs>
          <w:tab w:val="left" w:pos="2410"/>
        </w:tabs>
        <w:ind w:firstLine="840" w:firstLineChars="300"/>
        <w:jc w:val="left"/>
        <w:rPr>
          <w:rFonts w:eastAsia="黑体"/>
          <w:sz w:val="28"/>
        </w:rPr>
      </w:pPr>
      <w:r>
        <w:rPr>
          <w:rFonts w:hint="eastAsia" w:eastAsia="黑体"/>
          <w:sz w:val="28"/>
        </w:rPr>
        <w:t>参加</w:t>
      </w:r>
      <w:r>
        <w:rPr>
          <w:rFonts w:eastAsia="黑体"/>
          <w:sz w:val="28"/>
        </w:rPr>
        <w:t>起草人：</w:t>
      </w:r>
    </w:p>
    <w:p w14:paraId="057C7186">
      <w:pPr>
        <w:tabs>
          <w:tab w:val="left" w:pos="2410"/>
        </w:tabs>
        <w:ind w:firstLine="1400" w:firstLineChars="500"/>
        <w:jc w:val="left"/>
        <w:rPr>
          <w:sz w:val="28"/>
        </w:rPr>
      </w:pPr>
      <w:r>
        <w:rPr>
          <w:sz w:val="28"/>
        </w:rPr>
        <w:t>沈建平（中国船舶集团有限公司第七一一研究所）</w:t>
      </w:r>
    </w:p>
    <w:p w14:paraId="121BCFD7">
      <w:pPr>
        <w:tabs>
          <w:tab w:val="left" w:pos="2410"/>
        </w:tabs>
        <w:ind w:firstLine="1400" w:firstLineChars="500"/>
        <w:jc w:val="left"/>
        <w:rPr>
          <w:sz w:val="28"/>
        </w:rPr>
      </w:pPr>
      <w:r>
        <w:rPr>
          <w:sz w:val="28"/>
        </w:rPr>
        <w:t>刘晓东（中国科学院声学研究所）</w:t>
      </w:r>
    </w:p>
    <w:p w14:paraId="50011A62">
      <w:pPr>
        <w:snapToGrid w:val="0"/>
        <w:spacing w:line="480" w:lineRule="auto"/>
        <w:ind w:firstLine="1400" w:firstLineChars="500"/>
        <w:jc w:val="left"/>
        <w:rPr>
          <w:snapToGrid w:val="0"/>
          <w:kern w:val="0"/>
          <w:sz w:val="28"/>
        </w:rPr>
      </w:pPr>
    </w:p>
    <w:p w14:paraId="555E130B">
      <w:pPr>
        <w:snapToGrid w:val="0"/>
        <w:spacing w:line="480" w:lineRule="auto"/>
        <w:ind w:firstLine="1416" w:firstLineChars="506"/>
        <w:jc w:val="left"/>
        <w:rPr>
          <w:snapToGrid w:val="0"/>
          <w:kern w:val="0"/>
          <w:sz w:val="28"/>
        </w:rPr>
      </w:pPr>
    </w:p>
    <w:p w14:paraId="150D66FD">
      <w:pPr>
        <w:snapToGrid w:val="0"/>
        <w:spacing w:line="480" w:lineRule="auto"/>
        <w:jc w:val="left"/>
        <w:rPr>
          <w:snapToGrid w:val="0"/>
          <w:kern w:val="0"/>
          <w:sz w:val="28"/>
        </w:rPr>
      </w:pPr>
      <w:r>
        <w:rPr>
          <w:snapToGrid w:val="0"/>
          <w:kern w:val="0"/>
          <w:sz w:val="28"/>
        </w:rPr>
        <w:t xml:space="preserve">          </w:t>
      </w:r>
    </w:p>
    <w:p w14:paraId="3E34B128">
      <w:pPr>
        <w:snapToGrid w:val="0"/>
        <w:spacing w:line="480" w:lineRule="auto"/>
        <w:jc w:val="left"/>
        <w:rPr>
          <w:snapToGrid w:val="0"/>
          <w:kern w:val="0"/>
          <w:sz w:val="28"/>
        </w:rPr>
      </w:pPr>
    </w:p>
    <w:p w14:paraId="067D1CAF">
      <w:pPr>
        <w:spacing w:line="360" w:lineRule="auto"/>
        <w:ind w:firstLine="280" w:firstLineChars="100"/>
        <w:rPr>
          <w:sz w:val="28"/>
        </w:rPr>
      </w:pPr>
    </w:p>
    <w:p w14:paraId="08C20E30">
      <w:pPr>
        <w:pStyle w:val="38"/>
        <w:rPr>
          <w:rFonts w:ascii="Times New Roman"/>
          <w:sz w:val="44"/>
          <w:szCs w:val="44"/>
        </w:rPr>
        <w:sectPr>
          <w:headerReference r:id="rId6" w:type="default"/>
          <w:footerReference r:id="rId7" w:type="default"/>
          <w:footerReference r:id="rId8" w:type="even"/>
          <w:pgSz w:w="11907" w:h="16839"/>
          <w:pgMar w:top="1418" w:right="1134" w:bottom="1134" w:left="1418" w:header="1134" w:footer="851" w:gutter="0"/>
          <w:pgNumType w:fmt="upperRoman" w:start="1"/>
          <w:cols w:space="720" w:num="1"/>
          <w:docGrid w:type="lines" w:linePitch="312" w:charSpace="0"/>
        </w:sectPr>
      </w:pPr>
      <w:bookmarkStart w:id="5" w:name="_Toc409689960"/>
      <w:bookmarkStart w:id="6" w:name="_Toc417811977"/>
      <w:bookmarkStart w:id="7" w:name="_Toc403639836"/>
      <w:bookmarkStart w:id="8" w:name="_Toc457310926"/>
      <w:bookmarkStart w:id="9" w:name="_Toc453833101"/>
    </w:p>
    <w:bookmarkEnd w:id="0"/>
    <w:bookmarkEnd w:id="1"/>
    <w:bookmarkEnd w:id="2"/>
    <w:bookmarkEnd w:id="5"/>
    <w:bookmarkEnd w:id="6"/>
    <w:bookmarkEnd w:id="7"/>
    <w:bookmarkEnd w:id="8"/>
    <w:bookmarkEnd w:id="9"/>
    <w:p w14:paraId="17A70C26">
      <w:pPr>
        <w:jc w:val="center"/>
      </w:pPr>
      <w:bookmarkStart w:id="10" w:name="_Toc19177_WPSOffice_Type2"/>
    </w:p>
    <w:bookmarkEnd w:id="10"/>
    <w:p w14:paraId="7E89D6EE">
      <w:pPr>
        <w:spacing w:before="624" w:beforeLines="200" w:after="624" w:afterLines="200" w:line="480" w:lineRule="auto"/>
        <w:jc w:val="center"/>
        <w:rPr>
          <w:rFonts w:eastAsia="黑体"/>
          <w:color w:val="000000"/>
          <w:sz w:val="44"/>
          <w:szCs w:val="44"/>
        </w:rPr>
      </w:pPr>
      <w:r>
        <w:rPr>
          <w:rFonts w:eastAsia="黑体"/>
          <w:color w:val="000000"/>
          <w:sz w:val="44"/>
          <w:szCs w:val="44"/>
        </w:rPr>
        <w:t>目  录</w:t>
      </w:r>
    </w:p>
    <w:sdt>
      <w:sdtPr>
        <w:rPr>
          <w:lang w:val="zh-CN"/>
        </w:rPr>
        <w:id w:val="1942331288"/>
        <w:docPartObj>
          <w:docPartGallery w:val="Table of Contents"/>
          <w:docPartUnique/>
        </w:docPartObj>
      </w:sdtPr>
      <w:sdtEndPr>
        <w:rPr>
          <w:b/>
          <w:bCs/>
          <w:lang w:val="zh-CN"/>
        </w:rPr>
      </w:sdtEndPr>
      <w:sdtContent>
        <w:p w14:paraId="4C88985A">
          <w:pPr>
            <w:pStyle w:val="13"/>
            <w:spacing w:line="400" w:lineRule="exact"/>
            <w:jc w:val="both"/>
            <w:rPr>
              <w:rFonts w:ascii="Times New Roman"/>
              <w:kern w:val="2"/>
              <w:sz w:val="24"/>
              <w:szCs w:val="24"/>
              <w14:ligatures w14:val="standardContextual"/>
            </w:rPr>
          </w:pPr>
          <w:r>
            <w:rPr>
              <w:rFonts w:ascii="Times New Roman"/>
              <w:sz w:val="24"/>
              <w:szCs w:val="24"/>
            </w:rPr>
            <w:fldChar w:fldCharType="begin"/>
          </w:r>
          <w:r>
            <w:rPr>
              <w:rFonts w:ascii="Times New Roman"/>
              <w:sz w:val="24"/>
              <w:szCs w:val="24"/>
            </w:rPr>
            <w:instrText xml:space="preserve"> TOC \o "1-3" \h \z \u </w:instrText>
          </w:r>
          <w:r>
            <w:rPr>
              <w:rFonts w:ascii="Times New Roman"/>
              <w:sz w:val="24"/>
              <w:szCs w:val="24"/>
            </w:rPr>
            <w:fldChar w:fldCharType="separate"/>
          </w:r>
          <w:r>
            <w:fldChar w:fldCharType="begin"/>
          </w:r>
          <w:r>
            <w:instrText xml:space="preserve"> HYPERLINK \l "_Toc200290551" </w:instrText>
          </w:r>
          <w:r>
            <w:fldChar w:fldCharType="separate"/>
          </w:r>
          <w:r>
            <w:rPr>
              <w:rStyle w:val="20"/>
              <w:rFonts w:hint="eastAsia"/>
              <w:sz w:val="24"/>
              <w:szCs w:val="24"/>
            </w:rPr>
            <w:t>引</w:t>
          </w:r>
          <w:r>
            <w:rPr>
              <w:rStyle w:val="20"/>
              <w:sz w:val="24"/>
              <w:szCs w:val="24"/>
            </w:rPr>
            <w:t xml:space="preserve">  </w:t>
          </w:r>
          <w:r>
            <w:rPr>
              <w:rStyle w:val="20"/>
              <w:rFonts w:hint="eastAsia"/>
              <w:sz w:val="24"/>
              <w:szCs w:val="24"/>
            </w:rPr>
            <w:t>言</w:t>
          </w:r>
          <w:r>
            <w:rPr>
              <w:rFonts w:ascii="Times New Roman"/>
              <w:sz w:val="24"/>
              <w:szCs w:val="24"/>
            </w:rPr>
            <w:tab/>
          </w:r>
          <w:r>
            <w:rPr>
              <w:rFonts w:hint="eastAsia" w:ascii="Times New Roman"/>
              <w:sz w:val="24"/>
              <w:szCs w:val="24"/>
            </w:rPr>
            <w:fldChar w:fldCharType="begin"/>
          </w:r>
          <w:r>
            <w:rPr>
              <w:rFonts w:ascii="Times New Roman"/>
              <w:sz w:val="24"/>
              <w:szCs w:val="24"/>
            </w:rPr>
            <w:instrText xml:space="preserve"> PAGEREF _Toc200290551 \h </w:instrText>
          </w:r>
          <w:r>
            <w:rPr>
              <w:rFonts w:hint="eastAsia" w:ascii="Times New Roman"/>
              <w:sz w:val="24"/>
              <w:szCs w:val="24"/>
            </w:rPr>
            <w:fldChar w:fldCharType="separate"/>
          </w:r>
          <w:r>
            <w:rPr>
              <w:rFonts w:ascii="Times New Roman"/>
              <w:sz w:val="24"/>
              <w:szCs w:val="24"/>
            </w:rPr>
            <w:t>I</w:t>
          </w:r>
          <w:r>
            <w:rPr>
              <w:rFonts w:hint="eastAsia" w:ascii="Times New Roman"/>
              <w:sz w:val="24"/>
              <w:szCs w:val="24"/>
            </w:rPr>
            <w:fldChar w:fldCharType="end"/>
          </w:r>
          <w:r>
            <w:rPr>
              <w:rFonts w:hint="eastAsia" w:ascii="Times New Roman"/>
              <w:sz w:val="24"/>
              <w:szCs w:val="24"/>
            </w:rPr>
            <w:fldChar w:fldCharType="end"/>
          </w:r>
        </w:p>
        <w:p w14:paraId="2F499907">
          <w:pPr>
            <w:pStyle w:val="13"/>
            <w:spacing w:line="400" w:lineRule="exact"/>
            <w:jc w:val="both"/>
            <w:rPr>
              <w:rFonts w:ascii="Times New Roman"/>
              <w:kern w:val="2"/>
              <w:sz w:val="24"/>
              <w:szCs w:val="24"/>
              <w14:ligatures w14:val="standardContextual"/>
            </w:rPr>
          </w:pPr>
          <w:r>
            <w:fldChar w:fldCharType="begin"/>
          </w:r>
          <w:r>
            <w:instrText xml:space="preserve"> HYPERLINK \l "_Toc200290552" </w:instrText>
          </w:r>
          <w:r>
            <w:fldChar w:fldCharType="separate"/>
          </w:r>
          <w:r>
            <w:rPr>
              <w:rStyle w:val="20"/>
              <w:sz w:val="24"/>
              <w:szCs w:val="24"/>
            </w:rPr>
            <w:t>1</w:t>
          </w:r>
          <w:r>
            <w:rPr>
              <w:rFonts w:ascii="Times New Roman"/>
              <w:kern w:val="2"/>
              <w:sz w:val="24"/>
              <w:szCs w:val="24"/>
              <w14:ligatures w14:val="standardContextual"/>
            </w:rPr>
            <w:tab/>
          </w:r>
          <w:r>
            <w:rPr>
              <w:rStyle w:val="20"/>
              <w:rFonts w:hint="eastAsia"/>
              <w:sz w:val="24"/>
              <w:szCs w:val="24"/>
            </w:rPr>
            <w:t>范围</w:t>
          </w:r>
          <w:r>
            <w:rPr>
              <w:rFonts w:ascii="Times New Roman"/>
              <w:sz w:val="24"/>
              <w:szCs w:val="24"/>
            </w:rPr>
            <w:tab/>
          </w:r>
          <w:r>
            <w:rPr>
              <w:rFonts w:hint="eastAsia" w:ascii="Times New Roman"/>
              <w:sz w:val="24"/>
              <w:szCs w:val="24"/>
            </w:rPr>
            <w:fldChar w:fldCharType="begin"/>
          </w:r>
          <w:r>
            <w:rPr>
              <w:rFonts w:ascii="Times New Roman"/>
              <w:sz w:val="24"/>
              <w:szCs w:val="24"/>
            </w:rPr>
            <w:instrText xml:space="preserve"> PAGEREF _Toc200290552 \h </w:instrText>
          </w:r>
          <w:r>
            <w:rPr>
              <w:rFonts w:hint="eastAsia" w:ascii="Times New Roman"/>
              <w:sz w:val="24"/>
              <w:szCs w:val="24"/>
            </w:rPr>
            <w:fldChar w:fldCharType="separate"/>
          </w:r>
          <w:r>
            <w:rPr>
              <w:rFonts w:ascii="Times New Roman"/>
              <w:sz w:val="24"/>
              <w:szCs w:val="24"/>
            </w:rPr>
            <w:t>2</w:t>
          </w:r>
          <w:r>
            <w:rPr>
              <w:rFonts w:hint="eastAsia" w:ascii="Times New Roman"/>
              <w:sz w:val="24"/>
              <w:szCs w:val="24"/>
            </w:rPr>
            <w:fldChar w:fldCharType="end"/>
          </w:r>
          <w:r>
            <w:rPr>
              <w:rFonts w:hint="eastAsia" w:ascii="Times New Roman"/>
              <w:sz w:val="24"/>
              <w:szCs w:val="24"/>
            </w:rPr>
            <w:fldChar w:fldCharType="end"/>
          </w:r>
        </w:p>
        <w:p w14:paraId="35805D56">
          <w:pPr>
            <w:pStyle w:val="13"/>
            <w:spacing w:line="400" w:lineRule="exact"/>
            <w:jc w:val="both"/>
            <w:rPr>
              <w:rFonts w:ascii="Times New Roman"/>
              <w:kern w:val="2"/>
              <w:sz w:val="24"/>
              <w:szCs w:val="24"/>
              <w14:ligatures w14:val="standardContextual"/>
            </w:rPr>
          </w:pPr>
          <w:r>
            <w:fldChar w:fldCharType="begin"/>
          </w:r>
          <w:r>
            <w:instrText xml:space="preserve"> HYPERLINK \l "_Toc200290553" </w:instrText>
          </w:r>
          <w:r>
            <w:fldChar w:fldCharType="separate"/>
          </w:r>
          <w:r>
            <w:rPr>
              <w:rStyle w:val="20"/>
              <w:sz w:val="24"/>
              <w:szCs w:val="24"/>
            </w:rPr>
            <w:t>2</w:t>
          </w:r>
          <w:r>
            <w:rPr>
              <w:rFonts w:ascii="Times New Roman"/>
              <w:kern w:val="2"/>
              <w:sz w:val="24"/>
              <w:szCs w:val="24"/>
              <w14:ligatures w14:val="standardContextual"/>
            </w:rPr>
            <w:tab/>
          </w:r>
          <w:r>
            <w:rPr>
              <w:rStyle w:val="20"/>
              <w:rFonts w:hint="eastAsia"/>
              <w:sz w:val="24"/>
              <w:szCs w:val="24"/>
            </w:rPr>
            <w:t>引用文件</w:t>
          </w:r>
          <w:r>
            <w:rPr>
              <w:rFonts w:ascii="Times New Roman"/>
              <w:sz w:val="24"/>
              <w:szCs w:val="24"/>
            </w:rPr>
            <w:tab/>
          </w:r>
          <w:r>
            <w:rPr>
              <w:rFonts w:hint="eastAsia" w:ascii="Times New Roman"/>
              <w:sz w:val="24"/>
              <w:szCs w:val="24"/>
            </w:rPr>
            <w:fldChar w:fldCharType="begin"/>
          </w:r>
          <w:r>
            <w:rPr>
              <w:rFonts w:ascii="Times New Roman"/>
              <w:sz w:val="24"/>
              <w:szCs w:val="24"/>
            </w:rPr>
            <w:instrText xml:space="preserve"> PAGEREF _Toc200290553 \h </w:instrText>
          </w:r>
          <w:r>
            <w:rPr>
              <w:rFonts w:hint="eastAsia" w:ascii="Times New Roman"/>
              <w:sz w:val="24"/>
              <w:szCs w:val="24"/>
            </w:rPr>
            <w:fldChar w:fldCharType="separate"/>
          </w:r>
          <w:r>
            <w:rPr>
              <w:rFonts w:ascii="Times New Roman"/>
              <w:sz w:val="24"/>
              <w:szCs w:val="24"/>
            </w:rPr>
            <w:t>2</w:t>
          </w:r>
          <w:r>
            <w:rPr>
              <w:rFonts w:hint="eastAsia" w:ascii="Times New Roman"/>
              <w:sz w:val="24"/>
              <w:szCs w:val="24"/>
            </w:rPr>
            <w:fldChar w:fldCharType="end"/>
          </w:r>
          <w:r>
            <w:rPr>
              <w:rFonts w:hint="eastAsia" w:ascii="Times New Roman"/>
              <w:sz w:val="24"/>
              <w:szCs w:val="24"/>
            </w:rPr>
            <w:fldChar w:fldCharType="end"/>
          </w:r>
        </w:p>
        <w:p w14:paraId="18898423">
          <w:pPr>
            <w:pStyle w:val="13"/>
            <w:spacing w:line="400" w:lineRule="exact"/>
            <w:jc w:val="both"/>
            <w:rPr>
              <w:rFonts w:ascii="Times New Roman"/>
              <w:kern w:val="2"/>
              <w:sz w:val="24"/>
              <w:szCs w:val="24"/>
              <w14:ligatures w14:val="standardContextual"/>
            </w:rPr>
          </w:pPr>
          <w:r>
            <w:fldChar w:fldCharType="begin"/>
          </w:r>
          <w:r>
            <w:instrText xml:space="preserve"> HYPERLINK \l "_Toc200290554" </w:instrText>
          </w:r>
          <w:r>
            <w:fldChar w:fldCharType="separate"/>
          </w:r>
          <w:r>
            <w:rPr>
              <w:rStyle w:val="20"/>
              <w:sz w:val="24"/>
              <w:szCs w:val="24"/>
            </w:rPr>
            <w:t>3</w:t>
          </w:r>
          <w:r>
            <w:rPr>
              <w:rFonts w:ascii="Times New Roman"/>
              <w:kern w:val="2"/>
              <w:sz w:val="24"/>
              <w:szCs w:val="24"/>
              <w14:ligatures w14:val="standardContextual"/>
            </w:rPr>
            <w:tab/>
          </w:r>
          <w:r>
            <w:rPr>
              <w:rStyle w:val="20"/>
              <w:rFonts w:hint="eastAsia"/>
              <w:sz w:val="24"/>
              <w:szCs w:val="24"/>
            </w:rPr>
            <w:t>术语</w:t>
          </w:r>
          <w:r>
            <w:rPr>
              <w:rFonts w:ascii="Times New Roman"/>
              <w:sz w:val="24"/>
              <w:szCs w:val="24"/>
            </w:rPr>
            <w:tab/>
          </w:r>
          <w:r>
            <w:rPr>
              <w:rFonts w:hint="eastAsia" w:ascii="Times New Roman"/>
              <w:sz w:val="24"/>
              <w:szCs w:val="24"/>
            </w:rPr>
            <w:fldChar w:fldCharType="begin"/>
          </w:r>
          <w:r>
            <w:rPr>
              <w:rFonts w:ascii="Times New Roman"/>
              <w:sz w:val="24"/>
              <w:szCs w:val="24"/>
            </w:rPr>
            <w:instrText xml:space="preserve"> PAGEREF _Toc200290554 \h </w:instrText>
          </w:r>
          <w:r>
            <w:rPr>
              <w:rFonts w:hint="eastAsia" w:ascii="Times New Roman"/>
              <w:sz w:val="24"/>
              <w:szCs w:val="24"/>
            </w:rPr>
            <w:fldChar w:fldCharType="separate"/>
          </w:r>
          <w:r>
            <w:rPr>
              <w:rFonts w:ascii="Times New Roman"/>
              <w:sz w:val="24"/>
              <w:szCs w:val="24"/>
            </w:rPr>
            <w:t>2</w:t>
          </w:r>
          <w:r>
            <w:rPr>
              <w:rFonts w:hint="eastAsia" w:ascii="Times New Roman"/>
              <w:sz w:val="24"/>
              <w:szCs w:val="24"/>
            </w:rPr>
            <w:fldChar w:fldCharType="end"/>
          </w:r>
          <w:r>
            <w:rPr>
              <w:rFonts w:hint="eastAsia" w:ascii="Times New Roman"/>
              <w:sz w:val="24"/>
              <w:szCs w:val="24"/>
            </w:rPr>
            <w:fldChar w:fldCharType="end"/>
          </w:r>
        </w:p>
        <w:p w14:paraId="6E9EE8A9">
          <w:pPr>
            <w:pStyle w:val="13"/>
            <w:spacing w:line="400" w:lineRule="exact"/>
            <w:jc w:val="both"/>
            <w:rPr>
              <w:rFonts w:ascii="Times New Roman"/>
              <w:kern w:val="2"/>
              <w:sz w:val="24"/>
              <w:szCs w:val="24"/>
              <w14:ligatures w14:val="standardContextual"/>
            </w:rPr>
          </w:pPr>
          <w:r>
            <w:fldChar w:fldCharType="begin"/>
          </w:r>
          <w:r>
            <w:instrText xml:space="preserve"> HYPERLINK \l "_Toc200290555" </w:instrText>
          </w:r>
          <w:r>
            <w:fldChar w:fldCharType="separate"/>
          </w:r>
          <w:r>
            <w:rPr>
              <w:rStyle w:val="20"/>
              <w:sz w:val="24"/>
              <w:szCs w:val="24"/>
            </w:rPr>
            <w:t>4</w:t>
          </w:r>
          <w:r>
            <w:rPr>
              <w:rFonts w:ascii="Times New Roman"/>
              <w:kern w:val="2"/>
              <w:sz w:val="24"/>
              <w:szCs w:val="24"/>
              <w14:ligatures w14:val="standardContextual"/>
            </w:rPr>
            <w:tab/>
          </w:r>
          <w:r>
            <w:rPr>
              <w:rStyle w:val="20"/>
              <w:rFonts w:hint="eastAsia"/>
              <w:sz w:val="24"/>
              <w:szCs w:val="24"/>
            </w:rPr>
            <w:t>概述</w:t>
          </w:r>
          <w:r>
            <w:rPr>
              <w:rFonts w:ascii="Times New Roman"/>
              <w:sz w:val="24"/>
              <w:szCs w:val="24"/>
            </w:rPr>
            <w:tab/>
          </w:r>
          <w:r>
            <w:rPr>
              <w:rFonts w:hint="eastAsia" w:ascii="Times New Roman"/>
              <w:sz w:val="24"/>
              <w:szCs w:val="24"/>
            </w:rPr>
            <w:fldChar w:fldCharType="begin"/>
          </w:r>
          <w:r>
            <w:rPr>
              <w:rFonts w:ascii="Times New Roman"/>
              <w:sz w:val="24"/>
              <w:szCs w:val="24"/>
            </w:rPr>
            <w:instrText xml:space="preserve"> PAGEREF _Toc200290555 \h </w:instrText>
          </w:r>
          <w:r>
            <w:rPr>
              <w:rFonts w:hint="eastAsia" w:ascii="Times New Roman"/>
              <w:sz w:val="24"/>
              <w:szCs w:val="24"/>
            </w:rPr>
            <w:fldChar w:fldCharType="separate"/>
          </w:r>
          <w:r>
            <w:rPr>
              <w:rFonts w:ascii="Times New Roman"/>
              <w:sz w:val="24"/>
              <w:szCs w:val="24"/>
            </w:rPr>
            <w:t>4</w:t>
          </w:r>
          <w:r>
            <w:rPr>
              <w:rFonts w:hint="eastAsia" w:ascii="Times New Roman"/>
              <w:sz w:val="24"/>
              <w:szCs w:val="24"/>
            </w:rPr>
            <w:fldChar w:fldCharType="end"/>
          </w:r>
          <w:r>
            <w:rPr>
              <w:rFonts w:hint="eastAsia" w:ascii="Times New Roman"/>
              <w:sz w:val="24"/>
              <w:szCs w:val="24"/>
            </w:rPr>
            <w:fldChar w:fldCharType="end"/>
          </w:r>
        </w:p>
        <w:p w14:paraId="61509334">
          <w:pPr>
            <w:pStyle w:val="13"/>
            <w:spacing w:line="400" w:lineRule="exact"/>
            <w:jc w:val="both"/>
            <w:rPr>
              <w:rFonts w:ascii="Times New Roman"/>
              <w:kern w:val="2"/>
              <w:sz w:val="24"/>
              <w:szCs w:val="24"/>
              <w14:ligatures w14:val="standardContextual"/>
            </w:rPr>
          </w:pPr>
          <w:r>
            <w:fldChar w:fldCharType="begin"/>
          </w:r>
          <w:r>
            <w:instrText xml:space="preserve"> HYPERLINK \l "_Toc200290556" </w:instrText>
          </w:r>
          <w:r>
            <w:fldChar w:fldCharType="separate"/>
          </w:r>
          <w:r>
            <w:rPr>
              <w:rStyle w:val="20"/>
              <w:sz w:val="24"/>
              <w:szCs w:val="24"/>
            </w:rPr>
            <w:t>5</w:t>
          </w:r>
          <w:r>
            <w:rPr>
              <w:rFonts w:ascii="Times New Roman"/>
              <w:kern w:val="2"/>
              <w:sz w:val="24"/>
              <w:szCs w:val="24"/>
              <w14:ligatures w14:val="standardContextual"/>
            </w:rPr>
            <w:tab/>
          </w:r>
          <w:r>
            <w:rPr>
              <w:rStyle w:val="20"/>
              <w:rFonts w:hint="eastAsia"/>
              <w:sz w:val="24"/>
              <w:szCs w:val="24"/>
            </w:rPr>
            <w:t>计量特性</w:t>
          </w:r>
          <w:r>
            <w:rPr>
              <w:rFonts w:ascii="Times New Roman"/>
              <w:sz w:val="24"/>
              <w:szCs w:val="24"/>
            </w:rPr>
            <w:tab/>
          </w:r>
          <w:r>
            <w:rPr>
              <w:rFonts w:hint="eastAsia" w:ascii="Times New Roman"/>
              <w:sz w:val="24"/>
              <w:szCs w:val="24"/>
            </w:rPr>
            <w:fldChar w:fldCharType="begin"/>
          </w:r>
          <w:r>
            <w:rPr>
              <w:rFonts w:ascii="Times New Roman"/>
              <w:sz w:val="24"/>
              <w:szCs w:val="24"/>
            </w:rPr>
            <w:instrText xml:space="preserve"> PAGEREF _Toc200290556 \h </w:instrText>
          </w:r>
          <w:r>
            <w:rPr>
              <w:rFonts w:hint="eastAsia" w:ascii="Times New Roman"/>
              <w:sz w:val="24"/>
              <w:szCs w:val="24"/>
            </w:rPr>
            <w:fldChar w:fldCharType="separate"/>
          </w:r>
          <w:r>
            <w:rPr>
              <w:rFonts w:ascii="Times New Roman"/>
              <w:sz w:val="24"/>
              <w:szCs w:val="24"/>
            </w:rPr>
            <w:t>4</w:t>
          </w:r>
          <w:r>
            <w:rPr>
              <w:rFonts w:hint="eastAsia" w:ascii="Times New Roman"/>
              <w:sz w:val="24"/>
              <w:szCs w:val="24"/>
            </w:rPr>
            <w:fldChar w:fldCharType="end"/>
          </w:r>
          <w:r>
            <w:rPr>
              <w:rFonts w:hint="eastAsia" w:ascii="Times New Roman"/>
              <w:sz w:val="24"/>
              <w:szCs w:val="24"/>
            </w:rPr>
            <w:fldChar w:fldCharType="end"/>
          </w:r>
        </w:p>
        <w:p w14:paraId="6B2C1CD0">
          <w:pPr>
            <w:pStyle w:val="13"/>
            <w:spacing w:line="400" w:lineRule="exact"/>
            <w:jc w:val="both"/>
            <w:rPr>
              <w:rFonts w:ascii="Times New Roman"/>
              <w:kern w:val="2"/>
              <w:sz w:val="24"/>
              <w:szCs w:val="24"/>
              <w14:ligatures w14:val="standardContextual"/>
            </w:rPr>
          </w:pPr>
          <w:r>
            <w:fldChar w:fldCharType="begin"/>
          </w:r>
          <w:r>
            <w:instrText xml:space="preserve"> HYPERLINK \l "_Toc200290557" </w:instrText>
          </w:r>
          <w:r>
            <w:fldChar w:fldCharType="separate"/>
          </w:r>
          <w:r>
            <w:rPr>
              <w:rStyle w:val="20"/>
              <w:sz w:val="24"/>
              <w:szCs w:val="24"/>
            </w:rPr>
            <w:t xml:space="preserve">5.1 </w:t>
          </w:r>
          <w:r>
            <w:rPr>
              <w:rStyle w:val="20"/>
              <w:rFonts w:hint="eastAsia"/>
              <w:sz w:val="24"/>
              <w:szCs w:val="24"/>
            </w:rPr>
            <w:t>自噪声示值误差</w:t>
          </w:r>
          <w:r>
            <w:rPr>
              <w:rFonts w:ascii="Times New Roman"/>
              <w:sz w:val="24"/>
              <w:szCs w:val="24"/>
            </w:rPr>
            <w:tab/>
          </w:r>
          <w:r>
            <w:rPr>
              <w:rFonts w:hint="eastAsia" w:ascii="Times New Roman"/>
              <w:sz w:val="24"/>
              <w:szCs w:val="24"/>
            </w:rPr>
            <w:fldChar w:fldCharType="begin"/>
          </w:r>
          <w:r>
            <w:rPr>
              <w:rFonts w:ascii="Times New Roman"/>
              <w:sz w:val="24"/>
              <w:szCs w:val="24"/>
            </w:rPr>
            <w:instrText xml:space="preserve"> PAGEREF _Toc200290557 \h </w:instrText>
          </w:r>
          <w:r>
            <w:rPr>
              <w:rFonts w:hint="eastAsia" w:ascii="Times New Roman"/>
              <w:sz w:val="24"/>
              <w:szCs w:val="24"/>
            </w:rPr>
            <w:fldChar w:fldCharType="separate"/>
          </w:r>
          <w:r>
            <w:rPr>
              <w:rFonts w:ascii="Times New Roman"/>
              <w:sz w:val="24"/>
              <w:szCs w:val="24"/>
            </w:rPr>
            <w:t>4</w:t>
          </w:r>
          <w:r>
            <w:rPr>
              <w:rFonts w:hint="eastAsia" w:ascii="Times New Roman"/>
              <w:sz w:val="24"/>
              <w:szCs w:val="24"/>
            </w:rPr>
            <w:fldChar w:fldCharType="end"/>
          </w:r>
          <w:r>
            <w:rPr>
              <w:rFonts w:hint="eastAsia" w:ascii="Times New Roman"/>
              <w:sz w:val="24"/>
              <w:szCs w:val="24"/>
            </w:rPr>
            <w:fldChar w:fldCharType="end"/>
          </w:r>
        </w:p>
        <w:p w14:paraId="165A391F">
          <w:pPr>
            <w:pStyle w:val="13"/>
            <w:spacing w:line="400" w:lineRule="exact"/>
            <w:jc w:val="both"/>
            <w:rPr>
              <w:rFonts w:ascii="Times New Roman"/>
              <w:kern w:val="2"/>
              <w:sz w:val="24"/>
              <w:szCs w:val="24"/>
              <w14:ligatures w14:val="standardContextual"/>
            </w:rPr>
          </w:pPr>
          <w:r>
            <w:fldChar w:fldCharType="begin"/>
          </w:r>
          <w:r>
            <w:instrText xml:space="preserve"> HYPERLINK \l "_Toc200290558" </w:instrText>
          </w:r>
          <w:r>
            <w:fldChar w:fldCharType="separate"/>
          </w:r>
          <w:r>
            <w:rPr>
              <w:rStyle w:val="20"/>
              <w:sz w:val="24"/>
              <w:szCs w:val="24"/>
            </w:rPr>
            <w:t>6</w:t>
          </w:r>
          <w:r>
            <w:rPr>
              <w:rFonts w:ascii="Times New Roman"/>
              <w:kern w:val="2"/>
              <w:sz w:val="24"/>
              <w:szCs w:val="24"/>
              <w14:ligatures w14:val="standardContextual"/>
            </w:rPr>
            <w:tab/>
          </w:r>
          <w:r>
            <w:rPr>
              <w:rStyle w:val="20"/>
              <w:rFonts w:hint="eastAsia"/>
              <w:sz w:val="24"/>
              <w:szCs w:val="24"/>
            </w:rPr>
            <w:t>校准条件</w:t>
          </w:r>
          <w:r>
            <w:rPr>
              <w:rFonts w:ascii="Times New Roman"/>
              <w:sz w:val="24"/>
              <w:szCs w:val="24"/>
            </w:rPr>
            <w:tab/>
          </w:r>
          <w:r>
            <w:rPr>
              <w:rFonts w:hint="eastAsia" w:ascii="Times New Roman"/>
              <w:sz w:val="24"/>
              <w:szCs w:val="24"/>
            </w:rPr>
            <w:fldChar w:fldCharType="begin"/>
          </w:r>
          <w:r>
            <w:rPr>
              <w:rFonts w:ascii="Times New Roman"/>
              <w:sz w:val="24"/>
              <w:szCs w:val="24"/>
            </w:rPr>
            <w:instrText xml:space="preserve"> PAGEREF _Toc200290558 \h </w:instrText>
          </w:r>
          <w:r>
            <w:rPr>
              <w:rFonts w:hint="eastAsia" w:ascii="Times New Roman"/>
              <w:sz w:val="24"/>
              <w:szCs w:val="24"/>
            </w:rPr>
            <w:fldChar w:fldCharType="separate"/>
          </w:r>
          <w:r>
            <w:rPr>
              <w:rFonts w:ascii="Times New Roman"/>
              <w:sz w:val="24"/>
              <w:szCs w:val="24"/>
            </w:rPr>
            <w:t>4</w:t>
          </w:r>
          <w:r>
            <w:rPr>
              <w:rFonts w:hint="eastAsia" w:ascii="Times New Roman"/>
              <w:sz w:val="24"/>
              <w:szCs w:val="24"/>
            </w:rPr>
            <w:fldChar w:fldCharType="end"/>
          </w:r>
          <w:r>
            <w:rPr>
              <w:rFonts w:hint="eastAsia" w:ascii="Times New Roman"/>
              <w:sz w:val="24"/>
              <w:szCs w:val="24"/>
            </w:rPr>
            <w:fldChar w:fldCharType="end"/>
          </w:r>
        </w:p>
        <w:p w14:paraId="1E4E20EC">
          <w:pPr>
            <w:pStyle w:val="13"/>
            <w:spacing w:line="400" w:lineRule="exact"/>
            <w:jc w:val="both"/>
            <w:rPr>
              <w:rFonts w:ascii="Times New Roman"/>
              <w:kern w:val="2"/>
              <w:sz w:val="24"/>
              <w:szCs w:val="24"/>
              <w14:ligatures w14:val="standardContextual"/>
            </w:rPr>
          </w:pPr>
          <w:r>
            <w:fldChar w:fldCharType="begin"/>
          </w:r>
          <w:r>
            <w:instrText xml:space="preserve"> HYPERLINK \l "_Toc200290559" </w:instrText>
          </w:r>
          <w:r>
            <w:fldChar w:fldCharType="separate"/>
          </w:r>
          <w:r>
            <w:rPr>
              <w:rStyle w:val="20"/>
              <w:sz w:val="24"/>
              <w:szCs w:val="24"/>
            </w:rPr>
            <w:t xml:space="preserve">6.1 </w:t>
          </w:r>
          <w:r>
            <w:rPr>
              <w:rStyle w:val="20"/>
              <w:rFonts w:hint="eastAsia"/>
              <w:sz w:val="24"/>
              <w:szCs w:val="24"/>
            </w:rPr>
            <w:t>环境条件</w:t>
          </w:r>
          <w:r>
            <w:rPr>
              <w:rFonts w:ascii="Times New Roman"/>
              <w:sz w:val="24"/>
              <w:szCs w:val="24"/>
            </w:rPr>
            <w:tab/>
          </w:r>
          <w:r>
            <w:rPr>
              <w:rFonts w:hint="eastAsia" w:ascii="Times New Roman"/>
              <w:sz w:val="24"/>
              <w:szCs w:val="24"/>
            </w:rPr>
            <w:fldChar w:fldCharType="begin"/>
          </w:r>
          <w:r>
            <w:rPr>
              <w:rFonts w:ascii="Times New Roman"/>
              <w:sz w:val="24"/>
              <w:szCs w:val="24"/>
            </w:rPr>
            <w:instrText xml:space="preserve"> PAGEREF _Toc200290559 \h </w:instrText>
          </w:r>
          <w:r>
            <w:rPr>
              <w:rFonts w:hint="eastAsia" w:ascii="Times New Roman"/>
              <w:sz w:val="24"/>
              <w:szCs w:val="24"/>
            </w:rPr>
            <w:fldChar w:fldCharType="separate"/>
          </w:r>
          <w:r>
            <w:rPr>
              <w:rFonts w:ascii="Times New Roman"/>
              <w:sz w:val="24"/>
              <w:szCs w:val="24"/>
            </w:rPr>
            <w:t>4</w:t>
          </w:r>
          <w:r>
            <w:rPr>
              <w:rFonts w:hint="eastAsia" w:ascii="Times New Roman"/>
              <w:sz w:val="24"/>
              <w:szCs w:val="24"/>
            </w:rPr>
            <w:fldChar w:fldCharType="end"/>
          </w:r>
          <w:r>
            <w:rPr>
              <w:rFonts w:hint="eastAsia" w:ascii="Times New Roman"/>
              <w:sz w:val="24"/>
              <w:szCs w:val="24"/>
            </w:rPr>
            <w:fldChar w:fldCharType="end"/>
          </w:r>
        </w:p>
        <w:p w14:paraId="3651BC3A">
          <w:pPr>
            <w:pStyle w:val="13"/>
            <w:spacing w:line="400" w:lineRule="exact"/>
            <w:jc w:val="both"/>
            <w:rPr>
              <w:rFonts w:ascii="Times New Roman"/>
              <w:kern w:val="2"/>
              <w:sz w:val="24"/>
              <w:szCs w:val="24"/>
              <w14:ligatures w14:val="standardContextual"/>
            </w:rPr>
          </w:pPr>
          <w:r>
            <w:fldChar w:fldCharType="begin"/>
          </w:r>
          <w:r>
            <w:instrText xml:space="preserve"> HYPERLINK \l "_Toc200290560" </w:instrText>
          </w:r>
          <w:r>
            <w:fldChar w:fldCharType="separate"/>
          </w:r>
          <w:r>
            <w:rPr>
              <w:rStyle w:val="20"/>
              <w:sz w:val="24"/>
              <w:szCs w:val="24"/>
            </w:rPr>
            <w:t xml:space="preserve">6.2 </w:t>
          </w:r>
          <w:r>
            <w:rPr>
              <w:rStyle w:val="20"/>
              <w:rFonts w:hint="eastAsia"/>
              <w:sz w:val="24"/>
              <w:szCs w:val="24"/>
            </w:rPr>
            <w:t>校准用测量设备及配套设备</w:t>
          </w:r>
          <w:r>
            <w:rPr>
              <w:rFonts w:ascii="Times New Roman"/>
              <w:sz w:val="24"/>
              <w:szCs w:val="24"/>
            </w:rPr>
            <w:tab/>
          </w:r>
          <w:r>
            <w:rPr>
              <w:rFonts w:hint="eastAsia" w:ascii="Times New Roman"/>
              <w:sz w:val="24"/>
              <w:szCs w:val="24"/>
            </w:rPr>
            <w:fldChar w:fldCharType="begin"/>
          </w:r>
          <w:r>
            <w:rPr>
              <w:rFonts w:ascii="Times New Roman"/>
              <w:sz w:val="24"/>
              <w:szCs w:val="24"/>
            </w:rPr>
            <w:instrText xml:space="preserve"> PAGEREF _Toc200290560 \h </w:instrText>
          </w:r>
          <w:r>
            <w:rPr>
              <w:rFonts w:hint="eastAsia" w:ascii="Times New Roman"/>
              <w:sz w:val="24"/>
              <w:szCs w:val="24"/>
            </w:rPr>
            <w:fldChar w:fldCharType="separate"/>
          </w:r>
          <w:r>
            <w:rPr>
              <w:rFonts w:ascii="Times New Roman"/>
              <w:sz w:val="24"/>
              <w:szCs w:val="24"/>
            </w:rPr>
            <w:t>5</w:t>
          </w:r>
          <w:r>
            <w:rPr>
              <w:rFonts w:hint="eastAsia" w:ascii="Times New Roman"/>
              <w:sz w:val="24"/>
              <w:szCs w:val="24"/>
            </w:rPr>
            <w:fldChar w:fldCharType="end"/>
          </w:r>
          <w:r>
            <w:rPr>
              <w:rFonts w:hint="eastAsia" w:ascii="Times New Roman"/>
              <w:sz w:val="24"/>
              <w:szCs w:val="24"/>
            </w:rPr>
            <w:fldChar w:fldCharType="end"/>
          </w:r>
        </w:p>
        <w:p w14:paraId="78AEC346">
          <w:pPr>
            <w:pStyle w:val="13"/>
            <w:spacing w:line="400" w:lineRule="exact"/>
            <w:jc w:val="both"/>
            <w:rPr>
              <w:rFonts w:ascii="Times New Roman"/>
              <w:kern w:val="2"/>
              <w:sz w:val="24"/>
              <w:szCs w:val="24"/>
              <w14:ligatures w14:val="standardContextual"/>
            </w:rPr>
          </w:pPr>
          <w:r>
            <w:fldChar w:fldCharType="begin"/>
          </w:r>
          <w:r>
            <w:instrText xml:space="preserve"> HYPERLINK \l "_Toc200290561" </w:instrText>
          </w:r>
          <w:r>
            <w:fldChar w:fldCharType="separate"/>
          </w:r>
          <w:r>
            <w:rPr>
              <w:rStyle w:val="20"/>
              <w:sz w:val="24"/>
              <w:szCs w:val="24"/>
            </w:rPr>
            <w:t>7</w:t>
          </w:r>
          <w:r>
            <w:rPr>
              <w:rFonts w:ascii="Times New Roman"/>
              <w:kern w:val="2"/>
              <w:sz w:val="24"/>
              <w:szCs w:val="24"/>
              <w14:ligatures w14:val="standardContextual"/>
            </w:rPr>
            <w:tab/>
          </w:r>
          <w:r>
            <w:rPr>
              <w:rStyle w:val="20"/>
              <w:rFonts w:hint="eastAsia"/>
              <w:sz w:val="24"/>
              <w:szCs w:val="24"/>
            </w:rPr>
            <w:t>校准项目和校准方法</w:t>
          </w:r>
          <w:r>
            <w:rPr>
              <w:rFonts w:ascii="Times New Roman"/>
              <w:sz w:val="24"/>
              <w:szCs w:val="24"/>
            </w:rPr>
            <w:tab/>
          </w:r>
          <w:r>
            <w:rPr>
              <w:rFonts w:hint="eastAsia" w:ascii="Times New Roman"/>
              <w:sz w:val="24"/>
              <w:szCs w:val="24"/>
            </w:rPr>
            <w:fldChar w:fldCharType="begin"/>
          </w:r>
          <w:r>
            <w:rPr>
              <w:rFonts w:ascii="Times New Roman"/>
              <w:sz w:val="24"/>
              <w:szCs w:val="24"/>
            </w:rPr>
            <w:instrText xml:space="preserve"> PAGEREF _Toc200290561 \h </w:instrText>
          </w:r>
          <w:r>
            <w:rPr>
              <w:rFonts w:hint="eastAsia" w:ascii="Times New Roman"/>
              <w:sz w:val="24"/>
              <w:szCs w:val="24"/>
            </w:rPr>
            <w:fldChar w:fldCharType="separate"/>
          </w:r>
          <w:r>
            <w:rPr>
              <w:rFonts w:ascii="Times New Roman"/>
              <w:sz w:val="24"/>
              <w:szCs w:val="24"/>
            </w:rPr>
            <w:t>5</w:t>
          </w:r>
          <w:r>
            <w:rPr>
              <w:rFonts w:hint="eastAsia" w:ascii="Times New Roman"/>
              <w:sz w:val="24"/>
              <w:szCs w:val="24"/>
            </w:rPr>
            <w:fldChar w:fldCharType="end"/>
          </w:r>
          <w:r>
            <w:rPr>
              <w:rFonts w:hint="eastAsia" w:ascii="Times New Roman"/>
              <w:sz w:val="24"/>
              <w:szCs w:val="24"/>
            </w:rPr>
            <w:fldChar w:fldCharType="end"/>
          </w:r>
        </w:p>
        <w:p w14:paraId="63865C33">
          <w:pPr>
            <w:pStyle w:val="13"/>
            <w:spacing w:line="400" w:lineRule="exact"/>
            <w:jc w:val="both"/>
            <w:rPr>
              <w:rFonts w:ascii="Times New Roman"/>
              <w:kern w:val="2"/>
              <w:sz w:val="24"/>
              <w:szCs w:val="24"/>
              <w14:ligatures w14:val="standardContextual"/>
            </w:rPr>
          </w:pPr>
          <w:r>
            <w:fldChar w:fldCharType="begin"/>
          </w:r>
          <w:r>
            <w:instrText xml:space="preserve"> HYPERLINK \l "_Toc200290562" </w:instrText>
          </w:r>
          <w:r>
            <w:fldChar w:fldCharType="separate"/>
          </w:r>
          <w:r>
            <w:rPr>
              <w:rStyle w:val="20"/>
              <w:sz w:val="24"/>
              <w:szCs w:val="24"/>
            </w:rPr>
            <w:t xml:space="preserve">7.1 </w:t>
          </w:r>
          <w:r>
            <w:rPr>
              <w:rStyle w:val="20"/>
              <w:rFonts w:hint="eastAsia"/>
              <w:sz w:val="24"/>
              <w:szCs w:val="24"/>
            </w:rPr>
            <w:t>校准项目</w:t>
          </w:r>
          <w:r>
            <w:rPr>
              <w:rFonts w:ascii="Times New Roman"/>
              <w:sz w:val="24"/>
              <w:szCs w:val="24"/>
            </w:rPr>
            <w:tab/>
          </w:r>
          <w:r>
            <w:rPr>
              <w:rFonts w:hint="eastAsia" w:ascii="Times New Roman"/>
              <w:sz w:val="24"/>
              <w:szCs w:val="24"/>
            </w:rPr>
            <w:fldChar w:fldCharType="begin"/>
          </w:r>
          <w:r>
            <w:rPr>
              <w:rFonts w:ascii="Times New Roman"/>
              <w:sz w:val="24"/>
              <w:szCs w:val="24"/>
            </w:rPr>
            <w:instrText xml:space="preserve"> PAGEREF _Toc200290562 \h </w:instrText>
          </w:r>
          <w:r>
            <w:rPr>
              <w:rFonts w:hint="eastAsia" w:ascii="Times New Roman"/>
              <w:sz w:val="24"/>
              <w:szCs w:val="24"/>
            </w:rPr>
            <w:fldChar w:fldCharType="separate"/>
          </w:r>
          <w:r>
            <w:rPr>
              <w:rFonts w:ascii="Times New Roman"/>
              <w:sz w:val="24"/>
              <w:szCs w:val="24"/>
            </w:rPr>
            <w:t>5</w:t>
          </w:r>
          <w:r>
            <w:rPr>
              <w:rFonts w:hint="eastAsia" w:ascii="Times New Roman"/>
              <w:sz w:val="24"/>
              <w:szCs w:val="24"/>
            </w:rPr>
            <w:fldChar w:fldCharType="end"/>
          </w:r>
          <w:r>
            <w:rPr>
              <w:rFonts w:hint="eastAsia" w:ascii="Times New Roman"/>
              <w:sz w:val="24"/>
              <w:szCs w:val="24"/>
            </w:rPr>
            <w:fldChar w:fldCharType="end"/>
          </w:r>
        </w:p>
        <w:p w14:paraId="348BEF76">
          <w:pPr>
            <w:pStyle w:val="13"/>
            <w:spacing w:line="400" w:lineRule="exact"/>
            <w:jc w:val="both"/>
            <w:rPr>
              <w:rFonts w:ascii="Times New Roman"/>
              <w:kern w:val="2"/>
              <w:sz w:val="24"/>
              <w:szCs w:val="24"/>
              <w14:ligatures w14:val="standardContextual"/>
            </w:rPr>
          </w:pPr>
          <w:r>
            <w:fldChar w:fldCharType="begin"/>
          </w:r>
          <w:r>
            <w:instrText xml:space="preserve"> HYPERLINK \l "_Toc200290563" </w:instrText>
          </w:r>
          <w:r>
            <w:fldChar w:fldCharType="separate"/>
          </w:r>
          <w:r>
            <w:rPr>
              <w:rStyle w:val="20"/>
              <w:sz w:val="24"/>
              <w:szCs w:val="24"/>
            </w:rPr>
            <w:t xml:space="preserve">7.2 </w:t>
          </w:r>
          <w:r>
            <w:rPr>
              <w:rStyle w:val="20"/>
              <w:rFonts w:hint="eastAsia"/>
              <w:sz w:val="24"/>
              <w:szCs w:val="24"/>
            </w:rPr>
            <w:t>校准方法</w:t>
          </w:r>
          <w:r>
            <w:rPr>
              <w:rFonts w:ascii="Times New Roman"/>
              <w:sz w:val="24"/>
              <w:szCs w:val="24"/>
            </w:rPr>
            <w:tab/>
          </w:r>
          <w:r>
            <w:rPr>
              <w:rFonts w:hint="eastAsia" w:ascii="Times New Roman"/>
              <w:sz w:val="24"/>
              <w:szCs w:val="24"/>
            </w:rPr>
            <w:fldChar w:fldCharType="begin"/>
          </w:r>
          <w:r>
            <w:rPr>
              <w:rFonts w:ascii="Times New Roman"/>
              <w:sz w:val="24"/>
              <w:szCs w:val="24"/>
            </w:rPr>
            <w:instrText xml:space="preserve"> PAGEREF _Toc200290563 \h </w:instrText>
          </w:r>
          <w:r>
            <w:rPr>
              <w:rFonts w:hint="eastAsia" w:ascii="Times New Roman"/>
              <w:sz w:val="24"/>
              <w:szCs w:val="24"/>
            </w:rPr>
            <w:fldChar w:fldCharType="separate"/>
          </w:r>
          <w:r>
            <w:rPr>
              <w:rFonts w:ascii="Times New Roman"/>
              <w:sz w:val="24"/>
              <w:szCs w:val="24"/>
            </w:rPr>
            <w:t>5</w:t>
          </w:r>
          <w:r>
            <w:rPr>
              <w:rFonts w:hint="eastAsia" w:ascii="Times New Roman"/>
              <w:sz w:val="24"/>
              <w:szCs w:val="24"/>
            </w:rPr>
            <w:fldChar w:fldCharType="end"/>
          </w:r>
          <w:r>
            <w:rPr>
              <w:rFonts w:hint="eastAsia" w:ascii="Times New Roman"/>
              <w:sz w:val="24"/>
              <w:szCs w:val="24"/>
            </w:rPr>
            <w:fldChar w:fldCharType="end"/>
          </w:r>
        </w:p>
        <w:p w14:paraId="776E6106">
          <w:pPr>
            <w:pStyle w:val="13"/>
            <w:spacing w:line="400" w:lineRule="exact"/>
            <w:jc w:val="both"/>
            <w:rPr>
              <w:rFonts w:ascii="Times New Roman"/>
              <w:kern w:val="2"/>
              <w:sz w:val="24"/>
              <w:szCs w:val="24"/>
              <w14:ligatures w14:val="standardContextual"/>
            </w:rPr>
          </w:pPr>
          <w:r>
            <w:fldChar w:fldCharType="begin"/>
          </w:r>
          <w:r>
            <w:instrText xml:space="preserve"> HYPERLINK \l "_Toc200290565" </w:instrText>
          </w:r>
          <w:r>
            <w:fldChar w:fldCharType="separate"/>
          </w:r>
          <w:r>
            <w:rPr>
              <w:rStyle w:val="20"/>
              <w:sz w:val="24"/>
              <w:szCs w:val="24"/>
            </w:rPr>
            <w:t>8</w:t>
          </w:r>
          <w:r>
            <w:rPr>
              <w:rFonts w:ascii="Times New Roman"/>
              <w:kern w:val="2"/>
              <w:sz w:val="24"/>
              <w:szCs w:val="24"/>
              <w14:ligatures w14:val="standardContextual"/>
            </w:rPr>
            <w:tab/>
          </w:r>
          <w:r>
            <w:rPr>
              <w:rStyle w:val="20"/>
              <w:rFonts w:hint="eastAsia"/>
              <w:sz w:val="24"/>
              <w:szCs w:val="24"/>
            </w:rPr>
            <w:t>校准结果表达</w:t>
          </w:r>
          <w:r>
            <w:rPr>
              <w:rFonts w:ascii="Times New Roman"/>
              <w:sz w:val="24"/>
              <w:szCs w:val="24"/>
            </w:rPr>
            <w:tab/>
          </w:r>
          <w:r>
            <w:rPr>
              <w:rFonts w:hint="eastAsia" w:ascii="Times New Roman"/>
              <w:sz w:val="24"/>
              <w:szCs w:val="24"/>
            </w:rPr>
            <w:fldChar w:fldCharType="begin"/>
          </w:r>
          <w:r>
            <w:rPr>
              <w:rFonts w:ascii="Times New Roman"/>
              <w:sz w:val="24"/>
              <w:szCs w:val="24"/>
            </w:rPr>
            <w:instrText xml:space="preserve"> PAGEREF _Toc200290565 \h </w:instrText>
          </w:r>
          <w:r>
            <w:rPr>
              <w:rFonts w:hint="eastAsia" w:ascii="Times New Roman"/>
              <w:sz w:val="24"/>
              <w:szCs w:val="24"/>
            </w:rPr>
            <w:fldChar w:fldCharType="separate"/>
          </w:r>
          <w:r>
            <w:rPr>
              <w:rFonts w:ascii="Times New Roman"/>
              <w:sz w:val="24"/>
              <w:szCs w:val="24"/>
            </w:rPr>
            <w:t>7</w:t>
          </w:r>
          <w:r>
            <w:rPr>
              <w:rFonts w:hint="eastAsia" w:ascii="Times New Roman"/>
              <w:sz w:val="24"/>
              <w:szCs w:val="24"/>
            </w:rPr>
            <w:fldChar w:fldCharType="end"/>
          </w:r>
          <w:r>
            <w:rPr>
              <w:rFonts w:hint="eastAsia" w:ascii="Times New Roman"/>
              <w:sz w:val="24"/>
              <w:szCs w:val="24"/>
            </w:rPr>
            <w:fldChar w:fldCharType="end"/>
          </w:r>
        </w:p>
        <w:p w14:paraId="608D173E">
          <w:pPr>
            <w:pStyle w:val="13"/>
            <w:spacing w:line="400" w:lineRule="exact"/>
            <w:jc w:val="both"/>
            <w:rPr>
              <w:rFonts w:ascii="Times New Roman"/>
              <w:kern w:val="2"/>
              <w:sz w:val="24"/>
              <w:szCs w:val="24"/>
              <w14:ligatures w14:val="standardContextual"/>
            </w:rPr>
          </w:pPr>
          <w:r>
            <w:fldChar w:fldCharType="begin"/>
          </w:r>
          <w:r>
            <w:instrText xml:space="preserve"> HYPERLINK \l "_Toc200290568" </w:instrText>
          </w:r>
          <w:r>
            <w:fldChar w:fldCharType="separate"/>
          </w:r>
          <w:r>
            <w:rPr>
              <w:rStyle w:val="20"/>
              <w:sz w:val="24"/>
              <w:szCs w:val="24"/>
            </w:rPr>
            <w:t>9</w:t>
          </w:r>
          <w:r>
            <w:rPr>
              <w:rFonts w:ascii="Times New Roman"/>
              <w:kern w:val="2"/>
              <w:sz w:val="24"/>
              <w:szCs w:val="24"/>
              <w14:ligatures w14:val="standardContextual"/>
            </w:rPr>
            <w:tab/>
          </w:r>
          <w:r>
            <w:rPr>
              <w:rStyle w:val="20"/>
              <w:rFonts w:hint="eastAsia"/>
              <w:sz w:val="24"/>
              <w:szCs w:val="24"/>
            </w:rPr>
            <w:t>复校时间间隔</w:t>
          </w:r>
          <w:r>
            <w:rPr>
              <w:rFonts w:ascii="Times New Roman"/>
              <w:sz w:val="24"/>
              <w:szCs w:val="24"/>
            </w:rPr>
            <w:tab/>
          </w:r>
          <w:r>
            <w:rPr>
              <w:rFonts w:hint="eastAsia" w:ascii="Times New Roman"/>
              <w:sz w:val="24"/>
              <w:szCs w:val="24"/>
            </w:rPr>
            <w:fldChar w:fldCharType="begin"/>
          </w:r>
          <w:r>
            <w:rPr>
              <w:rFonts w:ascii="Times New Roman"/>
              <w:sz w:val="24"/>
              <w:szCs w:val="24"/>
            </w:rPr>
            <w:instrText xml:space="preserve"> PAGEREF _Toc200290568 \h </w:instrText>
          </w:r>
          <w:r>
            <w:rPr>
              <w:rFonts w:hint="eastAsia" w:ascii="Times New Roman"/>
              <w:sz w:val="24"/>
              <w:szCs w:val="24"/>
            </w:rPr>
            <w:fldChar w:fldCharType="separate"/>
          </w:r>
          <w:r>
            <w:rPr>
              <w:rFonts w:ascii="Times New Roman"/>
              <w:sz w:val="24"/>
              <w:szCs w:val="24"/>
            </w:rPr>
            <w:t>8</w:t>
          </w:r>
          <w:r>
            <w:rPr>
              <w:rFonts w:hint="eastAsia" w:ascii="Times New Roman"/>
              <w:sz w:val="24"/>
              <w:szCs w:val="24"/>
            </w:rPr>
            <w:fldChar w:fldCharType="end"/>
          </w:r>
          <w:r>
            <w:rPr>
              <w:rFonts w:hint="eastAsia" w:ascii="Times New Roman"/>
              <w:sz w:val="24"/>
              <w:szCs w:val="24"/>
            </w:rPr>
            <w:fldChar w:fldCharType="end"/>
          </w:r>
        </w:p>
        <w:p w14:paraId="3DF17791">
          <w:pPr>
            <w:pStyle w:val="13"/>
            <w:spacing w:line="400" w:lineRule="exact"/>
            <w:jc w:val="both"/>
            <w:rPr>
              <w:rFonts w:ascii="Times New Roman"/>
              <w:kern w:val="2"/>
              <w:sz w:val="24"/>
              <w:szCs w:val="24"/>
              <w14:ligatures w14:val="standardContextual"/>
            </w:rPr>
          </w:pPr>
          <w:r>
            <w:rPr>
              <w:rStyle w:val="20"/>
              <w:rFonts w:hint="eastAsia"/>
              <w:sz w:val="24"/>
              <w:szCs w:val="24"/>
            </w:rPr>
            <w:fldChar w:fldCharType="begin"/>
          </w:r>
          <w:r>
            <w:rPr>
              <w:rStyle w:val="20"/>
              <w:sz w:val="24"/>
              <w:szCs w:val="24"/>
            </w:rPr>
            <w:instrText xml:space="preserve"> </w:instrText>
          </w:r>
          <w:r>
            <w:rPr>
              <w:rFonts w:ascii="Times New Roman"/>
              <w:sz w:val="24"/>
              <w:szCs w:val="24"/>
            </w:rPr>
            <w:instrText xml:space="preserve">HYPERLINK \l "_Toc200290569"</w:instrText>
          </w:r>
          <w:r>
            <w:rPr>
              <w:rStyle w:val="20"/>
              <w:sz w:val="24"/>
              <w:szCs w:val="24"/>
            </w:rPr>
            <w:instrText xml:space="preserve"> </w:instrText>
          </w:r>
          <w:r>
            <w:rPr>
              <w:rStyle w:val="20"/>
              <w:rFonts w:hint="eastAsia"/>
              <w:sz w:val="24"/>
              <w:szCs w:val="24"/>
            </w:rPr>
            <w:fldChar w:fldCharType="separate"/>
          </w:r>
          <w:r>
            <w:rPr>
              <w:rStyle w:val="20"/>
              <w:rFonts w:hint="eastAsia"/>
              <w:sz w:val="24"/>
              <w:szCs w:val="24"/>
            </w:rPr>
            <w:t>附录</w:t>
          </w:r>
          <w:r>
            <w:rPr>
              <w:rStyle w:val="20"/>
              <w:sz w:val="24"/>
              <w:szCs w:val="24"/>
            </w:rPr>
            <w:t xml:space="preserve">A </w:t>
          </w:r>
          <w:r>
            <w:fldChar w:fldCharType="begin"/>
          </w:r>
          <w:r>
            <w:instrText xml:space="preserve"> HYPERLINK \l "_Toc200290570" </w:instrText>
          </w:r>
          <w:r>
            <w:fldChar w:fldCharType="separate"/>
          </w:r>
          <w:r>
            <w:rPr>
              <w:rStyle w:val="20"/>
              <w:rFonts w:hint="eastAsia"/>
              <w:sz w:val="24"/>
              <w:szCs w:val="24"/>
            </w:rPr>
            <w:t>校准原始记录推荐格式</w:t>
          </w:r>
          <w:r>
            <w:rPr>
              <w:rFonts w:ascii="Times New Roman"/>
              <w:sz w:val="24"/>
              <w:szCs w:val="24"/>
            </w:rPr>
            <w:tab/>
          </w:r>
          <w:r>
            <w:rPr>
              <w:rFonts w:hint="eastAsia" w:ascii="Times New Roman"/>
              <w:sz w:val="24"/>
              <w:szCs w:val="24"/>
            </w:rPr>
            <w:fldChar w:fldCharType="begin"/>
          </w:r>
          <w:r>
            <w:rPr>
              <w:rFonts w:ascii="Times New Roman"/>
              <w:sz w:val="24"/>
              <w:szCs w:val="24"/>
            </w:rPr>
            <w:instrText xml:space="preserve"> PAGEREF _Toc200290570 \h </w:instrText>
          </w:r>
          <w:r>
            <w:rPr>
              <w:rFonts w:hint="eastAsia" w:ascii="Times New Roman"/>
              <w:sz w:val="24"/>
              <w:szCs w:val="24"/>
            </w:rPr>
            <w:fldChar w:fldCharType="separate"/>
          </w:r>
          <w:r>
            <w:rPr>
              <w:rFonts w:ascii="Times New Roman"/>
              <w:sz w:val="24"/>
              <w:szCs w:val="24"/>
            </w:rPr>
            <w:t>9</w:t>
          </w:r>
          <w:r>
            <w:rPr>
              <w:rFonts w:hint="eastAsia" w:ascii="Times New Roman"/>
              <w:sz w:val="24"/>
              <w:szCs w:val="24"/>
            </w:rPr>
            <w:fldChar w:fldCharType="end"/>
          </w:r>
          <w:r>
            <w:rPr>
              <w:rFonts w:hint="eastAsia" w:ascii="Times New Roman"/>
              <w:sz w:val="24"/>
              <w:szCs w:val="24"/>
            </w:rPr>
            <w:fldChar w:fldCharType="end"/>
          </w:r>
        </w:p>
        <w:p w14:paraId="10BAB853">
          <w:pPr>
            <w:pStyle w:val="13"/>
            <w:spacing w:line="400" w:lineRule="exact"/>
            <w:jc w:val="both"/>
            <w:rPr>
              <w:rFonts w:ascii="Times New Roman"/>
              <w:kern w:val="2"/>
              <w:sz w:val="24"/>
              <w:szCs w:val="24"/>
              <w14:ligatures w14:val="standardContextual"/>
            </w:rPr>
          </w:pPr>
          <w:r>
            <w:rPr>
              <w:rStyle w:val="20"/>
              <w:rFonts w:hint="eastAsia"/>
              <w:sz w:val="24"/>
              <w:szCs w:val="24"/>
            </w:rPr>
            <w:fldChar w:fldCharType="end"/>
          </w:r>
          <w:r>
            <w:rPr>
              <w:rStyle w:val="20"/>
              <w:rFonts w:hint="eastAsia"/>
              <w:sz w:val="24"/>
              <w:szCs w:val="24"/>
            </w:rPr>
            <w:fldChar w:fldCharType="begin"/>
          </w:r>
          <w:r>
            <w:rPr>
              <w:rStyle w:val="20"/>
              <w:sz w:val="24"/>
              <w:szCs w:val="24"/>
            </w:rPr>
            <w:instrText xml:space="preserve"> </w:instrText>
          </w:r>
          <w:r>
            <w:rPr>
              <w:rFonts w:ascii="Times New Roman"/>
              <w:sz w:val="24"/>
              <w:szCs w:val="24"/>
            </w:rPr>
            <w:instrText xml:space="preserve">HYPERLINK \l "_Toc200290571"</w:instrText>
          </w:r>
          <w:r>
            <w:rPr>
              <w:rStyle w:val="20"/>
              <w:sz w:val="24"/>
              <w:szCs w:val="24"/>
            </w:rPr>
            <w:instrText xml:space="preserve"> </w:instrText>
          </w:r>
          <w:r>
            <w:rPr>
              <w:rStyle w:val="20"/>
              <w:rFonts w:hint="eastAsia"/>
              <w:sz w:val="24"/>
              <w:szCs w:val="24"/>
            </w:rPr>
            <w:fldChar w:fldCharType="separate"/>
          </w:r>
          <w:r>
            <w:rPr>
              <w:rStyle w:val="20"/>
              <w:rFonts w:hint="eastAsia"/>
              <w:sz w:val="24"/>
              <w:szCs w:val="24"/>
            </w:rPr>
            <w:t>附录</w:t>
          </w:r>
          <w:r>
            <w:rPr>
              <w:rStyle w:val="20"/>
              <w:sz w:val="24"/>
              <w:szCs w:val="24"/>
            </w:rPr>
            <w:t xml:space="preserve">B </w:t>
          </w:r>
          <w:r>
            <w:fldChar w:fldCharType="begin"/>
          </w:r>
          <w:r>
            <w:instrText xml:space="preserve"> HYPERLINK \l "_Toc200290572" </w:instrText>
          </w:r>
          <w:r>
            <w:fldChar w:fldCharType="separate"/>
          </w:r>
          <w:r>
            <w:rPr>
              <w:rStyle w:val="20"/>
              <w:rFonts w:hint="eastAsia"/>
              <w:sz w:val="24"/>
              <w:szCs w:val="24"/>
            </w:rPr>
            <w:t>校准证书内页推荐格式</w:t>
          </w:r>
          <w:r>
            <w:rPr>
              <w:rFonts w:ascii="Times New Roman"/>
              <w:sz w:val="24"/>
              <w:szCs w:val="24"/>
            </w:rPr>
            <w:tab/>
          </w:r>
          <w:r>
            <w:rPr>
              <w:rFonts w:hint="eastAsia" w:ascii="Times New Roman"/>
              <w:sz w:val="24"/>
              <w:szCs w:val="24"/>
            </w:rPr>
            <w:fldChar w:fldCharType="begin"/>
          </w:r>
          <w:r>
            <w:rPr>
              <w:rFonts w:ascii="Times New Roman"/>
              <w:sz w:val="24"/>
              <w:szCs w:val="24"/>
            </w:rPr>
            <w:instrText xml:space="preserve"> PAGEREF _Toc200290572 \h </w:instrText>
          </w:r>
          <w:r>
            <w:rPr>
              <w:rFonts w:hint="eastAsia" w:ascii="Times New Roman"/>
              <w:sz w:val="24"/>
              <w:szCs w:val="24"/>
            </w:rPr>
            <w:fldChar w:fldCharType="separate"/>
          </w:r>
          <w:r>
            <w:rPr>
              <w:rFonts w:ascii="Times New Roman"/>
              <w:sz w:val="24"/>
              <w:szCs w:val="24"/>
            </w:rPr>
            <w:t>10</w:t>
          </w:r>
          <w:r>
            <w:rPr>
              <w:rFonts w:hint="eastAsia" w:ascii="Times New Roman"/>
              <w:sz w:val="24"/>
              <w:szCs w:val="24"/>
            </w:rPr>
            <w:fldChar w:fldCharType="end"/>
          </w:r>
          <w:r>
            <w:rPr>
              <w:rFonts w:hint="eastAsia" w:ascii="Times New Roman"/>
              <w:sz w:val="24"/>
              <w:szCs w:val="24"/>
            </w:rPr>
            <w:fldChar w:fldCharType="end"/>
          </w:r>
        </w:p>
        <w:p w14:paraId="25DE74E7">
          <w:pPr>
            <w:pStyle w:val="13"/>
            <w:spacing w:line="400" w:lineRule="exact"/>
            <w:jc w:val="both"/>
            <w:rPr>
              <w:rFonts w:ascii="Times New Roman"/>
              <w:kern w:val="2"/>
              <w:sz w:val="24"/>
              <w:szCs w:val="24"/>
              <w14:ligatures w14:val="standardContextual"/>
            </w:rPr>
          </w:pPr>
          <w:r>
            <w:rPr>
              <w:rStyle w:val="20"/>
              <w:rFonts w:hint="eastAsia"/>
              <w:sz w:val="24"/>
              <w:szCs w:val="24"/>
            </w:rPr>
            <w:fldChar w:fldCharType="end"/>
          </w:r>
          <w:r>
            <w:rPr>
              <w:rStyle w:val="20"/>
              <w:rFonts w:hint="eastAsia"/>
              <w:sz w:val="24"/>
              <w:szCs w:val="24"/>
            </w:rPr>
            <w:fldChar w:fldCharType="begin"/>
          </w:r>
          <w:r>
            <w:rPr>
              <w:rStyle w:val="20"/>
              <w:sz w:val="24"/>
              <w:szCs w:val="24"/>
            </w:rPr>
            <w:instrText xml:space="preserve"> </w:instrText>
          </w:r>
          <w:r>
            <w:rPr>
              <w:rFonts w:ascii="Times New Roman"/>
              <w:sz w:val="24"/>
              <w:szCs w:val="24"/>
            </w:rPr>
            <w:instrText xml:space="preserve">HYPERLINK \l "_Toc200290573"</w:instrText>
          </w:r>
          <w:r>
            <w:rPr>
              <w:rStyle w:val="20"/>
              <w:sz w:val="24"/>
              <w:szCs w:val="24"/>
            </w:rPr>
            <w:instrText xml:space="preserve"> </w:instrText>
          </w:r>
          <w:r>
            <w:rPr>
              <w:rStyle w:val="20"/>
              <w:rFonts w:hint="eastAsia"/>
              <w:sz w:val="24"/>
              <w:szCs w:val="24"/>
            </w:rPr>
            <w:fldChar w:fldCharType="separate"/>
          </w:r>
          <w:r>
            <w:rPr>
              <w:rStyle w:val="20"/>
              <w:rFonts w:hint="eastAsia"/>
              <w:sz w:val="24"/>
              <w:szCs w:val="24"/>
            </w:rPr>
            <w:t>附录</w:t>
          </w:r>
          <w:r>
            <w:rPr>
              <w:rStyle w:val="20"/>
              <w:sz w:val="24"/>
              <w:szCs w:val="24"/>
            </w:rPr>
            <w:t>C</w:t>
          </w:r>
          <w:r>
            <w:fldChar w:fldCharType="begin"/>
          </w:r>
          <w:r>
            <w:instrText xml:space="preserve"> HYPERLINK \l "_Toc200290574" </w:instrText>
          </w:r>
          <w:r>
            <w:fldChar w:fldCharType="separate"/>
          </w:r>
          <w:r>
            <w:rPr>
              <w:rStyle w:val="20"/>
              <w:rFonts w:hint="eastAsia"/>
              <w:sz w:val="24"/>
              <w:szCs w:val="24"/>
            </w:rPr>
            <w:t>自噪声示值误差的不确定度评定示例</w:t>
          </w:r>
          <w:r>
            <w:rPr>
              <w:rFonts w:ascii="Times New Roman"/>
              <w:sz w:val="24"/>
              <w:szCs w:val="24"/>
            </w:rPr>
            <w:tab/>
          </w:r>
          <w:r>
            <w:rPr>
              <w:rFonts w:hint="eastAsia" w:ascii="Times New Roman"/>
              <w:sz w:val="24"/>
              <w:szCs w:val="24"/>
            </w:rPr>
            <w:fldChar w:fldCharType="begin"/>
          </w:r>
          <w:r>
            <w:rPr>
              <w:rFonts w:ascii="Times New Roman"/>
              <w:sz w:val="24"/>
              <w:szCs w:val="24"/>
            </w:rPr>
            <w:instrText xml:space="preserve"> PAGEREF _Toc200290574 \h </w:instrText>
          </w:r>
          <w:r>
            <w:rPr>
              <w:rFonts w:hint="eastAsia" w:ascii="Times New Roman"/>
              <w:sz w:val="24"/>
              <w:szCs w:val="24"/>
            </w:rPr>
            <w:fldChar w:fldCharType="separate"/>
          </w:r>
          <w:r>
            <w:rPr>
              <w:rFonts w:ascii="Times New Roman"/>
              <w:sz w:val="24"/>
              <w:szCs w:val="24"/>
            </w:rPr>
            <w:t>11</w:t>
          </w:r>
          <w:r>
            <w:rPr>
              <w:rFonts w:hint="eastAsia" w:ascii="Times New Roman"/>
              <w:sz w:val="24"/>
              <w:szCs w:val="24"/>
            </w:rPr>
            <w:fldChar w:fldCharType="end"/>
          </w:r>
          <w:r>
            <w:rPr>
              <w:rFonts w:hint="eastAsia" w:ascii="Times New Roman"/>
              <w:sz w:val="24"/>
              <w:szCs w:val="24"/>
            </w:rPr>
            <w:fldChar w:fldCharType="end"/>
          </w:r>
        </w:p>
        <w:p w14:paraId="21AFE4F2">
          <w:pPr>
            <w:pStyle w:val="13"/>
            <w:spacing w:line="400" w:lineRule="exact"/>
            <w:jc w:val="both"/>
          </w:pPr>
          <w:r>
            <w:rPr>
              <w:rStyle w:val="20"/>
              <w:rFonts w:hint="eastAsia"/>
              <w:sz w:val="24"/>
              <w:szCs w:val="24"/>
            </w:rPr>
            <w:fldChar w:fldCharType="end"/>
          </w:r>
          <w:r>
            <w:rPr>
              <w:rStyle w:val="20"/>
              <w:sz w:val="24"/>
              <w:szCs w:val="24"/>
            </w:rPr>
            <w:t xml:space="preserve"> </w:t>
          </w:r>
          <w:r>
            <w:rPr>
              <w:rFonts w:ascii="Times New Roman"/>
              <w:sz w:val="24"/>
              <w:szCs w:val="24"/>
              <w:lang w:val="zh-CN"/>
            </w:rPr>
            <w:fldChar w:fldCharType="end"/>
          </w:r>
        </w:p>
      </w:sdtContent>
    </w:sdt>
    <w:p w14:paraId="0E9FF8F8">
      <w:pPr>
        <w:pStyle w:val="13"/>
        <w:spacing w:line="360" w:lineRule="auto"/>
        <w:rPr>
          <w:rFonts w:ascii="Times New Roman" w:eastAsiaTheme="minorEastAsia"/>
          <w:kern w:val="2"/>
          <w:sz w:val="24"/>
          <w:szCs w:val="24"/>
        </w:rPr>
      </w:pPr>
      <w:r>
        <w:rPr>
          <w:rFonts w:ascii="Times New Roman"/>
          <w:sz w:val="24"/>
          <w:szCs w:val="24"/>
        </w:rPr>
        <w:fldChar w:fldCharType="begin"/>
      </w:r>
      <w:r>
        <w:rPr>
          <w:rFonts w:ascii="Times New Roman"/>
          <w:sz w:val="24"/>
          <w:szCs w:val="24"/>
        </w:rPr>
        <w:instrText xml:space="preserve"> TOC \o "1-3" \h \z \u </w:instrText>
      </w:r>
      <w:r>
        <w:rPr>
          <w:rFonts w:ascii="Times New Roman"/>
          <w:sz w:val="24"/>
          <w:szCs w:val="24"/>
        </w:rPr>
        <w:fldChar w:fldCharType="separate"/>
      </w:r>
    </w:p>
    <w:p w14:paraId="7B6D6F57">
      <w:pPr>
        <w:spacing w:line="360" w:lineRule="auto"/>
        <w:rPr>
          <w:sz w:val="24"/>
          <w:szCs w:val="24"/>
          <w:lang w:val="zh-CN"/>
        </w:rPr>
        <w:sectPr>
          <w:headerReference r:id="rId9" w:type="default"/>
          <w:footerReference r:id="rId10" w:type="default"/>
          <w:footerReference r:id="rId11" w:type="even"/>
          <w:pgSz w:w="11907" w:h="16839"/>
          <w:pgMar w:top="1418" w:right="1134" w:bottom="1134" w:left="1418" w:header="1134" w:footer="851" w:gutter="0"/>
          <w:pgNumType w:fmt="upperRoman" w:start="1"/>
          <w:cols w:space="720" w:num="1"/>
          <w:docGrid w:type="lines" w:linePitch="312" w:charSpace="0"/>
        </w:sectPr>
      </w:pPr>
      <w:r>
        <w:rPr>
          <w:sz w:val="24"/>
          <w:szCs w:val="24"/>
          <w:lang w:val="zh-CN"/>
        </w:rPr>
        <w:fldChar w:fldCharType="end"/>
      </w:r>
    </w:p>
    <w:p w14:paraId="5EA05CC7">
      <w:pPr>
        <w:pStyle w:val="32"/>
        <w:adjustRightInd w:val="0"/>
        <w:snapToGrid w:val="0"/>
        <w:ind w:firstLine="0" w:firstLineChars="0"/>
        <w:jc w:val="center"/>
        <w:outlineLvl w:val="0"/>
        <w:rPr>
          <w:rFonts w:ascii="Times New Roman"/>
        </w:rPr>
      </w:pPr>
    </w:p>
    <w:p w14:paraId="2869BED7">
      <w:pPr>
        <w:pStyle w:val="32"/>
        <w:adjustRightInd w:val="0"/>
        <w:snapToGrid w:val="0"/>
        <w:spacing w:before="480" w:after="480"/>
        <w:ind w:firstLine="0" w:firstLineChars="0"/>
        <w:jc w:val="center"/>
        <w:outlineLvl w:val="0"/>
        <w:rPr>
          <w:rFonts w:ascii="Times New Roman" w:eastAsia="黑体"/>
          <w:sz w:val="52"/>
          <w:szCs w:val="52"/>
        </w:rPr>
      </w:pPr>
      <w:bookmarkStart w:id="11" w:name="_Toc200290551"/>
      <w:r>
        <w:rPr>
          <w:rFonts w:hint="eastAsia" w:ascii="Times New Roman" w:eastAsia="黑体"/>
          <w:sz w:val="44"/>
          <w:szCs w:val="52"/>
        </w:rPr>
        <w:t>引  言</w:t>
      </w:r>
      <w:bookmarkEnd w:id="11"/>
    </w:p>
    <w:p w14:paraId="4DE60057">
      <w:pPr>
        <w:spacing w:line="360" w:lineRule="auto"/>
        <w:ind w:firstLine="520" w:firstLineChars="200"/>
        <w:rPr>
          <w:spacing w:val="10"/>
          <w:sz w:val="24"/>
          <w:szCs w:val="24"/>
        </w:rPr>
      </w:pPr>
      <w:r>
        <w:rPr>
          <w:spacing w:val="10"/>
          <w:sz w:val="24"/>
          <w:szCs w:val="24"/>
        </w:rPr>
        <w:t>JJF 1071</w:t>
      </w:r>
      <w:r>
        <w:rPr>
          <w:rFonts w:hint="eastAsia"/>
        </w:rPr>
        <w:t>—</w:t>
      </w:r>
      <w:r>
        <w:rPr>
          <w:spacing w:val="10"/>
          <w:sz w:val="24"/>
          <w:szCs w:val="24"/>
        </w:rPr>
        <w:t>2010《国家计量校准规范编写规则》、JJF 1001</w:t>
      </w:r>
      <w:r>
        <w:rPr>
          <w:rFonts w:hint="eastAsia"/>
        </w:rPr>
        <w:t>—</w:t>
      </w:r>
      <w:r>
        <w:rPr>
          <w:spacing w:val="10"/>
          <w:sz w:val="24"/>
          <w:szCs w:val="24"/>
        </w:rPr>
        <w:t>2011《通用计量术语及定义》和JJF1059.1</w:t>
      </w:r>
      <w:r>
        <w:rPr>
          <w:rFonts w:hint="eastAsia"/>
        </w:rPr>
        <w:t>—</w:t>
      </w:r>
      <w:r>
        <w:rPr>
          <w:spacing w:val="10"/>
          <w:sz w:val="24"/>
          <w:szCs w:val="24"/>
        </w:rPr>
        <w:t>2012《测量不确定度评定与表示》共同构成支撑本规范制定工作的基础性系列规范。</w:t>
      </w:r>
    </w:p>
    <w:p w14:paraId="0BA7F941">
      <w:pPr>
        <w:spacing w:line="360" w:lineRule="auto"/>
        <w:ind w:firstLine="520" w:firstLineChars="200"/>
        <w:rPr>
          <w:spacing w:val="10"/>
          <w:sz w:val="24"/>
          <w:szCs w:val="24"/>
        </w:rPr>
      </w:pPr>
      <w:r>
        <w:rPr>
          <w:spacing w:val="10"/>
          <w:sz w:val="24"/>
          <w:szCs w:val="24"/>
        </w:rPr>
        <w:t>本规范为首次发布。</w:t>
      </w:r>
    </w:p>
    <w:p w14:paraId="4611D874">
      <w:pPr>
        <w:pStyle w:val="32"/>
        <w:spacing w:line="360" w:lineRule="auto"/>
        <w:ind w:firstLine="480"/>
        <w:rPr>
          <w:rFonts w:ascii="Times New Roman"/>
          <w:sz w:val="24"/>
          <w:szCs w:val="24"/>
        </w:rPr>
        <w:sectPr>
          <w:pgSz w:w="11907" w:h="16839"/>
          <w:pgMar w:top="1418" w:right="1134" w:bottom="1134" w:left="1418" w:header="1134" w:footer="851" w:gutter="0"/>
          <w:pgNumType w:fmt="upperRoman" w:start="1"/>
          <w:cols w:space="720" w:num="1"/>
          <w:docGrid w:type="lines" w:linePitch="312" w:charSpace="0"/>
        </w:sectPr>
      </w:pPr>
    </w:p>
    <w:bookmarkEnd w:id="3"/>
    <w:p w14:paraId="35A9A991">
      <w:pPr>
        <w:spacing w:before="468" w:beforeLines="150" w:after="156" w:afterLines="50" w:line="360" w:lineRule="auto"/>
        <w:jc w:val="center"/>
        <w:rPr>
          <w:rFonts w:eastAsia="黑体"/>
          <w:sz w:val="32"/>
          <w:szCs w:val="32"/>
        </w:rPr>
      </w:pPr>
      <w:bookmarkStart w:id="12" w:name="_Toc151392004"/>
      <w:bookmarkStart w:id="13" w:name="_Toc36524973"/>
      <w:bookmarkStart w:id="14" w:name="_Toc36524265"/>
      <w:bookmarkStart w:id="15" w:name="_Toc349718155"/>
      <w:bookmarkStart w:id="16" w:name="_Toc88913384"/>
      <w:bookmarkStart w:id="17" w:name="_Toc24269_WPSOffice_Level1"/>
      <w:bookmarkStart w:id="18" w:name="_Toc36459917"/>
      <w:r>
        <w:rPr>
          <w:rFonts w:eastAsia="黑体"/>
          <w:sz w:val="32"/>
          <w:szCs w:val="32"/>
        </w:rPr>
        <w:t>船载水声探测系统噪声原位校准规范</w:t>
      </w:r>
    </w:p>
    <w:bookmarkEnd w:id="12"/>
    <w:p w14:paraId="48DAE7D5">
      <w:pPr>
        <w:pStyle w:val="36"/>
        <w:numPr>
          <w:ilvl w:val="0"/>
          <w:numId w:val="5"/>
        </w:numPr>
        <w:spacing w:before="156" w:after="156" w:line="360" w:lineRule="auto"/>
        <w:ind w:left="357" w:hanging="357"/>
        <w:rPr>
          <w:rFonts w:ascii="Times New Roman"/>
          <w:color w:val="000000"/>
          <w:sz w:val="24"/>
          <w:szCs w:val="24"/>
        </w:rPr>
      </w:pPr>
      <w:bookmarkStart w:id="19" w:name="_Toc199420194"/>
      <w:bookmarkStart w:id="20" w:name="_Toc200290552"/>
      <w:r>
        <w:rPr>
          <w:rFonts w:ascii="Times New Roman"/>
          <w:color w:val="000000"/>
          <w:sz w:val="24"/>
          <w:szCs w:val="24"/>
        </w:rPr>
        <w:t>范围</w:t>
      </w:r>
      <w:bookmarkEnd w:id="13"/>
      <w:bookmarkEnd w:id="14"/>
      <w:bookmarkEnd w:id="15"/>
      <w:bookmarkEnd w:id="16"/>
      <w:bookmarkEnd w:id="17"/>
      <w:bookmarkEnd w:id="18"/>
      <w:bookmarkEnd w:id="19"/>
      <w:bookmarkEnd w:id="20"/>
    </w:p>
    <w:p w14:paraId="10FCAD26">
      <w:pPr>
        <w:pStyle w:val="32"/>
        <w:spacing w:line="360" w:lineRule="auto"/>
        <w:ind w:firstLine="480"/>
        <w:rPr>
          <w:rFonts w:ascii="Times New Roman"/>
          <w:sz w:val="24"/>
        </w:rPr>
      </w:pPr>
      <w:r>
        <w:rPr>
          <w:rFonts w:ascii="Times New Roman"/>
          <w:sz w:val="24"/>
        </w:rPr>
        <w:t>本规范适用于</w:t>
      </w:r>
      <w:r>
        <w:rPr>
          <w:rFonts w:hint="eastAsia" w:ascii="Times New Roman"/>
          <w:sz w:val="24"/>
        </w:rPr>
        <w:t>频率范围为3</w:t>
      </w:r>
      <w:r>
        <w:rPr>
          <w:rFonts w:ascii="Times New Roman"/>
          <w:sz w:val="24"/>
        </w:rPr>
        <w:t>00</w:t>
      </w:r>
      <w:r>
        <w:rPr>
          <w:rFonts w:hint="eastAsia" w:ascii="Times New Roman"/>
          <w:sz w:val="24"/>
        </w:rPr>
        <w:t xml:space="preserve"> </w:t>
      </w:r>
      <w:r>
        <w:rPr>
          <w:rFonts w:ascii="Times New Roman"/>
          <w:sz w:val="24"/>
        </w:rPr>
        <w:t>H</w:t>
      </w:r>
      <w:r>
        <w:rPr>
          <w:rFonts w:hint="eastAsia" w:ascii="Times New Roman"/>
          <w:sz w:val="24"/>
        </w:rPr>
        <w:t>z</w:t>
      </w:r>
      <w:r>
        <w:rPr>
          <w:rFonts w:ascii="Times New Roman"/>
          <w:sz w:val="24"/>
        </w:rPr>
        <w:t>~40</w:t>
      </w:r>
      <w:r>
        <w:rPr>
          <w:rFonts w:hint="eastAsia" w:ascii="Times New Roman"/>
          <w:sz w:val="24"/>
        </w:rPr>
        <w:t xml:space="preserve"> </w:t>
      </w:r>
      <w:r>
        <w:rPr>
          <w:rFonts w:ascii="Times New Roman"/>
          <w:sz w:val="24"/>
        </w:rPr>
        <w:t>k</w:t>
      </w:r>
      <w:r>
        <w:rPr>
          <w:rFonts w:hint="eastAsia" w:ascii="Times New Roman"/>
          <w:sz w:val="24"/>
        </w:rPr>
        <w:t>Hz的</w:t>
      </w:r>
      <w:r>
        <w:rPr>
          <w:rFonts w:ascii="Times New Roman"/>
          <w:sz w:val="24"/>
        </w:rPr>
        <w:t>船载</w:t>
      </w:r>
      <w:r>
        <w:rPr>
          <w:rFonts w:hint="eastAsia" w:ascii="Times New Roman"/>
          <w:sz w:val="24"/>
        </w:rPr>
        <w:t>单波束、多波束和浅地层剖面仪等</w:t>
      </w:r>
      <w:r>
        <w:rPr>
          <w:rFonts w:ascii="Times New Roman"/>
          <w:sz w:val="24"/>
        </w:rPr>
        <w:t>水声探测系统噪声原位校准</w:t>
      </w:r>
      <w:r>
        <w:rPr>
          <w:rFonts w:hint="eastAsia" w:ascii="Times New Roman"/>
          <w:sz w:val="24"/>
        </w:rPr>
        <w:t>，其他频率的水声探测系统的噪声原位校准参照本规范执行</w:t>
      </w:r>
      <w:r>
        <w:rPr>
          <w:rFonts w:ascii="Times New Roman"/>
          <w:sz w:val="24"/>
        </w:rPr>
        <w:t>。</w:t>
      </w:r>
    </w:p>
    <w:p w14:paraId="488B4B51">
      <w:pPr>
        <w:pStyle w:val="36"/>
        <w:numPr>
          <w:ilvl w:val="0"/>
          <w:numId w:val="5"/>
        </w:numPr>
        <w:spacing w:before="156" w:after="156" w:line="360" w:lineRule="auto"/>
        <w:ind w:left="357" w:hanging="357"/>
        <w:rPr>
          <w:rFonts w:ascii="Times New Roman"/>
          <w:color w:val="000000"/>
          <w:sz w:val="24"/>
          <w:szCs w:val="24"/>
        </w:rPr>
      </w:pPr>
      <w:bookmarkStart w:id="21" w:name="_Toc36459918"/>
      <w:bookmarkStart w:id="22" w:name="_Toc36524266"/>
      <w:bookmarkStart w:id="23" w:name="_Toc349718156"/>
      <w:bookmarkStart w:id="24" w:name="_Toc36524974"/>
      <w:bookmarkStart w:id="25" w:name="_Toc200290553"/>
      <w:bookmarkStart w:id="26" w:name="_Toc199420195"/>
      <w:bookmarkStart w:id="27" w:name="_Toc29580_WPSOffice_Level1"/>
      <w:bookmarkStart w:id="28" w:name="_Toc88913385"/>
      <w:r>
        <w:rPr>
          <w:rFonts w:ascii="Times New Roman"/>
          <w:color w:val="000000"/>
          <w:sz w:val="24"/>
          <w:szCs w:val="24"/>
        </w:rPr>
        <w:t>引用</w:t>
      </w:r>
      <w:bookmarkEnd w:id="21"/>
      <w:bookmarkEnd w:id="22"/>
      <w:bookmarkEnd w:id="23"/>
      <w:bookmarkEnd w:id="24"/>
      <w:r>
        <w:rPr>
          <w:rFonts w:ascii="Times New Roman"/>
          <w:color w:val="000000"/>
          <w:sz w:val="24"/>
          <w:szCs w:val="24"/>
        </w:rPr>
        <w:t>文件</w:t>
      </w:r>
      <w:bookmarkEnd w:id="25"/>
      <w:bookmarkEnd w:id="26"/>
      <w:bookmarkEnd w:id="27"/>
      <w:bookmarkEnd w:id="28"/>
    </w:p>
    <w:p w14:paraId="22D54B54">
      <w:pPr>
        <w:pStyle w:val="32"/>
        <w:spacing w:line="360" w:lineRule="auto"/>
        <w:ind w:firstLine="480"/>
        <w:rPr>
          <w:rFonts w:ascii="Times New Roman"/>
          <w:sz w:val="24"/>
        </w:rPr>
      </w:pPr>
      <w:bookmarkStart w:id="29" w:name="_Toc4877_WPSOffice_Level1"/>
      <w:r>
        <w:rPr>
          <w:rFonts w:ascii="Times New Roman"/>
          <w:sz w:val="24"/>
        </w:rPr>
        <w:t>本规范根据JJF1071—2010《国家计量校准规范编写规则》进行编写，并在编写中参考了以下有关文件：</w:t>
      </w:r>
    </w:p>
    <w:p w14:paraId="1DBE6BF3">
      <w:pPr>
        <w:pStyle w:val="32"/>
        <w:spacing w:line="360" w:lineRule="auto"/>
        <w:ind w:firstLine="480"/>
        <w:rPr>
          <w:rFonts w:ascii="Times New Roman"/>
          <w:sz w:val="24"/>
        </w:rPr>
      </w:pPr>
      <w:bookmarkStart w:id="30" w:name="_Hlk199951133"/>
      <w:r>
        <w:rPr>
          <w:rFonts w:ascii="Times New Roman"/>
          <w:sz w:val="24"/>
        </w:rPr>
        <w:t>GJB 274</w:t>
      </w:r>
      <w:r>
        <w:rPr>
          <w:rFonts w:hint="eastAsia" w:ascii="Times New Roman"/>
          <w:sz w:val="24"/>
        </w:rPr>
        <w:t>—</w:t>
      </w:r>
      <w:r>
        <w:rPr>
          <w:rFonts w:ascii="Times New Roman"/>
          <w:sz w:val="24"/>
        </w:rPr>
        <w:t>1987  船舶水下自噪声测量方法</w:t>
      </w:r>
    </w:p>
    <w:p w14:paraId="0C6B574C">
      <w:pPr>
        <w:pStyle w:val="32"/>
        <w:spacing w:line="360" w:lineRule="auto"/>
        <w:ind w:firstLine="480"/>
        <w:rPr>
          <w:rFonts w:ascii="Times New Roman"/>
          <w:sz w:val="24"/>
        </w:rPr>
      </w:pPr>
      <w:r>
        <w:rPr>
          <w:rFonts w:ascii="Times New Roman"/>
          <w:sz w:val="24"/>
        </w:rPr>
        <w:t>JJG 340</w:t>
      </w:r>
      <w:r>
        <w:rPr>
          <w:rFonts w:hint="eastAsia" w:ascii="Times New Roman"/>
          <w:sz w:val="24"/>
        </w:rPr>
        <w:t>—</w:t>
      </w:r>
      <w:r>
        <w:rPr>
          <w:rFonts w:ascii="Times New Roman"/>
          <w:sz w:val="24"/>
        </w:rPr>
        <w:t xml:space="preserve">2017   </w:t>
      </w:r>
      <w:r>
        <w:rPr>
          <w:rFonts w:hint="eastAsia" w:ascii="Times New Roman"/>
          <w:sz w:val="24"/>
        </w:rPr>
        <w:t>1 Hz~2 kHz标准水听器（密闭腔比较法）检定规程</w:t>
      </w:r>
    </w:p>
    <w:p w14:paraId="4DC1268E">
      <w:pPr>
        <w:pStyle w:val="32"/>
        <w:spacing w:line="360" w:lineRule="auto"/>
        <w:ind w:firstLine="480"/>
        <w:rPr>
          <w:rFonts w:ascii="Times New Roman"/>
          <w:sz w:val="24"/>
        </w:rPr>
      </w:pPr>
      <w:r>
        <w:rPr>
          <w:rFonts w:ascii="Times New Roman"/>
          <w:sz w:val="24"/>
        </w:rPr>
        <w:t>JJG 1017</w:t>
      </w:r>
      <w:r>
        <w:rPr>
          <w:rFonts w:hint="eastAsia" w:ascii="Times New Roman"/>
          <w:sz w:val="24"/>
        </w:rPr>
        <w:t>—</w:t>
      </w:r>
      <w:r>
        <w:rPr>
          <w:rFonts w:ascii="Times New Roman"/>
          <w:sz w:val="24"/>
        </w:rPr>
        <w:t>2007  1</w:t>
      </w:r>
      <w:r>
        <w:rPr>
          <w:rFonts w:hint="eastAsia" w:ascii="Times New Roman"/>
          <w:sz w:val="24"/>
        </w:rPr>
        <w:t xml:space="preserve"> </w:t>
      </w:r>
      <w:r>
        <w:rPr>
          <w:rFonts w:ascii="Times New Roman"/>
          <w:sz w:val="24"/>
        </w:rPr>
        <w:t>kHz~1</w:t>
      </w:r>
      <w:r>
        <w:rPr>
          <w:rFonts w:hint="eastAsia" w:ascii="Times New Roman"/>
          <w:sz w:val="24"/>
        </w:rPr>
        <w:t xml:space="preserve"> </w:t>
      </w:r>
      <w:r>
        <w:rPr>
          <w:rFonts w:ascii="Times New Roman"/>
          <w:sz w:val="24"/>
        </w:rPr>
        <w:t>MHz标准水听器检定规程</w:t>
      </w:r>
    </w:p>
    <w:p w14:paraId="35B8FF59">
      <w:pPr>
        <w:pStyle w:val="32"/>
        <w:spacing w:line="360" w:lineRule="auto"/>
        <w:ind w:firstLine="480"/>
        <w:rPr>
          <w:rFonts w:ascii="Times New Roman"/>
          <w:sz w:val="24"/>
        </w:rPr>
      </w:pPr>
      <w:r>
        <w:rPr>
          <w:rFonts w:ascii="Times New Roman"/>
          <w:sz w:val="24"/>
        </w:rPr>
        <w:t>JJF 1034 声学计量术语及定义</w:t>
      </w:r>
    </w:p>
    <w:p w14:paraId="4432DB28">
      <w:pPr>
        <w:pStyle w:val="32"/>
        <w:spacing w:line="360" w:lineRule="auto"/>
        <w:ind w:firstLine="480"/>
        <w:rPr>
          <w:rFonts w:ascii="Times New Roman"/>
          <w:sz w:val="24"/>
        </w:rPr>
      </w:pPr>
      <w:r>
        <w:rPr>
          <w:rFonts w:ascii="Times New Roman"/>
          <w:sz w:val="24"/>
        </w:rPr>
        <w:t>JJF 1651</w:t>
      </w:r>
      <w:r>
        <w:rPr>
          <w:rFonts w:hint="eastAsia" w:ascii="Times New Roman"/>
          <w:sz w:val="24"/>
        </w:rPr>
        <w:t>—</w:t>
      </w:r>
      <w:r>
        <w:rPr>
          <w:rFonts w:ascii="Times New Roman"/>
          <w:sz w:val="24"/>
        </w:rPr>
        <w:t>2017  20</w:t>
      </w:r>
      <w:r>
        <w:rPr>
          <w:rFonts w:hint="eastAsia" w:ascii="Times New Roman"/>
          <w:sz w:val="24"/>
        </w:rPr>
        <w:t xml:space="preserve"> </w:t>
      </w:r>
      <w:r>
        <w:rPr>
          <w:rFonts w:ascii="Times New Roman"/>
          <w:sz w:val="24"/>
        </w:rPr>
        <w:t>Hz~100</w:t>
      </w:r>
      <w:r>
        <w:rPr>
          <w:rFonts w:hint="eastAsia" w:ascii="Times New Roman"/>
          <w:sz w:val="24"/>
        </w:rPr>
        <w:t xml:space="preserve"> </w:t>
      </w:r>
      <w:r>
        <w:rPr>
          <w:rFonts w:ascii="Times New Roman"/>
          <w:sz w:val="24"/>
        </w:rPr>
        <w:t>kHz水下噪声源校准规范</w:t>
      </w:r>
    </w:p>
    <w:p w14:paraId="6E0E7754">
      <w:pPr>
        <w:pStyle w:val="32"/>
        <w:spacing w:line="360" w:lineRule="auto"/>
        <w:ind w:firstLine="480"/>
        <w:rPr>
          <w:rFonts w:ascii="Times New Roman"/>
          <w:sz w:val="24"/>
        </w:rPr>
      </w:pPr>
      <w:r>
        <w:rPr>
          <w:rFonts w:ascii="Times New Roman"/>
          <w:sz w:val="24"/>
        </w:rPr>
        <w:t>JJF 1861</w:t>
      </w:r>
      <w:r>
        <w:rPr>
          <w:rFonts w:hint="eastAsia" w:ascii="Times New Roman"/>
          <w:sz w:val="24"/>
        </w:rPr>
        <w:t>—</w:t>
      </w:r>
      <w:r>
        <w:rPr>
          <w:rFonts w:ascii="Times New Roman"/>
          <w:sz w:val="24"/>
        </w:rPr>
        <w:t>2020  1</w:t>
      </w:r>
      <w:r>
        <w:rPr>
          <w:rFonts w:hint="eastAsia" w:ascii="Times New Roman"/>
          <w:sz w:val="24"/>
        </w:rPr>
        <w:t xml:space="preserve"> </w:t>
      </w:r>
      <w:r>
        <w:rPr>
          <w:rFonts w:ascii="Times New Roman"/>
          <w:sz w:val="24"/>
        </w:rPr>
        <w:t>kHz~200</w:t>
      </w:r>
      <w:r>
        <w:rPr>
          <w:rFonts w:hint="eastAsia" w:ascii="Times New Roman"/>
          <w:sz w:val="24"/>
        </w:rPr>
        <w:t xml:space="preserve"> </w:t>
      </w:r>
      <w:r>
        <w:rPr>
          <w:rFonts w:ascii="Times New Roman"/>
          <w:sz w:val="24"/>
        </w:rPr>
        <w:t>kHz水声换能器校准规范</w:t>
      </w:r>
    </w:p>
    <w:p w14:paraId="768F673A">
      <w:pPr>
        <w:pStyle w:val="32"/>
        <w:spacing w:line="360" w:lineRule="auto"/>
        <w:ind w:firstLine="480"/>
        <w:rPr>
          <w:rFonts w:ascii="Times New Roman"/>
          <w:sz w:val="24"/>
        </w:rPr>
      </w:pPr>
      <w:r>
        <w:rPr>
          <w:rFonts w:ascii="Times New Roman"/>
          <w:sz w:val="24"/>
        </w:rPr>
        <w:t>GB/T 3102.7  声学的量和单位</w:t>
      </w:r>
    </w:p>
    <w:p w14:paraId="767808CA">
      <w:pPr>
        <w:pStyle w:val="32"/>
        <w:spacing w:line="360" w:lineRule="auto"/>
        <w:ind w:firstLine="480"/>
        <w:rPr>
          <w:rFonts w:ascii="Times New Roman"/>
          <w:sz w:val="24"/>
        </w:rPr>
      </w:pPr>
      <w:r>
        <w:rPr>
          <w:rFonts w:ascii="Times New Roman"/>
          <w:sz w:val="24"/>
        </w:rPr>
        <w:t>GB/T 3223—1994  声学 水声换能器自由场校准方法</w:t>
      </w:r>
    </w:p>
    <w:p w14:paraId="08E3DF79">
      <w:pPr>
        <w:pStyle w:val="32"/>
        <w:spacing w:line="360" w:lineRule="auto"/>
        <w:ind w:firstLine="480"/>
        <w:rPr>
          <w:rFonts w:ascii="Times New Roman"/>
          <w:sz w:val="24"/>
        </w:rPr>
      </w:pPr>
      <w:r>
        <w:rPr>
          <w:rFonts w:ascii="Times New Roman"/>
          <w:sz w:val="24"/>
        </w:rPr>
        <w:t>GB/T 3947  声学名词术语</w:t>
      </w:r>
    </w:p>
    <w:p w14:paraId="4AB02A2F">
      <w:pPr>
        <w:pStyle w:val="32"/>
        <w:spacing w:line="360" w:lineRule="auto"/>
        <w:ind w:firstLine="480"/>
        <w:rPr>
          <w:rFonts w:ascii="Times New Roman"/>
          <w:sz w:val="24"/>
        </w:rPr>
      </w:pPr>
      <w:r>
        <w:rPr>
          <w:rFonts w:ascii="Times New Roman"/>
          <w:sz w:val="24"/>
        </w:rPr>
        <w:t>GB/T 4128</w:t>
      </w:r>
      <w:r>
        <w:rPr>
          <w:rFonts w:hint="eastAsia" w:ascii="Times New Roman"/>
          <w:sz w:val="24"/>
        </w:rPr>
        <w:t>—</w:t>
      </w:r>
      <w:r>
        <w:rPr>
          <w:rFonts w:ascii="Times New Roman"/>
          <w:sz w:val="24"/>
        </w:rPr>
        <w:t xml:space="preserve">1995 </w:t>
      </w:r>
      <w:r>
        <w:rPr>
          <w:rFonts w:hint="eastAsia" w:ascii="Times New Roman"/>
          <w:sz w:val="24"/>
        </w:rPr>
        <w:t>声学 标准水听器</w:t>
      </w:r>
    </w:p>
    <w:p w14:paraId="2900D5BD">
      <w:pPr>
        <w:pStyle w:val="63"/>
        <w:ind w:firstLine="480"/>
        <w:rPr>
          <w:rFonts w:eastAsia="宋体"/>
          <w:kern w:val="0"/>
          <w:szCs w:val="20"/>
        </w:rPr>
      </w:pPr>
      <w:r>
        <w:rPr>
          <w:rFonts w:eastAsia="宋体"/>
          <w:kern w:val="0"/>
          <w:szCs w:val="20"/>
        </w:rPr>
        <w:t>GB/T 4130</w:t>
      </w:r>
      <w:r>
        <w:rPr>
          <w:rFonts w:hint="eastAsia"/>
        </w:rPr>
        <w:t>—</w:t>
      </w:r>
      <w:r>
        <w:rPr>
          <w:rFonts w:eastAsia="宋体"/>
          <w:kern w:val="0"/>
          <w:szCs w:val="20"/>
        </w:rPr>
        <w:t>2017 声学 水听器低频校准方法</w:t>
      </w:r>
    </w:p>
    <w:p w14:paraId="201470A7">
      <w:pPr>
        <w:pStyle w:val="32"/>
        <w:spacing w:line="360" w:lineRule="auto"/>
        <w:ind w:firstLine="480"/>
        <w:rPr>
          <w:rFonts w:ascii="Times New Roman"/>
          <w:sz w:val="24"/>
        </w:rPr>
      </w:pPr>
      <w:bookmarkStart w:id="31" w:name="_Hlk178237841"/>
      <w:r>
        <w:rPr>
          <w:rFonts w:ascii="Times New Roman"/>
          <w:sz w:val="24"/>
        </w:rPr>
        <w:t>GB/T 5265</w:t>
      </w:r>
      <w:r>
        <w:rPr>
          <w:rFonts w:hint="eastAsia" w:ascii="Times New Roman"/>
          <w:sz w:val="24"/>
        </w:rPr>
        <w:t>—</w:t>
      </w:r>
      <w:r>
        <w:rPr>
          <w:rFonts w:ascii="Times New Roman"/>
          <w:sz w:val="24"/>
        </w:rPr>
        <w:t>2009  声学 水下辐射噪声测量</w:t>
      </w:r>
    </w:p>
    <w:bookmarkEnd w:id="31"/>
    <w:p w14:paraId="4B328AF6">
      <w:pPr>
        <w:pStyle w:val="32"/>
        <w:spacing w:line="360" w:lineRule="auto"/>
        <w:ind w:firstLine="480"/>
        <w:rPr>
          <w:rFonts w:ascii="Times New Roman"/>
          <w:sz w:val="24"/>
        </w:rPr>
      </w:pPr>
      <w:r>
        <w:rPr>
          <w:rFonts w:ascii="Times New Roman"/>
          <w:sz w:val="24"/>
        </w:rPr>
        <w:t>GB/T 7965</w:t>
      </w:r>
      <w:r>
        <w:rPr>
          <w:rFonts w:hint="eastAsia" w:ascii="Times New Roman"/>
          <w:sz w:val="24"/>
        </w:rPr>
        <w:t>—</w:t>
      </w:r>
      <w:r>
        <w:rPr>
          <w:rFonts w:ascii="Times New Roman"/>
          <w:sz w:val="24"/>
        </w:rPr>
        <w:t>2002  声学 水声换能器测量</w:t>
      </w:r>
    </w:p>
    <w:bookmarkEnd w:id="30"/>
    <w:p w14:paraId="73853565">
      <w:pPr>
        <w:pStyle w:val="32"/>
        <w:spacing w:line="360" w:lineRule="auto"/>
        <w:ind w:firstLine="480"/>
        <w:rPr>
          <w:rFonts w:ascii="Times New Roman"/>
          <w:sz w:val="24"/>
        </w:rPr>
      </w:pPr>
      <w:r>
        <w:rPr>
          <w:rFonts w:ascii="Times New Roman"/>
          <w:sz w:val="24"/>
        </w:rPr>
        <w:t>凡是注日期的引用文件，仅注日期的版本适用于本规范；凡是不注日期的引用文件，其最新版本（包括所有的修改单）适用于本规范。</w:t>
      </w:r>
    </w:p>
    <w:p w14:paraId="585E482B">
      <w:pPr>
        <w:pStyle w:val="36"/>
        <w:numPr>
          <w:ilvl w:val="0"/>
          <w:numId w:val="5"/>
        </w:numPr>
        <w:spacing w:before="156" w:after="156" w:line="360" w:lineRule="auto"/>
        <w:rPr>
          <w:rFonts w:ascii="Times New Roman"/>
          <w:color w:val="000000"/>
          <w:sz w:val="24"/>
          <w:szCs w:val="24"/>
        </w:rPr>
      </w:pPr>
      <w:bookmarkStart w:id="32" w:name="_Toc199420196"/>
      <w:bookmarkStart w:id="33" w:name="_Toc200290554"/>
      <w:r>
        <w:rPr>
          <w:rFonts w:ascii="Times New Roman"/>
          <w:color w:val="000000"/>
          <w:sz w:val="24"/>
          <w:szCs w:val="24"/>
        </w:rPr>
        <w:t>术语</w:t>
      </w:r>
      <w:bookmarkEnd w:id="29"/>
      <w:bookmarkEnd w:id="32"/>
      <w:bookmarkEnd w:id="33"/>
    </w:p>
    <w:p w14:paraId="7CCE94E0">
      <w:pPr>
        <w:pStyle w:val="32"/>
        <w:spacing w:line="360" w:lineRule="auto"/>
        <w:ind w:firstLine="480"/>
        <w:rPr>
          <w:rFonts w:ascii="Times New Roman"/>
          <w:sz w:val="24"/>
        </w:rPr>
      </w:pPr>
      <w:r>
        <w:rPr>
          <w:rFonts w:hint="eastAsia" w:ascii="Times New Roman"/>
          <w:sz w:val="24"/>
        </w:rPr>
        <w:t>J</w:t>
      </w:r>
      <w:r>
        <w:rPr>
          <w:rFonts w:ascii="Times New Roman"/>
          <w:sz w:val="24"/>
        </w:rPr>
        <w:t>JF 1001</w:t>
      </w:r>
      <w:r>
        <w:rPr>
          <w:rFonts w:hint="eastAsia" w:ascii="Times New Roman"/>
          <w:sz w:val="24"/>
        </w:rPr>
        <w:t>、</w:t>
      </w:r>
      <w:r>
        <w:rPr>
          <w:rFonts w:ascii="Times New Roman"/>
          <w:sz w:val="24"/>
        </w:rPr>
        <w:t>JJF 1034</w:t>
      </w:r>
      <w:r>
        <w:rPr>
          <w:rFonts w:hint="eastAsia" w:ascii="Times New Roman"/>
          <w:sz w:val="24"/>
        </w:rPr>
        <w:t>、</w:t>
      </w:r>
      <w:r>
        <w:rPr>
          <w:rFonts w:ascii="Times New Roman"/>
          <w:sz w:val="24"/>
        </w:rPr>
        <w:t>GJB 274</w:t>
      </w:r>
      <w:r>
        <w:rPr>
          <w:rFonts w:hint="eastAsia" w:ascii="Times New Roman"/>
          <w:sz w:val="24"/>
        </w:rPr>
        <w:t>—</w:t>
      </w:r>
      <w:r>
        <w:rPr>
          <w:rFonts w:ascii="Times New Roman"/>
          <w:sz w:val="24"/>
        </w:rPr>
        <w:t>1987</w:t>
      </w:r>
      <w:r>
        <w:rPr>
          <w:rFonts w:hint="eastAsia" w:ascii="Times New Roman"/>
          <w:sz w:val="24"/>
        </w:rPr>
        <w:t>和</w:t>
      </w:r>
      <w:r>
        <w:rPr>
          <w:rFonts w:ascii="Times New Roman"/>
          <w:sz w:val="24"/>
        </w:rPr>
        <w:t>GB/T 5265</w:t>
      </w:r>
      <w:r>
        <w:rPr>
          <w:rFonts w:hint="eastAsia" w:ascii="Times New Roman"/>
          <w:sz w:val="24"/>
        </w:rPr>
        <w:t>—</w:t>
      </w:r>
      <w:r>
        <w:rPr>
          <w:rFonts w:ascii="Times New Roman"/>
          <w:sz w:val="24"/>
        </w:rPr>
        <w:t>2009</w:t>
      </w:r>
      <w:r>
        <w:rPr>
          <w:rFonts w:hint="eastAsia" w:ascii="Times New Roman"/>
          <w:sz w:val="24"/>
        </w:rPr>
        <w:t>界定的及以下术语和定义适用于本规范。</w:t>
      </w:r>
    </w:p>
    <w:p w14:paraId="7F1526A6">
      <w:pPr>
        <w:pStyle w:val="32"/>
        <w:spacing w:line="360" w:lineRule="auto"/>
        <w:ind w:firstLine="480"/>
        <w:rPr>
          <w:rFonts w:ascii="Times New Roman"/>
          <w:sz w:val="24"/>
        </w:rPr>
      </w:pPr>
      <w:r>
        <w:rPr>
          <w:rFonts w:hint="eastAsia" w:ascii="Times New Roman"/>
          <w:sz w:val="24"/>
        </w:rPr>
        <w:t>本规范采用G</w:t>
      </w:r>
      <w:r>
        <w:rPr>
          <w:rFonts w:ascii="Times New Roman"/>
          <w:sz w:val="24"/>
        </w:rPr>
        <w:t>B/T 3102.7</w:t>
      </w:r>
      <w:r>
        <w:rPr>
          <w:rFonts w:hint="eastAsia" w:ascii="Times New Roman"/>
          <w:sz w:val="24"/>
        </w:rPr>
        <w:t>规定的量和单位。</w:t>
      </w:r>
    </w:p>
    <w:p w14:paraId="340389CA">
      <w:pPr>
        <w:spacing w:before="156" w:beforeLines="50" w:after="156" w:afterLines="50"/>
        <w:rPr>
          <w:kern w:val="0"/>
          <w:sz w:val="24"/>
          <w:szCs w:val="20"/>
        </w:rPr>
      </w:pPr>
      <w:r>
        <w:rPr>
          <w:kern w:val="0"/>
          <w:sz w:val="24"/>
          <w:szCs w:val="20"/>
        </w:rPr>
        <w:t>3.1 水声探测系统underwater acoustic detection system</w:t>
      </w:r>
    </w:p>
    <w:p w14:paraId="06C9E101">
      <w:pPr>
        <w:pStyle w:val="32"/>
        <w:spacing w:line="360" w:lineRule="auto"/>
        <w:ind w:firstLine="480"/>
        <w:rPr>
          <w:rFonts w:ascii="Times New Roman"/>
          <w:sz w:val="24"/>
        </w:rPr>
      </w:pPr>
      <w:r>
        <w:rPr>
          <w:rFonts w:ascii="Times New Roman"/>
          <w:sz w:val="24"/>
        </w:rPr>
        <w:t>能够利用声波在水中的传播和反射特性，通过电声转换和信息处理完成水声探测和通讯的系统。</w:t>
      </w:r>
    </w:p>
    <w:p w14:paraId="09C995F2">
      <w:pPr>
        <w:spacing w:before="156" w:beforeLines="50" w:after="156" w:afterLines="50"/>
        <w:rPr>
          <w:kern w:val="0"/>
          <w:sz w:val="24"/>
          <w:szCs w:val="20"/>
        </w:rPr>
      </w:pPr>
      <w:r>
        <w:rPr>
          <w:kern w:val="0"/>
          <w:sz w:val="24"/>
          <w:szCs w:val="20"/>
        </w:rPr>
        <w:t>3.2 自噪声监测系统self-noise monitoring system</w:t>
      </w:r>
    </w:p>
    <w:p w14:paraId="158A0955">
      <w:pPr>
        <w:pStyle w:val="32"/>
        <w:spacing w:line="360" w:lineRule="auto"/>
        <w:ind w:firstLine="480"/>
        <w:rPr>
          <w:rFonts w:ascii="Times New Roman"/>
          <w:color w:val="FF0000"/>
          <w:sz w:val="24"/>
        </w:rPr>
      </w:pPr>
      <w:r>
        <w:rPr>
          <w:rFonts w:ascii="Times New Roman"/>
          <w:sz w:val="24"/>
        </w:rPr>
        <w:t>自噪声监测系统是一套由标准水听器、数据采集单元、数据传输单元、数据显示系统等组成的软硬一体智能化监测系统，并配有减振模块和独立电源，能对船舶自噪声进行全天候在线监测。</w:t>
      </w:r>
    </w:p>
    <w:p w14:paraId="6B94BFFE">
      <w:pPr>
        <w:spacing w:before="156" w:beforeLines="50" w:after="156" w:afterLines="50"/>
        <w:rPr>
          <w:kern w:val="0"/>
          <w:sz w:val="24"/>
          <w:szCs w:val="20"/>
        </w:rPr>
      </w:pPr>
      <w:r>
        <w:rPr>
          <w:kern w:val="0"/>
          <w:sz w:val="24"/>
          <w:szCs w:val="20"/>
        </w:rPr>
        <w:t>3.3 原位校准in-situ calibration</w:t>
      </w:r>
    </w:p>
    <w:p w14:paraId="4496635E">
      <w:pPr>
        <w:pStyle w:val="32"/>
        <w:spacing w:line="360" w:lineRule="auto"/>
        <w:ind w:firstLine="480"/>
        <w:rPr>
          <w:rFonts w:ascii="Times New Roman"/>
          <w:sz w:val="24"/>
        </w:rPr>
      </w:pPr>
      <w:bookmarkStart w:id="34" w:name="_Hlk197935385"/>
      <w:r>
        <w:rPr>
          <w:rFonts w:ascii="Times New Roman"/>
          <w:sz w:val="24"/>
        </w:rPr>
        <w:t>在试验船舶以船载水声探测系统正常工作对应的状态下航行，利用标校后的标准水听器连接成自噪声监测系统，对船载水声探测系统进行标定和校准。</w:t>
      </w:r>
      <w:bookmarkEnd w:id="34"/>
    </w:p>
    <w:p w14:paraId="586EDCCC">
      <w:pPr>
        <w:spacing w:before="156" w:beforeLines="50" w:after="156" w:afterLines="50"/>
        <w:rPr>
          <w:kern w:val="0"/>
          <w:sz w:val="24"/>
          <w:szCs w:val="20"/>
        </w:rPr>
      </w:pPr>
      <w:r>
        <w:rPr>
          <w:kern w:val="0"/>
          <w:sz w:val="24"/>
          <w:szCs w:val="20"/>
        </w:rPr>
        <w:t>3.4 船舶水下自噪声underwater self-noise of ship</w:t>
      </w:r>
    </w:p>
    <w:p w14:paraId="30195B2C">
      <w:pPr>
        <w:pStyle w:val="32"/>
        <w:spacing w:line="360" w:lineRule="auto"/>
        <w:ind w:firstLine="480"/>
        <w:rPr>
          <w:rFonts w:ascii="Times New Roman"/>
          <w:sz w:val="24"/>
        </w:rPr>
      </w:pPr>
      <w:r>
        <w:rPr>
          <w:rFonts w:ascii="Times New Roman"/>
          <w:sz w:val="24"/>
        </w:rPr>
        <w:t>安装在船舶壳体上的水听器，接收到的由于船舶自身动力装置、设备和船体运动所引起的水噪声。</w:t>
      </w:r>
    </w:p>
    <w:p w14:paraId="27E01A44">
      <w:pPr>
        <w:pStyle w:val="32"/>
        <w:spacing w:line="360" w:lineRule="auto"/>
        <w:ind w:firstLine="480"/>
        <w:rPr>
          <w:rFonts w:ascii="Times New Roman"/>
          <w:sz w:val="24"/>
        </w:rPr>
      </w:pPr>
      <w:r>
        <w:rPr>
          <w:rFonts w:ascii="Times New Roman"/>
          <w:sz w:val="24"/>
        </w:rPr>
        <w:t>[GJB 274—1987，定义1.2]</w:t>
      </w:r>
    </w:p>
    <w:p w14:paraId="57CB7163">
      <w:pPr>
        <w:spacing w:before="156" w:beforeLines="50" w:after="156" w:afterLines="50"/>
        <w:rPr>
          <w:kern w:val="0"/>
          <w:sz w:val="24"/>
          <w:szCs w:val="20"/>
        </w:rPr>
      </w:pPr>
      <w:r>
        <w:rPr>
          <w:kern w:val="0"/>
          <w:sz w:val="24"/>
          <w:szCs w:val="20"/>
        </w:rPr>
        <w:t>3.5 标准水听器standard hydrophone</w:t>
      </w:r>
    </w:p>
    <w:p w14:paraId="32C9CAF7">
      <w:pPr>
        <w:pStyle w:val="32"/>
        <w:spacing w:line="360" w:lineRule="auto"/>
        <w:ind w:firstLine="480"/>
        <w:rPr>
          <w:rFonts w:ascii="Times New Roman"/>
          <w:sz w:val="24"/>
        </w:rPr>
      </w:pPr>
      <w:r>
        <w:rPr>
          <w:rFonts w:ascii="Times New Roman"/>
          <w:sz w:val="24"/>
        </w:rPr>
        <w:t>用作水声计量的、性能稳定并经过绝对校准的换能器。</w:t>
      </w:r>
    </w:p>
    <w:p w14:paraId="027C4412">
      <w:pPr>
        <w:pStyle w:val="32"/>
        <w:spacing w:line="360" w:lineRule="auto"/>
        <w:ind w:firstLine="420"/>
        <w:rPr>
          <w:rFonts w:ascii="Times New Roman"/>
          <w:szCs w:val="16"/>
        </w:rPr>
      </w:pPr>
      <w:r>
        <w:rPr>
          <w:rFonts w:ascii="Times New Roman"/>
          <w:szCs w:val="16"/>
        </w:rPr>
        <w:t>注：常作为建立水中声压基准或标准用的标准器，并借此传递声压量值。</w:t>
      </w:r>
    </w:p>
    <w:p w14:paraId="337115CD">
      <w:pPr>
        <w:pStyle w:val="32"/>
        <w:spacing w:line="360" w:lineRule="auto"/>
        <w:ind w:firstLine="480"/>
        <w:rPr>
          <w:rFonts w:ascii="Times New Roman"/>
          <w:sz w:val="24"/>
        </w:rPr>
      </w:pPr>
      <w:r>
        <w:rPr>
          <w:rFonts w:ascii="Times New Roman"/>
          <w:sz w:val="24"/>
        </w:rPr>
        <w:t>[JJF1034—2020，定义5.3]</w:t>
      </w:r>
    </w:p>
    <w:p w14:paraId="09DCD4C4">
      <w:pPr>
        <w:spacing w:before="156" w:beforeLines="50" w:after="156" w:afterLines="50"/>
        <w:rPr>
          <w:kern w:val="0"/>
          <w:sz w:val="24"/>
          <w:szCs w:val="20"/>
        </w:rPr>
      </w:pPr>
      <w:r>
        <w:rPr>
          <w:kern w:val="0"/>
          <w:sz w:val="24"/>
          <w:szCs w:val="20"/>
        </w:rPr>
        <w:t xml:space="preserve">3.6 自噪声频带声压级self-noise band sound pressure level </w:t>
      </w:r>
    </w:p>
    <w:p w14:paraId="77DB13D4">
      <w:pPr>
        <w:pStyle w:val="32"/>
        <w:spacing w:line="360" w:lineRule="auto"/>
        <w:ind w:firstLine="480"/>
        <w:rPr>
          <w:rFonts w:ascii="Times New Roman"/>
          <w:sz w:val="24"/>
        </w:rPr>
      </w:pPr>
      <w:bookmarkStart w:id="35" w:name="_Hlk197935526"/>
      <w:r>
        <w:rPr>
          <w:rFonts w:ascii="Times New Roman"/>
          <w:sz w:val="24"/>
        </w:rPr>
        <w:t>一定频带内的自噪声声压级</w:t>
      </w:r>
      <w:bookmarkEnd w:id="35"/>
      <w:r>
        <w:rPr>
          <w:rFonts w:ascii="Times New Roman"/>
          <w:sz w:val="24"/>
        </w:rPr>
        <w:t>。</w:t>
      </w:r>
    </w:p>
    <w:p w14:paraId="58869E70">
      <w:pPr>
        <w:pStyle w:val="32"/>
        <w:spacing w:line="360" w:lineRule="auto"/>
        <w:ind w:firstLine="420"/>
        <w:rPr>
          <w:rFonts w:ascii="Times New Roman"/>
          <w:szCs w:val="21"/>
        </w:rPr>
      </w:pPr>
      <w:r>
        <w:rPr>
          <w:rFonts w:ascii="Times New Roman"/>
          <w:szCs w:val="21"/>
        </w:rPr>
        <w:t>注：单位为分贝（dB）；基准值为1μPa。</w:t>
      </w:r>
    </w:p>
    <w:p w14:paraId="343A85F2">
      <w:pPr>
        <w:pStyle w:val="32"/>
        <w:spacing w:line="360" w:lineRule="auto"/>
        <w:ind w:firstLine="480"/>
        <w:rPr>
          <w:rFonts w:ascii="Times New Roman"/>
          <w:sz w:val="24"/>
        </w:rPr>
      </w:pPr>
      <w:r>
        <w:rPr>
          <w:rFonts w:ascii="Times New Roman"/>
          <w:sz w:val="24"/>
        </w:rPr>
        <w:t>[GJB 274—1987，定义1.3]</w:t>
      </w:r>
    </w:p>
    <w:p w14:paraId="6A7DC817">
      <w:pPr>
        <w:spacing w:before="156" w:beforeLines="50" w:after="156" w:afterLines="50"/>
        <w:rPr>
          <w:kern w:val="0"/>
          <w:sz w:val="24"/>
          <w:szCs w:val="20"/>
        </w:rPr>
      </w:pPr>
      <w:r>
        <w:rPr>
          <w:kern w:val="0"/>
          <w:sz w:val="24"/>
          <w:szCs w:val="20"/>
        </w:rPr>
        <w:t xml:space="preserve">3.7 </w:t>
      </w:r>
      <w:bookmarkStart w:id="36" w:name="_Hlk197935551"/>
      <w:r>
        <w:rPr>
          <w:kern w:val="0"/>
          <w:sz w:val="24"/>
          <w:szCs w:val="20"/>
        </w:rPr>
        <w:t>1/3 oct（倍频程）自噪声频带声压级</w:t>
      </w:r>
      <w:bookmarkEnd w:id="36"/>
      <w:r>
        <w:rPr>
          <w:kern w:val="0"/>
          <w:sz w:val="24"/>
          <w:szCs w:val="20"/>
        </w:rPr>
        <w:t>1/3 octave self-noise band sound pressure level</w:t>
      </w:r>
    </w:p>
    <w:p w14:paraId="1536904A">
      <w:pPr>
        <w:pStyle w:val="32"/>
        <w:spacing w:line="360" w:lineRule="auto"/>
        <w:ind w:firstLine="480"/>
        <w:rPr>
          <w:rFonts w:ascii="Times New Roman"/>
          <w:sz w:val="24"/>
        </w:rPr>
      </w:pPr>
      <w:bookmarkStart w:id="37" w:name="_Hlk197935567"/>
      <w:r>
        <w:rPr>
          <w:rFonts w:ascii="Times New Roman"/>
          <w:sz w:val="24"/>
        </w:rPr>
        <w:t>第</w:t>
      </w:r>
      <w:r>
        <w:rPr>
          <w:rFonts w:ascii="Times New Roman"/>
          <w:i/>
          <w:iCs/>
          <w:sz w:val="24"/>
        </w:rPr>
        <w:t>i</w:t>
      </w:r>
      <w:r>
        <w:rPr>
          <w:rFonts w:ascii="Times New Roman"/>
          <w:sz w:val="24"/>
        </w:rPr>
        <w:t>号中心频率</w:t>
      </w:r>
      <w:r>
        <w:rPr>
          <w:rFonts w:ascii="Times New Roman"/>
          <w:i/>
          <w:iCs/>
          <w:sz w:val="24"/>
        </w:rPr>
        <w:t>f</w:t>
      </w:r>
      <w:r>
        <w:rPr>
          <w:rFonts w:ascii="Times New Roman"/>
          <w:sz w:val="24"/>
        </w:rPr>
        <w:t>(</w:t>
      </w:r>
      <w:r>
        <w:rPr>
          <w:rFonts w:ascii="Times New Roman"/>
          <w:i/>
          <w:iCs/>
          <w:sz w:val="24"/>
        </w:rPr>
        <w:t>i</w:t>
      </w:r>
      <w:r>
        <w:rPr>
          <w:rFonts w:ascii="Times New Roman"/>
          <w:sz w:val="24"/>
        </w:rPr>
        <w:t>)的1/3oct滤波器输出的自噪声频带声压级。</w:t>
      </w:r>
    </w:p>
    <w:bookmarkEnd w:id="37"/>
    <w:p w14:paraId="117DC41D">
      <w:pPr>
        <w:pStyle w:val="32"/>
        <w:spacing w:line="360" w:lineRule="auto"/>
        <w:ind w:firstLine="420"/>
        <w:rPr>
          <w:rFonts w:ascii="Times New Roman"/>
          <w:szCs w:val="21"/>
        </w:rPr>
      </w:pPr>
      <w:r>
        <w:rPr>
          <w:rFonts w:ascii="Times New Roman"/>
          <w:szCs w:val="21"/>
        </w:rPr>
        <w:t>注：单位为分贝（dB）；基准值为1μPa。</w:t>
      </w:r>
    </w:p>
    <w:p w14:paraId="20D9585D">
      <w:pPr>
        <w:pStyle w:val="32"/>
        <w:spacing w:line="360" w:lineRule="auto"/>
        <w:ind w:firstLine="480"/>
        <w:rPr>
          <w:rFonts w:ascii="Times New Roman"/>
          <w:sz w:val="24"/>
        </w:rPr>
      </w:pPr>
      <w:r>
        <w:rPr>
          <w:rFonts w:ascii="Times New Roman"/>
          <w:sz w:val="24"/>
        </w:rPr>
        <w:t>[GJB 274—1987，定义1.4]</w:t>
      </w:r>
    </w:p>
    <w:p w14:paraId="5B95109A">
      <w:pPr>
        <w:spacing w:before="156" w:beforeLines="50" w:after="156" w:afterLines="50"/>
        <w:rPr>
          <w:kern w:val="0"/>
          <w:sz w:val="24"/>
          <w:szCs w:val="20"/>
        </w:rPr>
      </w:pPr>
      <w:r>
        <w:rPr>
          <w:kern w:val="0"/>
          <w:sz w:val="24"/>
          <w:szCs w:val="20"/>
        </w:rPr>
        <w:t>3.8 自噪声声压谱[密度]级 self-noise sound pressure spectrum [density] level</w:t>
      </w:r>
    </w:p>
    <w:p w14:paraId="00AABB8A">
      <w:pPr>
        <w:pStyle w:val="32"/>
        <w:spacing w:line="360" w:lineRule="auto"/>
        <w:ind w:firstLine="480"/>
        <w:rPr>
          <w:rFonts w:ascii="Times New Roman"/>
          <w:sz w:val="24"/>
        </w:rPr>
      </w:pPr>
      <w:bookmarkStart w:id="38" w:name="_Hlk197935594"/>
      <w:r>
        <w:rPr>
          <w:rFonts w:ascii="Times New Roman"/>
          <w:sz w:val="24"/>
        </w:rPr>
        <w:t>单位带宽内自噪声声压级</w:t>
      </w:r>
      <w:bookmarkEnd w:id="38"/>
      <w:r>
        <w:rPr>
          <w:rFonts w:ascii="Times New Roman"/>
          <w:sz w:val="24"/>
        </w:rPr>
        <w:t>。</w:t>
      </w:r>
    </w:p>
    <w:p w14:paraId="493FBE1C">
      <w:pPr>
        <w:pStyle w:val="32"/>
        <w:spacing w:line="360" w:lineRule="auto"/>
        <w:ind w:firstLine="420"/>
        <w:rPr>
          <w:rFonts w:ascii="Times New Roman"/>
          <w:szCs w:val="21"/>
        </w:rPr>
      </w:pPr>
      <w:r>
        <w:rPr>
          <w:rFonts w:ascii="Times New Roman"/>
          <w:szCs w:val="21"/>
        </w:rPr>
        <w:t>注：单位为分贝（dB）；基准值为</w:t>
      </w:r>
      <w:r>
        <w:rPr>
          <w:rFonts w:ascii="Times New Roman"/>
          <w:position w:val="-10"/>
        </w:rPr>
        <w:object>
          <v:shape id="_x0000_i1025" o:spt="75" type="#_x0000_t75" style="height:19pt;width:46pt;" o:ole="t" filled="f" o:preferrelative="t" stroked="f" coordsize="21600,21600">
            <v:path/>
            <v:fill on="f" focussize="0,0"/>
            <v:stroke on="f" joinstyle="miter"/>
            <v:imagedata r:id="rId18" o:title=""/>
            <o:lock v:ext="edit" aspectratio="t"/>
            <w10:wrap type="none"/>
            <w10:anchorlock/>
          </v:shape>
          <o:OLEObject Type="Embed" ProgID="Equation.DSMT4" ShapeID="_x0000_i1025" DrawAspect="Content" ObjectID="_1468075725" r:id="rId17">
            <o:LockedField>false</o:LockedField>
          </o:OLEObject>
        </w:object>
      </w:r>
      <w:r>
        <w:rPr>
          <w:rFonts w:ascii="Times New Roman"/>
          <w:szCs w:val="21"/>
        </w:rPr>
        <w:t>。</w:t>
      </w:r>
    </w:p>
    <w:p w14:paraId="4ACE55E0">
      <w:pPr>
        <w:pStyle w:val="32"/>
        <w:spacing w:line="360" w:lineRule="auto"/>
        <w:ind w:firstLine="480"/>
        <w:rPr>
          <w:rFonts w:ascii="Times New Roman"/>
          <w:sz w:val="24"/>
        </w:rPr>
      </w:pPr>
      <w:r>
        <w:rPr>
          <w:rFonts w:ascii="Times New Roman"/>
          <w:sz w:val="24"/>
        </w:rPr>
        <w:t>[GJB 274—1987，定义1.5]</w:t>
      </w:r>
    </w:p>
    <w:p w14:paraId="293BEDC2">
      <w:pPr>
        <w:spacing w:before="156" w:beforeLines="50" w:after="156" w:afterLines="50"/>
        <w:rPr>
          <w:kern w:val="0"/>
          <w:sz w:val="24"/>
          <w:szCs w:val="20"/>
        </w:rPr>
      </w:pPr>
      <w:r>
        <w:rPr>
          <w:kern w:val="0"/>
          <w:sz w:val="24"/>
          <w:szCs w:val="20"/>
        </w:rPr>
        <w:t>3.9 背景噪声级</w:t>
      </w:r>
    </w:p>
    <w:p w14:paraId="7572D527">
      <w:pPr>
        <w:pStyle w:val="32"/>
        <w:spacing w:line="360" w:lineRule="auto"/>
        <w:ind w:firstLine="480"/>
        <w:rPr>
          <w:rFonts w:ascii="Times New Roman"/>
          <w:sz w:val="24"/>
        </w:rPr>
      </w:pPr>
      <w:bookmarkStart w:id="39" w:name="_Hlk197935615"/>
      <w:r>
        <w:rPr>
          <w:rFonts w:ascii="Times New Roman"/>
          <w:sz w:val="24"/>
        </w:rPr>
        <w:t>安装在船舶壳体上水听器所接收到的除船舶的自噪声以外的一切干扰噪声级。</w:t>
      </w:r>
    </w:p>
    <w:bookmarkEnd w:id="39"/>
    <w:p w14:paraId="53523880">
      <w:pPr>
        <w:pStyle w:val="32"/>
        <w:spacing w:line="360" w:lineRule="auto"/>
        <w:ind w:firstLine="480"/>
        <w:rPr>
          <w:rFonts w:ascii="Times New Roman"/>
          <w:sz w:val="24"/>
        </w:rPr>
      </w:pPr>
      <w:r>
        <w:rPr>
          <w:rFonts w:ascii="Times New Roman"/>
          <w:sz w:val="24"/>
        </w:rPr>
        <w:t>[GJB 274—1987，定义1.7]</w:t>
      </w:r>
    </w:p>
    <w:p w14:paraId="34CFE965">
      <w:pPr>
        <w:pStyle w:val="36"/>
        <w:numPr>
          <w:ilvl w:val="0"/>
          <w:numId w:val="5"/>
        </w:numPr>
        <w:spacing w:before="156" w:after="156" w:line="360" w:lineRule="auto"/>
        <w:ind w:left="357" w:hanging="357"/>
        <w:rPr>
          <w:rFonts w:ascii="Times New Roman"/>
          <w:color w:val="000000"/>
          <w:sz w:val="24"/>
          <w:szCs w:val="24"/>
        </w:rPr>
      </w:pPr>
      <w:bookmarkStart w:id="40" w:name="_Toc200290555"/>
      <w:bookmarkStart w:id="41" w:name="_Toc199420197"/>
      <w:r>
        <w:rPr>
          <w:rFonts w:hint="eastAsia" w:ascii="Times New Roman"/>
          <w:color w:val="000000"/>
          <w:sz w:val="24"/>
          <w:szCs w:val="24"/>
        </w:rPr>
        <w:t>概述</w:t>
      </w:r>
      <w:bookmarkEnd w:id="40"/>
      <w:bookmarkEnd w:id="41"/>
    </w:p>
    <w:p w14:paraId="57802C0E">
      <w:pPr>
        <w:pStyle w:val="32"/>
        <w:spacing w:line="360" w:lineRule="auto"/>
        <w:ind w:firstLine="480"/>
        <w:rPr>
          <w:rFonts w:ascii="Times New Roman"/>
          <w:sz w:val="24"/>
        </w:rPr>
      </w:pPr>
      <w:r>
        <w:rPr>
          <w:rFonts w:ascii="Times New Roman"/>
          <w:sz w:val="24"/>
        </w:rPr>
        <w:t>船</w:t>
      </w:r>
      <w:r>
        <w:rPr>
          <w:rFonts w:hint="eastAsia" w:ascii="Times New Roman"/>
          <w:sz w:val="24"/>
        </w:rPr>
        <w:t>载</w:t>
      </w:r>
      <w:r>
        <w:rPr>
          <w:rFonts w:ascii="Times New Roman"/>
          <w:sz w:val="24"/>
        </w:rPr>
        <w:t>水声探测系统</w:t>
      </w:r>
      <w:r>
        <w:rPr>
          <w:rFonts w:hint="eastAsia" w:ascii="Times New Roman"/>
          <w:sz w:val="24"/>
        </w:rPr>
        <w:t>的工作原理为：采用</w:t>
      </w:r>
      <w:r>
        <w:rPr>
          <w:rFonts w:ascii="Times New Roman"/>
          <w:sz w:val="24"/>
        </w:rPr>
        <w:t>声波在水中</w:t>
      </w:r>
      <w:r>
        <w:rPr>
          <w:rFonts w:hint="eastAsia" w:ascii="Times New Roman"/>
          <w:sz w:val="24"/>
        </w:rPr>
        <w:t>的</w:t>
      </w:r>
      <w:r>
        <w:rPr>
          <w:rFonts w:ascii="Times New Roman"/>
          <w:sz w:val="24"/>
        </w:rPr>
        <w:t>传播特性进行目标探测、导航和通信。</w:t>
      </w:r>
    </w:p>
    <w:p w14:paraId="4F6E43AD">
      <w:pPr>
        <w:pStyle w:val="32"/>
        <w:spacing w:line="360" w:lineRule="auto"/>
        <w:ind w:firstLine="480"/>
        <w:rPr>
          <w:rFonts w:ascii="Times New Roman"/>
          <w:sz w:val="24"/>
        </w:rPr>
      </w:pPr>
      <w:bookmarkStart w:id="42" w:name="OLE_LINK3"/>
      <w:r>
        <w:rPr>
          <w:rFonts w:hint="eastAsia" w:ascii="Times New Roman"/>
          <w:sz w:val="24"/>
        </w:rPr>
        <w:t>船载水声探测系统</w:t>
      </w:r>
      <w:bookmarkEnd w:id="42"/>
      <w:r>
        <w:rPr>
          <w:rFonts w:hint="eastAsia" w:ascii="Times New Roman"/>
          <w:sz w:val="24"/>
        </w:rPr>
        <w:t>由</w:t>
      </w:r>
      <w:r>
        <w:rPr>
          <w:rFonts w:ascii="Times New Roman"/>
          <w:sz w:val="24"/>
        </w:rPr>
        <w:t>换能器基阵、信号处理单元以及辅助系统组成</w:t>
      </w:r>
      <w:r>
        <w:rPr>
          <w:rFonts w:hint="eastAsia" w:ascii="Times New Roman"/>
          <w:sz w:val="24"/>
        </w:rPr>
        <w:t>。</w:t>
      </w:r>
    </w:p>
    <w:p w14:paraId="418D1BFD">
      <w:pPr>
        <w:pStyle w:val="32"/>
        <w:spacing w:line="360" w:lineRule="auto"/>
        <w:ind w:firstLine="480"/>
        <w:rPr>
          <w:rFonts w:ascii="Times New Roman"/>
          <w:sz w:val="24"/>
        </w:rPr>
      </w:pPr>
      <w:bookmarkStart w:id="43" w:name="_Hlk199495397"/>
      <w:r>
        <w:rPr>
          <w:rFonts w:hint="eastAsia" w:ascii="Times New Roman"/>
          <w:sz w:val="24"/>
        </w:rPr>
        <w:t>船载水声探测系统</w:t>
      </w:r>
      <w:r>
        <w:rPr>
          <w:rFonts w:ascii="Times New Roman"/>
          <w:sz w:val="24"/>
        </w:rPr>
        <w:t>广泛应用于军事领域、民用领域</w:t>
      </w:r>
      <w:r>
        <w:rPr>
          <w:rFonts w:hint="eastAsia" w:ascii="Times New Roman"/>
          <w:sz w:val="24"/>
        </w:rPr>
        <w:t>（水运工程建设、海洋工程测量及海洋资源调查等）</w:t>
      </w:r>
      <w:r>
        <w:rPr>
          <w:rFonts w:ascii="Times New Roman"/>
          <w:sz w:val="24"/>
        </w:rPr>
        <w:t>以及水下导航通信。</w:t>
      </w:r>
      <w:bookmarkEnd w:id="43"/>
    </w:p>
    <w:p w14:paraId="5B9DA557">
      <w:pPr>
        <w:pStyle w:val="36"/>
        <w:numPr>
          <w:ilvl w:val="0"/>
          <w:numId w:val="5"/>
        </w:numPr>
        <w:spacing w:before="156" w:after="156" w:line="360" w:lineRule="auto"/>
        <w:ind w:left="357" w:hanging="357"/>
        <w:rPr>
          <w:rFonts w:ascii="Times New Roman"/>
          <w:color w:val="000000"/>
          <w:sz w:val="24"/>
          <w:szCs w:val="24"/>
        </w:rPr>
      </w:pPr>
      <w:bookmarkStart w:id="44" w:name="_Toc199420198"/>
      <w:bookmarkStart w:id="45" w:name="_Toc200290556"/>
      <w:r>
        <w:rPr>
          <w:rFonts w:ascii="Times New Roman"/>
          <w:color w:val="000000"/>
          <w:sz w:val="24"/>
          <w:szCs w:val="24"/>
        </w:rPr>
        <w:t>计量特性</w:t>
      </w:r>
      <w:bookmarkEnd w:id="44"/>
      <w:bookmarkEnd w:id="45"/>
    </w:p>
    <w:p w14:paraId="49DCE80A">
      <w:pPr>
        <w:pStyle w:val="32"/>
        <w:spacing w:line="360" w:lineRule="auto"/>
        <w:ind w:firstLine="0" w:firstLineChars="0"/>
        <w:outlineLvl w:val="1"/>
        <w:rPr>
          <w:rFonts w:hint="eastAsia" w:hAnsi="宋体"/>
          <w:sz w:val="24"/>
        </w:rPr>
      </w:pPr>
      <w:bookmarkStart w:id="46" w:name="_Toc200290557"/>
      <w:r>
        <w:rPr>
          <w:rFonts w:hint="eastAsia" w:hAnsi="宋体"/>
          <w:sz w:val="24"/>
        </w:rPr>
        <w:t xml:space="preserve">5.1 </w:t>
      </w:r>
      <w:r>
        <w:rPr>
          <w:rFonts w:hAnsi="宋体"/>
          <w:sz w:val="24"/>
        </w:rPr>
        <w:t>自噪声示值误差</w:t>
      </w:r>
      <w:bookmarkEnd w:id="46"/>
    </w:p>
    <w:p w14:paraId="3ABE994E">
      <w:pPr>
        <w:pStyle w:val="32"/>
        <w:spacing w:line="360" w:lineRule="auto"/>
        <w:ind w:firstLine="480"/>
        <w:rPr>
          <w:rFonts w:ascii="Times New Roman"/>
          <w:sz w:val="24"/>
        </w:rPr>
      </w:pPr>
      <w:r>
        <w:rPr>
          <w:rFonts w:ascii="Times New Roman"/>
          <w:sz w:val="24"/>
        </w:rPr>
        <w:t>船载水声探测系统噪声测量示值与自噪声监测系统噪声测量示值之差，自噪声示值最大允许误差为±</w:t>
      </w:r>
      <w:r>
        <w:rPr>
          <w:rFonts w:hint="eastAsia" w:ascii="Times New Roman"/>
          <w:sz w:val="24"/>
        </w:rPr>
        <w:t xml:space="preserve"> </w:t>
      </w:r>
      <w:r>
        <w:rPr>
          <w:rFonts w:ascii="Times New Roman"/>
          <w:sz w:val="24"/>
        </w:rPr>
        <w:t>4</w:t>
      </w:r>
      <w:r>
        <w:rPr>
          <w:rFonts w:hint="eastAsia" w:ascii="Times New Roman"/>
          <w:sz w:val="24"/>
        </w:rPr>
        <w:t xml:space="preserve"> </w:t>
      </w:r>
      <w:r>
        <w:rPr>
          <w:rFonts w:ascii="Times New Roman"/>
          <w:sz w:val="24"/>
        </w:rPr>
        <w:t>dB。</w:t>
      </w:r>
    </w:p>
    <w:p w14:paraId="3D0C1EBA">
      <w:pPr>
        <w:pStyle w:val="36"/>
        <w:numPr>
          <w:ilvl w:val="0"/>
          <w:numId w:val="5"/>
        </w:numPr>
        <w:spacing w:before="156" w:after="156" w:line="360" w:lineRule="auto"/>
        <w:ind w:left="357" w:hanging="357"/>
        <w:rPr>
          <w:rFonts w:ascii="Times New Roman"/>
          <w:color w:val="000000"/>
          <w:sz w:val="24"/>
          <w:szCs w:val="24"/>
        </w:rPr>
      </w:pPr>
      <w:bookmarkStart w:id="47" w:name="_Toc200290558"/>
      <w:bookmarkStart w:id="48" w:name="_Toc199420199"/>
      <w:r>
        <w:rPr>
          <w:rFonts w:ascii="Times New Roman"/>
          <w:color w:val="000000"/>
          <w:sz w:val="24"/>
          <w:szCs w:val="24"/>
        </w:rPr>
        <w:t>校准条件</w:t>
      </w:r>
      <w:bookmarkEnd w:id="47"/>
      <w:bookmarkEnd w:id="48"/>
    </w:p>
    <w:p w14:paraId="150393CC">
      <w:pPr>
        <w:pStyle w:val="32"/>
        <w:spacing w:line="360" w:lineRule="auto"/>
        <w:ind w:firstLine="0" w:firstLineChars="0"/>
        <w:outlineLvl w:val="1"/>
        <w:rPr>
          <w:rFonts w:ascii="Times New Roman"/>
          <w:sz w:val="24"/>
        </w:rPr>
      </w:pPr>
      <w:bookmarkStart w:id="49" w:name="_Toc200290559"/>
      <w:r>
        <w:rPr>
          <w:rFonts w:ascii="Times New Roman"/>
          <w:sz w:val="24"/>
        </w:rPr>
        <w:t>6.1 环境条件</w:t>
      </w:r>
      <w:bookmarkEnd w:id="49"/>
    </w:p>
    <w:p w14:paraId="63C3A233">
      <w:pPr>
        <w:pStyle w:val="32"/>
        <w:spacing w:line="360" w:lineRule="auto"/>
        <w:ind w:firstLine="0" w:firstLineChars="0"/>
        <w:rPr>
          <w:rFonts w:ascii="Times New Roman"/>
          <w:sz w:val="24"/>
        </w:rPr>
      </w:pPr>
      <w:r>
        <w:rPr>
          <w:rFonts w:ascii="Times New Roman"/>
          <w:sz w:val="24"/>
        </w:rPr>
        <w:t>6.1.1 噪声原位校准环境条件</w:t>
      </w:r>
    </w:p>
    <w:p w14:paraId="033C6B09">
      <w:pPr>
        <w:pStyle w:val="32"/>
        <w:spacing w:line="360" w:lineRule="auto"/>
        <w:ind w:firstLine="480"/>
        <w:rPr>
          <w:rFonts w:ascii="Times New Roman"/>
          <w:sz w:val="24"/>
        </w:rPr>
      </w:pPr>
      <w:r>
        <w:rPr>
          <w:rFonts w:ascii="Times New Roman"/>
          <w:sz w:val="24"/>
        </w:rPr>
        <w:t>a）环境温度：5 ℃~35 ℃；</w:t>
      </w:r>
    </w:p>
    <w:p w14:paraId="3FE2DF62">
      <w:pPr>
        <w:pStyle w:val="32"/>
        <w:spacing w:line="360" w:lineRule="auto"/>
        <w:ind w:firstLine="480"/>
        <w:rPr>
          <w:rFonts w:ascii="Times New Roman"/>
          <w:sz w:val="24"/>
        </w:rPr>
      </w:pPr>
      <w:r>
        <w:rPr>
          <w:rFonts w:ascii="Times New Roman"/>
          <w:sz w:val="24"/>
        </w:rPr>
        <w:t>b）相对湿度：30 %~90 %；</w:t>
      </w:r>
    </w:p>
    <w:p w14:paraId="7DA08565">
      <w:pPr>
        <w:pStyle w:val="32"/>
        <w:spacing w:line="360" w:lineRule="auto"/>
        <w:ind w:firstLine="480"/>
        <w:rPr>
          <w:rFonts w:ascii="Times New Roman"/>
          <w:sz w:val="24"/>
        </w:rPr>
      </w:pPr>
      <w:r>
        <w:rPr>
          <w:rFonts w:ascii="Times New Roman"/>
          <w:sz w:val="24"/>
        </w:rPr>
        <w:t>c）水温：5 ℃~30 ℃。</w:t>
      </w:r>
    </w:p>
    <w:p w14:paraId="6B115A49">
      <w:pPr>
        <w:pStyle w:val="32"/>
        <w:spacing w:line="360" w:lineRule="auto"/>
        <w:ind w:firstLine="0" w:firstLineChars="0"/>
        <w:rPr>
          <w:rFonts w:ascii="Times New Roman"/>
          <w:sz w:val="24"/>
        </w:rPr>
      </w:pPr>
      <w:r>
        <w:rPr>
          <w:rFonts w:ascii="Times New Roman"/>
          <w:sz w:val="24"/>
        </w:rPr>
        <w:t>6.1.2 噪声原位校准水域条件</w:t>
      </w:r>
    </w:p>
    <w:p w14:paraId="4549C4DD">
      <w:pPr>
        <w:pStyle w:val="32"/>
        <w:spacing w:line="360" w:lineRule="auto"/>
        <w:ind w:firstLine="480"/>
        <w:rPr>
          <w:rFonts w:ascii="Times New Roman"/>
          <w:sz w:val="24"/>
        </w:rPr>
      </w:pPr>
      <w:r>
        <w:rPr>
          <w:rFonts w:ascii="Times New Roman"/>
          <w:sz w:val="24"/>
        </w:rPr>
        <w:t>a）海区开阔，远离航道，保证试验船有充足的机动范围；</w:t>
      </w:r>
    </w:p>
    <w:p w14:paraId="456CCAC0">
      <w:pPr>
        <w:pStyle w:val="32"/>
        <w:spacing w:line="360" w:lineRule="auto"/>
        <w:ind w:firstLine="480"/>
        <w:rPr>
          <w:rFonts w:ascii="Times New Roman"/>
          <w:sz w:val="24"/>
        </w:rPr>
      </w:pPr>
      <w:r>
        <w:rPr>
          <w:rFonts w:ascii="Times New Roman"/>
          <w:sz w:val="24"/>
        </w:rPr>
        <w:t>b）</w:t>
      </w:r>
      <w:bookmarkStart w:id="50" w:name="_Hlk200368099"/>
      <w:r>
        <w:rPr>
          <w:rFonts w:ascii="Times New Roman"/>
          <w:sz w:val="24"/>
        </w:rPr>
        <w:t>海域浪高不大于1.25 m，风速不大于5.5 m/s</w:t>
      </w:r>
      <w:bookmarkEnd w:id="50"/>
      <w:r>
        <w:rPr>
          <w:rFonts w:ascii="Times New Roman"/>
          <w:sz w:val="24"/>
        </w:rPr>
        <w:t>；</w:t>
      </w:r>
    </w:p>
    <w:p w14:paraId="4567B1D5">
      <w:pPr>
        <w:pStyle w:val="32"/>
        <w:spacing w:line="360" w:lineRule="auto"/>
        <w:ind w:firstLine="480"/>
        <w:rPr>
          <w:rFonts w:ascii="Times New Roman"/>
          <w:sz w:val="24"/>
        </w:rPr>
      </w:pPr>
      <w:r>
        <w:rPr>
          <w:rFonts w:ascii="Times New Roman"/>
          <w:sz w:val="24"/>
        </w:rPr>
        <w:t>c）海洋环境背景噪声低于探测系统位置处自噪声10 dB以上；</w:t>
      </w:r>
    </w:p>
    <w:p w14:paraId="641FD138">
      <w:pPr>
        <w:pStyle w:val="32"/>
        <w:spacing w:line="360" w:lineRule="auto"/>
        <w:ind w:firstLine="480"/>
        <w:rPr>
          <w:rFonts w:ascii="Times New Roman"/>
          <w:sz w:val="24"/>
        </w:rPr>
      </w:pPr>
      <w:r>
        <w:rPr>
          <w:rFonts w:ascii="Times New Roman"/>
          <w:sz w:val="24"/>
        </w:rPr>
        <w:t>d）海域水深：50 m～4000 m。</w:t>
      </w:r>
    </w:p>
    <w:p w14:paraId="273B22B7">
      <w:pPr>
        <w:pStyle w:val="32"/>
        <w:spacing w:line="360" w:lineRule="auto"/>
        <w:ind w:firstLine="0" w:firstLineChars="0"/>
        <w:outlineLvl w:val="1"/>
        <w:rPr>
          <w:rFonts w:ascii="Times New Roman"/>
          <w:sz w:val="24"/>
        </w:rPr>
      </w:pPr>
      <w:bookmarkStart w:id="51" w:name="_Toc200290560"/>
      <w:r>
        <w:rPr>
          <w:rFonts w:ascii="Times New Roman"/>
          <w:sz w:val="24"/>
        </w:rPr>
        <w:t>6.2 校准用测量设备及配套设备</w:t>
      </w:r>
      <w:bookmarkEnd w:id="51"/>
    </w:p>
    <w:p w14:paraId="62D30F2F">
      <w:pPr>
        <w:pStyle w:val="32"/>
        <w:spacing w:line="360" w:lineRule="auto"/>
        <w:ind w:firstLine="0" w:firstLineChars="0"/>
        <w:outlineLvl w:val="1"/>
        <w:rPr>
          <w:rFonts w:ascii="Times New Roman"/>
          <w:sz w:val="24"/>
        </w:rPr>
      </w:pPr>
      <w:r>
        <w:rPr>
          <w:rFonts w:ascii="Times New Roman"/>
          <w:sz w:val="24"/>
        </w:rPr>
        <w:t>6.2.1自噪声监测系统</w:t>
      </w:r>
    </w:p>
    <w:p w14:paraId="23AC4515">
      <w:pPr>
        <w:pStyle w:val="32"/>
        <w:spacing w:line="360" w:lineRule="auto"/>
        <w:ind w:firstLine="480"/>
        <w:outlineLvl w:val="1"/>
        <w:rPr>
          <w:rFonts w:hint="eastAsia" w:hAnsi="宋体"/>
          <w:sz w:val="24"/>
        </w:rPr>
      </w:pPr>
      <w:r>
        <w:rPr>
          <w:rFonts w:hint="eastAsia" w:hAnsi="宋体"/>
          <w:sz w:val="24"/>
        </w:rPr>
        <w:t>自噪声监测系统由标准水听器、</w:t>
      </w:r>
      <w:bookmarkStart w:id="52" w:name="OLE_LINK4"/>
      <w:r>
        <w:rPr>
          <w:rFonts w:hint="eastAsia" w:hAnsi="宋体"/>
          <w:sz w:val="24"/>
        </w:rPr>
        <w:t>前置放大器</w:t>
      </w:r>
      <w:bookmarkEnd w:id="52"/>
      <w:r>
        <w:rPr>
          <w:rFonts w:hint="eastAsia" w:hAnsi="宋体"/>
          <w:sz w:val="24"/>
        </w:rPr>
        <w:t>、滤波器、动态信号分析仪、数据传输单元和自噪声显示单元构成。</w:t>
      </w:r>
    </w:p>
    <w:p w14:paraId="47DCB11C">
      <w:pPr>
        <w:pStyle w:val="32"/>
        <w:spacing w:line="360" w:lineRule="auto"/>
        <w:ind w:firstLine="480"/>
        <w:outlineLvl w:val="1"/>
        <w:rPr>
          <w:rFonts w:ascii="Times New Roman"/>
          <w:sz w:val="24"/>
        </w:rPr>
      </w:pPr>
      <w:r>
        <w:rPr>
          <w:rFonts w:ascii="Times New Roman"/>
          <w:sz w:val="24"/>
        </w:rPr>
        <w:t>自噪声监测频响范围</w:t>
      </w:r>
      <w:r>
        <w:rPr>
          <w:rFonts w:hint="eastAsia" w:ascii="Times New Roman"/>
          <w:sz w:val="24"/>
        </w:rPr>
        <w:t>：</w:t>
      </w:r>
      <w:r>
        <w:rPr>
          <w:rFonts w:ascii="Times New Roman"/>
          <w:sz w:val="24"/>
        </w:rPr>
        <w:t>300 Hz～40 kHz；灵敏度：不低于-205 dB（基准1 v/μPa）；</w:t>
      </w:r>
      <w:r>
        <w:rPr>
          <w:rFonts w:ascii="Times New Roman"/>
          <w:sz w:val="24"/>
          <w:szCs w:val="24"/>
        </w:rPr>
        <w:t>频率响应：当300 Hz～40 kHz时，± 1.0 dB；配备独立电源，电磁噪声干扰误差小于± 0.1 dB；在频率</w:t>
      </w:r>
      <w:r>
        <w:rPr>
          <w:rFonts w:ascii="Times New Roman"/>
          <w:sz w:val="24"/>
          <w:szCs w:val="22"/>
        </w:rPr>
        <w:t>300 Hz~40 kHz范围内，</w:t>
      </w:r>
      <w:r>
        <w:rPr>
          <w:rFonts w:ascii="Times New Roman"/>
          <w:sz w:val="24"/>
          <w:szCs w:val="24"/>
        </w:rPr>
        <w:t>自噪声示值测量扩展不确定度</w:t>
      </w:r>
      <w:r>
        <w:rPr>
          <w:rFonts w:ascii="Times New Roman"/>
          <w:i/>
          <w:iCs/>
          <w:sz w:val="24"/>
          <w:szCs w:val="24"/>
        </w:rPr>
        <w:t>U</w:t>
      </w:r>
      <w:bookmarkStart w:id="53" w:name="OLE_LINK2"/>
      <w:r>
        <w:rPr>
          <w:rFonts w:hint="eastAsia" w:hAnsi="宋体"/>
          <w:sz w:val="24"/>
          <w:szCs w:val="24"/>
        </w:rPr>
        <w:t>≤</w:t>
      </w:r>
      <w:bookmarkEnd w:id="53"/>
      <w:r>
        <w:rPr>
          <w:rFonts w:ascii="Times New Roman"/>
          <w:sz w:val="24"/>
          <w:szCs w:val="24"/>
        </w:rPr>
        <w:t>1.7 dB，</w:t>
      </w:r>
      <w:r>
        <w:rPr>
          <w:rFonts w:ascii="Times New Roman"/>
          <w:i/>
          <w:iCs/>
          <w:sz w:val="24"/>
          <w:szCs w:val="24"/>
        </w:rPr>
        <w:t>k</w:t>
      </w:r>
      <w:r>
        <w:rPr>
          <w:rFonts w:ascii="Times New Roman"/>
          <w:sz w:val="24"/>
          <w:szCs w:val="24"/>
        </w:rPr>
        <w:t>=2。</w:t>
      </w:r>
    </w:p>
    <w:p w14:paraId="4B58BF2A">
      <w:pPr>
        <w:pStyle w:val="32"/>
        <w:tabs>
          <w:tab w:val="left" w:pos="360"/>
          <w:tab w:val="left" w:pos="2100"/>
        </w:tabs>
        <w:spacing w:line="360" w:lineRule="auto"/>
        <w:ind w:firstLine="480"/>
        <w:outlineLvl w:val="1"/>
        <w:rPr>
          <w:rFonts w:ascii="Times New Roman"/>
          <w:sz w:val="24"/>
        </w:rPr>
      </w:pPr>
      <w:r>
        <w:rPr>
          <w:rFonts w:ascii="Times New Roman"/>
          <w:sz w:val="24"/>
        </w:rPr>
        <w:t>a) 标准水听器:</w:t>
      </w:r>
      <w:r>
        <w:rPr>
          <w:rFonts w:ascii="Times New Roman"/>
        </w:rPr>
        <w:t xml:space="preserve"> </w:t>
      </w:r>
      <w:r>
        <w:rPr>
          <w:rFonts w:ascii="Times New Roman"/>
          <w:sz w:val="24"/>
        </w:rPr>
        <w:t>标准水听器可拆装，且安装减振不低于18 dB；标准水听器数量不少于1个，安装于水声探测系统附近，如果是多波束测深系统，需安装在接收阵附近；在频率300 Hz~800 Hz范围内，标准水听器灵敏度级测量扩展不确定度</w:t>
      </w:r>
      <w:r>
        <w:rPr>
          <w:rFonts w:ascii="Times New Roman"/>
          <w:i/>
          <w:iCs/>
          <w:sz w:val="24"/>
        </w:rPr>
        <w:t>U</w:t>
      </w:r>
      <w:r>
        <w:rPr>
          <w:rFonts w:hint="eastAsia" w:hAnsi="宋体"/>
          <w:sz w:val="24"/>
          <w:szCs w:val="24"/>
        </w:rPr>
        <w:t>≤</w:t>
      </w:r>
      <w:r>
        <w:rPr>
          <w:rFonts w:ascii="Times New Roman"/>
          <w:sz w:val="24"/>
        </w:rPr>
        <w:t>1.3 dB，</w:t>
      </w:r>
      <w:r>
        <w:rPr>
          <w:rFonts w:ascii="Times New Roman"/>
          <w:i/>
          <w:iCs/>
          <w:sz w:val="24"/>
        </w:rPr>
        <w:t>k</w:t>
      </w:r>
      <w:r>
        <w:rPr>
          <w:rFonts w:ascii="Times New Roman"/>
          <w:sz w:val="24"/>
        </w:rPr>
        <w:t>=2；在频率1 kHz~40 kHz范围内，标准水听器灵敏度级测量扩展不确定度</w:t>
      </w:r>
      <w:r>
        <w:rPr>
          <w:rFonts w:ascii="Times New Roman"/>
          <w:i/>
          <w:iCs/>
          <w:sz w:val="24"/>
        </w:rPr>
        <w:t>U</w:t>
      </w:r>
      <w:r>
        <w:rPr>
          <w:rFonts w:hint="eastAsia" w:hAnsi="宋体"/>
          <w:sz w:val="24"/>
          <w:szCs w:val="24"/>
        </w:rPr>
        <w:t>≤</w:t>
      </w:r>
      <w:r>
        <w:rPr>
          <w:rFonts w:ascii="Times New Roman"/>
          <w:sz w:val="24"/>
        </w:rPr>
        <w:t>0.9 dB，</w:t>
      </w:r>
      <w:r>
        <w:rPr>
          <w:rFonts w:ascii="Times New Roman"/>
          <w:i/>
          <w:iCs/>
          <w:sz w:val="24"/>
        </w:rPr>
        <w:t>k</w:t>
      </w:r>
      <w:r>
        <w:rPr>
          <w:rFonts w:ascii="Times New Roman"/>
          <w:sz w:val="24"/>
        </w:rPr>
        <w:t>=2；</w:t>
      </w:r>
    </w:p>
    <w:p w14:paraId="71C958EA">
      <w:pPr>
        <w:pStyle w:val="32"/>
        <w:tabs>
          <w:tab w:val="left" w:pos="360"/>
          <w:tab w:val="left" w:pos="2100"/>
        </w:tabs>
        <w:spacing w:line="360" w:lineRule="auto"/>
        <w:ind w:firstLine="439" w:firstLineChars="183"/>
        <w:outlineLvl w:val="1"/>
        <w:rPr>
          <w:rFonts w:ascii="Times New Roman"/>
          <w:sz w:val="24"/>
        </w:rPr>
      </w:pPr>
      <w:r>
        <w:rPr>
          <w:rFonts w:ascii="Times New Roman"/>
          <w:sz w:val="24"/>
        </w:rPr>
        <w:t>b) 前置放大器</w:t>
      </w:r>
      <w:r>
        <w:rPr>
          <w:rFonts w:hint="eastAsia" w:ascii="Times New Roman"/>
          <w:sz w:val="24"/>
        </w:rPr>
        <w:t>：在校准频率范围内，前置放大器的输入阻抗比水听器的输出阻抗至少高1</w:t>
      </w:r>
      <w:r>
        <w:rPr>
          <w:rFonts w:ascii="Times New Roman"/>
          <w:sz w:val="24"/>
        </w:rPr>
        <w:t>00</w:t>
      </w:r>
      <w:r>
        <w:rPr>
          <w:rFonts w:hint="eastAsia" w:ascii="Times New Roman"/>
          <w:sz w:val="24"/>
        </w:rPr>
        <w:t>倍，动态范围不应小于6</w:t>
      </w:r>
      <w:r>
        <w:rPr>
          <w:rFonts w:ascii="Times New Roman"/>
          <w:sz w:val="24"/>
        </w:rPr>
        <w:t>0</w:t>
      </w:r>
      <w:r>
        <w:rPr>
          <w:rFonts w:hint="eastAsia" w:ascii="Times New Roman"/>
          <w:sz w:val="24"/>
        </w:rPr>
        <w:t xml:space="preserve"> dB，增</w:t>
      </w:r>
      <w:r>
        <w:rPr>
          <w:rFonts w:ascii="Times New Roman"/>
          <w:sz w:val="24"/>
        </w:rPr>
        <w:t>益误差不超过</w:t>
      </w:r>
      <w:bookmarkStart w:id="54" w:name="OLE_LINK5"/>
      <w:r>
        <w:rPr>
          <w:rFonts w:ascii="Times New Roman"/>
          <w:sz w:val="24"/>
        </w:rPr>
        <w:t>±</w:t>
      </w:r>
      <w:r>
        <w:rPr>
          <w:rFonts w:hint="eastAsia" w:ascii="Times New Roman"/>
          <w:sz w:val="24"/>
        </w:rPr>
        <w:t xml:space="preserve"> </w:t>
      </w:r>
      <w:r>
        <w:rPr>
          <w:rFonts w:ascii="Times New Roman"/>
          <w:sz w:val="24"/>
        </w:rPr>
        <w:t>0.3 dB</w:t>
      </w:r>
      <w:bookmarkEnd w:id="54"/>
      <w:r>
        <w:rPr>
          <w:rFonts w:ascii="Times New Roman"/>
          <w:sz w:val="24"/>
        </w:rPr>
        <w:t>；</w:t>
      </w:r>
    </w:p>
    <w:p w14:paraId="41077B4F">
      <w:pPr>
        <w:pStyle w:val="32"/>
        <w:tabs>
          <w:tab w:val="left" w:pos="360"/>
          <w:tab w:val="left" w:pos="2100"/>
        </w:tabs>
        <w:spacing w:line="360" w:lineRule="auto"/>
        <w:ind w:firstLine="439" w:firstLineChars="183"/>
        <w:outlineLvl w:val="1"/>
        <w:rPr>
          <w:rFonts w:ascii="Times New Roman"/>
          <w:sz w:val="24"/>
          <w:highlight w:val="yellow"/>
        </w:rPr>
      </w:pPr>
      <w:r>
        <w:rPr>
          <w:rFonts w:ascii="Times New Roman"/>
          <w:sz w:val="24"/>
        </w:rPr>
        <w:t>c</w:t>
      </w:r>
      <w:r>
        <w:rPr>
          <w:rFonts w:hint="eastAsia" w:ascii="Times New Roman"/>
          <w:sz w:val="24"/>
        </w:rPr>
        <w:t>）滤波器：中心频率处的相对衰减不超过</w:t>
      </w:r>
      <w:r>
        <w:rPr>
          <w:rFonts w:ascii="Times New Roman"/>
          <w:sz w:val="24"/>
        </w:rPr>
        <w:t>±</w:t>
      </w:r>
      <w:r>
        <w:rPr>
          <w:rFonts w:hint="eastAsia" w:ascii="Times New Roman"/>
          <w:sz w:val="24"/>
        </w:rPr>
        <w:t xml:space="preserve"> </w:t>
      </w:r>
      <w:r>
        <w:rPr>
          <w:rFonts w:ascii="Times New Roman"/>
          <w:sz w:val="24"/>
        </w:rPr>
        <w:t>0.</w:t>
      </w:r>
      <w:r>
        <w:rPr>
          <w:rFonts w:hint="eastAsia" w:ascii="Times New Roman"/>
          <w:sz w:val="24"/>
        </w:rPr>
        <w:t>4</w:t>
      </w:r>
      <w:r>
        <w:rPr>
          <w:rFonts w:ascii="Times New Roman"/>
          <w:sz w:val="24"/>
        </w:rPr>
        <w:t xml:space="preserve"> dB</w:t>
      </w:r>
      <w:r>
        <w:rPr>
          <w:rFonts w:hint="eastAsia" w:ascii="Times New Roman"/>
          <w:sz w:val="24"/>
        </w:rPr>
        <w:t>；</w:t>
      </w:r>
      <w:r>
        <w:rPr>
          <w:rFonts w:ascii="Times New Roman"/>
          <w:sz w:val="24"/>
        </w:rPr>
        <w:t xml:space="preserve"> </w:t>
      </w:r>
    </w:p>
    <w:p w14:paraId="5907BC0D">
      <w:pPr>
        <w:pStyle w:val="32"/>
        <w:tabs>
          <w:tab w:val="left" w:pos="360"/>
          <w:tab w:val="left" w:pos="2100"/>
        </w:tabs>
        <w:spacing w:line="360" w:lineRule="auto"/>
        <w:ind w:firstLine="439" w:firstLineChars="183"/>
        <w:outlineLvl w:val="1"/>
        <w:rPr>
          <w:rFonts w:ascii="Times New Roman"/>
          <w:sz w:val="24"/>
        </w:rPr>
      </w:pPr>
      <w:r>
        <w:rPr>
          <w:rFonts w:hint="eastAsia" w:ascii="Times New Roman"/>
          <w:sz w:val="24"/>
        </w:rPr>
        <w:t>d）</w:t>
      </w:r>
      <w:r>
        <w:rPr>
          <w:rFonts w:ascii="Times New Roman"/>
          <w:sz w:val="24"/>
        </w:rPr>
        <w:t>动态信号分析仪：最高分析频率应高于最高校准频率，分析谱线不少于800，幅值示值误差不超过±1%。</w:t>
      </w:r>
    </w:p>
    <w:p w14:paraId="17CC9BCC">
      <w:pPr>
        <w:pStyle w:val="36"/>
        <w:numPr>
          <w:ilvl w:val="0"/>
          <w:numId w:val="5"/>
        </w:numPr>
        <w:spacing w:before="156" w:after="156" w:line="360" w:lineRule="auto"/>
        <w:ind w:left="357" w:hanging="357"/>
        <w:rPr>
          <w:rFonts w:ascii="Times New Roman"/>
          <w:color w:val="000000"/>
          <w:sz w:val="24"/>
          <w:szCs w:val="24"/>
        </w:rPr>
      </w:pPr>
      <w:bookmarkStart w:id="55" w:name="_Toc199420200"/>
      <w:bookmarkStart w:id="56" w:name="_Toc200290561"/>
      <w:r>
        <w:rPr>
          <w:rFonts w:ascii="Times New Roman"/>
          <w:color w:val="000000"/>
          <w:sz w:val="24"/>
          <w:szCs w:val="24"/>
        </w:rPr>
        <w:t>校准项目和校准方法</w:t>
      </w:r>
      <w:bookmarkEnd w:id="55"/>
      <w:bookmarkEnd w:id="56"/>
    </w:p>
    <w:p w14:paraId="78877101">
      <w:pPr>
        <w:pStyle w:val="32"/>
        <w:spacing w:line="360" w:lineRule="auto"/>
        <w:ind w:firstLine="0" w:firstLineChars="0"/>
        <w:outlineLvl w:val="1"/>
        <w:rPr>
          <w:rFonts w:ascii="Times New Roman"/>
          <w:sz w:val="24"/>
        </w:rPr>
      </w:pPr>
      <w:bookmarkStart w:id="57" w:name="_Toc200290562"/>
      <w:r>
        <w:rPr>
          <w:rFonts w:ascii="Times New Roman"/>
          <w:sz w:val="24"/>
        </w:rPr>
        <w:t>7.1 校准项目</w:t>
      </w:r>
      <w:bookmarkEnd w:id="57"/>
    </w:p>
    <w:p w14:paraId="2372969F">
      <w:pPr>
        <w:pStyle w:val="32"/>
        <w:spacing w:line="360" w:lineRule="auto"/>
        <w:ind w:firstLine="480"/>
        <w:rPr>
          <w:rFonts w:ascii="Times New Roman"/>
          <w:sz w:val="24"/>
          <w:szCs w:val="24"/>
        </w:rPr>
      </w:pPr>
      <w:bookmarkStart w:id="58" w:name="_Hlk197936783"/>
      <w:r>
        <w:rPr>
          <w:rFonts w:ascii="Times New Roman"/>
          <w:sz w:val="24"/>
          <w:szCs w:val="24"/>
        </w:rPr>
        <w:t>船载水声探测系统的校准项目为自噪声示值误差。</w:t>
      </w:r>
    </w:p>
    <w:bookmarkEnd w:id="58"/>
    <w:p w14:paraId="0FA59E9A">
      <w:pPr>
        <w:pStyle w:val="32"/>
        <w:spacing w:line="360" w:lineRule="auto"/>
        <w:ind w:firstLine="0" w:firstLineChars="0"/>
        <w:outlineLvl w:val="1"/>
        <w:rPr>
          <w:rFonts w:ascii="Times New Roman"/>
          <w:sz w:val="24"/>
        </w:rPr>
      </w:pPr>
      <w:bookmarkStart w:id="59" w:name="_Toc200290563"/>
      <w:r>
        <w:rPr>
          <w:rFonts w:ascii="Times New Roman"/>
          <w:sz w:val="24"/>
        </w:rPr>
        <w:t>7.2 校准方法</w:t>
      </w:r>
      <w:bookmarkEnd w:id="59"/>
    </w:p>
    <w:p w14:paraId="2F047278">
      <w:pPr>
        <w:pStyle w:val="32"/>
        <w:spacing w:line="360" w:lineRule="auto"/>
        <w:ind w:firstLine="0" w:firstLineChars="0"/>
        <w:rPr>
          <w:rFonts w:ascii="Times New Roman"/>
          <w:sz w:val="24"/>
        </w:rPr>
      </w:pPr>
      <w:r>
        <w:rPr>
          <w:rFonts w:ascii="Times New Roman"/>
          <w:sz w:val="24"/>
        </w:rPr>
        <w:t>7.2.1 校准原理</w:t>
      </w:r>
    </w:p>
    <w:p w14:paraId="65B8A5D4">
      <w:pPr>
        <w:pStyle w:val="32"/>
        <w:spacing w:line="360" w:lineRule="auto"/>
        <w:ind w:firstLine="480"/>
        <w:rPr>
          <w:rFonts w:ascii="Times New Roman"/>
          <w:sz w:val="24"/>
          <w:szCs w:val="24"/>
        </w:rPr>
      </w:pPr>
      <w:bookmarkStart w:id="60" w:name="OLE_LINK1"/>
      <w:bookmarkStart w:id="61" w:name="_Hlk197937343"/>
      <w:r>
        <w:rPr>
          <w:rFonts w:hint="eastAsia" w:ascii="Times New Roman"/>
          <w:sz w:val="24"/>
          <w:szCs w:val="24"/>
        </w:rPr>
        <w:t>自噪声监测系统的标</w:t>
      </w:r>
      <w:r>
        <w:rPr>
          <w:rFonts w:ascii="Times New Roman"/>
          <w:sz w:val="24"/>
          <w:szCs w:val="24"/>
        </w:rPr>
        <w:t>准水听器接收水声探测系统安装位置处的声信号后，经前置放大器放大，再经滤波器滤波，由动态信号分析仪测量水听器的开路电压，通过自噪声监测系统的信号处理，由自噪声显示单元展示测量得到的噪声声压谱密度声源级，即自噪声示值。</w:t>
      </w:r>
      <w:bookmarkEnd w:id="60"/>
      <w:r>
        <w:rPr>
          <w:rFonts w:ascii="Times New Roman"/>
          <w:sz w:val="24"/>
          <w:szCs w:val="24"/>
        </w:rPr>
        <w:t>计算公式如式（1）所示：</w:t>
      </w:r>
    </w:p>
    <w:bookmarkEnd w:id="61"/>
    <w:p w14:paraId="2909DE3C">
      <w:pPr>
        <w:pStyle w:val="32"/>
        <w:spacing w:line="360" w:lineRule="auto"/>
        <w:ind w:firstLine="420"/>
        <w:jc w:val="right"/>
        <w:rPr>
          <w:rFonts w:ascii="Times New Roman"/>
          <w:sz w:val="24"/>
          <w:szCs w:val="24"/>
        </w:rPr>
      </w:pPr>
      <w:bookmarkStart w:id="62" w:name="_Hlk197937393"/>
      <w:bookmarkStart w:id="63" w:name="_Hlk197937363"/>
      <w:r>
        <w:rPr>
          <w:position w:val="-30"/>
        </w:rPr>
        <w:object>
          <v:shape id="_x0000_i1026" o:spt="75" type="#_x0000_t75" style="height:36pt;width:221pt;" o:ole="t" filled="f" o:preferrelative="t" stroked="f" coordsize="21600,21600">
            <v:path/>
            <v:fill on="f" focussize="0,0"/>
            <v:stroke on="f" joinstyle="miter"/>
            <v:imagedata r:id="rId20" o:title=""/>
            <o:lock v:ext="edit" aspectratio="t"/>
            <w10:wrap type="none"/>
            <w10:anchorlock/>
          </v:shape>
          <o:OLEObject Type="Embed" ProgID="Equation.DSMT4" ShapeID="_x0000_i1026" DrawAspect="Content" ObjectID="_1468075726" r:id="rId19">
            <o:LockedField>false</o:LockedField>
          </o:OLEObject>
        </w:object>
      </w:r>
      <w:r>
        <w:rPr>
          <w:rFonts w:ascii="Times New Roman"/>
          <w:sz w:val="24"/>
          <w:szCs w:val="24"/>
        </w:rPr>
        <w:t xml:space="preserve">               （1）</w:t>
      </w:r>
    </w:p>
    <w:bookmarkEnd w:id="62"/>
    <w:p w14:paraId="5518986B">
      <w:pPr>
        <w:pStyle w:val="32"/>
        <w:spacing w:line="360" w:lineRule="auto"/>
        <w:ind w:firstLine="480"/>
        <w:rPr>
          <w:rFonts w:ascii="Times New Roman"/>
          <w:sz w:val="24"/>
          <w:szCs w:val="24"/>
        </w:rPr>
      </w:pPr>
      <w:r>
        <w:rPr>
          <w:rFonts w:ascii="Times New Roman"/>
          <w:sz w:val="24"/>
          <w:szCs w:val="24"/>
        </w:rPr>
        <w:t>式中</w:t>
      </w:r>
      <w:r>
        <w:rPr>
          <w:rFonts w:hint="eastAsia" w:ascii="Times New Roman"/>
          <w:sz w:val="24"/>
          <w:szCs w:val="24"/>
        </w:rPr>
        <w:t>：</w:t>
      </w:r>
    </w:p>
    <w:p w14:paraId="03FF299C">
      <w:pPr>
        <w:pStyle w:val="32"/>
        <w:spacing w:line="360" w:lineRule="auto"/>
        <w:ind w:firstLine="420"/>
        <w:rPr>
          <w:rFonts w:ascii="Times New Roman"/>
          <w:sz w:val="24"/>
          <w:szCs w:val="24"/>
        </w:rPr>
      </w:pPr>
      <w:r>
        <w:rPr>
          <w:position w:val="-12"/>
        </w:rPr>
        <w:object>
          <v:shape id="_x0000_i1027" o:spt="75" type="#_x0000_t75" style="height:18pt;width:23pt;" o:ole="t" filled="f" o:preferrelative="t" stroked="f" coordsize="21600,21600">
            <v:path/>
            <v:fill on="f" focussize="0,0"/>
            <v:stroke on="f" joinstyle="miter"/>
            <v:imagedata r:id="rId22" o:title=""/>
            <o:lock v:ext="edit" aspectratio="t"/>
            <w10:wrap type="none"/>
            <w10:anchorlock/>
          </v:shape>
          <o:OLEObject Type="Embed" ProgID="Equation.DSMT4" ShapeID="_x0000_i1027" DrawAspect="Content" ObjectID="_1468075727" r:id="rId21">
            <o:LockedField>false</o:LockedField>
          </o:OLEObject>
        </w:object>
      </w:r>
      <w:r>
        <w:rPr>
          <w:rFonts w:ascii="Times New Roman"/>
          <w:sz w:val="24"/>
          <w:szCs w:val="24"/>
        </w:rPr>
        <w:t>——自噪声监测系统的自噪声示值，dB</w:t>
      </w:r>
      <w:r>
        <w:rPr>
          <w:sz w:val="24"/>
          <w:szCs w:val="24"/>
        </w:rPr>
        <w:t>（基准值：</w:t>
      </w:r>
      <w:r>
        <w:rPr>
          <w:position w:val="-10"/>
        </w:rPr>
        <w:object>
          <v:shape id="_x0000_i1028" o:spt="75" type="#_x0000_t75" style="height:19pt;width:52pt;" o:ole="t" filled="f" o:preferrelative="t" stroked="f" coordsize="21600,21600">
            <v:path/>
            <v:fill on="f" focussize="0,0"/>
            <v:stroke on="f" joinstyle="miter"/>
            <v:imagedata r:id="rId24" o:title=""/>
            <o:lock v:ext="edit" aspectratio="t"/>
            <w10:wrap type="none"/>
            <w10:anchorlock/>
          </v:shape>
          <o:OLEObject Type="Embed" ProgID="Equation.DSMT4" ShapeID="_x0000_i1028" DrawAspect="Content" ObjectID="_1468075728" r:id="rId23">
            <o:LockedField>false</o:LockedField>
          </o:OLEObject>
        </w:object>
      </w:r>
      <w:r>
        <w:rPr>
          <w:sz w:val="24"/>
          <w:szCs w:val="24"/>
        </w:rPr>
        <w:t>）</w:t>
      </w:r>
      <w:r>
        <w:rPr>
          <w:rFonts w:ascii="Times New Roman"/>
          <w:sz w:val="24"/>
          <w:szCs w:val="24"/>
        </w:rPr>
        <w:t>；</w:t>
      </w:r>
    </w:p>
    <w:p w14:paraId="6ED02C51">
      <w:pPr>
        <w:pStyle w:val="32"/>
        <w:spacing w:line="360" w:lineRule="auto"/>
        <w:ind w:left="-42" w:leftChars="-20" w:firstLine="420"/>
        <w:rPr>
          <w:rFonts w:ascii="Times New Roman"/>
          <w:sz w:val="24"/>
          <w:szCs w:val="24"/>
        </w:rPr>
      </w:pPr>
      <w:r>
        <w:rPr>
          <w:position w:val="-14"/>
        </w:rPr>
        <w:object>
          <v:shape id="_x0000_i1029" o:spt="75" type="#_x0000_t75" style="height:19pt;width:15pt;" o:ole="t" filled="f" o:preferrelative="t" stroked="f" coordsize="21600,21600">
            <v:path/>
            <v:fill on="f" focussize="0,0"/>
            <v:stroke on="f" joinstyle="miter"/>
            <v:imagedata r:id="rId26" o:title=""/>
            <o:lock v:ext="edit" aspectratio="t"/>
            <w10:wrap type="none"/>
            <w10:anchorlock/>
          </v:shape>
          <o:OLEObject Type="Embed" ProgID="Equation.DSMT4" ShapeID="_x0000_i1029" DrawAspect="Content" ObjectID="_1468075729" r:id="rId25">
            <o:LockedField>false</o:LockedField>
          </o:OLEObject>
        </w:object>
      </w:r>
      <w:r>
        <w:t xml:space="preserve"> </w:t>
      </w:r>
      <w:r>
        <w:rPr>
          <w:rFonts w:hint="eastAsia"/>
        </w:rPr>
        <w:t xml:space="preserve"> </w:t>
      </w:r>
      <w:r>
        <w:rPr>
          <w:rFonts w:ascii="Times New Roman"/>
          <w:sz w:val="24"/>
          <w:szCs w:val="24"/>
        </w:rPr>
        <w:t>——用一定带宽的滤波器测得的等效1m处的噪声声压，Pa；</w:t>
      </w:r>
    </w:p>
    <w:p w14:paraId="33C63C7A">
      <w:pPr>
        <w:pStyle w:val="32"/>
        <w:spacing w:line="360" w:lineRule="auto"/>
        <w:ind w:left="42" w:leftChars="20" w:firstLine="420"/>
        <w:rPr>
          <w:rFonts w:ascii="Times New Roman"/>
          <w:iCs/>
          <w:sz w:val="24"/>
          <w:szCs w:val="24"/>
        </w:rPr>
      </w:pPr>
      <w:r>
        <w:rPr>
          <w:position w:val="-12"/>
        </w:rPr>
        <w:object>
          <v:shape id="_x0000_i1030" o:spt="75" type="#_x0000_t75" style="height:18pt;width:13pt;" o:ole="t" filled="f" o:preferrelative="t" stroked="f" coordsize="21600,21600">
            <v:path/>
            <v:fill on="f" focussize="0,0"/>
            <v:stroke on="f" joinstyle="miter"/>
            <v:imagedata r:id="rId28" o:title=""/>
            <o:lock v:ext="edit" aspectratio="t"/>
            <w10:wrap type="none"/>
            <w10:anchorlock/>
          </v:shape>
          <o:OLEObject Type="Embed" ProgID="Equation.DSMT4" ShapeID="_x0000_i1030" DrawAspect="Content" ObjectID="_1468075730" r:id="rId27">
            <o:LockedField>false</o:LockedField>
          </o:OLEObject>
        </w:object>
      </w:r>
      <w:r>
        <w:t xml:space="preserve">  </w:t>
      </w:r>
      <w:r>
        <w:rPr>
          <w:rFonts w:ascii="Times New Roman"/>
          <w:sz w:val="24"/>
          <w:szCs w:val="24"/>
        </w:rPr>
        <w:t>——基准声压，</w:t>
      </w:r>
      <w:r>
        <w:rPr>
          <w:position w:val="-12"/>
        </w:rPr>
        <w:object>
          <v:shape id="_x0000_i1031" o:spt="75" type="#_x0000_t75" style="height:18pt;width:51pt;" o:ole="t" filled="f" o:preferrelative="t" stroked="f" coordsize="21600,21600">
            <v:path/>
            <v:fill on="f" focussize="0,0"/>
            <v:stroke on="f" joinstyle="miter"/>
            <v:imagedata r:id="rId30" o:title=""/>
            <o:lock v:ext="edit" aspectratio="t"/>
            <w10:wrap type="none"/>
            <w10:anchorlock/>
          </v:shape>
          <o:OLEObject Type="Embed" ProgID="Equation.DSMT4" ShapeID="_x0000_i1031" DrawAspect="Content" ObjectID="_1468075731" r:id="rId29">
            <o:LockedField>false</o:LockedField>
          </o:OLEObject>
        </w:object>
      </w:r>
      <w:r>
        <w:rPr>
          <w:rFonts w:ascii="Times New Roman"/>
          <w:iCs/>
          <w:sz w:val="24"/>
          <w:szCs w:val="24"/>
        </w:rPr>
        <w:t>；</w:t>
      </w:r>
    </w:p>
    <w:p w14:paraId="5A708047">
      <w:pPr>
        <w:pStyle w:val="32"/>
        <w:spacing w:line="360" w:lineRule="auto"/>
        <w:ind w:firstLine="420"/>
        <w:rPr>
          <w:rFonts w:ascii="Times New Roman"/>
          <w:sz w:val="24"/>
          <w:szCs w:val="24"/>
        </w:rPr>
      </w:pPr>
      <w:r>
        <w:rPr>
          <w:position w:val="-12"/>
        </w:rPr>
        <w:object>
          <v:shape id="_x0000_i1032" o:spt="75" type="#_x0000_t75" style="height:18pt;width:21pt;" o:ole="t" filled="f" o:preferrelative="t" stroked="f" coordsize="21600,21600">
            <v:path/>
            <v:fill on="f" focussize="0,0"/>
            <v:stroke on="f" joinstyle="miter"/>
            <v:imagedata r:id="rId32" o:title=""/>
            <o:lock v:ext="edit" aspectratio="t"/>
            <w10:wrap type="none"/>
            <w10:anchorlock/>
          </v:shape>
          <o:OLEObject Type="Embed" ProgID="Equation.DSMT4" ShapeID="_x0000_i1032" DrawAspect="Content" ObjectID="_1468075732" r:id="rId31">
            <o:LockedField>false</o:LockedField>
          </o:OLEObject>
        </w:object>
      </w:r>
      <w:r>
        <w:t xml:space="preserve"> </w:t>
      </w:r>
      <w:r>
        <w:rPr>
          <w:rFonts w:ascii="Times New Roman"/>
          <w:sz w:val="24"/>
          <w:szCs w:val="24"/>
        </w:rPr>
        <w:t>——水听器输出的开路电压，V；</w:t>
      </w:r>
    </w:p>
    <w:p w14:paraId="0490ADAB">
      <w:pPr>
        <w:pStyle w:val="32"/>
        <w:spacing w:line="360" w:lineRule="auto"/>
        <w:ind w:left="84" w:leftChars="40" w:firstLine="480"/>
        <w:rPr>
          <w:rFonts w:ascii="Times New Roman"/>
          <w:sz w:val="24"/>
          <w:szCs w:val="24"/>
        </w:rPr>
      </w:pPr>
      <w:r>
        <w:rPr>
          <w:rFonts w:ascii="Times New Roman"/>
          <w:i/>
          <w:iCs/>
          <w:sz w:val="24"/>
          <w:szCs w:val="24"/>
        </w:rPr>
        <w:t>D</w:t>
      </w:r>
      <w:r>
        <w:rPr>
          <w:rFonts w:hint="eastAsia" w:ascii="Times New Roman"/>
          <w:i/>
          <w:iCs/>
          <w:sz w:val="24"/>
          <w:szCs w:val="24"/>
        </w:rPr>
        <w:t xml:space="preserve">  </w:t>
      </w:r>
      <w:r>
        <w:rPr>
          <w:rFonts w:ascii="Times New Roman"/>
          <w:sz w:val="24"/>
          <w:szCs w:val="24"/>
        </w:rPr>
        <w:t>——</w:t>
      </w:r>
      <w:r>
        <w:rPr>
          <w:rFonts w:hint="eastAsia" w:ascii="Times New Roman"/>
          <w:sz w:val="24"/>
          <w:szCs w:val="24"/>
        </w:rPr>
        <w:t>水听器</w:t>
      </w:r>
      <w:r>
        <w:rPr>
          <w:rFonts w:ascii="Times New Roman"/>
          <w:sz w:val="24"/>
          <w:szCs w:val="24"/>
        </w:rPr>
        <w:t>测试距离，m；</w:t>
      </w:r>
    </w:p>
    <w:p w14:paraId="686A4AA5">
      <w:pPr>
        <w:pStyle w:val="32"/>
        <w:spacing w:line="360" w:lineRule="auto"/>
        <w:ind w:left="63" w:leftChars="30" w:firstLine="480"/>
        <w:rPr>
          <w:rFonts w:ascii="Times New Roman"/>
          <w:sz w:val="24"/>
          <w:szCs w:val="24"/>
        </w:rPr>
      </w:pPr>
      <w:r>
        <w:rPr>
          <w:rFonts w:ascii="Times New Roman"/>
          <w:i/>
          <w:iCs/>
          <w:sz w:val="24"/>
          <w:szCs w:val="24"/>
        </w:rPr>
        <w:t>M</w:t>
      </w:r>
      <w:r>
        <w:rPr>
          <w:rFonts w:hint="eastAsia" w:ascii="Times New Roman"/>
          <w:i/>
          <w:iCs/>
          <w:sz w:val="24"/>
          <w:szCs w:val="24"/>
        </w:rPr>
        <w:t xml:space="preserve">  </w:t>
      </w:r>
      <w:r>
        <w:rPr>
          <w:rFonts w:ascii="Times New Roman"/>
          <w:sz w:val="24"/>
          <w:szCs w:val="24"/>
        </w:rPr>
        <w:t>——水听器的自由场开路电压灵敏度级，dB（基准值：</w:t>
      </w:r>
      <w:r>
        <w:rPr>
          <w:position w:val="-10"/>
        </w:rPr>
        <w:object>
          <v:shape id="_x0000_i1033" o:spt="75" type="#_x0000_t75" style="height:17pt;width:37pt;" o:ole="t" filled="f" o:preferrelative="t" stroked="f" coordsize="21600,21600">
            <v:path/>
            <v:fill on="f" focussize="0,0"/>
            <v:stroke on="f" joinstyle="miter"/>
            <v:imagedata r:id="rId34" o:title=""/>
            <o:lock v:ext="edit" aspectratio="t"/>
            <w10:wrap type="none"/>
            <w10:anchorlock/>
          </v:shape>
          <o:OLEObject Type="Embed" ProgID="Equation.DSMT4" ShapeID="_x0000_i1033" DrawAspect="Content" ObjectID="_1468075733" r:id="rId33">
            <o:LockedField>false</o:LockedField>
          </o:OLEObject>
        </w:object>
      </w:r>
      <w:r>
        <w:rPr>
          <w:rFonts w:ascii="Times New Roman"/>
          <w:sz w:val="24"/>
          <w:szCs w:val="24"/>
        </w:rPr>
        <w:t>）；</w:t>
      </w:r>
    </w:p>
    <w:p w14:paraId="3A429715">
      <w:pPr>
        <w:pStyle w:val="32"/>
        <w:spacing w:line="360" w:lineRule="auto"/>
        <w:ind w:firstLine="420"/>
        <w:rPr>
          <w:rFonts w:ascii="Times New Roman"/>
          <w:sz w:val="24"/>
          <w:szCs w:val="24"/>
        </w:rPr>
      </w:pPr>
      <w:r>
        <w:rPr>
          <w:position w:val="-10"/>
        </w:rPr>
        <w:object>
          <v:shape id="_x0000_i1034" o:spt="75" type="#_x0000_t75" style="height:16pt;width:17pt;" o:ole="t" filled="f" o:preferrelative="t" stroked="f" coordsize="21600,21600">
            <v:path/>
            <v:fill on="f" focussize="0,0"/>
            <v:stroke on="f" joinstyle="miter"/>
            <v:imagedata r:id="rId36" o:title=""/>
            <o:lock v:ext="edit" aspectratio="t"/>
            <w10:wrap type="none"/>
            <w10:anchorlock/>
          </v:shape>
          <o:OLEObject Type="Embed" ProgID="Equation.DSMT4" ShapeID="_x0000_i1034" DrawAspect="Content" ObjectID="_1468075734" r:id="rId35">
            <o:LockedField>false</o:LockedField>
          </o:OLEObject>
        </w:object>
      </w:r>
      <w:r>
        <w:rPr>
          <w:rFonts w:hint="eastAsia" w:ascii="Times New Roman"/>
          <w:sz w:val="24"/>
          <w:szCs w:val="24"/>
        </w:rPr>
        <w:t xml:space="preserve"> </w:t>
      </w:r>
      <w:r>
        <w:rPr>
          <w:rFonts w:ascii="Times New Roman"/>
          <w:sz w:val="24"/>
          <w:szCs w:val="24"/>
        </w:rPr>
        <w:t xml:space="preserve"> ——</w:t>
      </w:r>
      <w:r>
        <w:rPr>
          <w:rFonts w:hint="eastAsia" w:ascii="Times New Roman"/>
          <w:sz w:val="24"/>
          <w:szCs w:val="24"/>
        </w:rPr>
        <w:t>噪声声压谱线的分析带宽，H</w:t>
      </w:r>
      <w:r>
        <w:rPr>
          <w:rFonts w:ascii="Times New Roman"/>
          <w:sz w:val="24"/>
          <w:szCs w:val="24"/>
        </w:rPr>
        <w:t>z</w:t>
      </w:r>
      <w:r>
        <w:rPr>
          <w:rFonts w:hint="eastAsia" w:ascii="Times New Roman"/>
          <w:sz w:val="24"/>
          <w:szCs w:val="24"/>
        </w:rPr>
        <w:t>。</w:t>
      </w:r>
    </w:p>
    <w:p w14:paraId="72E731FF">
      <w:pPr>
        <w:pStyle w:val="32"/>
        <w:spacing w:line="360" w:lineRule="auto"/>
        <w:ind w:firstLine="480"/>
        <w:rPr>
          <w:rFonts w:ascii="Times New Roman"/>
          <w:sz w:val="24"/>
          <w:szCs w:val="24"/>
        </w:rPr>
      </w:pPr>
      <w:r>
        <w:rPr>
          <w:rFonts w:ascii="Times New Roman"/>
          <w:sz w:val="24"/>
          <w:szCs w:val="24"/>
        </w:rPr>
        <w:t>当试验船以船载水声探测系统正常工作对应的状态下自由航行时，将自噪声监测系统安装于试验船上，对船载水声探测系统进行原位校准，在不同航行状态下，自噪声监测系统分别</w:t>
      </w:r>
      <w:r>
        <w:rPr>
          <w:rFonts w:hint="eastAsia" w:ascii="Times New Roman"/>
          <w:sz w:val="24"/>
          <w:szCs w:val="24"/>
        </w:rPr>
        <w:t>测量</w:t>
      </w:r>
      <w:r>
        <w:rPr>
          <w:rFonts w:ascii="Times New Roman"/>
          <w:sz w:val="24"/>
          <w:szCs w:val="24"/>
        </w:rPr>
        <w:t>出噪声原位数据，船载水声探测系统的自噪声示值</w:t>
      </w:r>
      <w:r>
        <w:rPr>
          <w:rFonts w:hint="eastAsia" w:ascii="Times New Roman"/>
          <w:sz w:val="24"/>
          <w:szCs w:val="24"/>
        </w:rPr>
        <w:t>与</w:t>
      </w:r>
      <w:r>
        <w:rPr>
          <w:rFonts w:ascii="Times New Roman"/>
          <w:sz w:val="24"/>
          <w:szCs w:val="24"/>
        </w:rPr>
        <w:t>自噪声监测系统</w:t>
      </w:r>
      <w:r>
        <w:rPr>
          <w:rFonts w:hint="eastAsia" w:ascii="Times New Roman"/>
          <w:sz w:val="24"/>
          <w:szCs w:val="24"/>
        </w:rPr>
        <w:t>的</w:t>
      </w:r>
      <w:r>
        <w:rPr>
          <w:rFonts w:ascii="Times New Roman"/>
          <w:sz w:val="24"/>
          <w:szCs w:val="24"/>
        </w:rPr>
        <w:t>差</w:t>
      </w:r>
      <w:r>
        <w:rPr>
          <w:rFonts w:hint="eastAsia" w:ascii="Times New Roman"/>
          <w:sz w:val="24"/>
          <w:szCs w:val="24"/>
        </w:rPr>
        <w:t>值</w:t>
      </w:r>
      <w:r>
        <w:rPr>
          <w:rFonts w:ascii="Times New Roman"/>
          <w:sz w:val="24"/>
          <w:szCs w:val="24"/>
        </w:rPr>
        <w:t>即为船载水声探测系统的自噪声示值误差。</w:t>
      </w:r>
    </w:p>
    <w:p w14:paraId="6330699D">
      <w:pPr>
        <w:pStyle w:val="63"/>
        <w:ind w:firstLine="480"/>
        <w:rPr>
          <w:rFonts w:eastAsia="宋体"/>
        </w:rPr>
      </w:pPr>
      <w:r>
        <w:rPr>
          <w:rFonts w:hint="eastAsia" w:eastAsia="宋体"/>
        </w:rPr>
        <w:t>按公式（2）计算</w:t>
      </w:r>
      <w:r>
        <w:rPr>
          <w:rFonts w:eastAsia="宋体"/>
        </w:rPr>
        <w:t>船载水声探测系统的自噪声示值误差</w:t>
      </w:r>
      <w:r>
        <w:rPr>
          <w:position w:val="-12"/>
        </w:rPr>
        <w:object>
          <v:shape id="_x0000_i1035" o:spt="75" type="#_x0000_t75" style="height:18.35pt;width:25.8pt;" o:ole="t" filled="f" o:preferrelative="t" stroked="f" coordsize="21600,21600">
            <v:path/>
            <v:fill on="f" focussize="0,0"/>
            <v:stroke on="f" joinstyle="miter"/>
            <v:imagedata r:id="rId38" o:title=""/>
            <o:lock v:ext="edit" aspectratio="t"/>
            <w10:wrap type="none"/>
            <w10:anchorlock/>
          </v:shape>
          <o:OLEObject Type="Embed" ProgID="Equation.DSMT4" ShapeID="_x0000_i1035" DrawAspect="Content" ObjectID="_1468075735" r:id="rId37">
            <o:LockedField>false</o:LockedField>
          </o:OLEObject>
        </w:object>
      </w:r>
      <w:r>
        <w:rPr>
          <w:rFonts w:hint="eastAsia"/>
        </w:rPr>
        <w:t>。</w:t>
      </w:r>
    </w:p>
    <w:p w14:paraId="53509DC7">
      <w:pPr>
        <w:pStyle w:val="63"/>
        <w:ind w:firstLine="480"/>
        <w:jc w:val="right"/>
        <w:rPr>
          <w:rFonts w:eastAsia="宋体"/>
        </w:rPr>
      </w:pPr>
      <w:r>
        <w:rPr>
          <w:position w:val="-12"/>
        </w:rPr>
        <w:object>
          <v:shape id="_x0000_i1036" o:spt="75" type="#_x0000_t75" style="height:18.35pt;width:84.9pt;" o:ole="t" filled="f" o:preferrelative="t" stroked="f" coordsize="21600,21600">
            <v:path/>
            <v:fill on="f" focussize="0,0"/>
            <v:stroke on="f" joinstyle="miter"/>
            <v:imagedata r:id="rId40" o:title=""/>
            <o:lock v:ext="edit" aspectratio="t"/>
            <w10:wrap type="none"/>
            <w10:anchorlock/>
          </v:shape>
          <o:OLEObject Type="Embed" ProgID="Equation.DSMT4" ShapeID="_x0000_i1036" DrawAspect="Content" ObjectID="_1468075736" r:id="rId39">
            <o:LockedField>false</o:LockedField>
          </o:OLEObject>
        </w:object>
      </w:r>
      <w:r>
        <w:rPr>
          <w:rFonts w:eastAsia="宋体"/>
        </w:rPr>
        <w:t xml:space="preserve">                            （2）</w:t>
      </w:r>
    </w:p>
    <w:p w14:paraId="7C257FD4">
      <w:pPr>
        <w:pStyle w:val="63"/>
        <w:adjustRightInd w:val="0"/>
        <w:snapToGrid w:val="0"/>
        <w:ind w:firstLine="480"/>
        <w:rPr>
          <w:rFonts w:eastAsia="宋体"/>
        </w:rPr>
      </w:pPr>
      <w:r>
        <w:rPr>
          <w:rFonts w:eastAsia="宋体"/>
        </w:rPr>
        <w:t>式中</w:t>
      </w:r>
      <w:r>
        <w:rPr>
          <w:rFonts w:hint="eastAsia" w:eastAsia="宋体"/>
        </w:rPr>
        <w:t>：</w:t>
      </w:r>
    </w:p>
    <w:p w14:paraId="1E90B2B3">
      <w:pPr>
        <w:pStyle w:val="63"/>
        <w:ind w:firstLine="480"/>
        <w:rPr>
          <w:rFonts w:eastAsia="宋体"/>
        </w:rPr>
      </w:pPr>
      <w:r>
        <w:rPr>
          <w:position w:val="-12"/>
        </w:rPr>
        <w:object>
          <v:shape id="_x0000_i1037" o:spt="75" type="#_x0000_t75" style="height:18.35pt;width:23.1pt;" o:ole="t" filled="f" o:preferrelative="t" stroked="f" coordsize="21600,21600">
            <v:path/>
            <v:fill on="f" focussize="0,0"/>
            <v:stroke on="f" joinstyle="miter"/>
            <v:imagedata r:id="rId42" o:title=""/>
            <o:lock v:ext="edit" aspectratio="t"/>
            <w10:wrap type="none"/>
            <w10:anchorlock/>
          </v:shape>
          <o:OLEObject Type="Embed" ProgID="Equation.DSMT4" ShapeID="_x0000_i1037" DrawAspect="Content" ObjectID="_1468075737" r:id="rId41">
            <o:LockedField>false</o:LockedField>
          </o:OLEObject>
        </w:object>
      </w:r>
      <w:r>
        <w:t>——</w:t>
      </w:r>
      <w:r>
        <w:rPr>
          <w:rFonts w:eastAsia="宋体"/>
        </w:rPr>
        <w:t>自噪声监测系统声压谱级示值，dB</w:t>
      </w:r>
      <w:r>
        <w:t>（</w:t>
      </w:r>
      <w:r>
        <w:rPr>
          <w:rFonts w:eastAsia="宋体"/>
        </w:rPr>
        <w:t>基准值：</w:t>
      </w:r>
      <w:r>
        <w:rPr>
          <w:position w:val="-10"/>
        </w:rPr>
        <w:object>
          <v:shape id="_x0000_i1038" o:spt="75" type="#_x0000_t75" style="height:19pt;width:52.3pt;" o:ole="t" filled="f" o:preferrelative="t" stroked="f" coordsize="21600,21600">
            <v:path/>
            <v:fill on="f" focussize="0,0"/>
            <v:stroke on="f" joinstyle="miter"/>
            <v:imagedata r:id="rId44" o:title=""/>
            <o:lock v:ext="edit" aspectratio="t"/>
            <w10:wrap type="none"/>
            <w10:anchorlock/>
          </v:shape>
          <o:OLEObject Type="Embed" ProgID="Equation.DSMT4" ShapeID="_x0000_i1038" DrawAspect="Content" ObjectID="_1468075738" r:id="rId43">
            <o:LockedField>false</o:LockedField>
          </o:OLEObject>
        </w:object>
      </w:r>
      <w:r>
        <w:t>）</w:t>
      </w:r>
      <w:r>
        <w:rPr>
          <w:rFonts w:eastAsia="宋体"/>
        </w:rPr>
        <w:t>；</w:t>
      </w:r>
    </w:p>
    <w:p w14:paraId="56C1AACA">
      <w:pPr>
        <w:pStyle w:val="63"/>
        <w:ind w:left="105" w:leftChars="50" w:firstLine="480"/>
        <w:rPr>
          <w:rFonts w:eastAsia="宋体"/>
        </w:rPr>
      </w:pPr>
      <w:r>
        <w:rPr>
          <w:position w:val="-12"/>
        </w:rPr>
        <w:object>
          <v:shape id="_x0000_i1039" o:spt="75" type="#_x0000_t75" style="height:18.35pt;width:19pt;" o:ole="t" filled="f" o:preferrelative="t" stroked="f" coordsize="21600,21600">
            <v:path/>
            <v:fill on="f" focussize="0,0"/>
            <v:stroke on="f" joinstyle="miter"/>
            <v:imagedata r:id="rId46" o:title=""/>
            <o:lock v:ext="edit" aspectratio="t"/>
            <w10:wrap type="none"/>
            <w10:anchorlock/>
          </v:shape>
          <o:OLEObject Type="Embed" ProgID="Equation.DSMT4" ShapeID="_x0000_i1039" DrawAspect="Content" ObjectID="_1468075739" r:id="rId45">
            <o:LockedField>false</o:LockedField>
          </o:OLEObject>
        </w:object>
      </w:r>
      <w:r>
        <w:t>——</w:t>
      </w:r>
      <w:r>
        <w:rPr>
          <w:rFonts w:eastAsia="宋体"/>
        </w:rPr>
        <w:t>水声探测系统声压谱级示值，dB</w:t>
      </w:r>
      <w:r>
        <w:t>（</w:t>
      </w:r>
      <w:r>
        <w:rPr>
          <w:rFonts w:eastAsia="宋体"/>
        </w:rPr>
        <w:t>基准值：</w:t>
      </w:r>
      <w:r>
        <w:rPr>
          <w:position w:val="-10"/>
        </w:rPr>
        <w:object>
          <v:shape id="_x0000_i1040" o:spt="75" type="#_x0000_t75" style="height:19pt;width:52.3pt;" o:ole="t" filled="f" o:preferrelative="t" stroked="f" coordsize="21600,21600">
            <v:path/>
            <v:fill on="f" focussize="0,0"/>
            <v:stroke on="f" joinstyle="miter"/>
            <v:imagedata r:id="rId44" o:title=""/>
            <o:lock v:ext="edit" aspectratio="t"/>
            <w10:wrap type="none"/>
            <w10:anchorlock/>
          </v:shape>
          <o:OLEObject Type="Embed" ProgID="Equation.DSMT4" ShapeID="_x0000_i1040" DrawAspect="Content" ObjectID="_1468075740" r:id="rId47">
            <o:LockedField>false</o:LockedField>
          </o:OLEObject>
        </w:object>
      </w:r>
      <w:r>
        <w:t>）</w:t>
      </w:r>
      <w:r>
        <w:rPr>
          <w:rFonts w:eastAsia="宋体"/>
        </w:rPr>
        <w:t>。</w:t>
      </w:r>
    </w:p>
    <w:bookmarkEnd w:id="63"/>
    <w:p w14:paraId="4E9BB3ED">
      <w:pPr>
        <w:pStyle w:val="32"/>
        <w:spacing w:line="360" w:lineRule="auto"/>
        <w:ind w:firstLine="0" w:firstLineChars="0"/>
        <w:rPr>
          <w:rFonts w:ascii="Times New Roman"/>
          <w:sz w:val="24"/>
        </w:rPr>
      </w:pPr>
      <w:r>
        <w:rPr>
          <w:rFonts w:ascii="Times New Roman"/>
          <w:sz w:val="24"/>
        </w:rPr>
        <w:t>7.2.2 校准步骤</w:t>
      </w:r>
    </w:p>
    <w:p w14:paraId="1CE2A527">
      <w:pPr>
        <w:pStyle w:val="32"/>
        <w:spacing w:line="360" w:lineRule="auto"/>
        <w:ind w:firstLine="480"/>
        <w:rPr>
          <w:rFonts w:ascii="Times New Roman"/>
          <w:sz w:val="24"/>
        </w:rPr>
      </w:pPr>
      <w:bookmarkStart w:id="64" w:name="_Hlk197937522"/>
      <w:r>
        <w:rPr>
          <w:rFonts w:hint="eastAsia" w:ascii="Times New Roman"/>
          <w:sz w:val="24"/>
        </w:rPr>
        <w:t>校准步骤见下：</w:t>
      </w:r>
    </w:p>
    <w:p w14:paraId="256AE6CE">
      <w:pPr>
        <w:pStyle w:val="32"/>
        <w:spacing w:line="360" w:lineRule="auto"/>
        <w:ind w:firstLine="480"/>
        <w:rPr>
          <w:rFonts w:ascii="Times New Roman"/>
          <w:sz w:val="24"/>
          <w:szCs w:val="24"/>
        </w:rPr>
      </w:pPr>
      <w:r>
        <w:rPr>
          <w:rFonts w:hint="eastAsia" w:ascii="Times New Roman"/>
          <w:sz w:val="24"/>
          <w:szCs w:val="24"/>
        </w:rPr>
        <w:t>a) 将自噪声监测系统安装至进行水声探测系统校准的被试船舶，自噪声监测系统的标准水听器和水声探测系统的安装位置距离不超过0</w:t>
      </w:r>
      <w:r>
        <w:rPr>
          <w:rFonts w:ascii="Times New Roman"/>
          <w:sz w:val="24"/>
          <w:szCs w:val="24"/>
        </w:rPr>
        <w:t>.5</w:t>
      </w:r>
      <w:r>
        <w:rPr>
          <w:rFonts w:hint="eastAsia" w:ascii="Times New Roman"/>
          <w:sz w:val="24"/>
          <w:szCs w:val="24"/>
        </w:rPr>
        <w:t xml:space="preserve"> m，调试自噪声监测系统和水声探测系统，确保两个系统正常工作；</w:t>
      </w:r>
    </w:p>
    <w:p w14:paraId="1257604C">
      <w:pPr>
        <w:pStyle w:val="32"/>
        <w:spacing w:line="360" w:lineRule="auto"/>
        <w:ind w:firstLine="480"/>
        <w:rPr>
          <w:rFonts w:ascii="Times New Roman"/>
          <w:sz w:val="24"/>
          <w:szCs w:val="24"/>
        </w:rPr>
      </w:pPr>
      <w:r>
        <w:rPr>
          <w:rFonts w:hint="eastAsia" w:ascii="Times New Roman"/>
          <w:sz w:val="24"/>
          <w:szCs w:val="24"/>
        </w:rPr>
        <w:t>b) 被</w:t>
      </w:r>
      <w:r>
        <w:rPr>
          <w:rFonts w:ascii="Times New Roman"/>
          <w:sz w:val="24"/>
          <w:szCs w:val="24"/>
        </w:rPr>
        <w:t>试船舶航行至符合6.1.2节所述海试环境下的海域</w:t>
      </w:r>
      <w:r>
        <w:rPr>
          <w:rFonts w:hint="eastAsia" w:ascii="Times New Roman"/>
          <w:sz w:val="24"/>
          <w:szCs w:val="24"/>
        </w:rPr>
        <w:t>，被校水声探测系统的换能器与自噪声监测系统的标准水听器在校准水域浸泡3</w:t>
      </w:r>
      <w:r>
        <w:rPr>
          <w:rFonts w:ascii="Times New Roman"/>
          <w:sz w:val="24"/>
          <w:szCs w:val="24"/>
        </w:rPr>
        <w:t>0</w:t>
      </w:r>
      <w:r>
        <w:rPr>
          <w:rFonts w:hint="eastAsia" w:ascii="Times New Roman"/>
          <w:sz w:val="24"/>
          <w:szCs w:val="24"/>
        </w:rPr>
        <w:t xml:space="preserve"> min，温度和压力达到平衡后，记录环境条件参数并开始测量；</w:t>
      </w:r>
    </w:p>
    <w:p w14:paraId="2BB07E51">
      <w:pPr>
        <w:pStyle w:val="32"/>
        <w:spacing w:line="360" w:lineRule="auto"/>
        <w:ind w:firstLine="480"/>
        <w:rPr>
          <w:rFonts w:ascii="Times New Roman"/>
          <w:sz w:val="24"/>
          <w:szCs w:val="24"/>
        </w:rPr>
      </w:pPr>
      <w:r>
        <w:rPr>
          <w:rFonts w:hint="eastAsia" w:ascii="Times New Roman"/>
          <w:sz w:val="24"/>
          <w:szCs w:val="24"/>
        </w:rPr>
        <w:t>c) 船舶锚定状态下，</w:t>
      </w:r>
      <w:r>
        <w:rPr>
          <w:rFonts w:ascii="Times New Roman"/>
          <w:sz w:val="24"/>
          <w:szCs w:val="24"/>
        </w:rPr>
        <w:t>利用自噪声监测系统</w:t>
      </w:r>
      <w:r>
        <w:rPr>
          <w:rFonts w:hint="eastAsia" w:ascii="Times New Roman"/>
          <w:sz w:val="24"/>
          <w:szCs w:val="24"/>
        </w:rPr>
        <w:t>测量</w:t>
      </w:r>
      <w:r>
        <w:rPr>
          <w:rFonts w:ascii="Times New Roman"/>
          <w:sz w:val="24"/>
          <w:szCs w:val="24"/>
        </w:rPr>
        <w:t>该</w:t>
      </w:r>
      <w:r>
        <w:rPr>
          <w:rFonts w:hint="eastAsia" w:ascii="Times New Roman"/>
          <w:sz w:val="24"/>
          <w:szCs w:val="24"/>
        </w:rPr>
        <w:t>海域</w:t>
      </w:r>
      <w:r>
        <w:rPr>
          <w:rFonts w:ascii="Times New Roman"/>
          <w:sz w:val="24"/>
          <w:szCs w:val="24"/>
        </w:rPr>
        <w:t>下</w:t>
      </w:r>
      <w:r>
        <w:rPr>
          <w:rFonts w:hint="eastAsia" w:ascii="Times New Roman"/>
          <w:sz w:val="24"/>
          <w:szCs w:val="24"/>
        </w:rPr>
        <w:t>船舶的背景噪声，背景噪声需低于指定航速下的噪声1</w:t>
      </w:r>
      <w:r>
        <w:rPr>
          <w:rFonts w:ascii="Times New Roman"/>
          <w:sz w:val="24"/>
          <w:szCs w:val="24"/>
        </w:rPr>
        <w:t>0</w:t>
      </w:r>
      <w:r>
        <w:rPr>
          <w:rFonts w:hint="eastAsia" w:ascii="Times New Roman"/>
          <w:sz w:val="24"/>
          <w:szCs w:val="24"/>
        </w:rPr>
        <w:t xml:space="preserve"> dB以上</w:t>
      </w:r>
      <w:r>
        <w:rPr>
          <w:rFonts w:ascii="Times New Roman"/>
          <w:sz w:val="24"/>
          <w:szCs w:val="24"/>
        </w:rPr>
        <w:t>；</w:t>
      </w:r>
    </w:p>
    <w:p w14:paraId="2CEAC5F7">
      <w:pPr>
        <w:pStyle w:val="32"/>
        <w:spacing w:line="360" w:lineRule="auto"/>
        <w:ind w:firstLine="480"/>
        <w:rPr>
          <w:rFonts w:ascii="Times New Roman"/>
          <w:sz w:val="24"/>
          <w:szCs w:val="24"/>
        </w:rPr>
      </w:pPr>
      <w:r>
        <w:rPr>
          <w:rFonts w:hint="eastAsia" w:ascii="Times New Roman"/>
          <w:sz w:val="24"/>
          <w:szCs w:val="24"/>
        </w:rPr>
        <w:t>d) 将船舶航行至指定航速（通常为6 kn</w:t>
      </w:r>
      <w:r>
        <w:rPr>
          <w:rFonts w:ascii="Times New Roman"/>
          <w:sz w:val="24"/>
          <w:szCs w:val="24"/>
        </w:rPr>
        <w:t>~12</w:t>
      </w:r>
      <w:r>
        <w:rPr>
          <w:rFonts w:hint="eastAsia" w:ascii="Times New Roman"/>
          <w:sz w:val="24"/>
          <w:szCs w:val="24"/>
        </w:rPr>
        <w:t xml:space="preserve"> kn航速，具体以船载水声探测系统的工作航速为准），在被试船舶的工作航速下，均匀选取不少于4组航速状态，此时</w:t>
      </w:r>
      <w:r>
        <w:rPr>
          <w:rFonts w:ascii="Times New Roman"/>
          <w:sz w:val="24"/>
          <w:szCs w:val="24"/>
        </w:rPr>
        <w:t>水声探测系统的发射模块向海底发射声波，待接收模块开始接收海底信号时，自噪声监测系统和水声探测系统同时采集</w:t>
      </w:r>
      <w:r>
        <w:rPr>
          <w:rFonts w:hint="eastAsia" w:ascii="Times New Roman"/>
          <w:sz w:val="24"/>
          <w:szCs w:val="24"/>
        </w:rPr>
        <w:t>并记录</w:t>
      </w:r>
      <w:r>
        <w:rPr>
          <w:rFonts w:ascii="Times New Roman"/>
          <w:sz w:val="24"/>
          <w:szCs w:val="24"/>
        </w:rPr>
        <w:t>测点位置的自噪声</w:t>
      </w:r>
      <w:r>
        <w:rPr>
          <w:rFonts w:hint="eastAsia" w:ascii="Times New Roman"/>
          <w:sz w:val="24"/>
          <w:szCs w:val="24"/>
        </w:rPr>
        <w:t>示值</w:t>
      </w:r>
      <w:r>
        <w:rPr>
          <w:rFonts w:ascii="Times New Roman"/>
          <w:sz w:val="24"/>
          <w:szCs w:val="24"/>
        </w:rPr>
        <w:t>；</w:t>
      </w:r>
    </w:p>
    <w:p w14:paraId="19AC5E80">
      <w:pPr>
        <w:pStyle w:val="32"/>
        <w:spacing w:line="360" w:lineRule="auto"/>
        <w:ind w:firstLine="480"/>
        <w:rPr>
          <w:rFonts w:ascii="Times New Roman"/>
          <w:sz w:val="24"/>
          <w:szCs w:val="24"/>
        </w:rPr>
      </w:pPr>
      <w:r>
        <w:rPr>
          <w:rFonts w:hint="eastAsia" w:ascii="Times New Roman"/>
          <w:sz w:val="24"/>
          <w:szCs w:val="24"/>
        </w:rPr>
        <w:t xml:space="preserve">e) </w:t>
      </w:r>
      <w:r>
        <w:rPr>
          <w:rFonts w:ascii="Times New Roman"/>
          <w:sz w:val="24"/>
          <w:szCs w:val="24"/>
        </w:rPr>
        <w:t>关闭自噪声监测系统和水声探测系统</w:t>
      </w:r>
      <w:r>
        <w:rPr>
          <w:rFonts w:hint="eastAsia" w:ascii="Times New Roman"/>
          <w:sz w:val="24"/>
          <w:szCs w:val="24"/>
        </w:rPr>
        <w:t>，按公式（2）计算不同航速状态下水声探测系统的自噪声示值误差。</w:t>
      </w:r>
    </w:p>
    <w:bookmarkEnd w:id="64"/>
    <w:p w14:paraId="13ED9A6B">
      <w:pPr>
        <w:pStyle w:val="36"/>
        <w:numPr>
          <w:ilvl w:val="0"/>
          <w:numId w:val="5"/>
        </w:numPr>
        <w:spacing w:before="156" w:after="156" w:line="360" w:lineRule="auto"/>
        <w:ind w:left="357" w:hanging="357"/>
        <w:rPr>
          <w:rFonts w:ascii="Times New Roman"/>
          <w:color w:val="000000"/>
          <w:sz w:val="24"/>
          <w:szCs w:val="24"/>
        </w:rPr>
      </w:pPr>
      <w:bookmarkStart w:id="65" w:name="_Toc200290564"/>
      <w:bookmarkEnd w:id="65"/>
      <w:bookmarkStart w:id="66" w:name="_Toc200290464"/>
      <w:bookmarkEnd w:id="66"/>
      <w:bookmarkStart w:id="67" w:name="_Toc1852_WPSOffice_Level1"/>
      <w:bookmarkStart w:id="68" w:name="_Toc200290565"/>
      <w:bookmarkStart w:id="69" w:name="_Toc199420201"/>
      <w:bookmarkStart w:id="70" w:name="_Toc88913392"/>
      <w:r>
        <w:rPr>
          <w:rFonts w:ascii="Times New Roman"/>
          <w:color w:val="000000"/>
          <w:sz w:val="24"/>
          <w:szCs w:val="24"/>
        </w:rPr>
        <w:t>校准结果表达</w:t>
      </w:r>
      <w:bookmarkEnd w:id="67"/>
      <w:bookmarkEnd w:id="68"/>
      <w:bookmarkEnd w:id="69"/>
      <w:bookmarkEnd w:id="70"/>
    </w:p>
    <w:p w14:paraId="5C2004D6">
      <w:pPr>
        <w:widowControl/>
        <w:autoSpaceDE w:val="0"/>
        <w:autoSpaceDN w:val="0"/>
        <w:spacing w:line="400" w:lineRule="exact"/>
        <w:ind w:firstLine="480" w:firstLineChars="200"/>
        <w:rPr>
          <w:sz w:val="24"/>
          <w:szCs w:val="24"/>
        </w:rPr>
      </w:pPr>
      <w:bookmarkStart w:id="71" w:name="_Hlk197937613"/>
      <w:bookmarkStart w:id="72" w:name="_Toc88913393"/>
      <w:r>
        <w:rPr>
          <w:rFonts w:hint="eastAsia"/>
          <w:sz w:val="24"/>
          <w:szCs w:val="24"/>
        </w:rPr>
        <w:t>经校准的水声探测系统应出具校准证书。校准证书至少应包括以下信息：</w:t>
      </w:r>
    </w:p>
    <w:p w14:paraId="02B9F951">
      <w:pPr>
        <w:widowControl/>
        <w:autoSpaceDE w:val="0"/>
        <w:autoSpaceDN w:val="0"/>
        <w:spacing w:line="400" w:lineRule="exact"/>
        <w:ind w:firstLine="480" w:firstLineChars="200"/>
        <w:rPr>
          <w:sz w:val="24"/>
          <w:szCs w:val="24"/>
        </w:rPr>
      </w:pPr>
      <w:r>
        <w:rPr>
          <w:sz w:val="24"/>
          <w:szCs w:val="24"/>
        </w:rPr>
        <w:t>a)</w:t>
      </w:r>
      <w:r>
        <w:rPr>
          <w:rFonts w:hint="eastAsia"/>
          <w:sz w:val="24"/>
          <w:szCs w:val="24"/>
        </w:rPr>
        <w:t xml:space="preserve"> </w:t>
      </w:r>
      <w:r>
        <w:rPr>
          <w:sz w:val="24"/>
          <w:szCs w:val="24"/>
        </w:rPr>
        <w:t>校准证书</w:t>
      </w:r>
      <w:r>
        <w:rPr>
          <w:rFonts w:hint="eastAsia"/>
          <w:sz w:val="24"/>
          <w:szCs w:val="24"/>
        </w:rPr>
        <w:t>；</w:t>
      </w:r>
    </w:p>
    <w:p w14:paraId="43317AEF">
      <w:pPr>
        <w:widowControl/>
        <w:autoSpaceDE w:val="0"/>
        <w:autoSpaceDN w:val="0"/>
        <w:spacing w:line="400" w:lineRule="exact"/>
        <w:ind w:firstLine="480" w:firstLineChars="200"/>
        <w:rPr>
          <w:sz w:val="24"/>
          <w:szCs w:val="24"/>
        </w:rPr>
      </w:pPr>
      <w:r>
        <w:rPr>
          <w:sz w:val="24"/>
          <w:szCs w:val="24"/>
        </w:rPr>
        <w:t>b)</w:t>
      </w:r>
      <w:r>
        <w:rPr>
          <w:rFonts w:hint="eastAsia"/>
          <w:sz w:val="24"/>
          <w:szCs w:val="24"/>
        </w:rPr>
        <w:t xml:space="preserve"> </w:t>
      </w:r>
      <w:r>
        <w:rPr>
          <w:sz w:val="24"/>
          <w:szCs w:val="24"/>
        </w:rPr>
        <w:t>实验室名称和地址</w:t>
      </w:r>
      <w:r>
        <w:rPr>
          <w:rFonts w:hint="eastAsia"/>
          <w:sz w:val="24"/>
          <w:szCs w:val="24"/>
        </w:rPr>
        <w:t>；</w:t>
      </w:r>
    </w:p>
    <w:p w14:paraId="0493B11F">
      <w:pPr>
        <w:widowControl/>
        <w:autoSpaceDE w:val="0"/>
        <w:autoSpaceDN w:val="0"/>
        <w:spacing w:line="400" w:lineRule="exact"/>
        <w:ind w:firstLine="480" w:firstLineChars="200"/>
        <w:rPr>
          <w:sz w:val="24"/>
          <w:szCs w:val="24"/>
        </w:rPr>
      </w:pPr>
      <w:r>
        <w:rPr>
          <w:sz w:val="24"/>
          <w:szCs w:val="24"/>
        </w:rPr>
        <w:t>c)</w:t>
      </w:r>
      <w:r>
        <w:rPr>
          <w:rFonts w:hint="eastAsia"/>
          <w:sz w:val="24"/>
          <w:szCs w:val="24"/>
        </w:rPr>
        <w:t xml:space="preserve"> </w:t>
      </w:r>
      <w:r>
        <w:rPr>
          <w:sz w:val="24"/>
          <w:szCs w:val="24"/>
        </w:rPr>
        <w:t>证书的编号</w:t>
      </w:r>
      <w:r>
        <w:rPr>
          <w:rFonts w:hint="eastAsia"/>
          <w:sz w:val="24"/>
          <w:szCs w:val="24"/>
        </w:rPr>
        <w:t>，</w:t>
      </w:r>
      <w:r>
        <w:rPr>
          <w:sz w:val="24"/>
          <w:szCs w:val="24"/>
        </w:rPr>
        <w:t>每页及总页数的标识</w:t>
      </w:r>
      <w:r>
        <w:rPr>
          <w:rFonts w:hint="eastAsia"/>
          <w:sz w:val="24"/>
          <w:szCs w:val="24"/>
        </w:rPr>
        <w:t>；</w:t>
      </w:r>
    </w:p>
    <w:p w14:paraId="33C1DA9B">
      <w:pPr>
        <w:widowControl/>
        <w:autoSpaceDE w:val="0"/>
        <w:autoSpaceDN w:val="0"/>
        <w:spacing w:line="400" w:lineRule="exact"/>
        <w:ind w:firstLine="480" w:firstLineChars="200"/>
        <w:rPr>
          <w:sz w:val="24"/>
          <w:szCs w:val="24"/>
        </w:rPr>
      </w:pPr>
      <w:r>
        <w:rPr>
          <w:sz w:val="24"/>
          <w:szCs w:val="24"/>
        </w:rPr>
        <w:t>d)</w:t>
      </w:r>
      <w:r>
        <w:rPr>
          <w:rFonts w:hint="eastAsia"/>
          <w:sz w:val="24"/>
          <w:szCs w:val="24"/>
        </w:rPr>
        <w:t xml:space="preserve"> </w:t>
      </w:r>
      <w:r>
        <w:rPr>
          <w:sz w:val="24"/>
          <w:szCs w:val="24"/>
        </w:rPr>
        <w:t>校准单位校准专用章</w:t>
      </w:r>
      <w:r>
        <w:rPr>
          <w:rFonts w:hint="eastAsia"/>
          <w:sz w:val="24"/>
          <w:szCs w:val="24"/>
        </w:rPr>
        <w:t>；</w:t>
      </w:r>
    </w:p>
    <w:p w14:paraId="047E0509">
      <w:pPr>
        <w:widowControl/>
        <w:autoSpaceDE w:val="0"/>
        <w:autoSpaceDN w:val="0"/>
        <w:spacing w:line="400" w:lineRule="exact"/>
        <w:ind w:firstLine="480" w:firstLineChars="200"/>
        <w:rPr>
          <w:sz w:val="24"/>
          <w:szCs w:val="24"/>
        </w:rPr>
      </w:pPr>
      <w:r>
        <w:rPr>
          <w:sz w:val="24"/>
          <w:szCs w:val="24"/>
        </w:rPr>
        <w:t>e)</w:t>
      </w:r>
      <w:r>
        <w:rPr>
          <w:rFonts w:hint="eastAsia"/>
          <w:sz w:val="24"/>
          <w:szCs w:val="24"/>
        </w:rPr>
        <w:t xml:space="preserve"> </w:t>
      </w:r>
      <w:r>
        <w:rPr>
          <w:sz w:val="24"/>
          <w:szCs w:val="24"/>
        </w:rPr>
        <w:t>送校单位的名称和地址</w:t>
      </w:r>
      <w:r>
        <w:rPr>
          <w:rFonts w:hint="eastAsia"/>
          <w:sz w:val="24"/>
          <w:szCs w:val="24"/>
        </w:rPr>
        <w:t>；</w:t>
      </w:r>
    </w:p>
    <w:p w14:paraId="6D3BC103">
      <w:pPr>
        <w:widowControl/>
        <w:autoSpaceDE w:val="0"/>
        <w:autoSpaceDN w:val="0"/>
        <w:spacing w:line="400" w:lineRule="exact"/>
        <w:ind w:firstLine="480" w:firstLineChars="200"/>
        <w:rPr>
          <w:sz w:val="24"/>
          <w:szCs w:val="24"/>
        </w:rPr>
      </w:pPr>
      <w:r>
        <w:rPr>
          <w:sz w:val="24"/>
          <w:szCs w:val="24"/>
        </w:rPr>
        <w:t>f)</w:t>
      </w:r>
      <w:r>
        <w:rPr>
          <w:rFonts w:hint="eastAsia"/>
          <w:sz w:val="24"/>
          <w:szCs w:val="24"/>
        </w:rPr>
        <w:t xml:space="preserve"> </w:t>
      </w:r>
      <w:r>
        <w:rPr>
          <w:sz w:val="24"/>
          <w:szCs w:val="24"/>
        </w:rPr>
        <w:t>含沙量测量仪的名称、制造商、规格型号、出厂编号</w:t>
      </w:r>
      <w:r>
        <w:rPr>
          <w:rFonts w:hint="eastAsia"/>
          <w:sz w:val="24"/>
          <w:szCs w:val="24"/>
        </w:rPr>
        <w:t>；</w:t>
      </w:r>
    </w:p>
    <w:p w14:paraId="65B74C36">
      <w:pPr>
        <w:widowControl/>
        <w:autoSpaceDE w:val="0"/>
        <w:autoSpaceDN w:val="0"/>
        <w:spacing w:line="400" w:lineRule="exact"/>
        <w:ind w:firstLine="480" w:firstLineChars="200"/>
        <w:rPr>
          <w:sz w:val="24"/>
          <w:szCs w:val="24"/>
        </w:rPr>
      </w:pPr>
      <w:r>
        <w:rPr>
          <w:sz w:val="24"/>
          <w:szCs w:val="24"/>
        </w:rPr>
        <w:t>g)</w:t>
      </w:r>
      <w:r>
        <w:rPr>
          <w:rFonts w:hint="eastAsia"/>
          <w:sz w:val="24"/>
          <w:szCs w:val="24"/>
        </w:rPr>
        <w:t xml:space="preserve"> </w:t>
      </w:r>
      <w:r>
        <w:rPr>
          <w:sz w:val="24"/>
          <w:szCs w:val="24"/>
        </w:rPr>
        <w:t>进行校准的日期和地点</w:t>
      </w:r>
      <w:r>
        <w:rPr>
          <w:rFonts w:hint="eastAsia"/>
          <w:sz w:val="24"/>
          <w:szCs w:val="24"/>
        </w:rPr>
        <w:t>；</w:t>
      </w:r>
    </w:p>
    <w:p w14:paraId="2EEA6F8A">
      <w:pPr>
        <w:widowControl/>
        <w:autoSpaceDE w:val="0"/>
        <w:autoSpaceDN w:val="0"/>
        <w:spacing w:line="400" w:lineRule="exact"/>
        <w:ind w:firstLine="480" w:firstLineChars="200"/>
        <w:rPr>
          <w:sz w:val="24"/>
          <w:szCs w:val="24"/>
        </w:rPr>
      </w:pPr>
      <w:r>
        <w:rPr>
          <w:sz w:val="24"/>
          <w:szCs w:val="24"/>
        </w:rPr>
        <w:t>h)</w:t>
      </w:r>
      <w:r>
        <w:rPr>
          <w:rFonts w:hint="eastAsia"/>
          <w:sz w:val="24"/>
          <w:szCs w:val="24"/>
        </w:rPr>
        <w:t xml:space="preserve"> </w:t>
      </w:r>
      <w:r>
        <w:rPr>
          <w:sz w:val="24"/>
          <w:szCs w:val="24"/>
        </w:rPr>
        <w:t>对校准所依据的技术规范的标识,包括名称及代号</w:t>
      </w:r>
      <w:r>
        <w:rPr>
          <w:rFonts w:hint="eastAsia"/>
          <w:sz w:val="24"/>
          <w:szCs w:val="24"/>
        </w:rPr>
        <w:t>；</w:t>
      </w:r>
    </w:p>
    <w:p w14:paraId="536C8B45">
      <w:pPr>
        <w:widowControl/>
        <w:autoSpaceDE w:val="0"/>
        <w:autoSpaceDN w:val="0"/>
        <w:spacing w:line="400" w:lineRule="exact"/>
        <w:ind w:firstLine="480" w:firstLineChars="200"/>
        <w:rPr>
          <w:sz w:val="24"/>
          <w:szCs w:val="24"/>
        </w:rPr>
      </w:pPr>
      <w:r>
        <w:rPr>
          <w:sz w:val="24"/>
          <w:szCs w:val="24"/>
        </w:rPr>
        <w:t>i)</w:t>
      </w:r>
      <w:r>
        <w:rPr>
          <w:rFonts w:hint="eastAsia"/>
          <w:sz w:val="24"/>
          <w:szCs w:val="24"/>
        </w:rPr>
        <w:t xml:space="preserve"> </w:t>
      </w:r>
      <w:r>
        <w:rPr>
          <w:sz w:val="24"/>
          <w:szCs w:val="24"/>
        </w:rPr>
        <w:t>本次校准所用的测量标准的名称、出厂编号、不确定度/准确度等级/最大允许误差、证书编号、溯源性及有效性说明</w:t>
      </w:r>
      <w:r>
        <w:rPr>
          <w:rFonts w:hint="eastAsia"/>
          <w:sz w:val="24"/>
          <w:szCs w:val="24"/>
        </w:rPr>
        <w:t>；</w:t>
      </w:r>
    </w:p>
    <w:p w14:paraId="18F66A43">
      <w:pPr>
        <w:widowControl/>
        <w:autoSpaceDE w:val="0"/>
        <w:autoSpaceDN w:val="0"/>
        <w:spacing w:line="400" w:lineRule="exact"/>
        <w:ind w:firstLine="480" w:firstLineChars="200"/>
        <w:rPr>
          <w:sz w:val="24"/>
          <w:szCs w:val="24"/>
        </w:rPr>
      </w:pPr>
      <w:r>
        <w:rPr>
          <w:sz w:val="24"/>
          <w:szCs w:val="24"/>
        </w:rPr>
        <w:t>j)</w:t>
      </w:r>
      <w:r>
        <w:rPr>
          <w:rFonts w:hint="eastAsia"/>
          <w:sz w:val="24"/>
          <w:szCs w:val="24"/>
        </w:rPr>
        <w:t xml:space="preserve"> </w:t>
      </w:r>
      <w:r>
        <w:rPr>
          <w:sz w:val="24"/>
          <w:szCs w:val="24"/>
        </w:rPr>
        <w:t>校准环境条件的描述</w:t>
      </w:r>
      <w:r>
        <w:rPr>
          <w:rFonts w:hint="eastAsia"/>
          <w:sz w:val="24"/>
          <w:szCs w:val="24"/>
        </w:rPr>
        <w:t>，</w:t>
      </w:r>
      <w:r>
        <w:rPr>
          <w:sz w:val="24"/>
          <w:szCs w:val="24"/>
        </w:rPr>
        <w:t>包括温度、湿度等</w:t>
      </w:r>
      <w:r>
        <w:rPr>
          <w:rFonts w:hint="eastAsia"/>
          <w:sz w:val="24"/>
          <w:szCs w:val="24"/>
        </w:rPr>
        <w:t>；</w:t>
      </w:r>
    </w:p>
    <w:p w14:paraId="20BAD031">
      <w:pPr>
        <w:widowControl/>
        <w:autoSpaceDE w:val="0"/>
        <w:autoSpaceDN w:val="0"/>
        <w:spacing w:line="400" w:lineRule="exact"/>
        <w:ind w:firstLine="480" w:firstLineChars="200"/>
        <w:rPr>
          <w:sz w:val="24"/>
          <w:szCs w:val="24"/>
        </w:rPr>
      </w:pPr>
      <w:r>
        <w:rPr>
          <w:sz w:val="24"/>
          <w:szCs w:val="24"/>
        </w:rPr>
        <w:t>k)</w:t>
      </w:r>
      <w:r>
        <w:rPr>
          <w:rFonts w:hint="eastAsia"/>
          <w:sz w:val="24"/>
          <w:szCs w:val="24"/>
        </w:rPr>
        <w:t xml:space="preserve"> </w:t>
      </w:r>
      <w:r>
        <w:rPr>
          <w:sz w:val="24"/>
          <w:szCs w:val="24"/>
        </w:rPr>
        <w:t>校准结果及其测量不确定度的说明</w:t>
      </w:r>
      <w:r>
        <w:rPr>
          <w:rFonts w:hint="eastAsia"/>
          <w:sz w:val="24"/>
          <w:szCs w:val="24"/>
        </w:rPr>
        <w:t>；</w:t>
      </w:r>
    </w:p>
    <w:p w14:paraId="59BB5C62">
      <w:pPr>
        <w:widowControl/>
        <w:autoSpaceDE w:val="0"/>
        <w:autoSpaceDN w:val="0"/>
        <w:spacing w:line="400" w:lineRule="exact"/>
        <w:ind w:firstLine="480" w:firstLineChars="200"/>
        <w:rPr>
          <w:sz w:val="24"/>
          <w:szCs w:val="24"/>
        </w:rPr>
      </w:pPr>
      <w:r>
        <w:rPr>
          <w:sz w:val="24"/>
          <w:szCs w:val="24"/>
        </w:rPr>
        <w:t>l)</w:t>
      </w:r>
      <w:r>
        <w:rPr>
          <w:rFonts w:hint="eastAsia"/>
          <w:sz w:val="24"/>
          <w:szCs w:val="24"/>
        </w:rPr>
        <w:t xml:space="preserve"> </w:t>
      </w:r>
      <w:r>
        <w:rPr>
          <w:sz w:val="24"/>
          <w:szCs w:val="24"/>
        </w:rPr>
        <w:t>校准证书签发人的签名、职务</w:t>
      </w:r>
      <w:r>
        <w:rPr>
          <w:rFonts w:hint="eastAsia"/>
          <w:sz w:val="24"/>
          <w:szCs w:val="24"/>
        </w:rPr>
        <w:t>，</w:t>
      </w:r>
      <w:r>
        <w:rPr>
          <w:sz w:val="24"/>
          <w:szCs w:val="24"/>
        </w:rPr>
        <w:t>以及签发日期</w:t>
      </w:r>
      <w:r>
        <w:rPr>
          <w:rFonts w:hint="eastAsia"/>
          <w:sz w:val="24"/>
          <w:szCs w:val="24"/>
        </w:rPr>
        <w:t>；</w:t>
      </w:r>
    </w:p>
    <w:p w14:paraId="4F66B35E">
      <w:pPr>
        <w:widowControl/>
        <w:autoSpaceDE w:val="0"/>
        <w:autoSpaceDN w:val="0"/>
        <w:spacing w:line="400" w:lineRule="exact"/>
        <w:ind w:firstLine="480" w:firstLineChars="200"/>
        <w:rPr>
          <w:sz w:val="24"/>
          <w:szCs w:val="24"/>
        </w:rPr>
      </w:pPr>
      <w:r>
        <w:rPr>
          <w:sz w:val="24"/>
          <w:szCs w:val="24"/>
        </w:rPr>
        <w:t>m)</w:t>
      </w:r>
      <w:r>
        <w:rPr>
          <w:rFonts w:hint="eastAsia"/>
          <w:sz w:val="24"/>
          <w:szCs w:val="24"/>
        </w:rPr>
        <w:t xml:space="preserve"> </w:t>
      </w:r>
      <w:r>
        <w:rPr>
          <w:sz w:val="24"/>
          <w:szCs w:val="24"/>
        </w:rPr>
        <w:t>校准试验的操作人及核验人的签名</w:t>
      </w:r>
      <w:r>
        <w:rPr>
          <w:rFonts w:hint="eastAsia"/>
          <w:sz w:val="24"/>
          <w:szCs w:val="24"/>
        </w:rPr>
        <w:t>；</w:t>
      </w:r>
      <w:r>
        <w:rPr>
          <w:sz w:val="24"/>
          <w:szCs w:val="24"/>
        </w:rPr>
        <w:t xml:space="preserve"> </w:t>
      </w:r>
    </w:p>
    <w:p w14:paraId="29E21E4F">
      <w:pPr>
        <w:widowControl/>
        <w:autoSpaceDE w:val="0"/>
        <w:autoSpaceDN w:val="0"/>
        <w:spacing w:line="400" w:lineRule="exact"/>
        <w:ind w:firstLine="480" w:firstLineChars="200"/>
        <w:rPr>
          <w:sz w:val="24"/>
          <w:szCs w:val="24"/>
        </w:rPr>
      </w:pPr>
      <w:r>
        <w:rPr>
          <w:sz w:val="24"/>
          <w:szCs w:val="24"/>
        </w:rPr>
        <w:t>n)</w:t>
      </w:r>
      <w:r>
        <w:rPr>
          <w:rFonts w:hint="eastAsia"/>
          <w:sz w:val="24"/>
          <w:szCs w:val="24"/>
        </w:rPr>
        <w:t xml:space="preserve"> </w:t>
      </w:r>
      <w:r>
        <w:rPr>
          <w:sz w:val="24"/>
          <w:szCs w:val="24"/>
        </w:rPr>
        <w:t>校准结果仅对被校对象有效的声明</w:t>
      </w:r>
      <w:r>
        <w:rPr>
          <w:rFonts w:hint="eastAsia"/>
          <w:sz w:val="24"/>
          <w:szCs w:val="24"/>
        </w:rPr>
        <w:t>；</w:t>
      </w:r>
      <w:r>
        <w:rPr>
          <w:sz w:val="24"/>
          <w:szCs w:val="24"/>
        </w:rPr>
        <w:t xml:space="preserve"> </w:t>
      </w:r>
    </w:p>
    <w:p w14:paraId="2987A2E2">
      <w:pPr>
        <w:widowControl/>
        <w:autoSpaceDE w:val="0"/>
        <w:autoSpaceDN w:val="0"/>
        <w:spacing w:line="400" w:lineRule="exact"/>
        <w:ind w:firstLine="480" w:firstLineChars="200"/>
        <w:rPr>
          <w:sz w:val="24"/>
          <w:szCs w:val="24"/>
        </w:rPr>
      </w:pPr>
      <w:r>
        <w:rPr>
          <w:sz w:val="24"/>
          <w:szCs w:val="24"/>
        </w:rPr>
        <w:t>o)</w:t>
      </w:r>
      <w:r>
        <w:rPr>
          <w:rFonts w:hint="eastAsia"/>
          <w:sz w:val="24"/>
          <w:szCs w:val="24"/>
        </w:rPr>
        <w:t xml:space="preserve"> </w:t>
      </w:r>
      <w:r>
        <w:rPr>
          <w:sz w:val="24"/>
          <w:szCs w:val="24"/>
        </w:rPr>
        <w:t>未经实验室书面批准</w:t>
      </w:r>
      <w:r>
        <w:rPr>
          <w:rFonts w:hint="eastAsia"/>
          <w:sz w:val="24"/>
          <w:szCs w:val="24"/>
        </w:rPr>
        <w:t>，不得部分复制证书的声明。</w:t>
      </w:r>
    </w:p>
    <w:p w14:paraId="6B49E694">
      <w:pPr>
        <w:widowControl/>
        <w:autoSpaceDE w:val="0"/>
        <w:autoSpaceDN w:val="0"/>
        <w:spacing w:line="400" w:lineRule="exact"/>
        <w:ind w:firstLine="480" w:firstLineChars="200"/>
        <w:rPr>
          <w:sz w:val="24"/>
          <w:szCs w:val="24"/>
        </w:rPr>
      </w:pPr>
      <w:r>
        <w:rPr>
          <w:rFonts w:hint="eastAsia"/>
          <w:sz w:val="24"/>
          <w:szCs w:val="24"/>
        </w:rPr>
        <w:t>校准原始记录推荐格式见附录A，校准证书内页推荐格式见附录B，校准结果的不确定度评定示例见附录C。</w:t>
      </w:r>
    </w:p>
    <w:bookmarkEnd w:id="71"/>
    <w:p w14:paraId="0D1FA232">
      <w:pPr>
        <w:pStyle w:val="36"/>
        <w:numPr>
          <w:ilvl w:val="0"/>
          <w:numId w:val="5"/>
        </w:numPr>
        <w:spacing w:before="156" w:after="156" w:line="360" w:lineRule="auto"/>
        <w:ind w:left="357" w:hanging="357"/>
        <w:rPr>
          <w:rFonts w:ascii="Times New Roman"/>
          <w:color w:val="000000"/>
          <w:sz w:val="24"/>
          <w:szCs w:val="24"/>
        </w:rPr>
      </w:pPr>
      <w:bookmarkStart w:id="73" w:name="_Toc200290566"/>
      <w:bookmarkEnd w:id="73"/>
      <w:bookmarkStart w:id="74" w:name="_Toc200290467"/>
      <w:bookmarkEnd w:id="74"/>
      <w:bookmarkStart w:id="75" w:name="_Toc200290567"/>
      <w:bookmarkEnd w:id="75"/>
      <w:bookmarkStart w:id="76" w:name="_Toc200290466"/>
      <w:bookmarkEnd w:id="76"/>
      <w:bookmarkStart w:id="77" w:name="_Toc200290568"/>
      <w:bookmarkStart w:id="78" w:name="_Toc9128_WPSOffice_Level1"/>
      <w:bookmarkStart w:id="79" w:name="_Toc199420202"/>
      <w:r>
        <w:rPr>
          <w:rFonts w:ascii="Times New Roman"/>
          <w:color w:val="000000"/>
          <w:sz w:val="24"/>
          <w:szCs w:val="24"/>
        </w:rPr>
        <w:t>复校时间间隔</w:t>
      </w:r>
      <w:bookmarkEnd w:id="72"/>
      <w:bookmarkEnd w:id="77"/>
      <w:bookmarkEnd w:id="78"/>
      <w:bookmarkEnd w:id="79"/>
    </w:p>
    <w:p w14:paraId="119E1755">
      <w:pPr>
        <w:pStyle w:val="32"/>
        <w:spacing w:line="360" w:lineRule="auto"/>
        <w:ind w:firstLine="480"/>
        <w:rPr>
          <w:rFonts w:ascii="Times New Roman"/>
          <w:color w:val="000000"/>
          <w:sz w:val="24"/>
        </w:rPr>
      </w:pPr>
      <w:r>
        <w:rPr>
          <w:rFonts w:ascii="Times New Roman"/>
          <w:color w:val="000000"/>
          <w:sz w:val="24"/>
        </w:rPr>
        <w:t>建议复校时间间隔最长为12个月。</w:t>
      </w:r>
    </w:p>
    <w:p w14:paraId="78F1D012">
      <w:pPr>
        <w:pStyle w:val="32"/>
        <w:spacing w:line="360" w:lineRule="auto"/>
        <w:ind w:firstLine="480"/>
        <w:rPr>
          <w:rFonts w:ascii="Times New Roman"/>
          <w:color w:val="000000"/>
          <w:sz w:val="24"/>
        </w:rPr>
      </w:pPr>
      <w:bookmarkStart w:id="80" w:name="_Hlk197937722"/>
      <w:r>
        <w:rPr>
          <w:rFonts w:ascii="Times New Roman"/>
          <w:color w:val="000000"/>
          <w:sz w:val="24"/>
        </w:rPr>
        <w:t>由于复校时间间隔的长短是由仪器的使用情况、使用者、仪器本身质量等诸多因素所决定的，因此，</w:t>
      </w:r>
      <w:r>
        <w:rPr>
          <w:rFonts w:hint="eastAsia" w:ascii="Times New Roman"/>
          <w:color w:val="000000"/>
          <w:sz w:val="24"/>
        </w:rPr>
        <w:t>仪器使用者</w:t>
      </w:r>
      <w:r>
        <w:rPr>
          <w:rFonts w:ascii="Times New Roman"/>
          <w:color w:val="000000"/>
          <w:sz w:val="24"/>
        </w:rPr>
        <w:t>可根据实际使用情况自主决定复校时间间隔</w:t>
      </w:r>
      <w:bookmarkEnd w:id="80"/>
      <w:r>
        <w:rPr>
          <w:rFonts w:ascii="Times New Roman"/>
          <w:color w:val="000000"/>
          <w:sz w:val="24"/>
        </w:rPr>
        <w:t>。</w:t>
      </w:r>
    </w:p>
    <w:p w14:paraId="6FC84B95">
      <w:pPr>
        <w:pStyle w:val="32"/>
        <w:spacing w:line="360" w:lineRule="auto"/>
        <w:ind w:firstLine="480"/>
        <w:rPr>
          <w:rFonts w:ascii="Times New Roman"/>
          <w:color w:val="000000"/>
          <w:sz w:val="24"/>
        </w:rPr>
      </w:pPr>
      <w:bookmarkStart w:id="81" w:name="_Hlk197937728"/>
      <w:r>
        <w:rPr>
          <w:rFonts w:ascii="Times New Roman"/>
          <w:color w:val="000000"/>
          <w:sz w:val="24"/>
        </w:rPr>
        <w:t>仪器经修理或对测量结果产生怀疑时，应重新进行校准。</w:t>
      </w:r>
    </w:p>
    <w:bookmarkEnd w:id="81"/>
    <w:p w14:paraId="72087582">
      <w:pPr>
        <w:pStyle w:val="32"/>
        <w:spacing w:line="360" w:lineRule="auto"/>
        <w:ind w:firstLine="480"/>
        <w:rPr>
          <w:rFonts w:ascii="Times New Roman"/>
          <w:color w:val="000000"/>
          <w:sz w:val="24"/>
        </w:rPr>
      </w:pPr>
    </w:p>
    <w:p w14:paraId="4990E919">
      <w:pPr>
        <w:pStyle w:val="32"/>
        <w:spacing w:line="360" w:lineRule="auto"/>
        <w:ind w:firstLine="480"/>
        <w:rPr>
          <w:rFonts w:ascii="Times New Roman"/>
          <w:color w:val="000000"/>
          <w:sz w:val="24"/>
        </w:rPr>
      </w:pPr>
    </w:p>
    <w:p w14:paraId="574B3B13">
      <w:pPr>
        <w:pStyle w:val="36"/>
        <w:numPr>
          <w:ilvl w:val="0"/>
          <w:numId w:val="0"/>
        </w:numPr>
        <w:spacing w:beforeLines="0" w:afterLines="0" w:line="360" w:lineRule="auto"/>
        <w:rPr>
          <w:rFonts w:hint="eastAsia" w:hAnsi="黑体"/>
          <w:sz w:val="28"/>
          <w:szCs w:val="28"/>
        </w:rPr>
      </w:pPr>
      <w:r>
        <w:rPr>
          <w:rFonts w:ascii="Times New Roman"/>
          <w:color w:val="000000"/>
          <w:sz w:val="24"/>
        </w:rPr>
        <w:br w:type="page"/>
      </w:r>
      <w:bookmarkStart w:id="82" w:name="_Toc200290569"/>
      <w:bookmarkStart w:id="83" w:name="_Toc199420203"/>
      <w:bookmarkStart w:id="84" w:name="_Toc88913394"/>
      <w:bookmarkStart w:id="85" w:name="_Hlk197937790"/>
      <w:r>
        <w:rPr>
          <w:rFonts w:hAnsi="黑体"/>
          <w:color w:val="000000"/>
          <w:sz w:val="28"/>
          <w:szCs w:val="28"/>
        </w:rPr>
        <w:t>附录A</w:t>
      </w:r>
      <w:bookmarkEnd w:id="82"/>
      <w:bookmarkEnd w:id="83"/>
      <w:bookmarkEnd w:id="84"/>
    </w:p>
    <w:p w14:paraId="2727B330">
      <w:pPr>
        <w:spacing w:before="156" w:beforeLines="50" w:after="156" w:afterLines="50" w:line="360" w:lineRule="auto"/>
        <w:jc w:val="center"/>
        <w:rPr>
          <w:rFonts w:hint="eastAsia" w:ascii="黑体" w:hAnsi="黑体" w:eastAsia="黑体"/>
          <w:sz w:val="28"/>
          <w:szCs w:val="28"/>
        </w:rPr>
      </w:pPr>
      <w:bookmarkStart w:id="86" w:name="_Toc200290570"/>
      <w:bookmarkStart w:id="87" w:name="_Hlk200369058"/>
      <w:r>
        <w:rPr>
          <w:rFonts w:hint="eastAsia" w:ascii="黑体" w:hAnsi="黑体" w:eastAsia="黑体"/>
          <w:sz w:val="28"/>
          <w:szCs w:val="28"/>
        </w:rPr>
        <w:t>校准原始记录推荐格式</w:t>
      </w:r>
      <w:bookmarkEnd w:id="86"/>
    </w:p>
    <w:p w14:paraId="5C453492">
      <w:pPr>
        <w:widowControl/>
        <w:autoSpaceDE w:val="0"/>
        <w:autoSpaceDN w:val="0"/>
        <w:jc w:val="left"/>
        <w:rPr>
          <w:sz w:val="24"/>
          <w:szCs w:val="24"/>
        </w:rPr>
      </w:pPr>
    </w:p>
    <w:p w14:paraId="548FF1EF">
      <w:pPr>
        <w:widowControl/>
        <w:autoSpaceDE w:val="0"/>
        <w:autoSpaceDN w:val="0"/>
        <w:jc w:val="left"/>
        <w:rPr>
          <w:sz w:val="24"/>
          <w:szCs w:val="24"/>
        </w:rPr>
      </w:pPr>
      <w:r>
        <w:rPr>
          <w:rFonts w:hint="eastAsia"/>
          <w:sz w:val="24"/>
          <w:szCs w:val="24"/>
        </w:rPr>
        <w:t>环境条件：</w:t>
      </w:r>
      <w:r>
        <w:rPr>
          <w:sz w:val="24"/>
          <w:szCs w:val="24"/>
        </w:rPr>
        <w:t>水深：</w:t>
      </w:r>
      <w:r>
        <w:rPr>
          <w:sz w:val="24"/>
          <w:szCs w:val="24"/>
          <w:u w:val="single"/>
        </w:rPr>
        <w:t xml:space="preserve">    </w:t>
      </w:r>
      <w:r>
        <w:rPr>
          <w:rFonts w:hint="eastAsia"/>
          <w:sz w:val="24"/>
          <w:szCs w:val="24"/>
          <w:u w:val="single"/>
        </w:rPr>
        <w:t xml:space="preserve">    </w:t>
      </w:r>
      <w:r>
        <w:rPr>
          <w:sz w:val="24"/>
          <w:szCs w:val="24"/>
          <w:u w:val="single"/>
        </w:rPr>
        <w:t xml:space="preserve">  </w:t>
      </w:r>
      <w:r>
        <w:rPr>
          <w:sz w:val="24"/>
          <w:szCs w:val="24"/>
        </w:rPr>
        <w:t xml:space="preserve"> </w:t>
      </w:r>
      <w:r>
        <w:rPr>
          <w:rFonts w:hint="eastAsia"/>
          <w:sz w:val="24"/>
          <w:szCs w:val="24"/>
        </w:rPr>
        <w:t>海况（浪高、风速）</w:t>
      </w:r>
      <w:r>
        <w:rPr>
          <w:sz w:val="24"/>
          <w:szCs w:val="24"/>
        </w:rPr>
        <w:t>：</w:t>
      </w:r>
      <w:r>
        <w:rPr>
          <w:sz w:val="24"/>
          <w:szCs w:val="24"/>
          <w:u w:val="single"/>
        </w:rPr>
        <w:t xml:space="preserve">     </w:t>
      </w:r>
      <w:r>
        <w:rPr>
          <w:rFonts w:hint="eastAsia"/>
          <w:sz w:val="24"/>
          <w:szCs w:val="24"/>
          <w:u w:val="single"/>
        </w:rPr>
        <w:t xml:space="preserve">    </w:t>
      </w:r>
      <w:r>
        <w:rPr>
          <w:sz w:val="24"/>
          <w:szCs w:val="24"/>
          <w:u w:val="single"/>
        </w:rPr>
        <w:t xml:space="preserve">  </w:t>
      </w:r>
      <w:r>
        <w:rPr>
          <w:rFonts w:hint="eastAsia"/>
          <w:sz w:val="24"/>
          <w:szCs w:val="24"/>
        </w:rPr>
        <w:t>背景噪声：</w:t>
      </w:r>
      <w:r>
        <w:rPr>
          <w:rFonts w:hint="eastAsia"/>
          <w:sz w:val="24"/>
          <w:szCs w:val="24"/>
          <w:u w:val="single"/>
        </w:rPr>
        <w:t xml:space="preserve">             </w:t>
      </w:r>
    </w:p>
    <w:p w14:paraId="6405780E">
      <w:pPr>
        <w:widowControl/>
        <w:autoSpaceDE w:val="0"/>
        <w:autoSpaceDN w:val="0"/>
        <w:jc w:val="center"/>
        <w:rPr>
          <w:b/>
          <w:bCs/>
          <w:sz w:val="24"/>
          <w:szCs w:val="24"/>
        </w:rPr>
      </w:pPr>
    </w:p>
    <w:p w14:paraId="6F3A6D32">
      <w:pPr>
        <w:rPr>
          <w:sz w:val="24"/>
          <w:szCs w:val="24"/>
        </w:rPr>
      </w:pPr>
      <w:r>
        <w:rPr>
          <w:sz w:val="24"/>
          <w:szCs w:val="24"/>
        </w:rPr>
        <w:t>1.自噪声示值误差</w:t>
      </w:r>
    </w:p>
    <w:tbl>
      <w:tblPr>
        <w:tblStyle w:val="16"/>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3"/>
        <w:gridCol w:w="1538"/>
        <w:gridCol w:w="706"/>
        <w:gridCol w:w="706"/>
        <w:gridCol w:w="706"/>
        <w:gridCol w:w="706"/>
        <w:gridCol w:w="721"/>
        <w:gridCol w:w="2382"/>
        <w:gridCol w:w="1337"/>
      </w:tblGrid>
      <w:tr w14:paraId="6B910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3" w:hRule="atLeast"/>
        </w:trPr>
        <w:tc>
          <w:tcPr>
            <w:tcW w:w="399" w:type="pct"/>
            <w:vAlign w:val="center"/>
          </w:tcPr>
          <w:p w14:paraId="7645034E">
            <w:pPr>
              <w:widowControl/>
              <w:autoSpaceDE w:val="0"/>
              <w:autoSpaceDN w:val="0"/>
              <w:jc w:val="center"/>
              <w:rPr>
                <w:sz w:val="24"/>
                <w:szCs w:val="24"/>
              </w:rPr>
            </w:pPr>
            <w:r>
              <w:rPr>
                <w:sz w:val="24"/>
                <w:szCs w:val="24"/>
              </w:rPr>
              <w:t>航速</w:t>
            </w:r>
          </w:p>
          <w:p w14:paraId="509CB39B">
            <w:pPr>
              <w:widowControl/>
              <w:autoSpaceDE w:val="0"/>
              <w:autoSpaceDN w:val="0"/>
              <w:jc w:val="center"/>
              <w:rPr>
                <w:sz w:val="24"/>
                <w:szCs w:val="24"/>
              </w:rPr>
            </w:pPr>
            <w:r>
              <w:rPr>
                <w:sz w:val="24"/>
                <w:szCs w:val="24"/>
              </w:rPr>
              <w:t>kn</w:t>
            </w:r>
          </w:p>
        </w:tc>
        <w:tc>
          <w:tcPr>
            <w:tcW w:w="804" w:type="pct"/>
            <w:vAlign w:val="center"/>
          </w:tcPr>
          <w:p w14:paraId="26A32D48">
            <w:pPr>
              <w:widowControl/>
              <w:autoSpaceDE w:val="0"/>
              <w:autoSpaceDN w:val="0"/>
              <w:jc w:val="center"/>
              <w:rPr>
                <w:sz w:val="24"/>
                <w:szCs w:val="24"/>
              </w:rPr>
            </w:pPr>
            <w:r>
              <w:rPr>
                <w:sz w:val="24"/>
                <w:szCs w:val="24"/>
              </w:rPr>
              <w:t>自噪声监测系统示值</w:t>
            </w:r>
          </w:p>
          <w:p w14:paraId="5D0CF32E">
            <w:pPr>
              <w:widowControl/>
              <w:autoSpaceDE w:val="0"/>
              <w:autoSpaceDN w:val="0"/>
              <w:jc w:val="center"/>
              <w:rPr>
                <w:sz w:val="24"/>
                <w:szCs w:val="24"/>
              </w:rPr>
            </w:pPr>
            <w:r>
              <w:rPr>
                <w:sz w:val="24"/>
                <w:szCs w:val="24"/>
              </w:rPr>
              <w:t>dB</w:t>
            </w:r>
          </w:p>
        </w:tc>
        <w:tc>
          <w:tcPr>
            <w:tcW w:w="1852" w:type="pct"/>
            <w:gridSpan w:val="5"/>
            <w:vAlign w:val="center"/>
          </w:tcPr>
          <w:p w14:paraId="54DA0540">
            <w:pPr>
              <w:widowControl/>
              <w:autoSpaceDE w:val="0"/>
              <w:autoSpaceDN w:val="0"/>
              <w:jc w:val="center"/>
              <w:rPr>
                <w:sz w:val="24"/>
                <w:szCs w:val="24"/>
              </w:rPr>
            </w:pPr>
            <w:r>
              <w:rPr>
                <w:sz w:val="24"/>
                <w:szCs w:val="24"/>
              </w:rPr>
              <w:t>船载水声探测系统自噪声示值</w:t>
            </w:r>
          </w:p>
          <w:p w14:paraId="4B084469">
            <w:pPr>
              <w:widowControl/>
              <w:autoSpaceDE w:val="0"/>
              <w:autoSpaceDN w:val="0"/>
              <w:jc w:val="center"/>
              <w:rPr>
                <w:sz w:val="24"/>
                <w:szCs w:val="24"/>
              </w:rPr>
            </w:pPr>
            <w:r>
              <w:rPr>
                <w:sz w:val="24"/>
                <w:szCs w:val="24"/>
              </w:rPr>
              <w:t>dB</w:t>
            </w:r>
          </w:p>
        </w:tc>
        <w:tc>
          <w:tcPr>
            <w:tcW w:w="1245" w:type="pct"/>
            <w:vAlign w:val="center"/>
          </w:tcPr>
          <w:p w14:paraId="17355A05">
            <w:pPr>
              <w:widowControl/>
              <w:autoSpaceDE w:val="0"/>
              <w:autoSpaceDN w:val="0"/>
              <w:jc w:val="center"/>
              <w:rPr>
                <w:sz w:val="24"/>
                <w:szCs w:val="24"/>
              </w:rPr>
            </w:pPr>
            <w:r>
              <w:rPr>
                <w:sz w:val="24"/>
                <w:szCs w:val="24"/>
              </w:rPr>
              <w:t>船载水声探测系统自噪声示值均值</w:t>
            </w:r>
          </w:p>
          <w:p w14:paraId="74CB3E8A">
            <w:pPr>
              <w:widowControl/>
              <w:autoSpaceDE w:val="0"/>
              <w:autoSpaceDN w:val="0"/>
              <w:jc w:val="center"/>
              <w:rPr>
                <w:sz w:val="24"/>
                <w:szCs w:val="24"/>
              </w:rPr>
            </w:pPr>
            <w:r>
              <w:rPr>
                <w:sz w:val="24"/>
                <w:szCs w:val="24"/>
              </w:rPr>
              <w:t>dB</w:t>
            </w:r>
          </w:p>
        </w:tc>
        <w:tc>
          <w:tcPr>
            <w:tcW w:w="699" w:type="pct"/>
            <w:vAlign w:val="center"/>
          </w:tcPr>
          <w:p w14:paraId="342B3456">
            <w:pPr>
              <w:widowControl/>
              <w:autoSpaceDE w:val="0"/>
              <w:autoSpaceDN w:val="0"/>
              <w:jc w:val="center"/>
              <w:rPr>
                <w:sz w:val="24"/>
                <w:szCs w:val="24"/>
              </w:rPr>
            </w:pPr>
            <w:r>
              <w:rPr>
                <w:sz w:val="24"/>
                <w:szCs w:val="24"/>
              </w:rPr>
              <w:t>示值误差</w:t>
            </w:r>
          </w:p>
          <w:p w14:paraId="788398FC">
            <w:pPr>
              <w:widowControl/>
              <w:autoSpaceDE w:val="0"/>
              <w:autoSpaceDN w:val="0"/>
              <w:jc w:val="center"/>
              <w:rPr>
                <w:sz w:val="24"/>
                <w:szCs w:val="24"/>
              </w:rPr>
            </w:pPr>
            <w:r>
              <w:rPr>
                <w:sz w:val="24"/>
                <w:szCs w:val="24"/>
              </w:rPr>
              <w:t>dB</w:t>
            </w:r>
          </w:p>
        </w:tc>
      </w:tr>
      <w:tr w14:paraId="09E5D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 w:hRule="atLeast"/>
        </w:trPr>
        <w:tc>
          <w:tcPr>
            <w:tcW w:w="399" w:type="pct"/>
            <w:vMerge w:val="restart"/>
            <w:vAlign w:val="center"/>
          </w:tcPr>
          <w:p w14:paraId="3510DB52">
            <w:pPr>
              <w:jc w:val="center"/>
              <w:rPr>
                <w:sz w:val="24"/>
                <w:szCs w:val="24"/>
              </w:rPr>
            </w:pPr>
          </w:p>
        </w:tc>
        <w:tc>
          <w:tcPr>
            <w:tcW w:w="804" w:type="pct"/>
            <w:vMerge w:val="restart"/>
            <w:vAlign w:val="center"/>
          </w:tcPr>
          <w:p w14:paraId="62BAB2ED">
            <w:pPr>
              <w:jc w:val="center"/>
              <w:rPr>
                <w:sz w:val="24"/>
                <w:szCs w:val="24"/>
              </w:rPr>
            </w:pPr>
          </w:p>
        </w:tc>
        <w:tc>
          <w:tcPr>
            <w:tcW w:w="369" w:type="pct"/>
            <w:vAlign w:val="center"/>
          </w:tcPr>
          <w:p w14:paraId="2F6F1BA5">
            <w:pPr>
              <w:jc w:val="center"/>
              <w:rPr>
                <w:sz w:val="24"/>
                <w:szCs w:val="24"/>
              </w:rPr>
            </w:pPr>
          </w:p>
        </w:tc>
        <w:tc>
          <w:tcPr>
            <w:tcW w:w="369" w:type="pct"/>
            <w:vAlign w:val="center"/>
          </w:tcPr>
          <w:p w14:paraId="548451D9">
            <w:pPr>
              <w:jc w:val="center"/>
              <w:rPr>
                <w:sz w:val="24"/>
                <w:szCs w:val="24"/>
              </w:rPr>
            </w:pPr>
          </w:p>
        </w:tc>
        <w:tc>
          <w:tcPr>
            <w:tcW w:w="369" w:type="pct"/>
            <w:vAlign w:val="center"/>
          </w:tcPr>
          <w:p w14:paraId="7344C18E">
            <w:pPr>
              <w:jc w:val="center"/>
              <w:rPr>
                <w:sz w:val="24"/>
                <w:szCs w:val="24"/>
              </w:rPr>
            </w:pPr>
          </w:p>
        </w:tc>
        <w:tc>
          <w:tcPr>
            <w:tcW w:w="369" w:type="pct"/>
            <w:vAlign w:val="center"/>
          </w:tcPr>
          <w:p w14:paraId="2FC2489E">
            <w:pPr>
              <w:jc w:val="center"/>
              <w:rPr>
                <w:sz w:val="24"/>
                <w:szCs w:val="24"/>
              </w:rPr>
            </w:pPr>
          </w:p>
        </w:tc>
        <w:tc>
          <w:tcPr>
            <w:tcW w:w="377" w:type="pct"/>
            <w:vAlign w:val="center"/>
          </w:tcPr>
          <w:p w14:paraId="4B689BC1">
            <w:pPr>
              <w:jc w:val="center"/>
              <w:rPr>
                <w:sz w:val="24"/>
                <w:szCs w:val="24"/>
              </w:rPr>
            </w:pPr>
          </w:p>
        </w:tc>
        <w:tc>
          <w:tcPr>
            <w:tcW w:w="1245" w:type="pct"/>
            <w:vAlign w:val="center"/>
          </w:tcPr>
          <w:p w14:paraId="072C2A76">
            <w:pPr>
              <w:jc w:val="center"/>
              <w:rPr>
                <w:sz w:val="24"/>
                <w:szCs w:val="24"/>
              </w:rPr>
            </w:pPr>
          </w:p>
        </w:tc>
        <w:tc>
          <w:tcPr>
            <w:tcW w:w="699" w:type="pct"/>
            <w:vAlign w:val="center"/>
          </w:tcPr>
          <w:p w14:paraId="4465A132">
            <w:pPr>
              <w:jc w:val="center"/>
              <w:rPr>
                <w:sz w:val="24"/>
                <w:szCs w:val="24"/>
              </w:rPr>
            </w:pPr>
          </w:p>
        </w:tc>
      </w:tr>
      <w:tr w14:paraId="32927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 w:hRule="atLeast"/>
        </w:trPr>
        <w:tc>
          <w:tcPr>
            <w:tcW w:w="399" w:type="pct"/>
            <w:vMerge w:val="continue"/>
            <w:vAlign w:val="center"/>
          </w:tcPr>
          <w:p w14:paraId="52122E8F">
            <w:pPr>
              <w:jc w:val="center"/>
              <w:rPr>
                <w:sz w:val="24"/>
                <w:szCs w:val="24"/>
              </w:rPr>
            </w:pPr>
          </w:p>
        </w:tc>
        <w:tc>
          <w:tcPr>
            <w:tcW w:w="804" w:type="pct"/>
            <w:vMerge w:val="continue"/>
            <w:vAlign w:val="center"/>
          </w:tcPr>
          <w:p w14:paraId="1E9108CE">
            <w:pPr>
              <w:jc w:val="center"/>
              <w:rPr>
                <w:sz w:val="24"/>
                <w:szCs w:val="24"/>
              </w:rPr>
            </w:pPr>
          </w:p>
        </w:tc>
        <w:tc>
          <w:tcPr>
            <w:tcW w:w="369" w:type="pct"/>
            <w:vAlign w:val="center"/>
          </w:tcPr>
          <w:p w14:paraId="3D0B8D0B">
            <w:pPr>
              <w:jc w:val="center"/>
              <w:rPr>
                <w:sz w:val="24"/>
                <w:szCs w:val="24"/>
              </w:rPr>
            </w:pPr>
          </w:p>
        </w:tc>
        <w:tc>
          <w:tcPr>
            <w:tcW w:w="369" w:type="pct"/>
            <w:vAlign w:val="center"/>
          </w:tcPr>
          <w:p w14:paraId="7F2EC066">
            <w:pPr>
              <w:jc w:val="center"/>
              <w:rPr>
                <w:sz w:val="24"/>
                <w:szCs w:val="24"/>
              </w:rPr>
            </w:pPr>
          </w:p>
        </w:tc>
        <w:tc>
          <w:tcPr>
            <w:tcW w:w="369" w:type="pct"/>
            <w:vAlign w:val="center"/>
          </w:tcPr>
          <w:p w14:paraId="3F980E5A">
            <w:pPr>
              <w:jc w:val="center"/>
              <w:rPr>
                <w:sz w:val="24"/>
                <w:szCs w:val="24"/>
              </w:rPr>
            </w:pPr>
          </w:p>
        </w:tc>
        <w:tc>
          <w:tcPr>
            <w:tcW w:w="369" w:type="pct"/>
            <w:vAlign w:val="center"/>
          </w:tcPr>
          <w:p w14:paraId="476B71EE">
            <w:pPr>
              <w:jc w:val="center"/>
              <w:rPr>
                <w:sz w:val="24"/>
                <w:szCs w:val="24"/>
              </w:rPr>
            </w:pPr>
          </w:p>
        </w:tc>
        <w:tc>
          <w:tcPr>
            <w:tcW w:w="377" w:type="pct"/>
            <w:vAlign w:val="center"/>
          </w:tcPr>
          <w:p w14:paraId="7FFE8C20">
            <w:pPr>
              <w:jc w:val="center"/>
              <w:rPr>
                <w:sz w:val="24"/>
                <w:szCs w:val="24"/>
              </w:rPr>
            </w:pPr>
          </w:p>
        </w:tc>
        <w:tc>
          <w:tcPr>
            <w:tcW w:w="1245" w:type="pct"/>
            <w:vAlign w:val="center"/>
          </w:tcPr>
          <w:p w14:paraId="6352B191">
            <w:pPr>
              <w:jc w:val="center"/>
              <w:rPr>
                <w:sz w:val="24"/>
                <w:szCs w:val="24"/>
              </w:rPr>
            </w:pPr>
          </w:p>
        </w:tc>
        <w:tc>
          <w:tcPr>
            <w:tcW w:w="699" w:type="pct"/>
            <w:vAlign w:val="center"/>
          </w:tcPr>
          <w:p w14:paraId="7672F0F2">
            <w:pPr>
              <w:jc w:val="center"/>
              <w:rPr>
                <w:sz w:val="24"/>
                <w:szCs w:val="24"/>
              </w:rPr>
            </w:pPr>
          </w:p>
        </w:tc>
      </w:tr>
      <w:tr w14:paraId="20BA0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 w:hRule="atLeast"/>
        </w:trPr>
        <w:tc>
          <w:tcPr>
            <w:tcW w:w="399" w:type="pct"/>
            <w:vMerge w:val="continue"/>
            <w:vAlign w:val="center"/>
          </w:tcPr>
          <w:p w14:paraId="38AB46FE">
            <w:pPr>
              <w:jc w:val="center"/>
              <w:rPr>
                <w:sz w:val="24"/>
                <w:szCs w:val="24"/>
              </w:rPr>
            </w:pPr>
          </w:p>
        </w:tc>
        <w:tc>
          <w:tcPr>
            <w:tcW w:w="804" w:type="pct"/>
            <w:vMerge w:val="continue"/>
            <w:vAlign w:val="center"/>
          </w:tcPr>
          <w:p w14:paraId="1DCF4CF3">
            <w:pPr>
              <w:jc w:val="center"/>
              <w:rPr>
                <w:sz w:val="24"/>
                <w:szCs w:val="24"/>
              </w:rPr>
            </w:pPr>
          </w:p>
        </w:tc>
        <w:tc>
          <w:tcPr>
            <w:tcW w:w="369" w:type="pct"/>
            <w:vAlign w:val="center"/>
          </w:tcPr>
          <w:p w14:paraId="34C7D57A">
            <w:pPr>
              <w:jc w:val="center"/>
              <w:rPr>
                <w:sz w:val="24"/>
                <w:szCs w:val="24"/>
              </w:rPr>
            </w:pPr>
          </w:p>
        </w:tc>
        <w:tc>
          <w:tcPr>
            <w:tcW w:w="369" w:type="pct"/>
            <w:vAlign w:val="center"/>
          </w:tcPr>
          <w:p w14:paraId="715582EF">
            <w:pPr>
              <w:jc w:val="center"/>
              <w:rPr>
                <w:sz w:val="24"/>
                <w:szCs w:val="24"/>
              </w:rPr>
            </w:pPr>
          </w:p>
        </w:tc>
        <w:tc>
          <w:tcPr>
            <w:tcW w:w="369" w:type="pct"/>
            <w:vAlign w:val="center"/>
          </w:tcPr>
          <w:p w14:paraId="788CEDF4">
            <w:pPr>
              <w:jc w:val="center"/>
              <w:rPr>
                <w:sz w:val="24"/>
                <w:szCs w:val="24"/>
              </w:rPr>
            </w:pPr>
          </w:p>
        </w:tc>
        <w:tc>
          <w:tcPr>
            <w:tcW w:w="369" w:type="pct"/>
            <w:vAlign w:val="center"/>
          </w:tcPr>
          <w:p w14:paraId="51918F78">
            <w:pPr>
              <w:jc w:val="center"/>
              <w:rPr>
                <w:sz w:val="24"/>
                <w:szCs w:val="24"/>
              </w:rPr>
            </w:pPr>
          </w:p>
        </w:tc>
        <w:tc>
          <w:tcPr>
            <w:tcW w:w="377" w:type="pct"/>
            <w:vAlign w:val="center"/>
          </w:tcPr>
          <w:p w14:paraId="5839C2BD">
            <w:pPr>
              <w:jc w:val="center"/>
              <w:rPr>
                <w:sz w:val="24"/>
                <w:szCs w:val="24"/>
              </w:rPr>
            </w:pPr>
          </w:p>
        </w:tc>
        <w:tc>
          <w:tcPr>
            <w:tcW w:w="1245" w:type="pct"/>
            <w:vAlign w:val="center"/>
          </w:tcPr>
          <w:p w14:paraId="3AF0A5D3">
            <w:pPr>
              <w:jc w:val="center"/>
              <w:rPr>
                <w:sz w:val="24"/>
                <w:szCs w:val="24"/>
              </w:rPr>
            </w:pPr>
          </w:p>
        </w:tc>
        <w:tc>
          <w:tcPr>
            <w:tcW w:w="699" w:type="pct"/>
            <w:vAlign w:val="center"/>
          </w:tcPr>
          <w:p w14:paraId="3D166F56">
            <w:pPr>
              <w:jc w:val="center"/>
              <w:rPr>
                <w:sz w:val="24"/>
                <w:szCs w:val="24"/>
              </w:rPr>
            </w:pPr>
          </w:p>
        </w:tc>
      </w:tr>
      <w:tr w14:paraId="7012D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 w:hRule="atLeast"/>
        </w:trPr>
        <w:tc>
          <w:tcPr>
            <w:tcW w:w="399" w:type="pct"/>
            <w:vMerge w:val="continue"/>
            <w:vAlign w:val="center"/>
          </w:tcPr>
          <w:p w14:paraId="1CC5AA47">
            <w:pPr>
              <w:jc w:val="center"/>
              <w:rPr>
                <w:sz w:val="24"/>
                <w:szCs w:val="24"/>
              </w:rPr>
            </w:pPr>
          </w:p>
        </w:tc>
        <w:tc>
          <w:tcPr>
            <w:tcW w:w="804" w:type="pct"/>
            <w:vMerge w:val="continue"/>
            <w:vAlign w:val="center"/>
          </w:tcPr>
          <w:p w14:paraId="66222AE0">
            <w:pPr>
              <w:jc w:val="center"/>
              <w:rPr>
                <w:sz w:val="24"/>
                <w:szCs w:val="24"/>
              </w:rPr>
            </w:pPr>
          </w:p>
        </w:tc>
        <w:tc>
          <w:tcPr>
            <w:tcW w:w="369" w:type="pct"/>
            <w:vAlign w:val="center"/>
          </w:tcPr>
          <w:p w14:paraId="47D3BF59">
            <w:pPr>
              <w:jc w:val="center"/>
              <w:rPr>
                <w:sz w:val="24"/>
                <w:szCs w:val="24"/>
              </w:rPr>
            </w:pPr>
          </w:p>
        </w:tc>
        <w:tc>
          <w:tcPr>
            <w:tcW w:w="369" w:type="pct"/>
            <w:vAlign w:val="center"/>
          </w:tcPr>
          <w:p w14:paraId="2160895C">
            <w:pPr>
              <w:jc w:val="center"/>
              <w:rPr>
                <w:sz w:val="24"/>
                <w:szCs w:val="24"/>
              </w:rPr>
            </w:pPr>
          </w:p>
        </w:tc>
        <w:tc>
          <w:tcPr>
            <w:tcW w:w="369" w:type="pct"/>
            <w:vAlign w:val="center"/>
          </w:tcPr>
          <w:p w14:paraId="0F82419A">
            <w:pPr>
              <w:jc w:val="center"/>
              <w:rPr>
                <w:sz w:val="24"/>
                <w:szCs w:val="24"/>
              </w:rPr>
            </w:pPr>
          </w:p>
        </w:tc>
        <w:tc>
          <w:tcPr>
            <w:tcW w:w="369" w:type="pct"/>
            <w:vAlign w:val="center"/>
          </w:tcPr>
          <w:p w14:paraId="131B66BF">
            <w:pPr>
              <w:jc w:val="center"/>
              <w:rPr>
                <w:sz w:val="24"/>
                <w:szCs w:val="24"/>
              </w:rPr>
            </w:pPr>
          </w:p>
        </w:tc>
        <w:tc>
          <w:tcPr>
            <w:tcW w:w="377" w:type="pct"/>
            <w:vAlign w:val="center"/>
          </w:tcPr>
          <w:p w14:paraId="1D4170E6">
            <w:pPr>
              <w:jc w:val="center"/>
              <w:rPr>
                <w:sz w:val="24"/>
                <w:szCs w:val="24"/>
              </w:rPr>
            </w:pPr>
          </w:p>
        </w:tc>
        <w:tc>
          <w:tcPr>
            <w:tcW w:w="1245" w:type="pct"/>
            <w:vAlign w:val="center"/>
          </w:tcPr>
          <w:p w14:paraId="7294F447">
            <w:pPr>
              <w:jc w:val="center"/>
              <w:rPr>
                <w:sz w:val="24"/>
                <w:szCs w:val="24"/>
              </w:rPr>
            </w:pPr>
          </w:p>
        </w:tc>
        <w:tc>
          <w:tcPr>
            <w:tcW w:w="699" w:type="pct"/>
            <w:vAlign w:val="center"/>
          </w:tcPr>
          <w:p w14:paraId="576C47FF">
            <w:pPr>
              <w:jc w:val="center"/>
              <w:rPr>
                <w:sz w:val="24"/>
                <w:szCs w:val="24"/>
              </w:rPr>
            </w:pPr>
          </w:p>
        </w:tc>
      </w:tr>
      <w:tr w14:paraId="30A05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 w:hRule="atLeast"/>
        </w:trPr>
        <w:tc>
          <w:tcPr>
            <w:tcW w:w="399" w:type="pct"/>
            <w:vMerge w:val="continue"/>
            <w:vAlign w:val="center"/>
          </w:tcPr>
          <w:p w14:paraId="1D4436F6">
            <w:pPr>
              <w:jc w:val="center"/>
              <w:rPr>
                <w:sz w:val="24"/>
                <w:szCs w:val="24"/>
              </w:rPr>
            </w:pPr>
          </w:p>
        </w:tc>
        <w:tc>
          <w:tcPr>
            <w:tcW w:w="804" w:type="pct"/>
            <w:vMerge w:val="continue"/>
            <w:vAlign w:val="center"/>
          </w:tcPr>
          <w:p w14:paraId="5CFD459F">
            <w:pPr>
              <w:jc w:val="center"/>
              <w:rPr>
                <w:sz w:val="24"/>
                <w:szCs w:val="24"/>
              </w:rPr>
            </w:pPr>
          </w:p>
        </w:tc>
        <w:tc>
          <w:tcPr>
            <w:tcW w:w="369" w:type="pct"/>
            <w:vAlign w:val="center"/>
          </w:tcPr>
          <w:p w14:paraId="7B64BED2">
            <w:pPr>
              <w:jc w:val="center"/>
              <w:rPr>
                <w:sz w:val="24"/>
                <w:szCs w:val="24"/>
              </w:rPr>
            </w:pPr>
          </w:p>
        </w:tc>
        <w:tc>
          <w:tcPr>
            <w:tcW w:w="369" w:type="pct"/>
            <w:vAlign w:val="center"/>
          </w:tcPr>
          <w:p w14:paraId="62F98B3A">
            <w:pPr>
              <w:jc w:val="center"/>
              <w:rPr>
                <w:sz w:val="24"/>
                <w:szCs w:val="24"/>
              </w:rPr>
            </w:pPr>
          </w:p>
        </w:tc>
        <w:tc>
          <w:tcPr>
            <w:tcW w:w="369" w:type="pct"/>
            <w:vAlign w:val="center"/>
          </w:tcPr>
          <w:p w14:paraId="1A5F238A">
            <w:pPr>
              <w:jc w:val="center"/>
              <w:rPr>
                <w:sz w:val="24"/>
                <w:szCs w:val="24"/>
              </w:rPr>
            </w:pPr>
          </w:p>
        </w:tc>
        <w:tc>
          <w:tcPr>
            <w:tcW w:w="369" w:type="pct"/>
            <w:vAlign w:val="center"/>
          </w:tcPr>
          <w:p w14:paraId="4EE31516">
            <w:pPr>
              <w:jc w:val="center"/>
              <w:rPr>
                <w:sz w:val="24"/>
                <w:szCs w:val="24"/>
              </w:rPr>
            </w:pPr>
          </w:p>
        </w:tc>
        <w:tc>
          <w:tcPr>
            <w:tcW w:w="377" w:type="pct"/>
            <w:vAlign w:val="center"/>
          </w:tcPr>
          <w:p w14:paraId="78ACD06B">
            <w:pPr>
              <w:jc w:val="center"/>
              <w:rPr>
                <w:sz w:val="24"/>
                <w:szCs w:val="24"/>
              </w:rPr>
            </w:pPr>
          </w:p>
        </w:tc>
        <w:tc>
          <w:tcPr>
            <w:tcW w:w="1245" w:type="pct"/>
            <w:vAlign w:val="center"/>
          </w:tcPr>
          <w:p w14:paraId="18C49A80">
            <w:pPr>
              <w:jc w:val="center"/>
              <w:rPr>
                <w:sz w:val="24"/>
                <w:szCs w:val="24"/>
              </w:rPr>
            </w:pPr>
          </w:p>
        </w:tc>
        <w:tc>
          <w:tcPr>
            <w:tcW w:w="699" w:type="pct"/>
            <w:vAlign w:val="center"/>
          </w:tcPr>
          <w:p w14:paraId="4967DD44">
            <w:pPr>
              <w:jc w:val="center"/>
              <w:rPr>
                <w:sz w:val="24"/>
                <w:szCs w:val="24"/>
              </w:rPr>
            </w:pPr>
          </w:p>
        </w:tc>
      </w:tr>
      <w:tr w14:paraId="1199C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trPr>
        <w:tc>
          <w:tcPr>
            <w:tcW w:w="399" w:type="pct"/>
            <w:vMerge w:val="restart"/>
            <w:vAlign w:val="center"/>
          </w:tcPr>
          <w:p w14:paraId="137AD89C">
            <w:pPr>
              <w:jc w:val="center"/>
              <w:rPr>
                <w:sz w:val="24"/>
                <w:szCs w:val="24"/>
              </w:rPr>
            </w:pPr>
          </w:p>
        </w:tc>
        <w:tc>
          <w:tcPr>
            <w:tcW w:w="804" w:type="pct"/>
            <w:vMerge w:val="restart"/>
            <w:vAlign w:val="center"/>
          </w:tcPr>
          <w:p w14:paraId="6AD488A0">
            <w:pPr>
              <w:jc w:val="center"/>
              <w:rPr>
                <w:sz w:val="24"/>
                <w:szCs w:val="24"/>
              </w:rPr>
            </w:pPr>
          </w:p>
        </w:tc>
        <w:tc>
          <w:tcPr>
            <w:tcW w:w="369" w:type="pct"/>
            <w:vAlign w:val="center"/>
          </w:tcPr>
          <w:p w14:paraId="768A458D">
            <w:pPr>
              <w:jc w:val="center"/>
              <w:rPr>
                <w:sz w:val="24"/>
                <w:szCs w:val="24"/>
              </w:rPr>
            </w:pPr>
          </w:p>
        </w:tc>
        <w:tc>
          <w:tcPr>
            <w:tcW w:w="369" w:type="pct"/>
            <w:vAlign w:val="center"/>
          </w:tcPr>
          <w:p w14:paraId="319B33ED">
            <w:pPr>
              <w:jc w:val="center"/>
              <w:rPr>
                <w:sz w:val="24"/>
                <w:szCs w:val="24"/>
              </w:rPr>
            </w:pPr>
          </w:p>
        </w:tc>
        <w:tc>
          <w:tcPr>
            <w:tcW w:w="369" w:type="pct"/>
            <w:vAlign w:val="center"/>
          </w:tcPr>
          <w:p w14:paraId="2A23CEC2">
            <w:pPr>
              <w:jc w:val="center"/>
              <w:rPr>
                <w:sz w:val="24"/>
                <w:szCs w:val="24"/>
              </w:rPr>
            </w:pPr>
          </w:p>
        </w:tc>
        <w:tc>
          <w:tcPr>
            <w:tcW w:w="369" w:type="pct"/>
            <w:vAlign w:val="center"/>
          </w:tcPr>
          <w:p w14:paraId="3ABFC324">
            <w:pPr>
              <w:jc w:val="center"/>
              <w:rPr>
                <w:sz w:val="24"/>
                <w:szCs w:val="24"/>
              </w:rPr>
            </w:pPr>
          </w:p>
        </w:tc>
        <w:tc>
          <w:tcPr>
            <w:tcW w:w="377" w:type="pct"/>
            <w:vAlign w:val="center"/>
          </w:tcPr>
          <w:p w14:paraId="69AE0DAC">
            <w:pPr>
              <w:jc w:val="center"/>
              <w:rPr>
                <w:sz w:val="24"/>
                <w:szCs w:val="24"/>
              </w:rPr>
            </w:pPr>
          </w:p>
        </w:tc>
        <w:tc>
          <w:tcPr>
            <w:tcW w:w="1245" w:type="pct"/>
            <w:vAlign w:val="center"/>
          </w:tcPr>
          <w:p w14:paraId="554F7845">
            <w:pPr>
              <w:jc w:val="center"/>
              <w:rPr>
                <w:sz w:val="24"/>
                <w:szCs w:val="24"/>
              </w:rPr>
            </w:pPr>
          </w:p>
        </w:tc>
        <w:tc>
          <w:tcPr>
            <w:tcW w:w="699" w:type="pct"/>
            <w:vAlign w:val="center"/>
          </w:tcPr>
          <w:p w14:paraId="64C5C169">
            <w:pPr>
              <w:jc w:val="center"/>
              <w:rPr>
                <w:sz w:val="24"/>
                <w:szCs w:val="24"/>
              </w:rPr>
            </w:pPr>
          </w:p>
        </w:tc>
      </w:tr>
      <w:tr w14:paraId="77276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1" w:hRule="atLeast"/>
        </w:trPr>
        <w:tc>
          <w:tcPr>
            <w:tcW w:w="399" w:type="pct"/>
            <w:vMerge w:val="continue"/>
            <w:vAlign w:val="center"/>
          </w:tcPr>
          <w:p w14:paraId="540935F6">
            <w:pPr>
              <w:jc w:val="center"/>
              <w:rPr>
                <w:sz w:val="24"/>
                <w:szCs w:val="24"/>
              </w:rPr>
            </w:pPr>
          </w:p>
        </w:tc>
        <w:tc>
          <w:tcPr>
            <w:tcW w:w="804" w:type="pct"/>
            <w:vMerge w:val="continue"/>
            <w:vAlign w:val="center"/>
          </w:tcPr>
          <w:p w14:paraId="006813DC">
            <w:pPr>
              <w:jc w:val="center"/>
              <w:rPr>
                <w:sz w:val="24"/>
                <w:szCs w:val="24"/>
              </w:rPr>
            </w:pPr>
          </w:p>
        </w:tc>
        <w:tc>
          <w:tcPr>
            <w:tcW w:w="369" w:type="pct"/>
            <w:vAlign w:val="center"/>
          </w:tcPr>
          <w:p w14:paraId="33CE8B35">
            <w:pPr>
              <w:jc w:val="center"/>
              <w:rPr>
                <w:sz w:val="24"/>
                <w:szCs w:val="24"/>
              </w:rPr>
            </w:pPr>
          </w:p>
        </w:tc>
        <w:tc>
          <w:tcPr>
            <w:tcW w:w="369" w:type="pct"/>
            <w:vAlign w:val="center"/>
          </w:tcPr>
          <w:p w14:paraId="15BF3125">
            <w:pPr>
              <w:jc w:val="center"/>
              <w:rPr>
                <w:sz w:val="24"/>
                <w:szCs w:val="24"/>
              </w:rPr>
            </w:pPr>
          </w:p>
        </w:tc>
        <w:tc>
          <w:tcPr>
            <w:tcW w:w="369" w:type="pct"/>
            <w:vAlign w:val="center"/>
          </w:tcPr>
          <w:p w14:paraId="62CD25D7">
            <w:pPr>
              <w:jc w:val="center"/>
              <w:rPr>
                <w:sz w:val="24"/>
                <w:szCs w:val="24"/>
              </w:rPr>
            </w:pPr>
          </w:p>
        </w:tc>
        <w:tc>
          <w:tcPr>
            <w:tcW w:w="369" w:type="pct"/>
            <w:vAlign w:val="center"/>
          </w:tcPr>
          <w:p w14:paraId="73319B4B">
            <w:pPr>
              <w:jc w:val="center"/>
              <w:rPr>
                <w:sz w:val="24"/>
                <w:szCs w:val="24"/>
              </w:rPr>
            </w:pPr>
          </w:p>
        </w:tc>
        <w:tc>
          <w:tcPr>
            <w:tcW w:w="377" w:type="pct"/>
            <w:vAlign w:val="center"/>
          </w:tcPr>
          <w:p w14:paraId="511F858E">
            <w:pPr>
              <w:jc w:val="center"/>
              <w:rPr>
                <w:sz w:val="24"/>
                <w:szCs w:val="24"/>
              </w:rPr>
            </w:pPr>
          </w:p>
        </w:tc>
        <w:tc>
          <w:tcPr>
            <w:tcW w:w="1245" w:type="pct"/>
            <w:vAlign w:val="center"/>
          </w:tcPr>
          <w:p w14:paraId="4153756C">
            <w:pPr>
              <w:jc w:val="center"/>
              <w:rPr>
                <w:sz w:val="24"/>
                <w:szCs w:val="24"/>
              </w:rPr>
            </w:pPr>
          </w:p>
        </w:tc>
        <w:tc>
          <w:tcPr>
            <w:tcW w:w="699" w:type="pct"/>
            <w:vAlign w:val="center"/>
          </w:tcPr>
          <w:p w14:paraId="39CC8C19">
            <w:pPr>
              <w:jc w:val="center"/>
              <w:rPr>
                <w:sz w:val="24"/>
                <w:szCs w:val="24"/>
              </w:rPr>
            </w:pPr>
          </w:p>
        </w:tc>
      </w:tr>
      <w:tr w14:paraId="1E3D5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trPr>
        <w:tc>
          <w:tcPr>
            <w:tcW w:w="399" w:type="pct"/>
            <w:vMerge w:val="continue"/>
            <w:vAlign w:val="center"/>
          </w:tcPr>
          <w:p w14:paraId="3DF727D7">
            <w:pPr>
              <w:jc w:val="center"/>
              <w:rPr>
                <w:sz w:val="24"/>
                <w:szCs w:val="24"/>
              </w:rPr>
            </w:pPr>
          </w:p>
        </w:tc>
        <w:tc>
          <w:tcPr>
            <w:tcW w:w="804" w:type="pct"/>
            <w:vMerge w:val="continue"/>
            <w:vAlign w:val="center"/>
          </w:tcPr>
          <w:p w14:paraId="4DC03B72">
            <w:pPr>
              <w:jc w:val="center"/>
              <w:rPr>
                <w:sz w:val="24"/>
                <w:szCs w:val="24"/>
              </w:rPr>
            </w:pPr>
          </w:p>
        </w:tc>
        <w:tc>
          <w:tcPr>
            <w:tcW w:w="369" w:type="pct"/>
            <w:vAlign w:val="center"/>
          </w:tcPr>
          <w:p w14:paraId="62B5642C">
            <w:pPr>
              <w:jc w:val="center"/>
              <w:rPr>
                <w:sz w:val="24"/>
                <w:szCs w:val="24"/>
              </w:rPr>
            </w:pPr>
          </w:p>
        </w:tc>
        <w:tc>
          <w:tcPr>
            <w:tcW w:w="369" w:type="pct"/>
            <w:vAlign w:val="center"/>
          </w:tcPr>
          <w:p w14:paraId="63D0CB11">
            <w:pPr>
              <w:jc w:val="center"/>
              <w:rPr>
                <w:sz w:val="24"/>
                <w:szCs w:val="24"/>
              </w:rPr>
            </w:pPr>
          </w:p>
        </w:tc>
        <w:tc>
          <w:tcPr>
            <w:tcW w:w="369" w:type="pct"/>
            <w:vAlign w:val="center"/>
          </w:tcPr>
          <w:p w14:paraId="5C0B3845">
            <w:pPr>
              <w:jc w:val="center"/>
              <w:rPr>
                <w:sz w:val="24"/>
                <w:szCs w:val="24"/>
              </w:rPr>
            </w:pPr>
          </w:p>
        </w:tc>
        <w:tc>
          <w:tcPr>
            <w:tcW w:w="369" w:type="pct"/>
            <w:vAlign w:val="center"/>
          </w:tcPr>
          <w:p w14:paraId="357A9AE4">
            <w:pPr>
              <w:jc w:val="center"/>
              <w:rPr>
                <w:sz w:val="24"/>
                <w:szCs w:val="24"/>
              </w:rPr>
            </w:pPr>
          </w:p>
        </w:tc>
        <w:tc>
          <w:tcPr>
            <w:tcW w:w="377" w:type="pct"/>
            <w:vAlign w:val="center"/>
          </w:tcPr>
          <w:p w14:paraId="3B94DEEA">
            <w:pPr>
              <w:jc w:val="center"/>
              <w:rPr>
                <w:sz w:val="24"/>
                <w:szCs w:val="24"/>
              </w:rPr>
            </w:pPr>
          </w:p>
        </w:tc>
        <w:tc>
          <w:tcPr>
            <w:tcW w:w="1245" w:type="pct"/>
            <w:vAlign w:val="center"/>
          </w:tcPr>
          <w:p w14:paraId="593898CA">
            <w:pPr>
              <w:jc w:val="center"/>
              <w:rPr>
                <w:sz w:val="24"/>
                <w:szCs w:val="24"/>
              </w:rPr>
            </w:pPr>
          </w:p>
        </w:tc>
        <w:tc>
          <w:tcPr>
            <w:tcW w:w="699" w:type="pct"/>
            <w:vAlign w:val="center"/>
          </w:tcPr>
          <w:p w14:paraId="6B4A58CB">
            <w:pPr>
              <w:jc w:val="center"/>
              <w:rPr>
                <w:sz w:val="24"/>
                <w:szCs w:val="24"/>
              </w:rPr>
            </w:pPr>
          </w:p>
        </w:tc>
      </w:tr>
      <w:tr w14:paraId="048AA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trPr>
        <w:tc>
          <w:tcPr>
            <w:tcW w:w="399" w:type="pct"/>
            <w:vMerge w:val="continue"/>
            <w:vAlign w:val="center"/>
          </w:tcPr>
          <w:p w14:paraId="31E5CD68">
            <w:pPr>
              <w:jc w:val="center"/>
              <w:rPr>
                <w:sz w:val="24"/>
                <w:szCs w:val="24"/>
              </w:rPr>
            </w:pPr>
          </w:p>
        </w:tc>
        <w:tc>
          <w:tcPr>
            <w:tcW w:w="804" w:type="pct"/>
            <w:vMerge w:val="continue"/>
            <w:vAlign w:val="center"/>
          </w:tcPr>
          <w:p w14:paraId="5805EBD7">
            <w:pPr>
              <w:jc w:val="center"/>
              <w:rPr>
                <w:sz w:val="24"/>
                <w:szCs w:val="24"/>
              </w:rPr>
            </w:pPr>
          </w:p>
        </w:tc>
        <w:tc>
          <w:tcPr>
            <w:tcW w:w="369" w:type="pct"/>
            <w:vAlign w:val="center"/>
          </w:tcPr>
          <w:p w14:paraId="763587DF">
            <w:pPr>
              <w:jc w:val="center"/>
              <w:rPr>
                <w:sz w:val="24"/>
                <w:szCs w:val="24"/>
              </w:rPr>
            </w:pPr>
          </w:p>
        </w:tc>
        <w:tc>
          <w:tcPr>
            <w:tcW w:w="369" w:type="pct"/>
            <w:vAlign w:val="center"/>
          </w:tcPr>
          <w:p w14:paraId="7EAA5E02">
            <w:pPr>
              <w:jc w:val="center"/>
              <w:rPr>
                <w:sz w:val="24"/>
                <w:szCs w:val="24"/>
              </w:rPr>
            </w:pPr>
          </w:p>
        </w:tc>
        <w:tc>
          <w:tcPr>
            <w:tcW w:w="369" w:type="pct"/>
            <w:vAlign w:val="center"/>
          </w:tcPr>
          <w:p w14:paraId="68E5776C">
            <w:pPr>
              <w:jc w:val="center"/>
              <w:rPr>
                <w:sz w:val="24"/>
                <w:szCs w:val="24"/>
              </w:rPr>
            </w:pPr>
          </w:p>
        </w:tc>
        <w:tc>
          <w:tcPr>
            <w:tcW w:w="369" w:type="pct"/>
            <w:vAlign w:val="center"/>
          </w:tcPr>
          <w:p w14:paraId="46235E73">
            <w:pPr>
              <w:jc w:val="center"/>
              <w:rPr>
                <w:sz w:val="24"/>
                <w:szCs w:val="24"/>
              </w:rPr>
            </w:pPr>
          </w:p>
        </w:tc>
        <w:tc>
          <w:tcPr>
            <w:tcW w:w="377" w:type="pct"/>
            <w:vAlign w:val="center"/>
          </w:tcPr>
          <w:p w14:paraId="55EB310D">
            <w:pPr>
              <w:jc w:val="center"/>
              <w:rPr>
                <w:sz w:val="24"/>
                <w:szCs w:val="24"/>
              </w:rPr>
            </w:pPr>
          </w:p>
        </w:tc>
        <w:tc>
          <w:tcPr>
            <w:tcW w:w="1245" w:type="pct"/>
            <w:vAlign w:val="center"/>
          </w:tcPr>
          <w:p w14:paraId="3AC5A04E">
            <w:pPr>
              <w:jc w:val="center"/>
              <w:rPr>
                <w:sz w:val="24"/>
                <w:szCs w:val="24"/>
              </w:rPr>
            </w:pPr>
          </w:p>
        </w:tc>
        <w:tc>
          <w:tcPr>
            <w:tcW w:w="699" w:type="pct"/>
            <w:vAlign w:val="center"/>
          </w:tcPr>
          <w:p w14:paraId="4AA3AF58">
            <w:pPr>
              <w:jc w:val="center"/>
              <w:rPr>
                <w:sz w:val="24"/>
                <w:szCs w:val="24"/>
              </w:rPr>
            </w:pPr>
          </w:p>
        </w:tc>
      </w:tr>
      <w:tr w14:paraId="7EDC5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trPr>
        <w:tc>
          <w:tcPr>
            <w:tcW w:w="399" w:type="pct"/>
            <w:vMerge w:val="continue"/>
            <w:vAlign w:val="center"/>
          </w:tcPr>
          <w:p w14:paraId="5685EDA9">
            <w:pPr>
              <w:jc w:val="center"/>
              <w:rPr>
                <w:sz w:val="24"/>
                <w:szCs w:val="24"/>
              </w:rPr>
            </w:pPr>
          </w:p>
        </w:tc>
        <w:tc>
          <w:tcPr>
            <w:tcW w:w="804" w:type="pct"/>
            <w:vMerge w:val="continue"/>
            <w:vAlign w:val="center"/>
          </w:tcPr>
          <w:p w14:paraId="6AFB5478">
            <w:pPr>
              <w:jc w:val="center"/>
              <w:rPr>
                <w:sz w:val="24"/>
                <w:szCs w:val="24"/>
              </w:rPr>
            </w:pPr>
          </w:p>
        </w:tc>
        <w:tc>
          <w:tcPr>
            <w:tcW w:w="369" w:type="pct"/>
            <w:vAlign w:val="center"/>
          </w:tcPr>
          <w:p w14:paraId="46E464E6">
            <w:pPr>
              <w:jc w:val="center"/>
              <w:rPr>
                <w:sz w:val="24"/>
                <w:szCs w:val="24"/>
              </w:rPr>
            </w:pPr>
          </w:p>
        </w:tc>
        <w:tc>
          <w:tcPr>
            <w:tcW w:w="369" w:type="pct"/>
            <w:vAlign w:val="center"/>
          </w:tcPr>
          <w:p w14:paraId="42FF9536">
            <w:pPr>
              <w:jc w:val="center"/>
              <w:rPr>
                <w:sz w:val="24"/>
                <w:szCs w:val="24"/>
              </w:rPr>
            </w:pPr>
          </w:p>
        </w:tc>
        <w:tc>
          <w:tcPr>
            <w:tcW w:w="369" w:type="pct"/>
            <w:vAlign w:val="center"/>
          </w:tcPr>
          <w:p w14:paraId="620C014C">
            <w:pPr>
              <w:jc w:val="center"/>
              <w:rPr>
                <w:sz w:val="24"/>
                <w:szCs w:val="24"/>
              </w:rPr>
            </w:pPr>
          </w:p>
        </w:tc>
        <w:tc>
          <w:tcPr>
            <w:tcW w:w="369" w:type="pct"/>
            <w:vAlign w:val="center"/>
          </w:tcPr>
          <w:p w14:paraId="019AA1CC">
            <w:pPr>
              <w:jc w:val="center"/>
              <w:rPr>
                <w:sz w:val="24"/>
                <w:szCs w:val="24"/>
              </w:rPr>
            </w:pPr>
          </w:p>
        </w:tc>
        <w:tc>
          <w:tcPr>
            <w:tcW w:w="377" w:type="pct"/>
            <w:vAlign w:val="center"/>
          </w:tcPr>
          <w:p w14:paraId="243DB2C7">
            <w:pPr>
              <w:jc w:val="center"/>
              <w:rPr>
                <w:sz w:val="24"/>
                <w:szCs w:val="24"/>
              </w:rPr>
            </w:pPr>
          </w:p>
        </w:tc>
        <w:tc>
          <w:tcPr>
            <w:tcW w:w="1245" w:type="pct"/>
            <w:vAlign w:val="center"/>
          </w:tcPr>
          <w:p w14:paraId="6E004173">
            <w:pPr>
              <w:jc w:val="center"/>
              <w:rPr>
                <w:sz w:val="24"/>
                <w:szCs w:val="24"/>
              </w:rPr>
            </w:pPr>
          </w:p>
        </w:tc>
        <w:tc>
          <w:tcPr>
            <w:tcW w:w="699" w:type="pct"/>
            <w:vAlign w:val="center"/>
          </w:tcPr>
          <w:p w14:paraId="1ADBD739">
            <w:pPr>
              <w:jc w:val="center"/>
              <w:rPr>
                <w:sz w:val="24"/>
                <w:szCs w:val="24"/>
              </w:rPr>
            </w:pPr>
          </w:p>
        </w:tc>
      </w:tr>
      <w:tr w14:paraId="6105F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trPr>
        <w:tc>
          <w:tcPr>
            <w:tcW w:w="399" w:type="pct"/>
            <w:vMerge w:val="restart"/>
            <w:vAlign w:val="center"/>
          </w:tcPr>
          <w:p w14:paraId="6672F073">
            <w:pPr>
              <w:jc w:val="center"/>
              <w:rPr>
                <w:sz w:val="24"/>
                <w:szCs w:val="24"/>
              </w:rPr>
            </w:pPr>
          </w:p>
        </w:tc>
        <w:tc>
          <w:tcPr>
            <w:tcW w:w="804" w:type="pct"/>
            <w:vMerge w:val="restart"/>
            <w:vAlign w:val="center"/>
          </w:tcPr>
          <w:p w14:paraId="627F68AE">
            <w:pPr>
              <w:jc w:val="center"/>
              <w:rPr>
                <w:sz w:val="24"/>
                <w:szCs w:val="24"/>
              </w:rPr>
            </w:pPr>
          </w:p>
        </w:tc>
        <w:tc>
          <w:tcPr>
            <w:tcW w:w="369" w:type="pct"/>
            <w:vAlign w:val="center"/>
          </w:tcPr>
          <w:p w14:paraId="4CDFD38C">
            <w:pPr>
              <w:jc w:val="center"/>
              <w:rPr>
                <w:sz w:val="24"/>
                <w:szCs w:val="24"/>
              </w:rPr>
            </w:pPr>
          </w:p>
        </w:tc>
        <w:tc>
          <w:tcPr>
            <w:tcW w:w="369" w:type="pct"/>
            <w:vAlign w:val="center"/>
          </w:tcPr>
          <w:p w14:paraId="41C370C2">
            <w:pPr>
              <w:jc w:val="center"/>
              <w:rPr>
                <w:sz w:val="24"/>
                <w:szCs w:val="24"/>
              </w:rPr>
            </w:pPr>
          </w:p>
        </w:tc>
        <w:tc>
          <w:tcPr>
            <w:tcW w:w="369" w:type="pct"/>
            <w:vAlign w:val="center"/>
          </w:tcPr>
          <w:p w14:paraId="01C9A696">
            <w:pPr>
              <w:jc w:val="center"/>
              <w:rPr>
                <w:sz w:val="24"/>
                <w:szCs w:val="24"/>
              </w:rPr>
            </w:pPr>
          </w:p>
        </w:tc>
        <w:tc>
          <w:tcPr>
            <w:tcW w:w="369" w:type="pct"/>
            <w:vAlign w:val="center"/>
          </w:tcPr>
          <w:p w14:paraId="30086F62">
            <w:pPr>
              <w:jc w:val="center"/>
              <w:rPr>
                <w:sz w:val="24"/>
                <w:szCs w:val="24"/>
              </w:rPr>
            </w:pPr>
          </w:p>
        </w:tc>
        <w:tc>
          <w:tcPr>
            <w:tcW w:w="377" w:type="pct"/>
            <w:vAlign w:val="center"/>
          </w:tcPr>
          <w:p w14:paraId="4EA5C07E">
            <w:pPr>
              <w:jc w:val="center"/>
              <w:rPr>
                <w:sz w:val="24"/>
                <w:szCs w:val="24"/>
              </w:rPr>
            </w:pPr>
          </w:p>
        </w:tc>
        <w:tc>
          <w:tcPr>
            <w:tcW w:w="1245" w:type="pct"/>
            <w:vAlign w:val="center"/>
          </w:tcPr>
          <w:p w14:paraId="47D693F7">
            <w:pPr>
              <w:jc w:val="center"/>
              <w:rPr>
                <w:sz w:val="24"/>
                <w:szCs w:val="24"/>
              </w:rPr>
            </w:pPr>
          </w:p>
        </w:tc>
        <w:tc>
          <w:tcPr>
            <w:tcW w:w="699" w:type="pct"/>
            <w:vAlign w:val="center"/>
          </w:tcPr>
          <w:p w14:paraId="0DF73DAE">
            <w:pPr>
              <w:jc w:val="center"/>
              <w:rPr>
                <w:sz w:val="24"/>
                <w:szCs w:val="24"/>
              </w:rPr>
            </w:pPr>
          </w:p>
        </w:tc>
      </w:tr>
      <w:tr w14:paraId="5EFDF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trPr>
        <w:tc>
          <w:tcPr>
            <w:tcW w:w="399" w:type="pct"/>
            <w:vMerge w:val="continue"/>
            <w:vAlign w:val="center"/>
          </w:tcPr>
          <w:p w14:paraId="3C391F91">
            <w:pPr>
              <w:jc w:val="center"/>
              <w:rPr>
                <w:sz w:val="24"/>
                <w:szCs w:val="24"/>
              </w:rPr>
            </w:pPr>
          </w:p>
        </w:tc>
        <w:tc>
          <w:tcPr>
            <w:tcW w:w="804" w:type="pct"/>
            <w:vMerge w:val="continue"/>
            <w:vAlign w:val="center"/>
          </w:tcPr>
          <w:p w14:paraId="767CCFCB">
            <w:pPr>
              <w:jc w:val="center"/>
              <w:rPr>
                <w:sz w:val="24"/>
                <w:szCs w:val="24"/>
              </w:rPr>
            </w:pPr>
          </w:p>
        </w:tc>
        <w:tc>
          <w:tcPr>
            <w:tcW w:w="369" w:type="pct"/>
            <w:vAlign w:val="center"/>
          </w:tcPr>
          <w:p w14:paraId="2D3CA1F2">
            <w:pPr>
              <w:jc w:val="center"/>
              <w:rPr>
                <w:sz w:val="24"/>
                <w:szCs w:val="24"/>
              </w:rPr>
            </w:pPr>
          </w:p>
        </w:tc>
        <w:tc>
          <w:tcPr>
            <w:tcW w:w="369" w:type="pct"/>
            <w:vAlign w:val="center"/>
          </w:tcPr>
          <w:p w14:paraId="0A1D9CDB">
            <w:pPr>
              <w:jc w:val="center"/>
              <w:rPr>
                <w:sz w:val="24"/>
                <w:szCs w:val="24"/>
              </w:rPr>
            </w:pPr>
          </w:p>
        </w:tc>
        <w:tc>
          <w:tcPr>
            <w:tcW w:w="369" w:type="pct"/>
            <w:vAlign w:val="center"/>
          </w:tcPr>
          <w:p w14:paraId="2D172C2A">
            <w:pPr>
              <w:jc w:val="center"/>
              <w:rPr>
                <w:sz w:val="24"/>
                <w:szCs w:val="24"/>
              </w:rPr>
            </w:pPr>
          </w:p>
        </w:tc>
        <w:tc>
          <w:tcPr>
            <w:tcW w:w="369" w:type="pct"/>
            <w:vAlign w:val="center"/>
          </w:tcPr>
          <w:p w14:paraId="6D062058">
            <w:pPr>
              <w:jc w:val="center"/>
              <w:rPr>
                <w:sz w:val="24"/>
                <w:szCs w:val="24"/>
              </w:rPr>
            </w:pPr>
          </w:p>
        </w:tc>
        <w:tc>
          <w:tcPr>
            <w:tcW w:w="377" w:type="pct"/>
            <w:vAlign w:val="center"/>
          </w:tcPr>
          <w:p w14:paraId="1F13CF0D">
            <w:pPr>
              <w:jc w:val="center"/>
              <w:rPr>
                <w:sz w:val="24"/>
                <w:szCs w:val="24"/>
              </w:rPr>
            </w:pPr>
          </w:p>
        </w:tc>
        <w:tc>
          <w:tcPr>
            <w:tcW w:w="1245" w:type="pct"/>
            <w:vAlign w:val="center"/>
          </w:tcPr>
          <w:p w14:paraId="55FADB98">
            <w:pPr>
              <w:jc w:val="center"/>
              <w:rPr>
                <w:sz w:val="24"/>
                <w:szCs w:val="24"/>
              </w:rPr>
            </w:pPr>
          </w:p>
        </w:tc>
        <w:tc>
          <w:tcPr>
            <w:tcW w:w="699" w:type="pct"/>
            <w:vAlign w:val="center"/>
          </w:tcPr>
          <w:p w14:paraId="13C74710">
            <w:pPr>
              <w:jc w:val="center"/>
              <w:rPr>
                <w:sz w:val="24"/>
                <w:szCs w:val="24"/>
              </w:rPr>
            </w:pPr>
          </w:p>
        </w:tc>
      </w:tr>
      <w:tr w14:paraId="76448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trPr>
        <w:tc>
          <w:tcPr>
            <w:tcW w:w="399" w:type="pct"/>
            <w:vMerge w:val="continue"/>
            <w:vAlign w:val="center"/>
          </w:tcPr>
          <w:p w14:paraId="50565816">
            <w:pPr>
              <w:jc w:val="center"/>
              <w:rPr>
                <w:sz w:val="24"/>
                <w:szCs w:val="24"/>
              </w:rPr>
            </w:pPr>
          </w:p>
        </w:tc>
        <w:tc>
          <w:tcPr>
            <w:tcW w:w="804" w:type="pct"/>
            <w:vMerge w:val="continue"/>
            <w:vAlign w:val="center"/>
          </w:tcPr>
          <w:p w14:paraId="1B7E1225">
            <w:pPr>
              <w:jc w:val="center"/>
              <w:rPr>
                <w:sz w:val="24"/>
                <w:szCs w:val="24"/>
              </w:rPr>
            </w:pPr>
          </w:p>
        </w:tc>
        <w:tc>
          <w:tcPr>
            <w:tcW w:w="369" w:type="pct"/>
            <w:vAlign w:val="center"/>
          </w:tcPr>
          <w:p w14:paraId="4E8ADA3A">
            <w:pPr>
              <w:jc w:val="center"/>
              <w:rPr>
                <w:sz w:val="24"/>
                <w:szCs w:val="24"/>
              </w:rPr>
            </w:pPr>
          </w:p>
        </w:tc>
        <w:tc>
          <w:tcPr>
            <w:tcW w:w="369" w:type="pct"/>
            <w:vAlign w:val="center"/>
          </w:tcPr>
          <w:p w14:paraId="3FE2B32B">
            <w:pPr>
              <w:jc w:val="center"/>
              <w:rPr>
                <w:sz w:val="24"/>
                <w:szCs w:val="24"/>
              </w:rPr>
            </w:pPr>
          </w:p>
        </w:tc>
        <w:tc>
          <w:tcPr>
            <w:tcW w:w="369" w:type="pct"/>
            <w:vAlign w:val="center"/>
          </w:tcPr>
          <w:p w14:paraId="77005920">
            <w:pPr>
              <w:jc w:val="center"/>
              <w:rPr>
                <w:sz w:val="24"/>
                <w:szCs w:val="24"/>
              </w:rPr>
            </w:pPr>
          </w:p>
        </w:tc>
        <w:tc>
          <w:tcPr>
            <w:tcW w:w="369" w:type="pct"/>
            <w:vAlign w:val="center"/>
          </w:tcPr>
          <w:p w14:paraId="63681F07">
            <w:pPr>
              <w:jc w:val="center"/>
              <w:rPr>
                <w:sz w:val="24"/>
                <w:szCs w:val="24"/>
              </w:rPr>
            </w:pPr>
          </w:p>
        </w:tc>
        <w:tc>
          <w:tcPr>
            <w:tcW w:w="377" w:type="pct"/>
            <w:vAlign w:val="center"/>
          </w:tcPr>
          <w:p w14:paraId="2C7B39DE">
            <w:pPr>
              <w:jc w:val="center"/>
              <w:rPr>
                <w:sz w:val="24"/>
                <w:szCs w:val="24"/>
              </w:rPr>
            </w:pPr>
          </w:p>
        </w:tc>
        <w:tc>
          <w:tcPr>
            <w:tcW w:w="1245" w:type="pct"/>
            <w:vAlign w:val="center"/>
          </w:tcPr>
          <w:p w14:paraId="0E67C9D3">
            <w:pPr>
              <w:jc w:val="center"/>
              <w:rPr>
                <w:sz w:val="24"/>
                <w:szCs w:val="24"/>
              </w:rPr>
            </w:pPr>
          </w:p>
        </w:tc>
        <w:tc>
          <w:tcPr>
            <w:tcW w:w="699" w:type="pct"/>
            <w:vAlign w:val="center"/>
          </w:tcPr>
          <w:p w14:paraId="3EB664C4">
            <w:pPr>
              <w:jc w:val="center"/>
              <w:rPr>
                <w:sz w:val="24"/>
                <w:szCs w:val="24"/>
              </w:rPr>
            </w:pPr>
          </w:p>
        </w:tc>
      </w:tr>
      <w:tr w14:paraId="55CE8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trPr>
        <w:tc>
          <w:tcPr>
            <w:tcW w:w="399" w:type="pct"/>
            <w:vMerge w:val="continue"/>
            <w:vAlign w:val="center"/>
          </w:tcPr>
          <w:p w14:paraId="3E009AE3">
            <w:pPr>
              <w:jc w:val="center"/>
              <w:rPr>
                <w:sz w:val="24"/>
                <w:szCs w:val="24"/>
              </w:rPr>
            </w:pPr>
          </w:p>
        </w:tc>
        <w:tc>
          <w:tcPr>
            <w:tcW w:w="804" w:type="pct"/>
            <w:vMerge w:val="continue"/>
            <w:vAlign w:val="center"/>
          </w:tcPr>
          <w:p w14:paraId="3842BC39">
            <w:pPr>
              <w:jc w:val="center"/>
              <w:rPr>
                <w:sz w:val="24"/>
                <w:szCs w:val="24"/>
              </w:rPr>
            </w:pPr>
          </w:p>
        </w:tc>
        <w:tc>
          <w:tcPr>
            <w:tcW w:w="369" w:type="pct"/>
            <w:vAlign w:val="center"/>
          </w:tcPr>
          <w:p w14:paraId="733BB4AA">
            <w:pPr>
              <w:jc w:val="center"/>
              <w:rPr>
                <w:sz w:val="24"/>
                <w:szCs w:val="24"/>
              </w:rPr>
            </w:pPr>
          </w:p>
        </w:tc>
        <w:tc>
          <w:tcPr>
            <w:tcW w:w="369" w:type="pct"/>
            <w:vAlign w:val="center"/>
          </w:tcPr>
          <w:p w14:paraId="548ED56B">
            <w:pPr>
              <w:jc w:val="center"/>
              <w:rPr>
                <w:sz w:val="24"/>
                <w:szCs w:val="24"/>
              </w:rPr>
            </w:pPr>
          </w:p>
        </w:tc>
        <w:tc>
          <w:tcPr>
            <w:tcW w:w="369" w:type="pct"/>
            <w:vAlign w:val="center"/>
          </w:tcPr>
          <w:p w14:paraId="069E46DC">
            <w:pPr>
              <w:jc w:val="center"/>
              <w:rPr>
                <w:sz w:val="24"/>
                <w:szCs w:val="24"/>
              </w:rPr>
            </w:pPr>
          </w:p>
        </w:tc>
        <w:tc>
          <w:tcPr>
            <w:tcW w:w="369" w:type="pct"/>
            <w:vAlign w:val="center"/>
          </w:tcPr>
          <w:p w14:paraId="0111295D">
            <w:pPr>
              <w:jc w:val="center"/>
              <w:rPr>
                <w:sz w:val="24"/>
                <w:szCs w:val="24"/>
              </w:rPr>
            </w:pPr>
          </w:p>
        </w:tc>
        <w:tc>
          <w:tcPr>
            <w:tcW w:w="377" w:type="pct"/>
            <w:vAlign w:val="center"/>
          </w:tcPr>
          <w:p w14:paraId="0A6C742F">
            <w:pPr>
              <w:jc w:val="center"/>
              <w:rPr>
                <w:sz w:val="24"/>
                <w:szCs w:val="24"/>
              </w:rPr>
            </w:pPr>
          </w:p>
        </w:tc>
        <w:tc>
          <w:tcPr>
            <w:tcW w:w="1245" w:type="pct"/>
            <w:vAlign w:val="center"/>
          </w:tcPr>
          <w:p w14:paraId="7DB1E6AB">
            <w:pPr>
              <w:jc w:val="center"/>
              <w:rPr>
                <w:sz w:val="24"/>
                <w:szCs w:val="24"/>
              </w:rPr>
            </w:pPr>
          </w:p>
        </w:tc>
        <w:tc>
          <w:tcPr>
            <w:tcW w:w="699" w:type="pct"/>
            <w:vAlign w:val="center"/>
          </w:tcPr>
          <w:p w14:paraId="2CEB3149">
            <w:pPr>
              <w:jc w:val="center"/>
              <w:rPr>
                <w:sz w:val="24"/>
                <w:szCs w:val="24"/>
              </w:rPr>
            </w:pPr>
          </w:p>
        </w:tc>
      </w:tr>
      <w:tr w14:paraId="6AE1F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trPr>
        <w:tc>
          <w:tcPr>
            <w:tcW w:w="399" w:type="pct"/>
            <w:vMerge w:val="continue"/>
            <w:vAlign w:val="center"/>
          </w:tcPr>
          <w:p w14:paraId="6E7DD987">
            <w:pPr>
              <w:jc w:val="center"/>
              <w:rPr>
                <w:sz w:val="24"/>
                <w:szCs w:val="24"/>
              </w:rPr>
            </w:pPr>
          </w:p>
        </w:tc>
        <w:tc>
          <w:tcPr>
            <w:tcW w:w="804" w:type="pct"/>
            <w:vMerge w:val="continue"/>
            <w:vAlign w:val="center"/>
          </w:tcPr>
          <w:p w14:paraId="6D0EFA10">
            <w:pPr>
              <w:jc w:val="center"/>
              <w:rPr>
                <w:sz w:val="24"/>
                <w:szCs w:val="24"/>
              </w:rPr>
            </w:pPr>
          </w:p>
        </w:tc>
        <w:tc>
          <w:tcPr>
            <w:tcW w:w="369" w:type="pct"/>
            <w:vAlign w:val="center"/>
          </w:tcPr>
          <w:p w14:paraId="729C38E9">
            <w:pPr>
              <w:jc w:val="center"/>
              <w:rPr>
                <w:sz w:val="24"/>
                <w:szCs w:val="24"/>
              </w:rPr>
            </w:pPr>
          </w:p>
        </w:tc>
        <w:tc>
          <w:tcPr>
            <w:tcW w:w="369" w:type="pct"/>
            <w:vAlign w:val="center"/>
          </w:tcPr>
          <w:p w14:paraId="6E4041A5">
            <w:pPr>
              <w:jc w:val="center"/>
              <w:rPr>
                <w:sz w:val="24"/>
                <w:szCs w:val="24"/>
              </w:rPr>
            </w:pPr>
          </w:p>
        </w:tc>
        <w:tc>
          <w:tcPr>
            <w:tcW w:w="369" w:type="pct"/>
            <w:vAlign w:val="center"/>
          </w:tcPr>
          <w:p w14:paraId="322352A6">
            <w:pPr>
              <w:jc w:val="center"/>
              <w:rPr>
                <w:sz w:val="24"/>
                <w:szCs w:val="24"/>
              </w:rPr>
            </w:pPr>
          </w:p>
        </w:tc>
        <w:tc>
          <w:tcPr>
            <w:tcW w:w="369" w:type="pct"/>
            <w:vAlign w:val="center"/>
          </w:tcPr>
          <w:p w14:paraId="10267FF3">
            <w:pPr>
              <w:jc w:val="center"/>
              <w:rPr>
                <w:sz w:val="24"/>
                <w:szCs w:val="24"/>
              </w:rPr>
            </w:pPr>
          </w:p>
        </w:tc>
        <w:tc>
          <w:tcPr>
            <w:tcW w:w="377" w:type="pct"/>
            <w:vAlign w:val="center"/>
          </w:tcPr>
          <w:p w14:paraId="3007585B">
            <w:pPr>
              <w:jc w:val="center"/>
              <w:rPr>
                <w:sz w:val="24"/>
                <w:szCs w:val="24"/>
              </w:rPr>
            </w:pPr>
          </w:p>
        </w:tc>
        <w:tc>
          <w:tcPr>
            <w:tcW w:w="1245" w:type="pct"/>
            <w:vAlign w:val="center"/>
          </w:tcPr>
          <w:p w14:paraId="24D5750D">
            <w:pPr>
              <w:jc w:val="center"/>
              <w:rPr>
                <w:sz w:val="24"/>
                <w:szCs w:val="24"/>
              </w:rPr>
            </w:pPr>
          </w:p>
        </w:tc>
        <w:tc>
          <w:tcPr>
            <w:tcW w:w="699" w:type="pct"/>
            <w:vAlign w:val="center"/>
          </w:tcPr>
          <w:p w14:paraId="2BF82CF8">
            <w:pPr>
              <w:jc w:val="center"/>
              <w:rPr>
                <w:sz w:val="24"/>
                <w:szCs w:val="24"/>
              </w:rPr>
            </w:pPr>
          </w:p>
        </w:tc>
      </w:tr>
      <w:tr w14:paraId="59E5E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trPr>
        <w:tc>
          <w:tcPr>
            <w:tcW w:w="399" w:type="pct"/>
            <w:vMerge w:val="restart"/>
            <w:vAlign w:val="center"/>
          </w:tcPr>
          <w:p w14:paraId="798E477D">
            <w:pPr>
              <w:jc w:val="center"/>
              <w:rPr>
                <w:sz w:val="24"/>
                <w:szCs w:val="24"/>
              </w:rPr>
            </w:pPr>
          </w:p>
        </w:tc>
        <w:tc>
          <w:tcPr>
            <w:tcW w:w="804" w:type="pct"/>
            <w:vMerge w:val="restart"/>
            <w:vAlign w:val="center"/>
          </w:tcPr>
          <w:p w14:paraId="62596EEF">
            <w:pPr>
              <w:jc w:val="center"/>
              <w:rPr>
                <w:sz w:val="24"/>
                <w:szCs w:val="24"/>
              </w:rPr>
            </w:pPr>
          </w:p>
        </w:tc>
        <w:tc>
          <w:tcPr>
            <w:tcW w:w="369" w:type="pct"/>
            <w:vAlign w:val="center"/>
          </w:tcPr>
          <w:p w14:paraId="1C01AFA7">
            <w:pPr>
              <w:jc w:val="center"/>
              <w:rPr>
                <w:sz w:val="24"/>
                <w:szCs w:val="24"/>
              </w:rPr>
            </w:pPr>
          </w:p>
        </w:tc>
        <w:tc>
          <w:tcPr>
            <w:tcW w:w="369" w:type="pct"/>
            <w:vAlign w:val="center"/>
          </w:tcPr>
          <w:p w14:paraId="07BC5191">
            <w:pPr>
              <w:jc w:val="center"/>
              <w:rPr>
                <w:sz w:val="24"/>
                <w:szCs w:val="24"/>
              </w:rPr>
            </w:pPr>
          </w:p>
        </w:tc>
        <w:tc>
          <w:tcPr>
            <w:tcW w:w="369" w:type="pct"/>
            <w:vAlign w:val="center"/>
          </w:tcPr>
          <w:p w14:paraId="5E91EE7B">
            <w:pPr>
              <w:jc w:val="center"/>
              <w:rPr>
                <w:sz w:val="24"/>
                <w:szCs w:val="24"/>
              </w:rPr>
            </w:pPr>
          </w:p>
        </w:tc>
        <w:tc>
          <w:tcPr>
            <w:tcW w:w="369" w:type="pct"/>
            <w:vAlign w:val="center"/>
          </w:tcPr>
          <w:p w14:paraId="1F76D77A">
            <w:pPr>
              <w:jc w:val="center"/>
              <w:rPr>
                <w:sz w:val="24"/>
                <w:szCs w:val="24"/>
              </w:rPr>
            </w:pPr>
          </w:p>
        </w:tc>
        <w:tc>
          <w:tcPr>
            <w:tcW w:w="377" w:type="pct"/>
            <w:vAlign w:val="center"/>
          </w:tcPr>
          <w:p w14:paraId="2D35214A">
            <w:pPr>
              <w:jc w:val="center"/>
              <w:rPr>
                <w:sz w:val="24"/>
                <w:szCs w:val="24"/>
              </w:rPr>
            </w:pPr>
          </w:p>
        </w:tc>
        <w:tc>
          <w:tcPr>
            <w:tcW w:w="1245" w:type="pct"/>
            <w:vAlign w:val="center"/>
          </w:tcPr>
          <w:p w14:paraId="6A4ACFAC">
            <w:pPr>
              <w:jc w:val="center"/>
              <w:rPr>
                <w:sz w:val="24"/>
                <w:szCs w:val="24"/>
              </w:rPr>
            </w:pPr>
          </w:p>
        </w:tc>
        <w:tc>
          <w:tcPr>
            <w:tcW w:w="699" w:type="pct"/>
            <w:vAlign w:val="center"/>
          </w:tcPr>
          <w:p w14:paraId="530DF7BD">
            <w:pPr>
              <w:jc w:val="center"/>
              <w:rPr>
                <w:sz w:val="24"/>
                <w:szCs w:val="24"/>
              </w:rPr>
            </w:pPr>
          </w:p>
        </w:tc>
      </w:tr>
      <w:tr w14:paraId="784C3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trPr>
        <w:tc>
          <w:tcPr>
            <w:tcW w:w="399" w:type="pct"/>
            <w:vMerge w:val="continue"/>
            <w:vAlign w:val="center"/>
          </w:tcPr>
          <w:p w14:paraId="644DC6E7">
            <w:pPr>
              <w:jc w:val="center"/>
              <w:rPr>
                <w:sz w:val="24"/>
                <w:szCs w:val="24"/>
              </w:rPr>
            </w:pPr>
          </w:p>
        </w:tc>
        <w:tc>
          <w:tcPr>
            <w:tcW w:w="804" w:type="pct"/>
            <w:vMerge w:val="continue"/>
            <w:vAlign w:val="center"/>
          </w:tcPr>
          <w:p w14:paraId="16D476C5">
            <w:pPr>
              <w:jc w:val="center"/>
              <w:rPr>
                <w:sz w:val="24"/>
                <w:szCs w:val="24"/>
              </w:rPr>
            </w:pPr>
          </w:p>
        </w:tc>
        <w:tc>
          <w:tcPr>
            <w:tcW w:w="369" w:type="pct"/>
            <w:vAlign w:val="center"/>
          </w:tcPr>
          <w:p w14:paraId="6FDD17CA">
            <w:pPr>
              <w:jc w:val="center"/>
              <w:rPr>
                <w:sz w:val="24"/>
                <w:szCs w:val="24"/>
              </w:rPr>
            </w:pPr>
          </w:p>
        </w:tc>
        <w:tc>
          <w:tcPr>
            <w:tcW w:w="369" w:type="pct"/>
            <w:vAlign w:val="center"/>
          </w:tcPr>
          <w:p w14:paraId="0FE69161">
            <w:pPr>
              <w:jc w:val="center"/>
              <w:rPr>
                <w:sz w:val="24"/>
                <w:szCs w:val="24"/>
              </w:rPr>
            </w:pPr>
          </w:p>
        </w:tc>
        <w:tc>
          <w:tcPr>
            <w:tcW w:w="369" w:type="pct"/>
            <w:vAlign w:val="center"/>
          </w:tcPr>
          <w:p w14:paraId="1B63E66B">
            <w:pPr>
              <w:jc w:val="center"/>
              <w:rPr>
                <w:sz w:val="24"/>
                <w:szCs w:val="24"/>
              </w:rPr>
            </w:pPr>
          </w:p>
        </w:tc>
        <w:tc>
          <w:tcPr>
            <w:tcW w:w="369" w:type="pct"/>
            <w:vAlign w:val="center"/>
          </w:tcPr>
          <w:p w14:paraId="628B68D7">
            <w:pPr>
              <w:jc w:val="center"/>
              <w:rPr>
                <w:sz w:val="24"/>
                <w:szCs w:val="24"/>
              </w:rPr>
            </w:pPr>
          </w:p>
        </w:tc>
        <w:tc>
          <w:tcPr>
            <w:tcW w:w="377" w:type="pct"/>
            <w:vAlign w:val="center"/>
          </w:tcPr>
          <w:p w14:paraId="1941F55F">
            <w:pPr>
              <w:jc w:val="center"/>
              <w:rPr>
                <w:sz w:val="24"/>
                <w:szCs w:val="24"/>
              </w:rPr>
            </w:pPr>
          </w:p>
        </w:tc>
        <w:tc>
          <w:tcPr>
            <w:tcW w:w="1245" w:type="pct"/>
            <w:vAlign w:val="center"/>
          </w:tcPr>
          <w:p w14:paraId="126EFB41">
            <w:pPr>
              <w:jc w:val="center"/>
              <w:rPr>
                <w:sz w:val="24"/>
                <w:szCs w:val="24"/>
              </w:rPr>
            </w:pPr>
          </w:p>
        </w:tc>
        <w:tc>
          <w:tcPr>
            <w:tcW w:w="699" w:type="pct"/>
            <w:vAlign w:val="center"/>
          </w:tcPr>
          <w:p w14:paraId="46A9B9DD">
            <w:pPr>
              <w:jc w:val="center"/>
              <w:rPr>
                <w:sz w:val="24"/>
                <w:szCs w:val="24"/>
              </w:rPr>
            </w:pPr>
          </w:p>
        </w:tc>
      </w:tr>
      <w:tr w14:paraId="0EF84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trPr>
        <w:tc>
          <w:tcPr>
            <w:tcW w:w="399" w:type="pct"/>
            <w:vMerge w:val="continue"/>
            <w:vAlign w:val="center"/>
          </w:tcPr>
          <w:p w14:paraId="1EFB8453">
            <w:pPr>
              <w:jc w:val="center"/>
              <w:rPr>
                <w:sz w:val="24"/>
                <w:szCs w:val="24"/>
              </w:rPr>
            </w:pPr>
          </w:p>
        </w:tc>
        <w:tc>
          <w:tcPr>
            <w:tcW w:w="804" w:type="pct"/>
            <w:vMerge w:val="continue"/>
            <w:vAlign w:val="center"/>
          </w:tcPr>
          <w:p w14:paraId="321019E1">
            <w:pPr>
              <w:jc w:val="center"/>
              <w:rPr>
                <w:sz w:val="24"/>
                <w:szCs w:val="24"/>
              </w:rPr>
            </w:pPr>
          </w:p>
        </w:tc>
        <w:tc>
          <w:tcPr>
            <w:tcW w:w="369" w:type="pct"/>
            <w:vAlign w:val="center"/>
          </w:tcPr>
          <w:p w14:paraId="2EBD8948">
            <w:pPr>
              <w:jc w:val="center"/>
              <w:rPr>
                <w:sz w:val="24"/>
                <w:szCs w:val="24"/>
              </w:rPr>
            </w:pPr>
          </w:p>
        </w:tc>
        <w:tc>
          <w:tcPr>
            <w:tcW w:w="369" w:type="pct"/>
            <w:vAlign w:val="center"/>
          </w:tcPr>
          <w:p w14:paraId="38486001">
            <w:pPr>
              <w:jc w:val="center"/>
              <w:rPr>
                <w:sz w:val="24"/>
                <w:szCs w:val="24"/>
              </w:rPr>
            </w:pPr>
          </w:p>
        </w:tc>
        <w:tc>
          <w:tcPr>
            <w:tcW w:w="369" w:type="pct"/>
            <w:vAlign w:val="center"/>
          </w:tcPr>
          <w:p w14:paraId="4B97DFD4">
            <w:pPr>
              <w:jc w:val="center"/>
              <w:rPr>
                <w:sz w:val="24"/>
                <w:szCs w:val="24"/>
              </w:rPr>
            </w:pPr>
          </w:p>
        </w:tc>
        <w:tc>
          <w:tcPr>
            <w:tcW w:w="369" w:type="pct"/>
            <w:vAlign w:val="center"/>
          </w:tcPr>
          <w:p w14:paraId="1C729D36">
            <w:pPr>
              <w:jc w:val="center"/>
              <w:rPr>
                <w:sz w:val="24"/>
                <w:szCs w:val="24"/>
              </w:rPr>
            </w:pPr>
          </w:p>
        </w:tc>
        <w:tc>
          <w:tcPr>
            <w:tcW w:w="377" w:type="pct"/>
            <w:vAlign w:val="center"/>
          </w:tcPr>
          <w:p w14:paraId="7405E83F">
            <w:pPr>
              <w:jc w:val="center"/>
              <w:rPr>
                <w:sz w:val="24"/>
                <w:szCs w:val="24"/>
              </w:rPr>
            </w:pPr>
          </w:p>
        </w:tc>
        <w:tc>
          <w:tcPr>
            <w:tcW w:w="1245" w:type="pct"/>
            <w:vAlign w:val="center"/>
          </w:tcPr>
          <w:p w14:paraId="21ABAB9B">
            <w:pPr>
              <w:jc w:val="center"/>
              <w:rPr>
                <w:sz w:val="24"/>
                <w:szCs w:val="24"/>
              </w:rPr>
            </w:pPr>
          </w:p>
        </w:tc>
        <w:tc>
          <w:tcPr>
            <w:tcW w:w="699" w:type="pct"/>
            <w:vAlign w:val="center"/>
          </w:tcPr>
          <w:p w14:paraId="51E31061">
            <w:pPr>
              <w:jc w:val="center"/>
              <w:rPr>
                <w:sz w:val="24"/>
                <w:szCs w:val="24"/>
              </w:rPr>
            </w:pPr>
          </w:p>
        </w:tc>
      </w:tr>
      <w:tr w14:paraId="61BF4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trPr>
        <w:tc>
          <w:tcPr>
            <w:tcW w:w="399" w:type="pct"/>
            <w:vMerge w:val="continue"/>
            <w:vAlign w:val="center"/>
          </w:tcPr>
          <w:p w14:paraId="65B4D671">
            <w:pPr>
              <w:jc w:val="center"/>
              <w:rPr>
                <w:sz w:val="24"/>
                <w:szCs w:val="24"/>
              </w:rPr>
            </w:pPr>
          </w:p>
        </w:tc>
        <w:tc>
          <w:tcPr>
            <w:tcW w:w="804" w:type="pct"/>
            <w:vMerge w:val="continue"/>
            <w:vAlign w:val="center"/>
          </w:tcPr>
          <w:p w14:paraId="65938D42">
            <w:pPr>
              <w:jc w:val="center"/>
              <w:rPr>
                <w:sz w:val="24"/>
                <w:szCs w:val="24"/>
              </w:rPr>
            </w:pPr>
          </w:p>
        </w:tc>
        <w:tc>
          <w:tcPr>
            <w:tcW w:w="369" w:type="pct"/>
            <w:vAlign w:val="center"/>
          </w:tcPr>
          <w:p w14:paraId="689EFF81">
            <w:pPr>
              <w:jc w:val="center"/>
              <w:rPr>
                <w:sz w:val="24"/>
                <w:szCs w:val="24"/>
              </w:rPr>
            </w:pPr>
          </w:p>
        </w:tc>
        <w:tc>
          <w:tcPr>
            <w:tcW w:w="369" w:type="pct"/>
            <w:vAlign w:val="center"/>
          </w:tcPr>
          <w:p w14:paraId="36BCF299">
            <w:pPr>
              <w:jc w:val="center"/>
              <w:rPr>
                <w:sz w:val="24"/>
                <w:szCs w:val="24"/>
              </w:rPr>
            </w:pPr>
          </w:p>
        </w:tc>
        <w:tc>
          <w:tcPr>
            <w:tcW w:w="369" w:type="pct"/>
            <w:vAlign w:val="center"/>
          </w:tcPr>
          <w:p w14:paraId="09B39F4B">
            <w:pPr>
              <w:jc w:val="center"/>
              <w:rPr>
                <w:sz w:val="24"/>
                <w:szCs w:val="24"/>
              </w:rPr>
            </w:pPr>
          </w:p>
        </w:tc>
        <w:tc>
          <w:tcPr>
            <w:tcW w:w="369" w:type="pct"/>
            <w:vAlign w:val="center"/>
          </w:tcPr>
          <w:p w14:paraId="4AF2AD34">
            <w:pPr>
              <w:jc w:val="center"/>
              <w:rPr>
                <w:sz w:val="24"/>
                <w:szCs w:val="24"/>
              </w:rPr>
            </w:pPr>
          </w:p>
        </w:tc>
        <w:tc>
          <w:tcPr>
            <w:tcW w:w="377" w:type="pct"/>
            <w:vAlign w:val="center"/>
          </w:tcPr>
          <w:p w14:paraId="5AEB7D21">
            <w:pPr>
              <w:jc w:val="center"/>
              <w:rPr>
                <w:sz w:val="24"/>
                <w:szCs w:val="24"/>
              </w:rPr>
            </w:pPr>
          </w:p>
        </w:tc>
        <w:tc>
          <w:tcPr>
            <w:tcW w:w="1245" w:type="pct"/>
            <w:vAlign w:val="center"/>
          </w:tcPr>
          <w:p w14:paraId="172C41A5">
            <w:pPr>
              <w:jc w:val="center"/>
              <w:rPr>
                <w:sz w:val="24"/>
                <w:szCs w:val="24"/>
              </w:rPr>
            </w:pPr>
          </w:p>
        </w:tc>
        <w:tc>
          <w:tcPr>
            <w:tcW w:w="699" w:type="pct"/>
            <w:vAlign w:val="center"/>
          </w:tcPr>
          <w:p w14:paraId="17DF0493">
            <w:pPr>
              <w:jc w:val="center"/>
              <w:rPr>
                <w:sz w:val="24"/>
                <w:szCs w:val="24"/>
              </w:rPr>
            </w:pPr>
          </w:p>
        </w:tc>
      </w:tr>
      <w:tr w14:paraId="4BDE6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trPr>
        <w:tc>
          <w:tcPr>
            <w:tcW w:w="399" w:type="pct"/>
            <w:vMerge w:val="continue"/>
            <w:vAlign w:val="center"/>
          </w:tcPr>
          <w:p w14:paraId="0205766B">
            <w:pPr>
              <w:jc w:val="center"/>
              <w:rPr>
                <w:sz w:val="24"/>
                <w:szCs w:val="24"/>
              </w:rPr>
            </w:pPr>
          </w:p>
        </w:tc>
        <w:tc>
          <w:tcPr>
            <w:tcW w:w="804" w:type="pct"/>
            <w:vMerge w:val="continue"/>
            <w:vAlign w:val="center"/>
          </w:tcPr>
          <w:p w14:paraId="269C97E0">
            <w:pPr>
              <w:jc w:val="center"/>
              <w:rPr>
                <w:sz w:val="24"/>
                <w:szCs w:val="24"/>
              </w:rPr>
            </w:pPr>
          </w:p>
        </w:tc>
        <w:tc>
          <w:tcPr>
            <w:tcW w:w="369" w:type="pct"/>
            <w:vAlign w:val="center"/>
          </w:tcPr>
          <w:p w14:paraId="607B3E46">
            <w:pPr>
              <w:jc w:val="center"/>
              <w:rPr>
                <w:sz w:val="24"/>
                <w:szCs w:val="24"/>
              </w:rPr>
            </w:pPr>
          </w:p>
        </w:tc>
        <w:tc>
          <w:tcPr>
            <w:tcW w:w="369" w:type="pct"/>
            <w:vAlign w:val="center"/>
          </w:tcPr>
          <w:p w14:paraId="7310E25C">
            <w:pPr>
              <w:jc w:val="center"/>
              <w:rPr>
                <w:sz w:val="24"/>
                <w:szCs w:val="24"/>
              </w:rPr>
            </w:pPr>
          </w:p>
        </w:tc>
        <w:tc>
          <w:tcPr>
            <w:tcW w:w="369" w:type="pct"/>
            <w:vAlign w:val="center"/>
          </w:tcPr>
          <w:p w14:paraId="69C8E8F1">
            <w:pPr>
              <w:jc w:val="center"/>
              <w:rPr>
                <w:sz w:val="24"/>
                <w:szCs w:val="24"/>
              </w:rPr>
            </w:pPr>
          </w:p>
        </w:tc>
        <w:tc>
          <w:tcPr>
            <w:tcW w:w="369" w:type="pct"/>
            <w:vAlign w:val="center"/>
          </w:tcPr>
          <w:p w14:paraId="5B9D59C3">
            <w:pPr>
              <w:jc w:val="center"/>
              <w:rPr>
                <w:sz w:val="24"/>
                <w:szCs w:val="24"/>
              </w:rPr>
            </w:pPr>
          </w:p>
        </w:tc>
        <w:tc>
          <w:tcPr>
            <w:tcW w:w="377" w:type="pct"/>
            <w:vAlign w:val="center"/>
          </w:tcPr>
          <w:p w14:paraId="3E89837A">
            <w:pPr>
              <w:jc w:val="center"/>
              <w:rPr>
                <w:sz w:val="24"/>
                <w:szCs w:val="24"/>
              </w:rPr>
            </w:pPr>
          </w:p>
        </w:tc>
        <w:tc>
          <w:tcPr>
            <w:tcW w:w="1245" w:type="pct"/>
            <w:vAlign w:val="center"/>
          </w:tcPr>
          <w:p w14:paraId="3C85BFE7">
            <w:pPr>
              <w:jc w:val="center"/>
              <w:rPr>
                <w:sz w:val="24"/>
                <w:szCs w:val="24"/>
              </w:rPr>
            </w:pPr>
          </w:p>
        </w:tc>
        <w:tc>
          <w:tcPr>
            <w:tcW w:w="699" w:type="pct"/>
            <w:vAlign w:val="center"/>
          </w:tcPr>
          <w:p w14:paraId="721FDFED">
            <w:pPr>
              <w:jc w:val="center"/>
              <w:rPr>
                <w:sz w:val="24"/>
                <w:szCs w:val="24"/>
              </w:rPr>
            </w:pPr>
          </w:p>
        </w:tc>
      </w:tr>
    </w:tbl>
    <w:p w14:paraId="2F1113BA">
      <w:pPr>
        <w:widowControl/>
        <w:autoSpaceDE w:val="0"/>
        <w:autoSpaceDN w:val="0"/>
        <w:spacing w:line="360" w:lineRule="auto"/>
        <w:jc w:val="left"/>
        <w:rPr>
          <w:sz w:val="24"/>
        </w:rPr>
      </w:pPr>
    </w:p>
    <w:p w14:paraId="79D6D47F">
      <w:pPr>
        <w:widowControl/>
        <w:autoSpaceDE w:val="0"/>
        <w:autoSpaceDN w:val="0"/>
        <w:spacing w:line="360" w:lineRule="auto"/>
        <w:jc w:val="left"/>
        <w:rPr>
          <w:sz w:val="24"/>
        </w:rPr>
      </w:pPr>
    </w:p>
    <w:p w14:paraId="1D5ADC77">
      <w:pPr>
        <w:spacing w:line="360" w:lineRule="auto"/>
        <w:jc w:val="left"/>
        <w:rPr>
          <w:color w:val="000000"/>
          <w:sz w:val="22"/>
        </w:rPr>
      </w:pPr>
      <w:r>
        <w:rPr>
          <w:sz w:val="24"/>
          <w:szCs w:val="24"/>
        </w:rPr>
        <w:t>校准员：                  核验员：                校准日期：     年   月   日</w:t>
      </w:r>
    </w:p>
    <w:bookmarkEnd w:id="87"/>
    <w:p w14:paraId="6FBF1911">
      <w:pPr>
        <w:widowControl/>
        <w:autoSpaceDE w:val="0"/>
        <w:autoSpaceDN w:val="0"/>
        <w:jc w:val="center"/>
        <w:rPr>
          <w:sz w:val="24"/>
          <w:szCs w:val="24"/>
        </w:rPr>
      </w:pPr>
    </w:p>
    <w:p w14:paraId="08872BBB">
      <w:pPr>
        <w:widowControl/>
        <w:autoSpaceDE w:val="0"/>
        <w:autoSpaceDN w:val="0"/>
        <w:jc w:val="center"/>
        <w:rPr>
          <w:sz w:val="24"/>
          <w:szCs w:val="24"/>
        </w:rPr>
      </w:pPr>
    </w:p>
    <w:p w14:paraId="01F28333">
      <w:pPr>
        <w:widowControl/>
        <w:autoSpaceDE w:val="0"/>
        <w:autoSpaceDN w:val="0"/>
        <w:jc w:val="center"/>
        <w:rPr>
          <w:sz w:val="24"/>
          <w:szCs w:val="24"/>
        </w:rPr>
      </w:pPr>
    </w:p>
    <w:p w14:paraId="353DB614">
      <w:pPr>
        <w:spacing w:line="360" w:lineRule="auto"/>
      </w:pPr>
    </w:p>
    <w:p w14:paraId="72CC6CA9">
      <w:pPr>
        <w:spacing w:line="360" w:lineRule="auto"/>
      </w:pPr>
    </w:p>
    <w:p w14:paraId="1E6FD158">
      <w:pPr>
        <w:spacing w:line="360" w:lineRule="auto"/>
      </w:pPr>
    </w:p>
    <w:p w14:paraId="4AFB3B77">
      <w:pPr>
        <w:pStyle w:val="36"/>
        <w:numPr>
          <w:ilvl w:val="0"/>
          <w:numId w:val="0"/>
        </w:numPr>
        <w:spacing w:beforeLines="0" w:afterLines="0" w:line="360" w:lineRule="auto"/>
        <w:rPr>
          <w:rFonts w:hint="eastAsia" w:hAnsi="黑体"/>
          <w:color w:val="000000"/>
          <w:sz w:val="28"/>
          <w:szCs w:val="28"/>
        </w:rPr>
      </w:pPr>
      <w:bookmarkStart w:id="88" w:name="_Toc200290571"/>
      <w:bookmarkStart w:id="89" w:name="_Hlk200369096"/>
      <w:r>
        <w:rPr>
          <w:rFonts w:hAnsi="黑体"/>
          <w:color w:val="000000"/>
          <w:sz w:val="28"/>
          <w:szCs w:val="28"/>
        </w:rPr>
        <w:t>附录</w:t>
      </w:r>
      <w:r>
        <w:rPr>
          <w:rFonts w:hint="eastAsia" w:hAnsi="黑体"/>
          <w:color w:val="000000"/>
          <w:sz w:val="28"/>
          <w:szCs w:val="28"/>
        </w:rPr>
        <w:t>B</w:t>
      </w:r>
      <w:bookmarkEnd w:id="88"/>
    </w:p>
    <w:p w14:paraId="39753A45">
      <w:pPr>
        <w:spacing w:before="156" w:beforeLines="50" w:after="156" w:afterLines="50" w:line="360" w:lineRule="auto"/>
        <w:jc w:val="center"/>
        <w:rPr>
          <w:rFonts w:hint="eastAsia" w:ascii="黑体" w:hAnsi="黑体" w:eastAsia="黑体"/>
          <w:sz w:val="28"/>
          <w:szCs w:val="28"/>
        </w:rPr>
      </w:pPr>
      <w:bookmarkStart w:id="90" w:name="_Toc200290572"/>
      <w:r>
        <w:rPr>
          <w:rFonts w:hint="eastAsia" w:ascii="黑体" w:hAnsi="黑体" w:eastAsia="黑体"/>
          <w:sz w:val="28"/>
          <w:szCs w:val="28"/>
        </w:rPr>
        <w:t>校准证书内页推荐格式</w:t>
      </w:r>
      <w:bookmarkEnd w:id="90"/>
    </w:p>
    <w:p w14:paraId="607FE1C4">
      <w:pPr>
        <w:widowControl/>
        <w:autoSpaceDE w:val="0"/>
        <w:autoSpaceDN w:val="0"/>
        <w:spacing w:line="360" w:lineRule="auto"/>
        <w:rPr>
          <w:sz w:val="24"/>
          <w:szCs w:val="24"/>
        </w:rPr>
      </w:pPr>
      <w:bookmarkStart w:id="91" w:name="_Toc3603_WPSOffice_Level1"/>
      <w:r>
        <w:rPr>
          <w:rFonts w:hint="eastAsia"/>
          <w:sz w:val="24"/>
          <w:szCs w:val="24"/>
        </w:rPr>
        <w:t>校准结果：</w:t>
      </w:r>
    </w:p>
    <w:p w14:paraId="75C14A90">
      <w:pPr>
        <w:spacing w:line="360" w:lineRule="auto"/>
        <w:ind w:firstLine="480" w:firstLineChars="200"/>
        <w:rPr>
          <w:sz w:val="24"/>
          <w:szCs w:val="24"/>
        </w:rPr>
      </w:pPr>
      <w:r>
        <w:rPr>
          <w:sz w:val="24"/>
          <w:szCs w:val="24"/>
        </w:rPr>
        <w:t>自噪声示值误差</w:t>
      </w:r>
    </w:p>
    <w:tbl>
      <w:tblPr>
        <w:tblStyle w:val="1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1256"/>
        <w:gridCol w:w="628"/>
        <w:gridCol w:w="628"/>
        <w:gridCol w:w="628"/>
        <w:gridCol w:w="628"/>
        <w:gridCol w:w="630"/>
        <w:gridCol w:w="2110"/>
        <w:gridCol w:w="1185"/>
        <w:gridCol w:w="1097"/>
      </w:tblGrid>
      <w:tr w14:paraId="21D65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 w:type="pct"/>
            <w:vAlign w:val="center"/>
          </w:tcPr>
          <w:p w14:paraId="66A95FB5">
            <w:pPr>
              <w:widowControl/>
              <w:autoSpaceDE w:val="0"/>
              <w:autoSpaceDN w:val="0"/>
              <w:jc w:val="center"/>
              <w:rPr>
                <w:sz w:val="24"/>
                <w:szCs w:val="24"/>
              </w:rPr>
            </w:pPr>
            <w:r>
              <w:rPr>
                <w:sz w:val="24"/>
                <w:szCs w:val="24"/>
              </w:rPr>
              <w:t>航速</w:t>
            </w:r>
          </w:p>
          <w:p w14:paraId="0AC9927A">
            <w:pPr>
              <w:widowControl/>
              <w:autoSpaceDE w:val="0"/>
              <w:autoSpaceDN w:val="0"/>
              <w:jc w:val="center"/>
              <w:rPr>
                <w:sz w:val="24"/>
                <w:szCs w:val="24"/>
              </w:rPr>
            </w:pPr>
            <w:r>
              <w:rPr>
                <w:sz w:val="24"/>
                <w:szCs w:val="24"/>
              </w:rPr>
              <w:t>kn</w:t>
            </w:r>
          </w:p>
        </w:tc>
        <w:tc>
          <w:tcPr>
            <w:tcW w:w="656" w:type="pct"/>
            <w:vAlign w:val="center"/>
          </w:tcPr>
          <w:p w14:paraId="7204FF20">
            <w:pPr>
              <w:widowControl/>
              <w:autoSpaceDE w:val="0"/>
              <w:autoSpaceDN w:val="0"/>
              <w:jc w:val="center"/>
              <w:rPr>
                <w:sz w:val="24"/>
                <w:szCs w:val="24"/>
              </w:rPr>
            </w:pPr>
            <w:r>
              <w:rPr>
                <w:sz w:val="24"/>
                <w:szCs w:val="24"/>
              </w:rPr>
              <w:t>自噪声监测系统示值</w:t>
            </w:r>
          </w:p>
          <w:p w14:paraId="44BC604B">
            <w:pPr>
              <w:widowControl/>
              <w:autoSpaceDE w:val="0"/>
              <w:autoSpaceDN w:val="0"/>
              <w:jc w:val="center"/>
              <w:rPr>
                <w:sz w:val="24"/>
                <w:szCs w:val="24"/>
              </w:rPr>
            </w:pPr>
            <w:r>
              <w:rPr>
                <w:sz w:val="24"/>
                <w:szCs w:val="24"/>
              </w:rPr>
              <w:t>dB</w:t>
            </w:r>
          </w:p>
        </w:tc>
        <w:tc>
          <w:tcPr>
            <w:tcW w:w="1641" w:type="pct"/>
            <w:gridSpan w:val="5"/>
            <w:vAlign w:val="center"/>
          </w:tcPr>
          <w:p w14:paraId="09C6E5DB">
            <w:pPr>
              <w:widowControl/>
              <w:autoSpaceDE w:val="0"/>
              <w:autoSpaceDN w:val="0"/>
              <w:jc w:val="center"/>
              <w:rPr>
                <w:sz w:val="24"/>
                <w:szCs w:val="24"/>
              </w:rPr>
            </w:pPr>
            <w:r>
              <w:rPr>
                <w:sz w:val="24"/>
                <w:szCs w:val="24"/>
              </w:rPr>
              <w:t>船载水声探测系统自噪声示值</w:t>
            </w:r>
          </w:p>
          <w:p w14:paraId="2E6CB669">
            <w:pPr>
              <w:widowControl/>
              <w:autoSpaceDE w:val="0"/>
              <w:autoSpaceDN w:val="0"/>
              <w:jc w:val="center"/>
              <w:rPr>
                <w:sz w:val="24"/>
                <w:szCs w:val="24"/>
              </w:rPr>
            </w:pPr>
            <w:r>
              <w:rPr>
                <w:sz w:val="24"/>
                <w:szCs w:val="24"/>
              </w:rPr>
              <w:t>dB</w:t>
            </w:r>
          </w:p>
        </w:tc>
        <w:tc>
          <w:tcPr>
            <w:tcW w:w="1102" w:type="pct"/>
            <w:vAlign w:val="center"/>
          </w:tcPr>
          <w:p w14:paraId="1B9EA84C">
            <w:pPr>
              <w:widowControl/>
              <w:autoSpaceDE w:val="0"/>
              <w:autoSpaceDN w:val="0"/>
              <w:jc w:val="center"/>
              <w:rPr>
                <w:sz w:val="24"/>
                <w:szCs w:val="24"/>
              </w:rPr>
            </w:pPr>
            <w:r>
              <w:rPr>
                <w:sz w:val="24"/>
                <w:szCs w:val="24"/>
              </w:rPr>
              <w:t>船载水声探测系统自噪声示值均值</w:t>
            </w:r>
          </w:p>
          <w:p w14:paraId="30AB3065">
            <w:pPr>
              <w:widowControl/>
              <w:autoSpaceDE w:val="0"/>
              <w:autoSpaceDN w:val="0"/>
              <w:jc w:val="center"/>
              <w:rPr>
                <w:sz w:val="24"/>
                <w:szCs w:val="24"/>
              </w:rPr>
            </w:pPr>
            <w:r>
              <w:rPr>
                <w:sz w:val="24"/>
                <w:szCs w:val="24"/>
              </w:rPr>
              <w:t>dB</w:t>
            </w:r>
          </w:p>
        </w:tc>
        <w:tc>
          <w:tcPr>
            <w:tcW w:w="619" w:type="pct"/>
            <w:vAlign w:val="center"/>
          </w:tcPr>
          <w:p w14:paraId="326C62CA">
            <w:pPr>
              <w:widowControl/>
              <w:autoSpaceDE w:val="0"/>
              <w:autoSpaceDN w:val="0"/>
              <w:jc w:val="center"/>
              <w:rPr>
                <w:sz w:val="24"/>
                <w:szCs w:val="24"/>
              </w:rPr>
            </w:pPr>
            <w:r>
              <w:rPr>
                <w:rFonts w:hint="eastAsia"/>
                <w:sz w:val="24"/>
                <w:szCs w:val="24"/>
              </w:rPr>
              <w:t>自噪声</w:t>
            </w:r>
            <w:r>
              <w:rPr>
                <w:sz w:val="24"/>
                <w:szCs w:val="24"/>
              </w:rPr>
              <w:t>示值误差</w:t>
            </w:r>
          </w:p>
          <w:p w14:paraId="0316BFE5">
            <w:pPr>
              <w:widowControl/>
              <w:autoSpaceDE w:val="0"/>
              <w:autoSpaceDN w:val="0"/>
              <w:jc w:val="center"/>
              <w:rPr>
                <w:sz w:val="24"/>
                <w:szCs w:val="24"/>
              </w:rPr>
            </w:pPr>
            <w:r>
              <w:rPr>
                <w:sz w:val="24"/>
                <w:szCs w:val="24"/>
              </w:rPr>
              <w:t>dB</w:t>
            </w:r>
          </w:p>
        </w:tc>
        <w:tc>
          <w:tcPr>
            <w:tcW w:w="573" w:type="pct"/>
            <w:vAlign w:val="center"/>
          </w:tcPr>
          <w:p w14:paraId="1ACC65DF">
            <w:pPr>
              <w:widowControl/>
              <w:autoSpaceDE w:val="0"/>
              <w:autoSpaceDN w:val="0"/>
              <w:jc w:val="center"/>
              <w:rPr>
                <w:sz w:val="24"/>
                <w:szCs w:val="24"/>
              </w:rPr>
            </w:pPr>
            <w:r>
              <w:rPr>
                <w:sz w:val="24"/>
                <w:szCs w:val="24"/>
              </w:rPr>
              <w:t>测量不确定度</w:t>
            </w:r>
          </w:p>
          <w:p w14:paraId="2E6CDFE7">
            <w:pPr>
              <w:widowControl/>
              <w:autoSpaceDE w:val="0"/>
              <w:autoSpaceDN w:val="0"/>
              <w:jc w:val="center"/>
              <w:rPr>
                <w:sz w:val="24"/>
                <w:szCs w:val="24"/>
              </w:rPr>
            </w:pPr>
            <w:r>
              <w:rPr>
                <w:sz w:val="24"/>
                <w:szCs w:val="24"/>
              </w:rPr>
              <w:t>（</w:t>
            </w:r>
            <w:r>
              <w:rPr>
                <w:i/>
                <w:sz w:val="24"/>
                <w:szCs w:val="24"/>
              </w:rPr>
              <w:t>k</w:t>
            </w:r>
            <w:r>
              <w:rPr>
                <w:sz w:val="24"/>
                <w:szCs w:val="24"/>
              </w:rPr>
              <w:t>=2）</w:t>
            </w:r>
          </w:p>
        </w:tc>
      </w:tr>
      <w:tr w14:paraId="283D7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9" w:type="pct"/>
            <w:vMerge w:val="restart"/>
            <w:vAlign w:val="center"/>
          </w:tcPr>
          <w:p w14:paraId="3764CD5F">
            <w:pPr>
              <w:jc w:val="center"/>
              <w:rPr>
                <w:sz w:val="24"/>
                <w:szCs w:val="24"/>
              </w:rPr>
            </w:pPr>
          </w:p>
        </w:tc>
        <w:tc>
          <w:tcPr>
            <w:tcW w:w="656" w:type="pct"/>
            <w:vMerge w:val="restart"/>
            <w:vAlign w:val="center"/>
          </w:tcPr>
          <w:p w14:paraId="312789E2">
            <w:pPr>
              <w:jc w:val="center"/>
              <w:rPr>
                <w:sz w:val="24"/>
                <w:szCs w:val="24"/>
              </w:rPr>
            </w:pPr>
          </w:p>
        </w:tc>
        <w:tc>
          <w:tcPr>
            <w:tcW w:w="328" w:type="pct"/>
            <w:vAlign w:val="center"/>
          </w:tcPr>
          <w:p w14:paraId="54E16ACF">
            <w:pPr>
              <w:jc w:val="center"/>
              <w:rPr>
                <w:sz w:val="24"/>
                <w:szCs w:val="24"/>
              </w:rPr>
            </w:pPr>
          </w:p>
        </w:tc>
        <w:tc>
          <w:tcPr>
            <w:tcW w:w="328" w:type="pct"/>
            <w:vAlign w:val="center"/>
          </w:tcPr>
          <w:p w14:paraId="66CB5A84">
            <w:pPr>
              <w:jc w:val="center"/>
              <w:rPr>
                <w:sz w:val="24"/>
                <w:szCs w:val="24"/>
              </w:rPr>
            </w:pPr>
          </w:p>
        </w:tc>
        <w:tc>
          <w:tcPr>
            <w:tcW w:w="328" w:type="pct"/>
            <w:vAlign w:val="center"/>
          </w:tcPr>
          <w:p w14:paraId="225C798F">
            <w:pPr>
              <w:jc w:val="center"/>
              <w:rPr>
                <w:sz w:val="24"/>
                <w:szCs w:val="24"/>
              </w:rPr>
            </w:pPr>
          </w:p>
        </w:tc>
        <w:tc>
          <w:tcPr>
            <w:tcW w:w="328" w:type="pct"/>
            <w:vAlign w:val="center"/>
          </w:tcPr>
          <w:p w14:paraId="50B0233D">
            <w:pPr>
              <w:jc w:val="center"/>
              <w:rPr>
                <w:sz w:val="24"/>
                <w:szCs w:val="24"/>
              </w:rPr>
            </w:pPr>
          </w:p>
        </w:tc>
        <w:tc>
          <w:tcPr>
            <w:tcW w:w="329" w:type="pct"/>
            <w:vAlign w:val="center"/>
          </w:tcPr>
          <w:p w14:paraId="1044AF28">
            <w:pPr>
              <w:jc w:val="center"/>
              <w:rPr>
                <w:sz w:val="24"/>
                <w:szCs w:val="24"/>
              </w:rPr>
            </w:pPr>
          </w:p>
        </w:tc>
        <w:tc>
          <w:tcPr>
            <w:tcW w:w="1102" w:type="pct"/>
            <w:vAlign w:val="center"/>
          </w:tcPr>
          <w:p w14:paraId="36005CC3">
            <w:pPr>
              <w:jc w:val="center"/>
              <w:rPr>
                <w:sz w:val="24"/>
                <w:szCs w:val="24"/>
              </w:rPr>
            </w:pPr>
          </w:p>
        </w:tc>
        <w:tc>
          <w:tcPr>
            <w:tcW w:w="619" w:type="pct"/>
            <w:vAlign w:val="center"/>
          </w:tcPr>
          <w:p w14:paraId="46F36667">
            <w:pPr>
              <w:jc w:val="center"/>
              <w:rPr>
                <w:sz w:val="24"/>
                <w:szCs w:val="24"/>
              </w:rPr>
            </w:pPr>
          </w:p>
        </w:tc>
        <w:tc>
          <w:tcPr>
            <w:tcW w:w="573" w:type="pct"/>
            <w:vMerge w:val="restart"/>
            <w:vAlign w:val="center"/>
          </w:tcPr>
          <w:p w14:paraId="02AC54CA">
            <w:pPr>
              <w:jc w:val="center"/>
              <w:rPr>
                <w:sz w:val="24"/>
                <w:szCs w:val="24"/>
              </w:rPr>
            </w:pPr>
          </w:p>
        </w:tc>
      </w:tr>
      <w:tr w14:paraId="1BE62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409" w:type="pct"/>
            <w:vMerge w:val="continue"/>
            <w:vAlign w:val="center"/>
          </w:tcPr>
          <w:p w14:paraId="58BB234E">
            <w:pPr>
              <w:jc w:val="center"/>
              <w:rPr>
                <w:sz w:val="24"/>
                <w:szCs w:val="24"/>
              </w:rPr>
            </w:pPr>
          </w:p>
        </w:tc>
        <w:tc>
          <w:tcPr>
            <w:tcW w:w="656" w:type="pct"/>
            <w:vMerge w:val="continue"/>
            <w:vAlign w:val="center"/>
          </w:tcPr>
          <w:p w14:paraId="1E464034">
            <w:pPr>
              <w:jc w:val="center"/>
              <w:rPr>
                <w:sz w:val="24"/>
                <w:szCs w:val="24"/>
              </w:rPr>
            </w:pPr>
          </w:p>
        </w:tc>
        <w:tc>
          <w:tcPr>
            <w:tcW w:w="328" w:type="pct"/>
            <w:vAlign w:val="center"/>
          </w:tcPr>
          <w:p w14:paraId="0819CEB4">
            <w:pPr>
              <w:jc w:val="center"/>
              <w:rPr>
                <w:sz w:val="24"/>
                <w:szCs w:val="24"/>
              </w:rPr>
            </w:pPr>
          </w:p>
        </w:tc>
        <w:tc>
          <w:tcPr>
            <w:tcW w:w="328" w:type="pct"/>
            <w:vAlign w:val="center"/>
          </w:tcPr>
          <w:p w14:paraId="611B91A0">
            <w:pPr>
              <w:jc w:val="center"/>
              <w:rPr>
                <w:sz w:val="24"/>
                <w:szCs w:val="24"/>
              </w:rPr>
            </w:pPr>
          </w:p>
        </w:tc>
        <w:tc>
          <w:tcPr>
            <w:tcW w:w="328" w:type="pct"/>
            <w:vAlign w:val="center"/>
          </w:tcPr>
          <w:p w14:paraId="79AE96D7">
            <w:pPr>
              <w:jc w:val="center"/>
              <w:rPr>
                <w:sz w:val="24"/>
                <w:szCs w:val="24"/>
              </w:rPr>
            </w:pPr>
          </w:p>
        </w:tc>
        <w:tc>
          <w:tcPr>
            <w:tcW w:w="328" w:type="pct"/>
            <w:vAlign w:val="center"/>
          </w:tcPr>
          <w:p w14:paraId="39DDAFA4">
            <w:pPr>
              <w:jc w:val="center"/>
              <w:rPr>
                <w:sz w:val="24"/>
                <w:szCs w:val="24"/>
              </w:rPr>
            </w:pPr>
          </w:p>
        </w:tc>
        <w:tc>
          <w:tcPr>
            <w:tcW w:w="329" w:type="pct"/>
            <w:vAlign w:val="center"/>
          </w:tcPr>
          <w:p w14:paraId="08A7F209">
            <w:pPr>
              <w:jc w:val="center"/>
              <w:rPr>
                <w:sz w:val="24"/>
                <w:szCs w:val="24"/>
              </w:rPr>
            </w:pPr>
          </w:p>
        </w:tc>
        <w:tc>
          <w:tcPr>
            <w:tcW w:w="1102" w:type="pct"/>
            <w:vAlign w:val="center"/>
          </w:tcPr>
          <w:p w14:paraId="2DFCF360">
            <w:pPr>
              <w:jc w:val="center"/>
              <w:rPr>
                <w:sz w:val="24"/>
                <w:szCs w:val="24"/>
              </w:rPr>
            </w:pPr>
          </w:p>
        </w:tc>
        <w:tc>
          <w:tcPr>
            <w:tcW w:w="619" w:type="pct"/>
            <w:vAlign w:val="center"/>
          </w:tcPr>
          <w:p w14:paraId="5C1174E0">
            <w:pPr>
              <w:jc w:val="center"/>
              <w:rPr>
                <w:sz w:val="24"/>
                <w:szCs w:val="24"/>
              </w:rPr>
            </w:pPr>
          </w:p>
        </w:tc>
        <w:tc>
          <w:tcPr>
            <w:tcW w:w="573" w:type="pct"/>
            <w:vMerge w:val="continue"/>
            <w:vAlign w:val="center"/>
          </w:tcPr>
          <w:p w14:paraId="24BDAEC3">
            <w:pPr>
              <w:jc w:val="center"/>
              <w:rPr>
                <w:sz w:val="24"/>
                <w:szCs w:val="24"/>
              </w:rPr>
            </w:pPr>
          </w:p>
        </w:tc>
      </w:tr>
      <w:tr w14:paraId="655E5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9" w:type="pct"/>
            <w:vMerge w:val="continue"/>
            <w:vAlign w:val="center"/>
          </w:tcPr>
          <w:p w14:paraId="683ABE06">
            <w:pPr>
              <w:jc w:val="center"/>
              <w:rPr>
                <w:sz w:val="24"/>
                <w:szCs w:val="24"/>
              </w:rPr>
            </w:pPr>
          </w:p>
        </w:tc>
        <w:tc>
          <w:tcPr>
            <w:tcW w:w="656" w:type="pct"/>
            <w:vMerge w:val="continue"/>
            <w:vAlign w:val="center"/>
          </w:tcPr>
          <w:p w14:paraId="3098E50A">
            <w:pPr>
              <w:jc w:val="center"/>
              <w:rPr>
                <w:sz w:val="24"/>
                <w:szCs w:val="24"/>
              </w:rPr>
            </w:pPr>
          </w:p>
        </w:tc>
        <w:tc>
          <w:tcPr>
            <w:tcW w:w="328" w:type="pct"/>
            <w:vAlign w:val="center"/>
          </w:tcPr>
          <w:p w14:paraId="749789F2">
            <w:pPr>
              <w:jc w:val="center"/>
              <w:rPr>
                <w:sz w:val="24"/>
                <w:szCs w:val="24"/>
              </w:rPr>
            </w:pPr>
          </w:p>
        </w:tc>
        <w:tc>
          <w:tcPr>
            <w:tcW w:w="328" w:type="pct"/>
            <w:vAlign w:val="center"/>
          </w:tcPr>
          <w:p w14:paraId="7493F688">
            <w:pPr>
              <w:jc w:val="center"/>
              <w:rPr>
                <w:sz w:val="24"/>
                <w:szCs w:val="24"/>
              </w:rPr>
            </w:pPr>
          </w:p>
        </w:tc>
        <w:tc>
          <w:tcPr>
            <w:tcW w:w="328" w:type="pct"/>
            <w:vAlign w:val="center"/>
          </w:tcPr>
          <w:p w14:paraId="6B65B5B7">
            <w:pPr>
              <w:jc w:val="center"/>
              <w:rPr>
                <w:sz w:val="24"/>
                <w:szCs w:val="24"/>
              </w:rPr>
            </w:pPr>
          </w:p>
        </w:tc>
        <w:tc>
          <w:tcPr>
            <w:tcW w:w="328" w:type="pct"/>
            <w:vAlign w:val="center"/>
          </w:tcPr>
          <w:p w14:paraId="37F9267E">
            <w:pPr>
              <w:jc w:val="center"/>
              <w:rPr>
                <w:sz w:val="24"/>
                <w:szCs w:val="24"/>
              </w:rPr>
            </w:pPr>
          </w:p>
        </w:tc>
        <w:tc>
          <w:tcPr>
            <w:tcW w:w="329" w:type="pct"/>
            <w:vAlign w:val="center"/>
          </w:tcPr>
          <w:p w14:paraId="6C4670BC">
            <w:pPr>
              <w:jc w:val="center"/>
              <w:rPr>
                <w:sz w:val="24"/>
                <w:szCs w:val="24"/>
              </w:rPr>
            </w:pPr>
          </w:p>
        </w:tc>
        <w:tc>
          <w:tcPr>
            <w:tcW w:w="1102" w:type="pct"/>
            <w:vAlign w:val="center"/>
          </w:tcPr>
          <w:p w14:paraId="655FC8A4">
            <w:pPr>
              <w:jc w:val="center"/>
              <w:rPr>
                <w:sz w:val="24"/>
                <w:szCs w:val="24"/>
              </w:rPr>
            </w:pPr>
          </w:p>
        </w:tc>
        <w:tc>
          <w:tcPr>
            <w:tcW w:w="619" w:type="pct"/>
            <w:vAlign w:val="center"/>
          </w:tcPr>
          <w:p w14:paraId="26A12E98">
            <w:pPr>
              <w:jc w:val="center"/>
              <w:rPr>
                <w:sz w:val="24"/>
                <w:szCs w:val="24"/>
              </w:rPr>
            </w:pPr>
          </w:p>
        </w:tc>
        <w:tc>
          <w:tcPr>
            <w:tcW w:w="573" w:type="pct"/>
            <w:vMerge w:val="continue"/>
            <w:vAlign w:val="center"/>
          </w:tcPr>
          <w:p w14:paraId="10855018">
            <w:pPr>
              <w:jc w:val="center"/>
              <w:rPr>
                <w:sz w:val="24"/>
                <w:szCs w:val="24"/>
              </w:rPr>
            </w:pPr>
          </w:p>
        </w:tc>
      </w:tr>
      <w:tr w14:paraId="4996F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9" w:type="pct"/>
            <w:vMerge w:val="continue"/>
            <w:vAlign w:val="center"/>
          </w:tcPr>
          <w:p w14:paraId="6F6882D1">
            <w:pPr>
              <w:jc w:val="center"/>
              <w:rPr>
                <w:sz w:val="24"/>
                <w:szCs w:val="24"/>
              </w:rPr>
            </w:pPr>
          </w:p>
        </w:tc>
        <w:tc>
          <w:tcPr>
            <w:tcW w:w="656" w:type="pct"/>
            <w:vMerge w:val="continue"/>
            <w:vAlign w:val="center"/>
          </w:tcPr>
          <w:p w14:paraId="176F840A">
            <w:pPr>
              <w:jc w:val="center"/>
              <w:rPr>
                <w:sz w:val="24"/>
                <w:szCs w:val="24"/>
              </w:rPr>
            </w:pPr>
          </w:p>
        </w:tc>
        <w:tc>
          <w:tcPr>
            <w:tcW w:w="328" w:type="pct"/>
            <w:vAlign w:val="center"/>
          </w:tcPr>
          <w:p w14:paraId="2C292DB4">
            <w:pPr>
              <w:jc w:val="center"/>
              <w:rPr>
                <w:sz w:val="24"/>
                <w:szCs w:val="24"/>
              </w:rPr>
            </w:pPr>
          </w:p>
        </w:tc>
        <w:tc>
          <w:tcPr>
            <w:tcW w:w="328" w:type="pct"/>
            <w:vAlign w:val="center"/>
          </w:tcPr>
          <w:p w14:paraId="42CB2377">
            <w:pPr>
              <w:jc w:val="center"/>
              <w:rPr>
                <w:sz w:val="24"/>
                <w:szCs w:val="24"/>
              </w:rPr>
            </w:pPr>
          </w:p>
        </w:tc>
        <w:tc>
          <w:tcPr>
            <w:tcW w:w="328" w:type="pct"/>
            <w:vAlign w:val="center"/>
          </w:tcPr>
          <w:p w14:paraId="061C543E">
            <w:pPr>
              <w:jc w:val="center"/>
              <w:rPr>
                <w:sz w:val="24"/>
                <w:szCs w:val="24"/>
              </w:rPr>
            </w:pPr>
          </w:p>
        </w:tc>
        <w:tc>
          <w:tcPr>
            <w:tcW w:w="328" w:type="pct"/>
            <w:vAlign w:val="center"/>
          </w:tcPr>
          <w:p w14:paraId="07D870FF">
            <w:pPr>
              <w:jc w:val="center"/>
              <w:rPr>
                <w:sz w:val="24"/>
                <w:szCs w:val="24"/>
              </w:rPr>
            </w:pPr>
          </w:p>
        </w:tc>
        <w:tc>
          <w:tcPr>
            <w:tcW w:w="329" w:type="pct"/>
            <w:vAlign w:val="center"/>
          </w:tcPr>
          <w:p w14:paraId="15738908">
            <w:pPr>
              <w:jc w:val="center"/>
              <w:rPr>
                <w:sz w:val="24"/>
                <w:szCs w:val="24"/>
              </w:rPr>
            </w:pPr>
          </w:p>
        </w:tc>
        <w:tc>
          <w:tcPr>
            <w:tcW w:w="1102" w:type="pct"/>
            <w:vAlign w:val="center"/>
          </w:tcPr>
          <w:p w14:paraId="0C5CB9B2">
            <w:pPr>
              <w:jc w:val="center"/>
              <w:rPr>
                <w:sz w:val="24"/>
                <w:szCs w:val="24"/>
              </w:rPr>
            </w:pPr>
          </w:p>
        </w:tc>
        <w:tc>
          <w:tcPr>
            <w:tcW w:w="619" w:type="pct"/>
            <w:vAlign w:val="center"/>
          </w:tcPr>
          <w:p w14:paraId="5C4CA792">
            <w:pPr>
              <w:jc w:val="center"/>
              <w:rPr>
                <w:sz w:val="24"/>
                <w:szCs w:val="24"/>
              </w:rPr>
            </w:pPr>
          </w:p>
        </w:tc>
        <w:tc>
          <w:tcPr>
            <w:tcW w:w="573" w:type="pct"/>
            <w:vMerge w:val="continue"/>
            <w:vAlign w:val="center"/>
          </w:tcPr>
          <w:p w14:paraId="03C577F1">
            <w:pPr>
              <w:jc w:val="center"/>
              <w:rPr>
                <w:sz w:val="24"/>
                <w:szCs w:val="24"/>
              </w:rPr>
            </w:pPr>
          </w:p>
        </w:tc>
      </w:tr>
      <w:tr w14:paraId="3AB8E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409" w:type="pct"/>
            <w:vMerge w:val="continue"/>
            <w:vAlign w:val="center"/>
          </w:tcPr>
          <w:p w14:paraId="4031572F">
            <w:pPr>
              <w:jc w:val="center"/>
              <w:rPr>
                <w:sz w:val="24"/>
                <w:szCs w:val="24"/>
              </w:rPr>
            </w:pPr>
          </w:p>
        </w:tc>
        <w:tc>
          <w:tcPr>
            <w:tcW w:w="656" w:type="pct"/>
            <w:vMerge w:val="continue"/>
            <w:vAlign w:val="center"/>
          </w:tcPr>
          <w:p w14:paraId="3FEA81DD">
            <w:pPr>
              <w:jc w:val="center"/>
              <w:rPr>
                <w:sz w:val="24"/>
                <w:szCs w:val="24"/>
              </w:rPr>
            </w:pPr>
          </w:p>
        </w:tc>
        <w:tc>
          <w:tcPr>
            <w:tcW w:w="328" w:type="pct"/>
            <w:vAlign w:val="center"/>
          </w:tcPr>
          <w:p w14:paraId="2284C252">
            <w:pPr>
              <w:jc w:val="center"/>
              <w:rPr>
                <w:sz w:val="24"/>
                <w:szCs w:val="24"/>
              </w:rPr>
            </w:pPr>
          </w:p>
        </w:tc>
        <w:tc>
          <w:tcPr>
            <w:tcW w:w="328" w:type="pct"/>
            <w:vAlign w:val="center"/>
          </w:tcPr>
          <w:p w14:paraId="5A1F7EC2">
            <w:pPr>
              <w:jc w:val="center"/>
              <w:rPr>
                <w:sz w:val="24"/>
                <w:szCs w:val="24"/>
              </w:rPr>
            </w:pPr>
          </w:p>
        </w:tc>
        <w:tc>
          <w:tcPr>
            <w:tcW w:w="328" w:type="pct"/>
            <w:vAlign w:val="center"/>
          </w:tcPr>
          <w:p w14:paraId="054EB072">
            <w:pPr>
              <w:jc w:val="center"/>
              <w:rPr>
                <w:sz w:val="24"/>
                <w:szCs w:val="24"/>
              </w:rPr>
            </w:pPr>
          </w:p>
        </w:tc>
        <w:tc>
          <w:tcPr>
            <w:tcW w:w="328" w:type="pct"/>
            <w:vAlign w:val="center"/>
          </w:tcPr>
          <w:p w14:paraId="36D3C255">
            <w:pPr>
              <w:jc w:val="center"/>
              <w:rPr>
                <w:sz w:val="24"/>
                <w:szCs w:val="24"/>
              </w:rPr>
            </w:pPr>
          </w:p>
        </w:tc>
        <w:tc>
          <w:tcPr>
            <w:tcW w:w="329" w:type="pct"/>
            <w:vAlign w:val="center"/>
          </w:tcPr>
          <w:p w14:paraId="74D30434">
            <w:pPr>
              <w:jc w:val="center"/>
              <w:rPr>
                <w:sz w:val="24"/>
                <w:szCs w:val="24"/>
              </w:rPr>
            </w:pPr>
          </w:p>
        </w:tc>
        <w:tc>
          <w:tcPr>
            <w:tcW w:w="1102" w:type="pct"/>
            <w:vAlign w:val="center"/>
          </w:tcPr>
          <w:p w14:paraId="5E552A1D">
            <w:pPr>
              <w:jc w:val="center"/>
              <w:rPr>
                <w:sz w:val="24"/>
                <w:szCs w:val="24"/>
              </w:rPr>
            </w:pPr>
          </w:p>
        </w:tc>
        <w:tc>
          <w:tcPr>
            <w:tcW w:w="619" w:type="pct"/>
            <w:vAlign w:val="center"/>
          </w:tcPr>
          <w:p w14:paraId="043D71AE">
            <w:pPr>
              <w:jc w:val="center"/>
              <w:rPr>
                <w:sz w:val="24"/>
                <w:szCs w:val="24"/>
              </w:rPr>
            </w:pPr>
          </w:p>
        </w:tc>
        <w:tc>
          <w:tcPr>
            <w:tcW w:w="573" w:type="pct"/>
            <w:vMerge w:val="continue"/>
            <w:vAlign w:val="center"/>
          </w:tcPr>
          <w:p w14:paraId="443EDD34">
            <w:pPr>
              <w:jc w:val="center"/>
              <w:rPr>
                <w:sz w:val="24"/>
                <w:szCs w:val="24"/>
              </w:rPr>
            </w:pPr>
          </w:p>
        </w:tc>
      </w:tr>
      <w:tr w14:paraId="1CF85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409" w:type="pct"/>
            <w:vMerge w:val="restart"/>
            <w:vAlign w:val="center"/>
          </w:tcPr>
          <w:p w14:paraId="62B03A2C">
            <w:pPr>
              <w:jc w:val="center"/>
              <w:rPr>
                <w:sz w:val="24"/>
                <w:szCs w:val="24"/>
              </w:rPr>
            </w:pPr>
          </w:p>
        </w:tc>
        <w:tc>
          <w:tcPr>
            <w:tcW w:w="656" w:type="pct"/>
            <w:vMerge w:val="restart"/>
            <w:vAlign w:val="center"/>
          </w:tcPr>
          <w:p w14:paraId="1DB4A7CB">
            <w:pPr>
              <w:jc w:val="center"/>
              <w:rPr>
                <w:sz w:val="24"/>
                <w:szCs w:val="24"/>
              </w:rPr>
            </w:pPr>
          </w:p>
        </w:tc>
        <w:tc>
          <w:tcPr>
            <w:tcW w:w="328" w:type="pct"/>
            <w:vAlign w:val="center"/>
          </w:tcPr>
          <w:p w14:paraId="3695C940">
            <w:pPr>
              <w:jc w:val="center"/>
              <w:rPr>
                <w:sz w:val="24"/>
                <w:szCs w:val="24"/>
              </w:rPr>
            </w:pPr>
          </w:p>
        </w:tc>
        <w:tc>
          <w:tcPr>
            <w:tcW w:w="328" w:type="pct"/>
            <w:vAlign w:val="center"/>
          </w:tcPr>
          <w:p w14:paraId="2B566010">
            <w:pPr>
              <w:jc w:val="center"/>
              <w:rPr>
                <w:sz w:val="24"/>
                <w:szCs w:val="24"/>
              </w:rPr>
            </w:pPr>
          </w:p>
        </w:tc>
        <w:tc>
          <w:tcPr>
            <w:tcW w:w="328" w:type="pct"/>
            <w:vAlign w:val="center"/>
          </w:tcPr>
          <w:p w14:paraId="2BB0080D">
            <w:pPr>
              <w:jc w:val="center"/>
              <w:rPr>
                <w:sz w:val="24"/>
                <w:szCs w:val="24"/>
              </w:rPr>
            </w:pPr>
          </w:p>
        </w:tc>
        <w:tc>
          <w:tcPr>
            <w:tcW w:w="328" w:type="pct"/>
            <w:vAlign w:val="center"/>
          </w:tcPr>
          <w:p w14:paraId="1B31A414">
            <w:pPr>
              <w:jc w:val="center"/>
              <w:rPr>
                <w:sz w:val="24"/>
                <w:szCs w:val="24"/>
              </w:rPr>
            </w:pPr>
          </w:p>
        </w:tc>
        <w:tc>
          <w:tcPr>
            <w:tcW w:w="329" w:type="pct"/>
            <w:vAlign w:val="center"/>
          </w:tcPr>
          <w:p w14:paraId="5A70666F">
            <w:pPr>
              <w:jc w:val="center"/>
              <w:rPr>
                <w:sz w:val="24"/>
                <w:szCs w:val="24"/>
              </w:rPr>
            </w:pPr>
          </w:p>
        </w:tc>
        <w:tc>
          <w:tcPr>
            <w:tcW w:w="1102" w:type="pct"/>
            <w:vAlign w:val="center"/>
          </w:tcPr>
          <w:p w14:paraId="2516A1FE">
            <w:pPr>
              <w:jc w:val="center"/>
              <w:rPr>
                <w:sz w:val="24"/>
                <w:szCs w:val="24"/>
              </w:rPr>
            </w:pPr>
          </w:p>
        </w:tc>
        <w:tc>
          <w:tcPr>
            <w:tcW w:w="619" w:type="pct"/>
            <w:vAlign w:val="center"/>
          </w:tcPr>
          <w:p w14:paraId="705155CD">
            <w:pPr>
              <w:jc w:val="center"/>
              <w:rPr>
                <w:sz w:val="24"/>
                <w:szCs w:val="24"/>
              </w:rPr>
            </w:pPr>
          </w:p>
        </w:tc>
        <w:tc>
          <w:tcPr>
            <w:tcW w:w="573" w:type="pct"/>
            <w:vMerge w:val="restart"/>
            <w:vAlign w:val="center"/>
          </w:tcPr>
          <w:p w14:paraId="7B559314">
            <w:pPr>
              <w:jc w:val="center"/>
              <w:rPr>
                <w:sz w:val="24"/>
                <w:szCs w:val="24"/>
              </w:rPr>
            </w:pPr>
          </w:p>
        </w:tc>
      </w:tr>
      <w:tr w14:paraId="01CBA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3" w:hRule="atLeast"/>
        </w:trPr>
        <w:tc>
          <w:tcPr>
            <w:tcW w:w="409" w:type="pct"/>
            <w:vMerge w:val="continue"/>
            <w:vAlign w:val="center"/>
          </w:tcPr>
          <w:p w14:paraId="7F606845">
            <w:pPr>
              <w:jc w:val="center"/>
              <w:rPr>
                <w:sz w:val="24"/>
                <w:szCs w:val="24"/>
              </w:rPr>
            </w:pPr>
          </w:p>
        </w:tc>
        <w:tc>
          <w:tcPr>
            <w:tcW w:w="656" w:type="pct"/>
            <w:vMerge w:val="continue"/>
            <w:vAlign w:val="center"/>
          </w:tcPr>
          <w:p w14:paraId="308D1BE6">
            <w:pPr>
              <w:jc w:val="center"/>
              <w:rPr>
                <w:sz w:val="24"/>
                <w:szCs w:val="24"/>
              </w:rPr>
            </w:pPr>
          </w:p>
        </w:tc>
        <w:tc>
          <w:tcPr>
            <w:tcW w:w="328" w:type="pct"/>
            <w:vAlign w:val="center"/>
          </w:tcPr>
          <w:p w14:paraId="307411B6">
            <w:pPr>
              <w:jc w:val="center"/>
              <w:rPr>
                <w:sz w:val="24"/>
                <w:szCs w:val="24"/>
              </w:rPr>
            </w:pPr>
          </w:p>
        </w:tc>
        <w:tc>
          <w:tcPr>
            <w:tcW w:w="328" w:type="pct"/>
            <w:vAlign w:val="center"/>
          </w:tcPr>
          <w:p w14:paraId="6FD82DB5">
            <w:pPr>
              <w:jc w:val="center"/>
              <w:rPr>
                <w:sz w:val="24"/>
                <w:szCs w:val="24"/>
              </w:rPr>
            </w:pPr>
          </w:p>
        </w:tc>
        <w:tc>
          <w:tcPr>
            <w:tcW w:w="328" w:type="pct"/>
            <w:vAlign w:val="center"/>
          </w:tcPr>
          <w:p w14:paraId="535E7A9B">
            <w:pPr>
              <w:jc w:val="center"/>
              <w:rPr>
                <w:sz w:val="24"/>
                <w:szCs w:val="24"/>
              </w:rPr>
            </w:pPr>
          </w:p>
        </w:tc>
        <w:tc>
          <w:tcPr>
            <w:tcW w:w="328" w:type="pct"/>
            <w:vAlign w:val="center"/>
          </w:tcPr>
          <w:p w14:paraId="6A925DE7">
            <w:pPr>
              <w:jc w:val="center"/>
              <w:rPr>
                <w:sz w:val="24"/>
                <w:szCs w:val="24"/>
              </w:rPr>
            </w:pPr>
          </w:p>
        </w:tc>
        <w:tc>
          <w:tcPr>
            <w:tcW w:w="329" w:type="pct"/>
            <w:vAlign w:val="center"/>
          </w:tcPr>
          <w:p w14:paraId="0C295FB5">
            <w:pPr>
              <w:jc w:val="center"/>
              <w:rPr>
                <w:sz w:val="24"/>
                <w:szCs w:val="24"/>
              </w:rPr>
            </w:pPr>
          </w:p>
        </w:tc>
        <w:tc>
          <w:tcPr>
            <w:tcW w:w="1102" w:type="pct"/>
            <w:vAlign w:val="center"/>
          </w:tcPr>
          <w:p w14:paraId="2A494EBD">
            <w:pPr>
              <w:jc w:val="center"/>
              <w:rPr>
                <w:sz w:val="24"/>
                <w:szCs w:val="24"/>
              </w:rPr>
            </w:pPr>
          </w:p>
        </w:tc>
        <w:tc>
          <w:tcPr>
            <w:tcW w:w="619" w:type="pct"/>
            <w:vAlign w:val="center"/>
          </w:tcPr>
          <w:p w14:paraId="595E7409">
            <w:pPr>
              <w:jc w:val="center"/>
              <w:rPr>
                <w:sz w:val="24"/>
                <w:szCs w:val="24"/>
              </w:rPr>
            </w:pPr>
          </w:p>
        </w:tc>
        <w:tc>
          <w:tcPr>
            <w:tcW w:w="573" w:type="pct"/>
            <w:vMerge w:val="continue"/>
            <w:vAlign w:val="center"/>
          </w:tcPr>
          <w:p w14:paraId="17967322">
            <w:pPr>
              <w:jc w:val="center"/>
              <w:rPr>
                <w:sz w:val="24"/>
                <w:szCs w:val="24"/>
              </w:rPr>
            </w:pPr>
          </w:p>
        </w:tc>
      </w:tr>
      <w:tr w14:paraId="5F2A7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trPr>
        <w:tc>
          <w:tcPr>
            <w:tcW w:w="409" w:type="pct"/>
            <w:vMerge w:val="continue"/>
            <w:vAlign w:val="center"/>
          </w:tcPr>
          <w:p w14:paraId="7DF150F6">
            <w:pPr>
              <w:jc w:val="center"/>
              <w:rPr>
                <w:sz w:val="24"/>
                <w:szCs w:val="24"/>
              </w:rPr>
            </w:pPr>
          </w:p>
        </w:tc>
        <w:tc>
          <w:tcPr>
            <w:tcW w:w="656" w:type="pct"/>
            <w:vMerge w:val="continue"/>
            <w:vAlign w:val="center"/>
          </w:tcPr>
          <w:p w14:paraId="2DBBFAFC">
            <w:pPr>
              <w:jc w:val="center"/>
              <w:rPr>
                <w:sz w:val="24"/>
                <w:szCs w:val="24"/>
              </w:rPr>
            </w:pPr>
          </w:p>
        </w:tc>
        <w:tc>
          <w:tcPr>
            <w:tcW w:w="328" w:type="pct"/>
            <w:vAlign w:val="center"/>
          </w:tcPr>
          <w:p w14:paraId="1F986BA4">
            <w:pPr>
              <w:jc w:val="center"/>
              <w:rPr>
                <w:sz w:val="24"/>
                <w:szCs w:val="24"/>
              </w:rPr>
            </w:pPr>
          </w:p>
        </w:tc>
        <w:tc>
          <w:tcPr>
            <w:tcW w:w="328" w:type="pct"/>
            <w:vAlign w:val="center"/>
          </w:tcPr>
          <w:p w14:paraId="3566411B">
            <w:pPr>
              <w:jc w:val="center"/>
              <w:rPr>
                <w:sz w:val="24"/>
                <w:szCs w:val="24"/>
              </w:rPr>
            </w:pPr>
          </w:p>
        </w:tc>
        <w:tc>
          <w:tcPr>
            <w:tcW w:w="328" w:type="pct"/>
            <w:vAlign w:val="center"/>
          </w:tcPr>
          <w:p w14:paraId="2EDC6A13">
            <w:pPr>
              <w:jc w:val="center"/>
              <w:rPr>
                <w:sz w:val="24"/>
                <w:szCs w:val="24"/>
              </w:rPr>
            </w:pPr>
          </w:p>
        </w:tc>
        <w:tc>
          <w:tcPr>
            <w:tcW w:w="328" w:type="pct"/>
            <w:vAlign w:val="center"/>
          </w:tcPr>
          <w:p w14:paraId="58DE1665">
            <w:pPr>
              <w:jc w:val="center"/>
              <w:rPr>
                <w:sz w:val="24"/>
                <w:szCs w:val="24"/>
              </w:rPr>
            </w:pPr>
          </w:p>
        </w:tc>
        <w:tc>
          <w:tcPr>
            <w:tcW w:w="329" w:type="pct"/>
            <w:vAlign w:val="center"/>
          </w:tcPr>
          <w:p w14:paraId="5B0E0312">
            <w:pPr>
              <w:jc w:val="center"/>
              <w:rPr>
                <w:sz w:val="24"/>
                <w:szCs w:val="24"/>
              </w:rPr>
            </w:pPr>
          </w:p>
        </w:tc>
        <w:tc>
          <w:tcPr>
            <w:tcW w:w="1102" w:type="pct"/>
            <w:vAlign w:val="center"/>
          </w:tcPr>
          <w:p w14:paraId="4398B656">
            <w:pPr>
              <w:jc w:val="center"/>
              <w:rPr>
                <w:sz w:val="24"/>
                <w:szCs w:val="24"/>
              </w:rPr>
            </w:pPr>
          </w:p>
        </w:tc>
        <w:tc>
          <w:tcPr>
            <w:tcW w:w="619" w:type="pct"/>
            <w:vAlign w:val="center"/>
          </w:tcPr>
          <w:p w14:paraId="5497D131">
            <w:pPr>
              <w:jc w:val="center"/>
              <w:rPr>
                <w:sz w:val="24"/>
                <w:szCs w:val="24"/>
              </w:rPr>
            </w:pPr>
          </w:p>
        </w:tc>
        <w:tc>
          <w:tcPr>
            <w:tcW w:w="573" w:type="pct"/>
            <w:vMerge w:val="continue"/>
            <w:vAlign w:val="center"/>
          </w:tcPr>
          <w:p w14:paraId="5F41175F">
            <w:pPr>
              <w:jc w:val="center"/>
              <w:rPr>
                <w:sz w:val="24"/>
                <w:szCs w:val="24"/>
              </w:rPr>
            </w:pPr>
          </w:p>
        </w:tc>
      </w:tr>
      <w:tr w14:paraId="3A9D4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trPr>
        <w:tc>
          <w:tcPr>
            <w:tcW w:w="409" w:type="pct"/>
            <w:vMerge w:val="continue"/>
            <w:vAlign w:val="center"/>
          </w:tcPr>
          <w:p w14:paraId="7B42903E">
            <w:pPr>
              <w:jc w:val="center"/>
              <w:rPr>
                <w:sz w:val="24"/>
                <w:szCs w:val="24"/>
              </w:rPr>
            </w:pPr>
          </w:p>
        </w:tc>
        <w:tc>
          <w:tcPr>
            <w:tcW w:w="656" w:type="pct"/>
            <w:vMerge w:val="continue"/>
            <w:vAlign w:val="center"/>
          </w:tcPr>
          <w:p w14:paraId="43A49123">
            <w:pPr>
              <w:jc w:val="center"/>
              <w:rPr>
                <w:sz w:val="24"/>
                <w:szCs w:val="24"/>
              </w:rPr>
            </w:pPr>
          </w:p>
        </w:tc>
        <w:tc>
          <w:tcPr>
            <w:tcW w:w="328" w:type="pct"/>
            <w:vAlign w:val="center"/>
          </w:tcPr>
          <w:p w14:paraId="1B60B3E0">
            <w:pPr>
              <w:jc w:val="center"/>
              <w:rPr>
                <w:sz w:val="24"/>
                <w:szCs w:val="24"/>
              </w:rPr>
            </w:pPr>
          </w:p>
        </w:tc>
        <w:tc>
          <w:tcPr>
            <w:tcW w:w="328" w:type="pct"/>
            <w:vAlign w:val="center"/>
          </w:tcPr>
          <w:p w14:paraId="67E148C7">
            <w:pPr>
              <w:jc w:val="center"/>
              <w:rPr>
                <w:sz w:val="24"/>
                <w:szCs w:val="24"/>
              </w:rPr>
            </w:pPr>
          </w:p>
        </w:tc>
        <w:tc>
          <w:tcPr>
            <w:tcW w:w="328" w:type="pct"/>
            <w:vAlign w:val="center"/>
          </w:tcPr>
          <w:p w14:paraId="48B1E12B">
            <w:pPr>
              <w:jc w:val="center"/>
              <w:rPr>
                <w:sz w:val="24"/>
                <w:szCs w:val="24"/>
              </w:rPr>
            </w:pPr>
          </w:p>
        </w:tc>
        <w:tc>
          <w:tcPr>
            <w:tcW w:w="328" w:type="pct"/>
            <w:vAlign w:val="center"/>
          </w:tcPr>
          <w:p w14:paraId="6B181785">
            <w:pPr>
              <w:jc w:val="center"/>
              <w:rPr>
                <w:sz w:val="24"/>
                <w:szCs w:val="24"/>
              </w:rPr>
            </w:pPr>
          </w:p>
        </w:tc>
        <w:tc>
          <w:tcPr>
            <w:tcW w:w="329" w:type="pct"/>
            <w:vAlign w:val="center"/>
          </w:tcPr>
          <w:p w14:paraId="164B2E8C">
            <w:pPr>
              <w:jc w:val="center"/>
              <w:rPr>
                <w:sz w:val="24"/>
                <w:szCs w:val="24"/>
              </w:rPr>
            </w:pPr>
          </w:p>
        </w:tc>
        <w:tc>
          <w:tcPr>
            <w:tcW w:w="1102" w:type="pct"/>
            <w:vAlign w:val="center"/>
          </w:tcPr>
          <w:p w14:paraId="5D45739E">
            <w:pPr>
              <w:jc w:val="center"/>
              <w:rPr>
                <w:sz w:val="24"/>
                <w:szCs w:val="24"/>
              </w:rPr>
            </w:pPr>
          </w:p>
        </w:tc>
        <w:tc>
          <w:tcPr>
            <w:tcW w:w="619" w:type="pct"/>
            <w:vAlign w:val="center"/>
          </w:tcPr>
          <w:p w14:paraId="4C716E88">
            <w:pPr>
              <w:jc w:val="center"/>
              <w:rPr>
                <w:sz w:val="24"/>
                <w:szCs w:val="24"/>
              </w:rPr>
            </w:pPr>
          </w:p>
        </w:tc>
        <w:tc>
          <w:tcPr>
            <w:tcW w:w="573" w:type="pct"/>
            <w:vMerge w:val="continue"/>
            <w:vAlign w:val="center"/>
          </w:tcPr>
          <w:p w14:paraId="36AA3418">
            <w:pPr>
              <w:jc w:val="center"/>
              <w:rPr>
                <w:sz w:val="24"/>
                <w:szCs w:val="24"/>
              </w:rPr>
            </w:pPr>
          </w:p>
        </w:tc>
      </w:tr>
      <w:tr w14:paraId="4C0CC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trPr>
        <w:tc>
          <w:tcPr>
            <w:tcW w:w="409" w:type="pct"/>
            <w:vMerge w:val="continue"/>
            <w:vAlign w:val="center"/>
          </w:tcPr>
          <w:p w14:paraId="3F45722F">
            <w:pPr>
              <w:jc w:val="center"/>
              <w:rPr>
                <w:sz w:val="24"/>
                <w:szCs w:val="24"/>
              </w:rPr>
            </w:pPr>
          </w:p>
        </w:tc>
        <w:tc>
          <w:tcPr>
            <w:tcW w:w="656" w:type="pct"/>
            <w:vMerge w:val="continue"/>
            <w:vAlign w:val="center"/>
          </w:tcPr>
          <w:p w14:paraId="663A5189">
            <w:pPr>
              <w:jc w:val="center"/>
              <w:rPr>
                <w:sz w:val="24"/>
                <w:szCs w:val="24"/>
              </w:rPr>
            </w:pPr>
          </w:p>
        </w:tc>
        <w:tc>
          <w:tcPr>
            <w:tcW w:w="328" w:type="pct"/>
            <w:vAlign w:val="center"/>
          </w:tcPr>
          <w:p w14:paraId="6656D427">
            <w:pPr>
              <w:jc w:val="center"/>
              <w:rPr>
                <w:sz w:val="24"/>
                <w:szCs w:val="24"/>
              </w:rPr>
            </w:pPr>
          </w:p>
        </w:tc>
        <w:tc>
          <w:tcPr>
            <w:tcW w:w="328" w:type="pct"/>
            <w:vAlign w:val="center"/>
          </w:tcPr>
          <w:p w14:paraId="2C15BEC6">
            <w:pPr>
              <w:jc w:val="center"/>
              <w:rPr>
                <w:sz w:val="24"/>
                <w:szCs w:val="24"/>
              </w:rPr>
            </w:pPr>
          </w:p>
        </w:tc>
        <w:tc>
          <w:tcPr>
            <w:tcW w:w="328" w:type="pct"/>
            <w:vAlign w:val="center"/>
          </w:tcPr>
          <w:p w14:paraId="59448D44">
            <w:pPr>
              <w:jc w:val="center"/>
              <w:rPr>
                <w:sz w:val="24"/>
                <w:szCs w:val="24"/>
              </w:rPr>
            </w:pPr>
          </w:p>
        </w:tc>
        <w:tc>
          <w:tcPr>
            <w:tcW w:w="328" w:type="pct"/>
            <w:vAlign w:val="center"/>
          </w:tcPr>
          <w:p w14:paraId="35EC53A7">
            <w:pPr>
              <w:jc w:val="center"/>
              <w:rPr>
                <w:sz w:val="24"/>
                <w:szCs w:val="24"/>
              </w:rPr>
            </w:pPr>
          </w:p>
        </w:tc>
        <w:tc>
          <w:tcPr>
            <w:tcW w:w="329" w:type="pct"/>
            <w:vAlign w:val="center"/>
          </w:tcPr>
          <w:p w14:paraId="4652015D">
            <w:pPr>
              <w:jc w:val="center"/>
              <w:rPr>
                <w:sz w:val="24"/>
                <w:szCs w:val="24"/>
              </w:rPr>
            </w:pPr>
          </w:p>
        </w:tc>
        <w:tc>
          <w:tcPr>
            <w:tcW w:w="1102" w:type="pct"/>
            <w:vAlign w:val="center"/>
          </w:tcPr>
          <w:p w14:paraId="530B2281">
            <w:pPr>
              <w:jc w:val="center"/>
              <w:rPr>
                <w:sz w:val="24"/>
                <w:szCs w:val="24"/>
              </w:rPr>
            </w:pPr>
          </w:p>
        </w:tc>
        <w:tc>
          <w:tcPr>
            <w:tcW w:w="619" w:type="pct"/>
            <w:vAlign w:val="center"/>
          </w:tcPr>
          <w:p w14:paraId="6D3780E8">
            <w:pPr>
              <w:jc w:val="center"/>
              <w:rPr>
                <w:sz w:val="24"/>
                <w:szCs w:val="24"/>
              </w:rPr>
            </w:pPr>
          </w:p>
        </w:tc>
        <w:tc>
          <w:tcPr>
            <w:tcW w:w="573" w:type="pct"/>
            <w:vMerge w:val="continue"/>
            <w:vAlign w:val="center"/>
          </w:tcPr>
          <w:p w14:paraId="05594084">
            <w:pPr>
              <w:jc w:val="center"/>
              <w:rPr>
                <w:sz w:val="24"/>
                <w:szCs w:val="24"/>
              </w:rPr>
            </w:pPr>
          </w:p>
        </w:tc>
      </w:tr>
      <w:tr w14:paraId="062EE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5" w:hRule="atLeast"/>
        </w:trPr>
        <w:tc>
          <w:tcPr>
            <w:tcW w:w="409" w:type="pct"/>
            <w:vMerge w:val="restart"/>
            <w:vAlign w:val="center"/>
          </w:tcPr>
          <w:p w14:paraId="2070B1C6">
            <w:pPr>
              <w:jc w:val="center"/>
              <w:rPr>
                <w:sz w:val="24"/>
                <w:szCs w:val="24"/>
              </w:rPr>
            </w:pPr>
          </w:p>
        </w:tc>
        <w:tc>
          <w:tcPr>
            <w:tcW w:w="656" w:type="pct"/>
            <w:vMerge w:val="restart"/>
            <w:vAlign w:val="center"/>
          </w:tcPr>
          <w:p w14:paraId="1E60AB0F">
            <w:pPr>
              <w:jc w:val="center"/>
              <w:rPr>
                <w:sz w:val="24"/>
                <w:szCs w:val="24"/>
              </w:rPr>
            </w:pPr>
          </w:p>
        </w:tc>
        <w:tc>
          <w:tcPr>
            <w:tcW w:w="328" w:type="pct"/>
            <w:vAlign w:val="center"/>
          </w:tcPr>
          <w:p w14:paraId="7D8F25C7">
            <w:pPr>
              <w:jc w:val="center"/>
              <w:rPr>
                <w:sz w:val="24"/>
                <w:szCs w:val="24"/>
              </w:rPr>
            </w:pPr>
          </w:p>
        </w:tc>
        <w:tc>
          <w:tcPr>
            <w:tcW w:w="328" w:type="pct"/>
            <w:vAlign w:val="center"/>
          </w:tcPr>
          <w:p w14:paraId="77A9407F">
            <w:pPr>
              <w:jc w:val="center"/>
              <w:rPr>
                <w:sz w:val="24"/>
                <w:szCs w:val="24"/>
              </w:rPr>
            </w:pPr>
          </w:p>
        </w:tc>
        <w:tc>
          <w:tcPr>
            <w:tcW w:w="328" w:type="pct"/>
            <w:vAlign w:val="center"/>
          </w:tcPr>
          <w:p w14:paraId="331C360F">
            <w:pPr>
              <w:jc w:val="center"/>
              <w:rPr>
                <w:sz w:val="24"/>
                <w:szCs w:val="24"/>
              </w:rPr>
            </w:pPr>
          </w:p>
        </w:tc>
        <w:tc>
          <w:tcPr>
            <w:tcW w:w="328" w:type="pct"/>
            <w:vAlign w:val="center"/>
          </w:tcPr>
          <w:p w14:paraId="5C52A2E8">
            <w:pPr>
              <w:jc w:val="center"/>
              <w:rPr>
                <w:sz w:val="24"/>
                <w:szCs w:val="24"/>
              </w:rPr>
            </w:pPr>
          </w:p>
        </w:tc>
        <w:tc>
          <w:tcPr>
            <w:tcW w:w="329" w:type="pct"/>
            <w:vAlign w:val="center"/>
          </w:tcPr>
          <w:p w14:paraId="694086BB">
            <w:pPr>
              <w:jc w:val="center"/>
              <w:rPr>
                <w:sz w:val="24"/>
                <w:szCs w:val="24"/>
              </w:rPr>
            </w:pPr>
          </w:p>
        </w:tc>
        <w:tc>
          <w:tcPr>
            <w:tcW w:w="1102" w:type="pct"/>
            <w:vAlign w:val="center"/>
          </w:tcPr>
          <w:p w14:paraId="6B7D95B6">
            <w:pPr>
              <w:jc w:val="center"/>
              <w:rPr>
                <w:sz w:val="24"/>
                <w:szCs w:val="24"/>
              </w:rPr>
            </w:pPr>
          </w:p>
        </w:tc>
        <w:tc>
          <w:tcPr>
            <w:tcW w:w="619" w:type="pct"/>
            <w:vAlign w:val="center"/>
          </w:tcPr>
          <w:p w14:paraId="4BE568E5">
            <w:pPr>
              <w:jc w:val="center"/>
              <w:rPr>
                <w:sz w:val="24"/>
                <w:szCs w:val="24"/>
              </w:rPr>
            </w:pPr>
          </w:p>
        </w:tc>
        <w:tc>
          <w:tcPr>
            <w:tcW w:w="573" w:type="pct"/>
            <w:vMerge w:val="restart"/>
            <w:vAlign w:val="center"/>
          </w:tcPr>
          <w:p w14:paraId="3AF5E3BF">
            <w:pPr>
              <w:jc w:val="center"/>
              <w:rPr>
                <w:sz w:val="24"/>
                <w:szCs w:val="24"/>
              </w:rPr>
            </w:pPr>
          </w:p>
        </w:tc>
      </w:tr>
      <w:tr w14:paraId="62D85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trPr>
        <w:tc>
          <w:tcPr>
            <w:tcW w:w="409" w:type="pct"/>
            <w:vMerge w:val="continue"/>
            <w:vAlign w:val="center"/>
          </w:tcPr>
          <w:p w14:paraId="5038E476">
            <w:pPr>
              <w:jc w:val="center"/>
              <w:rPr>
                <w:sz w:val="24"/>
                <w:szCs w:val="24"/>
              </w:rPr>
            </w:pPr>
          </w:p>
        </w:tc>
        <w:tc>
          <w:tcPr>
            <w:tcW w:w="656" w:type="pct"/>
            <w:vMerge w:val="continue"/>
            <w:vAlign w:val="center"/>
          </w:tcPr>
          <w:p w14:paraId="31A15165">
            <w:pPr>
              <w:jc w:val="center"/>
              <w:rPr>
                <w:sz w:val="24"/>
                <w:szCs w:val="24"/>
              </w:rPr>
            </w:pPr>
          </w:p>
        </w:tc>
        <w:tc>
          <w:tcPr>
            <w:tcW w:w="328" w:type="pct"/>
            <w:vAlign w:val="center"/>
          </w:tcPr>
          <w:p w14:paraId="14BC50F5">
            <w:pPr>
              <w:jc w:val="center"/>
              <w:rPr>
                <w:sz w:val="24"/>
                <w:szCs w:val="24"/>
              </w:rPr>
            </w:pPr>
          </w:p>
        </w:tc>
        <w:tc>
          <w:tcPr>
            <w:tcW w:w="328" w:type="pct"/>
            <w:vAlign w:val="center"/>
          </w:tcPr>
          <w:p w14:paraId="177A8280">
            <w:pPr>
              <w:jc w:val="center"/>
              <w:rPr>
                <w:sz w:val="24"/>
                <w:szCs w:val="24"/>
              </w:rPr>
            </w:pPr>
          </w:p>
        </w:tc>
        <w:tc>
          <w:tcPr>
            <w:tcW w:w="328" w:type="pct"/>
            <w:vAlign w:val="center"/>
          </w:tcPr>
          <w:p w14:paraId="51ED2484">
            <w:pPr>
              <w:jc w:val="center"/>
              <w:rPr>
                <w:sz w:val="24"/>
                <w:szCs w:val="24"/>
              </w:rPr>
            </w:pPr>
          </w:p>
        </w:tc>
        <w:tc>
          <w:tcPr>
            <w:tcW w:w="328" w:type="pct"/>
            <w:vAlign w:val="center"/>
          </w:tcPr>
          <w:p w14:paraId="119EC8C1">
            <w:pPr>
              <w:jc w:val="center"/>
              <w:rPr>
                <w:sz w:val="24"/>
                <w:szCs w:val="24"/>
              </w:rPr>
            </w:pPr>
          </w:p>
        </w:tc>
        <w:tc>
          <w:tcPr>
            <w:tcW w:w="329" w:type="pct"/>
            <w:vAlign w:val="center"/>
          </w:tcPr>
          <w:p w14:paraId="13883DB4">
            <w:pPr>
              <w:jc w:val="center"/>
              <w:rPr>
                <w:sz w:val="24"/>
                <w:szCs w:val="24"/>
              </w:rPr>
            </w:pPr>
          </w:p>
        </w:tc>
        <w:tc>
          <w:tcPr>
            <w:tcW w:w="1102" w:type="pct"/>
            <w:vAlign w:val="center"/>
          </w:tcPr>
          <w:p w14:paraId="6CB3CE99">
            <w:pPr>
              <w:jc w:val="center"/>
              <w:rPr>
                <w:sz w:val="24"/>
                <w:szCs w:val="24"/>
              </w:rPr>
            </w:pPr>
          </w:p>
        </w:tc>
        <w:tc>
          <w:tcPr>
            <w:tcW w:w="619" w:type="pct"/>
            <w:vAlign w:val="center"/>
          </w:tcPr>
          <w:p w14:paraId="4909A3DD">
            <w:pPr>
              <w:jc w:val="center"/>
              <w:rPr>
                <w:sz w:val="24"/>
                <w:szCs w:val="24"/>
              </w:rPr>
            </w:pPr>
          </w:p>
        </w:tc>
        <w:tc>
          <w:tcPr>
            <w:tcW w:w="573" w:type="pct"/>
            <w:vMerge w:val="continue"/>
            <w:vAlign w:val="center"/>
          </w:tcPr>
          <w:p w14:paraId="11E03EDD">
            <w:pPr>
              <w:jc w:val="center"/>
              <w:rPr>
                <w:sz w:val="24"/>
                <w:szCs w:val="24"/>
              </w:rPr>
            </w:pPr>
          </w:p>
        </w:tc>
      </w:tr>
      <w:tr w14:paraId="5714C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trPr>
        <w:tc>
          <w:tcPr>
            <w:tcW w:w="409" w:type="pct"/>
            <w:vMerge w:val="continue"/>
            <w:vAlign w:val="center"/>
          </w:tcPr>
          <w:p w14:paraId="20470A0A">
            <w:pPr>
              <w:jc w:val="center"/>
              <w:rPr>
                <w:sz w:val="24"/>
                <w:szCs w:val="24"/>
              </w:rPr>
            </w:pPr>
          </w:p>
        </w:tc>
        <w:tc>
          <w:tcPr>
            <w:tcW w:w="656" w:type="pct"/>
            <w:vMerge w:val="continue"/>
            <w:vAlign w:val="center"/>
          </w:tcPr>
          <w:p w14:paraId="6058F1CE">
            <w:pPr>
              <w:jc w:val="center"/>
              <w:rPr>
                <w:sz w:val="24"/>
                <w:szCs w:val="24"/>
              </w:rPr>
            </w:pPr>
          </w:p>
        </w:tc>
        <w:tc>
          <w:tcPr>
            <w:tcW w:w="328" w:type="pct"/>
            <w:vAlign w:val="center"/>
          </w:tcPr>
          <w:p w14:paraId="4F415350">
            <w:pPr>
              <w:jc w:val="center"/>
              <w:rPr>
                <w:sz w:val="24"/>
                <w:szCs w:val="24"/>
              </w:rPr>
            </w:pPr>
          </w:p>
        </w:tc>
        <w:tc>
          <w:tcPr>
            <w:tcW w:w="328" w:type="pct"/>
            <w:vAlign w:val="center"/>
          </w:tcPr>
          <w:p w14:paraId="1825F7FC">
            <w:pPr>
              <w:jc w:val="center"/>
              <w:rPr>
                <w:sz w:val="24"/>
                <w:szCs w:val="24"/>
              </w:rPr>
            </w:pPr>
          </w:p>
        </w:tc>
        <w:tc>
          <w:tcPr>
            <w:tcW w:w="328" w:type="pct"/>
            <w:vAlign w:val="center"/>
          </w:tcPr>
          <w:p w14:paraId="03A742D0">
            <w:pPr>
              <w:jc w:val="center"/>
              <w:rPr>
                <w:sz w:val="24"/>
                <w:szCs w:val="24"/>
              </w:rPr>
            </w:pPr>
          </w:p>
        </w:tc>
        <w:tc>
          <w:tcPr>
            <w:tcW w:w="328" w:type="pct"/>
            <w:vAlign w:val="center"/>
          </w:tcPr>
          <w:p w14:paraId="42BAC4E2">
            <w:pPr>
              <w:jc w:val="center"/>
              <w:rPr>
                <w:sz w:val="24"/>
                <w:szCs w:val="24"/>
              </w:rPr>
            </w:pPr>
          </w:p>
        </w:tc>
        <w:tc>
          <w:tcPr>
            <w:tcW w:w="329" w:type="pct"/>
            <w:vAlign w:val="center"/>
          </w:tcPr>
          <w:p w14:paraId="121FE919">
            <w:pPr>
              <w:jc w:val="center"/>
              <w:rPr>
                <w:sz w:val="24"/>
                <w:szCs w:val="24"/>
              </w:rPr>
            </w:pPr>
          </w:p>
        </w:tc>
        <w:tc>
          <w:tcPr>
            <w:tcW w:w="1102" w:type="pct"/>
            <w:vAlign w:val="center"/>
          </w:tcPr>
          <w:p w14:paraId="6D3E1322">
            <w:pPr>
              <w:jc w:val="center"/>
              <w:rPr>
                <w:sz w:val="24"/>
                <w:szCs w:val="24"/>
              </w:rPr>
            </w:pPr>
          </w:p>
        </w:tc>
        <w:tc>
          <w:tcPr>
            <w:tcW w:w="619" w:type="pct"/>
            <w:vAlign w:val="center"/>
          </w:tcPr>
          <w:p w14:paraId="01710241">
            <w:pPr>
              <w:jc w:val="center"/>
              <w:rPr>
                <w:sz w:val="24"/>
                <w:szCs w:val="24"/>
              </w:rPr>
            </w:pPr>
          </w:p>
        </w:tc>
        <w:tc>
          <w:tcPr>
            <w:tcW w:w="573" w:type="pct"/>
            <w:vMerge w:val="continue"/>
            <w:vAlign w:val="center"/>
          </w:tcPr>
          <w:p w14:paraId="677037AD">
            <w:pPr>
              <w:jc w:val="center"/>
              <w:rPr>
                <w:sz w:val="24"/>
                <w:szCs w:val="24"/>
              </w:rPr>
            </w:pPr>
          </w:p>
        </w:tc>
      </w:tr>
      <w:tr w14:paraId="36405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3" w:hRule="atLeast"/>
        </w:trPr>
        <w:tc>
          <w:tcPr>
            <w:tcW w:w="409" w:type="pct"/>
            <w:vMerge w:val="continue"/>
            <w:vAlign w:val="center"/>
          </w:tcPr>
          <w:p w14:paraId="5414E607">
            <w:pPr>
              <w:jc w:val="center"/>
              <w:rPr>
                <w:sz w:val="24"/>
                <w:szCs w:val="24"/>
              </w:rPr>
            </w:pPr>
          </w:p>
        </w:tc>
        <w:tc>
          <w:tcPr>
            <w:tcW w:w="656" w:type="pct"/>
            <w:vMerge w:val="continue"/>
            <w:vAlign w:val="center"/>
          </w:tcPr>
          <w:p w14:paraId="40C97954">
            <w:pPr>
              <w:jc w:val="center"/>
              <w:rPr>
                <w:sz w:val="24"/>
                <w:szCs w:val="24"/>
              </w:rPr>
            </w:pPr>
          </w:p>
        </w:tc>
        <w:tc>
          <w:tcPr>
            <w:tcW w:w="328" w:type="pct"/>
            <w:vAlign w:val="center"/>
          </w:tcPr>
          <w:p w14:paraId="0C405CBE">
            <w:pPr>
              <w:jc w:val="center"/>
              <w:rPr>
                <w:sz w:val="24"/>
                <w:szCs w:val="24"/>
              </w:rPr>
            </w:pPr>
          </w:p>
        </w:tc>
        <w:tc>
          <w:tcPr>
            <w:tcW w:w="328" w:type="pct"/>
            <w:vAlign w:val="center"/>
          </w:tcPr>
          <w:p w14:paraId="1C32949B">
            <w:pPr>
              <w:jc w:val="center"/>
              <w:rPr>
                <w:sz w:val="24"/>
                <w:szCs w:val="24"/>
              </w:rPr>
            </w:pPr>
          </w:p>
        </w:tc>
        <w:tc>
          <w:tcPr>
            <w:tcW w:w="328" w:type="pct"/>
            <w:vAlign w:val="center"/>
          </w:tcPr>
          <w:p w14:paraId="5B7BBEE5">
            <w:pPr>
              <w:jc w:val="center"/>
              <w:rPr>
                <w:sz w:val="24"/>
                <w:szCs w:val="24"/>
              </w:rPr>
            </w:pPr>
          </w:p>
        </w:tc>
        <w:tc>
          <w:tcPr>
            <w:tcW w:w="328" w:type="pct"/>
            <w:vAlign w:val="center"/>
          </w:tcPr>
          <w:p w14:paraId="3557470F">
            <w:pPr>
              <w:jc w:val="center"/>
              <w:rPr>
                <w:sz w:val="24"/>
                <w:szCs w:val="24"/>
              </w:rPr>
            </w:pPr>
          </w:p>
        </w:tc>
        <w:tc>
          <w:tcPr>
            <w:tcW w:w="329" w:type="pct"/>
            <w:vAlign w:val="center"/>
          </w:tcPr>
          <w:p w14:paraId="704DEB8E">
            <w:pPr>
              <w:jc w:val="center"/>
              <w:rPr>
                <w:sz w:val="24"/>
                <w:szCs w:val="24"/>
              </w:rPr>
            </w:pPr>
          </w:p>
        </w:tc>
        <w:tc>
          <w:tcPr>
            <w:tcW w:w="1102" w:type="pct"/>
            <w:vAlign w:val="center"/>
          </w:tcPr>
          <w:p w14:paraId="78529002">
            <w:pPr>
              <w:jc w:val="center"/>
              <w:rPr>
                <w:sz w:val="24"/>
                <w:szCs w:val="24"/>
              </w:rPr>
            </w:pPr>
          </w:p>
        </w:tc>
        <w:tc>
          <w:tcPr>
            <w:tcW w:w="619" w:type="pct"/>
            <w:vAlign w:val="center"/>
          </w:tcPr>
          <w:p w14:paraId="126B8C73">
            <w:pPr>
              <w:jc w:val="center"/>
              <w:rPr>
                <w:sz w:val="24"/>
                <w:szCs w:val="24"/>
              </w:rPr>
            </w:pPr>
          </w:p>
        </w:tc>
        <w:tc>
          <w:tcPr>
            <w:tcW w:w="573" w:type="pct"/>
            <w:vMerge w:val="continue"/>
            <w:vAlign w:val="center"/>
          </w:tcPr>
          <w:p w14:paraId="42F7C4A9">
            <w:pPr>
              <w:jc w:val="center"/>
              <w:rPr>
                <w:sz w:val="24"/>
                <w:szCs w:val="24"/>
              </w:rPr>
            </w:pPr>
          </w:p>
        </w:tc>
      </w:tr>
      <w:tr w14:paraId="783A3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trPr>
        <w:tc>
          <w:tcPr>
            <w:tcW w:w="409" w:type="pct"/>
            <w:vMerge w:val="continue"/>
            <w:vAlign w:val="center"/>
          </w:tcPr>
          <w:p w14:paraId="5DBCB987">
            <w:pPr>
              <w:jc w:val="center"/>
              <w:rPr>
                <w:sz w:val="24"/>
                <w:szCs w:val="24"/>
              </w:rPr>
            </w:pPr>
          </w:p>
        </w:tc>
        <w:tc>
          <w:tcPr>
            <w:tcW w:w="656" w:type="pct"/>
            <w:vMerge w:val="continue"/>
            <w:vAlign w:val="center"/>
          </w:tcPr>
          <w:p w14:paraId="2C266A07">
            <w:pPr>
              <w:jc w:val="center"/>
              <w:rPr>
                <w:sz w:val="24"/>
                <w:szCs w:val="24"/>
              </w:rPr>
            </w:pPr>
          </w:p>
        </w:tc>
        <w:tc>
          <w:tcPr>
            <w:tcW w:w="328" w:type="pct"/>
            <w:vAlign w:val="center"/>
          </w:tcPr>
          <w:p w14:paraId="58BE5D4B">
            <w:pPr>
              <w:jc w:val="center"/>
              <w:rPr>
                <w:sz w:val="24"/>
                <w:szCs w:val="24"/>
              </w:rPr>
            </w:pPr>
          </w:p>
        </w:tc>
        <w:tc>
          <w:tcPr>
            <w:tcW w:w="328" w:type="pct"/>
            <w:vAlign w:val="center"/>
          </w:tcPr>
          <w:p w14:paraId="1A0DDC6B">
            <w:pPr>
              <w:jc w:val="center"/>
              <w:rPr>
                <w:sz w:val="24"/>
                <w:szCs w:val="24"/>
              </w:rPr>
            </w:pPr>
          </w:p>
        </w:tc>
        <w:tc>
          <w:tcPr>
            <w:tcW w:w="328" w:type="pct"/>
            <w:vAlign w:val="center"/>
          </w:tcPr>
          <w:p w14:paraId="20CDA401">
            <w:pPr>
              <w:jc w:val="center"/>
              <w:rPr>
                <w:sz w:val="24"/>
                <w:szCs w:val="24"/>
              </w:rPr>
            </w:pPr>
          </w:p>
        </w:tc>
        <w:tc>
          <w:tcPr>
            <w:tcW w:w="328" w:type="pct"/>
            <w:vAlign w:val="center"/>
          </w:tcPr>
          <w:p w14:paraId="0C197782">
            <w:pPr>
              <w:jc w:val="center"/>
              <w:rPr>
                <w:sz w:val="24"/>
                <w:szCs w:val="24"/>
              </w:rPr>
            </w:pPr>
          </w:p>
        </w:tc>
        <w:tc>
          <w:tcPr>
            <w:tcW w:w="329" w:type="pct"/>
            <w:vAlign w:val="center"/>
          </w:tcPr>
          <w:p w14:paraId="480A7218">
            <w:pPr>
              <w:jc w:val="center"/>
              <w:rPr>
                <w:sz w:val="24"/>
                <w:szCs w:val="24"/>
              </w:rPr>
            </w:pPr>
          </w:p>
        </w:tc>
        <w:tc>
          <w:tcPr>
            <w:tcW w:w="1102" w:type="pct"/>
            <w:vAlign w:val="center"/>
          </w:tcPr>
          <w:p w14:paraId="53C7E194">
            <w:pPr>
              <w:jc w:val="center"/>
              <w:rPr>
                <w:sz w:val="24"/>
                <w:szCs w:val="24"/>
              </w:rPr>
            </w:pPr>
          </w:p>
        </w:tc>
        <w:tc>
          <w:tcPr>
            <w:tcW w:w="619" w:type="pct"/>
            <w:vAlign w:val="center"/>
          </w:tcPr>
          <w:p w14:paraId="3625C2F5">
            <w:pPr>
              <w:jc w:val="center"/>
              <w:rPr>
                <w:sz w:val="24"/>
                <w:szCs w:val="24"/>
              </w:rPr>
            </w:pPr>
          </w:p>
        </w:tc>
        <w:tc>
          <w:tcPr>
            <w:tcW w:w="573" w:type="pct"/>
            <w:vMerge w:val="continue"/>
            <w:vAlign w:val="center"/>
          </w:tcPr>
          <w:p w14:paraId="61B502D3">
            <w:pPr>
              <w:jc w:val="center"/>
              <w:rPr>
                <w:sz w:val="24"/>
                <w:szCs w:val="24"/>
              </w:rPr>
            </w:pPr>
          </w:p>
        </w:tc>
      </w:tr>
      <w:bookmarkEnd w:id="89"/>
    </w:tbl>
    <w:p w14:paraId="6B16D6EF">
      <w:pPr>
        <w:widowControl/>
        <w:autoSpaceDE w:val="0"/>
        <w:autoSpaceDN w:val="0"/>
        <w:spacing w:line="360" w:lineRule="auto"/>
        <w:ind w:firstLine="480" w:firstLineChars="200"/>
        <w:jc w:val="left"/>
        <w:rPr>
          <w:sz w:val="24"/>
          <w:szCs w:val="24"/>
        </w:rPr>
      </w:pPr>
    </w:p>
    <w:bookmarkEnd w:id="91"/>
    <w:p w14:paraId="096383BC">
      <w:pPr>
        <w:widowControl/>
        <w:autoSpaceDE w:val="0"/>
        <w:autoSpaceDN w:val="0"/>
        <w:spacing w:line="360" w:lineRule="auto"/>
        <w:jc w:val="center"/>
        <w:rPr>
          <w:sz w:val="24"/>
        </w:rPr>
      </w:pPr>
    </w:p>
    <w:p w14:paraId="7BF0AE2F">
      <w:pPr>
        <w:pStyle w:val="36"/>
        <w:numPr>
          <w:ilvl w:val="0"/>
          <w:numId w:val="0"/>
        </w:numPr>
        <w:spacing w:beforeLines="0" w:afterLines="0" w:line="360" w:lineRule="auto"/>
        <w:rPr>
          <w:rFonts w:ascii="Times New Roman"/>
          <w:sz w:val="28"/>
          <w:szCs w:val="28"/>
        </w:rPr>
      </w:pPr>
      <w:r>
        <w:rPr>
          <w:rFonts w:ascii="Times New Roman"/>
          <w:sz w:val="24"/>
          <w:szCs w:val="24"/>
        </w:rPr>
        <w:br w:type="page"/>
      </w:r>
      <w:bookmarkStart w:id="92" w:name="_Toc200290573"/>
      <w:bookmarkStart w:id="93" w:name="_Toc199420204"/>
      <w:bookmarkStart w:id="94" w:name="_Hlk200369201"/>
      <w:r>
        <w:rPr>
          <w:rFonts w:ascii="Times New Roman"/>
          <w:sz w:val="28"/>
          <w:szCs w:val="28"/>
        </w:rPr>
        <w:t>附录C</w:t>
      </w:r>
      <w:bookmarkEnd w:id="92"/>
      <w:bookmarkEnd w:id="93"/>
    </w:p>
    <w:p w14:paraId="5B573BBB">
      <w:pPr>
        <w:spacing w:before="156" w:beforeLines="50" w:after="156" w:afterLines="50" w:line="360" w:lineRule="auto"/>
        <w:jc w:val="center"/>
        <w:rPr>
          <w:rFonts w:eastAsia="黑体"/>
          <w:sz w:val="28"/>
          <w:szCs w:val="28"/>
        </w:rPr>
      </w:pPr>
      <w:bookmarkStart w:id="95" w:name="_Toc200290574"/>
      <w:r>
        <w:rPr>
          <w:rFonts w:eastAsia="黑体"/>
          <w:sz w:val="28"/>
          <w:szCs w:val="28"/>
        </w:rPr>
        <w:t>自噪声示值误差的不确定度评定示例</w:t>
      </w:r>
      <w:bookmarkEnd w:id="95"/>
    </w:p>
    <w:bookmarkEnd w:id="4"/>
    <w:p w14:paraId="57097F81">
      <w:pPr>
        <w:pStyle w:val="36"/>
        <w:numPr>
          <w:ilvl w:val="0"/>
          <w:numId w:val="0"/>
        </w:numPr>
        <w:spacing w:before="156" w:after="156" w:line="360" w:lineRule="auto"/>
        <w:outlineLvl w:val="9"/>
        <w:rPr>
          <w:rFonts w:ascii="Times New Roman"/>
          <w:sz w:val="24"/>
          <w:szCs w:val="24"/>
        </w:rPr>
      </w:pPr>
      <w:bookmarkStart w:id="96" w:name="_Toc197604996"/>
      <w:bookmarkStart w:id="97" w:name="_Toc199420205"/>
      <w:r>
        <w:rPr>
          <w:rFonts w:ascii="Times New Roman"/>
          <w:sz w:val="24"/>
          <w:szCs w:val="24"/>
        </w:rPr>
        <w:t>C.1 船载</w:t>
      </w:r>
      <w:r>
        <w:rPr>
          <w:rFonts w:ascii="Times New Roman"/>
          <w:color w:val="000000"/>
          <w:sz w:val="24"/>
          <w:szCs w:val="24"/>
        </w:rPr>
        <w:t>水声</w:t>
      </w:r>
      <w:r>
        <w:rPr>
          <w:rFonts w:ascii="Times New Roman"/>
          <w:sz w:val="24"/>
          <w:szCs w:val="24"/>
        </w:rPr>
        <w:t>探测系统</w:t>
      </w:r>
      <w:r>
        <w:rPr>
          <w:rFonts w:hint="eastAsia" w:ascii="Times New Roman"/>
          <w:sz w:val="24"/>
          <w:szCs w:val="24"/>
        </w:rPr>
        <w:t>自</w:t>
      </w:r>
      <w:r>
        <w:rPr>
          <w:rFonts w:ascii="Times New Roman"/>
          <w:sz w:val="24"/>
          <w:szCs w:val="24"/>
        </w:rPr>
        <w:t>噪声示值误差测量模型</w:t>
      </w:r>
      <w:bookmarkEnd w:id="96"/>
      <w:bookmarkEnd w:id="97"/>
    </w:p>
    <w:p w14:paraId="226D4E42">
      <w:pPr>
        <w:widowControl/>
        <w:autoSpaceDE w:val="0"/>
        <w:autoSpaceDN w:val="0"/>
        <w:spacing w:line="360" w:lineRule="auto"/>
        <w:ind w:firstLine="480" w:firstLineChars="200"/>
        <w:jc w:val="left"/>
        <w:rPr>
          <w:sz w:val="24"/>
          <w:szCs w:val="24"/>
        </w:rPr>
      </w:pPr>
      <w:r>
        <w:rPr>
          <w:sz w:val="24"/>
          <w:szCs w:val="24"/>
        </w:rPr>
        <w:t>船载水声探测系统</w:t>
      </w:r>
      <w:r>
        <w:rPr>
          <w:rFonts w:hint="eastAsia"/>
          <w:sz w:val="24"/>
          <w:szCs w:val="24"/>
        </w:rPr>
        <w:t>自</w:t>
      </w:r>
      <w:r>
        <w:rPr>
          <w:sz w:val="24"/>
          <w:szCs w:val="24"/>
        </w:rPr>
        <w:t>噪声示值误差计算公式如（C.1）所示：</w:t>
      </w:r>
    </w:p>
    <w:p w14:paraId="565FFE03">
      <w:pPr>
        <w:widowControl/>
        <w:autoSpaceDE w:val="0"/>
        <w:autoSpaceDN w:val="0"/>
        <w:spacing w:line="360" w:lineRule="auto"/>
        <w:jc w:val="right"/>
        <w:rPr>
          <w:sz w:val="24"/>
          <w:szCs w:val="24"/>
        </w:rPr>
      </w:pPr>
      <w:r>
        <w:rPr>
          <w:position w:val="-12"/>
        </w:rPr>
        <w:object>
          <v:shape id="_x0000_i1041" o:spt="75" type="#_x0000_t75" style="height:18.35pt;width:84.9pt;" o:ole="t" filled="f" o:preferrelative="t" stroked="f" coordsize="21600,21600">
            <v:path/>
            <v:fill on="f" focussize="0,0"/>
            <v:stroke on="f" joinstyle="miter"/>
            <v:imagedata r:id="rId40" o:title=""/>
            <o:lock v:ext="edit" aspectratio="t"/>
            <w10:wrap type="none"/>
            <w10:anchorlock/>
          </v:shape>
          <o:OLEObject Type="Embed" ProgID="Equation.DSMT4" ShapeID="_x0000_i1041" DrawAspect="Content" ObjectID="_1468075741" r:id="rId48">
            <o:LockedField>false</o:LockedField>
          </o:OLEObject>
        </w:object>
      </w:r>
      <w:r>
        <w:rPr>
          <w:sz w:val="24"/>
          <w:szCs w:val="24"/>
        </w:rPr>
        <w:t xml:space="preserve">                       （C.1）</w:t>
      </w:r>
    </w:p>
    <w:p w14:paraId="3BA0903B">
      <w:pPr>
        <w:widowControl/>
        <w:autoSpaceDE w:val="0"/>
        <w:autoSpaceDN w:val="0"/>
        <w:spacing w:line="360" w:lineRule="auto"/>
        <w:ind w:firstLine="480" w:firstLineChars="200"/>
        <w:rPr>
          <w:sz w:val="24"/>
          <w:szCs w:val="24"/>
        </w:rPr>
      </w:pPr>
      <w:r>
        <w:rPr>
          <w:sz w:val="24"/>
          <w:szCs w:val="24"/>
        </w:rPr>
        <w:t>式中：</w:t>
      </w:r>
    </w:p>
    <w:p w14:paraId="19CA0ACB">
      <w:pPr>
        <w:widowControl/>
        <w:autoSpaceDE w:val="0"/>
        <w:autoSpaceDN w:val="0"/>
        <w:spacing w:line="360" w:lineRule="auto"/>
        <w:ind w:firstLine="420" w:firstLineChars="200"/>
        <w:jc w:val="left"/>
        <w:rPr>
          <w:sz w:val="24"/>
          <w:szCs w:val="24"/>
        </w:rPr>
      </w:pPr>
      <w:r>
        <w:rPr>
          <w:position w:val="-12"/>
        </w:rPr>
        <w:object>
          <v:shape id="_x0000_i1042" o:spt="75" type="#_x0000_t75" style="height:18.35pt;width:19pt;" o:ole="t" filled="f" o:preferrelative="t" stroked="f" coordsize="21600,21600">
            <v:path/>
            <v:fill on="f" focussize="0,0"/>
            <v:stroke on="f" joinstyle="miter"/>
            <v:imagedata r:id="rId50" o:title=""/>
            <o:lock v:ext="edit" aspectratio="t"/>
            <w10:wrap type="none"/>
            <w10:anchorlock/>
          </v:shape>
          <o:OLEObject Type="Embed" ProgID="Equation.DSMT4" ShapeID="_x0000_i1042" DrawAspect="Content" ObjectID="_1468075742" r:id="rId49">
            <o:LockedField>false</o:LockedField>
          </o:OLEObject>
        </w:object>
      </w:r>
      <w:r>
        <w:rPr>
          <w:sz w:val="24"/>
          <w:szCs w:val="24"/>
        </w:rPr>
        <w:t>——船载水声探测系统的自噪声示值，即噪声声压谱密度声源级，dB（基准值：</w:t>
      </w:r>
      <w:r>
        <w:rPr>
          <w:position w:val="-10"/>
        </w:rPr>
        <w:object>
          <v:shape id="_x0000_i1043" o:spt="75" type="#_x0000_t75" style="height:19pt;width:52.3pt;" o:ole="t" filled="f" o:preferrelative="t" stroked="f" coordsize="21600,21600">
            <v:path/>
            <v:fill on="f" focussize="0,0"/>
            <v:stroke on="f" joinstyle="miter"/>
            <v:imagedata r:id="rId44" o:title=""/>
            <o:lock v:ext="edit" aspectratio="t"/>
            <w10:wrap type="none"/>
            <w10:anchorlock/>
          </v:shape>
          <o:OLEObject Type="Embed" ProgID="Equation.DSMT4" ShapeID="_x0000_i1043" DrawAspect="Content" ObjectID="_1468075743" r:id="rId51">
            <o:LockedField>false</o:LockedField>
          </o:OLEObject>
        </w:object>
      </w:r>
      <w:r>
        <w:rPr>
          <w:sz w:val="24"/>
          <w:szCs w:val="24"/>
        </w:rPr>
        <w:t>；</w:t>
      </w:r>
    </w:p>
    <w:p w14:paraId="770CBBAD">
      <w:pPr>
        <w:widowControl/>
        <w:autoSpaceDE w:val="0"/>
        <w:autoSpaceDN w:val="0"/>
        <w:spacing w:line="360" w:lineRule="auto"/>
        <w:ind w:firstLine="420" w:firstLineChars="200"/>
        <w:jc w:val="left"/>
        <w:rPr>
          <w:sz w:val="24"/>
          <w:szCs w:val="24"/>
        </w:rPr>
      </w:pPr>
      <w:r>
        <w:rPr>
          <w:position w:val="-12"/>
        </w:rPr>
        <w:object>
          <v:shape id="_x0000_i1044" o:spt="75" type="#_x0000_t75" style="height:18.35pt;width:23.1pt;" o:ole="t" filled="f" o:preferrelative="t" stroked="f" coordsize="21600,21600">
            <v:path/>
            <v:fill on="f" focussize="0,0"/>
            <v:stroke on="f" joinstyle="miter"/>
            <v:imagedata r:id="rId53" o:title=""/>
            <o:lock v:ext="edit" aspectratio="t"/>
            <w10:wrap type="none"/>
            <w10:anchorlock/>
          </v:shape>
          <o:OLEObject Type="Embed" ProgID="Equation.DSMT4" ShapeID="_x0000_i1044" DrawAspect="Content" ObjectID="_1468075744" r:id="rId52">
            <o:LockedField>false</o:LockedField>
          </o:OLEObject>
        </w:object>
      </w:r>
      <w:r>
        <w:rPr>
          <w:sz w:val="24"/>
          <w:szCs w:val="24"/>
        </w:rPr>
        <w:t>——自噪声监测系统的自噪声示值，即噪声声压谱密度声源级，dB（基准值：</w:t>
      </w:r>
      <w:r>
        <w:rPr>
          <w:position w:val="-10"/>
        </w:rPr>
        <w:object>
          <v:shape id="_x0000_i1045" o:spt="75" type="#_x0000_t75" style="height:19pt;width:52.3pt;" o:ole="t" filled="f" o:preferrelative="t" stroked="f" coordsize="21600,21600">
            <v:path/>
            <v:fill on="f" focussize="0,0"/>
            <v:stroke on="f" joinstyle="miter"/>
            <v:imagedata r:id="rId44" o:title=""/>
            <o:lock v:ext="edit" aspectratio="t"/>
            <w10:wrap type="none"/>
            <w10:anchorlock/>
          </v:shape>
          <o:OLEObject Type="Embed" ProgID="Equation.DSMT4" ShapeID="_x0000_i1045" DrawAspect="Content" ObjectID="_1468075745" r:id="rId54">
            <o:LockedField>false</o:LockedField>
          </o:OLEObject>
        </w:object>
      </w:r>
      <w:r>
        <w:rPr>
          <w:sz w:val="24"/>
          <w:szCs w:val="24"/>
        </w:rPr>
        <w:t>）；</w:t>
      </w:r>
    </w:p>
    <w:p w14:paraId="3E88C2F3">
      <w:pPr>
        <w:widowControl/>
        <w:autoSpaceDE w:val="0"/>
        <w:autoSpaceDN w:val="0"/>
        <w:spacing w:line="360" w:lineRule="auto"/>
        <w:ind w:firstLine="480" w:firstLineChars="200"/>
        <w:jc w:val="left"/>
        <w:rPr>
          <w:sz w:val="24"/>
          <w:szCs w:val="24"/>
        </w:rPr>
      </w:pPr>
      <w:r>
        <w:rPr>
          <w:sz w:val="24"/>
          <w:szCs w:val="24"/>
        </w:rPr>
        <w:t>以上数学模型中，</w:t>
      </w:r>
      <w:r>
        <w:rPr>
          <w:position w:val="-12"/>
        </w:rPr>
        <w:object>
          <v:shape id="_x0000_i1046" o:spt="75" type="#_x0000_t75" style="height:18.35pt;width:25.8pt;" o:ole="t" filled="f" o:preferrelative="t" stroked="f" coordsize="21600,21600">
            <v:path/>
            <v:fill on="f" focussize="0,0"/>
            <v:stroke on="f" joinstyle="miter"/>
            <v:imagedata r:id="rId38" o:title=""/>
            <o:lock v:ext="edit" aspectratio="t"/>
            <w10:wrap type="none"/>
            <w10:anchorlock/>
          </v:shape>
          <o:OLEObject Type="Embed" ProgID="Equation.DSMT4" ShapeID="_x0000_i1046" DrawAspect="Content" ObjectID="_1468075746" r:id="rId55">
            <o:LockedField>false</o:LockedField>
          </o:OLEObject>
        </w:object>
      </w:r>
      <w:r>
        <w:rPr>
          <w:sz w:val="24"/>
          <w:szCs w:val="24"/>
        </w:rPr>
        <w:t>、</w:t>
      </w:r>
      <w:r>
        <w:rPr>
          <w:position w:val="-12"/>
        </w:rPr>
        <w:object>
          <v:shape id="_x0000_i1047" o:spt="75" type="#_x0000_t75" style="height:18.35pt;width:19pt;" o:ole="t" filled="f" o:preferrelative="t" stroked="f" coordsize="21600,21600">
            <v:path/>
            <v:fill on="f" focussize="0,0"/>
            <v:stroke on="f" joinstyle="miter"/>
            <v:imagedata r:id="rId50" o:title=""/>
            <o:lock v:ext="edit" aspectratio="t"/>
            <w10:wrap type="none"/>
            <w10:anchorlock/>
          </v:shape>
          <o:OLEObject Type="Embed" ProgID="Equation.DSMT4" ShapeID="_x0000_i1047" DrawAspect="Content" ObjectID="_1468075747" r:id="rId56">
            <o:LockedField>false</o:LockedField>
          </o:OLEObject>
        </w:object>
      </w:r>
      <w:r>
        <w:rPr>
          <w:sz w:val="24"/>
          <w:szCs w:val="24"/>
        </w:rPr>
        <w:t>和</w:t>
      </w:r>
      <w:r>
        <w:rPr>
          <w:position w:val="-12"/>
        </w:rPr>
        <w:object>
          <v:shape id="_x0000_i1048" o:spt="75" type="#_x0000_t75" style="height:18.35pt;width:23.1pt;" o:ole="t" filled="f" o:preferrelative="t" stroked="f" coordsize="21600,21600">
            <v:path/>
            <v:fill on="f" focussize="0,0"/>
            <v:stroke on="f" joinstyle="miter"/>
            <v:imagedata r:id="rId53" o:title=""/>
            <o:lock v:ext="edit" aspectratio="t"/>
            <w10:wrap type="none"/>
            <w10:anchorlock/>
          </v:shape>
          <o:OLEObject Type="Embed" ProgID="Equation.DSMT4" ShapeID="_x0000_i1048" DrawAspect="Content" ObjectID="_1468075748" r:id="rId57">
            <o:LockedField>false</o:LockedField>
          </o:OLEObject>
        </w:object>
      </w:r>
      <w:r>
        <w:rPr>
          <w:sz w:val="24"/>
          <w:szCs w:val="24"/>
        </w:rPr>
        <w:t>互不相关，故其合成方差为：</w:t>
      </w:r>
    </w:p>
    <w:p w14:paraId="024FFC62">
      <w:pPr>
        <w:widowControl/>
        <w:autoSpaceDE w:val="0"/>
        <w:autoSpaceDN w:val="0"/>
        <w:spacing w:line="360" w:lineRule="auto"/>
        <w:ind w:firstLine="420" w:firstLineChars="200"/>
        <w:jc w:val="right"/>
        <w:rPr>
          <w:sz w:val="24"/>
          <w:szCs w:val="24"/>
        </w:rPr>
      </w:pPr>
      <w:r>
        <w:rPr>
          <w:position w:val="-16"/>
        </w:rPr>
        <w:object>
          <v:shape id="_x0000_i1049" o:spt="75" type="#_x0000_t75" style="height:23.75pt;width:242.25pt;" o:ole="t" filled="f" o:preferrelative="t" stroked="f" coordsize="21600,21600">
            <v:path/>
            <v:fill on="f" focussize="0,0"/>
            <v:stroke on="f" joinstyle="miter"/>
            <v:imagedata r:id="rId59" o:title=""/>
            <o:lock v:ext="edit" aspectratio="t"/>
            <w10:wrap type="none"/>
            <w10:anchorlock/>
          </v:shape>
          <o:OLEObject Type="Embed" ProgID="Equation.DSMT4" ShapeID="_x0000_i1049" DrawAspect="Content" ObjectID="_1468075749" r:id="rId58">
            <o:LockedField>false</o:LockedField>
          </o:OLEObject>
        </w:object>
      </w:r>
      <w:r>
        <w:t xml:space="preserve">  </w:t>
      </w:r>
      <w:r>
        <w:rPr>
          <w:i/>
          <w:sz w:val="24"/>
          <w:szCs w:val="24"/>
        </w:rPr>
        <w:t xml:space="preserve">            </w:t>
      </w:r>
      <w:r>
        <w:rPr>
          <w:iCs/>
          <w:sz w:val="24"/>
          <w:szCs w:val="24"/>
        </w:rPr>
        <w:t>（</w:t>
      </w:r>
      <w:r>
        <w:rPr>
          <w:sz w:val="24"/>
          <w:szCs w:val="24"/>
        </w:rPr>
        <w:t>C.</w:t>
      </w:r>
      <w:r>
        <w:rPr>
          <w:iCs/>
          <w:sz w:val="24"/>
          <w:szCs w:val="24"/>
        </w:rPr>
        <w:t>2）</w:t>
      </w:r>
    </w:p>
    <w:p w14:paraId="1A4D5AB6">
      <w:pPr>
        <w:pStyle w:val="36"/>
        <w:numPr>
          <w:ilvl w:val="0"/>
          <w:numId w:val="0"/>
        </w:numPr>
        <w:tabs>
          <w:tab w:val="left" w:pos="360"/>
        </w:tabs>
        <w:spacing w:before="156" w:after="156" w:line="360" w:lineRule="auto"/>
        <w:outlineLvl w:val="9"/>
        <w:rPr>
          <w:rFonts w:ascii="Times New Roman"/>
          <w:sz w:val="24"/>
          <w:szCs w:val="24"/>
        </w:rPr>
      </w:pPr>
      <w:bookmarkStart w:id="98" w:name="_Toc199420206"/>
      <w:bookmarkStart w:id="99" w:name="_Toc197604997"/>
      <w:r>
        <w:rPr>
          <w:rFonts w:ascii="Times New Roman"/>
          <w:sz w:val="24"/>
          <w:szCs w:val="24"/>
        </w:rPr>
        <w:t>C.2 示值误差测量模型灵敏</w:t>
      </w:r>
      <w:r>
        <w:rPr>
          <w:rFonts w:hint="eastAsia" w:ascii="Times New Roman"/>
          <w:sz w:val="24"/>
          <w:szCs w:val="24"/>
        </w:rPr>
        <w:t>度</w:t>
      </w:r>
      <w:r>
        <w:rPr>
          <w:rFonts w:ascii="Times New Roman"/>
          <w:sz w:val="24"/>
          <w:szCs w:val="24"/>
        </w:rPr>
        <w:t>系数</w:t>
      </w:r>
      <w:bookmarkEnd w:id="98"/>
      <w:bookmarkEnd w:id="99"/>
    </w:p>
    <w:p w14:paraId="249DBBEE">
      <w:pPr>
        <w:widowControl/>
        <w:autoSpaceDE w:val="0"/>
        <w:autoSpaceDN w:val="0"/>
        <w:spacing w:line="360" w:lineRule="auto"/>
        <w:ind w:firstLine="480" w:firstLineChars="200"/>
        <w:jc w:val="left"/>
        <w:rPr>
          <w:sz w:val="24"/>
          <w:szCs w:val="24"/>
        </w:rPr>
      </w:pPr>
      <w:r>
        <w:rPr>
          <w:sz w:val="24"/>
          <w:szCs w:val="24"/>
        </w:rPr>
        <w:t>灵敏</w:t>
      </w:r>
      <w:r>
        <w:rPr>
          <w:rFonts w:hint="eastAsia"/>
          <w:sz w:val="24"/>
          <w:szCs w:val="24"/>
        </w:rPr>
        <w:t>度</w:t>
      </w:r>
      <w:r>
        <w:rPr>
          <w:sz w:val="24"/>
          <w:szCs w:val="24"/>
        </w:rPr>
        <w:t>系数为：</w:t>
      </w:r>
    </w:p>
    <w:p w14:paraId="523F5BB2">
      <w:pPr>
        <w:widowControl/>
        <w:autoSpaceDE w:val="0"/>
        <w:autoSpaceDN w:val="0"/>
        <w:spacing w:line="360" w:lineRule="auto"/>
        <w:ind w:firstLine="480" w:firstLineChars="200"/>
        <w:jc w:val="center"/>
        <w:rPr>
          <w:sz w:val="24"/>
          <w:szCs w:val="24"/>
        </w:rPr>
      </w:pPr>
      <w:bookmarkStart w:id="100" w:name="OLE_LINK6"/>
      <w:r>
        <w:rPr>
          <w:position w:val="-12"/>
          <w:sz w:val="24"/>
          <w:szCs w:val="24"/>
        </w:rPr>
        <w:object>
          <v:shape id="_x0000_i1050" o:spt="75" type="#_x0000_t75" style="height:18pt;width:49.95pt;" o:ole="t" filled="f" o:preferrelative="t" stroked="f" coordsize="21600,21600">
            <v:path/>
            <v:fill on="f" focussize="0,0"/>
            <v:stroke on="f" joinstyle="miter"/>
            <v:imagedata r:id="rId61" o:title=""/>
            <o:lock v:ext="edit" aspectratio="t"/>
            <w10:wrap type="none"/>
            <w10:anchorlock/>
          </v:shape>
          <o:OLEObject Type="Embed" ProgID="Equation.DSMT4" ShapeID="_x0000_i1050" DrawAspect="Content" ObjectID="_1468075750" r:id="rId60">
            <o:LockedField>false</o:LockedField>
          </o:OLEObject>
        </w:object>
      </w:r>
      <w:bookmarkEnd w:id="100"/>
      <w:r>
        <w:rPr>
          <w:sz w:val="24"/>
          <w:szCs w:val="24"/>
        </w:rPr>
        <w:t>，</w:t>
      </w:r>
      <w:r>
        <w:rPr>
          <w:position w:val="-12"/>
          <w:sz w:val="24"/>
          <w:szCs w:val="24"/>
        </w:rPr>
        <w:object>
          <v:shape id="_x0000_i1051" o:spt="75" type="#_x0000_t75" style="height:18pt;width:53pt;" o:ole="t" filled="f" o:preferrelative="t" stroked="f" coordsize="21600,21600">
            <v:path/>
            <v:fill on="f" focussize="0,0"/>
            <v:stroke on="f" joinstyle="miter"/>
            <v:imagedata r:id="rId63" o:title=""/>
            <o:lock v:ext="edit" aspectratio="t"/>
            <w10:wrap type="none"/>
            <w10:anchorlock/>
          </v:shape>
          <o:OLEObject Type="Embed" ProgID="Equation.DSMT4" ShapeID="_x0000_i1051" DrawAspect="Content" ObjectID="_1468075751" r:id="rId62">
            <o:LockedField>false</o:LockedField>
          </o:OLEObject>
        </w:object>
      </w:r>
      <w:r>
        <w:rPr>
          <w:sz w:val="24"/>
          <w:szCs w:val="24"/>
        </w:rPr>
        <w:t xml:space="preserve">                               </w:t>
      </w:r>
    </w:p>
    <w:p w14:paraId="1894A1C6">
      <w:pPr>
        <w:pStyle w:val="36"/>
        <w:numPr>
          <w:ilvl w:val="0"/>
          <w:numId w:val="0"/>
        </w:numPr>
        <w:tabs>
          <w:tab w:val="left" w:pos="360"/>
        </w:tabs>
        <w:spacing w:before="156" w:after="156" w:line="360" w:lineRule="auto"/>
        <w:outlineLvl w:val="9"/>
        <w:rPr>
          <w:rFonts w:ascii="Times New Roman"/>
          <w:sz w:val="24"/>
          <w:szCs w:val="24"/>
        </w:rPr>
      </w:pPr>
      <w:bookmarkStart w:id="101" w:name="_Toc197604998"/>
      <w:bookmarkStart w:id="102" w:name="_Toc199420207"/>
      <w:r>
        <w:rPr>
          <w:rFonts w:ascii="Times New Roman"/>
          <w:sz w:val="24"/>
          <w:szCs w:val="24"/>
        </w:rPr>
        <w:t>C.3 自</w:t>
      </w:r>
      <w:r>
        <w:rPr>
          <w:rFonts w:ascii="Times New Roman"/>
          <w:color w:val="000000"/>
          <w:sz w:val="24"/>
          <w:szCs w:val="24"/>
        </w:rPr>
        <w:t>噪声</w:t>
      </w:r>
      <w:r>
        <w:rPr>
          <w:rFonts w:ascii="Times New Roman"/>
          <w:sz w:val="24"/>
          <w:szCs w:val="24"/>
        </w:rPr>
        <w:t>监测系统的自噪声示值测量不确定度分量</w:t>
      </w:r>
      <w:bookmarkEnd w:id="101"/>
      <w:bookmarkEnd w:id="102"/>
    </w:p>
    <w:p w14:paraId="190EF43C">
      <w:pPr>
        <w:pStyle w:val="32"/>
        <w:spacing w:line="360" w:lineRule="auto"/>
        <w:ind w:firstLine="0" w:firstLineChars="0"/>
        <w:rPr>
          <w:rFonts w:ascii="Times New Roman"/>
          <w:sz w:val="24"/>
          <w:szCs w:val="24"/>
        </w:rPr>
      </w:pPr>
      <w:bookmarkStart w:id="103" w:name="_Toc197604999"/>
      <w:r>
        <w:rPr>
          <w:rFonts w:ascii="Times New Roman"/>
          <w:sz w:val="24"/>
          <w:szCs w:val="24"/>
        </w:rPr>
        <w:t>C.3.1 测量模型</w:t>
      </w:r>
      <w:bookmarkEnd w:id="103"/>
    </w:p>
    <w:p w14:paraId="6DBC6A53">
      <w:pPr>
        <w:widowControl/>
        <w:autoSpaceDE w:val="0"/>
        <w:autoSpaceDN w:val="0"/>
        <w:spacing w:line="360" w:lineRule="auto"/>
        <w:ind w:firstLine="480" w:firstLineChars="200"/>
        <w:jc w:val="left"/>
        <w:rPr>
          <w:sz w:val="24"/>
          <w:szCs w:val="24"/>
        </w:rPr>
      </w:pPr>
      <w:r>
        <w:rPr>
          <w:sz w:val="24"/>
          <w:szCs w:val="24"/>
        </w:rPr>
        <w:t>自噪声监测系统的噪声声压谱密度声源级计算公式如（C.3）所示：</w:t>
      </w:r>
    </w:p>
    <w:p w14:paraId="7047EBC2">
      <w:pPr>
        <w:widowControl/>
        <w:autoSpaceDE w:val="0"/>
        <w:autoSpaceDN w:val="0"/>
        <w:spacing w:line="360" w:lineRule="auto"/>
        <w:ind w:firstLine="420" w:firstLineChars="200"/>
        <w:jc w:val="right"/>
        <w:rPr>
          <w:sz w:val="24"/>
          <w:szCs w:val="24"/>
        </w:rPr>
      </w:pPr>
      <w:r>
        <w:rPr>
          <w:position w:val="-12"/>
        </w:rPr>
        <w:object>
          <v:shape id="_x0000_i1052" o:spt="75" type="#_x0000_t75" style="height:18.35pt;width:199pt;" o:ole="t" filled="f" o:preferrelative="t" stroked="f" coordsize="21600,21600">
            <v:path/>
            <v:fill on="f" focussize="0,0"/>
            <v:stroke on="f" joinstyle="miter"/>
            <v:imagedata r:id="rId65" o:title=""/>
            <o:lock v:ext="edit" aspectratio="t"/>
            <w10:wrap type="none"/>
            <w10:anchorlock/>
          </v:shape>
          <o:OLEObject Type="Embed" ProgID="Equation.DSMT4" ShapeID="_x0000_i1052" DrawAspect="Content" ObjectID="_1468075752" r:id="rId64">
            <o:LockedField>false</o:LockedField>
          </o:OLEObject>
        </w:object>
      </w:r>
      <w:r>
        <w:rPr>
          <w:sz w:val="24"/>
          <w:szCs w:val="24"/>
        </w:rPr>
        <w:t xml:space="preserve">                    （C.3）</w:t>
      </w:r>
    </w:p>
    <w:p w14:paraId="122C6A30">
      <w:pPr>
        <w:widowControl/>
        <w:autoSpaceDE w:val="0"/>
        <w:autoSpaceDN w:val="0"/>
        <w:spacing w:line="360" w:lineRule="auto"/>
        <w:ind w:firstLine="480" w:firstLineChars="200"/>
        <w:rPr>
          <w:sz w:val="24"/>
          <w:szCs w:val="24"/>
        </w:rPr>
      </w:pPr>
      <w:r>
        <w:rPr>
          <w:sz w:val="24"/>
          <w:szCs w:val="24"/>
        </w:rPr>
        <w:t>式中：</w:t>
      </w:r>
    </w:p>
    <w:p w14:paraId="4CF27EE4">
      <w:pPr>
        <w:widowControl/>
        <w:autoSpaceDE w:val="0"/>
        <w:autoSpaceDN w:val="0"/>
        <w:spacing w:line="360" w:lineRule="auto"/>
        <w:ind w:left="-21" w:leftChars="-10" w:firstLine="420" w:firstLineChars="200"/>
        <w:jc w:val="left"/>
        <w:rPr>
          <w:sz w:val="24"/>
          <w:szCs w:val="24"/>
        </w:rPr>
      </w:pPr>
      <w:r>
        <w:rPr>
          <w:position w:val="-12"/>
        </w:rPr>
        <w:object>
          <v:shape id="_x0000_i1053" o:spt="75" type="#_x0000_t75" style="height:18.35pt;width:23.1pt;" o:ole="t" filled="f" o:preferrelative="t" stroked="f" coordsize="21600,21600">
            <v:path/>
            <v:fill on="f" focussize="0,0"/>
            <v:stroke on="f" joinstyle="miter"/>
            <v:imagedata r:id="rId22" o:title=""/>
            <o:lock v:ext="edit" aspectratio="t"/>
            <w10:wrap type="none"/>
            <w10:anchorlock/>
          </v:shape>
          <o:OLEObject Type="Embed" ProgID="Equation.DSMT4" ShapeID="_x0000_i1053" DrawAspect="Content" ObjectID="_1468075753" r:id="rId66">
            <o:LockedField>false</o:LockedField>
          </o:OLEObject>
        </w:object>
      </w:r>
      <w:r>
        <w:t xml:space="preserve"> </w:t>
      </w:r>
      <w:r>
        <w:rPr>
          <w:sz w:val="24"/>
          <w:szCs w:val="24"/>
        </w:rPr>
        <w:t>——噪声频带声压级，dB（基准值：</w:t>
      </w:r>
      <w:r>
        <w:rPr>
          <w:position w:val="-10"/>
        </w:rPr>
        <w:object>
          <v:shape id="_x0000_i1054" o:spt="75" type="#_x0000_t75" style="height:16.3pt;width:27.85pt;" o:ole="t" filled="f" o:preferrelative="t" stroked="f" coordsize="21600,21600">
            <v:path/>
            <v:fill on="f" focussize="0,0"/>
            <v:stroke on="f" joinstyle="miter"/>
            <v:imagedata r:id="rId68" o:title=""/>
            <o:lock v:ext="edit" aspectratio="t"/>
            <w10:wrap type="none"/>
            <w10:anchorlock/>
          </v:shape>
          <o:OLEObject Type="Embed" ProgID="Equation.DSMT4" ShapeID="_x0000_i1054" DrawAspect="Content" ObjectID="_1468075754" r:id="rId67">
            <o:LockedField>false</o:LockedField>
          </o:OLEObject>
        </w:object>
      </w:r>
      <w:r>
        <w:rPr>
          <w:sz w:val="24"/>
          <w:szCs w:val="24"/>
        </w:rPr>
        <w:t>）；</w:t>
      </w:r>
    </w:p>
    <w:p w14:paraId="0DFAC74C">
      <w:pPr>
        <w:widowControl/>
        <w:autoSpaceDE w:val="0"/>
        <w:autoSpaceDN w:val="0"/>
        <w:spacing w:line="360" w:lineRule="auto"/>
        <w:ind w:left="105" w:leftChars="50" w:firstLine="420" w:firstLineChars="200"/>
        <w:jc w:val="left"/>
        <w:rPr>
          <w:sz w:val="24"/>
          <w:szCs w:val="24"/>
        </w:rPr>
      </w:pPr>
      <w:r>
        <w:rPr>
          <w:position w:val="-12"/>
        </w:rPr>
        <w:object>
          <v:shape id="_x0000_i1055" o:spt="75" type="#_x0000_t75" style="height:18.35pt;width:21.05pt;" o:ole="t" filled="f" o:preferrelative="t" stroked="f" coordsize="21600,21600">
            <v:path/>
            <v:fill on="f" focussize="0,0"/>
            <v:stroke on="f" joinstyle="miter"/>
            <v:imagedata r:id="rId70" o:title=""/>
            <o:lock v:ext="edit" aspectratio="t"/>
            <w10:wrap type="none"/>
            <w10:anchorlock/>
          </v:shape>
          <o:OLEObject Type="Embed" ProgID="Equation.DSMT4" ShapeID="_x0000_i1055" DrawAspect="Content" ObjectID="_1468075755" r:id="rId69">
            <o:LockedField>false</o:LockedField>
          </o:OLEObject>
        </w:object>
      </w:r>
      <w:r>
        <w:rPr>
          <w:sz w:val="24"/>
          <w:szCs w:val="24"/>
        </w:rPr>
        <w:t>——水听器输出的开路电压，V；</w:t>
      </w:r>
    </w:p>
    <w:p w14:paraId="68BC799C">
      <w:pPr>
        <w:widowControl/>
        <w:autoSpaceDE w:val="0"/>
        <w:autoSpaceDN w:val="0"/>
        <w:spacing w:line="360" w:lineRule="auto"/>
        <w:ind w:left="252" w:leftChars="120" w:firstLine="420" w:firstLineChars="200"/>
        <w:rPr>
          <w:sz w:val="24"/>
          <w:szCs w:val="24"/>
        </w:rPr>
      </w:pPr>
      <w:r>
        <w:rPr>
          <w:position w:val="-12"/>
        </w:rPr>
        <w:object>
          <v:shape id="_x0000_i1056" o:spt="75" type="#_x0000_t75" style="height:18.35pt;width:14.25pt;" o:ole="t" filled="f" o:preferrelative="t" stroked="f" coordsize="21600,21600">
            <v:path/>
            <v:fill on="f" focussize="0,0"/>
            <v:stroke on="f" joinstyle="miter"/>
            <v:imagedata r:id="rId72" o:title=""/>
            <o:lock v:ext="edit" aspectratio="t"/>
            <w10:wrap type="none"/>
            <w10:anchorlock/>
          </v:shape>
          <o:OLEObject Type="Embed" ProgID="Equation.DSMT4" ShapeID="_x0000_i1056" DrawAspect="Content" ObjectID="_1468075756" r:id="rId71">
            <o:LockedField>false</o:LockedField>
          </o:OLEObject>
        </w:object>
      </w:r>
      <w:r>
        <w:rPr>
          <w:sz w:val="24"/>
          <w:szCs w:val="24"/>
        </w:rPr>
        <w:t>——水听器测试距离，m；</w:t>
      </w:r>
    </w:p>
    <w:p w14:paraId="21924F0F">
      <w:pPr>
        <w:widowControl/>
        <w:autoSpaceDE w:val="0"/>
        <w:autoSpaceDN w:val="0"/>
        <w:spacing w:line="360" w:lineRule="auto"/>
        <w:ind w:left="189" w:leftChars="90" w:firstLine="420" w:firstLineChars="200"/>
        <w:jc w:val="left"/>
        <w:rPr>
          <w:sz w:val="24"/>
          <w:szCs w:val="24"/>
        </w:rPr>
      </w:pPr>
      <w:r>
        <w:rPr>
          <w:position w:val="-12"/>
        </w:rPr>
        <w:object>
          <v:shape id="_x0000_i1057" o:spt="75" type="#_x0000_t75" style="height:18.35pt;width:19pt;" o:ole="t" filled="f" o:preferrelative="t" stroked="f" coordsize="21600,21600">
            <v:path/>
            <v:fill on="f" focussize="0,0"/>
            <v:stroke on="f" joinstyle="miter"/>
            <v:imagedata r:id="rId74" o:title=""/>
            <o:lock v:ext="edit" aspectratio="t"/>
            <w10:wrap type="none"/>
            <w10:anchorlock/>
          </v:shape>
          <o:OLEObject Type="Embed" ProgID="Equation.DSMT4" ShapeID="_x0000_i1057" DrawAspect="Content" ObjectID="_1468075757" r:id="rId73">
            <o:LockedField>false</o:LockedField>
          </o:OLEObject>
        </w:object>
      </w:r>
      <w:r>
        <w:rPr>
          <w:sz w:val="24"/>
          <w:szCs w:val="24"/>
        </w:rPr>
        <w:t>——水听器的自由场开路电压灵敏度级，dB；（基准值：</w:t>
      </w:r>
      <w:r>
        <w:rPr>
          <w:position w:val="-10"/>
        </w:rPr>
        <w:object>
          <v:shape id="_x0000_i1058" o:spt="75" type="#_x0000_t75" style="height:17pt;width:36.7pt;" o:ole="t" filled="f" o:preferrelative="t" stroked="f" coordsize="21600,21600">
            <v:path/>
            <v:fill on="f" focussize="0,0"/>
            <v:stroke on="f" joinstyle="miter"/>
            <v:imagedata r:id="rId34" o:title=""/>
            <o:lock v:ext="edit" aspectratio="t"/>
            <w10:wrap type="none"/>
            <w10:anchorlock/>
          </v:shape>
          <o:OLEObject Type="Embed" ProgID="Equation.DSMT4" ShapeID="_x0000_i1058" DrawAspect="Content" ObjectID="_1468075758" r:id="rId75">
            <o:LockedField>false</o:LockedField>
          </o:OLEObject>
        </w:object>
      </w:r>
      <w:r>
        <w:rPr>
          <w:sz w:val="24"/>
          <w:szCs w:val="24"/>
        </w:rPr>
        <w:t>）；</w:t>
      </w:r>
    </w:p>
    <w:p w14:paraId="7A38B5B2">
      <w:pPr>
        <w:widowControl/>
        <w:autoSpaceDE w:val="0"/>
        <w:autoSpaceDN w:val="0"/>
        <w:spacing w:line="360" w:lineRule="auto"/>
        <w:ind w:firstLine="630" w:firstLineChars="300"/>
        <w:jc w:val="left"/>
      </w:pPr>
      <w:r>
        <w:rPr>
          <w:position w:val="-10"/>
        </w:rPr>
        <w:object>
          <v:shape id="_x0000_i1059" o:spt="75" type="#_x0000_t75" style="height:16.3pt;width:17pt;" o:ole="t" filled="f" o:preferrelative="t" stroked="f" coordsize="21600,21600">
            <v:path/>
            <v:fill on="f" focussize="0,0"/>
            <v:stroke on="f" joinstyle="miter"/>
            <v:imagedata r:id="rId77" o:title=""/>
            <o:lock v:ext="edit" aspectratio="t"/>
            <w10:wrap type="none"/>
            <w10:anchorlock/>
          </v:shape>
          <o:OLEObject Type="Embed" ProgID="Equation.DSMT4" ShapeID="_x0000_i1059" DrawAspect="Content" ObjectID="_1468075759" r:id="rId76">
            <o:LockedField>false</o:LockedField>
          </o:OLEObject>
        </w:object>
      </w:r>
      <w:bookmarkStart w:id="104" w:name="_Hlk202459959"/>
      <w:r>
        <w:rPr>
          <w:sz w:val="24"/>
          <w:szCs w:val="24"/>
        </w:rPr>
        <w:t>——</w:t>
      </w:r>
      <w:bookmarkEnd w:id="104"/>
      <w:r>
        <w:rPr>
          <w:sz w:val="24"/>
          <w:szCs w:val="24"/>
        </w:rPr>
        <w:t>噪声声压谱线的分析带宽，Hz。</w:t>
      </w:r>
    </w:p>
    <w:p w14:paraId="6C9F6685">
      <w:pPr>
        <w:widowControl/>
        <w:autoSpaceDE w:val="0"/>
        <w:autoSpaceDN w:val="0"/>
        <w:spacing w:line="360" w:lineRule="auto"/>
        <w:ind w:firstLine="480" w:firstLineChars="200"/>
        <w:jc w:val="left"/>
        <w:rPr>
          <w:sz w:val="24"/>
          <w:szCs w:val="24"/>
        </w:rPr>
      </w:pPr>
      <w:r>
        <w:rPr>
          <w:sz w:val="24"/>
          <w:szCs w:val="24"/>
        </w:rPr>
        <w:t>灵敏</w:t>
      </w:r>
      <w:r>
        <w:rPr>
          <w:rFonts w:hint="eastAsia"/>
          <w:sz w:val="24"/>
          <w:szCs w:val="24"/>
        </w:rPr>
        <w:t>度</w:t>
      </w:r>
      <w:r>
        <w:rPr>
          <w:sz w:val="24"/>
          <w:szCs w:val="24"/>
        </w:rPr>
        <w:t>系数为：</w:t>
      </w:r>
    </w:p>
    <w:p w14:paraId="151D8CC9">
      <w:pPr>
        <w:widowControl/>
        <w:autoSpaceDE w:val="0"/>
        <w:autoSpaceDN w:val="0"/>
        <w:spacing w:line="360" w:lineRule="auto"/>
        <w:jc w:val="center"/>
      </w:pPr>
      <w:r>
        <w:rPr>
          <w:position w:val="-30"/>
        </w:rPr>
        <w:object>
          <v:shape id="_x0000_i1060" o:spt="75" type="#_x0000_t75" style="height:33.95pt;width:126.75pt;" o:ole="t" filled="f" o:preferrelative="t" stroked="f" coordsize="21600,21600">
            <v:path/>
            <v:fill on="f" focussize="0,0"/>
            <v:stroke on="f" joinstyle="miter"/>
            <v:imagedata r:id="rId79" o:title=""/>
            <o:lock v:ext="edit" aspectratio="t"/>
            <w10:wrap type="none"/>
            <w10:anchorlock/>
          </v:shape>
          <o:OLEObject Type="Embed" ProgID="Equation.DSMT4" ShapeID="_x0000_i1060" DrawAspect="Content" ObjectID="_1468075760" r:id="rId78">
            <o:LockedField>false</o:LockedField>
          </o:OLEObject>
        </w:object>
      </w:r>
      <w:r>
        <w:t>，</w:t>
      </w:r>
      <w:r>
        <w:rPr>
          <w:position w:val="-24"/>
        </w:rPr>
        <w:object>
          <v:shape id="_x0000_i1061" o:spt="75" type="#_x0000_t75" style="height:31.25pt;width:106pt;" o:ole="t" filled="f" o:preferrelative="t" stroked="f" coordsize="21600,21600">
            <v:path/>
            <v:fill on="f" focussize="0,0"/>
            <v:stroke on="f" joinstyle="miter"/>
            <v:imagedata r:id="rId81" o:title=""/>
            <o:lock v:ext="edit" aspectratio="t"/>
            <w10:wrap type="none"/>
            <w10:anchorlock/>
          </v:shape>
          <o:OLEObject Type="Embed" ProgID="Equation.DSMT4" ShapeID="_x0000_i1061" DrawAspect="Content" ObjectID="_1468075761" r:id="rId80">
            <o:LockedField>false</o:LockedField>
          </o:OLEObject>
        </w:object>
      </w:r>
    </w:p>
    <w:p w14:paraId="56719ADF">
      <w:pPr>
        <w:widowControl/>
        <w:autoSpaceDE w:val="0"/>
        <w:autoSpaceDN w:val="0"/>
        <w:spacing w:line="360" w:lineRule="auto"/>
        <w:jc w:val="center"/>
        <w:rPr>
          <w:sz w:val="24"/>
          <w:szCs w:val="24"/>
        </w:rPr>
      </w:pPr>
      <w:r>
        <w:rPr>
          <w:position w:val="-30"/>
        </w:rPr>
        <w:object>
          <v:shape id="_x0000_i1062" o:spt="75" type="#_x0000_t75" style="height:33.95pt;width:95.1pt;" o:ole="t" filled="f" o:preferrelative="t" stroked="f" coordsize="21600,21600">
            <v:path/>
            <v:fill on="f" focussize="0,0"/>
            <v:stroke on="f" joinstyle="miter"/>
            <v:imagedata r:id="rId83" o:title=""/>
            <o:lock v:ext="edit" aspectratio="t"/>
            <w10:wrap type="none"/>
            <w10:anchorlock/>
          </v:shape>
          <o:OLEObject Type="Embed" ProgID="Equation.DSMT4" ShapeID="_x0000_i1062" DrawAspect="Content" ObjectID="_1468075762" r:id="rId82">
            <o:LockedField>false</o:LockedField>
          </o:OLEObject>
        </w:object>
      </w:r>
      <w:r>
        <w:t>，</w:t>
      </w:r>
      <w:r>
        <w:rPr>
          <w:position w:val="-28"/>
        </w:rPr>
        <w:object>
          <v:shape id="_x0000_i1063" o:spt="75" type="#_x0000_t75" style="height:33.3pt;width:122.2pt;" o:ole="t" filled="f" o:preferrelative="t" stroked="f" coordsize="21600,21600">
            <v:path/>
            <v:fill on="f" focussize="0,0"/>
            <v:stroke on="f" joinstyle="miter"/>
            <v:imagedata r:id="rId85" o:title=""/>
            <o:lock v:ext="edit" aspectratio="t"/>
            <w10:wrap type="none"/>
            <w10:anchorlock/>
          </v:shape>
          <o:OLEObject Type="Embed" ProgID="Equation.DSMT4" ShapeID="_x0000_i1063" DrawAspect="Content" ObjectID="_1468075763" r:id="rId84">
            <o:LockedField>false</o:LockedField>
          </o:OLEObject>
        </w:object>
      </w:r>
    </w:p>
    <w:p w14:paraId="5F4F3E44">
      <w:pPr>
        <w:pStyle w:val="32"/>
        <w:spacing w:line="360" w:lineRule="auto"/>
        <w:ind w:firstLine="0" w:firstLineChars="0"/>
        <w:rPr>
          <w:rFonts w:ascii="Times New Roman"/>
          <w:sz w:val="24"/>
          <w:szCs w:val="24"/>
        </w:rPr>
      </w:pPr>
      <w:bookmarkStart w:id="105" w:name="_Toc197605000"/>
      <w:r>
        <w:rPr>
          <w:rFonts w:ascii="Times New Roman"/>
          <w:sz w:val="24"/>
          <w:szCs w:val="24"/>
        </w:rPr>
        <w:t>C.3.2 测量不确定度分量</w:t>
      </w:r>
      <w:bookmarkEnd w:id="105"/>
    </w:p>
    <w:p w14:paraId="7E14AE0F">
      <w:pPr>
        <w:widowControl/>
        <w:autoSpaceDE w:val="0"/>
        <w:autoSpaceDN w:val="0"/>
        <w:spacing w:line="360" w:lineRule="auto"/>
        <w:ind w:firstLine="480" w:firstLineChars="200"/>
        <w:jc w:val="left"/>
        <w:rPr>
          <w:sz w:val="24"/>
          <w:szCs w:val="24"/>
        </w:rPr>
      </w:pPr>
      <w:r>
        <w:rPr>
          <w:sz w:val="24"/>
          <w:szCs w:val="24"/>
        </w:rPr>
        <w:t>1）测量重复性引入的标准不确定度分量</w:t>
      </w:r>
      <w:r>
        <w:rPr>
          <w:position w:val="-12"/>
        </w:rPr>
        <w:object>
          <v:shape id="_x0000_i1064" o:spt="75" type="#_x0000_t75" style="height:18.35pt;width:12.25pt;" o:ole="t" filled="f" o:preferrelative="t" stroked="f" coordsize="21600,21600">
            <v:path/>
            <v:fill on="f" focussize="0,0"/>
            <v:stroke on="f" joinstyle="miter"/>
            <v:imagedata r:id="rId87" o:title=""/>
            <o:lock v:ext="edit" aspectratio="t"/>
            <w10:wrap type="none"/>
            <w10:anchorlock/>
          </v:shape>
          <o:OLEObject Type="Embed" ProgID="Equation.DSMT4" ShapeID="_x0000_i1064" DrawAspect="Content" ObjectID="_1468075764" r:id="rId86">
            <o:LockedField>false</o:LockedField>
          </o:OLEObject>
        </w:object>
      </w:r>
    </w:p>
    <w:p w14:paraId="7A668336">
      <w:pPr>
        <w:widowControl/>
        <w:autoSpaceDE w:val="0"/>
        <w:autoSpaceDN w:val="0"/>
        <w:spacing w:line="360" w:lineRule="auto"/>
        <w:ind w:firstLine="480" w:firstLineChars="200"/>
        <w:rPr>
          <w:sz w:val="24"/>
          <w:szCs w:val="24"/>
        </w:rPr>
      </w:pPr>
      <w:r>
        <w:rPr>
          <w:sz w:val="24"/>
          <w:szCs w:val="24"/>
        </w:rPr>
        <w:t>测量重复性引入的标准不确定度分量按A类方法评定。用本规范所规定的条件，在相同测量条件下，充分考虑定位、温度等因素对校准结果的影响，在300 Hz≤</w:t>
      </w:r>
      <w:r>
        <w:rPr>
          <w:i/>
          <w:iCs/>
          <w:sz w:val="24"/>
          <w:szCs w:val="24"/>
        </w:rPr>
        <w:t>f</w:t>
      </w:r>
      <w:r>
        <w:rPr>
          <w:sz w:val="24"/>
          <w:szCs w:val="24"/>
        </w:rPr>
        <w:t>≤40 kHz频率范围对同一自噪声监测系统的声压谱密度声源级重复测量8次，结果如表</w:t>
      </w:r>
      <w:r>
        <w:rPr>
          <w:rFonts w:hint="eastAsia"/>
          <w:sz w:val="24"/>
          <w:szCs w:val="24"/>
        </w:rPr>
        <w:t>C.</w:t>
      </w:r>
      <w:r>
        <w:rPr>
          <w:sz w:val="24"/>
          <w:szCs w:val="24"/>
        </w:rPr>
        <w:t>1所示。测量结果的最大实验标准偏差</w:t>
      </w:r>
      <w:r>
        <w:rPr>
          <w:i/>
          <w:sz w:val="24"/>
          <w:szCs w:val="24"/>
        </w:rPr>
        <w:t>S</w:t>
      </w:r>
      <w:r>
        <w:rPr>
          <w:i/>
          <w:sz w:val="24"/>
          <w:szCs w:val="24"/>
          <w:vertAlign w:val="subscript"/>
        </w:rPr>
        <w:t>n</w:t>
      </w:r>
      <w:r>
        <w:rPr>
          <w:sz w:val="24"/>
          <w:szCs w:val="24"/>
        </w:rPr>
        <w:t>，在300 Hz≤</w:t>
      </w:r>
      <w:r>
        <w:rPr>
          <w:i/>
          <w:iCs/>
          <w:sz w:val="24"/>
          <w:szCs w:val="24"/>
        </w:rPr>
        <w:t>f</w:t>
      </w:r>
      <w:r>
        <w:rPr>
          <w:sz w:val="24"/>
          <w:szCs w:val="24"/>
        </w:rPr>
        <w:t>≤40 kHz时为0.8 dB。取多次测量的平均值作为校准结果，按公式（C.4）得到测量重复性引入的每个频率点的不确定度分量，如表C.1所示。</w:t>
      </w:r>
    </w:p>
    <w:p w14:paraId="49C4A1EE">
      <w:pPr>
        <w:widowControl/>
        <w:autoSpaceDE w:val="0"/>
        <w:autoSpaceDN w:val="0"/>
        <w:spacing w:line="360" w:lineRule="auto"/>
        <w:ind w:firstLine="420" w:firstLineChars="200"/>
        <w:jc w:val="right"/>
        <w:rPr>
          <w:iCs/>
          <w:sz w:val="24"/>
          <w:szCs w:val="24"/>
        </w:rPr>
      </w:pPr>
      <w:r>
        <w:rPr>
          <w:position w:val="-28"/>
        </w:rPr>
        <w:object>
          <v:shape id="_x0000_i1065" o:spt="75" type="#_x0000_t75" style="height:33.3pt;width:40.75pt;" o:ole="t" filled="f" o:preferrelative="t" stroked="f" coordsize="21600,21600">
            <v:path/>
            <v:fill on="f" focussize="0,0"/>
            <v:stroke on="f" joinstyle="miter"/>
            <v:imagedata r:id="rId89" o:title=""/>
            <o:lock v:ext="edit" aspectratio="t"/>
            <w10:wrap type="none"/>
            <w10:anchorlock/>
          </v:shape>
          <o:OLEObject Type="Embed" ProgID="Equation.DSMT4" ShapeID="_x0000_i1065" DrawAspect="Content" ObjectID="_1468075765" r:id="rId88">
            <o:LockedField>false</o:LockedField>
          </o:OLEObject>
        </w:object>
      </w:r>
      <w:r>
        <w:rPr>
          <w:iCs/>
          <w:sz w:val="24"/>
          <w:szCs w:val="24"/>
        </w:rPr>
        <w:t xml:space="preserve"> </w:t>
      </w:r>
      <w:bookmarkStart w:id="106" w:name="_Hlk202459576"/>
      <w:r>
        <w:rPr>
          <w:iCs/>
          <w:sz w:val="24"/>
          <w:szCs w:val="24"/>
        </w:rPr>
        <w:t xml:space="preserve">                            （</w:t>
      </w:r>
      <w:r>
        <w:rPr>
          <w:sz w:val="24"/>
          <w:szCs w:val="24"/>
        </w:rPr>
        <w:t>C.</w:t>
      </w:r>
      <w:r>
        <w:rPr>
          <w:iCs/>
          <w:sz w:val="24"/>
          <w:szCs w:val="24"/>
        </w:rPr>
        <w:t>4）</w:t>
      </w:r>
    </w:p>
    <w:bookmarkEnd w:id="106"/>
    <w:p w14:paraId="73258079">
      <w:pPr>
        <w:widowControl/>
        <w:autoSpaceDE w:val="0"/>
        <w:autoSpaceDN w:val="0"/>
        <w:spacing w:line="360" w:lineRule="auto"/>
        <w:ind w:firstLine="480" w:firstLineChars="200"/>
        <w:rPr>
          <w:rFonts w:eastAsia="黑体"/>
          <w:szCs w:val="21"/>
        </w:rPr>
      </w:pPr>
      <w:r>
        <w:rPr>
          <w:sz w:val="24"/>
          <w:szCs w:val="24"/>
        </w:rPr>
        <w:t>每隔一段时间重复同样的测量8次，使用同样的处理方法，每一次测量重复性引入的不确定度分量均在相同的范围内，认为稳定性引入的不确定度分量可忽略不计。</w:t>
      </w:r>
    </w:p>
    <w:p w14:paraId="793CA5A5">
      <w:pPr>
        <w:widowControl/>
        <w:autoSpaceDE w:val="0"/>
        <w:autoSpaceDN w:val="0"/>
        <w:jc w:val="center"/>
        <w:rPr>
          <w:rFonts w:eastAsia="黑体"/>
          <w:szCs w:val="21"/>
        </w:rPr>
      </w:pPr>
    </w:p>
    <w:p w14:paraId="23F98EF2">
      <w:pPr>
        <w:widowControl/>
        <w:autoSpaceDE w:val="0"/>
        <w:autoSpaceDN w:val="0"/>
        <w:jc w:val="center"/>
        <w:rPr>
          <w:rFonts w:eastAsia="黑体"/>
          <w:szCs w:val="21"/>
        </w:rPr>
      </w:pPr>
    </w:p>
    <w:p w14:paraId="30FC93FE">
      <w:pPr>
        <w:widowControl/>
        <w:autoSpaceDE w:val="0"/>
        <w:autoSpaceDN w:val="0"/>
        <w:jc w:val="center"/>
        <w:rPr>
          <w:rFonts w:eastAsia="黑体"/>
          <w:szCs w:val="21"/>
        </w:rPr>
      </w:pPr>
    </w:p>
    <w:p w14:paraId="22852C5D">
      <w:pPr>
        <w:widowControl/>
        <w:autoSpaceDE w:val="0"/>
        <w:autoSpaceDN w:val="0"/>
        <w:jc w:val="center"/>
        <w:rPr>
          <w:rFonts w:eastAsia="黑体"/>
          <w:szCs w:val="21"/>
        </w:rPr>
      </w:pPr>
    </w:p>
    <w:p w14:paraId="28CDB5D5">
      <w:pPr>
        <w:widowControl/>
        <w:autoSpaceDE w:val="0"/>
        <w:autoSpaceDN w:val="0"/>
        <w:jc w:val="center"/>
        <w:rPr>
          <w:rFonts w:eastAsia="黑体"/>
          <w:szCs w:val="21"/>
        </w:rPr>
      </w:pPr>
    </w:p>
    <w:p w14:paraId="0F0EEE4F">
      <w:pPr>
        <w:widowControl/>
        <w:autoSpaceDE w:val="0"/>
        <w:autoSpaceDN w:val="0"/>
        <w:jc w:val="center"/>
        <w:rPr>
          <w:rFonts w:eastAsia="黑体"/>
          <w:szCs w:val="21"/>
        </w:rPr>
      </w:pPr>
    </w:p>
    <w:p w14:paraId="02950844">
      <w:pPr>
        <w:widowControl/>
        <w:autoSpaceDE w:val="0"/>
        <w:autoSpaceDN w:val="0"/>
        <w:jc w:val="center"/>
        <w:rPr>
          <w:rFonts w:eastAsia="黑体"/>
          <w:szCs w:val="21"/>
        </w:rPr>
      </w:pPr>
    </w:p>
    <w:p w14:paraId="5B8730A5">
      <w:pPr>
        <w:widowControl/>
        <w:autoSpaceDE w:val="0"/>
        <w:autoSpaceDN w:val="0"/>
        <w:jc w:val="center"/>
        <w:rPr>
          <w:rFonts w:eastAsia="黑体"/>
          <w:szCs w:val="21"/>
        </w:rPr>
      </w:pPr>
    </w:p>
    <w:p w14:paraId="0B62515A">
      <w:pPr>
        <w:widowControl/>
        <w:autoSpaceDE w:val="0"/>
        <w:autoSpaceDN w:val="0"/>
        <w:jc w:val="center"/>
        <w:rPr>
          <w:rFonts w:eastAsia="黑体"/>
          <w:szCs w:val="21"/>
        </w:rPr>
      </w:pPr>
    </w:p>
    <w:p w14:paraId="4C7EA99A">
      <w:pPr>
        <w:widowControl/>
        <w:autoSpaceDE w:val="0"/>
        <w:autoSpaceDN w:val="0"/>
        <w:jc w:val="center"/>
        <w:rPr>
          <w:rFonts w:eastAsia="黑体"/>
          <w:szCs w:val="21"/>
        </w:rPr>
      </w:pPr>
    </w:p>
    <w:p w14:paraId="784F9BA6">
      <w:pPr>
        <w:widowControl/>
        <w:autoSpaceDE w:val="0"/>
        <w:autoSpaceDN w:val="0"/>
        <w:jc w:val="center"/>
        <w:rPr>
          <w:rFonts w:eastAsia="黑体"/>
          <w:szCs w:val="21"/>
        </w:rPr>
      </w:pPr>
    </w:p>
    <w:p w14:paraId="79431243">
      <w:pPr>
        <w:widowControl/>
        <w:autoSpaceDE w:val="0"/>
        <w:autoSpaceDN w:val="0"/>
        <w:jc w:val="center"/>
        <w:rPr>
          <w:rFonts w:eastAsia="黑体"/>
          <w:szCs w:val="21"/>
        </w:rPr>
      </w:pPr>
    </w:p>
    <w:p w14:paraId="6496A5E7">
      <w:pPr>
        <w:widowControl/>
        <w:autoSpaceDE w:val="0"/>
        <w:autoSpaceDN w:val="0"/>
        <w:jc w:val="center"/>
        <w:rPr>
          <w:rFonts w:eastAsia="黑体"/>
          <w:szCs w:val="21"/>
        </w:rPr>
      </w:pPr>
    </w:p>
    <w:p w14:paraId="55B47A6E">
      <w:pPr>
        <w:widowControl/>
        <w:autoSpaceDE w:val="0"/>
        <w:autoSpaceDN w:val="0"/>
        <w:jc w:val="center"/>
        <w:rPr>
          <w:rFonts w:eastAsia="黑体"/>
          <w:szCs w:val="21"/>
        </w:rPr>
      </w:pPr>
    </w:p>
    <w:p w14:paraId="5FC6DA2B">
      <w:pPr>
        <w:widowControl/>
        <w:autoSpaceDE w:val="0"/>
        <w:autoSpaceDN w:val="0"/>
        <w:jc w:val="center"/>
        <w:rPr>
          <w:rFonts w:eastAsia="黑体"/>
          <w:szCs w:val="21"/>
        </w:rPr>
      </w:pPr>
    </w:p>
    <w:p w14:paraId="04B05887">
      <w:pPr>
        <w:widowControl/>
        <w:autoSpaceDE w:val="0"/>
        <w:autoSpaceDN w:val="0"/>
        <w:jc w:val="center"/>
        <w:rPr>
          <w:rFonts w:eastAsia="黑体"/>
          <w:szCs w:val="21"/>
        </w:rPr>
      </w:pPr>
    </w:p>
    <w:p w14:paraId="67B4946E">
      <w:pPr>
        <w:widowControl/>
        <w:autoSpaceDE w:val="0"/>
        <w:autoSpaceDN w:val="0"/>
        <w:jc w:val="center"/>
        <w:rPr>
          <w:rFonts w:eastAsia="黑体"/>
          <w:szCs w:val="21"/>
        </w:rPr>
      </w:pPr>
      <w:r>
        <w:rPr>
          <w:rFonts w:eastAsia="黑体"/>
          <w:szCs w:val="21"/>
        </w:rPr>
        <w:t>表C.1 噪声声压谱密度级的测量数据</w:t>
      </w:r>
    </w:p>
    <w:tbl>
      <w:tblPr>
        <w:tblStyle w:val="17"/>
        <w:tblW w:w="92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9"/>
        <w:gridCol w:w="893"/>
        <w:gridCol w:w="893"/>
        <w:gridCol w:w="893"/>
        <w:gridCol w:w="893"/>
        <w:gridCol w:w="893"/>
        <w:gridCol w:w="893"/>
        <w:gridCol w:w="893"/>
        <w:gridCol w:w="893"/>
        <w:gridCol w:w="695"/>
        <w:gridCol w:w="695"/>
      </w:tblGrid>
      <w:tr w14:paraId="6779E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15AF3CB8">
            <w:pPr>
              <w:pStyle w:val="63"/>
              <w:spacing w:line="240" w:lineRule="auto"/>
              <w:ind w:firstLine="0" w:firstLineChars="0"/>
              <w:jc w:val="center"/>
              <w:rPr>
                <w:sz w:val="21"/>
                <w:szCs w:val="21"/>
              </w:rPr>
            </w:pPr>
            <w:r>
              <w:rPr>
                <w:i/>
                <w:sz w:val="21"/>
                <w:szCs w:val="21"/>
              </w:rPr>
              <w:t>f</w:t>
            </w:r>
            <w:r>
              <w:rPr>
                <w:sz w:val="21"/>
                <w:szCs w:val="21"/>
              </w:rPr>
              <w:t>/kHz</w:t>
            </w:r>
          </w:p>
        </w:tc>
        <w:tc>
          <w:tcPr>
            <w:tcW w:w="893" w:type="dxa"/>
          </w:tcPr>
          <w:p w14:paraId="7EB922E0">
            <w:pPr>
              <w:pStyle w:val="63"/>
              <w:spacing w:line="240" w:lineRule="auto"/>
              <w:ind w:firstLine="0" w:firstLineChars="0"/>
              <w:jc w:val="center"/>
              <w:rPr>
                <w:sz w:val="21"/>
                <w:szCs w:val="21"/>
              </w:rPr>
            </w:pPr>
            <w:r>
              <w:rPr>
                <w:i/>
                <w:sz w:val="21"/>
                <w:szCs w:val="21"/>
              </w:rPr>
              <w:t>Lps</w:t>
            </w:r>
            <w:r>
              <w:rPr>
                <w:iCs/>
                <w:sz w:val="21"/>
                <w:szCs w:val="21"/>
                <w:vertAlign w:val="subscript"/>
              </w:rPr>
              <w:t>1</w:t>
            </w:r>
            <w:r>
              <w:rPr>
                <w:sz w:val="21"/>
                <w:szCs w:val="21"/>
              </w:rPr>
              <w:t>/dB</w:t>
            </w:r>
          </w:p>
        </w:tc>
        <w:tc>
          <w:tcPr>
            <w:tcW w:w="893" w:type="dxa"/>
          </w:tcPr>
          <w:p w14:paraId="1F7BE8E2">
            <w:pPr>
              <w:pStyle w:val="63"/>
              <w:spacing w:line="240" w:lineRule="auto"/>
              <w:ind w:firstLine="0" w:firstLineChars="0"/>
              <w:jc w:val="center"/>
              <w:rPr>
                <w:sz w:val="21"/>
                <w:szCs w:val="21"/>
              </w:rPr>
            </w:pPr>
            <w:r>
              <w:rPr>
                <w:i/>
                <w:sz w:val="21"/>
                <w:szCs w:val="21"/>
              </w:rPr>
              <w:t>Lps</w:t>
            </w:r>
            <w:r>
              <w:rPr>
                <w:iCs/>
                <w:sz w:val="21"/>
                <w:szCs w:val="21"/>
                <w:vertAlign w:val="subscript"/>
              </w:rPr>
              <w:t>2</w:t>
            </w:r>
            <w:r>
              <w:rPr>
                <w:sz w:val="21"/>
                <w:szCs w:val="21"/>
              </w:rPr>
              <w:t>/dB</w:t>
            </w:r>
          </w:p>
        </w:tc>
        <w:tc>
          <w:tcPr>
            <w:tcW w:w="893" w:type="dxa"/>
          </w:tcPr>
          <w:p w14:paraId="6FA1E32A">
            <w:pPr>
              <w:pStyle w:val="63"/>
              <w:spacing w:line="240" w:lineRule="auto"/>
              <w:ind w:firstLine="0" w:firstLineChars="0"/>
              <w:jc w:val="center"/>
              <w:rPr>
                <w:sz w:val="21"/>
                <w:szCs w:val="21"/>
              </w:rPr>
            </w:pPr>
            <w:r>
              <w:rPr>
                <w:i/>
                <w:sz w:val="21"/>
                <w:szCs w:val="21"/>
              </w:rPr>
              <w:t>Lps</w:t>
            </w:r>
            <w:r>
              <w:rPr>
                <w:iCs/>
                <w:sz w:val="21"/>
                <w:szCs w:val="21"/>
                <w:vertAlign w:val="subscript"/>
              </w:rPr>
              <w:t>3</w:t>
            </w:r>
            <w:r>
              <w:rPr>
                <w:sz w:val="21"/>
                <w:szCs w:val="21"/>
              </w:rPr>
              <w:t>/dB</w:t>
            </w:r>
          </w:p>
        </w:tc>
        <w:tc>
          <w:tcPr>
            <w:tcW w:w="893" w:type="dxa"/>
          </w:tcPr>
          <w:p w14:paraId="3094C3E3">
            <w:pPr>
              <w:pStyle w:val="63"/>
              <w:spacing w:line="240" w:lineRule="auto"/>
              <w:ind w:firstLine="0" w:firstLineChars="0"/>
              <w:jc w:val="center"/>
              <w:rPr>
                <w:sz w:val="21"/>
                <w:szCs w:val="21"/>
              </w:rPr>
            </w:pPr>
            <w:r>
              <w:rPr>
                <w:i/>
                <w:sz w:val="21"/>
                <w:szCs w:val="21"/>
              </w:rPr>
              <w:t>Lps</w:t>
            </w:r>
            <w:r>
              <w:rPr>
                <w:iCs/>
                <w:sz w:val="21"/>
                <w:szCs w:val="21"/>
                <w:vertAlign w:val="subscript"/>
              </w:rPr>
              <w:t>4</w:t>
            </w:r>
            <w:r>
              <w:rPr>
                <w:sz w:val="21"/>
                <w:szCs w:val="21"/>
              </w:rPr>
              <w:t>/dB</w:t>
            </w:r>
          </w:p>
        </w:tc>
        <w:tc>
          <w:tcPr>
            <w:tcW w:w="893" w:type="dxa"/>
          </w:tcPr>
          <w:p w14:paraId="562B983B">
            <w:pPr>
              <w:pStyle w:val="63"/>
              <w:spacing w:line="240" w:lineRule="auto"/>
              <w:ind w:firstLine="0" w:firstLineChars="0"/>
              <w:jc w:val="center"/>
              <w:rPr>
                <w:sz w:val="21"/>
                <w:szCs w:val="21"/>
              </w:rPr>
            </w:pPr>
            <w:r>
              <w:rPr>
                <w:i/>
                <w:sz w:val="21"/>
                <w:szCs w:val="21"/>
              </w:rPr>
              <w:t>Lps</w:t>
            </w:r>
            <w:r>
              <w:rPr>
                <w:iCs/>
                <w:sz w:val="21"/>
                <w:szCs w:val="21"/>
                <w:vertAlign w:val="subscript"/>
              </w:rPr>
              <w:t>5</w:t>
            </w:r>
            <w:r>
              <w:rPr>
                <w:sz w:val="21"/>
                <w:szCs w:val="21"/>
              </w:rPr>
              <w:t>/dB</w:t>
            </w:r>
          </w:p>
        </w:tc>
        <w:tc>
          <w:tcPr>
            <w:tcW w:w="893" w:type="dxa"/>
          </w:tcPr>
          <w:p w14:paraId="617BF52F">
            <w:pPr>
              <w:pStyle w:val="63"/>
              <w:spacing w:line="240" w:lineRule="auto"/>
              <w:ind w:firstLine="0" w:firstLineChars="0"/>
              <w:jc w:val="center"/>
              <w:rPr>
                <w:sz w:val="21"/>
                <w:szCs w:val="21"/>
              </w:rPr>
            </w:pPr>
            <w:r>
              <w:rPr>
                <w:i/>
                <w:sz w:val="21"/>
                <w:szCs w:val="21"/>
              </w:rPr>
              <w:t>Lps</w:t>
            </w:r>
            <w:r>
              <w:rPr>
                <w:iCs/>
                <w:sz w:val="21"/>
                <w:szCs w:val="21"/>
                <w:vertAlign w:val="subscript"/>
              </w:rPr>
              <w:t>6</w:t>
            </w:r>
            <w:r>
              <w:rPr>
                <w:sz w:val="21"/>
                <w:szCs w:val="21"/>
              </w:rPr>
              <w:t>/dB</w:t>
            </w:r>
          </w:p>
        </w:tc>
        <w:tc>
          <w:tcPr>
            <w:tcW w:w="893" w:type="dxa"/>
          </w:tcPr>
          <w:p w14:paraId="6B79FF89">
            <w:pPr>
              <w:pStyle w:val="63"/>
              <w:spacing w:line="240" w:lineRule="auto"/>
              <w:ind w:firstLine="0" w:firstLineChars="0"/>
              <w:jc w:val="center"/>
              <w:rPr>
                <w:sz w:val="21"/>
                <w:szCs w:val="21"/>
              </w:rPr>
            </w:pPr>
            <w:r>
              <w:rPr>
                <w:i/>
                <w:sz w:val="21"/>
                <w:szCs w:val="21"/>
              </w:rPr>
              <w:t>Lps</w:t>
            </w:r>
            <w:r>
              <w:rPr>
                <w:iCs/>
                <w:sz w:val="21"/>
                <w:szCs w:val="21"/>
                <w:vertAlign w:val="subscript"/>
              </w:rPr>
              <w:t>7</w:t>
            </w:r>
            <w:r>
              <w:rPr>
                <w:sz w:val="21"/>
                <w:szCs w:val="21"/>
              </w:rPr>
              <w:t>/dB</w:t>
            </w:r>
          </w:p>
        </w:tc>
        <w:tc>
          <w:tcPr>
            <w:tcW w:w="893" w:type="dxa"/>
          </w:tcPr>
          <w:p w14:paraId="424D2773">
            <w:pPr>
              <w:pStyle w:val="63"/>
              <w:spacing w:line="240" w:lineRule="auto"/>
              <w:ind w:firstLine="0" w:firstLineChars="0"/>
              <w:jc w:val="center"/>
              <w:rPr>
                <w:i/>
                <w:sz w:val="21"/>
                <w:szCs w:val="21"/>
              </w:rPr>
            </w:pPr>
            <w:r>
              <w:rPr>
                <w:i/>
                <w:sz w:val="21"/>
                <w:szCs w:val="21"/>
              </w:rPr>
              <w:t>Lps</w:t>
            </w:r>
            <w:r>
              <w:rPr>
                <w:iCs/>
                <w:sz w:val="21"/>
                <w:szCs w:val="21"/>
                <w:vertAlign w:val="subscript"/>
              </w:rPr>
              <w:t>8</w:t>
            </w:r>
            <w:r>
              <w:rPr>
                <w:sz w:val="21"/>
                <w:szCs w:val="21"/>
              </w:rPr>
              <w:t>/dB</w:t>
            </w:r>
          </w:p>
        </w:tc>
        <w:tc>
          <w:tcPr>
            <w:tcW w:w="695" w:type="dxa"/>
          </w:tcPr>
          <w:p w14:paraId="24EF4A36">
            <w:pPr>
              <w:pStyle w:val="63"/>
              <w:spacing w:line="240" w:lineRule="auto"/>
              <w:ind w:firstLine="0" w:firstLineChars="0"/>
              <w:jc w:val="center"/>
              <w:rPr>
                <w:i/>
                <w:sz w:val="21"/>
                <w:szCs w:val="21"/>
              </w:rPr>
            </w:pPr>
            <w:r>
              <w:rPr>
                <w:i/>
                <w:sz w:val="21"/>
                <w:szCs w:val="21"/>
              </w:rPr>
              <w:t>S</w:t>
            </w:r>
            <w:r>
              <w:rPr>
                <w:i/>
                <w:sz w:val="21"/>
                <w:szCs w:val="21"/>
                <w:vertAlign w:val="subscript"/>
              </w:rPr>
              <w:t>n</w:t>
            </w:r>
            <w:r>
              <w:rPr>
                <w:sz w:val="21"/>
                <w:szCs w:val="21"/>
              </w:rPr>
              <w:t>/dB</w:t>
            </w:r>
          </w:p>
        </w:tc>
        <w:tc>
          <w:tcPr>
            <w:tcW w:w="695" w:type="dxa"/>
          </w:tcPr>
          <w:p w14:paraId="0AFEAE85">
            <w:pPr>
              <w:pStyle w:val="63"/>
              <w:spacing w:line="240" w:lineRule="auto"/>
              <w:ind w:firstLine="0" w:firstLineChars="0"/>
              <w:jc w:val="center"/>
              <w:rPr>
                <w:i/>
                <w:sz w:val="21"/>
                <w:szCs w:val="21"/>
              </w:rPr>
            </w:pPr>
            <w:r>
              <w:rPr>
                <w:i/>
                <w:sz w:val="21"/>
                <w:szCs w:val="21"/>
              </w:rPr>
              <w:t>u</w:t>
            </w:r>
            <w:r>
              <w:rPr>
                <w:i/>
                <w:sz w:val="21"/>
                <w:szCs w:val="21"/>
                <w:vertAlign w:val="subscript"/>
              </w:rPr>
              <w:t>1</w:t>
            </w:r>
            <w:r>
              <w:rPr>
                <w:sz w:val="21"/>
                <w:szCs w:val="21"/>
              </w:rPr>
              <w:t>/dB</w:t>
            </w:r>
          </w:p>
        </w:tc>
      </w:tr>
      <w:tr w14:paraId="71F4B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49B708A4">
            <w:pPr>
              <w:pStyle w:val="63"/>
              <w:spacing w:line="240" w:lineRule="auto"/>
              <w:ind w:firstLine="0" w:firstLineChars="0"/>
              <w:jc w:val="center"/>
              <w:rPr>
                <w:sz w:val="21"/>
                <w:szCs w:val="21"/>
              </w:rPr>
            </w:pPr>
            <w:r>
              <w:rPr>
                <w:sz w:val="21"/>
                <w:szCs w:val="21"/>
              </w:rPr>
              <w:t>0.315</w:t>
            </w:r>
          </w:p>
        </w:tc>
        <w:tc>
          <w:tcPr>
            <w:tcW w:w="893" w:type="dxa"/>
          </w:tcPr>
          <w:p w14:paraId="0DD350ED">
            <w:pPr>
              <w:pStyle w:val="63"/>
              <w:spacing w:line="240" w:lineRule="auto"/>
              <w:ind w:firstLine="0" w:firstLineChars="0"/>
              <w:jc w:val="center"/>
              <w:rPr>
                <w:sz w:val="21"/>
                <w:szCs w:val="21"/>
              </w:rPr>
            </w:pPr>
            <w:r>
              <w:rPr>
                <w:sz w:val="21"/>
                <w:szCs w:val="21"/>
              </w:rPr>
              <w:t>62.8</w:t>
            </w:r>
          </w:p>
        </w:tc>
        <w:tc>
          <w:tcPr>
            <w:tcW w:w="893" w:type="dxa"/>
          </w:tcPr>
          <w:p w14:paraId="7ED4434D">
            <w:pPr>
              <w:pStyle w:val="63"/>
              <w:spacing w:line="240" w:lineRule="auto"/>
              <w:ind w:firstLine="0" w:firstLineChars="0"/>
              <w:jc w:val="center"/>
              <w:rPr>
                <w:sz w:val="21"/>
                <w:szCs w:val="21"/>
              </w:rPr>
            </w:pPr>
            <w:r>
              <w:rPr>
                <w:sz w:val="21"/>
                <w:szCs w:val="21"/>
              </w:rPr>
              <w:t>63.8</w:t>
            </w:r>
          </w:p>
        </w:tc>
        <w:tc>
          <w:tcPr>
            <w:tcW w:w="893" w:type="dxa"/>
          </w:tcPr>
          <w:p w14:paraId="3026CB72">
            <w:pPr>
              <w:pStyle w:val="63"/>
              <w:spacing w:line="240" w:lineRule="auto"/>
              <w:ind w:firstLine="0" w:firstLineChars="0"/>
              <w:jc w:val="center"/>
              <w:rPr>
                <w:sz w:val="21"/>
                <w:szCs w:val="21"/>
              </w:rPr>
            </w:pPr>
            <w:r>
              <w:rPr>
                <w:sz w:val="21"/>
                <w:szCs w:val="21"/>
              </w:rPr>
              <w:t>63.7</w:t>
            </w:r>
          </w:p>
        </w:tc>
        <w:tc>
          <w:tcPr>
            <w:tcW w:w="893" w:type="dxa"/>
          </w:tcPr>
          <w:p w14:paraId="5B57B299">
            <w:pPr>
              <w:pStyle w:val="63"/>
              <w:spacing w:line="240" w:lineRule="auto"/>
              <w:ind w:firstLine="0" w:firstLineChars="0"/>
              <w:jc w:val="center"/>
              <w:rPr>
                <w:sz w:val="21"/>
                <w:szCs w:val="21"/>
              </w:rPr>
            </w:pPr>
            <w:r>
              <w:rPr>
                <w:sz w:val="21"/>
                <w:szCs w:val="21"/>
              </w:rPr>
              <w:t>62.5</w:t>
            </w:r>
          </w:p>
        </w:tc>
        <w:tc>
          <w:tcPr>
            <w:tcW w:w="893" w:type="dxa"/>
          </w:tcPr>
          <w:p w14:paraId="4E6B7DC9">
            <w:pPr>
              <w:pStyle w:val="63"/>
              <w:spacing w:line="240" w:lineRule="auto"/>
              <w:ind w:firstLine="0" w:firstLineChars="0"/>
              <w:jc w:val="center"/>
              <w:rPr>
                <w:sz w:val="21"/>
                <w:szCs w:val="21"/>
              </w:rPr>
            </w:pPr>
            <w:r>
              <w:rPr>
                <w:sz w:val="21"/>
                <w:szCs w:val="21"/>
              </w:rPr>
              <w:t>62.9</w:t>
            </w:r>
          </w:p>
        </w:tc>
        <w:tc>
          <w:tcPr>
            <w:tcW w:w="893" w:type="dxa"/>
          </w:tcPr>
          <w:p w14:paraId="0CC55892">
            <w:pPr>
              <w:pStyle w:val="63"/>
              <w:spacing w:line="240" w:lineRule="auto"/>
              <w:ind w:firstLine="0" w:firstLineChars="0"/>
              <w:jc w:val="center"/>
              <w:rPr>
                <w:sz w:val="21"/>
                <w:szCs w:val="21"/>
              </w:rPr>
            </w:pPr>
            <w:r>
              <w:rPr>
                <w:sz w:val="21"/>
                <w:szCs w:val="21"/>
              </w:rPr>
              <w:t>62.8</w:t>
            </w:r>
          </w:p>
        </w:tc>
        <w:tc>
          <w:tcPr>
            <w:tcW w:w="893" w:type="dxa"/>
          </w:tcPr>
          <w:p w14:paraId="09E396A2">
            <w:pPr>
              <w:pStyle w:val="63"/>
              <w:spacing w:line="240" w:lineRule="auto"/>
              <w:ind w:firstLine="0" w:firstLineChars="0"/>
              <w:jc w:val="center"/>
              <w:rPr>
                <w:sz w:val="21"/>
                <w:szCs w:val="21"/>
              </w:rPr>
            </w:pPr>
            <w:r>
              <w:rPr>
                <w:sz w:val="21"/>
                <w:szCs w:val="21"/>
              </w:rPr>
              <w:t>62.7</w:t>
            </w:r>
          </w:p>
        </w:tc>
        <w:tc>
          <w:tcPr>
            <w:tcW w:w="893" w:type="dxa"/>
          </w:tcPr>
          <w:p w14:paraId="7B16842A">
            <w:pPr>
              <w:pStyle w:val="63"/>
              <w:spacing w:line="240" w:lineRule="auto"/>
              <w:ind w:firstLine="0" w:firstLineChars="0"/>
              <w:jc w:val="center"/>
              <w:rPr>
                <w:sz w:val="21"/>
                <w:szCs w:val="21"/>
              </w:rPr>
            </w:pPr>
            <w:r>
              <w:rPr>
                <w:sz w:val="21"/>
                <w:szCs w:val="21"/>
              </w:rPr>
              <w:t>63.2</w:t>
            </w:r>
          </w:p>
        </w:tc>
        <w:tc>
          <w:tcPr>
            <w:tcW w:w="695" w:type="dxa"/>
          </w:tcPr>
          <w:p w14:paraId="29D92BC1">
            <w:pPr>
              <w:pStyle w:val="63"/>
              <w:spacing w:line="240" w:lineRule="auto"/>
              <w:ind w:firstLine="0" w:firstLineChars="0"/>
              <w:jc w:val="center"/>
              <w:rPr>
                <w:sz w:val="21"/>
                <w:szCs w:val="21"/>
              </w:rPr>
            </w:pPr>
            <w:r>
              <w:rPr>
                <w:sz w:val="21"/>
                <w:szCs w:val="21"/>
              </w:rPr>
              <w:t>0.5</w:t>
            </w:r>
          </w:p>
        </w:tc>
        <w:tc>
          <w:tcPr>
            <w:tcW w:w="695" w:type="dxa"/>
          </w:tcPr>
          <w:p w14:paraId="0B70658E">
            <w:pPr>
              <w:pStyle w:val="63"/>
              <w:spacing w:line="240" w:lineRule="auto"/>
              <w:ind w:firstLine="0" w:firstLineChars="0"/>
              <w:jc w:val="center"/>
              <w:rPr>
                <w:sz w:val="21"/>
                <w:szCs w:val="21"/>
              </w:rPr>
            </w:pPr>
            <w:r>
              <w:rPr>
                <w:sz w:val="21"/>
                <w:szCs w:val="21"/>
              </w:rPr>
              <w:t>0.16</w:t>
            </w:r>
          </w:p>
        </w:tc>
      </w:tr>
      <w:tr w14:paraId="3D6A6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53DB4394">
            <w:pPr>
              <w:pStyle w:val="63"/>
              <w:spacing w:line="240" w:lineRule="auto"/>
              <w:ind w:firstLine="0" w:firstLineChars="0"/>
              <w:jc w:val="center"/>
              <w:rPr>
                <w:sz w:val="21"/>
                <w:szCs w:val="21"/>
              </w:rPr>
            </w:pPr>
            <w:r>
              <w:rPr>
                <w:sz w:val="21"/>
                <w:szCs w:val="21"/>
              </w:rPr>
              <w:t>0.400</w:t>
            </w:r>
          </w:p>
        </w:tc>
        <w:tc>
          <w:tcPr>
            <w:tcW w:w="893" w:type="dxa"/>
          </w:tcPr>
          <w:p w14:paraId="1DBC5611">
            <w:pPr>
              <w:pStyle w:val="63"/>
              <w:spacing w:line="240" w:lineRule="auto"/>
              <w:ind w:firstLine="0" w:firstLineChars="0"/>
              <w:jc w:val="center"/>
              <w:rPr>
                <w:sz w:val="21"/>
                <w:szCs w:val="21"/>
              </w:rPr>
            </w:pPr>
            <w:r>
              <w:rPr>
                <w:sz w:val="21"/>
                <w:szCs w:val="21"/>
              </w:rPr>
              <w:t>64.4</w:t>
            </w:r>
          </w:p>
        </w:tc>
        <w:tc>
          <w:tcPr>
            <w:tcW w:w="893" w:type="dxa"/>
          </w:tcPr>
          <w:p w14:paraId="5D3E80B9">
            <w:pPr>
              <w:pStyle w:val="63"/>
              <w:spacing w:line="240" w:lineRule="auto"/>
              <w:ind w:firstLine="0" w:firstLineChars="0"/>
              <w:jc w:val="center"/>
              <w:rPr>
                <w:sz w:val="21"/>
                <w:szCs w:val="21"/>
              </w:rPr>
            </w:pPr>
            <w:r>
              <w:rPr>
                <w:sz w:val="21"/>
                <w:szCs w:val="21"/>
              </w:rPr>
              <w:t>63.5</w:t>
            </w:r>
          </w:p>
        </w:tc>
        <w:tc>
          <w:tcPr>
            <w:tcW w:w="893" w:type="dxa"/>
          </w:tcPr>
          <w:p w14:paraId="41DD1C0A">
            <w:pPr>
              <w:pStyle w:val="63"/>
              <w:spacing w:line="240" w:lineRule="auto"/>
              <w:ind w:firstLine="0" w:firstLineChars="0"/>
              <w:jc w:val="center"/>
              <w:rPr>
                <w:sz w:val="21"/>
                <w:szCs w:val="21"/>
              </w:rPr>
            </w:pPr>
            <w:r>
              <w:rPr>
                <w:sz w:val="21"/>
                <w:szCs w:val="21"/>
              </w:rPr>
              <w:t>64.7</w:t>
            </w:r>
          </w:p>
        </w:tc>
        <w:tc>
          <w:tcPr>
            <w:tcW w:w="893" w:type="dxa"/>
          </w:tcPr>
          <w:p w14:paraId="5A897583">
            <w:pPr>
              <w:pStyle w:val="63"/>
              <w:spacing w:line="240" w:lineRule="auto"/>
              <w:ind w:firstLine="0" w:firstLineChars="0"/>
              <w:jc w:val="center"/>
              <w:rPr>
                <w:sz w:val="21"/>
                <w:szCs w:val="21"/>
              </w:rPr>
            </w:pPr>
            <w:r>
              <w:rPr>
                <w:sz w:val="21"/>
                <w:szCs w:val="21"/>
              </w:rPr>
              <w:t>65.2</w:t>
            </w:r>
          </w:p>
        </w:tc>
        <w:tc>
          <w:tcPr>
            <w:tcW w:w="893" w:type="dxa"/>
          </w:tcPr>
          <w:p w14:paraId="666E002C">
            <w:pPr>
              <w:pStyle w:val="63"/>
              <w:spacing w:line="240" w:lineRule="auto"/>
              <w:ind w:firstLine="0" w:firstLineChars="0"/>
              <w:jc w:val="center"/>
              <w:rPr>
                <w:sz w:val="21"/>
                <w:szCs w:val="21"/>
              </w:rPr>
            </w:pPr>
            <w:r>
              <w:rPr>
                <w:sz w:val="21"/>
                <w:szCs w:val="21"/>
              </w:rPr>
              <w:t>64.8</w:t>
            </w:r>
          </w:p>
        </w:tc>
        <w:tc>
          <w:tcPr>
            <w:tcW w:w="893" w:type="dxa"/>
          </w:tcPr>
          <w:p w14:paraId="2509932B">
            <w:pPr>
              <w:pStyle w:val="63"/>
              <w:spacing w:line="240" w:lineRule="auto"/>
              <w:ind w:firstLine="0" w:firstLineChars="0"/>
              <w:jc w:val="center"/>
              <w:rPr>
                <w:sz w:val="21"/>
                <w:szCs w:val="21"/>
              </w:rPr>
            </w:pPr>
            <w:r>
              <w:rPr>
                <w:sz w:val="21"/>
                <w:szCs w:val="21"/>
              </w:rPr>
              <w:t>63.4</w:t>
            </w:r>
          </w:p>
        </w:tc>
        <w:tc>
          <w:tcPr>
            <w:tcW w:w="893" w:type="dxa"/>
          </w:tcPr>
          <w:p w14:paraId="7B5FA3C5">
            <w:pPr>
              <w:pStyle w:val="63"/>
              <w:spacing w:line="240" w:lineRule="auto"/>
              <w:ind w:firstLine="0" w:firstLineChars="0"/>
              <w:jc w:val="center"/>
              <w:rPr>
                <w:sz w:val="21"/>
                <w:szCs w:val="21"/>
              </w:rPr>
            </w:pPr>
            <w:r>
              <w:rPr>
                <w:sz w:val="21"/>
                <w:szCs w:val="21"/>
              </w:rPr>
              <w:t>63.4</w:t>
            </w:r>
          </w:p>
        </w:tc>
        <w:tc>
          <w:tcPr>
            <w:tcW w:w="893" w:type="dxa"/>
          </w:tcPr>
          <w:p w14:paraId="1F1AC3E4">
            <w:pPr>
              <w:pStyle w:val="63"/>
              <w:spacing w:line="240" w:lineRule="auto"/>
              <w:ind w:firstLine="0" w:firstLineChars="0"/>
              <w:jc w:val="center"/>
              <w:rPr>
                <w:sz w:val="21"/>
                <w:szCs w:val="21"/>
              </w:rPr>
            </w:pPr>
            <w:r>
              <w:rPr>
                <w:sz w:val="21"/>
                <w:szCs w:val="21"/>
              </w:rPr>
              <w:t>64.6</w:t>
            </w:r>
          </w:p>
        </w:tc>
        <w:tc>
          <w:tcPr>
            <w:tcW w:w="695" w:type="dxa"/>
          </w:tcPr>
          <w:p w14:paraId="60D9B71A">
            <w:pPr>
              <w:pStyle w:val="63"/>
              <w:spacing w:line="240" w:lineRule="auto"/>
              <w:ind w:firstLine="0" w:firstLineChars="0"/>
              <w:jc w:val="center"/>
              <w:rPr>
                <w:sz w:val="21"/>
                <w:szCs w:val="21"/>
              </w:rPr>
            </w:pPr>
            <w:r>
              <w:rPr>
                <w:sz w:val="21"/>
                <w:szCs w:val="21"/>
              </w:rPr>
              <w:t>0.7</w:t>
            </w:r>
          </w:p>
        </w:tc>
        <w:tc>
          <w:tcPr>
            <w:tcW w:w="695" w:type="dxa"/>
          </w:tcPr>
          <w:p w14:paraId="1B523FE8">
            <w:pPr>
              <w:pStyle w:val="63"/>
              <w:spacing w:line="240" w:lineRule="auto"/>
              <w:ind w:firstLine="0" w:firstLineChars="0"/>
              <w:jc w:val="center"/>
              <w:rPr>
                <w:sz w:val="21"/>
                <w:szCs w:val="21"/>
              </w:rPr>
            </w:pPr>
            <w:r>
              <w:rPr>
                <w:sz w:val="21"/>
                <w:szCs w:val="21"/>
              </w:rPr>
              <w:t>0.25</w:t>
            </w:r>
          </w:p>
        </w:tc>
      </w:tr>
      <w:tr w14:paraId="202FB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36843AFE">
            <w:pPr>
              <w:pStyle w:val="63"/>
              <w:spacing w:line="240" w:lineRule="auto"/>
              <w:ind w:firstLine="0" w:firstLineChars="0"/>
              <w:jc w:val="center"/>
              <w:rPr>
                <w:sz w:val="21"/>
                <w:szCs w:val="21"/>
              </w:rPr>
            </w:pPr>
            <w:r>
              <w:rPr>
                <w:sz w:val="21"/>
                <w:szCs w:val="21"/>
              </w:rPr>
              <w:t>0.500</w:t>
            </w:r>
          </w:p>
        </w:tc>
        <w:tc>
          <w:tcPr>
            <w:tcW w:w="893" w:type="dxa"/>
          </w:tcPr>
          <w:p w14:paraId="09D7E63D">
            <w:pPr>
              <w:pStyle w:val="63"/>
              <w:spacing w:line="240" w:lineRule="auto"/>
              <w:ind w:firstLine="0" w:firstLineChars="0"/>
              <w:jc w:val="center"/>
              <w:rPr>
                <w:sz w:val="21"/>
                <w:szCs w:val="21"/>
              </w:rPr>
            </w:pPr>
            <w:r>
              <w:rPr>
                <w:sz w:val="21"/>
                <w:szCs w:val="21"/>
              </w:rPr>
              <w:t>69.1</w:t>
            </w:r>
          </w:p>
        </w:tc>
        <w:tc>
          <w:tcPr>
            <w:tcW w:w="893" w:type="dxa"/>
          </w:tcPr>
          <w:p w14:paraId="3AA85BF9">
            <w:pPr>
              <w:pStyle w:val="63"/>
              <w:spacing w:line="240" w:lineRule="auto"/>
              <w:ind w:firstLine="0" w:firstLineChars="0"/>
              <w:jc w:val="center"/>
              <w:rPr>
                <w:sz w:val="21"/>
                <w:szCs w:val="21"/>
              </w:rPr>
            </w:pPr>
            <w:r>
              <w:rPr>
                <w:sz w:val="21"/>
                <w:szCs w:val="21"/>
              </w:rPr>
              <w:t>69.6</w:t>
            </w:r>
          </w:p>
        </w:tc>
        <w:tc>
          <w:tcPr>
            <w:tcW w:w="893" w:type="dxa"/>
          </w:tcPr>
          <w:p w14:paraId="67DD2091">
            <w:pPr>
              <w:pStyle w:val="63"/>
              <w:spacing w:line="240" w:lineRule="auto"/>
              <w:ind w:firstLine="0" w:firstLineChars="0"/>
              <w:jc w:val="center"/>
              <w:rPr>
                <w:sz w:val="21"/>
                <w:szCs w:val="21"/>
              </w:rPr>
            </w:pPr>
            <w:r>
              <w:rPr>
                <w:sz w:val="21"/>
                <w:szCs w:val="21"/>
              </w:rPr>
              <w:t>68.2</w:t>
            </w:r>
          </w:p>
        </w:tc>
        <w:tc>
          <w:tcPr>
            <w:tcW w:w="893" w:type="dxa"/>
          </w:tcPr>
          <w:p w14:paraId="293754F6">
            <w:pPr>
              <w:pStyle w:val="63"/>
              <w:spacing w:line="240" w:lineRule="auto"/>
              <w:ind w:firstLine="0" w:firstLineChars="0"/>
              <w:jc w:val="center"/>
              <w:rPr>
                <w:sz w:val="21"/>
                <w:szCs w:val="21"/>
              </w:rPr>
            </w:pPr>
            <w:r>
              <w:rPr>
                <w:sz w:val="21"/>
                <w:szCs w:val="21"/>
              </w:rPr>
              <w:t>68.5</w:t>
            </w:r>
          </w:p>
        </w:tc>
        <w:tc>
          <w:tcPr>
            <w:tcW w:w="893" w:type="dxa"/>
          </w:tcPr>
          <w:p w14:paraId="4AC325A0">
            <w:pPr>
              <w:pStyle w:val="63"/>
              <w:spacing w:line="240" w:lineRule="auto"/>
              <w:ind w:firstLine="0" w:firstLineChars="0"/>
              <w:jc w:val="center"/>
              <w:rPr>
                <w:sz w:val="21"/>
                <w:szCs w:val="21"/>
              </w:rPr>
            </w:pPr>
            <w:r>
              <w:rPr>
                <w:sz w:val="21"/>
                <w:szCs w:val="21"/>
              </w:rPr>
              <w:t>69.4</w:t>
            </w:r>
          </w:p>
        </w:tc>
        <w:tc>
          <w:tcPr>
            <w:tcW w:w="893" w:type="dxa"/>
          </w:tcPr>
          <w:p w14:paraId="3B87572C">
            <w:pPr>
              <w:pStyle w:val="63"/>
              <w:spacing w:line="240" w:lineRule="auto"/>
              <w:ind w:firstLine="0" w:firstLineChars="0"/>
              <w:jc w:val="center"/>
              <w:rPr>
                <w:sz w:val="21"/>
                <w:szCs w:val="21"/>
              </w:rPr>
            </w:pPr>
            <w:r>
              <w:rPr>
                <w:sz w:val="21"/>
                <w:szCs w:val="21"/>
              </w:rPr>
              <w:t>69.8</w:t>
            </w:r>
          </w:p>
        </w:tc>
        <w:tc>
          <w:tcPr>
            <w:tcW w:w="893" w:type="dxa"/>
          </w:tcPr>
          <w:p w14:paraId="522809FA">
            <w:pPr>
              <w:pStyle w:val="63"/>
              <w:spacing w:line="240" w:lineRule="auto"/>
              <w:ind w:firstLine="0" w:firstLineChars="0"/>
              <w:jc w:val="center"/>
              <w:rPr>
                <w:sz w:val="21"/>
                <w:szCs w:val="21"/>
              </w:rPr>
            </w:pPr>
            <w:r>
              <w:rPr>
                <w:sz w:val="21"/>
                <w:szCs w:val="21"/>
              </w:rPr>
              <w:t>68.5</w:t>
            </w:r>
          </w:p>
        </w:tc>
        <w:tc>
          <w:tcPr>
            <w:tcW w:w="893" w:type="dxa"/>
          </w:tcPr>
          <w:p w14:paraId="6513913D">
            <w:pPr>
              <w:pStyle w:val="63"/>
              <w:spacing w:line="240" w:lineRule="auto"/>
              <w:ind w:firstLine="0" w:firstLineChars="0"/>
              <w:jc w:val="center"/>
              <w:rPr>
                <w:sz w:val="21"/>
                <w:szCs w:val="21"/>
              </w:rPr>
            </w:pPr>
            <w:r>
              <w:rPr>
                <w:sz w:val="21"/>
                <w:szCs w:val="21"/>
              </w:rPr>
              <w:t>68.8</w:t>
            </w:r>
          </w:p>
        </w:tc>
        <w:tc>
          <w:tcPr>
            <w:tcW w:w="695" w:type="dxa"/>
          </w:tcPr>
          <w:p w14:paraId="3AB7ADB2">
            <w:pPr>
              <w:pStyle w:val="63"/>
              <w:spacing w:line="240" w:lineRule="auto"/>
              <w:ind w:firstLine="0" w:firstLineChars="0"/>
              <w:jc w:val="center"/>
              <w:rPr>
                <w:sz w:val="21"/>
                <w:szCs w:val="21"/>
              </w:rPr>
            </w:pPr>
            <w:r>
              <w:rPr>
                <w:sz w:val="21"/>
                <w:szCs w:val="21"/>
              </w:rPr>
              <w:t>0.6</w:t>
            </w:r>
          </w:p>
        </w:tc>
        <w:tc>
          <w:tcPr>
            <w:tcW w:w="695" w:type="dxa"/>
          </w:tcPr>
          <w:p w14:paraId="338F6C04">
            <w:pPr>
              <w:pStyle w:val="63"/>
              <w:spacing w:line="240" w:lineRule="auto"/>
              <w:ind w:firstLine="0" w:firstLineChars="0"/>
              <w:jc w:val="center"/>
              <w:rPr>
                <w:sz w:val="21"/>
                <w:szCs w:val="21"/>
              </w:rPr>
            </w:pPr>
            <w:r>
              <w:rPr>
                <w:sz w:val="21"/>
                <w:szCs w:val="21"/>
              </w:rPr>
              <w:t>0.21</w:t>
            </w:r>
          </w:p>
        </w:tc>
      </w:tr>
      <w:tr w14:paraId="5CD15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6116D9E6">
            <w:pPr>
              <w:pStyle w:val="63"/>
              <w:spacing w:line="240" w:lineRule="auto"/>
              <w:ind w:firstLine="0" w:firstLineChars="0"/>
              <w:jc w:val="center"/>
              <w:rPr>
                <w:sz w:val="21"/>
                <w:szCs w:val="21"/>
              </w:rPr>
            </w:pPr>
            <w:r>
              <w:rPr>
                <w:sz w:val="21"/>
                <w:szCs w:val="21"/>
              </w:rPr>
              <w:t>0.630</w:t>
            </w:r>
          </w:p>
        </w:tc>
        <w:tc>
          <w:tcPr>
            <w:tcW w:w="893" w:type="dxa"/>
          </w:tcPr>
          <w:p w14:paraId="44B232FB">
            <w:pPr>
              <w:pStyle w:val="63"/>
              <w:spacing w:line="240" w:lineRule="auto"/>
              <w:ind w:firstLine="0" w:firstLineChars="0"/>
              <w:jc w:val="center"/>
              <w:rPr>
                <w:sz w:val="21"/>
                <w:szCs w:val="21"/>
              </w:rPr>
            </w:pPr>
            <w:r>
              <w:rPr>
                <w:sz w:val="21"/>
                <w:szCs w:val="21"/>
              </w:rPr>
              <w:t>70.3</w:t>
            </w:r>
          </w:p>
        </w:tc>
        <w:tc>
          <w:tcPr>
            <w:tcW w:w="893" w:type="dxa"/>
          </w:tcPr>
          <w:p w14:paraId="035AACA4">
            <w:pPr>
              <w:pStyle w:val="63"/>
              <w:spacing w:line="240" w:lineRule="auto"/>
              <w:ind w:firstLine="0" w:firstLineChars="0"/>
              <w:jc w:val="center"/>
              <w:rPr>
                <w:sz w:val="21"/>
                <w:szCs w:val="21"/>
              </w:rPr>
            </w:pPr>
            <w:r>
              <w:rPr>
                <w:sz w:val="21"/>
                <w:szCs w:val="21"/>
              </w:rPr>
              <w:t>69.3</w:t>
            </w:r>
          </w:p>
        </w:tc>
        <w:tc>
          <w:tcPr>
            <w:tcW w:w="893" w:type="dxa"/>
          </w:tcPr>
          <w:p w14:paraId="489DC0CE">
            <w:pPr>
              <w:pStyle w:val="63"/>
              <w:spacing w:line="240" w:lineRule="auto"/>
              <w:ind w:firstLine="0" w:firstLineChars="0"/>
              <w:jc w:val="center"/>
              <w:rPr>
                <w:sz w:val="21"/>
                <w:szCs w:val="21"/>
              </w:rPr>
            </w:pPr>
            <w:r>
              <w:rPr>
                <w:sz w:val="21"/>
                <w:szCs w:val="21"/>
              </w:rPr>
              <w:t>70.4</w:t>
            </w:r>
          </w:p>
        </w:tc>
        <w:tc>
          <w:tcPr>
            <w:tcW w:w="893" w:type="dxa"/>
          </w:tcPr>
          <w:p w14:paraId="66FA85A3">
            <w:pPr>
              <w:pStyle w:val="63"/>
              <w:spacing w:line="240" w:lineRule="auto"/>
              <w:ind w:firstLine="0" w:firstLineChars="0"/>
              <w:jc w:val="center"/>
              <w:rPr>
                <w:sz w:val="21"/>
                <w:szCs w:val="21"/>
              </w:rPr>
            </w:pPr>
            <w:r>
              <w:rPr>
                <w:sz w:val="21"/>
                <w:szCs w:val="21"/>
              </w:rPr>
              <w:t>69.8</w:t>
            </w:r>
          </w:p>
        </w:tc>
        <w:tc>
          <w:tcPr>
            <w:tcW w:w="893" w:type="dxa"/>
          </w:tcPr>
          <w:p w14:paraId="33E5A026">
            <w:pPr>
              <w:pStyle w:val="63"/>
              <w:spacing w:line="240" w:lineRule="auto"/>
              <w:ind w:firstLine="0" w:firstLineChars="0"/>
              <w:jc w:val="center"/>
              <w:rPr>
                <w:sz w:val="21"/>
                <w:szCs w:val="21"/>
              </w:rPr>
            </w:pPr>
            <w:r>
              <w:rPr>
                <w:sz w:val="21"/>
                <w:szCs w:val="21"/>
              </w:rPr>
              <w:t>69.9</w:t>
            </w:r>
          </w:p>
        </w:tc>
        <w:tc>
          <w:tcPr>
            <w:tcW w:w="893" w:type="dxa"/>
          </w:tcPr>
          <w:p w14:paraId="0B3D94CB">
            <w:pPr>
              <w:pStyle w:val="63"/>
              <w:spacing w:line="240" w:lineRule="auto"/>
              <w:ind w:firstLine="0" w:firstLineChars="0"/>
              <w:jc w:val="center"/>
              <w:rPr>
                <w:sz w:val="21"/>
                <w:szCs w:val="21"/>
              </w:rPr>
            </w:pPr>
            <w:r>
              <w:rPr>
                <w:sz w:val="21"/>
                <w:szCs w:val="21"/>
              </w:rPr>
              <w:t>70.3</w:t>
            </w:r>
          </w:p>
        </w:tc>
        <w:tc>
          <w:tcPr>
            <w:tcW w:w="893" w:type="dxa"/>
          </w:tcPr>
          <w:p w14:paraId="5481F20F">
            <w:pPr>
              <w:pStyle w:val="63"/>
              <w:spacing w:line="240" w:lineRule="auto"/>
              <w:ind w:firstLine="0" w:firstLineChars="0"/>
              <w:jc w:val="center"/>
              <w:rPr>
                <w:sz w:val="21"/>
                <w:szCs w:val="21"/>
              </w:rPr>
            </w:pPr>
            <w:r>
              <w:rPr>
                <w:sz w:val="21"/>
                <w:szCs w:val="21"/>
              </w:rPr>
              <w:t>70.9</w:t>
            </w:r>
          </w:p>
        </w:tc>
        <w:tc>
          <w:tcPr>
            <w:tcW w:w="893" w:type="dxa"/>
          </w:tcPr>
          <w:p w14:paraId="182FF9C6">
            <w:pPr>
              <w:pStyle w:val="63"/>
              <w:spacing w:line="240" w:lineRule="auto"/>
              <w:ind w:firstLine="0" w:firstLineChars="0"/>
              <w:jc w:val="center"/>
              <w:rPr>
                <w:sz w:val="21"/>
                <w:szCs w:val="21"/>
              </w:rPr>
            </w:pPr>
            <w:r>
              <w:rPr>
                <w:sz w:val="21"/>
                <w:szCs w:val="21"/>
              </w:rPr>
              <w:t>70.2</w:t>
            </w:r>
          </w:p>
        </w:tc>
        <w:tc>
          <w:tcPr>
            <w:tcW w:w="695" w:type="dxa"/>
          </w:tcPr>
          <w:p w14:paraId="038DEFFC">
            <w:pPr>
              <w:pStyle w:val="63"/>
              <w:spacing w:line="240" w:lineRule="auto"/>
              <w:ind w:firstLine="0" w:firstLineChars="0"/>
              <w:jc w:val="center"/>
              <w:rPr>
                <w:sz w:val="21"/>
                <w:szCs w:val="21"/>
              </w:rPr>
            </w:pPr>
            <w:r>
              <w:rPr>
                <w:sz w:val="21"/>
                <w:szCs w:val="21"/>
              </w:rPr>
              <w:t>0.5</w:t>
            </w:r>
          </w:p>
        </w:tc>
        <w:tc>
          <w:tcPr>
            <w:tcW w:w="695" w:type="dxa"/>
          </w:tcPr>
          <w:p w14:paraId="773C3BDC">
            <w:pPr>
              <w:pStyle w:val="63"/>
              <w:spacing w:line="240" w:lineRule="auto"/>
              <w:ind w:firstLine="0" w:firstLineChars="0"/>
              <w:jc w:val="center"/>
              <w:rPr>
                <w:sz w:val="21"/>
                <w:szCs w:val="21"/>
              </w:rPr>
            </w:pPr>
            <w:r>
              <w:rPr>
                <w:sz w:val="21"/>
                <w:szCs w:val="21"/>
              </w:rPr>
              <w:t>0.17</w:t>
            </w:r>
          </w:p>
        </w:tc>
      </w:tr>
      <w:tr w14:paraId="17455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654EEC53">
            <w:pPr>
              <w:pStyle w:val="63"/>
              <w:spacing w:line="240" w:lineRule="auto"/>
              <w:ind w:firstLine="0" w:firstLineChars="0"/>
              <w:jc w:val="center"/>
              <w:rPr>
                <w:sz w:val="21"/>
                <w:szCs w:val="21"/>
              </w:rPr>
            </w:pPr>
            <w:r>
              <w:rPr>
                <w:sz w:val="21"/>
                <w:szCs w:val="21"/>
              </w:rPr>
              <w:t>0.800</w:t>
            </w:r>
          </w:p>
        </w:tc>
        <w:tc>
          <w:tcPr>
            <w:tcW w:w="893" w:type="dxa"/>
          </w:tcPr>
          <w:p w14:paraId="1FCD0744">
            <w:pPr>
              <w:pStyle w:val="63"/>
              <w:spacing w:line="240" w:lineRule="auto"/>
              <w:ind w:firstLine="0" w:firstLineChars="0"/>
              <w:jc w:val="center"/>
              <w:rPr>
                <w:sz w:val="21"/>
                <w:szCs w:val="21"/>
              </w:rPr>
            </w:pPr>
            <w:r>
              <w:rPr>
                <w:sz w:val="21"/>
                <w:szCs w:val="21"/>
              </w:rPr>
              <w:t>63.5</w:t>
            </w:r>
          </w:p>
        </w:tc>
        <w:tc>
          <w:tcPr>
            <w:tcW w:w="893" w:type="dxa"/>
          </w:tcPr>
          <w:p w14:paraId="179C90C0">
            <w:pPr>
              <w:pStyle w:val="63"/>
              <w:spacing w:line="240" w:lineRule="auto"/>
              <w:ind w:firstLine="0" w:firstLineChars="0"/>
              <w:jc w:val="center"/>
              <w:rPr>
                <w:sz w:val="21"/>
                <w:szCs w:val="21"/>
              </w:rPr>
            </w:pPr>
            <w:r>
              <w:rPr>
                <w:sz w:val="21"/>
                <w:szCs w:val="21"/>
              </w:rPr>
              <w:t>63.0</w:t>
            </w:r>
          </w:p>
        </w:tc>
        <w:tc>
          <w:tcPr>
            <w:tcW w:w="893" w:type="dxa"/>
          </w:tcPr>
          <w:p w14:paraId="6C69CF71">
            <w:pPr>
              <w:pStyle w:val="63"/>
              <w:spacing w:line="240" w:lineRule="auto"/>
              <w:ind w:firstLine="0" w:firstLineChars="0"/>
              <w:jc w:val="center"/>
              <w:rPr>
                <w:sz w:val="21"/>
                <w:szCs w:val="21"/>
              </w:rPr>
            </w:pPr>
            <w:r>
              <w:rPr>
                <w:sz w:val="21"/>
                <w:szCs w:val="21"/>
              </w:rPr>
              <w:t>62.6</w:t>
            </w:r>
          </w:p>
        </w:tc>
        <w:tc>
          <w:tcPr>
            <w:tcW w:w="893" w:type="dxa"/>
          </w:tcPr>
          <w:p w14:paraId="32481D02">
            <w:pPr>
              <w:pStyle w:val="63"/>
              <w:spacing w:line="240" w:lineRule="auto"/>
              <w:ind w:firstLine="0" w:firstLineChars="0"/>
              <w:jc w:val="center"/>
              <w:rPr>
                <w:sz w:val="21"/>
                <w:szCs w:val="21"/>
              </w:rPr>
            </w:pPr>
            <w:r>
              <w:rPr>
                <w:sz w:val="21"/>
                <w:szCs w:val="21"/>
              </w:rPr>
              <w:t>62.6</w:t>
            </w:r>
          </w:p>
        </w:tc>
        <w:tc>
          <w:tcPr>
            <w:tcW w:w="893" w:type="dxa"/>
          </w:tcPr>
          <w:p w14:paraId="138DB26A">
            <w:pPr>
              <w:pStyle w:val="63"/>
              <w:spacing w:line="240" w:lineRule="auto"/>
              <w:ind w:firstLine="0" w:firstLineChars="0"/>
              <w:jc w:val="center"/>
              <w:rPr>
                <w:sz w:val="21"/>
                <w:szCs w:val="21"/>
              </w:rPr>
            </w:pPr>
            <w:r>
              <w:rPr>
                <w:sz w:val="21"/>
                <w:szCs w:val="21"/>
              </w:rPr>
              <w:t>63.7</w:t>
            </w:r>
          </w:p>
        </w:tc>
        <w:tc>
          <w:tcPr>
            <w:tcW w:w="893" w:type="dxa"/>
          </w:tcPr>
          <w:p w14:paraId="3E025A6F">
            <w:pPr>
              <w:pStyle w:val="63"/>
              <w:spacing w:line="240" w:lineRule="auto"/>
              <w:ind w:firstLine="0" w:firstLineChars="0"/>
              <w:jc w:val="center"/>
              <w:rPr>
                <w:sz w:val="21"/>
                <w:szCs w:val="21"/>
              </w:rPr>
            </w:pPr>
            <w:r>
              <w:rPr>
                <w:sz w:val="21"/>
                <w:szCs w:val="21"/>
              </w:rPr>
              <w:t>64.4</w:t>
            </w:r>
          </w:p>
        </w:tc>
        <w:tc>
          <w:tcPr>
            <w:tcW w:w="893" w:type="dxa"/>
          </w:tcPr>
          <w:p w14:paraId="7B542A90">
            <w:pPr>
              <w:pStyle w:val="63"/>
              <w:spacing w:line="240" w:lineRule="auto"/>
              <w:ind w:firstLine="0" w:firstLineChars="0"/>
              <w:jc w:val="center"/>
              <w:rPr>
                <w:sz w:val="21"/>
                <w:szCs w:val="21"/>
              </w:rPr>
            </w:pPr>
            <w:r>
              <w:rPr>
                <w:sz w:val="21"/>
                <w:szCs w:val="21"/>
              </w:rPr>
              <w:t>62.6</w:t>
            </w:r>
          </w:p>
        </w:tc>
        <w:tc>
          <w:tcPr>
            <w:tcW w:w="893" w:type="dxa"/>
          </w:tcPr>
          <w:p w14:paraId="66F1D923">
            <w:pPr>
              <w:pStyle w:val="63"/>
              <w:spacing w:line="240" w:lineRule="auto"/>
              <w:ind w:firstLine="0" w:firstLineChars="0"/>
              <w:jc w:val="center"/>
              <w:rPr>
                <w:sz w:val="21"/>
                <w:szCs w:val="21"/>
              </w:rPr>
            </w:pPr>
            <w:r>
              <w:rPr>
                <w:sz w:val="21"/>
                <w:szCs w:val="21"/>
              </w:rPr>
              <w:t>64.4</w:t>
            </w:r>
          </w:p>
        </w:tc>
        <w:tc>
          <w:tcPr>
            <w:tcW w:w="695" w:type="dxa"/>
          </w:tcPr>
          <w:p w14:paraId="6723F33F">
            <w:pPr>
              <w:pStyle w:val="63"/>
              <w:spacing w:line="240" w:lineRule="auto"/>
              <w:ind w:firstLine="0" w:firstLineChars="0"/>
              <w:jc w:val="center"/>
              <w:rPr>
                <w:sz w:val="21"/>
                <w:szCs w:val="21"/>
              </w:rPr>
            </w:pPr>
            <w:r>
              <w:rPr>
                <w:sz w:val="21"/>
                <w:szCs w:val="21"/>
              </w:rPr>
              <w:t>0.8</w:t>
            </w:r>
          </w:p>
        </w:tc>
        <w:tc>
          <w:tcPr>
            <w:tcW w:w="695" w:type="dxa"/>
          </w:tcPr>
          <w:p w14:paraId="6937A86D">
            <w:pPr>
              <w:pStyle w:val="63"/>
              <w:spacing w:line="240" w:lineRule="auto"/>
              <w:ind w:firstLine="0" w:firstLineChars="0"/>
              <w:jc w:val="center"/>
              <w:rPr>
                <w:sz w:val="21"/>
                <w:szCs w:val="21"/>
              </w:rPr>
            </w:pPr>
            <w:r>
              <w:rPr>
                <w:sz w:val="21"/>
                <w:szCs w:val="21"/>
              </w:rPr>
              <w:t>0.27</w:t>
            </w:r>
          </w:p>
        </w:tc>
      </w:tr>
      <w:tr w14:paraId="6C643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5A299EC8">
            <w:pPr>
              <w:pStyle w:val="63"/>
              <w:spacing w:line="240" w:lineRule="auto"/>
              <w:ind w:firstLine="0" w:firstLineChars="0"/>
              <w:jc w:val="center"/>
              <w:rPr>
                <w:sz w:val="21"/>
                <w:szCs w:val="21"/>
              </w:rPr>
            </w:pPr>
            <w:r>
              <w:rPr>
                <w:sz w:val="21"/>
                <w:szCs w:val="21"/>
              </w:rPr>
              <w:t>1.00</w:t>
            </w:r>
          </w:p>
        </w:tc>
        <w:tc>
          <w:tcPr>
            <w:tcW w:w="893" w:type="dxa"/>
          </w:tcPr>
          <w:p w14:paraId="09BD51AD">
            <w:pPr>
              <w:pStyle w:val="63"/>
              <w:spacing w:line="240" w:lineRule="auto"/>
              <w:ind w:firstLine="0" w:firstLineChars="0"/>
              <w:jc w:val="center"/>
              <w:rPr>
                <w:sz w:val="21"/>
                <w:szCs w:val="21"/>
              </w:rPr>
            </w:pPr>
            <w:r>
              <w:rPr>
                <w:sz w:val="21"/>
                <w:szCs w:val="21"/>
              </w:rPr>
              <w:t>58.0</w:t>
            </w:r>
          </w:p>
        </w:tc>
        <w:tc>
          <w:tcPr>
            <w:tcW w:w="893" w:type="dxa"/>
          </w:tcPr>
          <w:p w14:paraId="3EF3065B">
            <w:pPr>
              <w:pStyle w:val="63"/>
              <w:spacing w:line="240" w:lineRule="auto"/>
              <w:ind w:firstLine="0" w:firstLineChars="0"/>
              <w:jc w:val="center"/>
              <w:rPr>
                <w:sz w:val="21"/>
                <w:szCs w:val="21"/>
              </w:rPr>
            </w:pPr>
            <w:r>
              <w:rPr>
                <w:sz w:val="21"/>
                <w:szCs w:val="21"/>
              </w:rPr>
              <w:t>57.3</w:t>
            </w:r>
          </w:p>
        </w:tc>
        <w:tc>
          <w:tcPr>
            <w:tcW w:w="893" w:type="dxa"/>
          </w:tcPr>
          <w:p w14:paraId="0C47A6DB">
            <w:pPr>
              <w:pStyle w:val="63"/>
              <w:spacing w:line="240" w:lineRule="auto"/>
              <w:ind w:firstLine="0" w:firstLineChars="0"/>
              <w:jc w:val="center"/>
              <w:rPr>
                <w:sz w:val="21"/>
                <w:szCs w:val="21"/>
              </w:rPr>
            </w:pPr>
            <w:r>
              <w:rPr>
                <w:sz w:val="21"/>
                <w:szCs w:val="21"/>
              </w:rPr>
              <w:t>58.4</w:t>
            </w:r>
          </w:p>
        </w:tc>
        <w:tc>
          <w:tcPr>
            <w:tcW w:w="893" w:type="dxa"/>
          </w:tcPr>
          <w:p w14:paraId="33D8D236">
            <w:pPr>
              <w:pStyle w:val="63"/>
              <w:spacing w:line="240" w:lineRule="auto"/>
              <w:ind w:firstLine="0" w:firstLineChars="0"/>
              <w:jc w:val="center"/>
              <w:rPr>
                <w:sz w:val="21"/>
                <w:szCs w:val="21"/>
              </w:rPr>
            </w:pPr>
            <w:r>
              <w:rPr>
                <w:sz w:val="21"/>
                <w:szCs w:val="21"/>
              </w:rPr>
              <w:t>57.6</w:t>
            </w:r>
          </w:p>
        </w:tc>
        <w:tc>
          <w:tcPr>
            <w:tcW w:w="893" w:type="dxa"/>
          </w:tcPr>
          <w:p w14:paraId="2005335E">
            <w:pPr>
              <w:pStyle w:val="63"/>
              <w:spacing w:line="240" w:lineRule="auto"/>
              <w:ind w:firstLine="0" w:firstLineChars="0"/>
              <w:jc w:val="center"/>
              <w:rPr>
                <w:sz w:val="21"/>
                <w:szCs w:val="21"/>
              </w:rPr>
            </w:pPr>
            <w:r>
              <w:rPr>
                <w:sz w:val="21"/>
                <w:szCs w:val="21"/>
              </w:rPr>
              <w:t>58.9</w:t>
            </w:r>
          </w:p>
        </w:tc>
        <w:tc>
          <w:tcPr>
            <w:tcW w:w="893" w:type="dxa"/>
          </w:tcPr>
          <w:p w14:paraId="02905726">
            <w:pPr>
              <w:pStyle w:val="63"/>
              <w:spacing w:line="240" w:lineRule="auto"/>
              <w:ind w:firstLine="0" w:firstLineChars="0"/>
              <w:jc w:val="center"/>
              <w:rPr>
                <w:sz w:val="21"/>
                <w:szCs w:val="21"/>
              </w:rPr>
            </w:pPr>
            <w:r>
              <w:rPr>
                <w:sz w:val="21"/>
                <w:szCs w:val="21"/>
              </w:rPr>
              <w:t>58.5</w:t>
            </w:r>
          </w:p>
        </w:tc>
        <w:tc>
          <w:tcPr>
            <w:tcW w:w="893" w:type="dxa"/>
          </w:tcPr>
          <w:p w14:paraId="766BF08B">
            <w:pPr>
              <w:pStyle w:val="63"/>
              <w:spacing w:line="240" w:lineRule="auto"/>
              <w:ind w:firstLine="0" w:firstLineChars="0"/>
              <w:jc w:val="center"/>
              <w:rPr>
                <w:sz w:val="21"/>
                <w:szCs w:val="21"/>
              </w:rPr>
            </w:pPr>
            <w:r>
              <w:rPr>
                <w:sz w:val="21"/>
                <w:szCs w:val="21"/>
              </w:rPr>
              <w:t>57.4</w:t>
            </w:r>
          </w:p>
        </w:tc>
        <w:tc>
          <w:tcPr>
            <w:tcW w:w="893" w:type="dxa"/>
          </w:tcPr>
          <w:p w14:paraId="25F7F6FE">
            <w:pPr>
              <w:pStyle w:val="63"/>
              <w:spacing w:line="240" w:lineRule="auto"/>
              <w:ind w:firstLine="0" w:firstLineChars="0"/>
              <w:jc w:val="center"/>
              <w:rPr>
                <w:sz w:val="21"/>
                <w:szCs w:val="21"/>
              </w:rPr>
            </w:pPr>
            <w:r>
              <w:rPr>
                <w:sz w:val="21"/>
                <w:szCs w:val="21"/>
              </w:rPr>
              <w:t>57.6</w:t>
            </w:r>
          </w:p>
        </w:tc>
        <w:tc>
          <w:tcPr>
            <w:tcW w:w="695" w:type="dxa"/>
          </w:tcPr>
          <w:p w14:paraId="34CB2772">
            <w:pPr>
              <w:pStyle w:val="63"/>
              <w:spacing w:line="240" w:lineRule="auto"/>
              <w:ind w:firstLine="0" w:firstLineChars="0"/>
              <w:jc w:val="center"/>
              <w:rPr>
                <w:sz w:val="21"/>
                <w:szCs w:val="21"/>
              </w:rPr>
            </w:pPr>
            <w:r>
              <w:rPr>
                <w:sz w:val="21"/>
                <w:szCs w:val="21"/>
              </w:rPr>
              <w:t>0.6</w:t>
            </w:r>
          </w:p>
        </w:tc>
        <w:tc>
          <w:tcPr>
            <w:tcW w:w="695" w:type="dxa"/>
          </w:tcPr>
          <w:p w14:paraId="70B50A97">
            <w:pPr>
              <w:pStyle w:val="63"/>
              <w:spacing w:line="240" w:lineRule="auto"/>
              <w:ind w:firstLine="0" w:firstLineChars="0"/>
              <w:jc w:val="center"/>
              <w:rPr>
                <w:sz w:val="21"/>
                <w:szCs w:val="21"/>
              </w:rPr>
            </w:pPr>
            <w:r>
              <w:rPr>
                <w:sz w:val="21"/>
                <w:szCs w:val="21"/>
              </w:rPr>
              <w:t>0.20</w:t>
            </w:r>
          </w:p>
        </w:tc>
      </w:tr>
      <w:tr w14:paraId="0F8AC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5C6AB3D5">
            <w:pPr>
              <w:pStyle w:val="63"/>
              <w:spacing w:line="240" w:lineRule="auto"/>
              <w:ind w:firstLine="0" w:firstLineChars="0"/>
              <w:jc w:val="center"/>
              <w:rPr>
                <w:sz w:val="21"/>
                <w:szCs w:val="21"/>
              </w:rPr>
            </w:pPr>
            <w:r>
              <w:rPr>
                <w:sz w:val="21"/>
                <w:szCs w:val="21"/>
              </w:rPr>
              <w:t>1.25</w:t>
            </w:r>
          </w:p>
        </w:tc>
        <w:tc>
          <w:tcPr>
            <w:tcW w:w="893" w:type="dxa"/>
          </w:tcPr>
          <w:p w14:paraId="0481EC71">
            <w:pPr>
              <w:pStyle w:val="63"/>
              <w:spacing w:line="240" w:lineRule="auto"/>
              <w:ind w:firstLine="0" w:firstLineChars="0"/>
              <w:jc w:val="center"/>
              <w:rPr>
                <w:sz w:val="21"/>
                <w:szCs w:val="21"/>
              </w:rPr>
            </w:pPr>
            <w:r>
              <w:rPr>
                <w:sz w:val="21"/>
                <w:szCs w:val="21"/>
              </w:rPr>
              <w:t>55.0</w:t>
            </w:r>
          </w:p>
        </w:tc>
        <w:tc>
          <w:tcPr>
            <w:tcW w:w="893" w:type="dxa"/>
          </w:tcPr>
          <w:p w14:paraId="07585A69">
            <w:pPr>
              <w:pStyle w:val="63"/>
              <w:spacing w:line="240" w:lineRule="auto"/>
              <w:ind w:firstLine="0" w:firstLineChars="0"/>
              <w:jc w:val="center"/>
              <w:rPr>
                <w:sz w:val="21"/>
                <w:szCs w:val="21"/>
              </w:rPr>
            </w:pPr>
            <w:r>
              <w:rPr>
                <w:sz w:val="21"/>
                <w:szCs w:val="21"/>
              </w:rPr>
              <w:t>56.0</w:t>
            </w:r>
          </w:p>
        </w:tc>
        <w:tc>
          <w:tcPr>
            <w:tcW w:w="893" w:type="dxa"/>
          </w:tcPr>
          <w:p w14:paraId="639119D3">
            <w:pPr>
              <w:pStyle w:val="63"/>
              <w:spacing w:line="240" w:lineRule="auto"/>
              <w:ind w:firstLine="0" w:firstLineChars="0"/>
              <w:jc w:val="center"/>
              <w:rPr>
                <w:sz w:val="21"/>
                <w:szCs w:val="21"/>
              </w:rPr>
            </w:pPr>
            <w:r>
              <w:rPr>
                <w:sz w:val="21"/>
                <w:szCs w:val="21"/>
              </w:rPr>
              <w:t>54.2</w:t>
            </w:r>
          </w:p>
        </w:tc>
        <w:tc>
          <w:tcPr>
            <w:tcW w:w="893" w:type="dxa"/>
          </w:tcPr>
          <w:p w14:paraId="5098AFE2">
            <w:pPr>
              <w:pStyle w:val="63"/>
              <w:spacing w:line="240" w:lineRule="auto"/>
              <w:ind w:firstLine="0" w:firstLineChars="0"/>
              <w:jc w:val="center"/>
              <w:rPr>
                <w:sz w:val="21"/>
                <w:szCs w:val="21"/>
              </w:rPr>
            </w:pPr>
            <w:r>
              <w:rPr>
                <w:sz w:val="21"/>
                <w:szCs w:val="21"/>
              </w:rPr>
              <w:t>54.1</w:t>
            </w:r>
          </w:p>
        </w:tc>
        <w:tc>
          <w:tcPr>
            <w:tcW w:w="893" w:type="dxa"/>
          </w:tcPr>
          <w:p w14:paraId="0CA05117">
            <w:pPr>
              <w:pStyle w:val="63"/>
              <w:spacing w:line="240" w:lineRule="auto"/>
              <w:ind w:firstLine="0" w:firstLineChars="0"/>
              <w:jc w:val="center"/>
              <w:rPr>
                <w:sz w:val="21"/>
                <w:szCs w:val="21"/>
              </w:rPr>
            </w:pPr>
            <w:r>
              <w:rPr>
                <w:sz w:val="21"/>
                <w:szCs w:val="21"/>
              </w:rPr>
              <w:t>54.3</w:t>
            </w:r>
          </w:p>
        </w:tc>
        <w:tc>
          <w:tcPr>
            <w:tcW w:w="893" w:type="dxa"/>
          </w:tcPr>
          <w:p w14:paraId="7D53869D">
            <w:pPr>
              <w:pStyle w:val="63"/>
              <w:spacing w:line="240" w:lineRule="auto"/>
              <w:ind w:firstLine="0" w:firstLineChars="0"/>
              <w:jc w:val="center"/>
              <w:rPr>
                <w:sz w:val="21"/>
                <w:szCs w:val="21"/>
              </w:rPr>
            </w:pPr>
            <w:r>
              <w:rPr>
                <w:sz w:val="21"/>
                <w:szCs w:val="21"/>
              </w:rPr>
              <w:t>54.9</w:t>
            </w:r>
          </w:p>
        </w:tc>
        <w:tc>
          <w:tcPr>
            <w:tcW w:w="893" w:type="dxa"/>
          </w:tcPr>
          <w:p w14:paraId="08603C22">
            <w:pPr>
              <w:pStyle w:val="63"/>
              <w:spacing w:line="240" w:lineRule="auto"/>
              <w:ind w:firstLine="0" w:firstLineChars="0"/>
              <w:jc w:val="center"/>
              <w:rPr>
                <w:sz w:val="21"/>
                <w:szCs w:val="21"/>
              </w:rPr>
            </w:pPr>
            <w:r>
              <w:rPr>
                <w:sz w:val="21"/>
                <w:szCs w:val="21"/>
              </w:rPr>
              <w:t>54.5</w:t>
            </w:r>
          </w:p>
        </w:tc>
        <w:tc>
          <w:tcPr>
            <w:tcW w:w="893" w:type="dxa"/>
          </w:tcPr>
          <w:p w14:paraId="6EEFAB02">
            <w:pPr>
              <w:pStyle w:val="63"/>
              <w:spacing w:line="240" w:lineRule="auto"/>
              <w:ind w:firstLine="0" w:firstLineChars="0"/>
              <w:jc w:val="center"/>
              <w:rPr>
                <w:sz w:val="21"/>
                <w:szCs w:val="21"/>
              </w:rPr>
            </w:pPr>
            <w:r>
              <w:rPr>
                <w:sz w:val="21"/>
                <w:szCs w:val="21"/>
              </w:rPr>
              <w:t>54.9</w:t>
            </w:r>
          </w:p>
        </w:tc>
        <w:tc>
          <w:tcPr>
            <w:tcW w:w="695" w:type="dxa"/>
          </w:tcPr>
          <w:p w14:paraId="7B805094">
            <w:pPr>
              <w:pStyle w:val="63"/>
              <w:spacing w:line="240" w:lineRule="auto"/>
              <w:ind w:firstLine="0" w:firstLineChars="0"/>
              <w:jc w:val="center"/>
              <w:rPr>
                <w:sz w:val="21"/>
                <w:szCs w:val="21"/>
              </w:rPr>
            </w:pPr>
            <w:r>
              <w:rPr>
                <w:sz w:val="21"/>
                <w:szCs w:val="21"/>
              </w:rPr>
              <w:t>0.6</w:t>
            </w:r>
          </w:p>
        </w:tc>
        <w:tc>
          <w:tcPr>
            <w:tcW w:w="695" w:type="dxa"/>
          </w:tcPr>
          <w:p w14:paraId="04A02A7E">
            <w:pPr>
              <w:pStyle w:val="63"/>
              <w:spacing w:line="240" w:lineRule="auto"/>
              <w:ind w:firstLine="0" w:firstLineChars="0"/>
              <w:jc w:val="center"/>
              <w:rPr>
                <w:sz w:val="21"/>
                <w:szCs w:val="21"/>
              </w:rPr>
            </w:pPr>
            <w:r>
              <w:rPr>
                <w:sz w:val="21"/>
                <w:szCs w:val="21"/>
              </w:rPr>
              <w:t>0.21</w:t>
            </w:r>
          </w:p>
        </w:tc>
      </w:tr>
      <w:tr w14:paraId="6F92F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59ECA0E4">
            <w:pPr>
              <w:pStyle w:val="63"/>
              <w:spacing w:line="240" w:lineRule="auto"/>
              <w:ind w:firstLine="0" w:firstLineChars="0"/>
              <w:jc w:val="center"/>
              <w:rPr>
                <w:sz w:val="21"/>
                <w:szCs w:val="21"/>
              </w:rPr>
            </w:pPr>
            <w:r>
              <w:rPr>
                <w:sz w:val="21"/>
                <w:szCs w:val="21"/>
              </w:rPr>
              <w:t>1.60</w:t>
            </w:r>
          </w:p>
        </w:tc>
        <w:tc>
          <w:tcPr>
            <w:tcW w:w="893" w:type="dxa"/>
          </w:tcPr>
          <w:p w14:paraId="65E5269D">
            <w:pPr>
              <w:pStyle w:val="63"/>
              <w:spacing w:line="240" w:lineRule="auto"/>
              <w:ind w:firstLine="0" w:firstLineChars="0"/>
              <w:jc w:val="center"/>
              <w:rPr>
                <w:sz w:val="21"/>
                <w:szCs w:val="21"/>
              </w:rPr>
            </w:pPr>
            <w:r>
              <w:rPr>
                <w:sz w:val="21"/>
                <w:szCs w:val="21"/>
              </w:rPr>
              <w:t>52.8</w:t>
            </w:r>
          </w:p>
        </w:tc>
        <w:tc>
          <w:tcPr>
            <w:tcW w:w="893" w:type="dxa"/>
          </w:tcPr>
          <w:p w14:paraId="2307426F">
            <w:pPr>
              <w:pStyle w:val="63"/>
              <w:spacing w:line="240" w:lineRule="auto"/>
              <w:ind w:firstLine="0" w:firstLineChars="0"/>
              <w:jc w:val="center"/>
              <w:rPr>
                <w:sz w:val="21"/>
                <w:szCs w:val="21"/>
              </w:rPr>
            </w:pPr>
            <w:r>
              <w:rPr>
                <w:sz w:val="21"/>
                <w:szCs w:val="21"/>
              </w:rPr>
              <w:t>53.1</w:t>
            </w:r>
          </w:p>
        </w:tc>
        <w:tc>
          <w:tcPr>
            <w:tcW w:w="893" w:type="dxa"/>
          </w:tcPr>
          <w:p w14:paraId="688C574A">
            <w:pPr>
              <w:pStyle w:val="63"/>
              <w:spacing w:line="240" w:lineRule="auto"/>
              <w:ind w:firstLine="0" w:firstLineChars="0"/>
              <w:jc w:val="center"/>
              <w:rPr>
                <w:sz w:val="21"/>
                <w:szCs w:val="21"/>
              </w:rPr>
            </w:pPr>
            <w:r>
              <w:rPr>
                <w:sz w:val="21"/>
                <w:szCs w:val="21"/>
              </w:rPr>
              <w:t>53.4</w:t>
            </w:r>
          </w:p>
        </w:tc>
        <w:tc>
          <w:tcPr>
            <w:tcW w:w="893" w:type="dxa"/>
          </w:tcPr>
          <w:p w14:paraId="6AFDB036">
            <w:pPr>
              <w:pStyle w:val="63"/>
              <w:spacing w:line="240" w:lineRule="auto"/>
              <w:ind w:firstLine="0" w:firstLineChars="0"/>
              <w:jc w:val="center"/>
              <w:rPr>
                <w:sz w:val="21"/>
                <w:szCs w:val="21"/>
              </w:rPr>
            </w:pPr>
            <w:r>
              <w:rPr>
                <w:sz w:val="21"/>
                <w:szCs w:val="21"/>
              </w:rPr>
              <w:t>53.1</w:t>
            </w:r>
          </w:p>
        </w:tc>
        <w:tc>
          <w:tcPr>
            <w:tcW w:w="893" w:type="dxa"/>
          </w:tcPr>
          <w:p w14:paraId="215DEAE6">
            <w:pPr>
              <w:pStyle w:val="63"/>
              <w:spacing w:line="240" w:lineRule="auto"/>
              <w:ind w:firstLine="0" w:firstLineChars="0"/>
              <w:jc w:val="center"/>
              <w:rPr>
                <w:sz w:val="21"/>
                <w:szCs w:val="21"/>
              </w:rPr>
            </w:pPr>
            <w:r>
              <w:rPr>
                <w:sz w:val="21"/>
                <w:szCs w:val="21"/>
              </w:rPr>
              <w:t>52.5</w:t>
            </w:r>
          </w:p>
        </w:tc>
        <w:tc>
          <w:tcPr>
            <w:tcW w:w="893" w:type="dxa"/>
          </w:tcPr>
          <w:p w14:paraId="2B0946F5">
            <w:pPr>
              <w:pStyle w:val="63"/>
              <w:spacing w:line="240" w:lineRule="auto"/>
              <w:ind w:firstLine="0" w:firstLineChars="0"/>
              <w:jc w:val="center"/>
              <w:rPr>
                <w:sz w:val="21"/>
                <w:szCs w:val="21"/>
              </w:rPr>
            </w:pPr>
            <w:r>
              <w:rPr>
                <w:sz w:val="21"/>
                <w:szCs w:val="21"/>
              </w:rPr>
              <w:t>52.9</w:t>
            </w:r>
          </w:p>
        </w:tc>
        <w:tc>
          <w:tcPr>
            <w:tcW w:w="893" w:type="dxa"/>
          </w:tcPr>
          <w:p w14:paraId="1DF3F0D5">
            <w:pPr>
              <w:pStyle w:val="63"/>
              <w:spacing w:line="240" w:lineRule="auto"/>
              <w:ind w:firstLine="0" w:firstLineChars="0"/>
              <w:jc w:val="center"/>
              <w:rPr>
                <w:sz w:val="21"/>
                <w:szCs w:val="21"/>
              </w:rPr>
            </w:pPr>
            <w:r>
              <w:rPr>
                <w:sz w:val="21"/>
                <w:szCs w:val="21"/>
              </w:rPr>
              <w:t>52.1</w:t>
            </w:r>
          </w:p>
        </w:tc>
        <w:tc>
          <w:tcPr>
            <w:tcW w:w="893" w:type="dxa"/>
          </w:tcPr>
          <w:p w14:paraId="326AEE53">
            <w:pPr>
              <w:pStyle w:val="63"/>
              <w:spacing w:line="240" w:lineRule="auto"/>
              <w:ind w:firstLine="0" w:firstLineChars="0"/>
              <w:jc w:val="center"/>
              <w:rPr>
                <w:sz w:val="21"/>
                <w:szCs w:val="21"/>
              </w:rPr>
            </w:pPr>
            <w:r>
              <w:rPr>
                <w:sz w:val="21"/>
                <w:szCs w:val="21"/>
              </w:rPr>
              <w:t>53.6</w:t>
            </w:r>
          </w:p>
        </w:tc>
        <w:tc>
          <w:tcPr>
            <w:tcW w:w="695" w:type="dxa"/>
          </w:tcPr>
          <w:p w14:paraId="4B45C2EA">
            <w:pPr>
              <w:pStyle w:val="63"/>
              <w:spacing w:line="240" w:lineRule="auto"/>
              <w:ind w:firstLine="0" w:firstLineChars="0"/>
              <w:jc w:val="center"/>
              <w:rPr>
                <w:sz w:val="21"/>
                <w:szCs w:val="21"/>
              </w:rPr>
            </w:pPr>
            <w:r>
              <w:rPr>
                <w:sz w:val="21"/>
                <w:szCs w:val="21"/>
              </w:rPr>
              <w:t>0.5</w:t>
            </w:r>
          </w:p>
        </w:tc>
        <w:tc>
          <w:tcPr>
            <w:tcW w:w="695" w:type="dxa"/>
          </w:tcPr>
          <w:p w14:paraId="4E535FE7">
            <w:pPr>
              <w:pStyle w:val="63"/>
              <w:spacing w:line="240" w:lineRule="auto"/>
              <w:ind w:firstLine="0" w:firstLineChars="0"/>
              <w:jc w:val="center"/>
              <w:rPr>
                <w:sz w:val="21"/>
                <w:szCs w:val="21"/>
              </w:rPr>
            </w:pPr>
            <w:r>
              <w:rPr>
                <w:sz w:val="21"/>
                <w:szCs w:val="21"/>
              </w:rPr>
              <w:t>0.17</w:t>
            </w:r>
          </w:p>
        </w:tc>
      </w:tr>
      <w:tr w14:paraId="6CB68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7382A377">
            <w:pPr>
              <w:pStyle w:val="63"/>
              <w:spacing w:line="240" w:lineRule="auto"/>
              <w:ind w:firstLine="0" w:firstLineChars="0"/>
              <w:jc w:val="center"/>
              <w:rPr>
                <w:sz w:val="21"/>
                <w:szCs w:val="21"/>
              </w:rPr>
            </w:pPr>
            <w:r>
              <w:rPr>
                <w:sz w:val="21"/>
                <w:szCs w:val="21"/>
              </w:rPr>
              <w:t>2.00</w:t>
            </w:r>
          </w:p>
        </w:tc>
        <w:tc>
          <w:tcPr>
            <w:tcW w:w="893" w:type="dxa"/>
          </w:tcPr>
          <w:p w14:paraId="75C60E87">
            <w:pPr>
              <w:pStyle w:val="63"/>
              <w:spacing w:line="240" w:lineRule="auto"/>
              <w:ind w:firstLine="0" w:firstLineChars="0"/>
              <w:jc w:val="center"/>
              <w:rPr>
                <w:sz w:val="21"/>
                <w:szCs w:val="21"/>
              </w:rPr>
            </w:pPr>
            <w:r>
              <w:rPr>
                <w:sz w:val="21"/>
                <w:szCs w:val="21"/>
              </w:rPr>
              <w:t>52.0</w:t>
            </w:r>
          </w:p>
        </w:tc>
        <w:tc>
          <w:tcPr>
            <w:tcW w:w="893" w:type="dxa"/>
          </w:tcPr>
          <w:p w14:paraId="4A284C73">
            <w:pPr>
              <w:pStyle w:val="63"/>
              <w:spacing w:line="240" w:lineRule="auto"/>
              <w:ind w:firstLine="0" w:firstLineChars="0"/>
              <w:jc w:val="center"/>
              <w:rPr>
                <w:sz w:val="21"/>
                <w:szCs w:val="21"/>
              </w:rPr>
            </w:pPr>
            <w:r>
              <w:rPr>
                <w:sz w:val="21"/>
                <w:szCs w:val="21"/>
              </w:rPr>
              <w:t>52.5</w:t>
            </w:r>
          </w:p>
        </w:tc>
        <w:tc>
          <w:tcPr>
            <w:tcW w:w="893" w:type="dxa"/>
          </w:tcPr>
          <w:p w14:paraId="0709B7EA">
            <w:pPr>
              <w:pStyle w:val="63"/>
              <w:spacing w:line="240" w:lineRule="auto"/>
              <w:ind w:firstLine="0" w:firstLineChars="0"/>
              <w:jc w:val="center"/>
              <w:rPr>
                <w:sz w:val="21"/>
                <w:szCs w:val="21"/>
              </w:rPr>
            </w:pPr>
            <w:r>
              <w:rPr>
                <w:sz w:val="21"/>
                <w:szCs w:val="21"/>
              </w:rPr>
              <w:t>53.0</w:t>
            </w:r>
          </w:p>
        </w:tc>
        <w:tc>
          <w:tcPr>
            <w:tcW w:w="893" w:type="dxa"/>
          </w:tcPr>
          <w:p w14:paraId="1AE14136">
            <w:pPr>
              <w:pStyle w:val="63"/>
              <w:spacing w:line="240" w:lineRule="auto"/>
              <w:ind w:firstLine="0" w:firstLineChars="0"/>
              <w:jc w:val="center"/>
              <w:rPr>
                <w:sz w:val="21"/>
                <w:szCs w:val="21"/>
              </w:rPr>
            </w:pPr>
            <w:r>
              <w:rPr>
                <w:sz w:val="21"/>
                <w:szCs w:val="21"/>
              </w:rPr>
              <w:t>52.5</w:t>
            </w:r>
          </w:p>
        </w:tc>
        <w:tc>
          <w:tcPr>
            <w:tcW w:w="893" w:type="dxa"/>
          </w:tcPr>
          <w:p w14:paraId="4E8F66BE">
            <w:pPr>
              <w:pStyle w:val="63"/>
              <w:spacing w:line="240" w:lineRule="auto"/>
              <w:ind w:firstLine="0" w:firstLineChars="0"/>
              <w:jc w:val="center"/>
              <w:rPr>
                <w:sz w:val="21"/>
                <w:szCs w:val="21"/>
              </w:rPr>
            </w:pPr>
            <w:r>
              <w:rPr>
                <w:sz w:val="21"/>
                <w:szCs w:val="21"/>
              </w:rPr>
              <w:t>52.1</w:t>
            </w:r>
          </w:p>
        </w:tc>
        <w:tc>
          <w:tcPr>
            <w:tcW w:w="893" w:type="dxa"/>
          </w:tcPr>
          <w:p w14:paraId="6E6574B7">
            <w:pPr>
              <w:pStyle w:val="63"/>
              <w:spacing w:line="240" w:lineRule="auto"/>
              <w:ind w:firstLine="0" w:firstLineChars="0"/>
              <w:jc w:val="center"/>
              <w:rPr>
                <w:sz w:val="21"/>
                <w:szCs w:val="21"/>
              </w:rPr>
            </w:pPr>
            <w:r>
              <w:rPr>
                <w:sz w:val="21"/>
                <w:szCs w:val="21"/>
              </w:rPr>
              <w:t>51.2</w:t>
            </w:r>
          </w:p>
        </w:tc>
        <w:tc>
          <w:tcPr>
            <w:tcW w:w="893" w:type="dxa"/>
          </w:tcPr>
          <w:p w14:paraId="453B8DB0">
            <w:pPr>
              <w:pStyle w:val="63"/>
              <w:spacing w:line="240" w:lineRule="auto"/>
              <w:ind w:firstLine="0" w:firstLineChars="0"/>
              <w:jc w:val="center"/>
              <w:rPr>
                <w:sz w:val="21"/>
                <w:szCs w:val="21"/>
              </w:rPr>
            </w:pPr>
            <w:r>
              <w:rPr>
                <w:sz w:val="21"/>
                <w:szCs w:val="21"/>
              </w:rPr>
              <w:t>53.0</w:t>
            </w:r>
          </w:p>
        </w:tc>
        <w:tc>
          <w:tcPr>
            <w:tcW w:w="893" w:type="dxa"/>
          </w:tcPr>
          <w:p w14:paraId="18B7607F">
            <w:pPr>
              <w:pStyle w:val="63"/>
              <w:spacing w:line="240" w:lineRule="auto"/>
              <w:ind w:firstLine="0" w:firstLineChars="0"/>
              <w:jc w:val="center"/>
              <w:rPr>
                <w:sz w:val="21"/>
                <w:szCs w:val="21"/>
              </w:rPr>
            </w:pPr>
            <w:r>
              <w:rPr>
                <w:sz w:val="21"/>
                <w:szCs w:val="21"/>
              </w:rPr>
              <w:t>51.8</w:t>
            </w:r>
          </w:p>
        </w:tc>
        <w:tc>
          <w:tcPr>
            <w:tcW w:w="695" w:type="dxa"/>
          </w:tcPr>
          <w:p w14:paraId="4DFDAD85">
            <w:pPr>
              <w:pStyle w:val="63"/>
              <w:spacing w:line="240" w:lineRule="auto"/>
              <w:ind w:firstLine="0" w:firstLineChars="0"/>
              <w:jc w:val="center"/>
              <w:rPr>
                <w:sz w:val="21"/>
                <w:szCs w:val="21"/>
              </w:rPr>
            </w:pPr>
            <w:r>
              <w:rPr>
                <w:sz w:val="21"/>
                <w:szCs w:val="21"/>
              </w:rPr>
              <w:t>0.6</w:t>
            </w:r>
          </w:p>
        </w:tc>
        <w:tc>
          <w:tcPr>
            <w:tcW w:w="695" w:type="dxa"/>
          </w:tcPr>
          <w:p w14:paraId="17F6A8CD">
            <w:pPr>
              <w:pStyle w:val="63"/>
              <w:spacing w:line="240" w:lineRule="auto"/>
              <w:ind w:firstLine="0" w:firstLineChars="0"/>
              <w:jc w:val="center"/>
              <w:rPr>
                <w:sz w:val="21"/>
                <w:szCs w:val="21"/>
              </w:rPr>
            </w:pPr>
            <w:r>
              <w:rPr>
                <w:sz w:val="21"/>
                <w:szCs w:val="21"/>
              </w:rPr>
              <w:t>0.21</w:t>
            </w:r>
          </w:p>
        </w:tc>
      </w:tr>
      <w:tr w14:paraId="63BDD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3059CE21">
            <w:pPr>
              <w:pStyle w:val="63"/>
              <w:spacing w:line="240" w:lineRule="auto"/>
              <w:ind w:firstLine="0" w:firstLineChars="0"/>
              <w:jc w:val="center"/>
              <w:rPr>
                <w:sz w:val="21"/>
                <w:szCs w:val="21"/>
              </w:rPr>
            </w:pPr>
            <w:r>
              <w:rPr>
                <w:sz w:val="21"/>
                <w:szCs w:val="21"/>
              </w:rPr>
              <w:t>2.50</w:t>
            </w:r>
          </w:p>
        </w:tc>
        <w:tc>
          <w:tcPr>
            <w:tcW w:w="893" w:type="dxa"/>
          </w:tcPr>
          <w:p w14:paraId="00459625">
            <w:pPr>
              <w:pStyle w:val="63"/>
              <w:spacing w:line="240" w:lineRule="auto"/>
              <w:ind w:firstLine="0" w:firstLineChars="0"/>
              <w:jc w:val="center"/>
              <w:rPr>
                <w:sz w:val="21"/>
                <w:szCs w:val="21"/>
              </w:rPr>
            </w:pPr>
            <w:r>
              <w:rPr>
                <w:sz w:val="21"/>
                <w:szCs w:val="21"/>
              </w:rPr>
              <w:t>51.8</w:t>
            </w:r>
          </w:p>
        </w:tc>
        <w:tc>
          <w:tcPr>
            <w:tcW w:w="893" w:type="dxa"/>
          </w:tcPr>
          <w:p w14:paraId="089DA7DE">
            <w:pPr>
              <w:pStyle w:val="63"/>
              <w:spacing w:line="240" w:lineRule="auto"/>
              <w:ind w:firstLine="0" w:firstLineChars="0"/>
              <w:jc w:val="center"/>
              <w:rPr>
                <w:sz w:val="21"/>
                <w:szCs w:val="21"/>
              </w:rPr>
            </w:pPr>
            <w:r>
              <w:rPr>
                <w:sz w:val="21"/>
                <w:szCs w:val="21"/>
              </w:rPr>
              <w:t>51.1</w:t>
            </w:r>
          </w:p>
        </w:tc>
        <w:tc>
          <w:tcPr>
            <w:tcW w:w="893" w:type="dxa"/>
          </w:tcPr>
          <w:p w14:paraId="233D9963">
            <w:pPr>
              <w:pStyle w:val="63"/>
              <w:spacing w:line="240" w:lineRule="auto"/>
              <w:ind w:firstLine="0" w:firstLineChars="0"/>
              <w:jc w:val="center"/>
              <w:rPr>
                <w:sz w:val="21"/>
                <w:szCs w:val="21"/>
              </w:rPr>
            </w:pPr>
            <w:r>
              <w:rPr>
                <w:sz w:val="21"/>
                <w:szCs w:val="21"/>
              </w:rPr>
              <w:t>50.9</w:t>
            </w:r>
          </w:p>
        </w:tc>
        <w:tc>
          <w:tcPr>
            <w:tcW w:w="893" w:type="dxa"/>
          </w:tcPr>
          <w:p w14:paraId="0D32337D">
            <w:pPr>
              <w:pStyle w:val="63"/>
              <w:spacing w:line="240" w:lineRule="auto"/>
              <w:ind w:firstLine="0" w:firstLineChars="0"/>
              <w:jc w:val="center"/>
              <w:rPr>
                <w:sz w:val="21"/>
                <w:szCs w:val="21"/>
              </w:rPr>
            </w:pPr>
            <w:r>
              <w:rPr>
                <w:sz w:val="21"/>
                <w:szCs w:val="21"/>
              </w:rPr>
              <w:t>51.8</w:t>
            </w:r>
          </w:p>
        </w:tc>
        <w:tc>
          <w:tcPr>
            <w:tcW w:w="893" w:type="dxa"/>
          </w:tcPr>
          <w:p w14:paraId="59EE0668">
            <w:pPr>
              <w:pStyle w:val="63"/>
              <w:spacing w:line="240" w:lineRule="auto"/>
              <w:ind w:firstLine="0" w:firstLineChars="0"/>
              <w:jc w:val="center"/>
              <w:rPr>
                <w:sz w:val="21"/>
                <w:szCs w:val="21"/>
              </w:rPr>
            </w:pPr>
            <w:r>
              <w:rPr>
                <w:sz w:val="21"/>
                <w:szCs w:val="21"/>
              </w:rPr>
              <w:t>52.4</w:t>
            </w:r>
          </w:p>
        </w:tc>
        <w:tc>
          <w:tcPr>
            <w:tcW w:w="893" w:type="dxa"/>
          </w:tcPr>
          <w:p w14:paraId="1B78AA9F">
            <w:pPr>
              <w:pStyle w:val="63"/>
              <w:spacing w:line="240" w:lineRule="auto"/>
              <w:ind w:firstLine="0" w:firstLineChars="0"/>
              <w:jc w:val="center"/>
              <w:rPr>
                <w:sz w:val="21"/>
                <w:szCs w:val="21"/>
              </w:rPr>
            </w:pPr>
            <w:r>
              <w:rPr>
                <w:sz w:val="21"/>
                <w:szCs w:val="21"/>
              </w:rPr>
              <w:t>50.9</w:t>
            </w:r>
          </w:p>
        </w:tc>
        <w:tc>
          <w:tcPr>
            <w:tcW w:w="893" w:type="dxa"/>
          </w:tcPr>
          <w:p w14:paraId="7F366808">
            <w:pPr>
              <w:pStyle w:val="63"/>
              <w:spacing w:line="240" w:lineRule="auto"/>
              <w:ind w:firstLine="0" w:firstLineChars="0"/>
              <w:jc w:val="center"/>
              <w:rPr>
                <w:sz w:val="21"/>
                <w:szCs w:val="21"/>
              </w:rPr>
            </w:pPr>
            <w:r>
              <w:rPr>
                <w:sz w:val="21"/>
                <w:szCs w:val="21"/>
              </w:rPr>
              <w:t>52.6</w:t>
            </w:r>
          </w:p>
        </w:tc>
        <w:tc>
          <w:tcPr>
            <w:tcW w:w="893" w:type="dxa"/>
          </w:tcPr>
          <w:p w14:paraId="6541E5AD">
            <w:pPr>
              <w:pStyle w:val="63"/>
              <w:spacing w:line="240" w:lineRule="auto"/>
              <w:ind w:firstLine="0" w:firstLineChars="0"/>
              <w:jc w:val="center"/>
              <w:rPr>
                <w:sz w:val="21"/>
                <w:szCs w:val="21"/>
              </w:rPr>
            </w:pPr>
            <w:r>
              <w:rPr>
                <w:sz w:val="21"/>
                <w:szCs w:val="21"/>
              </w:rPr>
              <w:t>51.8</w:t>
            </w:r>
          </w:p>
        </w:tc>
        <w:tc>
          <w:tcPr>
            <w:tcW w:w="695" w:type="dxa"/>
          </w:tcPr>
          <w:p w14:paraId="2C1517E8">
            <w:pPr>
              <w:pStyle w:val="63"/>
              <w:spacing w:line="240" w:lineRule="auto"/>
              <w:ind w:firstLine="0" w:firstLineChars="0"/>
              <w:jc w:val="center"/>
              <w:rPr>
                <w:sz w:val="21"/>
                <w:szCs w:val="21"/>
              </w:rPr>
            </w:pPr>
            <w:r>
              <w:rPr>
                <w:sz w:val="21"/>
                <w:szCs w:val="21"/>
              </w:rPr>
              <w:t>0.7</w:t>
            </w:r>
          </w:p>
        </w:tc>
        <w:tc>
          <w:tcPr>
            <w:tcW w:w="695" w:type="dxa"/>
          </w:tcPr>
          <w:p w14:paraId="4042F500">
            <w:pPr>
              <w:pStyle w:val="63"/>
              <w:spacing w:line="240" w:lineRule="auto"/>
              <w:ind w:firstLine="0" w:firstLineChars="0"/>
              <w:jc w:val="center"/>
              <w:rPr>
                <w:sz w:val="21"/>
                <w:szCs w:val="21"/>
              </w:rPr>
            </w:pPr>
            <w:r>
              <w:rPr>
                <w:sz w:val="21"/>
                <w:szCs w:val="21"/>
              </w:rPr>
              <w:t>0.23</w:t>
            </w:r>
          </w:p>
        </w:tc>
      </w:tr>
      <w:tr w14:paraId="6BC48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0456493B">
            <w:pPr>
              <w:pStyle w:val="63"/>
              <w:spacing w:line="240" w:lineRule="auto"/>
              <w:ind w:firstLine="0" w:firstLineChars="0"/>
              <w:jc w:val="center"/>
              <w:rPr>
                <w:sz w:val="21"/>
                <w:szCs w:val="21"/>
              </w:rPr>
            </w:pPr>
            <w:r>
              <w:rPr>
                <w:sz w:val="21"/>
                <w:szCs w:val="21"/>
              </w:rPr>
              <w:t>3.15</w:t>
            </w:r>
          </w:p>
        </w:tc>
        <w:tc>
          <w:tcPr>
            <w:tcW w:w="893" w:type="dxa"/>
          </w:tcPr>
          <w:p w14:paraId="7D44160D">
            <w:pPr>
              <w:pStyle w:val="63"/>
              <w:spacing w:line="240" w:lineRule="auto"/>
              <w:ind w:firstLine="0" w:firstLineChars="0"/>
              <w:jc w:val="center"/>
              <w:rPr>
                <w:sz w:val="21"/>
                <w:szCs w:val="21"/>
              </w:rPr>
            </w:pPr>
            <w:r>
              <w:rPr>
                <w:sz w:val="21"/>
                <w:szCs w:val="21"/>
              </w:rPr>
              <w:t>54.3</w:t>
            </w:r>
          </w:p>
        </w:tc>
        <w:tc>
          <w:tcPr>
            <w:tcW w:w="893" w:type="dxa"/>
          </w:tcPr>
          <w:p w14:paraId="380EE4B6">
            <w:pPr>
              <w:pStyle w:val="63"/>
              <w:spacing w:line="240" w:lineRule="auto"/>
              <w:ind w:firstLine="0" w:firstLineChars="0"/>
              <w:jc w:val="center"/>
              <w:rPr>
                <w:sz w:val="21"/>
                <w:szCs w:val="21"/>
              </w:rPr>
            </w:pPr>
            <w:r>
              <w:rPr>
                <w:sz w:val="21"/>
                <w:szCs w:val="21"/>
              </w:rPr>
              <w:t>53.4</w:t>
            </w:r>
          </w:p>
        </w:tc>
        <w:tc>
          <w:tcPr>
            <w:tcW w:w="893" w:type="dxa"/>
          </w:tcPr>
          <w:p w14:paraId="2E68FADA">
            <w:pPr>
              <w:pStyle w:val="63"/>
              <w:spacing w:line="240" w:lineRule="auto"/>
              <w:ind w:firstLine="0" w:firstLineChars="0"/>
              <w:jc w:val="center"/>
              <w:rPr>
                <w:sz w:val="21"/>
                <w:szCs w:val="21"/>
              </w:rPr>
            </w:pPr>
            <w:r>
              <w:rPr>
                <w:sz w:val="21"/>
                <w:szCs w:val="21"/>
              </w:rPr>
              <w:t>54.5</w:t>
            </w:r>
          </w:p>
        </w:tc>
        <w:tc>
          <w:tcPr>
            <w:tcW w:w="893" w:type="dxa"/>
          </w:tcPr>
          <w:p w14:paraId="0C6C43C8">
            <w:pPr>
              <w:pStyle w:val="63"/>
              <w:spacing w:line="240" w:lineRule="auto"/>
              <w:ind w:firstLine="0" w:firstLineChars="0"/>
              <w:jc w:val="center"/>
              <w:rPr>
                <w:sz w:val="21"/>
                <w:szCs w:val="21"/>
              </w:rPr>
            </w:pPr>
            <w:r>
              <w:rPr>
                <w:sz w:val="21"/>
                <w:szCs w:val="21"/>
              </w:rPr>
              <w:t>53.9</w:t>
            </w:r>
          </w:p>
        </w:tc>
        <w:tc>
          <w:tcPr>
            <w:tcW w:w="893" w:type="dxa"/>
          </w:tcPr>
          <w:p w14:paraId="3071072E">
            <w:pPr>
              <w:pStyle w:val="63"/>
              <w:spacing w:line="240" w:lineRule="auto"/>
              <w:ind w:firstLine="0" w:firstLineChars="0"/>
              <w:jc w:val="center"/>
              <w:rPr>
                <w:sz w:val="21"/>
                <w:szCs w:val="21"/>
              </w:rPr>
            </w:pPr>
            <w:r>
              <w:rPr>
                <w:sz w:val="21"/>
                <w:szCs w:val="21"/>
              </w:rPr>
              <w:t>54.1</w:t>
            </w:r>
          </w:p>
        </w:tc>
        <w:tc>
          <w:tcPr>
            <w:tcW w:w="893" w:type="dxa"/>
          </w:tcPr>
          <w:p w14:paraId="7B2D3A09">
            <w:pPr>
              <w:pStyle w:val="63"/>
              <w:spacing w:line="240" w:lineRule="auto"/>
              <w:ind w:firstLine="0" w:firstLineChars="0"/>
              <w:jc w:val="center"/>
              <w:rPr>
                <w:sz w:val="21"/>
                <w:szCs w:val="21"/>
              </w:rPr>
            </w:pPr>
            <w:r>
              <w:rPr>
                <w:sz w:val="21"/>
                <w:szCs w:val="21"/>
              </w:rPr>
              <w:t>53.7</w:t>
            </w:r>
          </w:p>
        </w:tc>
        <w:tc>
          <w:tcPr>
            <w:tcW w:w="893" w:type="dxa"/>
          </w:tcPr>
          <w:p w14:paraId="111872AB">
            <w:pPr>
              <w:pStyle w:val="63"/>
              <w:spacing w:line="240" w:lineRule="auto"/>
              <w:ind w:firstLine="0" w:firstLineChars="0"/>
              <w:jc w:val="center"/>
              <w:rPr>
                <w:sz w:val="21"/>
                <w:szCs w:val="21"/>
              </w:rPr>
            </w:pPr>
            <w:r>
              <w:rPr>
                <w:sz w:val="21"/>
                <w:szCs w:val="21"/>
              </w:rPr>
              <w:t>55.0</w:t>
            </w:r>
          </w:p>
        </w:tc>
        <w:tc>
          <w:tcPr>
            <w:tcW w:w="893" w:type="dxa"/>
          </w:tcPr>
          <w:p w14:paraId="71F3C649">
            <w:pPr>
              <w:pStyle w:val="63"/>
              <w:spacing w:line="240" w:lineRule="auto"/>
              <w:ind w:firstLine="0" w:firstLineChars="0"/>
              <w:jc w:val="center"/>
              <w:rPr>
                <w:sz w:val="21"/>
                <w:szCs w:val="21"/>
              </w:rPr>
            </w:pPr>
            <w:r>
              <w:rPr>
                <w:sz w:val="21"/>
                <w:szCs w:val="21"/>
              </w:rPr>
              <w:t>53.4</w:t>
            </w:r>
          </w:p>
        </w:tc>
        <w:tc>
          <w:tcPr>
            <w:tcW w:w="695" w:type="dxa"/>
          </w:tcPr>
          <w:p w14:paraId="300AD941">
            <w:pPr>
              <w:pStyle w:val="63"/>
              <w:spacing w:line="240" w:lineRule="auto"/>
              <w:ind w:firstLine="0" w:firstLineChars="0"/>
              <w:jc w:val="center"/>
              <w:rPr>
                <w:sz w:val="21"/>
                <w:szCs w:val="21"/>
              </w:rPr>
            </w:pPr>
            <w:r>
              <w:rPr>
                <w:sz w:val="21"/>
                <w:szCs w:val="21"/>
              </w:rPr>
              <w:t>0.6</w:t>
            </w:r>
          </w:p>
        </w:tc>
        <w:tc>
          <w:tcPr>
            <w:tcW w:w="695" w:type="dxa"/>
          </w:tcPr>
          <w:p w14:paraId="2B3D5A79">
            <w:pPr>
              <w:pStyle w:val="63"/>
              <w:spacing w:line="240" w:lineRule="auto"/>
              <w:ind w:firstLine="0" w:firstLineChars="0"/>
              <w:jc w:val="center"/>
              <w:rPr>
                <w:sz w:val="21"/>
                <w:szCs w:val="21"/>
              </w:rPr>
            </w:pPr>
            <w:r>
              <w:rPr>
                <w:sz w:val="21"/>
                <w:szCs w:val="21"/>
              </w:rPr>
              <w:t>0.19</w:t>
            </w:r>
          </w:p>
        </w:tc>
      </w:tr>
      <w:tr w14:paraId="586D0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6EA91231">
            <w:pPr>
              <w:pStyle w:val="63"/>
              <w:spacing w:line="240" w:lineRule="auto"/>
              <w:ind w:firstLine="0" w:firstLineChars="0"/>
              <w:jc w:val="center"/>
              <w:rPr>
                <w:sz w:val="21"/>
                <w:szCs w:val="21"/>
              </w:rPr>
            </w:pPr>
            <w:r>
              <w:rPr>
                <w:sz w:val="21"/>
                <w:szCs w:val="21"/>
              </w:rPr>
              <w:t>4.00</w:t>
            </w:r>
          </w:p>
        </w:tc>
        <w:tc>
          <w:tcPr>
            <w:tcW w:w="893" w:type="dxa"/>
          </w:tcPr>
          <w:p w14:paraId="672BC946">
            <w:pPr>
              <w:pStyle w:val="63"/>
              <w:spacing w:line="240" w:lineRule="auto"/>
              <w:ind w:firstLine="0" w:firstLineChars="0"/>
              <w:jc w:val="center"/>
              <w:rPr>
                <w:sz w:val="21"/>
                <w:szCs w:val="21"/>
              </w:rPr>
            </w:pPr>
            <w:r>
              <w:rPr>
                <w:sz w:val="21"/>
                <w:szCs w:val="21"/>
              </w:rPr>
              <w:t>51.9</w:t>
            </w:r>
          </w:p>
        </w:tc>
        <w:tc>
          <w:tcPr>
            <w:tcW w:w="893" w:type="dxa"/>
          </w:tcPr>
          <w:p w14:paraId="15D57CCA">
            <w:pPr>
              <w:pStyle w:val="63"/>
              <w:spacing w:line="240" w:lineRule="auto"/>
              <w:ind w:firstLine="0" w:firstLineChars="0"/>
              <w:jc w:val="center"/>
              <w:rPr>
                <w:sz w:val="21"/>
                <w:szCs w:val="21"/>
              </w:rPr>
            </w:pPr>
            <w:r>
              <w:rPr>
                <w:sz w:val="21"/>
                <w:szCs w:val="21"/>
              </w:rPr>
              <w:t>52.9</w:t>
            </w:r>
          </w:p>
        </w:tc>
        <w:tc>
          <w:tcPr>
            <w:tcW w:w="893" w:type="dxa"/>
          </w:tcPr>
          <w:p w14:paraId="3A211C9D">
            <w:pPr>
              <w:pStyle w:val="63"/>
              <w:spacing w:line="240" w:lineRule="auto"/>
              <w:ind w:firstLine="0" w:firstLineChars="0"/>
              <w:jc w:val="center"/>
              <w:rPr>
                <w:sz w:val="21"/>
                <w:szCs w:val="21"/>
              </w:rPr>
            </w:pPr>
            <w:r>
              <w:rPr>
                <w:sz w:val="21"/>
                <w:szCs w:val="21"/>
              </w:rPr>
              <w:t>52.6</w:t>
            </w:r>
          </w:p>
        </w:tc>
        <w:tc>
          <w:tcPr>
            <w:tcW w:w="893" w:type="dxa"/>
          </w:tcPr>
          <w:p w14:paraId="23537499">
            <w:pPr>
              <w:pStyle w:val="63"/>
              <w:spacing w:line="240" w:lineRule="auto"/>
              <w:ind w:firstLine="0" w:firstLineChars="0"/>
              <w:jc w:val="center"/>
              <w:rPr>
                <w:sz w:val="21"/>
                <w:szCs w:val="21"/>
              </w:rPr>
            </w:pPr>
            <w:r>
              <w:rPr>
                <w:sz w:val="21"/>
                <w:szCs w:val="21"/>
              </w:rPr>
              <w:t>51.8</w:t>
            </w:r>
          </w:p>
        </w:tc>
        <w:tc>
          <w:tcPr>
            <w:tcW w:w="893" w:type="dxa"/>
          </w:tcPr>
          <w:p w14:paraId="53ACE8F3">
            <w:pPr>
              <w:pStyle w:val="63"/>
              <w:spacing w:line="240" w:lineRule="auto"/>
              <w:ind w:firstLine="0" w:firstLineChars="0"/>
              <w:jc w:val="center"/>
              <w:rPr>
                <w:sz w:val="21"/>
                <w:szCs w:val="21"/>
              </w:rPr>
            </w:pPr>
            <w:r>
              <w:rPr>
                <w:sz w:val="21"/>
                <w:szCs w:val="21"/>
              </w:rPr>
              <w:t>52.0</w:t>
            </w:r>
          </w:p>
        </w:tc>
        <w:tc>
          <w:tcPr>
            <w:tcW w:w="893" w:type="dxa"/>
          </w:tcPr>
          <w:p w14:paraId="2B71842D">
            <w:pPr>
              <w:pStyle w:val="63"/>
              <w:spacing w:line="240" w:lineRule="auto"/>
              <w:ind w:firstLine="0" w:firstLineChars="0"/>
              <w:jc w:val="center"/>
              <w:rPr>
                <w:sz w:val="21"/>
                <w:szCs w:val="21"/>
              </w:rPr>
            </w:pPr>
            <w:r>
              <w:rPr>
                <w:sz w:val="21"/>
                <w:szCs w:val="21"/>
              </w:rPr>
              <w:t>52.9</w:t>
            </w:r>
          </w:p>
        </w:tc>
        <w:tc>
          <w:tcPr>
            <w:tcW w:w="893" w:type="dxa"/>
          </w:tcPr>
          <w:p w14:paraId="3CE87A48">
            <w:pPr>
              <w:pStyle w:val="63"/>
              <w:spacing w:line="240" w:lineRule="auto"/>
              <w:ind w:firstLine="0" w:firstLineChars="0"/>
              <w:jc w:val="center"/>
              <w:rPr>
                <w:sz w:val="21"/>
                <w:szCs w:val="21"/>
              </w:rPr>
            </w:pPr>
            <w:r>
              <w:rPr>
                <w:sz w:val="21"/>
                <w:szCs w:val="21"/>
              </w:rPr>
              <w:t>51.2</w:t>
            </w:r>
          </w:p>
        </w:tc>
        <w:tc>
          <w:tcPr>
            <w:tcW w:w="893" w:type="dxa"/>
          </w:tcPr>
          <w:p w14:paraId="3DA7DE05">
            <w:pPr>
              <w:pStyle w:val="63"/>
              <w:spacing w:line="240" w:lineRule="auto"/>
              <w:ind w:firstLine="0" w:firstLineChars="0"/>
              <w:jc w:val="center"/>
              <w:rPr>
                <w:sz w:val="21"/>
                <w:szCs w:val="21"/>
              </w:rPr>
            </w:pPr>
            <w:r>
              <w:rPr>
                <w:sz w:val="21"/>
                <w:szCs w:val="21"/>
              </w:rPr>
              <w:t>52.4</w:t>
            </w:r>
          </w:p>
        </w:tc>
        <w:tc>
          <w:tcPr>
            <w:tcW w:w="695" w:type="dxa"/>
          </w:tcPr>
          <w:p w14:paraId="6BFD32B1">
            <w:pPr>
              <w:pStyle w:val="63"/>
              <w:spacing w:line="240" w:lineRule="auto"/>
              <w:ind w:firstLine="0" w:firstLineChars="0"/>
              <w:jc w:val="center"/>
              <w:rPr>
                <w:sz w:val="21"/>
                <w:szCs w:val="21"/>
              </w:rPr>
            </w:pPr>
            <w:r>
              <w:rPr>
                <w:sz w:val="21"/>
                <w:szCs w:val="21"/>
              </w:rPr>
              <w:t>0.6</w:t>
            </w:r>
          </w:p>
        </w:tc>
        <w:tc>
          <w:tcPr>
            <w:tcW w:w="695" w:type="dxa"/>
          </w:tcPr>
          <w:p w14:paraId="6B8E9813">
            <w:pPr>
              <w:pStyle w:val="63"/>
              <w:spacing w:line="240" w:lineRule="auto"/>
              <w:ind w:firstLine="0" w:firstLineChars="0"/>
              <w:jc w:val="center"/>
              <w:rPr>
                <w:sz w:val="21"/>
                <w:szCs w:val="21"/>
              </w:rPr>
            </w:pPr>
            <w:r>
              <w:rPr>
                <w:sz w:val="21"/>
                <w:szCs w:val="21"/>
              </w:rPr>
              <w:t>0.21</w:t>
            </w:r>
          </w:p>
        </w:tc>
      </w:tr>
      <w:tr w14:paraId="40F77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68C366BF">
            <w:pPr>
              <w:pStyle w:val="63"/>
              <w:spacing w:line="240" w:lineRule="auto"/>
              <w:ind w:firstLine="0" w:firstLineChars="0"/>
              <w:jc w:val="center"/>
              <w:rPr>
                <w:sz w:val="21"/>
                <w:szCs w:val="21"/>
              </w:rPr>
            </w:pPr>
            <w:r>
              <w:rPr>
                <w:sz w:val="21"/>
                <w:szCs w:val="21"/>
              </w:rPr>
              <w:t>5.00</w:t>
            </w:r>
          </w:p>
        </w:tc>
        <w:tc>
          <w:tcPr>
            <w:tcW w:w="893" w:type="dxa"/>
          </w:tcPr>
          <w:p w14:paraId="2B499DC8">
            <w:pPr>
              <w:pStyle w:val="63"/>
              <w:spacing w:line="240" w:lineRule="auto"/>
              <w:ind w:firstLine="0" w:firstLineChars="0"/>
              <w:jc w:val="center"/>
              <w:rPr>
                <w:sz w:val="21"/>
                <w:szCs w:val="21"/>
              </w:rPr>
            </w:pPr>
            <w:r>
              <w:rPr>
                <w:sz w:val="21"/>
                <w:szCs w:val="21"/>
              </w:rPr>
              <w:t>52.4</w:t>
            </w:r>
          </w:p>
        </w:tc>
        <w:tc>
          <w:tcPr>
            <w:tcW w:w="893" w:type="dxa"/>
          </w:tcPr>
          <w:p w14:paraId="4236C6D1">
            <w:pPr>
              <w:pStyle w:val="63"/>
              <w:spacing w:line="240" w:lineRule="auto"/>
              <w:ind w:firstLine="0" w:firstLineChars="0"/>
              <w:jc w:val="center"/>
              <w:rPr>
                <w:sz w:val="21"/>
                <w:szCs w:val="21"/>
              </w:rPr>
            </w:pPr>
            <w:r>
              <w:rPr>
                <w:sz w:val="21"/>
                <w:szCs w:val="21"/>
              </w:rPr>
              <w:t>53.1</w:t>
            </w:r>
          </w:p>
        </w:tc>
        <w:tc>
          <w:tcPr>
            <w:tcW w:w="893" w:type="dxa"/>
          </w:tcPr>
          <w:p w14:paraId="4A760C81">
            <w:pPr>
              <w:pStyle w:val="63"/>
              <w:spacing w:line="240" w:lineRule="auto"/>
              <w:ind w:firstLine="0" w:firstLineChars="0"/>
              <w:jc w:val="center"/>
              <w:rPr>
                <w:sz w:val="21"/>
                <w:szCs w:val="21"/>
              </w:rPr>
            </w:pPr>
            <w:r>
              <w:rPr>
                <w:sz w:val="21"/>
                <w:szCs w:val="21"/>
              </w:rPr>
              <w:t>51.8</w:t>
            </w:r>
          </w:p>
        </w:tc>
        <w:tc>
          <w:tcPr>
            <w:tcW w:w="893" w:type="dxa"/>
          </w:tcPr>
          <w:p w14:paraId="2DCA7CC4">
            <w:pPr>
              <w:pStyle w:val="63"/>
              <w:spacing w:line="240" w:lineRule="auto"/>
              <w:ind w:firstLine="0" w:firstLineChars="0"/>
              <w:jc w:val="center"/>
              <w:rPr>
                <w:sz w:val="21"/>
                <w:szCs w:val="21"/>
              </w:rPr>
            </w:pPr>
            <w:r>
              <w:rPr>
                <w:sz w:val="21"/>
                <w:szCs w:val="21"/>
              </w:rPr>
              <w:t>51.9</w:t>
            </w:r>
          </w:p>
        </w:tc>
        <w:tc>
          <w:tcPr>
            <w:tcW w:w="893" w:type="dxa"/>
          </w:tcPr>
          <w:p w14:paraId="4C21451E">
            <w:pPr>
              <w:pStyle w:val="63"/>
              <w:spacing w:line="240" w:lineRule="auto"/>
              <w:ind w:firstLine="0" w:firstLineChars="0"/>
              <w:jc w:val="center"/>
              <w:rPr>
                <w:sz w:val="21"/>
                <w:szCs w:val="21"/>
              </w:rPr>
            </w:pPr>
            <w:r>
              <w:rPr>
                <w:sz w:val="21"/>
                <w:szCs w:val="21"/>
              </w:rPr>
              <w:t>52.3</w:t>
            </w:r>
          </w:p>
        </w:tc>
        <w:tc>
          <w:tcPr>
            <w:tcW w:w="893" w:type="dxa"/>
          </w:tcPr>
          <w:p w14:paraId="3365688A">
            <w:pPr>
              <w:pStyle w:val="63"/>
              <w:spacing w:line="240" w:lineRule="auto"/>
              <w:ind w:firstLine="0" w:firstLineChars="0"/>
              <w:jc w:val="center"/>
              <w:rPr>
                <w:sz w:val="21"/>
                <w:szCs w:val="21"/>
              </w:rPr>
            </w:pPr>
            <w:r>
              <w:rPr>
                <w:sz w:val="21"/>
                <w:szCs w:val="21"/>
              </w:rPr>
              <w:t>51.8</w:t>
            </w:r>
          </w:p>
        </w:tc>
        <w:tc>
          <w:tcPr>
            <w:tcW w:w="893" w:type="dxa"/>
          </w:tcPr>
          <w:p w14:paraId="54684B66">
            <w:pPr>
              <w:pStyle w:val="63"/>
              <w:spacing w:line="240" w:lineRule="auto"/>
              <w:ind w:firstLine="0" w:firstLineChars="0"/>
              <w:jc w:val="center"/>
              <w:rPr>
                <w:sz w:val="21"/>
                <w:szCs w:val="21"/>
              </w:rPr>
            </w:pPr>
            <w:r>
              <w:rPr>
                <w:sz w:val="21"/>
                <w:szCs w:val="21"/>
              </w:rPr>
              <w:t>51.9</w:t>
            </w:r>
          </w:p>
        </w:tc>
        <w:tc>
          <w:tcPr>
            <w:tcW w:w="893" w:type="dxa"/>
          </w:tcPr>
          <w:p w14:paraId="40217D05">
            <w:pPr>
              <w:pStyle w:val="63"/>
              <w:spacing w:line="240" w:lineRule="auto"/>
              <w:ind w:firstLine="0" w:firstLineChars="0"/>
              <w:jc w:val="center"/>
              <w:rPr>
                <w:sz w:val="21"/>
                <w:szCs w:val="21"/>
              </w:rPr>
            </w:pPr>
            <w:r>
              <w:rPr>
                <w:sz w:val="21"/>
                <w:szCs w:val="21"/>
              </w:rPr>
              <w:t>53.1</w:t>
            </w:r>
          </w:p>
        </w:tc>
        <w:tc>
          <w:tcPr>
            <w:tcW w:w="695" w:type="dxa"/>
          </w:tcPr>
          <w:p w14:paraId="5FC5F10C">
            <w:pPr>
              <w:pStyle w:val="63"/>
              <w:spacing w:line="240" w:lineRule="auto"/>
              <w:ind w:firstLine="0" w:firstLineChars="0"/>
              <w:jc w:val="center"/>
              <w:rPr>
                <w:sz w:val="21"/>
                <w:szCs w:val="21"/>
              </w:rPr>
            </w:pPr>
            <w:r>
              <w:rPr>
                <w:sz w:val="21"/>
                <w:szCs w:val="21"/>
              </w:rPr>
              <w:t>0.6</w:t>
            </w:r>
          </w:p>
        </w:tc>
        <w:tc>
          <w:tcPr>
            <w:tcW w:w="695" w:type="dxa"/>
          </w:tcPr>
          <w:p w14:paraId="47BD3718">
            <w:pPr>
              <w:pStyle w:val="63"/>
              <w:spacing w:line="240" w:lineRule="auto"/>
              <w:ind w:firstLine="0" w:firstLineChars="0"/>
              <w:jc w:val="center"/>
              <w:rPr>
                <w:sz w:val="21"/>
                <w:szCs w:val="21"/>
              </w:rPr>
            </w:pPr>
            <w:r>
              <w:rPr>
                <w:sz w:val="21"/>
                <w:szCs w:val="21"/>
              </w:rPr>
              <w:t>0.20</w:t>
            </w:r>
          </w:p>
        </w:tc>
      </w:tr>
      <w:tr w14:paraId="6611F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7088E93B">
            <w:pPr>
              <w:pStyle w:val="63"/>
              <w:spacing w:line="240" w:lineRule="auto"/>
              <w:ind w:firstLine="0" w:firstLineChars="0"/>
              <w:jc w:val="center"/>
              <w:rPr>
                <w:sz w:val="21"/>
                <w:szCs w:val="21"/>
              </w:rPr>
            </w:pPr>
            <w:r>
              <w:rPr>
                <w:sz w:val="21"/>
                <w:szCs w:val="21"/>
              </w:rPr>
              <w:t>6.30</w:t>
            </w:r>
          </w:p>
        </w:tc>
        <w:tc>
          <w:tcPr>
            <w:tcW w:w="893" w:type="dxa"/>
          </w:tcPr>
          <w:p w14:paraId="4F685E24">
            <w:pPr>
              <w:pStyle w:val="63"/>
              <w:spacing w:line="240" w:lineRule="auto"/>
              <w:ind w:firstLine="0" w:firstLineChars="0"/>
              <w:jc w:val="center"/>
              <w:rPr>
                <w:sz w:val="21"/>
                <w:szCs w:val="21"/>
              </w:rPr>
            </w:pPr>
            <w:r>
              <w:rPr>
                <w:sz w:val="21"/>
                <w:szCs w:val="21"/>
              </w:rPr>
              <w:t>53.8</w:t>
            </w:r>
          </w:p>
        </w:tc>
        <w:tc>
          <w:tcPr>
            <w:tcW w:w="893" w:type="dxa"/>
          </w:tcPr>
          <w:p w14:paraId="71F05F85">
            <w:pPr>
              <w:pStyle w:val="63"/>
              <w:spacing w:line="240" w:lineRule="auto"/>
              <w:ind w:firstLine="0" w:firstLineChars="0"/>
              <w:jc w:val="center"/>
              <w:rPr>
                <w:sz w:val="21"/>
                <w:szCs w:val="21"/>
              </w:rPr>
            </w:pPr>
            <w:r>
              <w:rPr>
                <w:sz w:val="21"/>
                <w:szCs w:val="21"/>
              </w:rPr>
              <w:t>54.8</w:t>
            </w:r>
          </w:p>
        </w:tc>
        <w:tc>
          <w:tcPr>
            <w:tcW w:w="893" w:type="dxa"/>
          </w:tcPr>
          <w:p w14:paraId="2D8D665B">
            <w:pPr>
              <w:pStyle w:val="63"/>
              <w:spacing w:line="240" w:lineRule="auto"/>
              <w:ind w:firstLine="0" w:firstLineChars="0"/>
              <w:jc w:val="center"/>
              <w:rPr>
                <w:sz w:val="21"/>
                <w:szCs w:val="21"/>
              </w:rPr>
            </w:pPr>
            <w:r>
              <w:rPr>
                <w:sz w:val="21"/>
                <w:szCs w:val="21"/>
              </w:rPr>
              <w:t>54.0</w:t>
            </w:r>
          </w:p>
        </w:tc>
        <w:tc>
          <w:tcPr>
            <w:tcW w:w="893" w:type="dxa"/>
          </w:tcPr>
          <w:p w14:paraId="249C8069">
            <w:pPr>
              <w:pStyle w:val="63"/>
              <w:spacing w:line="240" w:lineRule="auto"/>
              <w:ind w:firstLine="0" w:firstLineChars="0"/>
              <w:jc w:val="center"/>
              <w:rPr>
                <w:sz w:val="21"/>
                <w:szCs w:val="21"/>
              </w:rPr>
            </w:pPr>
            <w:r>
              <w:rPr>
                <w:sz w:val="21"/>
                <w:szCs w:val="21"/>
              </w:rPr>
              <w:t>53.4</w:t>
            </w:r>
          </w:p>
        </w:tc>
        <w:tc>
          <w:tcPr>
            <w:tcW w:w="893" w:type="dxa"/>
          </w:tcPr>
          <w:p w14:paraId="22F6FD56">
            <w:pPr>
              <w:pStyle w:val="63"/>
              <w:spacing w:line="240" w:lineRule="auto"/>
              <w:ind w:firstLine="0" w:firstLineChars="0"/>
              <w:jc w:val="center"/>
              <w:rPr>
                <w:sz w:val="21"/>
                <w:szCs w:val="21"/>
              </w:rPr>
            </w:pPr>
            <w:r>
              <w:rPr>
                <w:sz w:val="21"/>
                <w:szCs w:val="21"/>
              </w:rPr>
              <w:t>53.4</w:t>
            </w:r>
          </w:p>
        </w:tc>
        <w:tc>
          <w:tcPr>
            <w:tcW w:w="893" w:type="dxa"/>
          </w:tcPr>
          <w:p w14:paraId="786180C4">
            <w:pPr>
              <w:pStyle w:val="63"/>
              <w:spacing w:line="240" w:lineRule="auto"/>
              <w:ind w:firstLine="0" w:firstLineChars="0"/>
              <w:jc w:val="center"/>
              <w:rPr>
                <w:sz w:val="21"/>
                <w:szCs w:val="21"/>
              </w:rPr>
            </w:pPr>
            <w:r>
              <w:rPr>
                <w:sz w:val="21"/>
                <w:szCs w:val="21"/>
              </w:rPr>
              <w:t>53.3</w:t>
            </w:r>
          </w:p>
        </w:tc>
        <w:tc>
          <w:tcPr>
            <w:tcW w:w="893" w:type="dxa"/>
          </w:tcPr>
          <w:p w14:paraId="4F95C5B4">
            <w:pPr>
              <w:pStyle w:val="63"/>
              <w:spacing w:line="240" w:lineRule="auto"/>
              <w:ind w:firstLine="0" w:firstLineChars="0"/>
              <w:jc w:val="center"/>
              <w:rPr>
                <w:sz w:val="21"/>
                <w:szCs w:val="21"/>
              </w:rPr>
            </w:pPr>
            <w:r>
              <w:rPr>
                <w:sz w:val="21"/>
                <w:szCs w:val="21"/>
              </w:rPr>
              <w:t>54.5</w:t>
            </w:r>
          </w:p>
        </w:tc>
        <w:tc>
          <w:tcPr>
            <w:tcW w:w="893" w:type="dxa"/>
          </w:tcPr>
          <w:p w14:paraId="3FCE76D0">
            <w:pPr>
              <w:pStyle w:val="63"/>
              <w:spacing w:line="240" w:lineRule="auto"/>
              <w:ind w:firstLine="0" w:firstLineChars="0"/>
              <w:jc w:val="center"/>
              <w:rPr>
                <w:sz w:val="21"/>
                <w:szCs w:val="21"/>
              </w:rPr>
            </w:pPr>
            <w:r>
              <w:rPr>
                <w:sz w:val="21"/>
                <w:szCs w:val="21"/>
              </w:rPr>
              <w:t>53.9</w:t>
            </w:r>
          </w:p>
        </w:tc>
        <w:tc>
          <w:tcPr>
            <w:tcW w:w="695" w:type="dxa"/>
          </w:tcPr>
          <w:p w14:paraId="6EB0DD08">
            <w:pPr>
              <w:pStyle w:val="63"/>
              <w:spacing w:line="240" w:lineRule="auto"/>
              <w:ind w:firstLine="0" w:firstLineChars="0"/>
              <w:jc w:val="center"/>
              <w:rPr>
                <w:sz w:val="21"/>
                <w:szCs w:val="21"/>
              </w:rPr>
            </w:pPr>
            <w:r>
              <w:rPr>
                <w:sz w:val="21"/>
                <w:szCs w:val="21"/>
              </w:rPr>
              <w:t>0.5</w:t>
            </w:r>
          </w:p>
        </w:tc>
        <w:tc>
          <w:tcPr>
            <w:tcW w:w="695" w:type="dxa"/>
          </w:tcPr>
          <w:p w14:paraId="121C6316">
            <w:pPr>
              <w:pStyle w:val="63"/>
              <w:spacing w:line="240" w:lineRule="auto"/>
              <w:ind w:firstLine="0" w:firstLineChars="0"/>
              <w:jc w:val="center"/>
              <w:rPr>
                <w:sz w:val="21"/>
                <w:szCs w:val="21"/>
              </w:rPr>
            </w:pPr>
            <w:r>
              <w:rPr>
                <w:sz w:val="21"/>
                <w:szCs w:val="21"/>
              </w:rPr>
              <w:t>0.19</w:t>
            </w:r>
          </w:p>
        </w:tc>
      </w:tr>
      <w:tr w14:paraId="04C6E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5ADB633F">
            <w:pPr>
              <w:pStyle w:val="63"/>
              <w:spacing w:line="240" w:lineRule="auto"/>
              <w:ind w:firstLine="0" w:firstLineChars="0"/>
              <w:jc w:val="center"/>
              <w:rPr>
                <w:sz w:val="21"/>
                <w:szCs w:val="21"/>
              </w:rPr>
            </w:pPr>
            <w:r>
              <w:rPr>
                <w:sz w:val="21"/>
                <w:szCs w:val="21"/>
              </w:rPr>
              <w:t>8.00</w:t>
            </w:r>
          </w:p>
        </w:tc>
        <w:tc>
          <w:tcPr>
            <w:tcW w:w="893" w:type="dxa"/>
          </w:tcPr>
          <w:p w14:paraId="2D7B4E51">
            <w:pPr>
              <w:pStyle w:val="63"/>
              <w:spacing w:line="240" w:lineRule="auto"/>
              <w:ind w:firstLine="0" w:firstLineChars="0"/>
              <w:jc w:val="center"/>
              <w:rPr>
                <w:sz w:val="21"/>
                <w:szCs w:val="21"/>
              </w:rPr>
            </w:pPr>
            <w:r>
              <w:rPr>
                <w:sz w:val="21"/>
                <w:szCs w:val="21"/>
              </w:rPr>
              <w:t>52.8</w:t>
            </w:r>
          </w:p>
        </w:tc>
        <w:tc>
          <w:tcPr>
            <w:tcW w:w="893" w:type="dxa"/>
          </w:tcPr>
          <w:p w14:paraId="6E783883">
            <w:pPr>
              <w:pStyle w:val="63"/>
              <w:spacing w:line="240" w:lineRule="auto"/>
              <w:ind w:firstLine="0" w:firstLineChars="0"/>
              <w:jc w:val="center"/>
              <w:rPr>
                <w:sz w:val="21"/>
                <w:szCs w:val="21"/>
              </w:rPr>
            </w:pPr>
            <w:r>
              <w:rPr>
                <w:sz w:val="21"/>
                <w:szCs w:val="21"/>
              </w:rPr>
              <w:t>51.9</w:t>
            </w:r>
          </w:p>
        </w:tc>
        <w:tc>
          <w:tcPr>
            <w:tcW w:w="893" w:type="dxa"/>
          </w:tcPr>
          <w:p w14:paraId="151CF78C">
            <w:pPr>
              <w:pStyle w:val="63"/>
              <w:spacing w:line="240" w:lineRule="auto"/>
              <w:ind w:firstLine="0" w:firstLineChars="0"/>
              <w:jc w:val="center"/>
              <w:rPr>
                <w:sz w:val="21"/>
                <w:szCs w:val="21"/>
              </w:rPr>
            </w:pPr>
            <w:r>
              <w:rPr>
                <w:sz w:val="21"/>
                <w:szCs w:val="21"/>
              </w:rPr>
              <w:t>53.8</w:t>
            </w:r>
          </w:p>
        </w:tc>
        <w:tc>
          <w:tcPr>
            <w:tcW w:w="893" w:type="dxa"/>
          </w:tcPr>
          <w:p w14:paraId="13517660">
            <w:pPr>
              <w:pStyle w:val="63"/>
              <w:spacing w:line="240" w:lineRule="auto"/>
              <w:ind w:firstLine="0" w:firstLineChars="0"/>
              <w:jc w:val="center"/>
              <w:rPr>
                <w:sz w:val="21"/>
                <w:szCs w:val="21"/>
              </w:rPr>
            </w:pPr>
            <w:r>
              <w:rPr>
                <w:sz w:val="21"/>
                <w:szCs w:val="21"/>
              </w:rPr>
              <w:t>53.7</w:t>
            </w:r>
          </w:p>
        </w:tc>
        <w:tc>
          <w:tcPr>
            <w:tcW w:w="893" w:type="dxa"/>
          </w:tcPr>
          <w:p w14:paraId="3737036A">
            <w:pPr>
              <w:pStyle w:val="63"/>
              <w:spacing w:line="240" w:lineRule="auto"/>
              <w:ind w:firstLine="0" w:firstLineChars="0"/>
              <w:jc w:val="center"/>
              <w:rPr>
                <w:sz w:val="21"/>
                <w:szCs w:val="21"/>
              </w:rPr>
            </w:pPr>
            <w:r>
              <w:rPr>
                <w:sz w:val="21"/>
                <w:szCs w:val="21"/>
              </w:rPr>
              <w:t>53.8</w:t>
            </w:r>
          </w:p>
        </w:tc>
        <w:tc>
          <w:tcPr>
            <w:tcW w:w="893" w:type="dxa"/>
          </w:tcPr>
          <w:p w14:paraId="548AB85F">
            <w:pPr>
              <w:pStyle w:val="63"/>
              <w:spacing w:line="240" w:lineRule="auto"/>
              <w:ind w:firstLine="0" w:firstLineChars="0"/>
              <w:jc w:val="center"/>
              <w:rPr>
                <w:sz w:val="21"/>
                <w:szCs w:val="21"/>
              </w:rPr>
            </w:pPr>
            <w:r>
              <w:rPr>
                <w:sz w:val="21"/>
                <w:szCs w:val="21"/>
              </w:rPr>
              <w:t>53.2</w:t>
            </w:r>
          </w:p>
        </w:tc>
        <w:tc>
          <w:tcPr>
            <w:tcW w:w="893" w:type="dxa"/>
          </w:tcPr>
          <w:p w14:paraId="68CFFD8F">
            <w:pPr>
              <w:pStyle w:val="63"/>
              <w:spacing w:line="240" w:lineRule="auto"/>
              <w:ind w:firstLine="0" w:firstLineChars="0"/>
              <w:jc w:val="center"/>
              <w:rPr>
                <w:sz w:val="21"/>
                <w:szCs w:val="21"/>
              </w:rPr>
            </w:pPr>
            <w:r>
              <w:rPr>
                <w:sz w:val="21"/>
                <w:szCs w:val="21"/>
              </w:rPr>
              <w:t>52.7</w:t>
            </w:r>
          </w:p>
        </w:tc>
        <w:tc>
          <w:tcPr>
            <w:tcW w:w="893" w:type="dxa"/>
          </w:tcPr>
          <w:p w14:paraId="0E3F4A1E">
            <w:pPr>
              <w:pStyle w:val="63"/>
              <w:spacing w:line="240" w:lineRule="auto"/>
              <w:ind w:firstLine="0" w:firstLineChars="0"/>
              <w:jc w:val="center"/>
              <w:rPr>
                <w:sz w:val="21"/>
                <w:szCs w:val="21"/>
              </w:rPr>
            </w:pPr>
            <w:r>
              <w:rPr>
                <w:sz w:val="21"/>
                <w:szCs w:val="21"/>
              </w:rPr>
              <w:t>52.5</w:t>
            </w:r>
          </w:p>
        </w:tc>
        <w:tc>
          <w:tcPr>
            <w:tcW w:w="695" w:type="dxa"/>
          </w:tcPr>
          <w:p w14:paraId="2D0B1B58">
            <w:pPr>
              <w:pStyle w:val="63"/>
              <w:spacing w:line="240" w:lineRule="auto"/>
              <w:ind w:firstLine="0" w:firstLineChars="0"/>
              <w:jc w:val="center"/>
              <w:rPr>
                <w:sz w:val="21"/>
                <w:szCs w:val="21"/>
              </w:rPr>
            </w:pPr>
            <w:r>
              <w:rPr>
                <w:sz w:val="21"/>
                <w:szCs w:val="21"/>
              </w:rPr>
              <w:t>0.7</w:t>
            </w:r>
          </w:p>
        </w:tc>
        <w:tc>
          <w:tcPr>
            <w:tcW w:w="695" w:type="dxa"/>
          </w:tcPr>
          <w:p w14:paraId="1E24CC86">
            <w:pPr>
              <w:pStyle w:val="63"/>
              <w:spacing w:line="240" w:lineRule="auto"/>
              <w:ind w:firstLine="0" w:firstLineChars="0"/>
              <w:jc w:val="center"/>
              <w:rPr>
                <w:sz w:val="21"/>
                <w:szCs w:val="21"/>
              </w:rPr>
            </w:pPr>
            <w:r>
              <w:rPr>
                <w:sz w:val="21"/>
                <w:szCs w:val="21"/>
              </w:rPr>
              <w:t>0.24</w:t>
            </w:r>
          </w:p>
        </w:tc>
      </w:tr>
      <w:tr w14:paraId="76BB6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5D28C455">
            <w:pPr>
              <w:pStyle w:val="63"/>
              <w:spacing w:line="240" w:lineRule="auto"/>
              <w:ind w:firstLine="0" w:firstLineChars="0"/>
              <w:jc w:val="center"/>
              <w:rPr>
                <w:sz w:val="21"/>
                <w:szCs w:val="21"/>
              </w:rPr>
            </w:pPr>
            <w:r>
              <w:rPr>
                <w:sz w:val="21"/>
                <w:szCs w:val="21"/>
              </w:rPr>
              <w:t>10.0</w:t>
            </w:r>
          </w:p>
        </w:tc>
        <w:tc>
          <w:tcPr>
            <w:tcW w:w="893" w:type="dxa"/>
          </w:tcPr>
          <w:p w14:paraId="0000CE65">
            <w:pPr>
              <w:pStyle w:val="63"/>
              <w:spacing w:line="240" w:lineRule="auto"/>
              <w:ind w:firstLine="0" w:firstLineChars="0"/>
              <w:jc w:val="center"/>
              <w:rPr>
                <w:sz w:val="21"/>
                <w:szCs w:val="21"/>
              </w:rPr>
            </w:pPr>
            <w:r>
              <w:rPr>
                <w:sz w:val="21"/>
                <w:szCs w:val="21"/>
              </w:rPr>
              <w:t>51.3</w:t>
            </w:r>
          </w:p>
        </w:tc>
        <w:tc>
          <w:tcPr>
            <w:tcW w:w="893" w:type="dxa"/>
          </w:tcPr>
          <w:p w14:paraId="39FAA02E">
            <w:pPr>
              <w:pStyle w:val="63"/>
              <w:spacing w:line="240" w:lineRule="auto"/>
              <w:ind w:firstLine="0" w:firstLineChars="0"/>
              <w:jc w:val="center"/>
              <w:rPr>
                <w:sz w:val="21"/>
                <w:szCs w:val="21"/>
              </w:rPr>
            </w:pPr>
            <w:r>
              <w:rPr>
                <w:sz w:val="21"/>
                <w:szCs w:val="21"/>
              </w:rPr>
              <w:t>51.6</w:t>
            </w:r>
          </w:p>
        </w:tc>
        <w:tc>
          <w:tcPr>
            <w:tcW w:w="893" w:type="dxa"/>
          </w:tcPr>
          <w:p w14:paraId="5EDFD3FC">
            <w:pPr>
              <w:pStyle w:val="63"/>
              <w:spacing w:line="240" w:lineRule="auto"/>
              <w:ind w:firstLine="0" w:firstLineChars="0"/>
              <w:jc w:val="center"/>
              <w:rPr>
                <w:sz w:val="21"/>
                <w:szCs w:val="21"/>
              </w:rPr>
            </w:pPr>
            <w:r>
              <w:rPr>
                <w:sz w:val="21"/>
                <w:szCs w:val="21"/>
              </w:rPr>
              <w:t>51.9</w:t>
            </w:r>
          </w:p>
        </w:tc>
        <w:tc>
          <w:tcPr>
            <w:tcW w:w="893" w:type="dxa"/>
          </w:tcPr>
          <w:p w14:paraId="4BD458EA">
            <w:pPr>
              <w:pStyle w:val="63"/>
              <w:spacing w:line="240" w:lineRule="auto"/>
              <w:ind w:firstLine="0" w:firstLineChars="0"/>
              <w:jc w:val="center"/>
              <w:rPr>
                <w:sz w:val="21"/>
                <w:szCs w:val="21"/>
              </w:rPr>
            </w:pPr>
            <w:r>
              <w:rPr>
                <w:sz w:val="21"/>
                <w:szCs w:val="21"/>
              </w:rPr>
              <w:t>51.7</w:t>
            </w:r>
          </w:p>
        </w:tc>
        <w:tc>
          <w:tcPr>
            <w:tcW w:w="893" w:type="dxa"/>
          </w:tcPr>
          <w:p w14:paraId="2C63F834">
            <w:pPr>
              <w:pStyle w:val="63"/>
              <w:spacing w:line="240" w:lineRule="auto"/>
              <w:ind w:firstLine="0" w:firstLineChars="0"/>
              <w:jc w:val="center"/>
              <w:rPr>
                <w:sz w:val="21"/>
                <w:szCs w:val="21"/>
              </w:rPr>
            </w:pPr>
            <w:r>
              <w:rPr>
                <w:sz w:val="21"/>
                <w:szCs w:val="21"/>
              </w:rPr>
              <w:t>51.7</w:t>
            </w:r>
          </w:p>
        </w:tc>
        <w:tc>
          <w:tcPr>
            <w:tcW w:w="893" w:type="dxa"/>
          </w:tcPr>
          <w:p w14:paraId="1235ABA6">
            <w:pPr>
              <w:pStyle w:val="63"/>
              <w:spacing w:line="240" w:lineRule="auto"/>
              <w:ind w:firstLine="0" w:firstLineChars="0"/>
              <w:jc w:val="center"/>
              <w:rPr>
                <w:sz w:val="21"/>
                <w:szCs w:val="21"/>
              </w:rPr>
            </w:pPr>
            <w:r>
              <w:rPr>
                <w:sz w:val="21"/>
                <w:szCs w:val="21"/>
              </w:rPr>
              <w:t>51.7</w:t>
            </w:r>
          </w:p>
        </w:tc>
        <w:tc>
          <w:tcPr>
            <w:tcW w:w="893" w:type="dxa"/>
          </w:tcPr>
          <w:p w14:paraId="3006C118">
            <w:pPr>
              <w:pStyle w:val="63"/>
              <w:spacing w:line="240" w:lineRule="auto"/>
              <w:ind w:firstLine="0" w:firstLineChars="0"/>
              <w:jc w:val="center"/>
              <w:rPr>
                <w:sz w:val="21"/>
                <w:szCs w:val="21"/>
              </w:rPr>
            </w:pPr>
            <w:r>
              <w:rPr>
                <w:sz w:val="21"/>
                <w:szCs w:val="21"/>
              </w:rPr>
              <w:t>50.7</w:t>
            </w:r>
          </w:p>
        </w:tc>
        <w:tc>
          <w:tcPr>
            <w:tcW w:w="893" w:type="dxa"/>
          </w:tcPr>
          <w:p w14:paraId="0E2A7BA1">
            <w:pPr>
              <w:pStyle w:val="63"/>
              <w:spacing w:line="240" w:lineRule="auto"/>
              <w:ind w:firstLine="0" w:firstLineChars="0"/>
              <w:jc w:val="center"/>
              <w:rPr>
                <w:sz w:val="21"/>
                <w:szCs w:val="21"/>
              </w:rPr>
            </w:pPr>
            <w:r>
              <w:rPr>
                <w:sz w:val="21"/>
                <w:szCs w:val="21"/>
              </w:rPr>
              <w:t>52.0</w:t>
            </w:r>
          </w:p>
        </w:tc>
        <w:tc>
          <w:tcPr>
            <w:tcW w:w="695" w:type="dxa"/>
          </w:tcPr>
          <w:p w14:paraId="0ED59506">
            <w:pPr>
              <w:pStyle w:val="63"/>
              <w:spacing w:line="240" w:lineRule="auto"/>
              <w:ind w:firstLine="0" w:firstLineChars="0"/>
              <w:jc w:val="center"/>
              <w:rPr>
                <w:sz w:val="21"/>
                <w:szCs w:val="21"/>
              </w:rPr>
            </w:pPr>
            <w:r>
              <w:rPr>
                <w:sz w:val="21"/>
                <w:szCs w:val="21"/>
              </w:rPr>
              <w:t>0.4</w:t>
            </w:r>
          </w:p>
        </w:tc>
        <w:tc>
          <w:tcPr>
            <w:tcW w:w="695" w:type="dxa"/>
          </w:tcPr>
          <w:p w14:paraId="32C2D03C">
            <w:pPr>
              <w:pStyle w:val="63"/>
              <w:spacing w:line="240" w:lineRule="auto"/>
              <w:ind w:firstLine="0" w:firstLineChars="0"/>
              <w:jc w:val="center"/>
              <w:rPr>
                <w:sz w:val="21"/>
                <w:szCs w:val="21"/>
              </w:rPr>
            </w:pPr>
            <w:r>
              <w:rPr>
                <w:sz w:val="21"/>
                <w:szCs w:val="21"/>
              </w:rPr>
              <w:t>0.15</w:t>
            </w:r>
          </w:p>
        </w:tc>
      </w:tr>
      <w:tr w14:paraId="055A6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0F16434B">
            <w:pPr>
              <w:pStyle w:val="63"/>
              <w:spacing w:line="240" w:lineRule="auto"/>
              <w:ind w:firstLine="0" w:firstLineChars="0"/>
              <w:jc w:val="center"/>
              <w:rPr>
                <w:sz w:val="21"/>
                <w:szCs w:val="21"/>
              </w:rPr>
            </w:pPr>
            <w:r>
              <w:rPr>
                <w:sz w:val="21"/>
                <w:szCs w:val="21"/>
              </w:rPr>
              <w:t>12.5</w:t>
            </w:r>
          </w:p>
        </w:tc>
        <w:tc>
          <w:tcPr>
            <w:tcW w:w="893" w:type="dxa"/>
          </w:tcPr>
          <w:p w14:paraId="64205B5A">
            <w:pPr>
              <w:pStyle w:val="63"/>
              <w:spacing w:line="240" w:lineRule="auto"/>
              <w:ind w:firstLine="0" w:firstLineChars="0"/>
              <w:jc w:val="center"/>
              <w:rPr>
                <w:sz w:val="21"/>
                <w:szCs w:val="21"/>
              </w:rPr>
            </w:pPr>
            <w:r>
              <w:rPr>
                <w:sz w:val="21"/>
                <w:szCs w:val="21"/>
              </w:rPr>
              <w:t>54.1</w:t>
            </w:r>
          </w:p>
        </w:tc>
        <w:tc>
          <w:tcPr>
            <w:tcW w:w="893" w:type="dxa"/>
          </w:tcPr>
          <w:p w14:paraId="485D73FF">
            <w:pPr>
              <w:pStyle w:val="63"/>
              <w:spacing w:line="240" w:lineRule="auto"/>
              <w:ind w:firstLine="0" w:firstLineChars="0"/>
              <w:jc w:val="center"/>
              <w:rPr>
                <w:sz w:val="21"/>
                <w:szCs w:val="21"/>
              </w:rPr>
            </w:pPr>
            <w:r>
              <w:rPr>
                <w:sz w:val="21"/>
                <w:szCs w:val="21"/>
              </w:rPr>
              <w:t>54.6</w:t>
            </w:r>
          </w:p>
        </w:tc>
        <w:tc>
          <w:tcPr>
            <w:tcW w:w="893" w:type="dxa"/>
          </w:tcPr>
          <w:p w14:paraId="4437D17B">
            <w:pPr>
              <w:pStyle w:val="63"/>
              <w:spacing w:line="240" w:lineRule="auto"/>
              <w:ind w:firstLine="0" w:firstLineChars="0"/>
              <w:jc w:val="center"/>
              <w:rPr>
                <w:sz w:val="21"/>
                <w:szCs w:val="21"/>
              </w:rPr>
            </w:pPr>
            <w:r>
              <w:rPr>
                <w:sz w:val="21"/>
                <w:szCs w:val="21"/>
              </w:rPr>
              <w:t>53.8</w:t>
            </w:r>
          </w:p>
        </w:tc>
        <w:tc>
          <w:tcPr>
            <w:tcW w:w="893" w:type="dxa"/>
          </w:tcPr>
          <w:p w14:paraId="2C6C3F57">
            <w:pPr>
              <w:pStyle w:val="63"/>
              <w:spacing w:line="240" w:lineRule="auto"/>
              <w:ind w:firstLine="0" w:firstLineChars="0"/>
              <w:jc w:val="center"/>
              <w:rPr>
                <w:sz w:val="21"/>
                <w:szCs w:val="21"/>
              </w:rPr>
            </w:pPr>
            <w:r>
              <w:rPr>
                <w:sz w:val="21"/>
                <w:szCs w:val="21"/>
              </w:rPr>
              <w:t>53.8</w:t>
            </w:r>
          </w:p>
        </w:tc>
        <w:tc>
          <w:tcPr>
            <w:tcW w:w="893" w:type="dxa"/>
          </w:tcPr>
          <w:p w14:paraId="4FC6B669">
            <w:pPr>
              <w:pStyle w:val="63"/>
              <w:spacing w:line="240" w:lineRule="auto"/>
              <w:ind w:firstLine="0" w:firstLineChars="0"/>
              <w:jc w:val="center"/>
              <w:rPr>
                <w:sz w:val="21"/>
                <w:szCs w:val="21"/>
              </w:rPr>
            </w:pPr>
            <w:r>
              <w:rPr>
                <w:sz w:val="21"/>
                <w:szCs w:val="21"/>
              </w:rPr>
              <w:t>53.6</w:t>
            </w:r>
          </w:p>
        </w:tc>
        <w:tc>
          <w:tcPr>
            <w:tcW w:w="893" w:type="dxa"/>
          </w:tcPr>
          <w:p w14:paraId="1550B0C4">
            <w:pPr>
              <w:pStyle w:val="63"/>
              <w:spacing w:line="240" w:lineRule="auto"/>
              <w:ind w:firstLine="0" w:firstLineChars="0"/>
              <w:jc w:val="center"/>
              <w:rPr>
                <w:sz w:val="21"/>
                <w:szCs w:val="21"/>
              </w:rPr>
            </w:pPr>
            <w:r>
              <w:rPr>
                <w:sz w:val="21"/>
                <w:szCs w:val="21"/>
              </w:rPr>
              <w:t>54.8</w:t>
            </w:r>
          </w:p>
        </w:tc>
        <w:tc>
          <w:tcPr>
            <w:tcW w:w="893" w:type="dxa"/>
          </w:tcPr>
          <w:p w14:paraId="539A01C7">
            <w:pPr>
              <w:pStyle w:val="63"/>
              <w:spacing w:line="240" w:lineRule="auto"/>
              <w:ind w:firstLine="0" w:firstLineChars="0"/>
              <w:jc w:val="center"/>
              <w:rPr>
                <w:sz w:val="21"/>
                <w:szCs w:val="21"/>
              </w:rPr>
            </w:pPr>
            <w:r>
              <w:rPr>
                <w:sz w:val="21"/>
                <w:szCs w:val="21"/>
              </w:rPr>
              <w:t>54.8</w:t>
            </w:r>
          </w:p>
        </w:tc>
        <w:tc>
          <w:tcPr>
            <w:tcW w:w="893" w:type="dxa"/>
          </w:tcPr>
          <w:p w14:paraId="5643206F">
            <w:pPr>
              <w:pStyle w:val="63"/>
              <w:spacing w:line="240" w:lineRule="auto"/>
              <w:ind w:firstLine="0" w:firstLineChars="0"/>
              <w:jc w:val="center"/>
              <w:rPr>
                <w:sz w:val="21"/>
                <w:szCs w:val="21"/>
              </w:rPr>
            </w:pPr>
            <w:r>
              <w:rPr>
                <w:sz w:val="21"/>
                <w:szCs w:val="21"/>
              </w:rPr>
              <w:t>55.1</w:t>
            </w:r>
          </w:p>
        </w:tc>
        <w:tc>
          <w:tcPr>
            <w:tcW w:w="695" w:type="dxa"/>
          </w:tcPr>
          <w:p w14:paraId="684026CD">
            <w:pPr>
              <w:pStyle w:val="63"/>
              <w:spacing w:line="240" w:lineRule="auto"/>
              <w:ind w:firstLine="0" w:firstLineChars="0"/>
              <w:jc w:val="center"/>
              <w:rPr>
                <w:sz w:val="21"/>
                <w:szCs w:val="21"/>
              </w:rPr>
            </w:pPr>
            <w:r>
              <w:rPr>
                <w:sz w:val="21"/>
                <w:szCs w:val="21"/>
              </w:rPr>
              <w:t>0.6</w:t>
            </w:r>
          </w:p>
        </w:tc>
        <w:tc>
          <w:tcPr>
            <w:tcW w:w="695" w:type="dxa"/>
          </w:tcPr>
          <w:p w14:paraId="001D7692">
            <w:pPr>
              <w:pStyle w:val="63"/>
              <w:spacing w:line="240" w:lineRule="auto"/>
              <w:ind w:firstLine="0" w:firstLineChars="0"/>
              <w:jc w:val="center"/>
              <w:rPr>
                <w:sz w:val="21"/>
                <w:szCs w:val="21"/>
              </w:rPr>
            </w:pPr>
            <w:r>
              <w:rPr>
                <w:sz w:val="21"/>
                <w:szCs w:val="21"/>
              </w:rPr>
              <w:t>0.20</w:t>
            </w:r>
          </w:p>
        </w:tc>
      </w:tr>
      <w:tr w14:paraId="70993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78611536">
            <w:pPr>
              <w:pStyle w:val="63"/>
              <w:spacing w:line="240" w:lineRule="auto"/>
              <w:ind w:firstLine="0" w:firstLineChars="0"/>
              <w:jc w:val="center"/>
              <w:rPr>
                <w:sz w:val="21"/>
                <w:szCs w:val="21"/>
              </w:rPr>
            </w:pPr>
            <w:r>
              <w:rPr>
                <w:sz w:val="21"/>
                <w:szCs w:val="21"/>
              </w:rPr>
              <w:t>16.0</w:t>
            </w:r>
          </w:p>
        </w:tc>
        <w:tc>
          <w:tcPr>
            <w:tcW w:w="893" w:type="dxa"/>
          </w:tcPr>
          <w:p w14:paraId="3F77B7C2">
            <w:pPr>
              <w:pStyle w:val="63"/>
              <w:spacing w:line="240" w:lineRule="auto"/>
              <w:ind w:firstLine="0" w:firstLineChars="0"/>
              <w:jc w:val="center"/>
              <w:rPr>
                <w:sz w:val="21"/>
                <w:szCs w:val="21"/>
              </w:rPr>
            </w:pPr>
            <w:r>
              <w:rPr>
                <w:sz w:val="21"/>
                <w:szCs w:val="21"/>
              </w:rPr>
              <w:t>52.6</w:t>
            </w:r>
          </w:p>
        </w:tc>
        <w:tc>
          <w:tcPr>
            <w:tcW w:w="893" w:type="dxa"/>
          </w:tcPr>
          <w:p w14:paraId="6ED159D3">
            <w:pPr>
              <w:pStyle w:val="63"/>
              <w:spacing w:line="240" w:lineRule="auto"/>
              <w:ind w:firstLine="0" w:firstLineChars="0"/>
              <w:jc w:val="center"/>
              <w:rPr>
                <w:sz w:val="21"/>
                <w:szCs w:val="21"/>
              </w:rPr>
            </w:pPr>
            <w:r>
              <w:rPr>
                <w:sz w:val="21"/>
                <w:szCs w:val="21"/>
              </w:rPr>
              <w:t>53.4</w:t>
            </w:r>
          </w:p>
        </w:tc>
        <w:tc>
          <w:tcPr>
            <w:tcW w:w="893" w:type="dxa"/>
          </w:tcPr>
          <w:p w14:paraId="706FF760">
            <w:pPr>
              <w:pStyle w:val="63"/>
              <w:spacing w:line="240" w:lineRule="auto"/>
              <w:ind w:firstLine="0" w:firstLineChars="0"/>
              <w:jc w:val="center"/>
              <w:rPr>
                <w:sz w:val="21"/>
                <w:szCs w:val="21"/>
              </w:rPr>
            </w:pPr>
            <w:r>
              <w:rPr>
                <w:sz w:val="21"/>
                <w:szCs w:val="21"/>
              </w:rPr>
              <w:t>52.0</w:t>
            </w:r>
          </w:p>
        </w:tc>
        <w:tc>
          <w:tcPr>
            <w:tcW w:w="893" w:type="dxa"/>
          </w:tcPr>
          <w:p w14:paraId="1272044E">
            <w:pPr>
              <w:pStyle w:val="63"/>
              <w:spacing w:line="240" w:lineRule="auto"/>
              <w:ind w:firstLine="0" w:firstLineChars="0"/>
              <w:jc w:val="center"/>
              <w:rPr>
                <w:sz w:val="21"/>
                <w:szCs w:val="21"/>
              </w:rPr>
            </w:pPr>
            <w:r>
              <w:rPr>
                <w:sz w:val="21"/>
                <w:szCs w:val="21"/>
              </w:rPr>
              <w:t>53.3</w:t>
            </w:r>
          </w:p>
        </w:tc>
        <w:tc>
          <w:tcPr>
            <w:tcW w:w="893" w:type="dxa"/>
          </w:tcPr>
          <w:p w14:paraId="3B1BE380">
            <w:pPr>
              <w:pStyle w:val="63"/>
              <w:spacing w:line="240" w:lineRule="auto"/>
              <w:ind w:firstLine="0" w:firstLineChars="0"/>
              <w:jc w:val="center"/>
              <w:rPr>
                <w:sz w:val="21"/>
                <w:szCs w:val="21"/>
              </w:rPr>
            </w:pPr>
            <w:r>
              <w:rPr>
                <w:sz w:val="21"/>
                <w:szCs w:val="21"/>
              </w:rPr>
              <w:t>52.6</w:t>
            </w:r>
          </w:p>
        </w:tc>
        <w:tc>
          <w:tcPr>
            <w:tcW w:w="893" w:type="dxa"/>
          </w:tcPr>
          <w:p w14:paraId="37F3840F">
            <w:pPr>
              <w:pStyle w:val="63"/>
              <w:spacing w:line="240" w:lineRule="auto"/>
              <w:ind w:firstLine="0" w:firstLineChars="0"/>
              <w:jc w:val="center"/>
              <w:rPr>
                <w:sz w:val="21"/>
                <w:szCs w:val="21"/>
              </w:rPr>
            </w:pPr>
            <w:r>
              <w:rPr>
                <w:sz w:val="21"/>
                <w:szCs w:val="21"/>
              </w:rPr>
              <w:t>53.5</w:t>
            </w:r>
          </w:p>
        </w:tc>
        <w:tc>
          <w:tcPr>
            <w:tcW w:w="893" w:type="dxa"/>
          </w:tcPr>
          <w:p w14:paraId="141E1622">
            <w:pPr>
              <w:pStyle w:val="63"/>
              <w:spacing w:line="240" w:lineRule="auto"/>
              <w:ind w:firstLine="0" w:firstLineChars="0"/>
              <w:jc w:val="center"/>
              <w:rPr>
                <w:sz w:val="21"/>
                <w:szCs w:val="21"/>
              </w:rPr>
            </w:pPr>
            <w:r>
              <w:rPr>
                <w:sz w:val="21"/>
                <w:szCs w:val="21"/>
              </w:rPr>
              <w:t>51.6</w:t>
            </w:r>
          </w:p>
        </w:tc>
        <w:tc>
          <w:tcPr>
            <w:tcW w:w="893" w:type="dxa"/>
          </w:tcPr>
          <w:p w14:paraId="6143D24B">
            <w:pPr>
              <w:pStyle w:val="63"/>
              <w:spacing w:line="240" w:lineRule="auto"/>
              <w:ind w:firstLine="0" w:firstLineChars="0"/>
              <w:jc w:val="center"/>
              <w:rPr>
                <w:sz w:val="21"/>
                <w:szCs w:val="21"/>
              </w:rPr>
            </w:pPr>
            <w:r>
              <w:rPr>
                <w:sz w:val="21"/>
                <w:szCs w:val="21"/>
              </w:rPr>
              <w:t>52.0</w:t>
            </w:r>
          </w:p>
        </w:tc>
        <w:tc>
          <w:tcPr>
            <w:tcW w:w="695" w:type="dxa"/>
          </w:tcPr>
          <w:p w14:paraId="01E76D14">
            <w:pPr>
              <w:pStyle w:val="63"/>
              <w:spacing w:line="240" w:lineRule="auto"/>
              <w:ind w:firstLine="0" w:firstLineChars="0"/>
              <w:jc w:val="center"/>
              <w:rPr>
                <w:sz w:val="21"/>
                <w:szCs w:val="21"/>
              </w:rPr>
            </w:pPr>
            <w:r>
              <w:rPr>
                <w:sz w:val="21"/>
                <w:szCs w:val="21"/>
              </w:rPr>
              <w:t>0.7</w:t>
            </w:r>
          </w:p>
        </w:tc>
        <w:tc>
          <w:tcPr>
            <w:tcW w:w="695" w:type="dxa"/>
          </w:tcPr>
          <w:p w14:paraId="265045F9">
            <w:pPr>
              <w:pStyle w:val="63"/>
              <w:spacing w:line="240" w:lineRule="auto"/>
              <w:ind w:firstLine="0" w:firstLineChars="0"/>
              <w:jc w:val="center"/>
              <w:rPr>
                <w:sz w:val="21"/>
                <w:szCs w:val="21"/>
              </w:rPr>
            </w:pPr>
            <w:r>
              <w:rPr>
                <w:sz w:val="21"/>
                <w:szCs w:val="21"/>
              </w:rPr>
              <w:t>0.26</w:t>
            </w:r>
          </w:p>
        </w:tc>
      </w:tr>
      <w:tr w14:paraId="73E46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405F887A">
            <w:pPr>
              <w:pStyle w:val="63"/>
              <w:spacing w:line="240" w:lineRule="auto"/>
              <w:ind w:firstLine="0" w:firstLineChars="0"/>
              <w:jc w:val="center"/>
              <w:rPr>
                <w:sz w:val="21"/>
                <w:szCs w:val="21"/>
              </w:rPr>
            </w:pPr>
            <w:r>
              <w:rPr>
                <w:sz w:val="21"/>
                <w:szCs w:val="21"/>
              </w:rPr>
              <w:t>20.0</w:t>
            </w:r>
          </w:p>
        </w:tc>
        <w:tc>
          <w:tcPr>
            <w:tcW w:w="893" w:type="dxa"/>
          </w:tcPr>
          <w:p w14:paraId="2C037F12">
            <w:pPr>
              <w:pStyle w:val="63"/>
              <w:spacing w:line="240" w:lineRule="auto"/>
              <w:ind w:firstLine="0" w:firstLineChars="0"/>
              <w:jc w:val="center"/>
              <w:rPr>
                <w:sz w:val="21"/>
                <w:szCs w:val="21"/>
              </w:rPr>
            </w:pPr>
            <w:r>
              <w:rPr>
                <w:sz w:val="21"/>
                <w:szCs w:val="21"/>
              </w:rPr>
              <w:t>51.6</w:t>
            </w:r>
          </w:p>
        </w:tc>
        <w:tc>
          <w:tcPr>
            <w:tcW w:w="893" w:type="dxa"/>
          </w:tcPr>
          <w:p w14:paraId="1D2EABB6">
            <w:pPr>
              <w:pStyle w:val="63"/>
              <w:spacing w:line="240" w:lineRule="auto"/>
              <w:ind w:firstLine="0" w:firstLineChars="0"/>
              <w:jc w:val="center"/>
              <w:rPr>
                <w:sz w:val="21"/>
                <w:szCs w:val="21"/>
              </w:rPr>
            </w:pPr>
            <w:r>
              <w:rPr>
                <w:sz w:val="21"/>
                <w:szCs w:val="21"/>
              </w:rPr>
              <w:t>51.5</w:t>
            </w:r>
          </w:p>
        </w:tc>
        <w:tc>
          <w:tcPr>
            <w:tcW w:w="893" w:type="dxa"/>
          </w:tcPr>
          <w:p w14:paraId="227E1440">
            <w:pPr>
              <w:pStyle w:val="63"/>
              <w:spacing w:line="240" w:lineRule="auto"/>
              <w:ind w:firstLine="0" w:firstLineChars="0"/>
              <w:jc w:val="center"/>
              <w:rPr>
                <w:sz w:val="21"/>
                <w:szCs w:val="21"/>
              </w:rPr>
            </w:pPr>
            <w:r>
              <w:rPr>
                <w:sz w:val="21"/>
                <w:szCs w:val="21"/>
              </w:rPr>
              <w:t>51.4</w:t>
            </w:r>
          </w:p>
        </w:tc>
        <w:tc>
          <w:tcPr>
            <w:tcW w:w="893" w:type="dxa"/>
          </w:tcPr>
          <w:p w14:paraId="59DB9864">
            <w:pPr>
              <w:pStyle w:val="63"/>
              <w:spacing w:line="240" w:lineRule="auto"/>
              <w:ind w:firstLine="0" w:firstLineChars="0"/>
              <w:jc w:val="center"/>
              <w:rPr>
                <w:sz w:val="21"/>
                <w:szCs w:val="21"/>
              </w:rPr>
            </w:pPr>
            <w:r>
              <w:rPr>
                <w:sz w:val="21"/>
                <w:szCs w:val="21"/>
              </w:rPr>
              <w:t>51.1</w:t>
            </w:r>
          </w:p>
        </w:tc>
        <w:tc>
          <w:tcPr>
            <w:tcW w:w="893" w:type="dxa"/>
          </w:tcPr>
          <w:p w14:paraId="5872168F">
            <w:pPr>
              <w:pStyle w:val="63"/>
              <w:spacing w:line="240" w:lineRule="auto"/>
              <w:ind w:firstLine="0" w:firstLineChars="0"/>
              <w:jc w:val="center"/>
              <w:rPr>
                <w:sz w:val="21"/>
                <w:szCs w:val="21"/>
              </w:rPr>
            </w:pPr>
            <w:r>
              <w:rPr>
                <w:sz w:val="21"/>
                <w:szCs w:val="21"/>
              </w:rPr>
              <w:t>51.3</w:t>
            </w:r>
          </w:p>
        </w:tc>
        <w:tc>
          <w:tcPr>
            <w:tcW w:w="893" w:type="dxa"/>
          </w:tcPr>
          <w:p w14:paraId="2BD84ACF">
            <w:pPr>
              <w:pStyle w:val="63"/>
              <w:spacing w:line="240" w:lineRule="auto"/>
              <w:ind w:firstLine="0" w:firstLineChars="0"/>
              <w:jc w:val="center"/>
              <w:rPr>
                <w:sz w:val="21"/>
                <w:szCs w:val="21"/>
              </w:rPr>
            </w:pPr>
            <w:r>
              <w:rPr>
                <w:sz w:val="21"/>
                <w:szCs w:val="21"/>
              </w:rPr>
              <w:t>51.5</w:t>
            </w:r>
          </w:p>
        </w:tc>
        <w:tc>
          <w:tcPr>
            <w:tcW w:w="893" w:type="dxa"/>
          </w:tcPr>
          <w:p w14:paraId="23BABF64">
            <w:pPr>
              <w:pStyle w:val="63"/>
              <w:spacing w:line="240" w:lineRule="auto"/>
              <w:ind w:firstLine="0" w:firstLineChars="0"/>
              <w:jc w:val="center"/>
              <w:rPr>
                <w:sz w:val="21"/>
                <w:szCs w:val="21"/>
              </w:rPr>
            </w:pPr>
            <w:r>
              <w:rPr>
                <w:sz w:val="21"/>
                <w:szCs w:val="21"/>
              </w:rPr>
              <w:t>50.8</w:t>
            </w:r>
          </w:p>
        </w:tc>
        <w:tc>
          <w:tcPr>
            <w:tcW w:w="893" w:type="dxa"/>
          </w:tcPr>
          <w:p w14:paraId="4E4D3126">
            <w:pPr>
              <w:pStyle w:val="63"/>
              <w:spacing w:line="240" w:lineRule="auto"/>
              <w:ind w:firstLine="0" w:firstLineChars="0"/>
              <w:jc w:val="center"/>
              <w:rPr>
                <w:sz w:val="21"/>
                <w:szCs w:val="21"/>
              </w:rPr>
            </w:pPr>
            <w:r>
              <w:rPr>
                <w:sz w:val="21"/>
                <w:szCs w:val="21"/>
              </w:rPr>
              <w:t>52.6</w:t>
            </w:r>
          </w:p>
        </w:tc>
        <w:tc>
          <w:tcPr>
            <w:tcW w:w="695" w:type="dxa"/>
          </w:tcPr>
          <w:p w14:paraId="02636623">
            <w:pPr>
              <w:pStyle w:val="63"/>
              <w:spacing w:line="240" w:lineRule="auto"/>
              <w:ind w:firstLine="0" w:firstLineChars="0"/>
              <w:jc w:val="center"/>
              <w:rPr>
                <w:sz w:val="21"/>
                <w:szCs w:val="21"/>
              </w:rPr>
            </w:pPr>
            <w:r>
              <w:rPr>
                <w:sz w:val="21"/>
                <w:szCs w:val="21"/>
              </w:rPr>
              <w:t>0.5</w:t>
            </w:r>
          </w:p>
        </w:tc>
        <w:tc>
          <w:tcPr>
            <w:tcW w:w="695" w:type="dxa"/>
          </w:tcPr>
          <w:p w14:paraId="3A51EC56">
            <w:pPr>
              <w:pStyle w:val="63"/>
              <w:spacing w:line="240" w:lineRule="auto"/>
              <w:ind w:firstLine="0" w:firstLineChars="0"/>
              <w:jc w:val="center"/>
              <w:rPr>
                <w:sz w:val="21"/>
                <w:szCs w:val="21"/>
              </w:rPr>
            </w:pPr>
            <w:r>
              <w:rPr>
                <w:sz w:val="21"/>
                <w:szCs w:val="21"/>
              </w:rPr>
              <w:t>0.18</w:t>
            </w:r>
          </w:p>
        </w:tc>
      </w:tr>
      <w:tr w14:paraId="0B7DC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689" w:type="dxa"/>
          </w:tcPr>
          <w:p w14:paraId="1D065A54">
            <w:pPr>
              <w:pStyle w:val="63"/>
              <w:spacing w:line="240" w:lineRule="auto"/>
              <w:ind w:firstLine="0" w:firstLineChars="0"/>
              <w:jc w:val="center"/>
              <w:rPr>
                <w:sz w:val="21"/>
                <w:szCs w:val="21"/>
              </w:rPr>
            </w:pPr>
            <w:r>
              <w:rPr>
                <w:sz w:val="21"/>
                <w:szCs w:val="21"/>
              </w:rPr>
              <w:t>25.0</w:t>
            </w:r>
          </w:p>
        </w:tc>
        <w:tc>
          <w:tcPr>
            <w:tcW w:w="893" w:type="dxa"/>
          </w:tcPr>
          <w:p w14:paraId="17C3F733">
            <w:pPr>
              <w:pStyle w:val="63"/>
              <w:spacing w:line="240" w:lineRule="auto"/>
              <w:ind w:firstLine="0" w:firstLineChars="0"/>
              <w:jc w:val="center"/>
              <w:rPr>
                <w:sz w:val="21"/>
                <w:szCs w:val="21"/>
              </w:rPr>
            </w:pPr>
            <w:r>
              <w:rPr>
                <w:sz w:val="21"/>
                <w:szCs w:val="21"/>
              </w:rPr>
              <w:t>50.8</w:t>
            </w:r>
          </w:p>
        </w:tc>
        <w:tc>
          <w:tcPr>
            <w:tcW w:w="893" w:type="dxa"/>
          </w:tcPr>
          <w:p w14:paraId="53EF1939">
            <w:pPr>
              <w:pStyle w:val="63"/>
              <w:spacing w:line="240" w:lineRule="auto"/>
              <w:ind w:firstLine="0" w:firstLineChars="0"/>
              <w:jc w:val="center"/>
              <w:rPr>
                <w:sz w:val="21"/>
                <w:szCs w:val="21"/>
              </w:rPr>
            </w:pPr>
            <w:r>
              <w:rPr>
                <w:sz w:val="21"/>
                <w:szCs w:val="21"/>
              </w:rPr>
              <w:t>51.3</w:t>
            </w:r>
          </w:p>
        </w:tc>
        <w:tc>
          <w:tcPr>
            <w:tcW w:w="893" w:type="dxa"/>
          </w:tcPr>
          <w:p w14:paraId="16A7744E">
            <w:pPr>
              <w:pStyle w:val="63"/>
              <w:spacing w:line="240" w:lineRule="auto"/>
              <w:ind w:firstLine="0" w:firstLineChars="0"/>
              <w:jc w:val="center"/>
              <w:rPr>
                <w:sz w:val="21"/>
                <w:szCs w:val="21"/>
              </w:rPr>
            </w:pPr>
            <w:r>
              <w:rPr>
                <w:sz w:val="21"/>
                <w:szCs w:val="21"/>
              </w:rPr>
              <w:t>51.8</w:t>
            </w:r>
          </w:p>
        </w:tc>
        <w:tc>
          <w:tcPr>
            <w:tcW w:w="893" w:type="dxa"/>
          </w:tcPr>
          <w:p w14:paraId="31258A96">
            <w:pPr>
              <w:pStyle w:val="63"/>
              <w:spacing w:line="240" w:lineRule="auto"/>
              <w:ind w:firstLine="0" w:firstLineChars="0"/>
              <w:jc w:val="center"/>
              <w:rPr>
                <w:sz w:val="21"/>
                <w:szCs w:val="21"/>
              </w:rPr>
            </w:pPr>
            <w:r>
              <w:rPr>
                <w:sz w:val="21"/>
                <w:szCs w:val="21"/>
              </w:rPr>
              <w:t>51.4</w:t>
            </w:r>
          </w:p>
        </w:tc>
        <w:tc>
          <w:tcPr>
            <w:tcW w:w="893" w:type="dxa"/>
          </w:tcPr>
          <w:p w14:paraId="08426374">
            <w:pPr>
              <w:pStyle w:val="63"/>
              <w:spacing w:line="240" w:lineRule="auto"/>
              <w:ind w:firstLine="0" w:firstLineChars="0"/>
              <w:jc w:val="center"/>
              <w:rPr>
                <w:sz w:val="21"/>
                <w:szCs w:val="21"/>
              </w:rPr>
            </w:pPr>
            <w:r>
              <w:rPr>
                <w:sz w:val="21"/>
                <w:szCs w:val="21"/>
              </w:rPr>
              <w:t>50.6</w:t>
            </w:r>
          </w:p>
        </w:tc>
        <w:tc>
          <w:tcPr>
            <w:tcW w:w="893" w:type="dxa"/>
          </w:tcPr>
          <w:p w14:paraId="75EE0D23">
            <w:pPr>
              <w:pStyle w:val="63"/>
              <w:spacing w:line="240" w:lineRule="auto"/>
              <w:ind w:firstLine="0" w:firstLineChars="0"/>
              <w:jc w:val="center"/>
              <w:rPr>
                <w:sz w:val="21"/>
                <w:szCs w:val="21"/>
              </w:rPr>
            </w:pPr>
            <w:r>
              <w:rPr>
                <w:sz w:val="21"/>
                <w:szCs w:val="21"/>
              </w:rPr>
              <w:t>51.7</w:t>
            </w:r>
          </w:p>
        </w:tc>
        <w:tc>
          <w:tcPr>
            <w:tcW w:w="893" w:type="dxa"/>
          </w:tcPr>
          <w:p w14:paraId="487AFA2A">
            <w:pPr>
              <w:pStyle w:val="63"/>
              <w:spacing w:line="240" w:lineRule="auto"/>
              <w:ind w:firstLine="0" w:firstLineChars="0"/>
              <w:jc w:val="center"/>
              <w:rPr>
                <w:sz w:val="21"/>
                <w:szCs w:val="21"/>
              </w:rPr>
            </w:pPr>
            <w:r>
              <w:rPr>
                <w:sz w:val="21"/>
                <w:szCs w:val="21"/>
              </w:rPr>
              <w:t>50.3</w:t>
            </w:r>
          </w:p>
        </w:tc>
        <w:tc>
          <w:tcPr>
            <w:tcW w:w="893" w:type="dxa"/>
          </w:tcPr>
          <w:p w14:paraId="30DC003D">
            <w:pPr>
              <w:pStyle w:val="63"/>
              <w:spacing w:line="240" w:lineRule="auto"/>
              <w:ind w:firstLine="0" w:firstLineChars="0"/>
              <w:jc w:val="center"/>
              <w:rPr>
                <w:sz w:val="21"/>
                <w:szCs w:val="21"/>
              </w:rPr>
            </w:pPr>
            <w:r>
              <w:rPr>
                <w:sz w:val="21"/>
                <w:szCs w:val="21"/>
              </w:rPr>
              <w:t>51.5</w:t>
            </w:r>
          </w:p>
        </w:tc>
        <w:tc>
          <w:tcPr>
            <w:tcW w:w="695" w:type="dxa"/>
          </w:tcPr>
          <w:p w14:paraId="0301FBFB">
            <w:pPr>
              <w:pStyle w:val="63"/>
              <w:spacing w:line="240" w:lineRule="auto"/>
              <w:ind w:firstLine="0" w:firstLineChars="0"/>
              <w:jc w:val="center"/>
              <w:rPr>
                <w:sz w:val="21"/>
                <w:szCs w:val="21"/>
              </w:rPr>
            </w:pPr>
            <w:r>
              <w:rPr>
                <w:sz w:val="21"/>
                <w:szCs w:val="21"/>
              </w:rPr>
              <w:t>0.7</w:t>
            </w:r>
          </w:p>
        </w:tc>
        <w:tc>
          <w:tcPr>
            <w:tcW w:w="695" w:type="dxa"/>
          </w:tcPr>
          <w:p w14:paraId="7E2C7B29">
            <w:pPr>
              <w:pStyle w:val="63"/>
              <w:spacing w:line="240" w:lineRule="auto"/>
              <w:ind w:firstLine="0" w:firstLineChars="0"/>
              <w:jc w:val="center"/>
              <w:rPr>
                <w:sz w:val="21"/>
                <w:szCs w:val="21"/>
              </w:rPr>
            </w:pPr>
            <w:r>
              <w:rPr>
                <w:sz w:val="21"/>
                <w:szCs w:val="21"/>
              </w:rPr>
              <w:t>0.24</w:t>
            </w:r>
          </w:p>
        </w:tc>
      </w:tr>
      <w:tr w14:paraId="5314A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749AD333">
            <w:pPr>
              <w:pStyle w:val="63"/>
              <w:spacing w:line="240" w:lineRule="auto"/>
              <w:ind w:firstLine="0" w:firstLineChars="0"/>
              <w:jc w:val="center"/>
              <w:rPr>
                <w:sz w:val="21"/>
                <w:szCs w:val="21"/>
              </w:rPr>
            </w:pPr>
            <w:r>
              <w:rPr>
                <w:sz w:val="21"/>
                <w:szCs w:val="21"/>
              </w:rPr>
              <w:t>31.5</w:t>
            </w:r>
          </w:p>
        </w:tc>
        <w:tc>
          <w:tcPr>
            <w:tcW w:w="893" w:type="dxa"/>
          </w:tcPr>
          <w:p w14:paraId="72A54DE6">
            <w:pPr>
              <w:pStyle w:val="63"/>
              <w:spacing w:line="240" w:lineRule="auto"/>
              <w:ind w:firstLine="0" w:firstLineChars="0"/>
              <w:jc w:val="center"/>
              <w:rPr>
                <w:sz w:val="21"/>
                <w:szCs w:val="21"/>
              </w:rPr>
            </w:pPr>
            <w:r>
              <w:rPr>
                <w:sz w:val="21"/>
                <w:szCs w:val="21"/>
              </w:rPr>
              <w:t>49.6</w:t>
            </w:r>
          </w:p>
        </w:tc>
        <w:tc>
          <w:tcPr>
            <w:tcW w:w="893" w:type="dxa"/>
          </w:tcPr>
          <w:p w14:paraId="4AAA72DB">
            <w:pPr>
              <w:pStyle w:val="63"/>
              <w:spacing w:line="240" w:lineRule="auto"/>
              <w:ind w:firstLine="0" w:firstLineChars="0"/>
              <w:jc w:val="center"/>
              <w:rPr>
                <w:sz w:val="21"/>
                <w:szCs w:val="21"/>
              </w:rPr>
            </w:pPr>
            <w:r>
              <w:rPr>
                <w:sz w:val="21"/>
                <w:szCs w:val="21"/>
              </w:rPr>
              <w:t>49.9</w:t>
            </w:r>
          </w:p>
        </w:tc>
        <w:tc>
          <w:tcPr>
            <w:tcW w:w="893" w:type="dxa"/>
          </w:tcPr>
          <w:p w14:paraId="0805109B">
            <w:pPr>
              <w:pStyle w:val="63"/>
              <w:spacing w:line="240" w:lineRule="auto"/>
              <w:ind w:firstLine="0" w:firstLineChars="0"/>
              <w:jc w:val="center"/>
              <w:rPr>
                <w:sz w:val="21"/>
                <w:szCs w:val="21"/>
              </w:rPr>
            </w:pPr>
            <w:r>
              <w:rPr>
                <w:sz w:val="21"/>
                <w:szCs w:val="21"/>
              </w:rPr>
              <w:t>50.3</w:t>
            </w:r>
          </w:p>
        </w:tc>
        <w:tc>
          <w:tcPr>
            <w:tcW w:w="893" w:type="dxa"/>
          </w:tcPr>
          <w:p w14:paraId="455AC401">
            <w:pPr>
              <w:pStyle w:val="63"/>
              <w:spacing w:line="240" w:lineRule="auto"/>
              <w:ind w:firstLine="0" w:firstLineChars="0"/>
              <w:jc w:val="center"/>
              <w:rPr>
                <w:sz w:val="21"/>
                <w:szCs w:val="21"/>
              </w:rPr>
            </w:pPr>
            <w:r>
              <w:rPr>
                <w:sz w:val="21"/>
                <w:szCs w:val="21"/>
              </w:rPr>
              <w:t>49.6</w:t>
            </w:r>
          </w:p>
        </w:tc>
        <w:tc>
          <w:tcPr>
            <w:tcW w:w="893" w:type="dxa"/>
          </w:tcPr>
          <w:p w14:paraId="461E2EF5">
            <w:pPr>
              <w:pStyle w:val="63"/>
              <w:spacing w:line="240" w:lineRule="auto"/>
              <w:ind w:firstLine="0" w:firstLineChars="0"/>
              <w:jc w:val="center"/>
              <w:rPr>
                <w:sz w:val="21"/>
                <w:szCs w:val="21"/>
              </w:rPr>
            </w:pPr>
            <w:r>
              <w:rPr>
                <w:sz w:val="21"/>
                <w:szCs w:val="21"/>
              </w:rPr>
              <w:t>49.8</w:t>
            </w:r>
          </w:p>
        </w:tc>
        <w:tc>
          <w:tcPr>
            <w:tcW w:w="893" w:type="dxa"/>
          </w:tcPr>
          <w:p w14:paraId="0EFC499E">
            <w:pPr>
              <w:pStyle w:val="63"/>
              <w:spacing w:line="240" w:lineRule="auto"/>
              <w:ind w:firstLine="0" w:firstLineChars="0"/>
              <w:jc w:val="center"/>
              <w:rPr>
                <w:sz w:val="21"/>
                <w:szCs w:val="21"/>
              </w:rPr>
            </w:pPr>
            <w:r>
              <w:rPr>
                <w:sz w:val="21"/>
                <w:szCs w:val="21"/>
              </w:rPr>
              <w:t>49.3</w:t>
            </w:r>
          </w:p>
        </w:tc>
        <w:tc>
          <w:tcPr>
            <w:tcW w:w="893" w:type="dxa"/>
          </w:tcPr>
          <w:p w14:paraId="7FA0F95A">
            <w:pPr>
              <w:pStyle w:val="63"/>
              <w:spacing w:line="240" w:lineRule="auto"/>
              <w:ind w:firstLine="0" w:firstLineChars="0"/>
              <w:jc w:val="center"/>
              <w:rPr>
                <w:sz w:val="21"/>
                <w:szCs w:val="21"/>
              </w:rPr>
            </w:pPr>
            <w:r>
              <w:rPr>
                <w:sz w:val="21"/>
                <w:szCs w:val="21"/>
              </w:rPr>
              <w:t>49.4</w:t>
            </w:r>
          </w:p>
        </w:tc>
        <w:tc>
          <w:tcPr>
            <w:tcW w:w="893" w:type="dxa"/>
          </w:tcPr>
          <w:p w14:paraId="5D8AF26C">
            <w:pPr>
              <w:pStyle w:val="63"/>
              <w:spacing w:line="240" w:lineRule="auto"/>
              <w:ind w:firstLine="0" w:firstLineChars="0"/>
              <w:jc w:val="center"/>
              <w:rPr>
                <w:sz w:val="21"/>
                <w:szCs w:val="21"/>
              </w:rPr>
            </w:pPr>
            <w:r>
              <w:rPr>
                <w:sz w:val="21"/>
                <w:szCs w:val="21"/>
              </w:rPr>
              <w:t>49.0</w:t>
            </w:r>
          </w:p>
        </w:tc>
        <w:tc>
          <w:tcPr>
            <w:tcW w:w="695" w:type="dxa"/>
          </w:tcPr>
          <w:p w14:paraId="3682F579">
            <w:pPr>
              <w:pStyle w:val="63"/>
              <w:spacing w:line="240" w:lineRule="auto"/>
              <w:ind w:firstLine="0" w:firstLineChars="0"/>
              <w:jc w:val="center"/>
              <w:rPr>
                <w:sz w:val="21"/>
                <w:szCs w:val="21"/>
              </w:rPr>
            </w:pPr>
            <w:r>
              <w:rPr>
                <w:sz w:val="21"/>
                <w:szCs w:val="21"/>
              </w:rPr>
              <w:t>0.6</w:t>
            </w:r>
          </w:p>
        </w:tc>
        <w:tc>
          <w:tcPr>
            <w:tcW w:w="695" w:type="dxa"/>
          </w:tcPr>
          <w:p w14:paraId="590FED6F">
            <w:pPr>
              <w:pStyle w:val="63"/>
              <w:spacing w:line="240" w:lineRule="auto"/>
              <w:ind w:firstLine="0" w:firstLineChars="0"/>
              <w:jc w:val="center"/>
              <w:rPr>
                <w:sz w:val="21"/>
                <w:szCs w:val="21"/>
              </w:rPr>
            </w:pPr>
            <w:r>
              <w:rPr>
                <w:sz w:val="21"/>
                <w:szCs w:val="21"/>
              </w:rPr>
              <w:t>0.21</w:t>
            </w:r>
          </w:p>
        </w:tc>
      </w:tr>
      <w:tr w14:paraId="65FF4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689" w:type="dxa"/>
          </w:tcPr>
          <w:p w14:paraId="5AD5D975">
            <w:pPr>
              <w:pStyle w:val="63"/>
              <w:spacing w:line="240" w:lineRule="auto"/>
              <w:ind w:firstLine="0" w:firstLineChars="0"/>
              <w:jc w:val="center"/>
              <w:rPr>
                <w:sz w:val="21"/>
                <w:szCs w:val="21"/>
              </w:rPr>
            </w:pPr>
            <w:r>
              <w:rPr>
                <w:sz w:val="21"/>
                <w:szCs w:val="21"/>
              </w:rPr>
              <w:t>40.0</w:t>
            </w:r>
          </w:p>
        </w:tc>
        <w:tc>
          <w:tcPr>
            <w:tcW w:w="893" w:type="dxa"/>
          </w:tcPr>
          <w:p w14:paraId="59045204">
            <w:pPr>
              <w:pStyle w:val="63"/>
              <w:spacing w:line="240" w:lineRule="auto"/>
              <w:ind w:firstLine="0" w:firstLineChars="0"/>
              <w:jc w:val="center"/>
              <w:rPr>
                <w:sz w:val="21"/>
                <w:szCs w:val="21"/>
              </w:rPr>
            </w:pPr>
            <w:r>
              <w:rPr>
                <w:sz w:val="21"/>
                <w:szCs w:val="21"/>
              </w:rPr>
              <w:t>49.2</w:t>
            </w:r>
          </w:p>
        </w:tc>
        <w:tc>
          <w:tcPr>
            <w:tcW w:w="893" w:type="dxa"/>
          </w:tcPr>
          <w:p w14:paraId="15CB4E9A">
            <w:pPr>
              <w:pStyle w:val="63"/>
              <w:spacing w:line="240" w:lineRule="auto"/>
              <w:ind w:firstLine="0" w:firstLineChars="0"/>
              <w:jc w:val="center"/>
              <w:rPr>
                <w:sz w:val="21"/>
                <w:szCs w:val="21"/>
              </w:rPr>
            </w:pPr>
            <w:r>
              <w:rPr>
                <w:sz w:val="21"/>
                <w:szCs w:val="21"/>
              </w:rPr>
              <w:t>49.4</w:t>
            </w:r>
          </w:p>
        </w:tc>
        <w:tc>
          <w:tcPr>
            <w:tcW w:w="893" w:type="dxa"/>
          </w:tcPr>
          <w:p w14:paraId="33933A0B">
            <w:pPr>
              <w:pStyle w:val="63"/>
              <w:spacing w:line="240" w:lineRule="auto"/>
              <w:ind w:firstLine="0" w:firstLineChars="0"/>
              <w:jc w:val="center"/>
              <w:rPr>
                <w:sz w:val="21"/>
                <w:szCs w:val="21"/>
              </w:rPr>
            </w:pPr>
            <w:r>
              <w:rPr>
                <w:sz w:val="21"/>
                <w:szCs w:val="21"/>
              </w:rPr>
              <w:t>49.2</w:t>
            </w:r>
          </w:p>
        </w:tc>
        <w:tc>
          <w:tcPr>
            <w:tcW w:w="893" w:type="dxa"/>
          </w:tcPr>
          <w:p w14:paraId="32269881">
            <w:pPr>
              <w:pStyle w:val="63"/>
              <w:spacing w:line="240" w:lineRule="auto"/>
              <w:ind w:firstLine="0" w:firstLineChars="0"/>
              <w:jc w:val="center"/>
              <w:rPr>
                <w:sz w:val="21"/>
                <w:szCs w:val="21"/>
              </w:rPr>
            </w:pPr>
            <w:r>
              <w:rPr>
                <w:sz w:val="21"/>
                <w:szCs w:val="21"/>
              </w:rPr>
              <w:t>50.0</w:t>
            </w:r>
          </w:p>
        </w:tc>
        <w:tc>
          <w:tcPr>
            <w:tcW w:w="893" w:type="dxa"/>
          </w:tcPr>
          <w:p w14:paraId="0DB564E8">
            <w:pPr>
              <w:pStyle w:val="63"/>
              <w:spacing w:line="240" w:lineRule="auto"/>
              <w:ind w:firstLine="0" w:firstLineChars="0"/>
              <w:jc w:val="center"/>
              <w:rPr>
                <w:sz w:val="21"/>
                <w:szCs w:val="21"/>
              </w:rPr>
            </w:pPr>
            <w:r>
              <w:rPr>
                <w:sz w:val="21"/>
                <w:szCs w:val="21"/>
              </w:rPr>
              <w:t>48.3</w:t>
            </w:r>
          </w:p>
        </w:tc>
        <w:tc>
          <w:tcPr>
            <w:tcW w:w="893" w:type="dxa"/>
          </w:tcPr>
          <w:p w14:paraId="02ECDC2C">
            <w:pPr>
              <w:pStyle w:val="63"/>
              <w:spacing w:line="240" w:lineRule="auto"/>
              <w:ind w:firstLine="0" w:firstLineChars="0"/>
              <w:jc w:val="center"/>
              <w:rPr>
                <w:sz w:val="21"/>
                <w:szCs w:val="21"/>
              </w:rPr>
            </w:pPr>
            <w:r>
              <w:rPr>
                <w:sz w:val="21"/>
                <w:szCs w:val="21"/>
              </w:rPr>
              <w:t>48.3</w:t>
            </w:r>
          </w:p>
        </w:tc>
        <w:tc>
          <w:tcPr>
            <w:tcW w:w="893" w:type="dxa"/>
          </w:tcPr>
          <w:p w14:paraId="53C726D3">
            <w:pPr>
              <w:pStyle w:val="63"/>
              <w:spacing w:line="240" w:lineRule="auto"/>
              <w:ind w:firstLine="0" w:firstLineChars="0"/>
              <w:jc w:val="center"/>
              <w:rPr>
                <w:sz w:val="21"/>
                <w:szCs w:val="21"/>
              </w:rPr>
            </w:pPr>
            <w:r>
              <w:rPr>
                <w:sz w:val="21"/>
                <w:szCs w:val="21"/>
              </w:rPr>
              <w:t>49.0</w:t>
            </w:r>
          </w:p>
        </w:tc>
        <w:tc>
          <w:tcPr>
            <w:tcW w:w="893" w:type="dxa"/>
          </w:tcPr>
          <w:p w14:paraId="1A295841">
            <w:pPr>
              <w:pStyle w:val="63"/>
              <w:spacing w:line="240" w:lineRule="auto"/>
              <w:ind w:firstLine="0" w:firstLineChars="0"/>
              <w:jc w:val="center"/>
              <w:rPr>
                <w:sz w:val="21"/>
                <w:szCs w:val="21"/>
              </w:rPr>
            </w:pPr>
            <w:r>
              <w:rPr>
                <w:sz w:val="21"/>
                <w:szCs w:val="21"/>
              </w:rPr>
              <w:t>49.2</w:t>
            </w:r>
          </w:p>
        </w:tc>
        <w:tc>
          <w:tcPr>
            <w:tcW w:w="695" w:type="dxa"/>
          </w:tcPr>
          <w:p w14:paraId="3F2B79CC">
            <w:pPr>
              <w:pStyle w:val="63"/>
              <w:spacing w:line="240" w:lineRule="auto"/>
              <w:ind w:firstLine="0" w:firstLineChars="0"/>
              <w:jc w:val="center"/>
              <w:rPr>
                <w:sz w:val="21"/>
                <w:szCs w:val="21"/>
              </w:rPr>
            </w:pPr>
            <w:r>
              <w:rPr>
                <w:sz w:val="21"/>
                <w:szCs w:val="21"/>
              </w:rPr>
              <w:t>0.5</w:t>
            </w:r>
          </w:p>
        </w:tc>
        <w:tc>
          <w:tcPr>
            <w:tcW w:w="695" w:type="dxa"/>
          </w:tcPr>
          <w:p w14:paraId="01EC6C31">
            <w:pPr>
              <w:pStyle w:val="63"/>
              <w:spacing w:line="240" w:lineRule="auto"/>
              <w:ind w:firstLine="0" w:firstLineChars="0"/>
              <w:jc w:val="center"/>
              <w:rPr>
                <w:sz w:val="21"/>
                <w:szCs w:val="21"/>
              </w:rPr>
            </w:pPr>
            <w:r>
              <w:rPr>
                <w:sz w:val="21"/>
                <w:szCs w:val="21"/>
              </w:rPr>
              <w:t>0.19</w:t>
            </w:r>
          </w:p>
        </w:tc>
      </w:tr>
    </w:tbl>
    <w:p w14:paraId="0D8F1E46">
      <w:pPr>
        <w:widowControl/>
        <w:autoSpaceDE w:val="0"/>
        <w:autoSpaceDN w:val="0"/>
        <w:jc w:val="center"/>
        <w:rPr>
          <w:b/>
          <w:bCs/>
          <w:sz w:val="24"/>
          <w:szCs w:val="24"/>
        </w:rPr>
      </w:pPr>
    </w:p>
    <w:p w14:paraId="46890DC4">
      <w:pPr>
        <w:widowControl/>
        <w:autoSpaceDE w:val="0"/>
        <w:autoSpaceDN w:val="0"/>
        <w:spacing w:line="360" w:lineRule="auto"/>
        <w:ind w:firstLine="480" w:firstLineChars="200"/>
        <w:jc w:val="left"/>
        <w:rPr>
          <w:sz w:val="24"/>
          <w:szCs w:val="24"/>
        </w:rPr>
      </w:pPr>
      <w:r>
        <w:rPr>
          <w:sz w:val="24"/>
          <w:szCs w:val="24"/>
        </w:rPr>
        <w:t>2）标准水听器校准引入的标准不确定度分量</w:t>
      </w:r>
      <w:r>
        <w:rPr>
          <w:position w:val="-12"/>
        </w:rPr>
        <w:object>
          <v:shape id="_x0000_i1066" o:spt="75" type="#_x0000_t75" style="height:18.45pt;width:12.95pt;" o:ole="t" filled="f" o:preferrelative="t" stroked="f" coordsize="21600,21600">
            <v:path/>
            <v:fill on="f" focussize="0,0"/>
            <v:stroke on="f" joinstyle="miter"/>
            <v:imagedata r:id="rId91" o:title=""/>
            <o:lock v:ext="edit" aspectratio="t"/>
            <w10:wrap type="none"/>
            <w10:anchorlock/>
          </v:shape>
          <o:OLEObject Type="Embed" ProgID="Equation.DSMT4" ShapeID="_x0000_i1066" DrawAspect="Content" ObjectID="_1468075766" r:id="rId90">
            <o:LockedField>false</o:LockedField>
          </o:OLEObject>
        </w:object>
      </w:r>
    </w:p>
    <w:p w14:paraId="12E1E3BC">
      <w:pPr>
        <w:pStyle w:val="63"/>
        <w:ind w:firstLine="480"/>
        <w:rPr>
          <w:rFonts w:eastAsia="宋体"/>
        </w:rPr>
      </w:pPr>
      <w:r>
        <w:rPr>
          <w:rFonts w:eastAsia="宋体"/>
        </w:rPr>
        <w:t>标准水听器引入的标准不确定度分量根据水听器校准报告中给定的数据进行评定。校准报告中</w:t>
      </w:r>
      <w:bookmarkStart w:id="107" w:name="_Hlk199503318"/>
      <w:r>
        <w:rPr>
          <w:rFonts w:eastAsia="宋体"/>
        </w:rPr>
        <w:t xml:space="preserve">300 Hz </w:t>
      </w:r>
      <w:r>
        <w:t xml:space="preserve">≤ </w:t>
      </w:r>
      <w:r>
        <w:rPr>
          <w:i/>
          <w:iCs/>
        </w:rPr>
        <w:t xml:space="preserve">f </w:t>
      </w:r>
      <w:r>
        <w:t xml:space="preserve">≤ </w:t>
      </w:r>
      <w:r>
        <w:rPr>
          <w:rFonts w:eastAsia="宋体"/>
        </w:rPr>
        <w:t>800 Hz</w:t>
      </w:r>
      <w:bookmarkEnd w:id="107"/>
      <w:r>
        <w:rPr>
          <w:rFonts w:eastAsia="宋体"/>
        </w:rPr>
        <w:t>时</w:t>
      </w:r>
      <w:r>
        <w:rPr>
          <w:rFonts w:eastAsia="宋体"/>
          <w:i/>
          <w:iCs/>
        </w:rPr>
        <w:t>U</w:t>
      </w:r>
      <w:r>
        <w:rPr>
          <w:rFonts w:eastAsia="宋体"/>
        </w:rPr>
        <w:t>=1.3 dB（</w:t>
      </w:r>
      <w:r>
        <w:rPr>
          <w:rFonts w:eastAsia="宋体"/>
          <w:i/>
          <w:iCs/>
        </w:rPr>
        <w:t>k</w:t>
      </w:r>
      <w:r>
        <w:rPr>
          <w:rFonts w:eastAsia="宋体"/>
        </w:rPr>
        <w:t>=2），</w:t>
      </w:r>
      <w:bookmarkStart w:id="108" w:name="_Hlk199503327"/>
      <w:r>
        <w:rPr>
          <w:rFonts w:eastAsia="宋体"/>
        </w:rPr>
        <w:t xml:space="preserve">1 kHz </w:t>
      </w:r>
      <w:r>
        <w:t xml:space="preserve">≤ </w:t>
      </w:r>
      <w:r>
        <w:rPr>
          <w:i/>
          <w:iCs/>
        </w:rPr>
        <w:t xml:space="preserve">f </w:t>
      </w:r>
      <w:r>
        <w:t xml:space="preserve">≤ </w:t>
      </w:r>
      <w:r>
        <w:rPr>
          <w:rFonts w:eastAsia="宋体"/>
        </w:rPr>
        <w:t>40 kHz</w:t>
      </w:r>
      <w:bookmarkEnd w:id="108"/>
      <w:r>
        <w:rPr>
          <w:rFonts w:eastAsia="宋体"/>
        </w:rPr>
        <w:t>时</w:t>
      </w:r>
      <w:r>
        <w:rPr>
          <w:rFonts w:eastAsia="宋体"/>
          <w:i/>
          <w:iCs/>
        </w:rPr>
        <w:t>U</w:t>
      </w:r>
      <w:r>
        <w:rPr>
          <w:rFonts w:eastAsia="宋体"/>
        </w:rPr>
        <w:t>=0.9dB（</w:t>
      </w:r>
      <w:r>
        <w:rPr>
          <w:rFonts w:eastAsia="宋体"/>
          <w:i/>
          <w:iCs/>
        </w:rPr>
        <w:t>k</w:t>
      </w:r>
      <w:r>
        <w:rPr>
          <w:rFonts w:eastAsia="宋体"/>
        </w:rPr>
        <w:t>=2）。则标准水听器校准的标准不确定度为：</w:t>
      </w:r>
    </w:p>
    <w:p w14:paraId="12FAF1A4">
      <w:pPr>
        <w:pStyle w:val="63"/>
        <w:ind w:firstLine="480"/>
        <w:jc w:val="right"/>
      </w:pPr>
      <w:r>
        <w:rPr>
          <w:rFonts w:eastAsia="宋体"/>
        </w:rPr>
        <w:t xml:space="preserve">当300 Hz </w:t>
      </w:r>
      <w:r>
        <w:t xml:space="preserve">≤ </w:t>
      </w:r>
      <w:r>
        <w:rPr>
          <w:i/>
          <w:iCs/>
        </w:rPr>
        <w:t xml:space="preserve">f </w:t>
      </w:r>
      <w:r>
        <w:t xml:space="preserve">≤ </w:t>
      </w:r>
      <w:r>
        <w:rPr>
          <w:rFonts w:eastAsia="宋体"/>
        </w:rPr>
        <w:t>800 Hz时，</w:t>
      </w:r>
      <w:r>
        <w:rPr>
          <w:position w:val="-14"/>
        </w:rPr>
        <w:object>
          <v:shape id="_x0000_i1067" o:spt="75" type="#_x0000_t75" style="height:19.6pt;width:36.6pt;" o:ole="t" filled="f" o:preferrelative="t" stroked="f" coordsize="21600,21600">
            <v:path/>
            <v:fill on="f" focussize="0,0"/>
            <v:stroke on="f" joinstyle="miter"/>
            <v:imagedata r:id="rId93" o:title=""/>
            <o:lock v:ext="edit" aspectratio="t"/>
            <w10:wrap type="none"/>
            <w10:anchorlock/>
          </v:shape>
          <o:OLEObject Type="Embed" ProgID="Equation.DSMT4" ShapeID="_x0000_i1067" DrawAspect="Content" ObjectID="_1468075767" r:id="rId92">
            <o:LockedField>false</o:LockedField>
          </o:OLEObject>
        </w:object>
      </w:r>
      <w:r>
        <w:t>=1.3 dB/2=0.65 dB           （C.</w:t>
      </w:r>
      <w:r>
        <w:rPr>
          <w:rFonts w:hint="eastAsia"/>
        </w:rPr>
        <w:t>5</w:t>
      </w:r>
      <w:r>
        <w:t>）</w:t>
      </w:r>
    </w:p>
    <w:p w14:paraId="14399B78">
      <w:pPr>
        <w:pStyle w:val="63"/>
        <w:ind w:firstLine="480"/>
        <w:jc w:val="right"/>
      </w:pPr>
      <w:r>
        <w:rPr>
          <w:rFonts w:eastAsia="宋体"/>
        </w:rPr>
        <w:t xml:space="preserve"> 当1 kHz </w:t>
      </w:r>
      <w:r>
        <w:t xml:space="preserve">≤ </w:t>
      </w:r>
      <w:r>
        <w:rPr>
          <w:i/>
          <w:iCs/>
        </w:rPr>
        <w:t xml:space="preserve">f </w:t>
      </w:r>
      <w:r>
        <w:t xml:space="preserve">≤ </w:t>
      </w:r>
      <w:r>
        <w:rPr>
          <w:rFonts w:eastAsia="宋体"/>
        </w:rPr>
        <w:t>40 kHz时，</w:t>
      </w:r>
      <w:r>
        <w:rPr>
          <w:position w:val="-14"/>
        </w:rPr>
        <w:object>
          <v:shape id="_x0000_i1068" o:spt="75" type="#_x0000_t75" style="height:19.3pt;width:36.85pt;" o:ole="t" filled="f" o:preferrelative="t" stroked="f" coordsize="21600,21600">
            <v:path/>
            <v:fill on="f" focussize="0,0"/>
            <v:stroke on="f" joinstyle="miter"/>
            <v:imagedata r:id="rId95" o:title=""/>
            <o:lock v:ext="edit" aspectratio="t"/>
            <w10:wrap type="none"/>
            <w10:anchorlock/>
          </v:shape>
          <o:OLEObject Type="Embed" ProgID="Equation.DSMT4" ShapeID="_x0000_i1068" DrawAspect="Content" ObjectID="_1468075768" r:id="rId94">
            <o:LockedField>false</o:LockedField>
          </o:OLEObject>
        </w:object>
      </w:r>
      <w:r>
        <w:t>=1.1 dB/2=0.45 dB           （C.</w:t>
      </w:r>
      <w:r>
        <w:rPr>
          <w:rFonts w:hint="eastAsia"/>
        </w:rPr>
        <w:t>6</w:t>
      </w:r>
      <w:r>
        <w:t>）</w:t>
      </w:r>
    </w:p>
    <w:p w14:paraId="46D0B73D">
      <w:pPr>
        <w:pStyle w:val="63"/>
        <w:ind w:firstLine="480"/>
        <w:rPr>
          <w:rFonts w:eastAsia="宋体"/>
        </w:rPr>
      </w:pPr>
      <w:r>
        <w:rPr>
          <w:rFonts w:eastAsia="宋体"/>
        </w:rPr>
        <w:t>因其灵敏系数</w:t>
      </w:r>
      <w:r>
        <w:rPr>
          <w:position w:val="-30"/>
        </w:rPr>
        <w:object>
          <v:shape id="_x0000_i1069" o:spt="75" type="#_x0000_t75" style="height:33.7pt;width:95.4pt;" o:ole="t" filled="f" o:preferrelative="t" stroked="f" coordsize="21600,21600">
            <v:path/>
            <v:fill on="f" focussize="0,0"/>
            <v:stroke on="f" joinstyle="miter"/>
            <v:imagedata r:id="rId97" o:title=""/>
            <o:lock v:ext="edit" aspectratio="t"/>
            <w10:wrap type="none"/>
            <w10:anchorlock/>
          </v:shape>
          <o:OLEObject Type="Embed" ProgID="Equation.DSMT4" ShapeID="_x0000_i1069" DrawAspect="Content" ObjectID="_1468075769" r:id="rId96">
            <o:LockedField>false</o:LockedField>
          </o:OLEObject>
        </w:object>
      </w:r>
      <w:r>
        <w:rPr>
          <w:rFonts w:eastAsia="宋体"/>
        </w:rPr>
        <w:t>，故有：</w:t>
      </w:r>
    </w:p>
    <w:p w14:paraId="4ED4BD49">
      <w:pPr>
        <w:pStyle w:val="63"/>
        <w:ind w:firstLine="480"/>
        <w:jc w:val="right"/>
      </w:pPr>
      <w:r>
        <w:rPr>
          <w:rFonts w:eastAsia="宋体"/>
        </w:rPr>
        <w:t>当300 Hz</w:t>
      </w:r>
      <w:r>
        <w:t>≤</w:t>
      </w:r>
      <w:r>
        <w:rPr>
          <w:i/>
          <w:iCs/>
        </w:rPr>
        <w:t>f</w:t>
      </w:r>
      <w:r>
        <w:t>≤</w:t>
      </w:r>
      <w:r>
        <w:rPr>
          <w:rFonts w:eastAsia="宋体"/>
        </w:rPr>
        <w:t>800 Hz时，</w:t>
      </w:r>
      <w:r>
        <w:rPr>
          <w:position w:val="-16"/>
        </w:rPr>
        <w:object>
          <v:shape id="_x0000_i1070" o:spt="75" type="#_x0000_t75" style="height:21.9pt;width:148.3pt;" o:ole="t" filled="f" o:preferrelative="t" stroked="f" coordsize="21600,21600">
            <v:path/>
            <v:fill on="f" focussize="0,0"/>
            <v:stroke on="f" joinstyle="miter"/>
            <v:imagedata r:id="rId99" o:title=""/>
            <o:lock v:ext="edit" aspectratio="t"/>
            <w10:wrap type="none"/>
            <w10:anchorlock/>
          </v:shape>
          <o:OLEObject Type="Embed" ProgID="Equation.DSMT4" ShapeID="_x0000_i1070" DrawAspect="Content" ObjectID="_1468075770" r:id="rId98">
            <o:LockedField>false</o:LockedField>
          </o:OLEObject>
        </w:object>
      </w:r>
      <w:r>
        <w:t xml:space="preserve">          （C.</w:t>
      </w:r>
      <w:r>
        <w:rPr>
          <w:rFonts w:hint="eastAsia"/>
        </w:rPr>
        <w:t>7</w:t>
      </w:r>
      <w:r>
        <w:t>）</w:t>
      </w:r>
    </w:p>
    <w:p w14:paraId="4948433D">
      <w:pPr>
        <w:pStyle w:val="63"/>
        <w:ind w:firstLine="480"/>
        <w:jc w:val="right"/>
      </w:pPr>
      <w:r>
        <w:rPr>
          <w:rFonts w:eastAsia="宋体"/>
        </w:rPr>
        <w:t>当1 kHz</w:t>
      </w:r>
      <w:r>
        <w:t>≤</w:t>
      </w:r>
      <w:r>
        <w:rPr>
          <w:i/>
          <w:iCs/>
        </w:rPr>
        <w:t>f</w:t>
      </w:r>
      <w:r>
        <w:t>≤</w:t>
      </w:r>
      <w:r>
        <w:rPr>
          <w:rFonts w:eastAsia="宋体"/>
        </w:rPr>
        <w:t>40 kHz时，</w:t>
      </w:r>
      <w:r>
        <w:rPr>
          <w:position w:val="-16"/>
        </w:rPr>
        <w:object>
          <v:shape id="_x0000_i1071" o:spt="75" type="#_x0000_t75" style="height:21.9pt;width:148.3pt;" o:ole="t" filled="f" o:preferrelative="t" stroked="f" coordsize="21600,21600">
            <v:path/>
            <v:fill on="f" focussize="0,0"/>
            <v:stroke on="f" joinstyle="miter"/>
            <v:imagedata r:id="rId101" o:title=""/>
            <o:lock v:ext="edit" aspectratio="t"/>
            <w10:wrap type="none"/>
            <w10:anchorlock/>
          </v:shape>
          <o:OLEObject Type="Embed" ProgID="Equation.DSMT4" ShapeID="_x0000_i1071" DrawAspect="Content" ObjectID="_1468075771" r:id="rId100">
            <o:LockedField>false</o:LockedField>
          </o:OLEObject>
        </w:object>
      </w:r>
      <w:r>
        <w:t xml:space="preserve">          （C.</w:t>
      </w:r>
      <w:r>
        <w:rPr>
          <w:rFonts w:hint="eastAsia"/>
        </w:rPr>
        <w:t>8</w:t>
      </w:r>
      <w:r>
        <w:t>）</w:t>
      </w:r>
    </w:p>
    <w:p w14:paraId="6D06E5B5">
      <w:pPr>
        <w:pStyle w:val="63"/>
        <w:ind w:firstLine="480"/>
      </w:pPr>
    </w:p>
    <w:p w14:paraId="3CA7481D">
      <w:pPr>
        <w:widowControl/>
        <w:autoSpaceDE w:val="0"/>
        <w:autoSpaceDN w:val="0"/>
        <w:spacing w:line="360" w:lineRule="auto"/>
        <w:ind w:firstLine="480" w:firstLineChars="200"/>
        <w:jc w:val="left"/>
        <w:rPr>
          <w:sz w:val="24"/>
          <w:szCs w:val="24"/>
        </w:rPr>
      </w:pPr>
      <w:r>
        <w:rPr>
          <w:sz w:val="24"/>
          <w:szCs w:val="24"/>
        </w:rPr>
        <w:t>3）动态信号分析仪引入的标准不确定度分量</w:t>
      </w:r>
      <w:r>
        <w:rPr>
          <w:position w:val="-12"/>
        </w:rPr>
        <w:object>
          <v:shape id="_x0000_i1072" o:spt="75" type="#_x0000_t75" style="height:18.15pt;width:13.25pt;" o:ole="t" filled="f" o:preferrelative="t" stroked="f" coordsize="21600,21600">
            <v:path/>
            <v:fill on="f" focussize="0,0"/>
            <v:stroke on="f" joinstyle="miter"/>
            <v:imagedata r:id="rId103" o:title=""/>
            <o:lock v:ext="edit" aspectratio="t"/>
            <w10:wrap type="none"/>
            <w10:anchorlock/>
          </v:shape>
          <o:OLEObject Type="Embed" ProgID="Equation.DSMT4" ShapeID="_x0000_i1072" DrawAspect="Content" ObjectID="_1468075772" r:id="rId102">
            <o:LockedField>false</o:LockedField>
          </o:OLEObject>
        </w:object>
      </w:r>
    </w:p>
    <w:p w14:paraId="78866802">
      <w:pPr>
        <w:widowControl/>
        <w:autoSpaceDE w:val="0"/>
        <w:autoSpaceDN w:val="0"/>
        <w:spacing w:line="360" w:lineRule="auto"/>
        <w:ind w:firstLine="480" w:firstLineChars="200"/>
        <w:jc w:val="left"/>
        <w:rPr>
          <w:sz w:val="24"/>
          <w:szCs w:val="24"/>
        </w:rPr>
      </w:pPr>
      <w:r>
        <w:rPr>
          <w:sz w:val="24"/>
          <w:szCs w:val="24"/>
        </w:rPr>
        <w:t>动态信号分析仪引入的标准不确定度分量根据动态信号分析仪校准报告中给定的数据进行评定。校准报告中显示频率幅值示值误差为-0.1%，则动态信号分析仪引入的标准不确定度分量为：</w:t>
      </w:r>
    </w:p>
    <w:p w14:paraId="57510F02">
      <w:pPr>
        <w:widowControl/>
        <w:autoSpaceDE w:val="0"/>
        <w:autoSpaceDN w:val="0"/>
        <w:spacing w:line="360" w:lineRule="auto"/>
        <w:ind w:firstLine="420" w:firstLineChars="200"/>
        <w:jc w:val="right"/>
        <w:rPr>
          <w:iCs/>
          <w:sz w:val="24"/>
          <w:szCs w:val="24"/>
        </w:rPr>
      </w:pPr>
      <w:r>
        <w:rPr>
          <w:position w:val="-12"/>
        </w:rPr>
        <w:object>
          <v:shape id="_x0000_i1073" o:spt="75" type="#_x0000_t75" style="height:18.15pt;width:78.3pt;" o:ole="t" filled="f" o:preferrelative="t" stroked="f" coordsize="21600,21600">
            <v:path/>
            <v:fill on="f" focussize="0,0"/>
            <v:stroke on="f" joinstyle="miter"/>
            <v:imagedata r:id="rId105" o:title=""/>
            <o:lock v:ext="edit" aspectratio="t"/>
            <w10:wrap type="none"/>
            <w10:anchorlock/>
          </v:shape>
          <o:OLEObject Type="Embed" ProgID="Equation.DSMT4" ShapeID="_x0000_i1073" DrawAspect="Content" ObjectID="_1468075773" r:id="rId104">
            <o:LockedField>false</o:LockedField>
          </o:OLEObject>
        </w:object>
      </w:r>
      <w:r>
        <w:rPr>
          <w:iCs/>
          <w:sz w:val="24"/>
          <w:szCs w:val="24"/>
        </w:rPr>
        <w:t xml:space="preserve">                         （C.</w:t>
      </w:r>
      <w:r>
        <w:rPr>
          <w:rFonts w:hint="eastAsia"/>
          <w:iCs/>
          <w:sz w:val="24"/>
          <w:szCs w:val="24"/>
        </w:rPr>
        <w:t>9</w:t>
      </w:r>
      <w:r>
        <w:rPr>
          <w:iCs/>
          <w:sz w:val="24"/>
          <w:szCs w:val="24"/>
        </w:rPr>
        <w:t>）</w:t>
      </w:r>
    </w:p>
    <w:p w14:paraId="1212A5EF">
      <w:pPr>
        <w:widowControl/>
        <w:autoSpaceDE w:val="0"/>
        <w:autoSpaceDN w:val="0"/>
        <w:spacing w:line="360" w:lineRule="auto"/>
        <w:ind w:firstLine="480" w:firstLineChars="200"/>
        <w:rPr>
          <w:iCs/>
          <w:sz w:val="24"/>
          <w:szCs w:val="24"/>
        </w:rPr>
      </w:pPr>
      <w:r>
        <w:rPr>
          <w:iCs/>
          <w:sz w:val="24"/>
          <w:szCs w:val="24"/>
        </w:rPr>
        <w:t>式中：</w:t>
      </w:r>
    </w:p>
    <w:p w14:paraId="5BB9AA59">
      <w:pPr>
        <w:widowControl/>
        <w:autoSpaceDE w:val="0"/>
        <w:autoSpaceDN w:val="0"/>
        <w:spacing w:line="360" w:lineRule="auto"/>
        <w:ind w:firstLine="420" w:firstLineChars="200"/>
        <w:rPr>
          <w:iCs/>
          <w:sz w:val="24"/>
          <w:szCs w:val="24"/>
        </w:rPr>
      </w:pPr>
      <w:r>
        <w:rPr>
          <w:position w:val="-12"/>
        </w:rPr>
        <w:object>
          <v:shape id="_x0000_i1074" o:spt="75" type="#_x0000_t75" style="height:18.15pt;width:15pt;" o:ole="t" filled="f" o:preferrelative="t" stroked="f" coordsize="21600,21600">
            <v:path/>
            <v:fill on="f" focussize="0,0"/>
            <v:stroke on="f" joinstyle="miter"/>
            <v:imagedata r:id="rId107" o:title=""/>
            <o:lock v:ext="edit" aspectratio="t"/>
            <w10:wrap type="none"/>
            <w10:anchorlock/>
          </v:shape>
          <o:OLEObject Type="Embed" ProgID="Equation.DSMT4" ShapeID="_x0000_i1074" DrawAspect="Content" ObjectID="_1468075774" r:id="rId106">
            <o:LockedField>false</o:LockedField>
          </o:OLEObject>
        </w:object>
      </w:r>
      <w:bookmarkStart w:id="109" w:name="OLE_LINK7"/>
      <w:r>
        <w:t>——</w:t>
      </w:r>
      <w:bookmarkEnd w:id="109"/>
      <w:r>
        <w:rPr>
          <w:iCs/>
          <w:sz w:val="24"/>
          <w:szCs w:val="24"/>
        </w:rPr>
        <w:t>每个频率点处多次测量得到的声压谱密度级的能量平均值，dB</w:t>
      </w:r>
      <w:bookmarkStart w:id="110" w:name="_Hlk199503351"/>
      <w:r>
        <w:rPr>
          <w:sz w:val="24"/>
          <w:szCs w:val="24"/>
        </w:rPr>
        <w:t>（基准值：</w:t>
      </w:r>
      <w:r>
        <w:rPr>
          <w:position w:val="-10"/>
        </w:rPr>
        <w:object>
          <v:shape id="_x0000_i1075" o:spt="75" type="#_x0000_t75" style="height:18.7pt;width:52.7pt;" o:ole="t" filled="f" o:preferrelative="t" stroked="f" coordsize="21600,21600">
            <v:path/>
            <v:fill on="f" focussize="0,0"/>
            <v:stroke on="f" joinstyle="miter"/>
            <v:imagedata r:id="rId44" o:title=""/>
            <o:lock v:ext="edit" aspectratio="t"/>
            <w10:wrap type="none"/>
            <w10:anchorlock/>
          </v:shape>
          <o:OLEObject Type="Embed" ProgID="Equation.DSMT4" ShapeID="_x0000_i1075" DrawAspect="Content" ObjectID="_1468075775" r:id="rId108">
            <o:LockedField>false</o:LockedField>
          </o:OLEObject>
        </w:object>
      </w:r>
      <w:r>
        <w:rPr>
          <w:sz w:val="24"/>
          <w:szCs w:val="24"/>
        </w:rPr>
        <w:t>）</w:t>
      </w:r>
      <w:bookmarkEnd w:id="110"/>
      <w:r>
        <w:rPr>
          <w:iCs/>
          <w:sz w:val="24"/>
          <w:szCs w:val="24"/>
        </w:rPr>
        <w:t>。</w:t>
      </w:r>
    </w:p>
    <w:p w14:paraId="7CC90460">
      <w:pPr>
        <w:widowControl/>
        <w:autoSpaceDE w:val="0"/>
        <w:autoSpaceDN w:val="0"/>
        <w:spacing w:line="360" w:lineRule="auto"/>
        <w:ind w:firstLine="420" w:firstLineChars="200"/>
        <w:jc w:val="right"/>
        <w:rPr>
          <w:iCs/>
          <w:sz w:val="24"/>
          <w:szCs w:val="24"/>
        </w:rPr>
      </w:pPr>
      <w:r>
        <w:rPr>
          <w:position w:val="-28"/>
        </w:rPr>
        <w:object>
          <v:shape id="_x0000_i1076" o:spt="75" type="#_x0000_t75" style="height:35.15pt;width:97.6pt;" o:ole="t" filled="f" o:preferrelative="t" stroked="f" coordsize="21600,21600">
            <v:path/>
            <v:fill on="f" focussize="0,0"/>
            <v:stroke on="f" joinstyle="miter"/>
            <v:imagedata r:id="rId110" o:title=""/>
            <o:lock v:ext="edit" aspectratio="t"/>
            <w10:wrap type="none"/>
            <w10:anchorlock/>
          </v:shape>
          <o:OLEObject Type="Embed" ProgID="Equation.DSMT4" ShapeID="_x0000_i1076" DrawAspect="Content" ObjectID="_1468075776" r:id="rId109">
            <o:LockedField>false</o:LockedField>
          </o:OLEObject>
        </w:object>
      </w:r>
      <w:r>
        <w:rPr>
          <w:iCs/>
          <w:sz w:val="24"/>
          <w:szCs w:val="24"/>
        </w:rPr>
        <w:t xml:space="preserve">                      （C.</w:t>
      </w:r>
      <w:r>
        <w:rPr>
          <w:rFonts w:hint="eastAsia"/>
          <w:iCs/>
          <w:sz w:val="24"/>
          <w:szCs w:val="24"/>
        </w:rPr>
        <w:t>10</w:t>
      </w:r>
      <w:r>
        <w:rPr>
          <w:iCs/>
          <w:sz w:val="24"/>
          <w:szCs w:val="24"/>
        </w:rPr>
        <w:t xml:space="preserve">） </w:t>
      </w:r>
    </w:p>
    <w:p w14:paraId="1888102C">
      <w:pPr>
        <w:widowControl/>
        <w:autoSpaceDE w:val="0"/>
        <w:autoSpaceDN w:val="0"/>
        <w:spacing w:line="360" w:lineRule="auto"/>
        <w:ind w:firstLine="480" w:firstLineChars="200"/>
        <w:jc w:val="left"/>
        <w:rPr>
          <w:iCs/>
          <w:sz w:val="24"/>
          <w:szCs w:val="24"/>
        </w:rPr>
      </w:pPr>
      <w:r>
        <w:rPr>
          <w:iCs/>
          <w:sz w:val="24"/>
          <w:szCs w:val="24"/>
        </w:rPr>
        <w:t>式中：</w:t>
      </w:r>
    </w:p>
    <w:p w14:paraId="46B9D43B">
      <w:pPr>
        <w:widowControl/>
        <w:autoSpaceDE w:val="0"/>
        <w:autoSpaceDN w:val="0"/>
        <w:spacing w:line="360" w:lineRule="auto"/>
        <w:ind w:firstLine="420" w:firstLineChars="200"/>
        <w:jc w:val="left"/>
        <w:rPr>
          <w:iCs/>
          <w:sz w:val="24"/>
          <w:szCs w:val="24"/>
        </w:rPr>
      </w:pPr>
      <w:r>
        <w:rPr>
          <w:position w:val="-12"/>
        </w:rPr>
        <w:object>
          <v:shape id="_x0000_i1077" o:spt="75" type="#_x0000_t75" style="height:18.15pt;width:16.9pt;" o:ole="t" filled="f" o:preferrelative="t" stroked="f" coordsize="21600,21600">
            <v:path/>
            <v:fill on="f" focussize="0,0"/>
            <v:stroke on="f" joinstyle="miter"/>
            <v:imagedata r:id="rId112" o:title=""/>
            <o:lock v:ext="edit" aspectratio="t"/>
            <w10:wrap type="none"/>
            <w10:anchorlock/>
          </v:shape>
          <o:OLEObject Type="Embed" ProgID="Equation.DSMT4" ShapeID="_x0000_i1077" DrawAspect="Content" ObjectID="_1468075777" r:id="rId111">
            <o:LockedField>false</o:LockedField>
          </o:OLEObject>
        </w:object>
      </w:r>
      <w:r>
        <w:t>——</w:t>
      </w:r>
      <w:r>
        <w:rPr>
          <w:iCs/>
          <w:sz w:val="24"/>
          <w:szCs w:val="24"/>
        </w:rPr>
        <w:t xml:space="preserve">每个频率点处第 </w:t>
      </w:r>
      <w:r>
        <w:rPr>
          <w:i/>
          <w:sz w:val="24"/>
          <w:szCs w:val="24"/>
        </w:rPr>
        <w:t xml:space="preserve">i </w:t>
      </w:r>
      <w:r>
        <w:rPr>
          <w:iCs/>
          <w:sz w:val="24"/>
          <w:szCs w:val="24"/>
        </w:rPr>
        <w:t>次测量的声压谱密度级，dB</w:t>
      </w:r>
      <w:r>
        <w:rPr>
          <w:sz w:val="24"/>
          <w:szCs w:val="24"/>
        </w:rPr>
        <w:t>（基准值：</w:t>
      </w:r>
      <w:r>
        <w:rPr>
          <w:position w:val="-10"/>
        </w:rPr>
        <w:object>
          <v:shape id="_x0000_i1078" o:spt="75" type="#_x0000_t75" style="height:18.8pt;width:52.6pt;" o:ole="t" filled="f" o:preferrelative="t" stroked="f" coordsize="21600,21600">
            <v:path/>
            <v:fill on="f" focussize="0,0"/>
            <v:stroke on="f" joinstyle="miter"/>
            <v:imagedata r:id="rId44" o:title=""/>
            <o:lock v:ext="edit" aspectratio="t"/>
            <w10:wrap type="none"/>
            <w10:anchorlock/>
          </v:shape>
          <o:OLEObject Type="Embed" ProgID="Equation.DSMT4" ShapeID="_x0000_i1078" DrawAspect="Content" ObjectID="_1468075778" r:id="rId113">
            <o:LockedField>false</o:LockedField>
          </o:OLEObject>
        </w:object>
      </w:r>
      <w:r>
        <w:rPr>
          <w:sz w:val="24"/>
          <w:szCs w:val="24"/>
        </w:rPr>
        <w:t>）</w:t>
      </w:r>
      <w:r>
        <w:rPr>
          <w:iCs/>
          <w:sz w:val="24"/>
          <w:szCs w:val="24"/>
        </w:rPr>
        <w:t>；</w:t>
      </w:r>
      <w:r>
        <w:rPr>
          <w:i/>
          <w:sz w:val="24"/>
          <w:szCs w:val="24"/>
        </w:rPr>
        <w:t>n</w:t>
      </w:r>
      <w:r>
        <w:rPr>
          <w:iCs/>
          <w:sz w:val="24"/>
          <w:szCs w:val="24"/>
        </w:rPr>
        <w:t>为测量次数。</w:t>
      </w:r>
    </w:p>
    <w:p w14:paraId="620FB0ED">
      <w:pPr>
        <w:widowControl/>
        <w:autoSpaceDE w:val="0"/>
        <w:autoSpaceDN w:val="0"/>
        <w:spacing w:line="360" w:lineRule="auto"/>
        <w:ind w:firstLine="480" w:firstLineChars="200"/>
        <w:jc w:val="right"/>
        <w:rPr>
          <w:sz w:val="24"/>
          <w:szCs w:val="24"/>
        </w:rPr>
      </w:pPr>
      <w:r>
        <w:rPr>
          <w:iCs/>
          <w:sz w:val="24"/>
          <w:szCs w:val="24"/>
        </w:rPr>
        <w:t xml:space="preserve">当 </w:t>
      </w:r>
      <w:r>
        <w:rPr>
          <w:i/>
          <w:sz w:val="24"/>
          <w:szCs w:val="24"/>
        </w:rPr>
        <w:t>f</w:t>
      </w:r>
      <w:r>
        <w:rPr>
          <w:iCs/>
          <w:sz w:val="24"/>
          <w:szCs w:val="24"/>
        </w:rPr>
        <w:t>=1250 Hz时，</w:t>
      </w:r>
      <w:r>
        <w:t xml:space="preserve"> </w:t>
      </w:r>
      <w:r>
        <w:rPr>
          <w:position w:val="-12"/>
        </w:rPr>
        <w:object>
          <v:shape id="_x0000_i1079" o:spt="75" type="#_x0000_t75" style="height:18.15pt;width:13.15pt;" o:ole="t" filled="f" o:preferrelative="t" stroked="f" coordsize="21600,21600">
            <v:path/>
            <v:fill on="f" focussize="0,0"/>
            <v:stroke on="f" joinstyle="miter"/>
            <v:imagedata r:id="rId103" o:title=""/>
            <o:lock v:ext="edit" aspectratio="t"/>
            <w10:wrap type="none"/>
            <w10:anchorlock/>
          </v:shape>
          <o:OLEObject Type="Embed" ProgID="Equation.DSMT4" ShapeID="_x0000_i1079" DrawAspect="Content" ObjectID="_1468075779" r:id="rId114">
            <o:LockedField>false</o:LockedField>
          </o:OLEObject>
        </w:object>
      </w:r>
      <w:r>
        <w:rPr>
          <w:sz w:val="24"/>
          <w:szCs w:val="28"/>
        </w:rPr>
        <w:t>=0.06 dB</w:t>
      </w:r>
      <w:r>
        <w:rPr>
          <w:iCs/>
          <w:sz w:val="24"/>
          <w:szCs w:val="24"/>
        </w:rPr>
        <w:t xml:space="preserve">                   （C.1</w:t>
      </w:r>
      <w:r>
        <w:rPr>
          <w:rFonts w:hint="eastAsia"/>
          <w:iCs/>
          <w:sz w:val="24"/>
          <w:szCs w:val="24"/>
        </w:rPr>
        <w:t>1</w:t>
      </w:r>
      <w:r>
        <w:rPr>
          <w:iCs/>
          <w:sz w:val="24"/>
          <w:szCs w:val="24"/>
        </w:rPr>
        <w:t>）</w:t>
      </w:r>
    </w:p>
    <w:p w14:paraId="5F0D6614">
      <w:pPr>
        <w:widowControl/>
        <w:autoSpaceDE w:val="0"/>
        <w:autoSpaceDN w:val="0"/>
        <w:spacing w:line="360" w:lineRule="auto"/>
        <w:ind w:firstLine="480" w:firstLineChars="200"/>
        <w:jc w:val="left"/>
        <w:rPr>
          <w:sz w:val="24"/>
          <w:szCs w:val="24"/>
        </w:rPr>
      </w:pPr>
      <w:r>
        <w:rPr>
          <w:sz w:val="24"/>
          <w:szCs w:val="24"/>
        </w:rPr>
        <w:t>4）噪声声压谱线分析带宽误差引入的标准不确定度分量</w:t>
      </w:r>
      <w:r>
        <w:rPr>
          <w:position w:val="-12"/>
        </w:rPr>
        <w:object>
          <v:shape id="_x0000_i1080" o:spt="75" type="#_x0000_t75" style="height:18.15pt;width:13.15pt;" o:ole="t" filled="f" o:preferrelative="t" stroked="f" coordsize="21600,21600">
            <v:path/>
            <v:fill on="f" focussize="0,0"/>
            <v:stroke on="f" joinstyle="miter"/>
            <v:imagedata r:id="rId116" o:title=""/>
            <o:lock v:ext="edit" aspectratio="t"/>
            <w10:wrap type="none"/>
            <w10:anchorlock/>
          </v:shape>
          <o:OLEObject Type="Embed" ProgID="Equation.DSMT4" ShapeID="_x0000_i1080" DrawAspect="Content" ObjectID="_1468075780" r:id="rId115">
            <o:LockedField>false</o:LockedField>
          </o:OLEObject>
        </w:object>
      </w:r>
    </w:p>
    <w:p w14:paraId="0E44912E">
      <w:pPr>
        <w:widowControl/>
        <w:autoSpaceDE w:val="0"/>
        <w:autoSpaceDN w:val="0"/>
        <w:spacing w:line="360" w:lineRule="auto"/>
        <w:ind w:firstLine="480" w:firstLineChars="200"/>
        <w:rPr>
          <w:sz w:val="24"/>
          <w:szCs w:val="24"/>
        </w:rPr>
      </w:pPr>
      <w:r>
        <w:rPr>
          <w:sz w:val="24"/>
          <w:szCs w:val="24"/>
        </w:rPr>
        <w:t>噪声声压谱线分析带宽引入的标准不确定度分量按B类方法评定。分析带宽的误差不应超过± 3.0%，以分析频率范围40 kHz，分析谱线40000为例，分析带宽</w:t>
      </w:r>
      <w:r>
        <w:rPr>
          <w:position w:val="-10"/>
        </w:rPr>
        <w:object>
          <v:shape id="_x0000_i1081" o:spt="75" type="#_x0000_t75" style="height:16.3pt;width:16.9pt;" o:ole="t" filled="f" o:preferrelative="t" stroked="f" coordsize="21600,21600">
            <v:path/>
            <v:fill on="f" focussize="0,0"/>
            <v:stroke on="f" joinstyle="miter"/>
            <v:imagedata r:id="rId118" o:title=""/>
            <o:lock v:ext="edit" aspectratio="t"/>
            <w10:wrap type="none"/>
            <w10:anchorlock/>
          </v:shape>
          <o:OLEObject Type="Embed" ProgID="Equation.DSMT4" ShapeID="_x0000_i1081" DrawAspect="Content" ObjectID="_1468075781" r:id="rId117">
            <o:LockedField>false</o:LockedField>
          </o:OLEObject>
        </w:object>
      </w:r>
      <w:r>
        <w:rPr>
          <w:i/>
          <w:iCs/>
          <w:sz w:val="24"/>
          <w:szCs w:val="24"/>
        </w:rPr>
        <w:t>=</w:t>
      </w:r>
      <w:r>
        <w:rPr>
          <w:sz w:val="24"/>
          <w:szCs w:val="24"/>
        </w:rPr>
        <w:t>1 Hz，则</w:t>
      </w:r>
      <w:r>
        <w:rPr>
          <w:position w:val="-10"/>
        </w:rPr>
        <w:object>
          <v:shape id="_x0000_i1082" o:spt="75" type="#_x0000_t75" style="height:16.3pt;width:16.9pt;" o:ole="t" filled="f" o:preferrelative="t" stroked="f" coordsize="21600,21600">
            <v:path/>
            <v:fill on="f" focussize="0,0"/>
            <v:stroke on="f" joinstyle="miter"/>
            <v:imagedata r:id="rId77" o:title=""/>
            <o:lock v:ext="edit" aspectratio="t"/>
            <w10:wrap type="none"/>
            <w10:anchorlock/>
          </v:shape>
          <o:OLEObject Type="Embed" ProgID="Equation.DSMT4" ShapeID="_x0000_i1082" DrawAspect="Content" ObjectID="_1468075782" r:id="rId119">
            <o:LockedField>false</o:LockedField>
          </o:OLEObject>
        </w:object>
      </w:r>
      <w:r>
        <w:rPr>
          <w:sz w:val="24"/>
          <w:szCs w:val="24"/>
        </w:rPr>
        <w:t>的绝对误差为± 0.03 Hz，以均匀分布考虑，取</w:t>
      </w:r>
      <w:r>
        <w:rPr>
          <w:position w:val="-8"/>
        </w:rPr>
        <w:object>
          <v:shape id="_x0000_i1083" o:spt="75" type="#_x0000_t75" style="height:18.15pt;width:36.3pt;" o:ole="t" filled="f" o:preferrelative="t" stroked="f" coordsize="21600,21600">
            <v:path/>
            <v:fill on="f" focussize="0,0"/>
            <v:stroke on="f" joinstyle="miter"/>
            <v:imagedata r:id="rId121" o:title=""/>
            <o:lock v:ext="edit" aspectratio="t"/>
            <w10:wrap type="none"/>
            <w10:anchorlock/>
          </v:shape>
          <o:OLEObject Type="Embed" ProgID="Equation.DSMT4" ShapeID="_x0000_i1083" DrawAspect="Content" ObjectID="_1468075783" r:id="rId120">
            <o:LockedField>false</o:LockedField>
          </o:OLEObject>
        </w:object>
      </w:r>
      <w:r>
        <w:rPr>
          <w:sz w:val="24"/>
          <w:szCs w:val="24"/>
        </w:rPr>
        <w:t>，则测量</w:t>
      </w:r>
      <w:r>
        <w:rPr>
          <w:position w:val="-10"/>
        </w:rPr>
        <w:object>
          <v:shape id="_x0000_i1084" o:spt="75" type="#_x0000_t75" style="height:16.3pt;width:16.9pt;" o:ole="t" filled="f" o:preferrelative="t" stroked="f" coordsize="21600,21600">
            <v:path/>
            <v:fill on="f" focussize="0,0"/>
            <v:stroke on="f" joinstyle="miter"/>
            <v:imagedata r:id="rId77" o:title=""/>
            <o:lock v:ext="edit" aspectratio="t"/>
            <w10:wrap type="none"/>
            <w10:anchorlock/>
          </v:shape>
          <o:OLEObject Type="Embed" ProgID="Equation.DSMT4" ShapeID="_x0000_i1084" DrawAspect="Content" ObjectID="_1468075784" r:id="rId122">
            <o:LockedField>false</o:LockedField>
          </o:OLEObject>
        </w:object>
      </w:r>
      <w:r>
        <w:rPr>
          <w:sz w:val="24"/>
          <w:szCs w:val="24"/>
        </w:rPr>
        <w:t>时滤波器的标准不确定度为：</w:t>
      </w:r>
    </w:p>
    <w:p w14:paraId="77824A34">
      <w:pPr>
        <w:widowControl/>
        <w:autoSpaceDE w:val="0"/>
        <w:autoSpaceDN w:val="0"/>
        <w:spacing w:line="360" w:lineRule="auto"/>
        <w:ind w:firstLine="420" w:firstLineChars="200"/>
        <w:jc w:val="right"/>
        <w:rPr>
          <w:sz w:val="24"/>
          <w:szCs w:val="24"/>
        </w:rPr>
      </w:pPr>
      <w:r>
        <w:rPr>
          <w:position w:val="-14"/>
        </w:rPr>
        <w:object>
          <v:shape id="_x0000_i1085" o:spt="75" type="#_x0000_t75" style="height:21.3pt;width:125.25pt;" o:ole="t" filled="f" o:preferrelative="t" stroked="f" coordsize="21600,21600">
            <v:path/>
            <v:fill on="f" focussize="0,0"/>
            <v:stroke on="f" joinstyle="miter"/>
            <v:imagedata r:id="rId124" o:title=""/>
            <o:lock v:ext="edit" aspectratio="t"/>
            <w10:wrap type="none"/>
            <w10:anchorlock/>
          </v:shape>
          <o:OLEObject Type="Embed" ProgID="Equation.DSMT4" ShapeID="_x0000_i1085" DrawAspect="Content" ObjectID="_1468075785" r:id="rId123">
            <o:LockedField>false</o:LockedField>
          </o:OLEObject>
        </w:object>
      </w:r>
      <w:r>
        <w:rPr>
          <w:sz w:val="24"/>
          <w:szCs w:val="28"/>
        </w:rPr>
        <w:t xml:space="preserve">Hz            </w:t>
      </w:r>
      <w:bookmarkStart w:id="111" w:name="_Hlk202460143"/>
      <w:r>
        <w:rPr>
          <w:sz w:val="24"/>
          <w:szCs w:val="28"/>
        </w:rPr>
        <w:t xml:space="preserve">      （C.1</w:t>
      </w:r>
      <w:r>
        <w:rPr>
          <w:rFonts w:hint="eastAsia"/>
          <w:sz w:val="24"/>
          <w:szCs w:val="28"/>
        </w:rPr>
        <w:t>2</w:t>
      </w:r>
      <w:r>
        <w:rPr>
          <w:sz w:val="24"/>
          <w:szCs w:val="28"/>
        </w:rPr>
        <w:t>）</w:t>
      </w:r>
    </w:p>
    <w:bookmarkEnd w:id="111"/>
    <w:p w14:paraId="5C65AB71">
      <w:pPr>
        <w:widowControl/>
        <w:autoSpaceDE w:val="0"/>
        <w:autoSpaceDN w:val="0"/>
        <w:spacing w:line="360" w:lineRule="auto"/>
        <w:ind w:firstLine="480" w:firstLineChars="200"/>
        <w:rPr>
          <w:sz w:val="24"/>
          <w:szCs w:val="24"/>
        </w:rPr>
      </w:pPr>
      <w:r>
        <w:rPr>
          <w:sz w:val="24"/>
          <w:szCs w:val="24"/>
        </w:rPr>
        <w:t>因其灵敏系数</w:t>
      </w:r>
      <w:r>
        <w:rPr>
          <w:position w:val="-28"/>
        </w:rPr>
        <w:object>
          <v:shape id="_x0000_i1086" o:spt="75" type="#_x0000_t75" style="height:33.2pt;width:122.05pt;" o:ole="t" filled="f" o:preferrelative="t" stroked="f" coordsize="21600,21600">
            <v:path/>
            <v:fill on="f" focussize="0,0"/>
            <v:stroke on="f" joinstyle="miter"/>
            <v:imagedata r:id="rId126" o:title=""/>
            <o:lock v:ext="edit" aspectratio="t"/>
            <w10:wrap type="none"/>
            <w10:anchorlock/>
          </v:shape>
          <o:OLEObject Type="Embed" ProgID="Equation.DSMT4" ShapeID="_x0000_i1086" DrawAspect="Content" ObjectID="_1468075786" r:id="rId125">
            <o:LockedField>false</o:LockedField>
          </o:OLEObject>
        </w:object>
      </w:r>
      <w:r>
        <w:rPr>
          <w:sz w:val="24"/>
          <w:szCs w:val="24"/>
        </w:rPr>
        <w:t>，故有：</w:t>
      </w:r>
    </w:p>
    <w:p w14:paraId="436F0650">
      <w:pPr>
        <w:widowControl/>
        <w:autoSpaceDE w:val="0"/>
        <w:autoSpaceDN w:val="0"/>
        <w:spacing w:line="360" w:lineRule="auto"/>
        <w:ind w:firstLine="420" w:firstLineChars="200"/>
        <w:jc w:val="right"/>
        <w:rPr>
          <w:sz w:val="24"/>
          <w:szCs w:val="24"/>
        </w:rPr>
      </w:pPr>
      <w:r>
        <w:rPr>
          <w:position w:val="-24"/>
        </w:rPr>
        <w:object>
          <v:shape id="_x0000_i1087" o:spt="75" type="#_x0000_t75" style="height:31.3pt;width:202.8pt;" o:ole="t" filled="f" o:preferrelative="t" stroked="f" coordsize="21600,21600">
            <v:path/>
            <v:fill on="f" focussize="0,0"/>
            <v:stroke on="f" joinstyle="miter"/>
            <v:imagedata r:id="rId128" o:title=""/>
            <o:lock v:ext="edit" aspectratio="t"/>
            <w10:wrap type="none"/>
            <w10:anchorlock/>
          </v:shape>
          <o:OLEObject Type="Embed" ProgID="Equation.DSMT4" ShapeID="_x0000_i1087" DrawAspect="Content" ObjectID="_1468075787" r:id="rId127">
            <o:LockedField>false</o:LockedField>
          </o:OLEObject>
        </w:object>
      </w:r>
      <w:r>
        <w:t xml:space="preserve"> </w:t>
      </w:r>
      <w:r>
        <w:rPr>
          <w:sz w:val="24"/>
          <w:szCs w:val="28"/>
        </w:rPr>
        <w:t>dB            （C.1</w:t>
      </w:r>
      <w:r>
        <w:rPr>
          <w:rFonts w:hint="eastAsia"/>
          <w:sz w:val="24"/>
          <w:szCs w:val="28"/>
        </w:rPr>
        <w:t>3</w:t>
      </w:r>
      <w:r>
        <w:rPr>
          <w:sz w:val="24"/>
          <w:szCs w:val="28"/>
        </w:rPr>
        <w:t>）</w:t>
      </w:r>
    </w:p>
    <w:p w14:paraId="1551F2FF">
      <w:pPr>
        <w:widowControl/>
        <w:autoSpaceDE w:val="0"/>
        <w:autoSpaceDN w:val="0"/>
        <w:spacing w:line="360" w:lineRule="auto"/>
        <w:ind w:firstLine="480" w:firstLineChars="200"/>
        <w:rPr>
          <w:sz w:val="24"/>
          <w:szCs w:val="24"/>
        </w:rPr>
      </w:pPr>
      <w:r>
        <w:rPr>
          <w:sz w:val="24"/>
          <w:szCs w:val="24"/>
        </w:rPr>
        <w:t>5）距离测量引入的标准不确定度分量</w:t>
      </w:r>
      <w:r>
        <w:rPr>
          <w:position w:val="-12"/>
        </w:rPr>
        <w:object>
          <v:shape id="_x0000_i1088" o:spt="75" type="#_x0000_t75" style="height:18.15pt;width:13.15pt;" o:ole="t" filled="f" o:preferrelative="t" stroked="f" coordsize="21600,21600">
            <v:path/>
            <v:fill on="f" focussize="0,0"/>
            <v:stroke on="f" joinstyle="miter"/>
            <v:imagedata r:id="rId130" o:title=""/>
            <o:lock v:ext="edit" aspectratio="t"/>
            <w10:wrap type="none"/>
            <w10:anchorlock/>
          </v:shape>
          <o:OLEObject Type="Embed" ProgID="Equation.DSMT4" ShapeID="_x0000_i1088" DrawAspect="Content" ObjectID="_1468075788" r:id="rId129">
            <o:LockedField>false</o:LockedField>
          </o:OLEObject>
        </w:object>
      </w:r>
    </w:p>
    <w:p w14:paraId="03E3E281">
      <w:pPr>
        <w:widowControl/>
        <w:autoSpaceDE w:val="0"/>
        <w:autoSpaceDN w:val="0"/>
        <w:spacing w:line="360" w:lineRule="auto"/>
        <w:ind w:firstLine="480" w:firstLineChars="200"/>
        <w:rPr>
          <w:sz w:val="24"/>
          <w:szCs w:val="24"/>
        </w:rPr>
      </w:pPr>
      <w:r>
        <w:rPr>
          <w:sz w:val="24"/>
          <w:szCs w:val="24"/>
        </w:rPr>
        <w:t>距离测量引入的标准不确定度分量按照B类方法评定。对距离测量的示值误差不应超过±1%，以</w:t>
      </w:r>
      <w:r>
        <w:rPr>
          <w:i/>
          <w:iCs/>
          <w:sz w:val="24"/>
          <w:szCs w:val="24"/>
        </w:rPr>
        <w:t>d</w:t>
      </w:r>
      <w:r>
        <w:rPr>
          <w:sz w:val="24"/>
          <w:szCs w:val="24"/>
        </w:rPr>
        <w:t>为例，距离测量值的算术平均值为5 m，则绝对误差为± 0.05 m。以均匀分布考虑，取</w:t>
      </w:r>
      <w:r>
        <w:rPr>
          <w:position w:val="-8"/>
        </w:rPr>
        <w:object>
          <v:shape id="_x0000_i1089" o:spt="75" type="#_x0000_t75" style="height:18.15pt;width:36.3pt;" o:ole="t" filled="f" o:preferrelative="t" stroked="f" coordsize="21600,21600">
            <v:path/>
            <v:fill on="f" focussize="0,0"/>
            <v:stroke on="f" joinstyle="miter"/>
            <v:imagedata r:id="rId121" o:title=""/>
            <o:lock v:ext="edit" aspectratio="t"/>
            <w10:wrap type="none"/>
            <w10:anchorlock/>
          </v:shape>
          <o:OLEObject Type="Embed" ProgID="Equation.DSMT4" ShapeID="_x0000_i1089" DrawAspect="Content" ObjectID="_1468075789" r:id="rId131">
            <o:LockedField>false</o:LockedField>
          </o:OLEObject>
        </w:object>
      </w:r>
      <w:r>
        <w:rPr>
          <w:sz w:val="24"/>
          <w:szCs w:val="24"/>
        </w:rPr>
        <w:t>，则测量</w:t>
      </w:r>
      <w:r>
        <w:rPr>
          <w:i/>
          <w:iCs/>
          <w:sz w:val="24"/>
          <w:szCs w:val="24"/>
        </w:rPr>
        <w:t>d</w:t>
      </w:r>
      <w:r>
        <w:rPr>
          <w:sz w:val="24"/>
          <w:szCs w:val="24"/>
        </w:rPr>
        <w:t>时距离测量的示值误差的标准不确定度为：</w:t>
      </w:r>
    </w:p>
    <w:p w14:paraId="2030CA7D">
      <w:pPr>
        <w:widowControl/>
        <w:autoSpaceDE w:val="0"/>
        <w:autoSpaceDN w:val="0"/>
        <w:spacing w:line="360" w:lineRule="auto"/>
        <w:ind w:firstLine="420" w:firstLineChars="200"/>
        <w:jc w:val="right"/>
        <w:rPr>
          <w:sz w:val="24"/>
          <w:szCs w:val="24"/>
        </w:rPr>
      </w:pPr>
      <w:r>
        <w:rPr>
          <w:position w:val="-14"/>
        </w:rPr>
        <w:object>
          <v:shape id="_x0000_i1090" o:spt="75" type="#_x0000_t75" style="height:21.3pt;width:112.65pt;" o:ole="t" filled="f" o:preferrelative="t" stroked="f" coordsize="21600,21600">
            <v:path/>
            <v:fill on="f" focussize="0,0"/>
            <v:stroke on="f" joinstyle="miter"/>
            <v:imagedata r:id="rId133" o:title=""/>
            <o:lock v:ext="edit" aspectratio="t"/>
            <w10:wrap type="none"/>
            <w10:anchorlock/>
          </v:shape>
          <o:OLEObject Type="Embed" ProgID="Equation.DSMT4" ShapeID="_x0000_i1090" DrawAspect="Content" ObjectID="_1468075790" r:id="rId132">
            <o:LockedField>false</o:LockedField>
          </o:OLEObject>
        </w:object>
      </w:r>
      <w:r>
        <w:t xml:space="preserve"> </w:t>
      </w:r>
      <w:r>
        <w:rPr>
          <w:sz w:val="24"/>
          <w:szCs w:val="28"/>
        </w:rPr>
        <w:t>Hz                  （C.1</w:t>
      </w:r>
      <w:r>
        <w:rPr>
          <w:rFonts w:hint="eastAsia"/>
          <w:sz w:val="24"/>
          <w:szCs w:val="28"/>
        </w:rPr>
        <w:t>4</w:t>
      </w:r>
      <w:r>
        <w:rPr>
          <w:sz w:val="24"/>
          <w:szCs w:val="28"/>
        </w:rPr>
        <w:t>）</w:t>
      </w:r>
    </w:p>
    <w:p w14:paraId="1EC1EBA7">
      <w:pPr>
        <w:widowControl/>
        <w:autoSpaceDE w:val="0"/>
        <w:autoSpaceDN w:val="0"/>
        <w:spacing w:line="360" w:lineRule="auto"/>
        <w:ind w:firstLine="480" w:firstLineChars="200"/>
        <w:jc w:val="left"/>
        <w:rPr>
          <w:sz w:val="24"/>
          <w:szCs w:val="24"/>
        </w:rPr>
      </w:pPr>
      <w:r>
        <w:rPr>
          <w:sz w:val="24"/>
          <w:szCs w:val="24"/>
        </w:rPr>
        <w:t>因其灵敏系数</w:t>
      </w:r>
      <w:r>
        <w:rPr>
          <w:position w:val="-24"/>
        </w:rPr>
        <w:object>
          <v:shape id="_x0000_i1091" o:spt="75" type="#_x0000_t75" style="height:31.3pt;width:105.8pt;" o:ole="t" filled="f" o:preferrelative="t" stroked="f" coordsize="21600,21600">
            <v:path/>
            <v:fill on="f" focussize="0,0"/>
            <v:stroke on="f" joinstyle="miter"/>
            <v:imagedata r:id="rId135" o:title=""/>
            <o:lock v:ext="edit" aspectratio="t"/>
            <w10:wrap type="none"/>
            <w10:anchorlock/>
          </v:shape>
          <o:OLEObject Type="Embed" ProgID="Equation.DSMT4" ShapeID="_x0000_i1091" DrawAspect="Content" ObjectID="_1468075791" r:id="rId134">
            <o:LockedField>false</o:LockedField>
          </o:OLEObject>
        </w:object>
      </w:r>
      <w:r>
        <w:rPr>
          <w:sz w:val="24"/>
          <w:szCs w:val="24"/>
        </w:rPr>
        <w:t>，故有：</w:t>
      </w:r>
    </w:p>
    <w:p w14:paraId="107A2F1A">
      <w:pPr>
        <w:widowControl/>
        <w:autoSpaceDE w:val="0"/>
        <w:autoSpaceDN w:val="0"/>
        <w:spacing w:line="360" w:lineRule="auto"/>
        <w:ind w:firstLine="420" w:firstLineChars="200"/>
        <w:jc w:val="right"/>
        <w:rPr>
          <w:sz w:val="24"/>
          <w:szCs w:val="24"/>
        </w:rPr>
      </w:pPr>
      <w:r>
        <w:rPr>
          <w:position w:val="-24"/>
        </w:rPr>
        <w:object>
          <v:shape id="_x0000_i1092" o:spt="75" type="#_x0000_t75" style="height:31.3pt;width:184.65pt;" o:ole="t" filled="f" o:preferrelative="t" stroked="f" coordsize="21600,21600">
            <v:path/>
            <v:fill on="f" focussize="0,0"/>
            <v:stroke on="f" joinstyle="miter"/>
            <v:imagedata r:id="rId137" o:title=""/>
            <o:lock v:ext="edit" aspectratio="t"/>
            <w10:wrap type="none"/>
            <w10:anchorlock/>
          </v:shape>
          <o:OLEObject Type="Embed" ProgID="Equation.DSMT4" ShapeID="_x0000_i1092" DrawAspect="Content" ObjectID="_1468075792" r:id="rId136">
            <o:LockedField>false</o:LockedField>
          </o:OLEObject>
        </w:object>
      </w:r>
      <w:r>
        <w:t xml:space="preserve"> </w:t>
      </w:r>
      <w:r>
        <w:rPr>
          <w:sz w:val="24"/>
          <w:szCs w:val="28"/>
        </w:rPr>
        <w:t>dB            （C.1</w:t>
      </w:r>
      <w:r>
        <w:rPr>
          <w:rFonts w:hint="eastAsia"/>
          <w:sz w:val="24"/>
          <w:szCs w:val="28"/>
        </w:rPr>
        <w:t>5</w:t>
      </w:r>
      <w:r>
        <w:rPr>
          <w:sz w:val="24"/>
          <w:szCs w:val="28"/>
        </w:rPr>
        <w:t>）</w:t>
      </w:r>
    </w:p>
    <w:p w14:paraId="1BA19995">
      <w:pPr>
        <w:widowControl/>
        <w:autoSpaceDE w:val="0"/>
        <w:autoSpaceDN w:val="0"/>
        <w:ind w:firstLine="480" w:firstLineChars="200"/>
        <w:jc w:val="left"/>
        <w:rPr>
          <w:szCs w:val="24"/>
        </w:rPr>
      </w:pPr>
      <w:r>
        <w:rPr>
          <w:sz w:val="24"/>
          <w:szCs w:val="24"/>
        </w:rPr>
        <w:t>6）测量水域偏离自由场条件引入的标准不确定度分量</w:t>
      </w:r>
      <w:r>
        <w:rPr>
          <w:position w:val="-12"/>
        </w:rPr>
        <w:object>
          <v:shape id="_x0000_i1093" o:spt="75" type="#_x0000_t75" style="height:18.15pt;width:13.15pt;" o:ole="t" filled="f" o:preferrelative="t" stroked="f" coordsize="21600,21600">
            <v:path/>
            <v:fill on="f" focussize="0,0"/>
            <v:stroke on="f" joinstyle="miter"/>
            <v:imagedata r:id="rId139" o:title=""/>
            <o:lock v:ext="edit" aspectratio="t"/>
            <w10:wrap type="none"/>
            <w10:anchorlock/>
          </v:shape>
          <o:OLEObject Type="Embed" ProgID="Equation.DSMT4" ShapeID="_x0000_i1093" DrawAspect="Content" ObjectID="_1468075793" r:id="rId138">
            <o:LockedField>false</o:LockedField>
          </o:OLEObject>
        </w:object>
      </w:r>
    </w:p>
    <w:p w14:paraId="1C74CDE4">
      <w:pPr>
        <w:widowControl/>
        <w:autoSpaceDE w:val="0"/>
        <w:autoSpaceDN w:val="0"/>
        <w:spacing w:line="360" w:lineRule="auto"/>
        <w:ind w:firstLine="480" w:firstLineChars="200"/>
        <w:rPr>
          <w:sz w:val="24"/>
          <w:szCs w:val="24"/>
        </w:rPr>
      </w:pPr>
      <w:r>
        <w:rPr>
          <w:sz w:val="24"/>
          <w:szCs w:val="24"/>
        </w:rPr>
        <w:t>测量水域偏离自由场条件引入的标准不确定度分量按B类方法评定，由于测量水域偏离自由场条件导致声场的不均匀性，在</w:t>
      </w:r>
      <w:r>
        <w:rPr>
          <w:sz w:val="24"/>
          <w:szCs w:val="28"/>
        </w:rPr>
        <w:t xml:space="preserve">300 </w:t>
      </w:r>
      <w:r>
        <w:rPr>
          <w:sz w:val="24"/>
          <w:szCs w:val="24"/>
        </w:rPr>
        <w:t>Hz≤</w:t>
      </w:r>
      <w:r>
        <w:rPr>
          <w:i/>
          <w:iCs/>
          <w:sz w:val="24"/>
          <w:szCs w:val="24"/>
        </w:rPr>
        <w:t>f</w:t>
      </w:r>
      <w:r>
        <w:rPr>
          <w:sz w:val="24"/>
          <w:szCs w:val="24"/>
        </w:rPr>
        <w:t>≤40 kHz频率范围内不应超过± 0.2 dB。以均匀分布考虑，取</w:t>
      </w:r>
      <w:r>
        <w:rPr>
          <w:position w:val="-8"/>
        </w:rPr>
        <w:object>
          <v:shape id="_x0000_i1094" o:spt="75" type="#_x0000_t75" style="height:18.15pt;width:36.3pt;" o:ole="t" filled="f" o:preferrelative="t" stroked="f" coordsize="21600,21600">
            <v:path/>
            <v:fill on="f" focussize="0,0"/>
            <v:stroke on="f" joinstyle="miter"/>
            <v:imagedata r:id="rId121" o:title=""/>
            <o:lock v:ext="edit" aspectratio="t"/>
            <w10:wrap type="none"/>
            <w10:anchorlock/>
          </v:shape>
          <o:OLEObject Type="Embed" ProgID="Equation.DSMT4" ShapeID="_x0000_i1094" DrawAspect="Content" ObjectID="_1468075794" r:id="rId140">
            <o:LockedField>false</o:LockedField>
          </o:OLEObject>
        </w:object>
      </w:r>
      <w:r>
        <w:rPr>
          <w:sz w:val="24"/>
          <w:szCs w:val="24"/>
        </w:rPr>
        <w:t>，则声场不均匀引入的标准不确定度分量为：</w:t>
      </w:r>
    </w:p>
    <w:p w14:paraId="480B6CBC">
      <w:pPr>
        <w:widowControl/>
        <w:autoSpaceDE w:val="0"/>
        <w:autoSpaceDN w:val="0"/>
        <w:spacing w:line="360" w:lineRule="auto"/>
        <w:ind w:firstLine="480" w:firstLineChars="200"/>
        <w:jc w:val="right"/>
        <w:rPr>
          <w:sz w:val="24"/>
          <w:szCs w:val="24"/>
        </w:rPr>
      </w:pPr>
      <w:r>
        <w:rPr>
          <w:sz w:val="24"/>
          <w:szCs w:val="24"/>
        </w:rPr>
        <w:t>在</w:t>
      </w:r>
      <w:r>
        <w:rPr>
          <w:sz w:val="24"/>
          <w:szCs w:val="28"/>
        </w:rPr>
        <w:t xml:space="preserve">300 </w:t>
      </w:r>
      <w:r>
        <w:rPr>
          <w:sz w:val="24"/>
          <w:szCs w:val="24"/>
        </w:rPr>
        <w:t>Hz≤</w:t>
      </w:r>
      <w:r>
        <w:rPr>
          <w:i/>
          <w:iCs/>
          <w:sz w:val="24"/>
          <w:szCs w:val="24"/>
        </w:rPr>
        <w:t>f</w:t>
      </w:r>
      <w:r>
        <w:rPr>
          <w:sz w:val="24"/>
          <w:szCs w:val="24"/>
        </w:rPr>
        <w:t>≤40 kHz时，</w:t>
      </w:r>
      <w:r>
        <w:rPr>
          <w:position w:val="-12"/>
        </w:rPr>
        <w:object>
          <v:shape id="_x0000_i1095" o:spt="75" type="#_x0000_t75" style="height:19.4pt;width:93.9pt;" o:ole="t" filled="f" o:preferrelative="t" stroked="f" coordsize="21600,21600">
            <v:path/>
            <v:fill on="f" focussize="0,0"/>
            <v:stroke on="f" joinstyle="miter"/>
            <v:imagedata r:id="rId142" o:title=""/>
            <o:lock v:ext="edit" aspectratio="t"/>
            <w10:wrap type="none"/>
            <w10:anchorlock/>
          </v:shape>
          <o:OLEObject Type="Embed" ProgID="Equation.DSMT4" ShapeID="_x0000_i1095" DrawAspect="Content" ObjectID="_1468075795" r:id="rId141">
            <o:LockedField>false</o:LockedField>
          </o:OLEObject>
        </w:object>
      </w:r>
      <w:r>
        <w:t xml:space="preserve"> </w:t>
      </w:r>
      <w:r>
        <w:rPr>
          <w:sz w:val="24"/>
          <w:szCs w:val="28"/>
        </w:rPr>
        <w:t>dB</w:t>
      </w:r>
      <w:r>
        <w:rPr>
          <w:sz w:val="24"/>
          <w:szCs w:val="24"/>
        </w:rPr>
        <w:t xml:space="preserve">    </w:t>
      </w:r>
      <w:bookmarkStart w:id="112" w:name="_Hlk202460324"/>
      <w:r>
        <w:rPr>
          <w:sz w:val="24"/>
          <w:szCs w:val="24"/>
        </w:rPr>
        <w:t xml:space="preserve">     （C.1</w:t>
      </w:r>
      <w:r>
        <w:rPr>
          <w:rFonts w:hint="eastAsia"/>
          <w:sz w:val="24"/>
          <w:szCs w:val="24"/>
        </w:rPr>
        <w:t>6</w:t>
      </w:r>
      <w:r>
        <w:rPr>
          <w:sz w:val="24"/>
          <w:szCs w:val="24"/>
        </w:rPr>
        <w:t>）</w:t>
      </w:r>
    </w:p>
    <w:bookmarkEnd w:id="112"/>
    <w:p w14:paraId="79573804">
      <w:pPr>
        <w:widowControl/>
        <w:autoSpaceDE w:val="0"/>
        <w:autoSpaceDN w:val="0"/>
        <w:spacing w:line="360" w:lineRule="auto"/>
        <w:ind w:firstLine="480" w:firstLineChars="200"/>
        <w:jc w:val="left"/>
        <w:rPr>
          <w:sz w:val="24"/>
          <w:szCs w:val="24"/>
        </w:rPr>
      </w:pPr>
      <w:r>
        <w:rPr>
          <w:sz w:val="24"/>
          <w:szCs w:val="24"/>
        </w:rPr>
        <w:t>7）前置放大器不准确引入的标准不确定度分量</w:t>
      </w:r>
      <w:r>
        <w:rPr>
          <w:position w:val="-12"/>
        </w:rPr>
        <w:object>
          <v:shape id="_x0000_i1096" o:spt="75" type="#_x0000_t75" style="height:18.15pt;width:13.15pt;" o:ole="t" filled="f" o:preferrelative="t" stroked="f" coordsize="21600,21600">
            <v:path/>
            <v:fill on="f" focussize="0,0"/>
            <v:stroke on="f" joinstyle="miter"/>
            <v:imagedata r:id="rId144" o:title=""/>
            <o:lock v:ext="edit" aspectratio="t"/>
            <w10:wrap type="none"/>
            <w10:anchorlock/>
          </v:shape>
          <o:OLEObject Type="Embed" ProgID="Equation.DSMT4" ShapeID="_x0000_i1096" DrawAspect="Content" ObjectID="_1468075796" r:id="rId143">
            <o:LockedField>false</o:LockedField>
          </o:OLEObject>
        </w:object>
      </w:r>
    </w:p>
    <w:p w14:paraId="220CFBD9">
      <w:pPr>
        <w:widowControl/>
        <w:autoSpaceDE w:val="0"/>
        <w:autoSpaceDN w:val="0"/>
        <w:spacing w:line="360" w:lineRule="auto"/>
        <w:ind w:firstLine="480" w:firstLineChars="200"/>
        <w:jc w:val="left"/>
        <w:rPr>
          <w:sz w:val="24"/>
          <w:szCs w:val="24"/>
        </w:rPr>
      </w:pPr>
      <w:r>
        <w:rPr>
          <w:sz w:val="24"/>
          <w:szCs w:val="24"/>
        </w:rPr>
        <w:t>前置放大器不准确引入的标准不确定分量按B类方法评定。前置放大器引入的误差不应超过± 0.3 dB。以均匀分布考虑，取</w:t>
      </w:r>
      <w:r>
        <w:rPr>
          <w:position w:val="-8"/>
        </w:rPr>
        <w:object>
          <v:shape id="_x0000_i1097" o:spt="75" type="#_x0000_t75" style="height:18.15pt;width:36.3pt;" o:ole="t" filled="f" o:preferrelative="t" stroked="f" coordsize="21600,21600">
            <v:path/>
            <v:fill on="f" focussize="0,0"/>
            <v:stroke on="f" joinstyle="miter"/>
            <v:imagedata r:id="rId121" o:title=""/>
            <o:lock v:ext="edit" aspectratio="t"/>
            <w10:wrap type="none"/>
            <w10:anchorlock/>
          </v:shape>
          <o:OLEObject Type="Embed" ProgID="Equation.DSMT4" ShapeID="_x0000_i1097" DrawAspect="Content" ObjectID="_1468075797" r:id="rId145">
            <o:LockedField>false</o:LockedField>
          </o:OLEObject>
        </w:object>
      </w:r>
      <w:r>
        <w:rPr>
          <w:sz w:val="24"/>
          <w:szCs w:val="24"/>
        </w:rPr>
        <w:t>，则仪器输入阻抗不足引入的标准不确定度分量为：</w:t>
      </w:r>
    </w:p>
    <w:p w14:paraId="67267A30">
      <w:pPr>
        <w:widowControl/>
        <w:autoSpaceDE w:val="0"/>
        <w:autoSpaceDN w:val="0"/>
        <w:spacing w:line="360" w:lineRule="auto"/>
        <w:ind w:firstLine="420" w:firstLineChars="200"/>
        <w:jc w:val="right"/>
        <w:rPr>
          <w:sz w:val="24"/>
          <w:szCs w:val="24"/>
        </w:rPr>
      </w:pPr>
      <w:r>
        <w:rPr>
          <w:position w:val="-12"/>
        </w:rPr>
        <w:object>
          <v:shape id="_x0000_i1098" o:spt="75" type="#_x0000_t75" style="height:19.4pt;width:93.9pt;" o:ole="t" filled="f" o:preferrelative="t" stroked="f" coordsize="21600,21600">
            <v:path/>
            <v:fill on="f" focussize="0,0"/>
            <v:stroke on="f" joinstyle="miter"/>
            <v:imagedata r:id="rId147" o:title=""/>
            <o:lock v:ext="edit" aspectratio="t"/>
            <w10:wrap type="none"/>
            <w10:anchorlock/>
          </v:shape>
          <o:OLEObject Type="Embed" ProgID="Equation.DSMT4" ShapeID="_x0000_i1098" DrawAspect="Content" ObjectID="_1468075798" r:id="rId146">
            <o:LockedField>false</o:LockedField>
          </o:OLEObject>
        </w:object>
      </w:r>
      <w:r>
        <w:t xml:space="preserve"> </w:t>
      </w:r>
      <w:r>
        <w:rPr>
          <w:sz w:val="24"/>
          <w:szCs w:val="28"/>
        </w:rPr>
        <w:t>dB                  （C.1</w:t>
      </w:r>
      <w:r>
        <w:rPr>
          <w:rFonts w:hint="eastAsia"/>
          <w:sz w:val="24"/>
          <w:szCs w:val="28"/>
        </w:rPr>
        <w:t>7</w:t>
      </w:r>
      <w:r>
        <w:rPr>
          <w:sz w:val="24"/>
          <w:szCs w:val="28"/>
        </w:rPr>
        <w:t>）</w:t>
      </w:r>
    </w:p>
    <w:p w14:paraId="4A2A72C8">
      <w:pPr>
        <w:widowControl/>
        <w:autoSpaceDE w:val="0"/>
        <w:autoSpaceDN w:val="0"/>
        <w:spacing w:line="360" w:lineRule="auto"/>
        <w:ind w:firstLine="480" w:firstLineChars="200"/>
        <w:jc w:val="left"/>
        <w:rPr>
          <w:sz w:val="24"/>
          <w:szCs w:val="24"/>
        </w:rPr>
      </w:pPr>
      <w:r>
        <w:rPr>
          <w:sz w:val="24"/>
          <w:szCs w:val="24"/>
        </w:rPr>
        <w:t>8）信噪比不足引入的标准不确定度分量</w:t>
      </w:r>
      <w:r>
        <w:rPr>
          <w:position w:val="-12"/>
        </w:rPr>
        <w:object>
          <v:shape id="_x0000_i1099" o:spt="75" type="#_x0000_t75" style="height:18.15pt;width:13.15pt;" o:ole="t" filled="f" o:preferrelative="t" stroked="f" coordsize="21600,21600">
            <v:path/>
            <v:fill on="f" focussize="0,0"/>
            <v:stroke on="f" joinstyle="miter"/>
            <v:imagedata r:id="rId149" o:title=""/>
            <o:lock v:ext="edit" aspectratio="t"/>
            <w10:wrap type="none"/>
            <w10:anchorlock/>
          </v:shape>
          <o:OLEObject Type="Embed" ProgID="Equation.DSMT4" ShapeID="_x0000_i1099" DrawAspect="Content" ObjectID="_1468075799" r:id="rId148">
            <o:LockedField>false</o:LockedField>
          </o:OLEObject>
        </w:object>
      </w:r>
    </w:p>
    <w:p w14:paraId="59823959">
      <w:pPr>
        <w:widowControl/>
        <w:autoSpaceDE w:val="0"/>
        <w:autoSpaceDN w:val="0"/>
        <w:spacing w:line="360" w:lineRule="auto"/>
        <w:ind w:firstLine="480" w:firstLineChars="200"/>
        <w:jc w:val="left"/>
        <w:rPr>
          <w:sz w:val="24"/>
          <w:szCs w:val="24"/>
        </w:rPr>
      </w:pPr>
      <w:r>
        <w:rPr>
          <w:sz w:val="24"/>
          <w:szCs w:val="24"/>
        </w:rPr>
        <w:t>信噪比不足引入的标准不确定度分量按照B类方法评定。信噪比不足引入的误差不应超过± 0.1 dB。以均匀分布考虑，取</w:t>
      </w:r>
      <w:r>
        <w:rPr>
          <w:position w:val="-8"/>
        </w:rPr>
        <w:object>
          <v:shape id="_x0000_i1100" o:spt="75" type="#_x0000_t75" style="height:18.15pt;width:36.3pt;" o:ole="t" filled="f" o:preferrelative="t" stroked="f" coordsize="21600,21600">
            <v:path/>
            <v:fill on="f" focussize="0,0"/>
            <v:stroke on="f" joinstyle="miter"/>
            <v:imagedata r:id="rId121" o:title=""/>
            <o:lock v:ext="edit" aspectratio="t"/>
            <w10:wrap type="none"/>
            <w10:anchorlock/>
          </v:shape>
          <o:OLEObject Type="Embed" ProgID="Equation.DSMT4" ShapeID="_x0000_i1100" DrawAspect="Content" ObjectID="_1468075800" r:id="rId150">
            <o:LockedField>false</o:LockedField>
          </o:OLEObject>
        </w:object>
      </w:r>
      <w:r>
        <w:rPr>
          <w:sz w:val="24"/>
          <w:szCs w:val="24"/>
        </w:rPr>
        <w:t>，则仪器输入阻抗不足引入的标准不确定度分量为：</w:t>
      </w:r>
    </w:p>
    <w:p w14:paraId="73DEEB3D">
      <w:pPr>
        <w:widowControl/>
        <w:autoSpaceDE w:val="0"/>
        <w:autoSpaceDN w:val="0"/>
        <w:spacing w:line="360" w:lineRule="auto"/>
        <w:ind w:firstLine="420" w:firstLineChars="200"/>
        <w:jc w:val="right"/>
        <w:rPr>
          <w:sz w:val="24"/>
          <w:szCs w:val="24"/>
        </w:rPr>
      </w:pPr>
      <w:r>
        <w:rPr>
          <w:position w:val="-12"/>
        </w:rPr>
        <w:object>
          <v:shape id="_x0000_i1101" o:spt="75" type="#_x0000_t75" style="height:19.4pt;width:92.1pt;" o:ole="t" filled="f" o:preferrelative="t" stroked="f" coordsize="21600,21600">
            <v:path/>
            <v:fill on="f" focussize="0,0"/>
            <v:stroke on="f" joinstyle="miter"/>
            <v:imagedata r:id="rId152" o:title=""/>
            <o:lock v:ext="edit" aspectratio="t"/>
            <w10:wrap type="none"/>
            <w10:anchorlock/>
          </v:shape>
          <o:OLEObject Type="Embed" ProgID="Equation.DSMT4" ShapeID="_x0000_i1101" DrawAspect="Content" ObjectID="_1468075801" r:id="rId151">
            <o:LockedField>false</o:LockedField>
          </o:OLEObject>
        </w:object>
      </w:r>
      <w:r>
        <w:rPr>
          <w:sz w:val="24"/>
          <w:szCs w:val="28"/>
        </w:rPr>
        <w:t xml:space="preserve"> dB                  （C.1</w:t>
      </w:r>
      <w:r>
        <w:rPr>
          <w:rFonts w:hint="eastAsia"/>
          <w:sz w:val="24"/>
          <w:szCs w:val="28"/>
        </w:rPr>
        <w:t>8</w:t>
      </w:r>
      <w:r>
        <w:rPr>
          <w:sz w:val="24"/>
          <w:szCs w:val="28"/>
        </w:rPr>
        <w:t>）</w:t>
      </w:r>
    </w:p>
    <w:p w14:paraId="335E1A68">
      <w:pPr>
        <w:widowControl/>
        <w:autoSpaceDE w:val="0"/>
        <w:autoSpaceDN w:val="0"/>
        <w:ind w:firstLine="480" w:firstLineChars="200"/>
        <w:jc w:val="left"/>
        <w:rPr>
          <w:szCs w:val="24"/>
        </w:rPr>
      </w:pPr>
      <w:r>
        <w:rPr>
          <w:sz w:val="24"/>
          <w:szCs w:val="24"/>
        </w:rPr>
        <w:t>9）电干扰引入的标准不确定度分量</w:t>
      </w:r>
      <w:r>
        <w:rPr>
          <w:position w:val="-12"/>
        </w:rPr>
        <w:object>
          <v:shape id="_x0000_i1102" o:spt="75" type="#_x0000_t75" style="height:18.15pt;width:13.15pt;" o:ole="t" filled="f" o:preferrelative="t" stroked="f" coordsize="21600,21600">
            <v:path/>
            <v:fill on="f" focussize="0,0"/>
            <v:stroke on="f" joinstyle="miter"/>
            <v:imagedata r:id="rId154" o:title=""/>
            <o:lock v:ext="edit" aspectratio="t"/>
            <w10:wrap type="none"/>
            <w10:anchorlock/>
          </v:shape>
          <o:OLEObject Type="Embed" ProgID="Equation.DSMT4" ShapeID="_x0000_i1102" DrawAspect="Content" ObjectID="_1468075802" r:id="rId153">
            <o:LockedField>false</o:LockedField>
          </o:OLEObject>
        </w:object>
      </w:r>
    </w:p>
    <w:p w14:paraId="1B2379A4">
      <w:pPr>
        <w:widowControl/>
        <w:autoSpaceDE w:val="0"/>
        <w:autoSpaceDN w:val="0"/>
        <w:spacing w:line="360" w:lineRule="auto"/>
        <w:ind w:firstLine="480" w:firstLineChars="200"/>
        <w:jc w:val="left"/>
        <w:rPr>
          <w:sz w:val="24"/>
          <w:szCs w:val="24"/>
        </w:rPr>
      </w:pPr>
      <w:r>
        <w:rPr>
          <w:sz w:val="24"/>
          <w:szCs w:val="24"/>
        </w:rPr>
        <w:t>电干扰引入的标准不确定度分量按照B类方法评定。电干扰引入的误差不应超过± 0.1 dB。以均匀分布考虑，取</w:t>
      </w:r>
      <w:r>
        <w:rPr>
          <w:position w:val="-8"/>
        </w:rPr>
        <w:object>
          <v:shape id="_x0000_i1103" o:spt="75" type="#_x0000_t75" style="height:18.15pt;width:36.3pt;" o:ole="t" filled="f" o:preferrelative="t" stroked="f" coordsize="21600,21600">
            <v:path/>
            <v:fill on="f" focussize="0,0"/>
            <v:stroke on="f" joinstyle="miter"/>
            <v:imagedata r:id="rId121" o:title=""/>
            <o:lock v:ext="edit" aspectratio="t"/>
            <w10:wrap type="none"/>
            <w10:anchorlock/>
          </v:shape>
          <o:OLEObject Type="Embed" ProgID="Equation.DSMT4" ShapeID="_x0000_i1103" DrawAspect="Content" ObjectID="_1468075803" r:id="rId155">
            <o:LockedField>false</o:LockedField>
          </o:OLEObject>
        </w:object>
      </w:r>
      <w:r>
        <w:rPr>
          <w:sz w:val="24"/>
          <w:szCs w:val="24"/>
        </w:rPr>
        <w:t>，则仪器输入阻抗不足引入的标准不确定度分量为：</w:t>
      </w:r>
    </w:p>
    <w:p w14:paraId="4922D4A5">
      <w:pPr>
        <w:widowControl/>
        <w:autoSpaceDE w:val="0"/>
        <w:autoSpaceDN w:val="0"/>
        <w:spacing w:line="360" w:lineRule="auto"/>
        <w:ind w:firstLine="420" w:firstLineChars="200"/>
        <w:jc w:val="right"/>
        <w:rPr>
          <w:sz w:val="24"/>
          <w:szCs w:val="24"/>
        </w:rPr>
      </w:pPr>
      <w:r>
        <w:rPr>
          <w:position w:val="-12"/>
        </w:rPr>
        <w:object>
          <v:shape id="_x0000_i1104" o:spt="75" type="#_x0000_t75" style="height:19.4pt;width:93.3pt;" o:ole="t" filled="f" o:preferrelative="t" stroked="f" coordsize="21600,21600">
            <v:path/>
            <v:fill on="f" focussize="0,0"/>
            <v:stroke on="f" joinstyle="miter"/>
            <v:imagedata r:id="rId157" o:title=""/>
            <o:lock v:ext="edit" aspectratio="t"/>
            <w10:wrap type="none"/>
            <w10:anchorlock/>
          </v:shape>
          <o:OLEObject Type="Embed" ProgID="Equation.DSMT4" ShapeID="_x0000_i1104" DrawAspect="Content" ObjectID="_1468075804" r:id="rId156">
            <o:LockedField>false</o:LockedField>
          </o:OLEObject>
        </w:object>
      </w:r>
      <w:r>
        <w:rPr>
          <w:sz w:val="24"/>
          <w:szCs w:val="28"/>
        </w:rPr>
        <w:t xml:space="preserve"> dB                    （C.1</w:t>
      </w:r>
      <w:r>
        <w:rPr>
          <w:rFonts w:hint="eastAsia"/>
          <w:sz w:val="24"/>
          <w:szCs w:val="28"/>
        </w:rPr>
        <w:t>9</w:t>
      </w:r>
      <w:r>
        <w:rPr>
          <w:sz w:val="24"/>
          <w:szCs w:val="28"/>
        </w:rPr>
        <w:t>）</w:t>
      </w:r>
    </w:p>
    <w:p w14:paraId="4A2CAA66">
      <w:pPr>
        <w:widowControl/>
        <w:autoSpaceDE w:val="0"/>
        <w:autoSpaceDN w:val="0"/>
        <w:spacing w:line="360" w:lineRule="auto"/>
        <w:ind w:firstLine="480" w:firstLineChars="200"/>
        <w:jc w:val="left"/>
        <w:rPr>
          <w:sz w:val="24"/>
          <w:szCs w:val="24"/>
        </w:rPr>
      </w:pPr>
      <w:r>
        <w:rPr>
          <w:sz w:val="24"/>
          <w:szCs w:val="24"/>
        </w:rPr>
        <w:t>10）海况不稳定引入的标准不确定度分量</w:t>
      </w:r>
      <w:r>
        <w:rPr>
          <w:position w:val="-12"/>
        </w:rPr>
        <w:object>
          <v:shape id="_x0000_i1105" o:spt="75" type="#_x0000_t75" style="height:18.15pt;width:16.3pt;" o:ole="t" filled="f" o:preferrelative="t" stroked="f" coordsize="21600,21600">
            <v:path/>
            <v:fill on="f" focussize="0,0"/>
            <v:stroke on="f" joinstyle="miter"/>
            <v:imagedata r:id="rId159" o:title=""/>
            <o:lock v:ext="edit" aspectratio="t"/>
            <w10:wrap type="none"/>
            <w10:anchorlock/>
          </v:shape>
          <o:OLEObject Type="Embed" ProgID="Equation.DSMT4" ShapeID="_x0000_i1105" DrawAspect="Content" ObjectID="_1468075805" r:id="rId158">
            <o:LockedField>false</o:LockedField>
          </o:OLEObject>
        </w:object>
      </w:r>
    </w:p>
    <w:p w14:paraId="2E91EA5D">
      <w:pPr>
        <w:widowControl/>
        <w:autoSpaceDE w:val="0"/>
        <w:autoSpaceDN w:val="0"/>
        <w:spacing w:line="360" w:lineRule="auto"/>
        <w:ind w:firstLine="480" w:firstLineChars="200"/>
        <w:jc w:val="left"/>
        <w:rPr>
          <w:sz w:val="24"/>
          <w:szCs w:val="24"/>
        </w:rPr>
      </w:pPr>
      <w:r>
        <w:rPr>
          <w:sz w:val="24"/>
          <w:szCs w:val="24"/>
        </w:rPr>
        <w:t>海况不稳定引入的标准不确定分量按B类方法评定。海况不稳定引入的误差不应超过± 0.3 dB。以均匀分布考虑，取</w:t>
      </w:r>
      <w:r>
        <w:rPr>
          <w:position w:val="-8"/>
        </w:rPr>
        <w:object>
          <v:shape id="_x0000_i1106" o:spt="75" type="#_x0000_t75" style="height:18.15pt;width:36.3pt;" o:ole="t" filled="f" o:preferrelative="t" stroked="f" coordsize="21600,21600">
            <v:path/>
            <v:fill on="f" focussize="0,0"/>
            <v:stroke on="f" joinstyle="miter"/>
            <v:imagedata r:id="rId121" o:title=""/>
            <o:lock v:ext="edit" aspectratio="t"/>
            <w10:wrap type="none"/>
            <w10:anchorlock/>
          </v:shape>
          <o:OLEObject Type="Embed" ProgID="Equation.DSMT4" ShapeID="_x0000_i1106" DrawAspect="Content" ObjectID="_1468075806" r:id="rId160">
            <o:LockedField>false</o:LockedField>
          </o:OLEObject>
        </w:object>
      </w:r>
      <w:r>
        <w:rPr>
          <w:sz w:val="24"/>
          <w:szCs w:val="24"/>
        </w:rPr>
        <w:t>，则海况不稳定引入的标准不确定度分量为：</w:t>
      </w:r>
    </w:p>
    <w:p w14:paraId="717218B8">
      <w:pPr>
        <w:widowControl/>
        <w:autoSpaceDE w:val="0"/>
        <w:autoSpaceDN w:val="0"/>
        <w:spacing w:line="360" w:lineRule="auto"/>
        <w:ind w:firstLine="420" w:firstLineChars="200"/>
        <w:jc w:val="right"/>
        <w:rPr>
          <w:sz w:val="24"/>
          <w:szCs w:val="24"/>
        </w:rPr>
      </w:pPr>
      <w:r>
        <w:rPr>
          <w:position w:val="-12"/>
        </w:rPr>
        <w:object>
          <v:shape id="_x0000_i1107" o:spt="75" type="#_x0000_t75" style="height:19.4pt;width:95.8pt;" o:ole="t" filled="f" o:preferrelative="t" stroked="f" coordsize="21600,21600">
            <v:path/>
            <v:fill on="f" focussize="0,0"/>
            <v:stroke on="f" joinstyle="miter"/>
            <v:imagedata r:id="rId162" o:title=""/>
            <o:lock v:ext="edit" aspectratio="t"/>
            <w10:wrap type="none"/>
            <w10:anchorlock/>
          </v:shape>
          <o:OLEObject Type="Embed" ProgID="Equation.DSMT4" ShapeID="_x0000_i1107" DrawAspect="Content" ObjectID="_1468075807" r:id="rId161">
            <o:LockedField>false</o:LockedField>
          </o:OLEObject>
        </w:object>
      </w:r>
      <w:r>
        <w:t xml:space="preserve"> </w:t>
      </w:r>
      <w:r>
        <w:rPr>
          <w:sz w:val="24"/>
          <w:szCs w:val="28"/>
        </w:rPr>
        <w:t>dB                  （C.</w:t>
      </w:r>
      <w:r>
        <w:rPr>
          <w:rFonts w:hint="eastAsia"/>
          <w:sz w:val="24"/>
          <w:szCs w:val="28"/>
        </w:rPr>
        <w:t>20</w:t>
      </w:r>
      <w:r>
        <w:rPr>
          <w:sz w:val="24"/>
          <w:szCs w:val="28"/>
        </w:rPr>
        <w:t>）</w:t>
      </w:r>
    </w:p>
    <w:p w14:paraId="4E4D87B1">
      <w:pPr>
        <w:widowControl/>
        <w:autoSpaceDE w:val="0"/>
        <w:autoSpaceDN w:val="0"/>
        <w:spacing w:line="360" w:lineRule="auto"/>
        <w:ind w:firstLine="480" w:firstLineChars="200"/>
        <w:jc w:val="left"/>
        <w:rPr>
          <w:sz w:val="24"/>
          <w:szCs w:val="24"/>
        </w:rPr>
      </w:pPr>
      <w:r>
        <w:rPr>
          <w:sz w:val="24"/>
          <w:szCs w:val="24"/>
        </w:rPr>
        <w:t>11）海水温度变化引入的标准不确定度分量</w:t>
      </w:r>
      <w:r>
        <w:rPr>
          <w:position w:val="-12"/>
        </w:rPr>
        <w:object>
          <v:shape id="_x0000_i1108" o:spt="75" type="#_x0000_t75" style="height:18.15pt;width:15.05pt;" o:ole="t" filled="f" o:preferrelative="t" stroked="f" coordsize="21600,21600">
            <v:path/>
            <v:fill on="f" focussize="0,0"/>
            <v:stroke on="f" joinstyle="miter"/>
            <v:imagedata r:id="rId164" o:title=""/>
            <o:lock v:ext="edit" aspectratio="t"/>
            <w10:wrap type="none"/>
            <w10:anchorlock/>
          </v:shape>
          <o:OLEObject Type="Embed" ProgID="Equation.DSMT4" ShapeID="_x0000_i1108" DrawAspect="Content" ObjectID="_1468075808" r:id="rId163">
            <o:LockedField>false</o:LockedField>
          </o:OLEObject>
        </w:object>
      </w:r>
    </w:p>
    <w:p w14:paraId="0F5B7AE1">
      <w:pPr>
        <w:widowControl/>
        <w:autoSpaceDE w:val="0"/>
        <w:autoSpaceDN w:val="0"/>
        <w:spacing w:line="360" w:lineRule="auto"/>
        <w:ind w:firstLine="480" w:firstLineChars="200"/>
        <w:rPr>
          <w:sz w:val="24"/>
          <w:szCs w:val="24"/>
        </w:rPr>
      </w:pPr>
      <w:r>
        <w:rPr>
          <w:sz w:val="24"/>
          <w:szCs w:val="24"/>
        </w:rPr>
        <w:t>海水温度变化引入的标准不确定度分量按B类方法评定，海水温度变化引入的误差不应超过± 0.2 dB。以均匀分布考虑，取</w:t>
      </w:r>
      <w:r>
        <w:rPr>
          <w:position w:val="-8"/>
        </w:rPr>
        <w:object>
          <v:shape id="_x0000_i1109" o:spt="75" type="#_x0000_t75" style="height:18.15pt;width:36.3pt;" o:ole="t" filled="f" o:preferrelative="t" stroked="f" coordsize="21600,21600">
            <v:path/>
            <v:fill on="f" focussize="0,0"/>
            <v:stroke on="f" joinstyle="miter"/>
            <v:imagedata r:id="rId121" o:title=""/>
            <o:lock v:ext="edit" aspectratio="t"/>
            <w10:wrap type="none"/>
            <w10:anchorlock/>
          </v:shape>
          <o:OLEObject Type="Embed" ProgID="Equation.DSMT4" ShapeID="_x0000_i1109" DrawAspect="Content" ObjectID="_1468075809" r:id="rId165">
            <o:LockedField>false</o:LockedField>
          </o:OLEObject>
        </w:object>
      </w:r>
      <w:r>
        <w:rPr>
          <w:sz w:val="24"/>
          <w:szCs w:val="24"/>
        </w:rPr>
        <w:t>，则海水温度变化引入的标准不确定度分量为：</w:t>
      </w:r>
    </w:p>
    <w:p w14:paraId="0BBD7B3C">
      <w:pPr>
        <w:widowControl/>
        <w:autoSpaceDE w:val="0"/>
        <w:autoSpaceDN w:val="0"/>
        <w:spacing w:line="360" w:lineRule="auto"/>
        <w:ind w:firstLine="420" w:firstLineChars="200"/>
        <w:jc w:val="right"/>
        <w:rPr>
          <w:sz w:val="24"/>
          <w:szCs w:val="24"/>
        </w:rPr>
      </w:pPr>
      <w:r>
        <w:rPr>
          <w:position w:val="-12"/>
        </w:rPr>
        <w:object>
          <v:shape id="_x0000_i1110" o:spt="75" type="#_x0000_t75" style="height:19.4pt;width:95.8pt;" o:ole="t" filled="f" o:preferrelative="t" stroked="f" coordsize="21600,21600">
            <v:path/>
            <v:fill on="f" focussize="0,0"/>
            <v:stroke on="f" joinstyle="miter"/>
            <v:imagedata r:id="rId167" o:title=""/>
            <o:lock v:ext="edit" aspectratio="t"/>
            <w10:wrap type="none"/>
            <w10:anchorlock/>
          </v:shape>
          <o:OLEObject Type="Embed" ProgID="Equation.DSMT4" ShapeID="_x0000_i1110" DrawAspect="Content" ObjectID="_1468075810" r:id="rId166">
            <o:LockedField>false</o:LockedField>
          </o:OLEObject>
        </w:object>
      </w:r>
      <w:r>
        <w:t xml:space="preserve"> </w:t>
      </w:r>
      <w:r>
        <w:rPr>
          <w:sz w:val="24"/>
          <w:szCs w:val="28"/>
        </w:rPr>
        <w:t>dB                  （C.2</w:t>
      </w:r>
      <w:r>
        <w:rPr>
          <w:rFonts w:hint="eastAsia"/>
          <w:sz w:val="24"/>
          <w:szCs w:val="28"/>
        </w:rPr>
        <w:t>1</w:t>
      </w:r>
      <w:r>
        <w:rPr>
          <w:sz w:val="24"/>
          <w:szCs w:val="28"/>
        </w:rPr>
        <w:t>）</w:t>
      </w:r>
    </w:p>
    <w:p w14:paraId="7C541D2D">
      <w:pPr>
        <w:widowControl/>
        <w:autoSpaceDE w:val="0"/>
        <w:autoSpaceDN w:val="0"/>
        <w:spacing w:line="360" w:lineRule="auto"/>
        <w:ind w:firstLine="480" w:firstLineChars="200"/>
        <w:jc w:val="left"/>
        <w:rPr>
          <w:sz w:val="24"/>
          <w:szCs w:val="24"/>
        </w:rPr>
      </w:pPr>
      <w:r>
        <w:rPr>
          <w:sz w:val="24"/>
          <w:szCs w:val="24"/>
        </w:rPr>
        <w:t>12）海水盐度变化引入的标准不确定度分量</w:t>
      </w:r>
      <w:r>
        <w:rPr>
          <w:position w:val="-12"/>
        </w:rPr>
        <w:object>
          <v:shape id="_x0000_i1111" o:spt="75" type="#_x0000_t75" style="height:18.15pt;width:16.3pt;" o:ole="t" filled="f" o:preferrelative="t" stroked="f" coordsize="21600,21600">
            <v:path/>
            <v:fill on="f" focussize="0,0"/>
            <v:stroke on="f" joinstyle="miter"/>
            <v:imagedata r:id="rId169" o:title=""/>
            <o:lock v:ext="edit" aspectratio="t"/>
            <w10:wrap type="none"/>
            <w10:anchorlock/>
          </v:shape>
          <o:OLEObject Type="Embed" ProgID="Equation.DSMT4" ShapeID="_x0000_i1111" DrawAspect="Content" ObjectID="_1468075811" r:id="rId168">
            <o:LockedField>false</o:LockedField>
          </o:OLEObject>
        </w:object>
      </w:r>
    </w:p>
    <w:p w14:paraId="41F03DE2">
      <w:pPr>
        <w:widowControl/>
        <w:autoSpaceDE w:val="0"/>
        <w:autoSpaceDN w:val="0"/>
        <w:spacing w:line="360" w:lineRule="auto"/>
        <w:ind w:firstLine="480" w:firstLineChars="200"/>
        <w:rPr>
          <w:sz w:val="24"/>
          <w:szCs w:val="24"/>
        </w:rPr>
      </w:pPr>
      <w:r>
        <w:rPr>
          <w:sz w:val="24"/>
          <w:szCs w:val="24"/>
        </w:rPr>
        <w:t>海水盐度变化引入的标准不确定度分量按B类方法评定，海水盐度变化引入的误差不应超过±0.1dB。以均匀分布考虑，取</w:t>
      </w:r>
      <w:r>
        <w:rPr>
          <w:position w:val="-8"/>
        </w:rPr>
        <w:object>
          <v:shape id="_x0000_i1112" o:spt="75" type="#_x0000_t75" style="height:18.15pt;width:36.3pt;" o:ole="t" filled="f" o:preferrelative="t" stroked="f" coordsize="21600,21600">
            <v:path/>
            <v:fill on="f" focussize="0,0"/>
            <v:stroke on="f" joinstyle="miter"/>
            <v:imagedata r:id="rId121" o:title=""/>
            <o:lock v:ext="edit" aspectratio="t"/>
            <w10:wrap type="none"/>
            <w10:anchorlock/>
          </v:shape>
          <o:OLEObject Type="Embed" ProgID="Equation.DSMT4" ShapeID="_x0000_i1112" DrawAspect="Content" ObjectID="_1468075812" r:id="rId170">
            <o:LockedField>false</o:LockedField>
          </o:OLEObject>
        </w:object>
      </w:r>
      <w:r>
        <w:rPr>
          <w:sz w:val="24"/>
          <w:szCs w:val="24"/>
        </w:rPr>
        <w:t>，则海水盐度变化引入的标准不确定度分量为：</w:t>
      </w:r>
    </w:p>
    <w:p w14:paraId="648B2849">
      <w:pPr>
        <w:widowControl/>
        <w:autoSpaceDE w:val="0"/>
        <w:autoSpaceDN w:val="0"/>
        <w:spacing w:line="360" w:lineRule="auto"/>
        <w:ind w:firstLine="420" w:firstLineChars="200"/>
        <w:jc w:val="right"/>
        <w:rPr>
          <w:sz w:val="24"/>
          <w:szCs w:val="24"/>
        </w:rPr>
      </w:pPr>
      <w:r>
        <w:rPr>
          <w:position w:val="-12"/>
        </w:rPr>
        <w:object>
          <v:shape id="_x0000_i1113" o:spt="75" type="#_x0000_t75" style="height:19.4pt;width:95.8pt;" o:ole="t" filled="f" o:preferrelative="t" stroked="f" coordsize="21600,21600">
            <v:path/>
            <v:fill on="f" focussize="0,0"/>
            <v:stroke on="f" joinstyle="miter"/>
            <v:imagedata r:id="rId172" o:title=""/>
            <o:lock v:ext="edit" aspectratio="t"/>
            <w10:wrap type="none"/>
            <w10:anchorlock/>
          </v:shape>
          <o:OLEObject Type="Embed" ProgID="Equation.DSMT4" ShapeID="_x0000_i1113" DrawAspect="Content" ObjectID="_1468075813" r:id="rId171">
            <o:LockedField>false</o:LockedField>
          </o:OLEObject>
        </w:object>
      </w:r>
      <w:r>
        <w:rPr>
          <w:sz w:val="24"/>
          <w:szCs w:val="28"/>
        </w:rPr>
        <w:t xml:space="preserve"> dB                   （C.2</w:t>
      </w:r>
      <w:r>
        <w:rPr>
          <w:rFonts w:hint="eastAsia"/>
          <w:sz w:val="24"/>
          <w:szCs w:val="28"/>
        </w:rPr>
        <w:t>2</w:t>
      </w:r>
      <w:r>
        <w:rPr>
          <w:sz w:val="24"/>
          <w:szCs w:val="28"/>
        </w:rPr>
        <w:t>）</w:t>
      </w:r>
    </w:p>
    <w:p w14:paraId="120D376E">
      <w:pPr>
        <w:widowControl/>
        <w:autoSpaceDE w:val="0"/>
        <w:autoSpaceDN w:val="0"/>
        <w:spacing w:line="360" w:lineRule="auto"/>
        <w:ind w:firstLine="480" w:firstLineChars="200"/>
        <w:jc w:val="left"/>
        <w:rPr>
          <w:sz w:val="24"/>
          <w:szCs w:val="24"/>
        </w:rPr>
      </w:pPr>
      <w:r>
        <w:rPr>
          <w:sz w:val="24"/>
          <w:szCs w:val="24"/>
        </w:rPr>
        <w:t>13）水面反射引入的标准不确定度分量</w:t>
      </w:r>
      <w:r>
        <w:rPr>
          <w:position w:val="-12"/>
        </w:rPr>
        <w:object>
          <v:shape id="_x0000_i1114" o:spt="75" type="#_x0000_t75" style="height:18.15pt;width:16.3pt;" o:ole="t" filled="f" o:preferrelative="t" stroked="f" coordsize="21600,21600">
            <v:path/>
            <v:fill on="f" focussize="0,0"/>
            <v:stroke on="f" joinstyle="miter"/>
            <v:imagedata r:id="rId174" o:title=""/>
            <o:lock v:ext="edit" aspectratio="t"/>
            <w10:wrap type="none"/>
            <w10:anchorlock/>
          </v:shape>
          <o:OLEObject Type="Embed" ProgID="Equation.DSMT4" ShapeID="_x0000_i1114" DrawAspect="Content" ObjectID="_1468075814" r:id="rId173">
            <o:LockedField>false</o:LockedField>
          </o:OLEObject>
        </w:object>
      </w:r>
    </w:p>
    <w:p w14:paraId="201432FB">
      <w:pPr>
        <w:widowControl/>
        <w:autoSpaceDE w:val="0"/>
        <w:autoSpaceDN w:val="0"/>
        <w:spacing w:line="360" w:lineRule="auto"/>
        <w:ind w:firstLine="480" w:firstLineChars="200"/>
        <w:rPr>
          <w:sz w:val="24"/>
          <w:szCs w:val="24"/>
        </w:rPr>
      </w:pPr>
      <w:r>
        <w:rPr>
          <w:sz w:val="24"/>
          <w:szCs w:val="24"/>
        </w:rPr>
        <w:t>水面反射引入的标准不确定度分量按B类方法评定，水面反射引入的误差不应超过± 0.2 dB。以均匀分布考虑，取</w:t>
      </w:r>
      <w:r>
        <w:rPr>
          <w:position w:val="-8"/>
        </w:rPr>
        <w:object>
          <v:shape id="_x0000_i1115" o:spt="75" type="#_x0000_t75" style="height:18.15pt;width:36.3pt;" o:ole="t" filled="f" o:preferrelative="t" stroked="f" coordsize="21600,21600">
            <v:path/>
            <v:fill on="f" focussize="0,0"/>
            <v:stroke on="f" joinstyle="miter"/>
            <v:imagedata r:id="rId121" o:title=""/>
            <o:lock v:ext="edit" aspectratio="t"/>
            <w10:wrap type="none"/>
            <w10:anchorlock/>
          </v:shape>
          <o:OLEObject Type="Embed" ProgID="Equation.DSMT4" ShapeID="_x0000_i1115" DrawAspect="Content" ObjectID="_1468075815" r:id="rId175">
            <o:LockedField>false</o:LockedField>
          </o:OLEObject>
        </w:object>
      </w:r>
      <w:r>
        <w:rPr>
          <w:sz w:val="24"/>
          <w:szCs w:val="24"/>
        </w:rPr>
        <w:t>，则水面反射引入的标准不确定度分量为：</w:t>
      </w:r>
    </w:p>
    <w:p w14:paraId="377F23E0">
      <w:pPr>
        <w:widowControl/>
        <w:autoSpaceDE w:val="0"/>
        <w:autoSpaceDN w:val="0"/>
        <w:spacing w:line="360" w:lineRule="auto"/>
        <w:ind w:firstLine="420" w:firstLineChars="200"/>
        <w:jc w:val="right"/>
        <w:rPr>
          <w:sz w:val="24"/>
          <w:szCs w:val="24"/>
        </w:rPr>
      </w:pPr>
      <w:r>
        <w:rPr>
          <w:position w:val="-12"/>
        </w:rPr>
        <w:object>
          <v:shape id="_x0000_i1116" o:spt="75" type="#_x0000_t75" style="height:19.4pt;width:95.8pt;" o:ole="t" filled="f" o:preferrelative="t" stroked="f" coordsize="21600,21600">
            <v:path/>
            <v:fill on="f" focussize="0,0"/>
            <v:stroke on="f" joinstyle="miter"/>
            <v:imagedata r:id="rId177" o:title=""/>
            <o:lock v:ext="edit" aspectratio="t"/>
            <w10:wrap type="none"/>
            <w10:anchorlock/>
          </v:shape>
          <o:OLEObject Type="Embed" ProgID="Equation.DSMT4" ShapeID="_x0000_i1116" DrawAspect="Content" ObjectID="_1468075816" r:id="rId176">
            <o:LockedField>false</o:LockedField>
          </o:OLEObject>
        </w:object>
      </w:r>
      <w:r>
        <w:t xml:space="preserve"> </w:t>
      </w:r>
      <w:r>
        <w:rPr>
          <w:sz w:val="24"/>
          <w:szCs w:val="28"/>
        </w:rPr>
        <w:t>dB                   （C.2</w:t>
      </w:r>
      <w:r>
        <w:rPr>
          <w:rFonts w:hint="eastAsia"/>
          <w:sz w:val="24"/>
          <w:szCs w:val="28"/>
        </w:rPr>
        <w:t>3</w:t>
      </w:r>
      <w:r>
        <w:rPr>
          <w:sz w:val="24"/>
          <w:szCs w:val="28"/>
        </w:rPr>
        <w:t>）</w:t>
      </w:r>
    </w:p>
    <w:p w14:paraId="5DE9B658">
      <w:pPr>
        <w:widowControl/>
        <w:autoSpaceDE w:val="0"/>
        <w:autoSpaceDN w:val="0"/>
        <w:spacing w:line="360" w:lineRule="auto"/>
        <w:ind w:firstLine="480" w:firstLineChars="200"/>
        <w:jc w:val="left"/>
        <w:rPr>
          <w:sz w:val="24"/>
          <w:szCs w:val="24"/>
        </w:rPr>
      </w:pPr>
      <w:r>
        <w:rPr>
          <w:sz w:val="24"/>
          <w:szCs w:val="24"/>
        </w:rPr>
        <w:t>14）海底底质/地形地貌引入的标准不确定度分量</w:t>
      </w:r>
      <w:r>
        <w:rPr>
          <w:position w:val="-12"/>
        </w:rPr>
        <w:object>
          <v:shape id="_x0000_i1117" o:spt="75" type="#_x0000_t75" style="height:18.15pt;width:16.3pt;" o:ole="t" filled="f" o:preferrelative="t" stroked="f" coordsize="21600,21600">
            <v:path/>
            <v:fill on="f" focussize="0,0"/>
            <v:stroke on="f" joinstyle="miter"/>
            <v:imagedata r:id="rId179" o:title=""/>
            <o:lock v:ext="edit" aspectratio="t"/>
            <w10:wrap type="none"/>
            <w10:anchorlock/>
          </v:shape>
          <o:OLEObject Type="Embed" ProgID="Equation.DSMT4" ShapeID="_x0000_i1117" DrawAspect="Content" ObjectID="_1468075817" r:id="rId178">
            <o:LockedField>false</o:LockedField>
          </o:OLEObject>
        </w:object>
      </w:r>
    </w:p>
    <w:p w14:paraId="6A0546E7">
      <w:pPr>
        <w:widowControl/>
        <w:autoSpaceDE w:val="0"/>
        <w:autoSpaceDN w:val="0"/>
        <w:spacing w:line="360" w:lineRule="auto"/>
        <w:ind w:firstLine="480" w:firstLineChars="200"/>
        <w:rPr>
          <w:sz w:val="24"/>
          <w:szCs w:val="24"/>
        </w:rPr>
      </w:pPr>
      <w:r>
        <w:rPr>
          <w:sz w:val="24"/>
          <w:szCs w:val="24"/>
        </w:rPr>
        <w:t>海底底质/地形地貌引入的标准不确定度分量按B类方法评定，海底底质/地形地貌引入的误差不应超过±0.2dB。以均匀分布考虑，取</w:t>
      </w:r>
      <w:r>
        <w:rPr>
          <w:position w:val="-8"/>
        </w:rPr>
        <w:object>
          <v:shape id="_x0000_i1118" o:spt="75" type="#_x0000_t75" style="height:18.15pt;width:36.3pt;" o:ole="t" filled="f" o:preferrelative="t" stroked="f" coordsize="21600,21600">
            <v:path/>
            <v:fill on="f" focussize="0,0"/>
            <v:stroke on="f" joinstyle="miter"/>
            <v:imagedata r:id="rId121" o:title=""/>
            <o:lock v:ext="edit" aspectratio="t"/>
            <w10:wrap type="none"/>
            <w10:anchorlock/>
          </v:shape>
          <o:OLEObject Type="Embed" ProgID="Equation.DSMT4" ShapeID="_x0000_i1118" DrawAspect="Content" ObjectID="_1468075818" r:id="rId180">
            <o:LockedField>false</o:LockedField>
          </o:OLEObject>
        </w:object>
      </w:r>
      <w:r>
        <w:rPr>
          <w:sz w:val="24"/>
          <w:szCs w:val="24"/>
        </w:rPr>
        <w:t>，则海底底质/地形地貌引入的标准不确定度分量为：</w:t>
      </w:r>
    </w:p>
    <w:p w14:paraId="5384B4D9">
      <w:pPr>
        <w:widowControl/>
        <w:autoSpaceDE w:val="0"/>
        <w:autoSpaceDN w:val="0"/>
        <w:spacing w:line="360" w:lineRule="auto"/>
        <w:ind w:firstLine="420" w:firstLineChars="200"/>
        <w:jc w:val="right"/>
        <w:rPr>
          <w:sz w:val="24"/>
          <w:szCs w:val="24"/>
        </w:rPr>
      </w:pPr>
      <w:r>
        <w:rPr>
          <w:position w:val="-12"/>
        </w:rPr>
        <w:object>
          <v:shape id="_x0000_i1119" o:spt="75" type="#_x0000_t75" style="height:19.4pt;width:97.05pt;" o:ole="t" filled="f" o:preferrelative="t" stroked="f" coordsize="21600,21600">
            <v:path/>
            <v:fill on="f" focussize="0,0"/>
            <v:stroke on="f" joinstyle="miter"/>
            <v:imagedata r:id="rId182" o:title=""/>
            <o:lock v:ext="edit" aspectratio="t"/>
            <w10:wrap type="none"/>
            <w10:anchorlock/>
          </v:shape>
          <o:OLEObject Type="Embed" ProgID="Equation.DSMT4" ShapeID="_x0000_i1119" DrawAspect="Content" ObjectID="_1468075819" r:id="rId181">
            <o:LockedField>false</o:LockedField>
          </o:OLEObject>
        </w:object>
      </w:r>
      <w:r>
        <w:t xml:space="preserve"> </w:t>
      </w:r>
      <w:r>
        <w:rPr>
          <w:sz w:val="24"/>
          <w:szCs w:val="28"/>
        </w:rPr>
        <w:t>dB                   （C.2</w:t>
      </w:r>
      <w:r>
        <w:rPr>
          <w:rFonts w:hint="eastAsia"/>
          <w:sz w:val="24"/>
          <w:szCs w:val="28"/>
        </w:rPr>
        <w:t>4</w:t>
      </w:r>
      <w:r>
        <w:rPr>
          <w:sz w:val="24"/>
          <w:szCs w:val="28"/>
        </w:rPr>
        <w:t>）</w:t>
      </w:r>
    </w:p>
    <w:p w14:paraId="64DB4A06">
      <w:pPr>
        <w:widowControl/>
        <w:autoSpaceDE w:val="0"/>
        <w:autoSpaceDN w:val="0"/>
        <w:spacing w:line="360" w:lineRule="auto"/>
        <w:ind w:firstLine="480" w:firstLineChars="200"/>
        <w:jc w:val="left"/>
        <w:rPr>
          <w:sz w:val="24"/>
          <w:szCs w:val="24"/>
        </w:rPr>
      </w:pPr>
      <w:r>
        <w:rPr>
          <w:sz w:val="24"/>
          <w:szCs w:val="24"/>
        </w:rPr>
        <w:t>15）船底外形轮廓反射引入的标准不确定度分量</w:t>
      </w:r>
      <w:r>
        <w:rPr>
          <w:position w:val="-12"/>
        </w:rPr>
        <w:object>
          <v:shape id="_x0000_i1120" o:spt="75" type="#_x0000_t75" style="height:18.15pt;width:16.3pt;" o:ole="t" filled="f" o:preferrelative="t" stroked="f" coordsize="21600,21600">
            <v:path/>
            <v:fill on="f" focussize="0,0"/>
            <v:stroke on="f" joinstyle="miter"/>
            <v:imagedata r:id="rId184" o:title=""/>
            <o:lock v:ext="edit" aspectratio="t"/>
            <w10:wrap type="none"/>
            <w10:anchorlock/>
          </v:shape>
          <o:OLEObject Type="Embed" ProgID="Equation.DSMT4" ShapeID="_x0000_i1120" DrawAspect="Content" ObjectID="_1468075820" r:id="rId183">
            <o:LockedField>false</o:LockedField>
          </o:OLEObject>
        </w:object>
      </w:r>
    </w:p>
    <w:p w14:paraId="4BB3BECA">
      <w:pPr>
        <w:widowControl/>
        <w:autoSpaceDE w:val="0"/>
        <w:autoSpaceDN w:val="0"/>
        <w:spacing w:line="360" w:lineRule="auto"/>
        <w:ind w:firstLine="480" w:firstLineChars="200"/>
        <w:rPr>
          <w:sz w:val="24"/>
          <w:szCs w:val="24"/>
        </w:rPr>
      </w:pPr>
      <w:r>
        <w:rPr>
          <w:sz w:val="24"/>
          <w:szCs w:val="24"/>
        </w:rPr>
        <w:t>船底外形轮廓反射引入的标准不确定度分量按B类方法评定，船底外形轮廓反射引入的误差不应超过± 0.2 dB。以均匀分布考虑，取</w:t>
      </w:r>
      <w:r>
        <w:rPr>
          <w:position w:val="-8"/>
        </w:rPr>
        <w:object>
          <v:shape id="_x0000_i1121" o:spt="75" type="#_x0000_t75" style="height:18.15pt;width:36.3pt;" o:ole="t" filled="f" o:preferrelative="t" stroked="f" coordsize="21600,21600">
            <v:path/>
            <v:fill on="f" focussize="0,0"/>
            <v:stroke on="f" joinstyle="miter"/>
            <v:imagedata r:id="rId121" o:title=""/>
            <o:lock v:ext="edit" aspectratio="t"/>
            <w10:wrap type="none"/>
            <w10:anchorlock/>
          </v:shape>
          <o:OLEObject Type="Embed" ProgID="Equation.DSMT4" ShapeID="_x0000_i1121" DrawAspect="Content" ObjectID="_1468075821" r:id="rId185">
            <o:LockedField>false</o:LockedField>
          </o:OLEObject>
        </w:object>
      </w:r>
      <w:r>
        <w:rPr>
          <w:sz w:val="24"/>
          <w:szCs w:val="24"/>
        </w:rPr>
        <w:t>，则船底外形轮廓反射引入的标准不确定度分量为：</w:t>
      </w:r>
    </w:p>
    <w:p w14:paraId="6CAD3A5F">
      <w:pPr>
        <w:widowControl/>
        <w:autoSpaceDE w:val="0"/>
        <w:autoSpaceDN w:val="0"/>
        <w:spacing w:line="360" w:lineRule="auto"/>
        <w:ind w:firstLine="420" w:firstLineChars="200"/>
        <w:jc w:val="right"/>
        <w:rPr>
          <w:sz w:val="24"/>
          <w:szCs w:val="24"/>
        </w:rPr>
      </w:pPr>
      <w:r>
        <w:rPr>
          <w:position w:val="-12"/>
        </w:rPr>
        <w:object>
          <v:shape id="_x0000_i1122" o:spt="75" type="#_x0000_t75" style="height:19.4pt;width:95.8pt;" o:ole="t" filled="f" o:preferrelative="t" stroked="f" coordsize="21600,21600">
            <v:path/>
            <v:fill on="f" focussize="0,0"/>
            <v:stroke on="f" joinstyle="miter"/>
            <v:imagedata r:id="rId187" o:title=""/>
            <o:lock v:ext="edit" aspectratio="t"/>
            <w10:wrap type="none"/>
            <w10:anchorlock/>
          </v:shape>
          <o:OLEObject Type="Embed" ProgID="Equation.DSMT4" ShapeID="_x0000_i1122" DrawAspect="Content" ObjectID="_1468075822" r:id="rId186">
            <o:LockedField>false</o:LockedField>
          </o:OLEObject>
        </w:object>
      </w:r>
      <w:r>
        <w:t xml:space="preserve"> </w:t>
      </w:r>
      <w:r>
        <w:rPr>
          <w:sz w:val="24"/>
          <w:szCs w:val="28"/>
        </w:rPr>
        <w:t>dB                     （C.2</w:t>
      </w:r>
      <w:r>
        <w:rPr>
          <w:rFonts w:hint="eastAsia"/>
          <w:sz w:val="24"/>
          <w:szCs w:val="28"/>
        </w:rPr>
        <w:t>5</w:t>
      </w:r>
      <w:r>
        <w:rPr>
          <w:sz w:val="24"/>
          <w:szCs w:val="28"/>
        </w:rPr>
        <w:t>）</w:t>
      </w:r>
    </w:p>
    <w:p w14:paraId="48D649D0">
      <w:pPr>
        <w:widowControl/>
        <w:autoSpaceDE w:val="0"/>
        <w:autoSpaceDN w:val="0"/>
        <w:spacing w:line="360" w:lineRule="auto"/>
        <w:ind w:firstLine="480" w:firstLineChars="200"/>
        <w:jc w:val="left"/>
        <w:rPr>
          <w:sz w:val="24"/>
          <w:szCs w:val="24"/>
        </w:rPr>
      </w:pPr>
      <w:r>
        <w:rPr>
          <w:sz w:val="24"/>
          <w:szCs w:val="24"/>
        </w:rPr>
        <w:t>16）设备工况不稳定引入的标准不确定度分量</w:t>
      </w:r>
      <w:r>
        <w:rPr>
          <w:position w:val="-12"/>
        </w:rPr>
        <w:object>
          <v:shape id="_x0000_i1123" o:spt="75" type="#_x0000_t75" style="height:18.15pt;width:16.3pt;" o:ole="t" filled="f" o:preferrelative="t" stroked="f" coordsize="21600,21600">
            <v:path/>
            <v:fill on="f" focussize="0,0"/>
            <v:stroke on="f" joinstyle="miter"/>
            <v:imagedata r:id="rId189" o:title=""/>
            <o:lock v:ext="edit" aspectratio="t"/>
            <w10:wrap type="none"/>
            <w10:anchorlock/>
          </v:shape>
          <o:OLEObject Type="Embed" ProgID="Equation.DSMT4" ShapeID="_x0000_i1123" DrawAspect="Content" ObjectID="_1468075823" r:id="rId188">
            <o:LockedField>false</o:LockedField>
          </o:OLEObject>
        </w:object>
      </w:r>
    </w:p>
    <w:p w14:paraId="5FDA9B8F">
      <w:pPr>
        <w:widowControl/>
        <w:autoSpaceDE w:val="0"/>
        <w:autoSpaceDN w:val="0"/>
        <w:spacing w:line="360" w:lineRule="auto"/>
        <w:ind w:firstLine="480" w:firstLineChars="200"/>
        <w:jc w:val="left"/>
        <w:rPr>
          <w:sz w:val="24"/>
          <w:szCs w:val="24"/>
        </w:rPr>
      </w:pPr>
      <w:r>
        <w:rPr>
          <w:sz w:val="24"/>
          <w:szCs w:val="24"/>
        </w:rPr>
        <w:t>设备工况不稳定引入的标准不确定分量按B类方法评定。设备工况不稳定引入的误差不应超过± 0.3 dB。以均匀分布考虑，取</w:t>
      </w:r>
      <w:r>
        <w:rPr>
          <w:position w:val="-8"/>
        </w:rPr>
        <w:object>
          <v:shape id="_x0000_i1124" o:spt="75" type="#_x0000_t75" style="height:18.15pt;width:36.3pt;" o:ole="t" filled="f" o:preferrelative="t" stroked="f" coordsize="21600,21600">
            <v:path/>
            <v:fill on="f" focussize="0,0"/>
            <v:stroke on="f" joinstyle="miter"/>
            <v:imagedata r:id="rId121" o:title=""/>
            <o:lock v:ext="edit" aspectratio="t"/>
            <w10:wrap type="none"/>
            <w10:anchorlock/>
          </v:shape>
          <o:OLEObject Type="Embed" ProgID="Equation.DSMT4" ShapeID="_x0000_i1124" DrawAspect="Content" ObjectID="_1468075824" r:id="rId190">
            <o:LockedField>false</o:LockedField>
          </o:OLEObject>
        </w:object>
      </w:r>
      <w:r>
        <w:rPr>
          <w:sz w:val="24"/>
          <w:szCs w:val="24"/>
        </w:rPr>
        <w:t>，则设备工况不稳定引入的标准不确定度分量为：</w:t>
      </w:r>
    </w:p>
    <w:p w14:paraId="2E4CEF0E">
      <w:pPr>
        <w:widowControl/>
        <w:autoSpaceDE w:val="0"/>
        <w:autoSpaceDN w:val="0"/>
        <w:spacing w:line="360" w:lineRule="auto"/>
        <w:ind w:firstLine="420" w:firstLineChars="200"/>
        <w:jc w:val="right"/>
        <w:rPr>
          <w:sz w:val="24"/>
          <w:szCs w:val="24"/>
        </w:rPr>
      </w:pPr>
      <w:r>
        <w:rPr>
          <w:position w:val="-12"/>
        </w:rPr>
        <w:object>
          <v:shape id="_x0000_i1125" o:spt="75" type="#_x0000_t75" style="height:19.4pt;width:95.8pt;" o:ole="t" filled="f" o:preferrelative="t" stroked="f" coordsize="21600,21600">
            <v:path/>
            <v:fill on="f" focussize="0,0"/>
            <v:stroke on="f" joinstyle="miter"/>
            <v:imagedata r:id="rId192" o:title=""/>
            <o:lock v:ext="edit" aspectratio="t"/>
            <w10:wrap type="none"/>
            <w10:anchorlock/>
          </v:shape>
          <o:OLEObject Type="Embed" ProgID="Equation.DSMT4" ShapeID="_x0000_i1125" DrawAspect="Content" ObjectID="_1468075825" r:id="rId191">
            <o:LockedField>false</o:LockedField>
          </o:OLEObject>
        </w:object>
      </w:r>
      <w:r>
        <w:t xml:space="preserve"> </w:t>
      </w:r>
      <w:r>
        <w:rPr>
          <w:sz w:val="24"/>
          <w:szCs w:val="28"/>
        </w:rPr>
        <w:t>dB                     （C.2</w:t>
      </w:r>
      <w:r>
        <w:rPr>
          <w:rFonts w:hint="eastAsia"/>
          <w:sz w:val="24"/>
          <w:szCs w:val="28"/>
        </w:rPr>
        <w:t>6</w:t>
      </w:r>
      <w:r>
        <w:rPr>
          <w:sz w:val="24"/>
          <w:szCs w:val="28"/>
        </w:rPr>
        <w:t>）</w:t>
      </w:r>
    </w:p>
    <w:p w14:paraId="322B0674">
      <w:pPr>
        <w:widowControl/>
        <w:autoSpaceDE w:val="0"/>
        <w:autoSpaceDN w:val="0"/>
        <w:ind w:firstLine="480" w:firstLineChars="200"/>
        <w:jc w:val="left"/>
        <w:rPr>
          <w:szCs w:val="24"/>
        </w:rPr>
      </w:pPr>
      <w:r>
        <w:rPr>
          <w:sz w:val="24"/>
          <w:szCs w:val="24"/>
        </w:rPr>
        <w:t>17）对水对地航向引入的标准不确定度分量</w:t>
      </w:r>
      <w:r>
        <w:rPr>
          <w:position w:val="-12"/>
        </w:rPr>
        <w:object>
          <v:shape id="_x0000_i1126" o:spt="75" type="#_x0000_t75" style="height:18.15pt;width:16.3pt;" o:ole="t" filled="f" o:preferrelative="t" stroked="f" coordsize="21600,21600">
            <v:path/>
            <v:fill on="f" focussize="0,0"/>
            <v:stroke on="f" joinstyle="miter"/>
            <v:imagedata r:id="rId194" o:title=""/>
            <o:lock v:ext="edit" aspectratio="t"/>
            <w10:wrap type="none"/>
            <w10:anchorlock/>
          </v:shape>
          <o:OLEObject Type="Embed" ProgID="Equation.DSMT4" ShapeID="_x0000_i1126" DrawAspect="Content" ObjectID="_1468075826" r:id="rId193">
            <o:LockedField>false</o:LockedField>
          </o:OLEObject>
        </w:object>
      </w:r>
    </w:p>
    <w:p w14:paraId="4BBB260C">
      <w:pPr>
        <w:widowControl/>
        <w:autoSpaceDE w:val="0"/>
        <w:autoSpaceDN w:val="0"/>
        <w:spacing w:line="360" w:lineRule="auto"/>
        <w:ind w:firstLine="480" w:firstLineChars="200"/>
        <w:rPr>
          <w:sz w:val="24"/>
          <w:szCs w:val="24"/>
        </w:rPr>
      </w:pPr>
      <w:r>
        <w:rPr>
          <w:sz w:val="24"/>
          <w:szCs w:val="24"/>
        </w:rPr>
        <w:t>对水对地航向引入的标准不确定度分量按B类方法评定，对水对地航向引入的误差不应超过± 0.2 dB。以均匀分布考虑，取</w:t>
      </w:r>
      <w:r>
        <w:rPr>
          <w:position w:val="-8"/>
        </w:rPr>
        <w:object>
          <v:shape id="_x0000_i1127" o:spt="75" type="#_x0000_t75" style="height:18.15pt;width:36.3pt;" o:ole="t" filled="f" o:preferrelative="t" stroked="f" coordsize="21600,21600">
            <v:path/>
            <v:fill on="f" focussize="0,0"/>
            <v:stroke on="f" joinstyle="miter"/>
            <v:imagedata r:id="rId121" o:title=""/>
            <o:lock v:ext="edit" aspectratio="t"/>
            <w10:wrap type="none"/>
            <w10:anchorlock/>
          </v:shape>
          <o:OLEObject Type="Embed" ProgID="Equation.DSMT4" ShapeID="_x0000_i1127" DrawAspect="Content" ObjectID="_1468075827" r:id="rId195">
            <o:LockedField>false</o:LockedField>
          </o:OLEObject>
        </w:object>
      </w:r>
      <w:r>
        <w:rPr>
          <w:sz w:val="24"/>
          <w:szCs w:val="24"/>
        </w:rPr>
        <w:t>，则对水对地航向引入的标准不确定度分量为：</w:t>
      </w:r>
    </w:p>
    <w:p w14:paraId="3F1918E6">
      <w:pPr>
        <w:widowControl/>
        <w:autoSpaceDE w:val="0"/>
        <w:autoSpaceDN w:val="0"/>
        <w:spacing w:line="360" w:lineRule="auto"/>
        <w:ind w:firstLine="420" w:firstLineChars="200"/>
        <w:jc w:val="right"/>
        <w:rPr>
          <w:sz w:val="24"/>
          <w:szCs w:val="24"/>
        </w:rPr>
      </w:pPr>
      <w:r>
        <w:rPr>
          <w:position w:val="-12"/>
        </w:rPr>
        <w:object>
          <v:shape id="_x0000_i1128" o:spt="75" type="#_x0000_t75" style="height:19.4pt;width:97.05pt;" o:ole="t" filled="f" o:preferrelative="t" stroked="f" coordsize="21600,21600">
            <v:path/>
            <v:fill on="f" focussize="0,0"/>
            <v:stroke on="f" joinstyle="miter"/>
            <v:imagedata r:id="rId197" o:title=""/>
            <o:lock v:ext="edit" aspectratio="t"/>
            <w10:wrap type="none"/>
            <w10:anchorlock/>
          </v:shape>
          <o:OLEObject Type="Embed" ProgID="Equation.DSMT4" ShapeID="_x0000_i1128" DrawAspect="Content" ObjectID="_1468075828" r:id="rId196">
            <o:LockedField>false</o:LockedField>
          </o:OLEObject>
        </w:object>
      </w:r>
      <w:r>
        <w:t xml:space="preserve"> </w:t>
      </w:r>
      <w:r>
        <w:rPr>
          <w:sz w:val="24"/>
          <w:szCs w:val="28"/>
        </w:rPr>
        <w:t>dB                     （C.2</w:t>
      </w:r>
      <w:r>
        <w:rPr>
          <w:rFonts w:hint="eastAsia"/>
          <w:sz w:val="24"/>
          <w:szCs w:val="28"/>
        </w:rPr>
        <w:t>7</w:t>
      </w:r>
      <w:r>
        <w:rPr>
          <w:sz w:val="24"/>
          <w:szCs w:val="28"/>
        </w:rPr>
        <w:t>）</w:t>
      </w:r>
    </w:p>
    <w:p w14:paraId="14CD93F0">
      <w:pPr>
        <w:widowControl/>
        <w:autoSpaceDE w:val="0"/>
        <w:autoSpaceDN w:val="0"/>
        <w:spacing w:line="360" w:lineRule="auto"/>
        <w:ind w:firstLine="480" w:firstLineChars="200"/>
        <w:jc w:val="left"/>
        <w:rPr>
          <w:sz w:val="24"/>
          <w:szCs w:val="24"/>
        </w:rPr>
      </w:pPr>
      <w:r>
        <w:rPr>
          <w:sz w:val="24"/>
          <w:szCs w:val="24"/>
        </w:rPr>
        <w:t>18）多普勒效应引入的标准不确定度分量</w:t>
      </w:r>
      <w:r>
        <w:rPr>
          <w:position w:val="-12"/>
        </w:rPr>
        <w:object>
          <v:shape id="_x0000_i1129" o:spt="75" type="#_x0000_t75" style="height:18.15pt;width:16.3pt;" o:ole="t" filled="f" o:preferrelative="t" stroked="f" coordsize="21600,21600">
            <v:path/>
            <v:fill on="f" focussize="0,0"/>
            <v:stroke on="f" joinstyle="miter"/>
            <v:imagedata r:id="rId199" o:title=""/>
            <o:lock v:ext="edit" aspectratio="t"/>
            <w10:wrap type="none"/>
            <w10:anchorlock/>
          </v:shape>
          <o:OLEObject Type="Embed" ProgID="Equation.DSMT4" ShapeID="_x0000_i1129" DrawAspect="Content" ObjectID="_1468075829" r:id="rId198">
            <o:LockedField>false</o:LockedField>
          </o:OLEObject>
        </w:object>
      </w:r>
    </w:p>
    <w:p w14:paraId="2DB11FAD">
      <w:pPr>
        <w:widowControl/>
        <w:autoSpaceDE w:val="0"/>
        <w:autoSpaceDN w:val="0"/>
        <w:spacing w:line="360" w:lineRule="auto"/>
        <w:ind w:firstLine="480" w:firstLineChars="200"/>
        <w:rPr>
          <w:sz w:val="24"/>
          <w:szCs w:val="24"/>
        </w:rPr>
      </w:pPr>
      <w:r>
        <w:rPr>
          <w:sz w:val="24"/>
          <w:szCs w:val="24"/>
        </w:rPr>
        <w:t>多普勒效应引入的标准不确定度分量按B类方法评定，多普勒效应引入的误差不应超过± 0.2 dB。以均匀分布考虑，取</w:t>
      </w:r>
      <w:r>
        <w:rPr>
          <w:position w:val="-8"/>
        </w:rPr>
        <w:object>
          <v:shape id="_x0000_i1130" o:spt="75" type="#_x0000_t75" style="height:18.15pt;width:36.3pt;" o:ole="t" filled="f" o:preferrelative="t" stroked="f" coordsize="21600,21600">
            <v:path/>
            <v:fill on="f" focussize="0,0"/>
            <v:stroke on="f" joinstyle="miter"/>
            <v:imagedata r:id="rId121" o:title=""/>
            <o:lock v:ext="edit" aspectratio="t"/>
            <w10:wrap type="none"/>
            <w10:anchorlock/>
          </v:shape>
          <o:OLEObject Type="Embed" ProgID="Equation.DSMT4" ShapeID="_x0000_i1130" DrawAspect="Content" ObjectID="_1468075830" r:id="rId200">
            <o:LockedField>false</o:LockedField>
          </o:OLEObject>
        </w:object>
      </w:r>
      <w:r>
        <w:rPr>
          <w:sz w:val="24"/>
          <w:szCs w:val="24"/>
        </w:rPr>
        <w:t>，则多普勒效应引入的标准不确定度分量为：</w:t>
      </w:r>
    </w:p>
    <w:p w14:paraId="231A5CDF">
      <w:pPr>
        <w:widowControl/>
        <w:autoSpaceDE w:val="0"/>
        <w:autoSpaceDN w:val="0"/>
        <w:spacing w:line="360" w:lineRule="auto"/>
        <w:ind w:firstLine="420" w:firstLineChars="200"/>
        <w:jc w:val="right"/>
        <w:rPr>
          <w:sz w:val="24"/>
          <w:szCs w:val="24"/>
        </w:rPr>
      </w:pPr>
      <w:bookmarkStart w:id="113" w:name="_Toc197605001"/>
      <w:r>
        <w:rPr>
          <w:position w:val="-12"/>
        </w:rPr>
        <w:object>
          <v:shape id="_x0000_i1131" o:spt="75" type="#_x0000_t75" style="height:19.4pt;width:95.8pt;" o:ole="t" filled="f" o:preferrelative="t" stroked="f" coordsize="21600,21600">
            <v:path/>
            <v:fill on="f" focussize="0,0"/>
            <v:stroke on="f" joinstyle="miter"/>
            <v:imagedata r:id="rId202" o:title=""/>
            <o:lock v:ext="edit" aspectratio="t"/>
            <w10:wrap type="none"/>
            <w10:anchorlock/>
          </v:shape>
          <o:OLEObject Type="Embed" ProgID="Equation.DSMT4" ShapeID="_x0000_i1131" DrawAspect="Content" ObjectID="_1468075831" r:id="rId201">
            <o:LockedField>false</o:LockedField>
          </o:OLEObject>
        </w:object>
      </w:r>
      <w:r>
        <w:t xml:space="preserve"> </w:t>
      </w:r>
      <w:r>
        <w:rPr>
          <w:sz w:val="24"/>
          <w:szCs w:val="28"/>
        </w:rPr>
        <w:t>dB                     （C.2</w:t>
      </w:r>
      <w:r>
        <w:rPr>
          <w:rFonts w:hint="eastAsia"/>
          <w:sz w:val="24"/>
          <w:szCs w:val="28"/>
        </w:rPr>
        <w:t>8</w:t>
      </w:r>
      <w:r>
        <w:rPr>
          <w:sz w:val="24"/>
          <w:szCs w:val="28"/>
        </w:rPr>
        <w:t>）</w:t>
      </w:r>
    </w:p>
    <w:p w14:paraId="7D2B46E7">
      <w:pPr>
        <w:pStyle w:val="32"/>
        <w:spacing w:line="360" w:lineRule="auto"/>
        <w:ind w:firstLine="0" w:firstLineChars="0"/>
        <w:rPr>
          <w:rFonts w:ascii="Times New Roman"/>
          <w:sz w:val="24"/>
          <w:szCs w:val="24"/>
        </w:rPr>
      </w:pPr>
      <w:r>
        <w:rPr>
          <w:rFonts w:ascii="Times New Roman"/>
          <w:sz w:val="24"/>
          <w:szCs w:val="24"/>
        </w:rPr>
        <w:t>C.3.3 测量不确定度分量汇总</w:t>
      </w:r>
      <w:bookmarkEnd w:id="113"/>
    </w:p>
    <w:p w14:paraId="004BF9D8">
      <w:pPr>
        <w:widowControl/>
        <w:autoSpaceDE w:val="0"/>
        <w:autoSpaceDN w:val="0"/>
        <w:spacing w:line="360" w:lineRule="auto"/>
        <w:ind w:firstLine="480" w:firstLineChars="200"/>
        <w:jc w:val="left"/>
        <w:rPr>
          <w:sz w:val="24"/>
          <w:szCs w:val="24"/>
        </w:rPr>
      </w:pPr>
      <w:r>
        <w:rPr>
          <w:sz w:val="24"/>
          <w:szCs w:val="24"/>
        </w:rPr>
        <w:t>自噪声监测系统的自噪声示值各频率点处的测量不确定度</w:t>
      </w:r>
      <w:r>
        <w:rPr>
          <w:rFonts w:hint="eastAsia"/>
          <w:sz w:val="24"/>
          <w:szCs w:val="24"/>
        </w:rPr>
        <w:t>分量</w:t>
      </w:r>
      <w:r>
        <w:rPr>
          <w:sz w:val="24"/>
          <w:szCs w:val="24"/>
        </w:rPr>
        <w:t>汇总表</w:t>
      </w:r>
      <w:r>
        <w:rPr>
          <w:rFonts w:hint="eastAsia"/>
          <w:sz w:val="24"/>
          <w:szCs w:val="24"/>
        </w:rPr>
        <w:t>见表</w:t>
      </w:r>
      <w:r>
        <w:rPr>
          <w:sz w:val="24"/>
          <w:szCs w:val="24"/>
        </w:rPr>
        <w:t>C.2。</w:t>
      </w:r>
      <w:r>
        <w:rPr>
          <w:sz w:val="24"/>
          <w:szCs w:val="24"/>
        </w:rPr>
        <w:br w:type="page"/>
      </w:r>
    </w:p>
    <w:p w14:paraId="7DBC7290">
      <w:pPr>
        <w:widowControl/>
        <w:autoSpaceDE w:val="0"/>
        <w:autoSpaceDN w:val="0"/>
        <w:jc w:val="center"/>
        <w:rPr>
          <w:rFonts w:eastAsia="黑体"/>
          <w:szCs w:val="21"/>
        </w:rPr>
      </w:pPr>
      <w:r>
        <w:rPr>
          <w:rFonts w:eastAsia="黑体"/>
          <w:szCs w:val="21"/>
        </w:rPr>
        <w:t>表C.2 测量不确定度</w:t>
      </w:r>
      <w:r>
        <w:rPr>
          <w:rFonts w:hint="eastAsia" w:eastAsia="黑体"/>
          <w:szCs w:val="21"/>
        </w:rPr>
        <w:t>分量</w:t>
      </w:r>
      <w:r>
        <w:rPr>
          <w:rFonts w:eastAsia="黑体"/>
          <w:szCs w:val="21"/>
        </w:rPr>
        <w:t>汇总表</w:t>
      </w:r>
    </w:p>
    <w:tbl>
      <w:tblPr>
        <w:tblStyle w:val="16"/>
        <w:tblW w:w="9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4"/>
        <w:gridCol w:w="5134"/>
        <w:gridCol w:w="469"/>
        <w:gridCol w:w="2624"/>
        <w:gridCol w:w="868"/>
      </w:tblGrid>
      <w:tr w14:paraId="26D19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434" w:type="dxa"/>
            <w:vMerge w:val="restart"/>
            <w:shd w:val="clear" w:color="auto" w:fill="auto"/>
            <w:vAlign w:val="center"/>
          </w:tcPr>
          <w:p w14:paraId="4183E6C4">
            <w:pPr>
              <w:widowControl/>
              <w:autoSpaceDE w:val="0"/>
              <w:autoSpaceDN w:val="0"/>
              <w:rPr>
                <w:szCs w:val="21"/>
              </w:rPr>
            </w:pPr>
            <w:bookmarkStart w:id="114" w:name="_Hlk199495701"/>
            <w:r>
              <w:rPr>
                <w:szCs w:val="21"/>
              </w:rPr>
              <w:t>序号</w:t>
            </w:r>
          </w:p>
        </w:tc>
        <w:tc>
          <w:tcPr>
            <w:tcW w:w="9095" w:type="dxa"/>
            <w:gridSpan w:val="4"/>
            <w:shd w:val="clear" w:color="auto" w:fill="auto"/>
            <w:vAlign w:val="center"/>
          </w:tcPr>
          <w:p w14:paraId="6F0C6FEA">
            <w:pPr>
              <w:widowControl/>
              <w:autoSpaceDE w:val="0"/>
              <w:autoSpaceDN w:val="0"/>
              <w:jc w:val="center"/>
              <w:rPr>
                <w:szCs w:val="21"/>
              </w:rPr>
            </w:pPr>
            <w:r>
              <w:rPr>
                <w:szCs w:val="21"/>
              </w:rPr>
              <w:t>标准不确定度</w:t>
            </w:r>
          </w:p>
        </w:tc>
      </w:tr>
      <w:tr w14:paraId="3878A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434" w:type="dxa"/>
            <w:vMerge w:val="continue"/>
            <w:shd w:val="clear" w:color="auto" w:fill="auto"/>
            <w:vAlign w:val="center"/>
          </w:tcPr>
          <w:p w14:paraId="52B46EE8">
            <w:pPr>
              <w:widowControl/>
              <w:autoSpaceDE w:val="0"/>
              <w:autoSpaceDN w:val="0"/>
              <w:jc w:val="center"/>
              <w:rPr>
                <w:szCs w:val="21"/>
              </w:rPr>
            </w:pPr>
          </w:p>
        </w:tc>
        <w:tc>
          <w:tcPr>
            <w:tcW w:w="5134" w:type="dxa"/>
            <w:shd w:val="clear" w:color="auto" w:fill="auto"/>
            <w:vAlign w:val="center"/>
          </w:tcPr>
          <w:p w14:paraId="6F0FAB6C">
            <w:pPr>
              <w:widowControl/>
              <w:autoSpaceDE w:val="0"/>
              <w:autoSpaceDN w:val="0"/>
              <w:jc w:val="center"/>
              <w:rPr>
                <w:szCs w:val="21"/>
              </w:rPr>
            </w:pPr>
            <w:r>
              <w:rPr>
                <w:szCs w:val="21"/>
              </w:rPr>
              <w:t>来源</w:t>
            </w:r>
          </w:p>
        </w:tc>
        <w:tc>
          <w:tcPr>
            <w:tcW w:w="469" w:type="dxa"/>
            <w:shd w:val="clear" w:color="auto" w:fill="auto"/>
            <w:vAlign w:val="center"/>
          </w:tcPr>
          <w:p w14:paraId="473032B7">
            <w:pPr>
              <w:widowControl/>
              <w:autoSpaceDE w:val="0"/>
              <w:autoSpaceDN w:val="0"/>
              <w:jc w:val="center"/>
              <w:rPr>
                <w:szCs w:val="21"/>
              </w:rPr>
            </w:pPr>
            <w:r>
              <w:rPr>
                <w:szCs w:val="21"/>
              </w:rPr>
              <w:t>符号</w:t>
            </w:r>
          </w:p>
        </w:tc>
        <w:tc>
          <w:tcPr>
            <w:tcW w:w="2624" w:type="dxa"/>
            <w:shd w:val="clear" w:color="auto" w:fill="auto"/>
            <w:vAlign w:val="center"/>
          </w:tcPr>
          <w:p w14:paraId="1F16604A">
            <w:pPr>
              <w:widowControl/>
              <w:autoSpaceDE w:val="0"/>
              <w:autoSpaceDN w:val="0"/>
              <w:jc w:val="center"/>
              <w:rPr>
                <w:szCs w:val="21"/>
              </w:rPr>
            </w:pPr>
            <w:r>
              <w:rPr>
                <w:szCs w:val="21"/>
              </w:rPr>
              <w:t>数值/dB</w:t>
            </w:r>
          </w:p>
        </w:tc>
        <w:tc>
          <w:tcPr>
            <w:tcW w:w="867" w:type="dxa"/>
            <w:vAlign w:val="center"/>
          </w:tcPr>
          <w:p w14:paraId="4912D37A">
            <w:pPr>
              <w:widowControl/>
              <w:autoSpaceDE w:val="0"/>
              <w:autoSpaceDN w:val="0"/>
              <w:jc w:val="center"/>
              <w:rPr>
                <w:szCs w:val="21"/>
              </w:rPr>
            </w:pPr>
            <w:r>
              <w:rPr>
                <w:szCs w:val="21"/>
              </w:rPr>
              <w:t>灵敏度系数</w:t>
            </w:r>
          </w:p>
        </w:tc>
      </w:tr>
      <w:tr w14:paraId="3F87F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434" w:type="dxa"/>
            <w:shd w:val="clear" w:color="auto" w:fill="auto"/>
            <w:vAlign w:val="center"/>
          </w:tcPr>
          <w:p w14:paraId="07B0C2A9">
            <w:pPr>
              <w:widowControl/>
              <w:autoSpaceDE w:val="0"/>
              <w:autoSpaceDN w:val="0"/>
              <w:jc w:val="center"/>
              <w:rPr>
                <w:szCs w:val="21"/>
              </w:rPr>
            </w:pPr>
            <w:r>
              <w:rPr>
                <w:szCs w:val="21"/>
              </w:rPr>
              <w:t>1</w:t>
            </w:r>
          </w:p>
        </w:tc>
        <w:tc>
          <w:tcPr>
            <w:tcW w:w="5134" w:type="dxa"/>
            <w:shd w:val="clear" w:color="auto" w:fill="auto"/>
            <w:vAlign w:val="center"/>
          </w:tcPr>
          <w:p w14:paraId="232871D0">
            <w:pPr>
              <w:widowControl/>
              <w:autoSpaceDE w:val="0"/>
              <w:autoSpaceDN w:val="0"/>
              <w:jc w:val="center"/>
              <w:rPr>
                <w:szCs w:val="21"/>
              </w:rPr>
            </w:pPr>
            <w:r>
              <w:rPr>
                <w:szCs w:val="21"/>
              </w:rPr>
              <w:t>测量重复性引入的标准不确定度分量</w:t>
            </w:r>
          </w:p>
        </w:tc>
        <w:tc>
          <w:tcPr>
            <w:tcW w:w="469" w:type="dxa"/>
            <w:shd w:val="clear" w:color="auto" w:fill="auto"/>
            <w:vAlign w:val="center"/>
          </w:tcPr>
          <w:p w14:paraId="61A2F6AD">
            <w:pPr>
              <w:widowControl/>
              <w:autoSpaceDE w:val="0"/>
              <w:autoSpaceDN w:val="0"/>
              <w:jc w:val="center"/>
              <w:rPr>
                <w:i/>
                <w:iCs/>
                <w:szCs w:val="21"/>
              </w:rPr>
            </w:pPr>
            <w:r>
              <w:rPr>
                <w:i/>
                <w:iCs/>
                <w:szCs w:val="21"/>
              </w:rPr>
              <w:t>u</w:t>
            </w:r>
            <w:r>
              <w:rPr>
                <w:szCs w:val="21"/>
                <w:vertAlign w:val="subscript"/>
              </w:rPr>
              <w:t>1</w:t>
            </w:r>
          </w:p>
        </w:tc>
        <w:tc>
          <w:tcPr>
            <w:tcW w:w="2624" w:type="dxa"/>
            <w:shd w:val="clear" w:color="auto" w:fill="auto"/>
            <w:vAlign w:val="center"/>
          </w:tcPr>
          <w:p w14:paraId="43DE3AF1">
            <w:pPr>
              <w:widowControl/>
              <w:autoSpaceDE w:val="0"/>
              <w:autoSpaceDN w:val="0"/>
              <w:jc w:val="center"/>
              <w:rPr>
                <w:szCs w:val="21"/>
              </w:rPr>
            </w:pPr>
            <w:r>
              <w:rPr>
                <w:szCs w:val="21"/>
              </w:rPr>
              <w:t>见表B.1</w:t>
            </w:r>
          </w:p>
        </w:tc>
        <w:tc>
          <w:tcPr>
            <w:tcW w:w="867" w:type="dxa"/>
            <w:vAlign w:val="center"/>
          </w:tcPr>
          <w:p w14:paraId="46FA1BB2">
            <w:pPr>
              <w:widowControl/>
              <w:autoSpaceDE w:val="0"/>
              <w:autoSpaceDN w:val="0"/>
              <w:jc w:val="center"/>
              <w:rPr>
                <w:szCs w:val="21"/>
              </w:rPr>
            </w:pPr>
            <w:r>
              <w:rPr>
                <w:szCs w:val="21"/>
              </w:rPr>
              <w:t>1</w:t>
            </w:r>
          </w:p>
        </w:tc>
      </w:tr>
      <w:tr w14:paraId="15AB1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434" w:type="dxa"/>
            <w:shd w:val="clear" w:color="auto" w:fill="auto"/>
            <w:vAlign w:val="center"/>
          </w:tcPr>
          <w:p w14:paraId="5F562496">
            <w:pPr>
              <w:widowControl/>
              <w:autoSpaceDE w:val="0"/>
              <w:autoSpaceDN w:val="0"/>
              <w:jc w:val="center"/>
              <w:rPr>
                <w:szCs w:val="21"/>
              </w:rPr>
            </w:pPr>
            <w:r>
              <w:rPr>
                <w:szCs w:val="21"/>
              </w:rPr>
              <w:t>2</w:t>
            </w:r>
          </w:p>
        </w:tc>
        <w:tc>
          <w:tcPr>
            <w:tcW w:w="5134" w:type="dxa"/>
            <w:shd w:val="clear" w:color="auto" w:fill="auto"/>
            <w:vAlign w:val="center"/>
          </w:tcPr>
          <w:p w14:paraId="06C67F43">
            <w:pPr>
              <w:widowControl/>
              <w:autoSpaceDE w:val="0"/>
              <w:autoSpaceDN w:val="0"/>
              <w:jc w:val="center"/>
              <w:rPr>
                <w:szCs w:val="21"/>
              </w:rPr>
            </w:pPr>
            <w:r>
              <w:rPr>
                <w:szCs w:val="21"/>
              </w:rPr>
              <w:t>标准水听器校准引入的标准不确定度分量</w:t>
            </w:r>
          </w:p>
        </w:tc>
        <w:tc>
          <w:tcPr>
            <w:tcW w:w="469" w:type="dxa"/>
            <w:shd w:val="clear" w:color="auto" w:fill="auto"/>
            <w:vAlign w:val="center"/>
          </w:tcPr>
          <w:p w14:paraId="080CEEFB">
            <w:pPr>
              <w:widowControl/>
              <w:autoSpaceDE w:val="0"/>
              <w:autoSpaceDN w:val="0"/>
              <w:jc w:val="center"/>
              <w:rPr>
                <w:szCs w:val="21"/>
              </w:rPr>
            </w:pPr>
            <w:r>
              <w:rPr>
                <w:i/>
                <w:iCs/>
                <w:szCs w:val="21"/>
              </w:rPr>
              <w:t>u</w:t>
            </w:r>
            <w:r>
              <w:rPr>
                <w:szCs w:val="21"/>
                <w:vertAlign w:val="subscript"/>
              </w:rPr>
              <w:t>2</w:t>
            </w:r>
          </w:p>
        </w:tc>
        <w:tc>
          <w:tcPr>
            <w:tcW w:w="2624" w:type="dxa"/>
            <w:shd w:val="clear" w:color="auto" w:fill="auto"/>
            <w:vAlign w:val="center"/>
          </w:tcPr>
          <w:p w14:paraId="7338CB27">
            <w:pPr>
              <w:widowControl/>
              <w:autoSpaceDE w:val="0"/>
              <w:autoSpaceDN w:val="0"/>
              <w:jc w:val="center"/>
              <w:rPr>
                <w:szCs w:val="21"/>
              </w:rPr>
            </w:pPr>
            <w:r>
              <w:rPr>
                <w:szCs w:val="21"/>
              </w:rPr>
              <w:t>0.65（</w:t>
            </w:r>
            <w:r>
              <w:t>300Hz</w:t>
            </w:r>
            <w:r>
              <w:rPr>
                <w:sz w:val="24"/>
                <w:szCs w:val="24"/>
              </w:rPr>
              <w:t>≤</w:t>
            </w:r>
            <w:r>
              <w:rPr>
                <w:i/>
                <w:iCs/>
                <w:sz w:val="24"/>
                <w:szCs w:val="24"/>
              </w:rPr>
              <w:t>f</w:t>
            </w:r>
            <w:r>
              <w:rPr>
                <w:sz w:val="24"/>
                <w:szCs w:val="24"/>
              </w:rPr>
              <w:t>≤</w:t>
            </w:r>
            <w:r>
              <w:t>800kHz</w:t>
            </w:r>
            <w:r>
              <w:rPr>
                <w:szCs w:val="21"/>
              </w:rPr>
              <w:t>）</w:t>
            </w:r>
          </w:p>
          <w:p w14:paraId="64D68B4E">
            <w:pPr>
              <w:widowControl/>
              <w:autoSpaceDE w:val="0"/>
              <w:autoSpaceDN w:val="0"/>
              <w:jc w:val="center"/>
              <w:rPr>
                <w:szCs w:val="21"/>
              </w:rPr>
            </w:pPr>
            <w:r>
              <w:rPr>
                <w:szCs w:val="21"/>
              </w:rPr>
              <w:t>0.45（</w:t>
            </w:r>
            <w:r>
              <w:t>1kHz</w:t>
            </w:r>
            <w:r>
              <w:rPr>
                <w:sz w:val="24"/>
                <w:szCs w:val="24"/>
              </w:rPr>
              <w:t>≤</w:t>
            </w:r>
            <w:r>
              <w:rPr>
                <w:i/>
                <w:iCs/>
                <w:sz w:val="24"/>
                <w:szCs w:val="24"/>
              </w:rPr>
              <w:t>f</w:t>
            </w:r>
            <w:r>
              <w:rPr>
                <w:sz w:val="24"/>
                <w:szCs w:val="24"/>
              </w:rPr>
              <w:t>≤</w:t>
            </w:r>
            <w:r>
              <w:t>40kHz</w:t>
            </w:r>
            <w:r>
              <w:rPr>
                <w:szCs w:val="21"/>
              </w:rPr>
              <w:t>）</w:t>
            </w:r>
          </w:p>
        </w:tc>
        <w:tc>
          <w:tcPr>
            <w:tcW w:w="867" w:type="dxa"/>
            <w:vAlign w:val="center"/>
          </w:tcPr>
          <w:p w14:paraId="5C3DC111">
            <w:pPr>
              <w:widowControl/>
              <w:autoSpaceDE w:val="0"/>
              <w:autoSpaceDN w:val="0"/>
              <w:jc w:val="center"/>
              <w:rPr>
                <w:szCs w:val="21"/>
              </w:rPr>
            </w:pPr>
            <w:r>
              <w:rPr>
                <w:szCs w:val="21"/>
              </w:rPr>
              <w:t>1</w:t>
            </w:r>
          </w:p>
        </w:tc>
      </w:tr>
      <w:tr w14:paraId="60DFA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434" w:type="dxa"/>
            <w:shd w:val="clear" w:color="auto" w:fill="auto"/>
            <w:vAlign w:val="center"/>
          </w:tcPr>
          <w:p w14:paraId="60B0B0CE">
            <w:pPr>
              <w:widowControl/>
              <w:autoSpaceDE w:val="0"/>
              <w:autoSpaceDN w:val="0"/>
              <w:jc w:val="center"/>
              <w:rPr>
                <w:szCs w:val="21"/>
              </w:rPr>
            </w:pPr>
            <w:r>
              <w:rPr>
                <w:szCs w:val="21"/>
              </w:rPr>
              <w:t>3</w:t>
            </w:r>
          </w:p>
        </w:tc>
        <w:tc>
          <w:tcPr>
            <w:tcW w:w="5134" w:type="dxa"/>
            <w:shd w:val="clear" w:color="auto" w:fill="auto"/>
            <w:vAlign w:val="center"/>
          </w:tcPr>
          <w:p w14:paraId="757BCB97">
            <w:pPr>
              <w:widowControl/>
              <w:autoSpaceDE w:val="0"/>
              <w:autoSpaceDN w:val="0"/>
              <w:jc w:val="center"/>
              <w:rPr>
                <w:szCs w:val="21"/>
              </w:rPr>
            </w:pPr>
            <w:r>
              <w:rPr>
                <w:szCs w:val="21"/>
              </w:rPr>
              <w:t>动态信号分析仪引入的标准不确定度分量</w:t>
            </w:r>
          </w:p>
        </w:tc>
        <w:tc>
          <w:tcPr>
            <w:tcW w:w="469" w:type="dxa"/>
            <w:shd w:val="clear" w:color="auto" w:fill="auto"/>
            <w:vAlign w:val="center"/>
          </w:tcPr>
          <w:p w14:paraId="293E4A41">
            <w:pPr>
              <w:widowControl/>
              <w:autoSpaceDE w:val="0"/>
              <w:autoSpaceDN w:val="0"/>
              <w:jc w:val="center"/>
              <w:rPr>
                <w:szCs w:val="21"/>
              </w:rPr>
            </w:pPr>
            <w:r>
              <w:rPr>
                <w:i/>
                <w:iCs/>
                <w:szCs w:val="21"/>
              </w:rPr>
              <w:t>u</w:t>
            </w:r>
            <w:r>
              <w:rPr>
                <w:szCs w:val="21"/>
                <w:vertAlign w:val="subscript"/>
              </w:rPr>
              <w:t>3</w:t>
            </w:r>
          </w:p>
        </w:tc>
        <w:tc>
          <w:tcPr>
            <w:tcW w:w="2624" w:type="dxa"/>
            <w:shd w:val="clear" w:color="auto" w:fill="auto"/>
            <w:vAlign w:val="center"/>
          </w:tcPr>
          <w:p w14:paraId="55B376C1">
            <w:pPr>
              <w:widowControl/>
              <w:autoSpaceDE w:val="0"/>
              <w:autoSpaceDN w:val="0"/>
              <w:jc w:val="center"/>
              <w:rPr>
                <w:szCs w:val="21"/>
              </w:rPr>
            </w:pPr>
            <w:r>
              <w:rPr>
                <w:szCs w:val="21"/>
              </w:rPr>
              <w:t>0.06</w:t>
            </w:r>
          </w:p>
        </w:tc>
        <w:tc>
          <w:tcPr>
            <w:tcW w:w="867" w:type="dxa"/>
            <w:vAlign w:val="center"/>
          </w:tcPr>
          <w:p w14:paraId="3F4F5942">
            <w:pPr>
              <w:widowControl/>
              <w:autoSpaceDE w:val="0"/>
              <w:autoSpaceDN w:val="0"/>
              <w:jc w:val="center"/>
              <w:rPr>
                <w:szCs w:val="21"/>
              </w:rPr>
            </w:pPr>
            <w:r>
              <w:rPr>
                <w:szCs w:val="21"/>
              </w:rPr>
              <w:t>1</w:t>
            </w:r>
          </w:p>
        </w:tc>
      </w:tr>
      <w:tr w14:paraId="196C4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434" w:type="dxa"/>
            <w:shd w:val="clear" w:color="auto" w:fill="auto"/>
            <w:vAlign w:val="center"/>
          </w:tcPr>
          <w:p w14:paraId="000EA8E4">
            <w:pPr>
              <w:widowControl/>
              <w:autoSpaceDE w:val="0"/>
              <w:autoSpaceDN w:val="0"/>
              <w:jc w:val="center"/>
              <w:rPr>
                <w:szCs w:val="21"/>
              </w:rPr>
            </w:pPr>
            <w:r>
              <w:rPr>
                <w:szCs w:val="21"/>
              </w:rPr>
              <w:t>4</w:t>
            </w:r>
          </w:p>
        </w:tc>
        <w:tc>
          <w:tcPr>
            <w:tcW w:w="5134" w:type="dxa"/>
            <w:shd w:val="clear" w:color="auto" w:fill="auto"/>
            <w:vAlign w:val="center"/>
          </w:tcPr>
          <w:p w14:paraId="4D71F391">
            <w:pPr>
              <w:widowControl/>
              <w:autoSpaceDE w:val="0"/>
              <w:autoSpaceDN w:val="0"/>
              <w:jc w:val="center"/>
              <w:rPr>
                <w:szCs w:val="21"/>
              </w:rPr>
            </w:pPr>
            <w:r>
              <w:rPr>
                <w:szCs w:val="21"/>
              </w:rPr>
              <w:t>噪声声压谱线分析带宽误差引入的标准不确定度分量</w:t>
            </w:r>
          </w:p>
        </w:tc>
        <w:tc>
          <w:tcPr>
            <w:tcW w:w="469" w:type="dxa"/>
            <w:shd w:val="clear" w:color="auto" w:fill="auto"/>
            <w:vAlign w:val="center"/>
          </w:tcPr>
          <w:p w14:paraId="2799D91F">
            <w:pPr>
              <w:widowControl/>
              <w:autoSpaceDE w:val="0"/>
              <w:autoSpaceDN w:val="0"/>
              <w:jc w:val="center"/>
              <w:rPr>
                <w:szCs w:val="21"/>
              </w:rPr>
            </w:pPr>
            <w:r>
              <w:rPr>
                <w:i/>
                <w:iCs/>
                <w:szCs w:val="21"/>
              </w:rPr>
              <w:t>u</w:t>
            </w:r>
            <w:r>
              <w:rPr>
                <w:szCs w:val="21"/>
                <w:vertAlign w:val="subscript"/>
              </w:rPr>
              <w:t>4</w:t>
            </w:r>
          </w:p>
        </w:tc>
        <w:tc>
          <w:tcPr>
            <w:tcW w:w="2624" w:type="dxa"/>
            <w:shd w:val="clear" w:color="auto" w:fill="auto"/>
            <w:vAlign w:val="center"/>
          </w:tcPr>
          <w:p w14:paraId="542B3A66">
            <w:pPr>
              <w:widowControl/>
              <w:autoSpaceDE w:val="0"/>
              <w:autoSpaceDN w:val="0"/>
              <w:jc w:val="center"/>
              <w:rPr>
                <w:szCs w:val="21"/>
              </w:rPr>
            </w:pPr>
            <w:r>
              <w:rPr>
                <w:szCs w:val="21"/>
              </w:rPr>
              <w:t>0.08</w:t>
            </w:r>
          </w:p>
        </w:tc>
        <w:tc>
          <w:tcPr>
            <w:tcW w:w="867" w:type="dxa"/>
            <w:vAlign w:val="center"/>
          </w:tcPr>
          <w:p w14:paraId="03BDEAC2">
            <w:pPr>
              <w:widowControl/>
              <w:autoSpaceDE w:val="0"/>
              <w:autoSpaceDN w:val="0"/>
              <w:jc w:val="center"/>
              <w:rPr>
                <w:szCs w:val="21"/>
              </w:rPr>
            </w:pPr>
            <w:r>
              <w:rPr>
                <w:szCs w:val="21"/>
              </w:rPr>
              <w:t>1</w:t>
            </w:r>
          </w:p>
        </w:tc>
      </w:tr>
      <w:tr w14:paraId="1917E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434" w:type="dxa"/>
            <w:shd w:val="clear" w:color="auto" w:fill="auto"/>
            <w:vAlign w:val="center"/>
          </w:tcPr>
          <w:p w14:paraId="69FEE6CA">
            <w:pPr>
              <w:widowControl/>
              <w:autoSpaceDE w:val="0"/>
              <w:autoSpaceDN w:val="0"/>
              <w:jc w:val="center"/>
              <w:rPr>
                <w:szCs w:val="21"/>
              </w:rPr>
            </w:pPr>
            <w:r>
              <w:rPr>
                <w:szCs w:val="21"/>
              </w:rPr>
              <w:t>5</w:t>
            </w:r>
          </w:p>
        </w:tc>
        <w:tc>
          <w:tcPr>
            <w:tcW w:w="5134" w:type="dxa"/>
            <w:shd w:val="clear" w:color="auto" w:fill="auto"/>
            <w:vAlign w:val="center"/>
          </w:tcPr>
          <w:p w14:paraId="72E8BA8E">
            <w:pPr>
              <w:widowControl/>
              <w:autoSpaceDE w:val="0"/>
              <w:autoSpaceDN w:val="0"/>
              <w:jc w:val="center"/>
              <w:rPr>
                <w:szCs w:val="21"/>
              </w:rPr>
            </w:pPr>
            <w:r>
              <w:rPr>
                <w:szCs w:val="21"/>
              </w:rPr>
              <w:t>距离测量引入的标准不确定度分量</w:t>
            </w:r>
          </w:p>
        </w:tc>
        <w:tc>
          <w:tcPr>
            <w:tcW w:w="469" w:type="dxa"/>
            <w:shd w:val="clear" w:color="auto" w:fill="auto"/>
            <w:vAlign w:val="center"/>
          </w:tcPr>
          <w:p w14:paraId="6549DE5B">
            <w:pPr>
              <w:widowControl/>
              <w:autoSpaceDE w:val="0"/>
              <w:autoSpaceDN w:val="0"/>
              <w:jc w:val="center"/>
              <w:rPr>
                <w:szCs w:val="21"/>
              </w:rPr>
            </w:pPr>
            <w:r>
              <w:rPr>
                <w:i/>
                <w:iCs/>
                <w:szCs w:val="21"/>
              </w:rPr>
              <w:t>u</w:t>
            </w:r>
            <w:r>
              <w:rPr>
                <w:szCs w:val="21"/>
                <w:vertAlign w:val="subscript"/>
              </w:rPr>
              <w:t>5</w:t>
            </w:r>
          </w:p>
        </w:tc>
        <w:tc>
          <w:tcPr>
            <w:tcW w:w="2624" w:type="dxa"/>
            <w:shd w:val="clear" w:color="auto" w:fill="auto"/>
            <w:vAlign w:val="center"/>
          </w:tcPr>
          <w:p w14:paraId="5DE4442A">
            <w:pPr>
              <w:widowControl/>
              <w:autoSpaceDE w:val="0"/>
              <w:autoSpaceDN w:val="0"/>
              <w:jc w:val="center"/>
              <w:rPr>
                <w:szCs w:val="21"/>
              </w:rPr>
            </w:pPr>
            <w:r>
              <w:rPr>
                <w:szCs w:val="21"/>
              </w:rPr>
              <w:t>0.05</w:t>
            </w:r>
          </w:p>
        </w:tc>
        <w:tc>
          <w:tcPr>
            <w:tcW w:w="867" w:type="dxa"/>
            <w:vAlign w:val="center"/>
          </w:tcPr>
          <w:p w14:paraId="6652C624">
            <w:pPr>
              <w:widowControl/>
              <w:autoSpaceDE w:val="0"/>
              <w:autoSpaceDN w:val="0"/>
              <w:jc w:val="center"/>
              <w:rPr>
                <w:szCs w:val="21"/>
              </w:rPr>
            </w:pPr>
            <w:r>
              <w:rPr>
                <w:szCs w:val="21"/>
              </w:rPr>
              <w:t>1</w:t>
            </w:r>
          </w:p>
        </w:tc>
      </w:tr>
      <w:tr w14:paraId="14F09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434" w:type="dxa"/>
            <w:shd w:val="clear" w:color="auto" w:fill="auto"/>
            <w:vAlign w:val="center"/>
          </w:tcPr>
          <w:p w14:paraId="457168EA">
            <w:pPr>
              <w:widowControl/>
              <w:autoSpaceDE w:val="0"/>
              <w:autoSpaceDN w:val="0"/>
              <w:jc w:val="center"/>
              <w:rPr>
                <w:szCs w:val="21"/>
              </w:rPr>
            </w:pPr>
            <w:r>
              <w:rPr>
                <w:szCs w:val="21"/>
              </w:rPr>
              <w:t>6</w:t>
            </w:r>
          </w:p>
        </w:tc>
        <w:tc>
          <w:tcPr>
            <w:tcW w:w="5134" w:type="dxa"/>
            <w:shd w:val="clear" w:color="auto" w:fill="auto"/>
            <w:vAlign w:val="center"/>
          </w:tcPr>
          <w:p w14:paraId="2AD2B41F">
            <w:pPr>
              <w:widowControl/>
              <w:autoSpaceDE w:val="0"/>
              <w:autoSpaceDN w:val="0"/>
              <w:jc w:val="center"/>
              <w:rPr>
                <w:szCs w:val="21"/>
              </w:rPr>
            </w:pPr>
            <w:r>
              <w:rPr>
                <w:szCs w:val="21"/>
              </w:rPr>
              <w:t>测量水域偏离自由场条件引入的标准不确定度分量</w:t>
            </w:r>
          </w:p>
        </w:tc>
        <w:tc>
          <w:tcPr>
            <w:tcW w:w="469" w:type="dxa"/>
            <w:shd w:val="clear" w:color="auto" w:fill="auto"/>
            <w:vAlign w:val="center"/>
          </w:tcPr>
          <w:p w14:paraId="7054DE4D">
            <w:pPr>
              <w:widowControl/>
              <w:autoSpaceDE w:val="0"/>
              <w:autoSpaceDN w:val="0"/>
              <w:jc w:val="center"/>
              <w:rPr>
                <w:szCs w:val="21"/>
              </w:rPr>
            </w:pPr>
            <w:r>
              <w:rPr>
                <w:i/>
                <w:iCs/>
                <w:szCs w:val="21"/>
              </w:rPr>
              <w:t>u</w:t>
            </w:r>
            <w:r>
              <w:rPr>
                <w:szCs w:val="21"/>
                <w:vertAlign w:val="subscript"/>
              </w:rPr>
              <w:t>6</w:t>
            </w:r>
          </w:p>
        </w:tc>
        <w:tc>
          <w:tcPr>
            <w:tcW w:w="2624" w:type="dxa"/>
            <w:shd w:val="clear" w:color="auto" w:fill="auto"/>
            <w:vAlign w:val="center"/>
          </w:tcPr>
          <w:p w14:paraId="02E13666">
            <w:pPr>
              <w:widowControl/>
              <w:autoSpaceDE w:val="0"/>
              <w:autoSpaceDN w:val="0"/>
              <w:jc w:val="center"/>
              <w:rPr>
                <w:szCs w:val="21"/>
              </w:rPr>
            </w:pPr>
            <w:r>
              <w:rPr>
                <w:szCs w:val="21"/>
              </w:rPr>
              <w:t>0.12</w:t>
            </w:r>
          </w:p>
        </w:tc>
        <w:tc>
          <w:tcPr>
            <w:tcW w:w="867" w:type="dxa"/>
            <w:vAlign w:val="center"/>
          </w:tcPr>
          <w:p w14:paraId="56B69C6F">
            <w:pPr>
              <w:widowControl/>
              <w:autoSpaceDE w:val="0"/>
              <w:autoSpaceDN w:val="0"/>
              <w:jc w:val="center"/>
              <w:rPr>
                <w:szCs w:val="21"/>
              </w:rPr>
            </w:pPr>
            <w:r>
              <w:rPr>
                <w:szCs w:val="21"/>
              </w:rPr>
              <w:t>1</w:t>
            </w:r>
          </w:p>
        </w:tc>
      </w:tr>
      <w:tr w14:paraId="3B614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434" w:type="dxa"/>
            <w:shd w:val="clear" w:color="auto" w:fill="auto"/>
            <w:vAlign w:val="center"/>
          </w:tcPr>
          <w:p w14:paraId="6CA1ADDF">
            <w:pPr>
              <w:widowControl/>
              <w:autoSpaceDE w:val="0"/>
              <w:autoSpaceDN w:val="0"/>
              <w:jc w:val="center"/>
              <w:rPr>
                <w:szCs w:val="21"/>
              </w:rPr>
            </w:pPr>
            <w:r>
              <w:rPr>
                <w:szCs w:val="21"/>
              </w:rPr>
              <w:t>7</w:t>
            </w:r>
          </w:p>
        </w:tc>
        <w:tc>
          <w:tcPr>
            <w:tcW w:w="5134" w:type="dxa"/>
            <w:shd w:val="clear" w:color="auto" w:fill="auto"/>
            <w:vAlign w:val="center"/>
          </w:tcPr>
          <w:p w14:paraId="11984019">
            <w:pPr>
              <w:widowControl/>
              <w:autoSpaceDE w:val="0"/>
              <w:autoSpaceDN w:val="0"/>
              <w:jc w:val="center"/>
              <w:rPr>
                <w:szCs w:val="21"/>
              </w:rPr>
            </w:pPr>
            <w:r>
              <w:rPr>
                <w:szCs w:val="21"/>
              </w:rPr>
              <w:t>前置放大器不准确引入的标准不确定度分量</w:t>
            </w:r>
          </w:p>
        </w:tc>
        <w:tc>
          <w:tcPr>
            <w:tcW w:w="469" w:type="dxa"/>
            <w:shd w:val="clear" w:color="auto" w:fill="auto"/>
            <w:vAlign w:val="center"/>
          </w:tcPr>
          <w:p w14:paraId="18DFAAC5">
            <w:pPr>
              <w:widowControl/>
              <w:autoSpaceDE w:val="0"/>
              <w:autoSpaceDN w:val="0"/>
              <w:jc w:val="center"/>
              <w:rPr>
                <w:szCs w:val="21"/>
              </w:rPr>
            </w:pPr>
            <w:r>
              <w:rPr>
                <w:i/>
                <w:iCs/>
                <w:szCs w:val="21"/>
              </w:rPr>
              <w:t>u</w:t>
            </w:r>
            <w:r>
              <w:rPr>
                <w:szCs w:val="21"/>
                <w:vertAlign w:val="subscript"/>
              </w:rPr>
              <w:t>7</w:t>
            </w:r>
          </w:p>
        </w:tc>
        <w:tc>
          <w:tcPr>
            <w:tcW w:w="2624" w:type="dxa"/>
            <w:shd w:val="clear" w:color="auto" w:fill="auto"/>
            <w:vAlign w:val="center"/>
          </w:tcPr>
          <w:p w14:paraId="57A6F712">
            <w:pPr>
              <w:widowControl/>
              <w:autoSpaceDE w:val="0"/>
              <w:autoSpaceDN w:val="0"/>
              <w:jc w:val="center"/>
              <w:rPr>
                <w:szCs w:val="21"/>
              </w:rPr>
            </w:pPr>
            <w:r>
              <w:rPr>
                <w:szCs w:val="21"/>
              </w:rPr>
              <w:t>0.17</w:t>
            </w:r>
          </w:p>
        </w:tc>
        <w:tc>
          <w:tcPr>
            <w:tcW w:w="867" w:type="dxa"/>
            <w:vAlign w:val="center"/>
          </w:tcPr>
          <w:p w14:paraId="213913DC">
            <w:pPr>
              <w:widowControl/>
              <w:autoSpaceDE w:val="0"/>
              <w:autoSpaceDN w:val="0"/>
              <w:jc w:val="center"/>
              <w:rPr>
                <w:szCs w:val="21"/>
              </w:rPr>
            </w:pPr>
            <w:r>
              <w:rPr>
                <w:szCs w:val="21"/>
              </w:rPr>
              <w:t>1</w:t>
            </w:r>
          </w:p>
        </w:tc>
      </w:tr>
      <w:tr w14:paraId="1C85B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34" w:type="dxa"/>
            <w:shd w:val="clear" w:color="auto" w:fill="auto"/>
            <w:vAlign w:val="center"/>
          </w:tcPr>
          <w:p w14:paraId="1EE7DB4F">
            <w:pPr>
              <w:widowControl/>
              <w:autoSpaceDE w:val="0"/>
              <w:autoSpaceDN w:val="0"/>
              <w:jc w:val="center"/>
              <w:rPr>
                <w:szCs w:val="21"/>
              </w:rPr>
            </w:pPr>
            <w:r>
              <w:rPr>
                <w:szCs w:val="21"/>
              </w:rPr>
              <w:t>8</w:t>
            </w:r>
          </w:p>
        </w:tc>
        <w:tc>
          <w:tcPr>
            <w:tcW w:w="5134" w:type="dxa"/>
            <w:shd w:val="clear" w:color="auto" w:fill="auto"/>
            <w:vAlign w:val="center"/>
          </w:tcPr>
          <w:p w14:paraId="3FD52012">
            <w:pPr>
              <w:widowControl/>
              <w:autoSpaceDE w:val="0"/>
              <w:autoSpaceDN w:val="0"/>
              <w:jc w:val="center"/>
              <w:rPr>
                <w:szCs w:val="21"/>
              </w:rPr>
            </w:pPr>
            <w:r>
              <w:rPr>
                <w:szCs w:val="21"/>
              </w:rPr>
              <w:t>信噪比不足引入的标准不确定度分量</w:t>
            </w:r>
          </w:p>
        </w:tc>
        <w:tc>
          <w:tcPr>
            <w:tcW w:w="469" w:type="dxa"/>
            <w:shd w:val="clear" w:color="auto" w:fill="auto"/>
            <w:vAlign w:val="center"/>
          </w:tcPr>
          <w:p w14:paraId="6E3C191E">
            <w:pPr>
              <w:widowControl/>
              <w:autoSpaceDE w:val="0"/>
              <w:autoSpaceDN w:val="0"/>
              <w:jc w:val="center"/>
              <w:rPr>
                <w:szCs w:val="21"/>
              </w:rPr>
            </w:pPr>
            <w:r>
              <w:rPr>
                <w:i/>
                <w:iCs/>
                <w:szCs w:val="21"/>
              </w:rPr>
              <w:t>u</w:t>
            </w:r>
            <w:r>
              <w:rPr>
                <w:szCs w:val="21"/>
                <w:vertAlign w:val="subscript"/>
              </w:rPr>
              <w:t>8</w:t>
            </w:r>
          </w:p>
        </w:tc>
        <w:tc>
          <w:tcPr>
            <w:tcW w:w="2624" w:type="dxa"/>
            <w:shd w:val="clear" w:color="auto" w:fill="auto"/>
            <w:vAlign w:val="center"/>
          </w:tcPr>
          <w:p w14:paraId="129C9826">
            <w:pPr>
              <w:widowControl/>
              <w:autoSpaceDE w:val="0"/>
              <w:autoSpaceDN w:val="0"/>
              <w:jc w:val="center"/>
              <w:rPr>
                <w:szCs w:val="21"/>
              </w:rPr>
            </w:pPr>
            <w:r>
              <w:rPr>
                <w:szCs w:val="21"/>
              </w:rPr>
              <w:t>0.06</w:t>
            </w:r>
          </w:p>
        </w:tc>
        <w:tc>
          <w:tcPr>
            <w:tcW w:w="867" w:type="dxa"/>
            <w:vAlign w:val="center"/>
          </w:tcPr>
          <w:p w14:paraId="2C922F30">
            <w:pPr>
              <w:widowControl/>
              <w:autoSpaceDE w:val="0"/>
              <w:autoSpaceDN w:val="0"/>
              <w:jc w:val="center"/>
              <w:rPr>
                <w:szCs w:val="21"/>
              </w:rPr>
            </w:pPr>
            <w:r>
              <w:rPr>
                <w:szCs w:val="21"/>
              </w:rPr>
              <w:t>1</w:t>
            </w:r>
          </w:p>
        </w:tc>
      </w:tr>
      <w:tr w14:paraId="1DC12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434" w:type="dxa"/>
            <w:shd w:val="clear" w:color="auto" w:fill="auto"/>
            <w:vAlign w:val="center"/>
          </w:tcPr>
          <w:p w14:paraId="505F3D41">
            <w:pPr>
              <w:widowControl/>
              <w:autoSpaceDE w:val="0"/>
              <w:autoSpaceDN w:val="0"/>
              <w:jc w:val="center"/>
              <w:rPr>
                <w:szCs w:val="21"/>
              </w:rPr>
            </w:pPr>
            <w:r>
              <w:rPr>
                <w:szCs w:val="21"/>
              </w:rPr>
              <w:t>9</w:t>
            </w:r>
          </w:p>
        </w:tc>
        <w:tc>
          <w:tcPr>
            <w:tcW w:w="5134" w:type="dxa"/>
            <w:shd w:val="clear" w:color="auto" w:fill="auto"/>
            <w:vAlign w:val="center"/>
          </w:tcPr>
          <w:p w14:paraId="70BDC4F2">
            <w:pPr>
              <w:widowControl/>
              <w:autoSpaceDE w:val="0"/>
              <w:autoSpaceDN w:val="0"/>
              <w:jc w:val="center"/>
              <w:rPr>
                <w:szCs w:val="21"/>
              </w:rPr>
            </w:pPr>
            <w:r>
              <w:rPr>
                <w:szCs w:val="21"/>
              </w:rPr>
              <w:t>电干扰引入的标准不确定度分量</w:t>
            </w:r>
          </w:p>
        </w:tc>
        <w:tc>
          <w:tcPr>
            <w:tcW w:w="469" w:type="dxa"/>
            <w:shd w:val="clear" w:color="auto" w:fill="auto"/>
            <w:vAlign w:val="center"/>
          </w:tcPr>
          <w:p w14:paraId="3B396C0E">
            <w:pPr>
              <w:widowControl/>
              <w:autoSpaceDE w:val="0"/>
              <w:autoSpaceDN w:val="0"/>
              <w:jc w:val="center"/>
              <w:rPr>
                <w:szCs w:val="21"/>
              </w:rPr>
            </w:pPr>
            <w:r>
              <w:rPr>
                <w:i/>
                <w:iCs/>
                <w:szCs w:val="21"/>
              </w:rPr>
              <w:t>u</w:t>
            </w:r>
            <w:r>
              <w:rPr>
                <w:szCs w:val="21"/>
                <w:vertAlign w:val="subscript"/>
              </w:rPr>
              <w:t>9</w:t>
            </w:r>
          </w:p>
        </w:tc>
        <w:tc>
          <w:tcPr>
            <w:tcW w:w="2624" w:type="dxa"/>
            <w:shd w:val="clear" w:color="auto" w:fill="auto"/>
            <w:vAlign w:val="center"/>
          </w:tcPr>
          <w:p w14:paraId="24F31D8B">
            <w:pPr>
              <w:widowControl/>
              <w:autoSpaceDE w:val="0"/>
              <w:autoSpaceDN w:val="0"/>
              <w:jc w:val="center"/>
              <w:rPr>
                <w:szCs w:val="21"/>
              </w:rPr>
            </w:pPr>
            <w:r>
              <w:rPr>
                <w:szCs w:val="21"/>
              </w:rPr>
              <w:t>0.06</w:t>
            </w:r>
          </w:p>
        </w:tc>
        <w:tc>
          <w:tcPr>
            <w:tcW w:w="867" w:type="dxa"/>
            <w:vAlign w:val="center"/>
          </w:tcPr>
          <w:p w14:paraId="64B27B89">
            <w:pPr>
              <w:widowControl/>
              <w:autoSpaceDE w:val="0"/>
              <w:autoSpaceDN w:val="0"/>
              <w:jc w:val="center"/>
              <w:rPr>
                <w:szCs w:val="21"/>
              </w:rPr>
            </w:pPr>
            <w:r>
              <w:rPr>
                <w:szCs w:val="21"/>
              </w:rPr>
              <w:t>1</w:t>
            </w:r>
          </w:p>
        </w:tc>
      </w:tr>
      <w:tr w14:paraId="10060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434" w:type="dxa"/>
            <w:shd w:val="clear" w:color="auto" w:fill="auto"/>
            <w:vAlign w:val="center"/>
          </w:tcPr>
          <w:p w14:paraId="166C6753">
            <w:pPr>
              <w:widowControl/>
              <w:autoSpaceDE w:val="0"/>
              <w:autoSpaceDN w:val="0"/>
              <w:jc w:val="center"/>
              <w:rPr>
                <w:szCs w:val="21"/>
              </w:rPr>
            </w:pPr>
            <w:r>
              <w:rPr>
                <w:szCs w:val="21"/>
              </w:rPr>
              <w:t>10</w:t>
            </w:r>
          </w:p>
        </w:tc>
        <w:tc>
          <w:tcPr>
            <w:tcW w:w="5134" w:type="dxa"/>
            <w:shd w:val="clear" w:color="auto" w:fill="auto"/>
            <w:vAlign w:val="center"/>
          </w:tcPr>
          <w:p w14:paraId="57C49F30">
            <w:pPr>
              <w:widowControl/>
              <w:autoSpaceDE w:val="0"/>
              <w:autoSpaceDN w:val="0"/>
              <w:jc w:val="center"/>
              <w:rPr>
                <w:szCs w:val="21"/>
              </w:rPr>
            </w:pPr>
            <w:r>
              <w:rPr>
                <w:szCs w:val="21"/>
              </w:rPr>
              <w:t>海况不稳定引入的标准不确定度分量</w:t>
            </w:r>
          </w:p>
        </w:tc>
        <w:tc>
          <w:tcPr>
            <w:tcW w:w="469" w:type="dxa"/>
            <w:shd w:val="clear" w:color="auto" w:fill="auto"/>
            <w:vAlign w:val="center"/>
          </w:tcPr>
          <w:p w14:paraId="2D1BCB95">
            <w:pPr>
              <w:widowControl/>
              <w:autoSpaceDE w:val="0"/>
              <w:autoSpaceDN w:val="0"/>
              <w:jc w:val="center"/>
              <w:rPr>
                <w:i/>
                <w:iCs/>
                <w:szCs w:val="21"/>
              </w:rPr>
            </w:pPr>
            <w:r>
              <w:rPr>
                <w:i/>
                <w:iCs/>
                <w:szCs w:val="21"/>
              </w:rPr>
              <w:t>u</w:t>
            </w:r>
            <w:r>
              <w:rPr>
                <w:szCs w:val="21"/>
                <w:vertAlign w:val="subscript"/>
              </w:rPr>
              <w:t>10</w:t>
            </w:r>
          </w:p>
        </w:tc>
        <w:tc>
          <w:tcPr>
            <w:tcW w:w="2624" w:type="dxa"/>
            <w:shd w:val="clear" w:color="auto" w:fill="auto"/>
            <w:vAlign w:val="center"/>
          </w:tcPr>
          <w:p w14:paraId="1E5DD01F">
            <w:pPr>
              <w:widowControl/>
              <w:autoSpaceDE w:val="0"/>
              <w:autoSpaceDN w:val="0"/>
              <w:jc w:val="center"/>
              <w:rPr>
                <w:szCs w:val="21"/>
              </w:rPr>
            </w:pPr>
            <w:r>
              <w:rPr>
                <w:szCs w:val="21"/>
              </w:rPr>
              <w:t>0.17</w:t>
            </w:r>
          </w:p>
        </w:tc>
        <w:tc>
          <w:tcPr>
            <w:tcW w:w="867" w:type="dxa"/>
            <w:vAlign w:val="center"/>
          </w:tcPr>
          <w:p w14:paraId="083F5872">
            <w:pPr>
              <w:widowControl/>
              <w:autoSpaceDE w:val="0"/>
              <w:autoSpaceDN w:val="0"/>
              <w:jc w:val="center"/>
              <w:rPr>
                <w:szCs w:val="21"/>
              </w:rPr>
            </w:pPr>
            <w:r>
              <w:rPr>
                <w:szCs w:val="21"/>
              </w:rPr>
              <w:t>1</w:t>
            </w:r>
          </w:p>
        </w:tc>
      </w:tr>
      <w:tr w14:paraId="162BB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434" w:type="dxa"/>
            <w:shd w:val="clear" w:color="auto" w:fill="auto"/>
            <w:vAlign w:val="center"/>
          </w:tcPr>
          <w:p w14:paraId="52A973B0">
            <w:pPr>
              <w:widowControl/>
              <w:autoSpaceDE w:val="0"/>
              <w:autoSpaceDN w:val="0"/>
              <w:jc w:val="center"/>
              <w:rPr>
                <w:szCs w:val="21"/>
              </w:rPr>
            </w:pPr>
            <w:r>
              <w:rPr>
                <w:szCs w:val="21"/>
              </w:rPr>
              <w:t>11</w:t>
            </w:r>
          </w:p>
        </w:tc>
        <w:tc>
          <w:tcPr>
            <w:tcW w:w="5134" w:type="dxa"/>
            <w:shd w:val="clear" w:color="auto" w:fill="auto"/>
            <w:vAlign w:val="center"/>
          </w:tcPr>
          <w:p w14:paraId="49C7FE61">
            <w:pPr>
              <w:widowControl/>
              <w:autoSpaceDE w:val="0"/>
              <w:autoSpaceDN w:val="0"/>
              <w:jc w:val="center"/>
              <w:rPr>
                <w:szCs w:val="21"/>
              </w:rPr>
            </w:pPr>
            <w:r>
              <w:rPr>
                <w:szCs w:val="21"/>
              </w:rPr>
              <w:t>海水温度变化引入的标准不确定度分量</w:t>
            </w:r>
          </w:p>
        </w:tc>
        <w:tc>
          <w:tcPr>
            <w:tcW w:w="469" w:type="dxa"/>
            <w:shd w:val="clear" w:color="auto" w:fill="auto"/>
            <w:vAlign w:val="center"/>
          </w:tcPr>
          <w:p w14:paraId="1876A81B">
            <w:pPr>
              <w:widowControl/>
              <w:autoSpaceDE w:val="0"/>
              <w:autoSpaceDN w:val="0"/>
              <w:jc w:val="center"/>
              <w:rPr>
                <w:i/>
                <w:iCs/>
                <w:szCs w:val="21"/>
              </w:rPr>
            </w:pPr>
            <w:r>
              <w:rPr>
                <w:i/>
                <w:iCs/>
                <w:szCs w:val="21"/>
              </w:rPr>
              <w:t>u</w:t>
            </w:r>
            <w:r>
              <w:rPr>
                <w:szCs w:val="21"/>
                <w:vertAlign w:val="subscript"/>
              </w:rPr>
              <w:t>11</w:t>
            </w:r>
          </w:p>
        </w:tc>
        <w:tc>
          <w:tcPr>
            <w:tcW w:w="2624" w:type="dxa"/>
            <w:shd w:val="clear" w:color="auto" w:fill="auto"/>
            <w:vAlign w:val="center"/>
          </w:tcPr>
          <w:p w14:paraId="1B1BD79F">
            <w:pPr>
              <w:widowControl/>
              <w:autoSpaceDE w:val="0"/>
              <w:autoSpaceDN w:val="0"/>
              <w:jc w:val="center"/>
              <w:rPr>
                <w:szCs w:val="21"/>
              </w:rPr>
            </w:pPr>
            <w:r>
              <w:rPr>
                <w:szCs w:val="21"/>
              </w:rPr>
              <w:t>0.12</w:t>
            </w:r>
          </w:p>
        </w:tc>
        <w:tc>
          <w:tcPr>
            <w:tcW w:w="867" w:type="dxa"/>
            <w:vAlign w:val="center"/>
          </w:tcPr>
          <w:p w14:paraId="4772F058">
            <w:pPr>
              <w:widowControl/>
              <w:autoSpaceDE w:val="0"/>
              <w:autoSpaceDN w:val="0"/>
              <w:jc w:val="center"/>
              <w:rPr>
                <w:szCs w:val="21"/>
              </w:rPr>
            </w:pPr>
            <w:r>
              <w:rPr>
                <w:szCs w:val="21"/>
              </w:rPr>
              <w:t>1</w:t>
            </w:r>
          </w:p>
        </w:tc>
      </w:tr>
      <w:tr w14:paraId="680D7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trPr>
        <w:tc>
          <w:tcPr>
            <w:tcW w:w="434" w:type="dxa"/>
            <w:shd w:val="clear" w:color="auto" w:fill="auto"/>
            <w:vAlign w:val="center"/>
          </w:tcPr>
          <w:p w14:paraId="2532165B">
            <w:pPr>
              <w:widowControl/>
              <w:autoSpaceDE w:val="0"/>
              <w:autoSpaceDN w:val="0"/>
              <w:jc w:val="center"/>
              <w:rPr>
                <w:szCs w:val="21"/>
              </w:rPr>
            </w:pPr>
            <w:r>
              <w:rPr>
                <w:szCs w:val="21"/>
              </w:rPr>
              <w:t>12</w:t>
            </w:r>
          </w:p>
        </w:tc>
        <w:tc>
          <w:tcPr>
            <w:tcW w:w="5134" w:type="dxa"/>
            <w:shd w:val="clear" w:color="auto" w:fill="auto"/>
            <w:vAlign w:val="center"/>
          </w:tcPr>
          <w:p w14:paraId="0D90743B">
            <w:pPr>
              <w:widowControl/>
              <w:autoSpaceDE w:val="0"/>
              <w:autoSpaceDN w:val="0"/>
              <w:jc w:val="center"/>
              <w:rPr>
                <w:szCs w:val="21"/>
              </w:rPr>
            </w:pPr>
            <w:r>
              <w:rPr>
                <w:szCs w:val="21"/>
              </w:rPr>
              <w:t>海水盐度变化引入的标准不确定度分量</w:t>
            </w:r>
          </w:p>
        </w:tc>
        <w:tc>
          <w:tcPr>
            <w:tcW w:w="469" w:type="dxa"/>
            <w:shd w:val="clear" w:color="auto" w:fill="auto"/>
            <w:vAlign w:val="center"/>
          </w:tcPr>
          <w:p w14:paraId="79C7C6BC">
            <w:pPr>
              <w:widowControl/>
              <w:autoSpaceDE w:val="0"/>
              <w:autoSpaceDN w:val="0"/>
              <w:jc w:val="center"/>
              <w:rPr>
                <w:i/>
                <w:iCs/>
                <w:szCs w:val="21"/>
              </w:rPr>
            </w:pPr>
            <w:r>
              <w:rPr>
                <w:i/>
                <w:iCs/>
                <w:szCs w:val="21"/>
              </w:rPr>
              <w:t>u</w:t>
            </w:r>
            <w:r>
              <w:rPr>
                <w:szCs w:val="21"/>
                <w:vertAlign w:val="subscript"/>
              </w:rPr>
              <w:t>12</w:t>
            </w:r>
          </w:p>
        </w:tc>
        <w:tc>
          <w:tcPr>
            <w:tcW w:w="2624" w:type="dxa"/>
            <w:shd w:val="clear" w:color="auto" w:fill="auto"/>
            <w:vAlign w:val="center"/>
          </w:tcPr>
          <w:p w14:paraId="00200932">
            <w:pPr>
              <w:widowControl/>
              <w:autoSpaceDE w:val="0"/>
              <w:autoSpaceDN w:val="0"/>
              <w:jc w:val="center"/>
              <w:rPr>
                <w:szCs w:val="21"/>
              </w:rPr>
            </w:pPr>
            <w:r>
              <w:rPr>
                <w:szCs w:val="21"/>
              </w:rPr>
              <w:t>0.06</w:t>
            </w:r>
          </w:p>
        </w:tc>
        <w:tc>
          <w:tcPr>
            <w:tcW w:w="867" w:type="dxa"/>
            <w:vAlign w:val="center"/>
          </w:tcPr>
          <w:p w14:paraId="54C49E94">
            <w:pPr>
              <w:widowControl/>
              <w:autoSpaceDE w:val="0"/>
              <w:autoSpaceDN w:val="0"/>
              <w:jc w:val="center"/>
              <w:rPr>
                <w:szCs w:val="21"/>
              </w:rPr>
            </w:pPr>
            <w:r>
              <w:rPr>
                <w:szCs w:val="21"/>
              </w:rPr>
              <w:t>1</w:t>
            </w:r>
          </w:p>
        </w:tc>
      </w:tr>
      <w:tr w14:paraId="72806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434" w:type="dxa"/>
            <w:shd w:val="clear" w:color="auto" w:fill="auto"/>
            <w:vAlign w:val="center"/>
          </w:tcPr>
          <w:p w14:paraId="66904EA1">
            <w:pPr>
              <w:widowControl/>
              <w:autoSpaceDE w:val="0"/>
              <w:autoSpaceDN w:val="0"/>
              <w:jc w:val="center"/>
              <w:rPr>
                <w:szCs w:val="21"/>
              </w:rPr>
            </w:pPr>
            <w:r>
              <w:rPr>
                <w:szCs w:val="21"/>
              </w:rPr>
              <w:t>13</w:t>
            </w:r>
          </w:p>
        </w:tc>
        <w:tc>
          <w:tcPr>
            <w:tcW w:w="5134" w:type="dxa"/>
            <w:shd w:val="clear" w:color="auto" w:fill="auto"/>
            <w:vAlign w:val="center"/>
          </w:tcPr>
          <w:p w14:paraId="49256FA6">
            <w:pPr>
              <w:widowControl/>
              <w:autoSpaceDE w:val="0"/>
              <w:autoSpaceDN w:val="0"/>
              <w:jc w:val="center"/>
              <w:rPr>
                <w:szCs w:val="21"/>
              </w:rPr>
            </w:pPr>
            <w:r>
              <w:rPr>
                <w:szCs w:val="21"/>
              </w:rPr>
              <w:t>水面反射引入的标准不确定度分量</w:t>
            </w:r>
          </w:p>
        </w:tc>
        <w:tc>
          <w:tcPr>
            <w:tcW w:w="469" w:type="dxa"/>
            <w:shd w:val="clear" w:color="auto" w:fill="auto"/>
            <w:vAlign w:val="center"/>
          </w:tcPr>
          <w:p w14:paraId="3C390221">
            <w:pPr>
              <w:widowControl/>
              <w:autoSpaceDE w:val="0"/>
              <w:autoSpaceDN w:val="0"/>
              <w:jc w:val="center"/>
              <w:rPr>
                <w:i/>
                <w:iCs/>
                <w:szCs w:val="21"/>
              </w:rPr>
            </w:pPr>
            <w:r>
              <w:rPr>
                <w:i/>
                <w:iCs/>
                <w:szCs w:val="21"/>
              </w:rPr>
              <w:t>u</w:t>
            </w:r>
            <w:r>
              <w:rPr>
                <w:szCs w:val="21"/>
                <w:vertAlign w:val="subscript"/>
              </w:rPr>
              <w:t>13</w:t>
            </w:r>
          </w:p>
        </w:tc>
        <w:tc>
          <w:tcPr>
            <w:tcW w:w="2624" w:type="dxa"/>
            <w:shd w:val="clear" w:color="auto" w:fill="auto"/>
            <w:vAlign w:val="center"/>
          </w:tcPr>
          <w:p w14:paraId="7213891F">
            <w:pPr>
              <w:widowControl/>
              <w:autoSpaceDE w:val="0"/>
              <w:autoSpaceDN w:val="0"/>
              <w:jc w:val="center"/>
              <w:rPr>
                <w:szCs w:val="21"/>
              </w:rPr>
            </w:pPr>
            <w:r>
              <w:rPr>
                <w:szCs w:val="21"/>
              </w:rPr>
              <w:t>0.12</w:t>
            </w:r>
          </w:p>
        </w:tc>
        <w:tc>
          <w:tcPr>
            <w:tcW w:w="867" w:type="dxa"/>
            <w:vAlign w:val="center"/>
          </w:tcPr>
          <w:p w14:paraId="41BFD28F">
            <w:pPr>
              <w:widowControl/>
              <w:autoSpaceDE w:val="0"/>
              <w:autoSpaceDN w:val="0"/>
              <w:jc w:val="center"/>
              <w:rPr>
                <w:szCs w:val="21"/>
              </w:rPr>
            </w:pPr>
            <w:r>
              <w:rPr>
                <w:szCs w:val="21"/>
              </w:rPr>
              <w:t>1</w:t>
            </w:r>
          </w:p>
        </w:tc>
      </w:tr>
      <w:tr w14:paraId="5BBA5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434" w:type="dxa"/>
            <w:shd w:val="clear" w:color="auto" w:fill="auto"/>
            <w:vAlign w:val="center"/>
          </w:tcPr>
          <w:p w14:paraId="423C57AB">
            <w:pPr>
              <w:widowControl/>
              <w:autoSpaceDE w:val="0"/>
              <w:autoSpaceDN w:val="0"/>
              <w:jc w:val="center"/>
              <w:rPr>
                <w:szCs w:val="21"/>
              </w:rPr>
            </w:pPr>
            <w:r>
              <w:rPr>
                <w:szCs w:val="21"/>
              </w:rPr>
              <w:t>14</w:t>
            </w:r>
          </w:p>
        </w:tc>
        <w:tc>
          <w:tcPr>
            <w:tcW w:w="5134" w:type="dxa"/>
            <w:shd w:val="clear" w:color="auto" w:fill="auto"/>
            <w:vAlign w:val="center"/>
          </w:tcPr>
          <w:p w14:paraId="1FFC017B">
            <w:pPr>
              <w:widowControl/>
              <w:autoSpaceDE w:val="0"/>
              <w:autoSpaceDN w:val="0"/>
              <w:jc w:val="center"/>
              <w:rPr>
                <w:szCs w:val="21"/>
              </w:rPr>
            </w:pPr>
            <w:r>
              <w:rPr>
                <w:szCs w:val="21"/>
              </w:rPr>
              <w:t>海底底质/地形地貌引入的标准不确定度分量</w:t>
            </w:r>
          </w:p>
        </w:tc>
        <w:tc>
          <w:tcPr>
            <w:tcW w:w="469" w:type="dxa"/>
            <w:shd w:val="clear" w:color="auto" w:fill="auto"/>
            <w:vAlign w:val="center"/>
          </w:tcPr>
          <w:p w14:paraId="21D194AA">
            <w:pPr>
              <w:widowControl/>
              <w:autoSpaceDE w:val="0"/>
              <w:autoSpaceDN w:val="0"/>
              <w:jc w:val="center"/>
              <w:rPr>
                <w:i/>
                <w:iCs/>
                <w:szCs w:val="21"/>
              </w:rPr>
            </w:pPr>
            <w:r>
              <w:rPr>
                <w:i/>
                <w:iCs/>
                <w:szCs w:val="21"/>
              </w:rPr>
              <w:t>u</w:t>
            </w:r>
            <w:r>
              <w:rPr>
                <w:szCs w:val="21"/>
                <w:vertAlign w:val="subscript"/>
              </w:rPr>
              <w:t>14</w:t>
            </w:r>
          </w:p>
        </w:tc>
        <w:tc>
          <w:tcPr>
            <w:tcW w:w="2624" w:type="dxa"/>
            <w:shd w:val="clear" w:color="auto" w:fill="auto"/>
            <w:vAlign w:val="center"/>
          </w:tcPr>
          <w:p w14:paraId="00411474">
            <w:pPr>
              <w:widowControl/>
              <w:autoSpaceDE w:val="0"/>
              <w:autoSpaceDN w:val="0"/>
              <w:jc w:val="center"/>
              <w:rPr>
                <w:szCs w:val="21"/>
              </w:rPr>
            </w:pPr>
            <w:r>
              <w:rPr>
                <w:szCs w:val="21"/>
              </w:rPr>
              <w:t>0.12</w:t>
            </w:r>
          </w:p>
        </w:tc>
        <w:tc>
          <w:tcPr>
            <w:tcW w:w="867" w:type="dxa"/>
            <w:vAlign w:val="center"/>
          </w:tcPr>
          <w:p w14:paraId="7A589255">
            <w:pPr>
              <w:widowControl/>
              <w:autoSpaceDE w:val="0"/>
              <w:autoSpaceDN w:val="0"/>
              <w:jc w:val="center"/>
              <w:rPr>
                <w:szCs w:val="21"/>
              </w:rPr>
            </w:pPr>
            <w:r>
              <w:rPr>
                <w:szCs w:val="21"/>
              </w:rPr>
              <w:t>1</w:t>
            </w:r>
          </w:p>
        </w:tc>
      </w:tr>
      <w:tr w14:paraId="0BAC4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434" w:type="dxa"/>
            <w:shd w:val="clear" w:color="auto" w:fill="auto"/>
            <w:vAlign w:val="center"/>
          </w:tcPr>
          <w:p w14:paraId="17F5A999">
            <w:pPr>
              <w:widowControl/>
              <w:autoSpaceDE w:val="0"/>
              <w:autoSpaceDN w:val="0"/>
              <w:jc w:val="center"/>
              <w:rPr>
                <w:szCs w:val="21"/>
              </w:rPr>
            </w:pPr>
            <w:r>
              <w:rPr>
                <w:szCs w:val="21"/>
              </w:rPr>
              <w:t>15</w:t>
            </w:r>
          </w:p>
        </w:tc>
        <w:tc>
          <w:tcPr>
            <w:tcW w:w="5134" w:type="dxa"/>
            <w:shd w:val="clear" w:color="auto" w:fill="auto"/>
            <w:vAlign w:val="center"/>
          </w:tcPr>
          <w:p w14:paraId="46781F75">
            <w:pPr>
              <w:widowControl/>
              <w:autoSpaceDE w:val="0"/>
              <w:autoSpaceDN w:val="0"/>
              <w:jc w:val="center"/>
              <w:rPr>
                <w:szCs w:val="21"/>
              </w:rPr>
            </w:pPr>
            <w:r>
              <w:rPr>
                <w:szCs w:val="21"/>
              </w:rPr>
              <w:t>船底外形轮廓反射引入的标准不确定度分量</w:t>
            </w:r>
          </w:p>
        </w:tc>
        <w:tc>
          <w:tcPr>
            <w:tcW w:w="469" w:type="dxa"/>
            <w:shd w:val="clear" w:color="auto" w:fill="auto"/>
            <w:vAlign w:val="center"/>
          </w:tcPr>
          <w:p w14:paraId="095BB349">
            <w:pPr>
              <w:widowControl/>
              <w:autoSpaceDE w:val="0"/>
              <w:autoSpaceDN w:val="0"/>
              <w:jc w:val="center"/>
              <w:rPr>
                <w:i/>
                <w:iCs/>
                <w:szCs w:val="21"/>
              </w:rPr>
            </w:pPr>
            <w:r>
              <w:rPr>
                <w:i/>
                <w:iCs/>
                <w:szCs w:val="21"/>
              </w:rPr>
              <w:t>u</w:t>
            </w:r>
            <w:r>
              <w:rPr>
                <w:szCs w:val="21"/>
                <w:vertAlign w:val="subscript"/>
              </w:rPr>
              <w:t>15</w:t>
            </w:r>
          </w:p>
        </w:tc>
        <w:tc>
          <w:tcPr>
            <w:tcW w:w="2624" w:type="dxa"/>
            <w:shd w:val="clear" w:color="auto" w:fill="auto"/>
            <w:vAlign w:val="center"/>
          </w:tcPr>
          <w:p w14:paraId="1DF99A97">
            <w:pPr>
              <w:widowControl/>
              <w:autoSpaceDE w:val="0"/>
              <w:autoSpaceDN w:val="0"/>
              <w:jc w:val="center"/>
              <w:rPr>
                <w:szCs w:val="21"/>
              </w:rPr>
            </w:pPr>
            <w:r>
              <w:rPr>
                <w:szCs w:val="21"/>
              </w:rPr>
              <w:t>0.12</w:t>
            </w:r>
          </w:p>
        </w:tc>
        <w:tc>
          <w:tcPr>
            <w:tcW w:w="867" w:type="dxa"/>
            <w:vAlign w:val="center"/>
          </w:tcPr>
          <w:p w14:paraId="285EB046">
            <w:pPr>
              <w:widowControl/>
              <w:autoSpaceDE w:val="0"/>
              <w:autoSpaceDN w:val="0"/>
              <w:jc w:val="center"/>
              <w:rPr>
                <w:szCs w:val="21"/>
              </w:rPr>
            </w:pPr>
            <w:r>
              <w:rPr>
                <w:szCs w:val="21"/>
              </w:rPr>
              <w:t>1</w:t>
            </w:r>
          </w:p>
        </w:tc>
      </w:tr>
      <w:tr w14:paraId="2224F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434" w:type="dxa"/>
            <w:shd w:val="clear" w:color="auto" w:fill="auto"/>
            <w:vAlign w:val="center"/>
          </w:tcPr>
          <w:p w14:paraId="6B1E7C08">
            <w:pPr>
              <w:widowControl/>
              <w:autoSpaceDE w:val="0"/>
              <w:autoSpaceDN w:val="0"/>
              <w:jc w:val="center"/>
              <w:rPr>
                <w:szCs w:val="21"/>
              </w:rPr>
            </w:pPr>
            <w:r>
              <w:rPr>
                <w:szCs w:val="21"/>
              </w:rPr>
              <w:t>16</w:t>
            </w:r>
          </w:p>
        </w:tc>
        <w:tc>
          <w:tcPr>
            <w:tcW w:w="5134" w:type="dxa"/>
            <w:shd w:val="clear" w:color="auto" w:fill="auto"/>
            <w:vAlign w:val="center"/>
          </w:tcPr>
          <w:p w14:paraId="0B892E2E">
            <w:pPr>
              <w:widowControl/>
              <w:autoSpaceDE w:val="0"/>
              <w:autoSpaceDN w:val="0"/>
              <w:jc w:val="center"/>
              <w:rPr>
                <w:szCs w:val="21"/>
              </w:rPr>
            </w:pPr>
            <w:r>
              <w:rPr>
                <w:szCs w:val="21"/>
              </w:rPr>
              <w:t>设备工况不稳定引入的标准不确定度分量</w:t>
            </w:r>
          </w:p>
        </w:tc>
        <w:tc>
          <w:tcPr>
            <w:tcW w:w="469" w:type="dxa"/>
            <w:shd w:val="clear" w:color="auto" w:fill="auto"/>
            <w:vAlign w:val="center"/>
          </w:tcPr>
          <w:p w14:paraId="28BD4426">
            <w:pPr>
              <w:widowControl/>
              <w:autoSpaceDE w:val="0"/>
              <w:autoSpaceDN w:val="0"/>
              <w:jc w:val="center"/>
              <w:rPr>
                <w:i/>
                <w:iCs/>
                <w:szCs w:val="21"/>
              </w:rPr>
            </w:pPr>
            <w:r>
              <w:rPr>
                <w:i/>
                <w:iCs/>
                <w:szCs w:val="21"/>
              </w:rPr>
              <w:t>u</w:t>
            </w:r>
            <w:r>
              <w:rPr>
                <w:szCs w:val="21"/>
                <w:vertAlign w:val="subscript"/>
              </w:rPr>
              <w:t>16</w:t>
            </w:r>
          </w:p>
        </w:tc>
        <w:tc>
          <w:tcPr>
            <w:tcW w:w="2624" w:type="dxa"/>
            <w:shd w:val="clear" w:color="auto" w:fill="auto"/>
            <w:vAlign w:val="center"/>
          </w:tcPr>
          <w:p w14:paraId="7FEC2A6F">
            <w:pPr>
              <w:widowControl/>
              <w:autoSpaceDE w:val="0"/>
              <w:autoSpaceDN w:val="0"/>
              <w:jc w:val="center"/>
              <w:rPr>
                <w:szCs w:val="21"/>
              </w:rPr>
            </w:pPr>
            <w:r>
              <w:rPr>
                <w:szCs w:val="21"/>
              </w:rPr>
              <w:t>0.17</w:t>
            </w:r>
          </w:p>
        </w:tc>
        <w:tc>
          <w:tcPr>
            <w:tcW w:w="867" w:type="dxa"/>
            <w:vAlign w:val="center"/>
          </w:tcPr>
          <w:p w14:paraId="4EC4CD4A">
            <w:pPr>
              <w:widowControl/>
              <w:autoSpaceDE w:val="0"/>
              <w:autoSpaceDN w:val="0"/>
              <w:jc w:val="center"/>
              <w:rPr>
                <w:szCs w:val="21"/>
              </w:rPr>
            </w:pPr>
            <w:r>
              <w:rPr>
                <w:szCs w:val="21"/>
              </w:rPr>
              <w:t>1</w:t>
            </w:r>
          </w:p>
        </w:tc>
      </w:tr>
      <w:tr w14:paraId="7D946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434" w:type="dxa"/>
            <w:shd w:val="clear" w:color="auto" w:fill="auto"/>
            <w:vAlign w:val="center"/>
          </w:tcPr>
          <w:p w14:paraId="7E934770">
            <w:pPr>
              <w:widowControl/>
              <w:autoSpaceDE w:val="0"/>
              <w:autoSpaceDN w:val="0"/>
              <w:jc w:val="center"/>
              <w:rPr>
                <w:szCs w:val="21"/>
              </w:rPr>
            </w:pPr>
            <w:r>
              <w:rPr>
                <w:szCs w:val="21"/>
              </w:rPr>
              <w:t>17</w:t>
            </w:r>
          </w:p>
        </w:tc>
        <w:tc>
          <w:tcPr>
            <w:tcW w:w="5134" w:type="dxa"/>
            <w:shd w:val="clear" w:color="auto" w:fill="auto"/>
            <w:vAlign w:val="center"/>
          </w:tcPr>
          <w:p w14:paraId="7328984F">
            <w:pPr>
              <w:widowControl/>
              <w:autoSpaceDE w:val="0"/>
              <w:autoSpaceDN w:val="0"/>
              <w:jc w:val="center"/>
              <w:rPr>
                <w:szCs w:val="21"/>
              </w:rPr>
            </w:pPr>
            <w:r>
              <w:rPr>
                <w:szCs w:val="21"/>
              </w:rPr>
              <w:t>对水对地航向引入的标准不确定度分量</w:t>
            </w:r>
          </w:p>
        </w:tc>
        <w:tc>
          <w:tcPr>
            <w:tcW w:w="469" w:type="dxa"/>
            <w:shd w:val="clear" w:color="auto" w:fill="auto"/>
            <w:vAlign w:val="center"/>
          </w:tcPr>
          <w:p w14:paraId="7767FC04">
            <w:pPr>
              <w:widowControl/>
              <w:autoSpaceDE w:val="0"/>
              <w:autoSpaceDN w:val="0"/>
              <w:jc w:val="center"/>
              <w:rPr>
                <w:i/>
                <w:iCs/>
                <w:szCs w:val="21"/>
              </w:rPr>
            </w:pPr>
            <w:r>
              <w:rPr>
                <w:i/>
                <w:iCs/>
                <w:szCs w:val="21"/>
              </w:rPr>
              <w:t>u</w:t>
            </w:r>
            <w:r>
              <w:rPr>
                <w:szCs w:val="21"/>
                <w:vertAlign w:val="subscript"/>
              </w:rPr>
              <w:t>17</w:t>
            </w:r>
          </w:p>
        </w:tc>
        <w:tc>
          <w:tcPr>
            <w:tcW w:w="2624" w:type="dxa"/>
            <w:shd w:val="clear" w:color="auto" w:fill="auto"/>
            <w:vAlign w:val="center"/>
          </w:tcPr>
          <w:p w14:paraId="6B3C2641">
            <w:pPr>
              <w:widowControl/>
              <w:autoSpaceDE w:val="0"/>
              <w:autoSpaceDN w:val="0"/>
              <w:jc w:val="center"/>
              <w:rPr>
                <w:szCs w:val="21"/>
              </w:rPr>
            </w:pPr>
            <w:r>
              <w:rPr>
                <w:szCs w:val="21"/>
              </w:rPr>
              <w:t>0.12</w:t>
            </w:r>
          </w:p>
        </w:tc>
        <w:tc>
          <w:tcPr>
            <w:tcW w:w="867" w:type="dxa"/>
            <w:vAlign w:val="center"/>
          </w:tcPr>
          <w:p w14:paraId="16251DB8">
            <w:pPr>
              <w:widowControl/>
              <w:autoSpaceDE w:val="0"/>
              <w:autoSpaceDN w:val="0"/>
              <w:jc w:val="center"/>
              <w:rPr>
                <w:szCs w:val="21"/>
              </w:rPr>
            </w:pPr>
            <w:r>
              <w:rPr>
                <w:szCs w:val="21"/>
              </w:rPr>
              <w:t>1</w:t>
            </w:r>
          </w:p>
        </w:tc>
      </w:tr>
      <w:tr w14:paraId="1E8CA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434" w:type="dxa"/>
            <w:shd w:val="clear" w:color="auto" w:fill="auto"/>
            <w:vAlign w:val="center"/>
          </w:tcPr>
          <w:p w14:paraId="426954DA">
            <w:pPr>
              <w:widowControl/>
              <w:autoSpaceDE w:val="0"/>
              <w:autoSpaceDN w:val="0"/>
              <w:jc w:val="center"/>
              <w:rPr>
                <w:szCs w:val="21"/>
              </w:rPr>
            </w:pPr>
            <w:r>
              <w:rPr>
                <w:szCs w:val="21"/>
              </w:rPr>
              <w:t>18</w:t>
            </w:r>
          </w:p>
        </w:tc>
        <w:tc>
          <w:tcPr>
            <w:tcW w:w="5134" w:type="dxa"/>
            <w:shd w:val="clear" w:color="auto" w:fill="auto"/>
            <w:vAlign w:val="center"/>
          </w:tcPr>
          <w:p w14:paraId="5DE90357">
            <w:pPr>
              <w:widowControl/>
              <w:autoSpaceDE w:val="0"/>
              <w:autoSpaceDN w:val="0"/>
              <w:jc w:val="center"/>
              <w:rPr>
                <w:szCs w:val="21"/>
              </w:rPr>
            </w:pPr>
            <w:r>
              <w:rPr>
                <w:szCs w:val="21"/>
              </w:rPr>
              <w:t>多普勒效应引入的标准不确定度分量</w:t>
            </w:r>
          </w:p>
        </w:tc>
        <w:tc>
          <w:tcPr>
            <w:tcW w:w="469" w:type="dxa"/>
            <w:shd w:val="clear" w:color="auto" w:fill="auto"/>
            <w:vAlign w:val="center"/>
          </w:tcPr>
          <w:p w14:paraId="4F31F9C5">
            <w:pPr>
              <w:widowControl/>
              <w:autoSpaceDE w:val="0"/>
              <w:autoSpaceDN w:val="0"/>
              <w:jc w:val="center"/>
              <w:rPr>
                <w:i/>
                <w:iCs/>
                <w:szCs w:val="21"/>
              </w:rPr>
            </w:pPr>
            <w:r>
              <w:rPr>
                <w:i/>
                <w:iCs/>
                <w:szCs w:val="21"/>
              </w:rPr>
              <w:t>u</w:t>
            </w:r>
            <w:r>
              <w:rPr>
                <w:szCs w:val="21"/>
                <w:vertAlign w:val="subscript"/>
              </w:rPr>
              <w:t>18</w:t>
            </w:r>
          </w:p>
        </w:tc>
        <w:tc>
          <w:tcPr>
            <w:tcW w:w="2624" w:type="dxa"/>
            <w:shd w:val="clear" w:color="auto" w:fill="auto"/>
            <w:vAlign w:val="center"/>
          </w:tcPr>
          <w:p w14:paraId="4B47DA40">
            <w:pPr>
              <w:widowControl/>
              <w:autoSpaceDE w:val="0"/>
              <w:autoSpaceDN w:val="0"/>
              <w:jc w:val="center"/>
              <w:rPr>
                <w:szCs w:val="21"/>
              </w:rPr>
            </w:pPr>
            <w:r>
              <w:rPr>
                <w:szCs w:val="21"/>
              </w:rPr>
              <w:t>0.12</w:t>
            </w:r>
          </w:p>
        </w:tc>
        <w:tc>
          <w:tcPr>
            <w:tcW w:w="867" w:type="dxa"/>
            <w:vAlign w:val="center"/>
          </w:tcPr>
          <w:p w14:paraId="62742E63">
            <w:pPr>
              <w:widowControl/>
              <w:autoSpaceDE w:val="0"/>
              <w:autoSpaceDN w:val="0"/>
              <w:jc w:val="center"/>
              <w:rPr>
                <w:szCs w:val="21"/>
              </w:rPr>
            </w:pPr>
            <w:r>
              <w:rPr>
                <w:szCs w:val="21"/>
              </w:rPr>
              <w:t>1</w:t>
            </w:r>
          </w:p>
        </w:tc>
      </w:tr>
      <w:bookmarkEnd w:id="114"/>
    </w:tbl>
    <w:p w14:paraId="23B74588">
      <w:pPr>
        <w:pStyle w:val="32"/>
        <w:spacing w:line="360" w:lineRule="auto"/>
        <w:ind w:firstLine="0" w:firstLineChars="0"/>
        <w:rPr>
          <w:rFonts w:ascii="Times New Roman"/>
          <w:sz w:val="24"/>
        </w:rPr>
      </w:pPr>
      <w:bookmarkStart w:id="115" w:name="_Toc197605002"/>
    </w:p>
    <w:p w14:paraId="5F7E1172">
      <w:pPr>
        <w:pStyle w:val="32"/>
        <w:spacing w:line="360" w:lineRule="auto"/>
        <w:ind w:firstLine="0" w:firstLineChars="0"/>
        <w:rPr>
          <w:rFonts w:ascii="Times New Roman"/>
          <w:sz w:val="24"/>
        </w:rPr>
      </w:pPr>
      <w:r>
        <w:rPr>
          <w:rFonts w:ascii="Times New Roman"/>
          <w:sz w:val="24"/>
        </w:rPr>
        <w:t>C.3.4 自噪声监测系统的自噪声示值引入的合成标准不确定度</w:t>
      </w:r>
      <w:bookmarkEnd w:id="115"/>
    </w:p>
    <w:p w14:paraId="02702E64">
      <w:pPr>
        <w:widowControl/>
        <w:autoSpaceDE w:val="0"/>
        <w:autoSpaceDN w:val="0"/>
        <w:spacing w:line="360" w:lineRule="auto"/>
        <w:ind w:firstLine="480" w:firstLineChars="200"/>
        <w:jc w:val="left"/>
        <w:rPr>
          <w:sz w:val="24"/>
          <w:szCs w:val="24"/>
        </w:rPr>
      </w:pPr>
      <w:r>
        <w:rPr>
          <w:sz w:val="24"/>
          <w:szCs w:val="24"/>
        </w:rPr>
        <w:t>测量模型公式中，</w:t>
      </w:r>
      <w:r>
        <w:rPr>
          <w:i/>
          <w:iCs/>
          <w:sz w:val="24"/>
          <w:szCs w:val="24"/>
        </w:rPr>
        <w:t>d、M</w:t>
      </w:r>
      <w:r>
        <w:rPr>
          <w:sz w:val="24"/>
          <w:szCs w:val="24"/>
        </w:rPr>
        <w:t>、</w:t>
      </w:r>
      <w:r>
        <w:rPr>
          <w:i/>
          <w:iCs/>
          <w:sz w:val="24"/>
          <w:szCs w:val="24"/>
        </w:rPr>
        <w:t>Δf</w:t>
      </w:r>
      <w:r>
        <w:rPr>
          <w:sz w:val="24"/>
          <w:szCs w:val="24"/>
        </w:rPr>
        <w:t>都是单一因素引起的不确定度分量，而</w:t>
      </w:r>
      <w:r>
        <w:rPr>
          <w:i/>
          <w:iCs/>
          <w:sz w:val="24"/>
          <w:szCs w:val="24"/>
        </w:rPr>
        <w:t>U</w:t>
      </w:r>
      <w:r>
        <w:rPr>
          <w:i/>
          <w:iCs/>
          <w:sz w:val="24"/>
          <w:szCs w:val="24"/>
          <w:vertAlign w:val="subscript"/>
        </w:rPr>
        <w:t>oc</w:t>
      </w:r>
      <w:r>
        <w:rPr>
          <w:sz w:val="24"/>
          <w:szCs w:val="24"/>
        </w:rPr>
        <w:t>与多个不确定度分量有关。因列举的不确定度分量互不相关，可得到300 Hz~40 kHz自噪声监测系统的水下噪声声压谱密度级示值的合成标准不确定度：</w:t>
      </w:r>
    </w:p>
    <w:p w14:paraId="1F1886CC">
      <w:pPr>
        <w:widowControl/>
        <w:autoSpaceDE w:val="0"/>
        <w:autoSpaceDN w:val="0"/>
        <w:spacing w:line="360" w:lineRule="auto"/>
        <w:jc w:val="right"/>
        <w:rPr>
          <w:sz w:val="24"/>
          <w:szCs w:val="24"/>
        </w:rPr>
      </w:pPr>
      <w:r>
        <w:rPr>
          <w:position w:val="-14"/>
        </w:rPr>
        <w:object>
          <v:shape id="_x0000_i1132" o:spt="75" type="#_x0000_t75" style="height:23.15pt;width:404.75pt;" o:ole="t" filled="f" o:preferrelative="t" stroked="f" coordsize="21600,21600">
            <v:path/>
            <v:fill on="f" focussize="0,0"/>
            <v:stroke on="f" joinstyle="miter"/>
            <v:imagedata r:id="rId204" o:title=""/>
            <o:lock v:ext="edit" aspectratio="t"/>
            <w10:wrap type="none"/>
            <w10:anchorlock/>
          </v:shape>
          <o:OLEObject Type="Embed" ProgID="Equation.DSMT4" ShapeID="_x0000_i1132" DrawAspect="Content" ObjectID="_1468075832" r:id="rId203">
            <o:LockedField>false</o:LockedField>
          </o:OLEObject>
        </w:object>
      </w:r>
      <w:r>
        <w:rPr>
          <w:sz w:val="24"/>
          <w:szCs w:val="28"/>
        </w:rPr>
        <w:t xml:space="preserve"> （C.2</w:t>
      </w:r>
      <w:r>
        <w:rPr>
          <w:rFonts w:hint="eastAsia"/>
          <w:sz w:val="24"/>
          <w:szCs w:val="28"/>
        </w:rPr>
        <w:t>9</w:t>
      </w:r>
      <w:r>
        <w:rPr>
          <w:sz w:val="24"/>
          <w:szCs w:val="28"/>
        </w:rPr>
        <w:t>）</w:t>
      </w:r>
    </w:p>
    <w:p w14:paraId="1A6FBF26">
      <w:pPr>
        <w:widowControl/>
        <w:autoSpaceDE w:val="0"/>
        <w:autoSpaceDN w:val="0"/>
        <w:spacing w:line="360" w:lineRule="auto"/>
        <w:jc w:val="right"/>
        <w:rPr>
          <w:sz w:val="24"/>
          <w:szCs w:val="24"/>
        </w:rPr>
      </w:pPr>
      <w:r>
        <w:rPr>
          <w:sz w:val="24"/>
          <w:szCs w:val="24"/>
        </w:rPr>
        <w:t xml:space="preserve">在300 Hz ≤ </w:t>
      </w:r>
      <w:r>
        <w:rPr>
          <w:i/>
          <w:iCs/>
          <w:sz w:val="24"/>
          <w:szCs w:val="24"/>
        </w:rPr>
        <w:t xml:space="preserve">f </w:t>
      </w:r>
      <w:r>
        <w:rPr>
          <w:sz w:val="24"/>
          <w:szCs w:val="24"/>
        </w:rPr>
        <w:t>≤ 1 kHz时：</w:t>
      </w:r>
      <w:r>
        <w:rPr>
          <w:position w:val="-14"/>
        </w:rPr>
        <w:object>
          <v:shape id="_x0000_i1133" o:spt="75" type="#_x0000_t75" style="height:19.4pt;width:45.1pt;" o:ole="t" filled="f" o:preferrelative="t" stroked="f" coordsize="21600,21600">
            <v:path/>
            <v:fill on="f" focussize="0,0"/>
            <v:stroke on="f" joinstyle="miter"/>
            <v:imagedata r:id="rId206" o:title=""/>
            <o:lock v:ext="edit" aspectratio="t"/>
            <w10:wrap type="none"/>
            <w10:anchorlock/>
          </v:shape>
          <o:OLEObject Type="Embed" ProgID="Equation.DSMT4" ShapeID="_x0000_i1133" DrawAspect="Content" ObjectID="_1468075833" r:id="rId205">
            <o:LockedField>false</o:LockedField>
          </o:OLEObject>
        </w:object>
      </w:r>
      <w:r>
        <w:rPr>
          <w:sz w:val="24"/>
          <w:szCs w:val="24"/>
        </w:rPr>
        <w:t xml:space="preserve">=0.84 dB             </w:t>
      </w:r>
      <w:r>
        <w:rPr>
          <w:sz w:val="24"/>
          <w:szCs w:val="28"/>
        </w:rPr>
        <w:t>（C.</w:t>
      </w:r>
      <w:r>
        <w:rPr>
          <w:rFonts w:hint="eastAsia"/>
          <w:sz w:val="24"/>
          <w:szCs w:val="28"/>
        </w:rPr>
        <w:t>30</w:t>
      </w:r>
      <w:r>
        <w:rPr>
          <w:sz w:val="24"/>
          <w:szCs w:val="28"/>
        </w:rPr>
        <w:t>）</w:t>
      </w:r>
    </w:p>
    <w:p w14:paraId="7102671D">
      <w:pPr>
        <w:widowControl/>
        <w:autoSpaceDE w:val="0"/>
        <w:autoSpaceDN w:val="0"/>
        <w:spacing w:line="360" w:lineRule="auto"/>
        <w:jc w:val="right"/>
        <w:rPr>
          <w:sz w:val="24"/>
          <w:szCs w:val="24"/>
        </w:rPr>
      </w:pPr>
      <w:r>
        <w:rPr>
          <w:sz w:val="24"/>
          <w:szCs w:val="24"/>
        </w:rPr>
        <w:t>在1 kHz＜</w:t>
      </w:r>
      <w:r>
        <w:rPr>
          <w:i/>
          <w:iCs/>
          <w:sz w:val="24"/>
          <w:szCs w:val="24"/>
        </w:rPr>
        <w:t xml:space="preserve">f </w:t>
      </w:r>
      <w:r>
        <w:rPr>
          <w:sz w:val="24"/>
          <w:szCs w:val="24"/>
        </w:rPr>
        <w:t>≤ 40 kHz时：</w:t>
      </w:r>
      <w:r>
        <w:rPr>
          <w:position w:val="-14"/>
        </w:rPr>
        <w:object>
          <v:shape id="_x0000_i1134" o:spt="75" type="#_x0000_t75" style="height:19.4pt;width:45.1pt;" o:ole="t" filled="f" o:preferrelative="t" stroked="f" coordsize="21600,21600">
            <v:path/>
            <v:fill on="f" focussize="0,0"/>
            <v:stroke on="f" joinstyle="miter"/>
            <v:imagedata r:id="rId208" o:title=""/>
            <o:lock v:ext="edit" aspectratio="t"/>
            <w10:wrap type="none"/>
            <w10:anchorlock/>
          </v:shape>
          <o:OLEObject Type="Embed" ProgID="Equation.DSMT4" ShapeID="_x0000_i1134" DrawAspect="Content" ObjectID="_1468075834" r:id="rId207">
            <o:LockedField>false</o:LockedField>
          </o:OLEObject>
        </w:object>
      </w:r>
      <w:r>
        <w:rPr>
          <w:sz w:val="24"/>
          <w:szCs w:val="24"/>
        </w:rPr>
        <w:t xml:space="preserve">=0.69 dB         </w:t>
      </w:r>
      <w:bookmarkStart w:id="116" w:name="OLE_LINK8"/>
      <w:r>
        <w:rPr>
          <w:sz w:val="24"/>
          <w:szCs w:val="24"/>
        </w:rPr>
        <w:t xml:space="preserve">    </w:t>
      </w:r>
      <w:r>
        <w:rPr>
          <w:sz w:val="24"/>
          <w:szCs w:val="28"/>
        </w:rPr>
        <w:t>（C.3</w:t>
      </w:r>
      <w:r>
        <w:rPr>
          <w:rFonts w:hint="eastAsia"/>
          <w:sz w:val="24"/>
          <w:szCs w:val="28"/>
        </w:rPr>
        <w:t>1</w:t>
      </w:r>
      <w:r>
        <w:rPr>
          <w:sz w:val="24"/>
          <w:szCs w:val="28"/>
        </w:rPr>
        <w:t>）</w:t>
      </w:r>
      <w:bookmarkEnd w:id="116"/>
    </w:p>
    <w:p w14:paraId="6C2778F1">
      <w:pPr>
        <w:widowControl/>
        <w:autoSpaceDE w:val="0"/>
        <w:autoSpaceDN w:val="0"/>
        <w:spacing w:line="360" w:lineRule="auto"/>
        <w:ind w:firstLine="480" w:firstLineChars="200"/>
        <w:jc w:val="left"/>
        <w:rPr>
          <w:sz w:val="24"/>
          <w:szCs w:val="24"/>
        </w:rPr>
      </w:pPr>
    </w:p>
    <w:p w14:paraId="4157965C">
      <w:pPr>
        <w:rPr>
          <w:sz w:val="24"/>
          <w:szCs w:val="24"/>
        </w:rPr>
      </w:pPr>
    </w:p>
    <w:p w14:paraId="583014F9">
      <w:pPr>
        <w:rPr>
          <w:sz w:val="24"/>
          <w:szCs w:val="24"/>
        </w:rPr>
        <w:sectPr>
          <w:headerReference r:id="rId12" w:type="default"/>
          <w:footerReference r:id="rId13" w:type="default"/>
          <w:footerReference r:id="rId14" w:type="even"/>
          <w:pgSz w:w="11907" w:h="16839"/>
          <w:pgMar w:top="1418" w:right="1134" w:bottom="1134" w:left="1418" w:header="1134" w:footer="851" w:gutter="0"/>
          <w:cols w:space="720" w:num="1"/>
          <w:docGrid w:type="lines" w:linePitch="312" w:charSpace="0"/>
        </w:sectPr>
      </w:pPr>
    </w:p>
    <w:p w14:paraId="4F3C822D">
      <w:pPr>
        <w:pStyle w:val="36"/>
        <w:numPr>
          <w:ilvl w:val="0"/>
          <w:numId w:val="0"/>
        </w:numPr>
        <w:spacing w:before="156" w:after="156" w:line="360" w:lineRule="auto"/>
        <w:outlineLvl w:val="9"/>
        <w:rPr>
          <w:rFonts w:ascii="Times New Roman"/>
          <w:sz w:val="24"/>
          <w:szCs w:val="24"/>
        </w:rPr>
      </w:pPr>
      <w:bookmarkStart w:id="117" w:name="_Toc197605003"/>
      <w:bookmarkStart w:id="118" w:name="_Toc199420208"/>
      <w:r>
        <w:rPr>
          <w:rFonts w:ascii="Times New Roman"/>
          <w:sz w:val="24"/>
          <w:szCs w:val="24"/>
        </w:rPr>
        <w:t>C.4 船载水声探测系统自噪声示值测量不确定度分量</w:t>
      </w:r>
      <w:bookmarkEnd w:id="117"/>
      <w:bookmarkEnd w:id="118"/>
    </w:p>
    <w:p w14:paraId="5F5ADA0D">
      <w:pPr>
        <w:pStyle w:val="32"/>
        <w:spacing w:line="360" w:lineRule="auto"/>
        <w:ind w:firstLine="0" w:firstLineChars="0"/>
        <w:rPr>
          <w:rFonts w:ascii="Times New Roman"/>
          <w:sz w:val="24"/>
          <w:szCs w:val="24"/>
        </w:rPr>
      </w:pPr>
      <w:bookmarkStart w:id="119" w:name="_Toc197605004"/>
      <w:r>
        <w:rPr>
          <w:rFonts w:ascii="Times New Roman"/>
          <w:sz w:val="24"/>
          <w:szCs w:val="24"/>
        </w:rPr>
        <w:t>C.4.1 测量不确定度分量</w:t>
      </w:r>
      <w:bookmarkEnd w:id="119"/>
    </w:p>
    <w:p w14:paraId="3B6C1F88">
      <w:pPr>
        <w:widowControl/>
        <w:autoSpaceDE w:val="0"/>
        <w:autoSpaceDN w:val="0"/>
        <w:spacing w:line="360" w:lineRule="auto"/>
        <w:ind w:firstLine="480" w:firstLineChars="200"/>
        <w:jc w:val="left"/>
        <w:rPr>
          <w:sz w:val="24"/>
          <w:szCs w:val="24"/>
        </w:rPr>
      </w:pPr>
      <w:r>
        <w:rPr>
          <w:sz w:val="24"/>
          <w:szCs w:val="24"/>
        </w:rPr>
        <w:t>1）测量重复性引入的标准不确定度分量</w:t>
      </w:r>
      <w:r>
        <w:rPr>
          <w:position w:val="-12"/>
        </w:rPr>
        <w:object>
          <v:shape id="_x0000_i1135" o:spt="75" type="#_x0000_t75" style="height:18.15pt;width:17.85pt;" o:ole="t" filled="f" o:preferrelative="t" stroked="f" coordsize="21600,21600">
            <v:path/>
            <v:fill on="f" focussize="0,0"/>
            <v:stroke on="f" joinstyle="miter"/>
            <v:imagedata r:id="rId210" o:title=""/>
            <o:lock v:ext="edit" aspectratio="t"/>
            <w10:wrap type="none"/>
            <w10:anchorlock/>
          </v:shape>
          <o:OLEObject Type="Embed" ProgID="Equation.DSMT4" ShapeID="_x0000_i1135" DrawAspect="Content" ObjectID="_1468075835" r:id="rId209">
            <o:LockedField>false</o:LockedField>
          </o:OLEObject>
        </w:object>
      </w:r>
    </w:p>
    <w:p w14:paraId="3E027315">
      <w:pPr>
        <w:widowControl/>
        <w:autoSpaceDE w:val="0"/>
        <w:autoSpaceDN w:val="0"/>
        <w:spacing w:line="360" w:lineRule="auto"/>
        <w:ind w:firstLine="480" w:firstLineChars="200"/>
        <w:rPr>
          <w:sz w:val="24"/>
          <w:szCs w:val="24"/>
        </w:rPr>
      </w:pPr>
      <w:r>
        <w:rPr>
          <w:sz w:val="24"/>
          <w:szCs w:val="24"/>
        </w:rPr>
        <w:t xml:space="preserve">测量重复性引入的标准不确定度分量按A类方法评定。用本规范所规定的条件，在相同测量条件下，充分考虑定位、温度等因素对校准结果的影响，在300 Hz ≤ </w:t>
      </w:r>
      <w:r>
        <w:rPr>
          <w:i/>
          <w:iCs/>
          <w:sz w:val="24"/>
          <w:szCs w:val="24"/>
        </w:rPr>
        <w:t xml:space="preserve">f </w:t>
      </w:r>
      <w:r>
        <w:rPr>
          <w:sz w:val="24"/>
          <w:szCs w:val="24"/>
        </w:rPr>
        <w:t>≤ 40 kHz频率范围对同一自噪声监测系统的声压谱密度声源级重复测量8次，结果如表C.3所示。测量结果的最大实验标准偏差</w:t>
      </w:r>
      <w:r>
        <w:rPr>
          <w:i/>
          <w:sz w:val="24"/>
          <w:szCs w:val="24"/>
        </w:rPr>
        <w:t>S</w:t>
      </w:r>
      <w:r>
        <w:rPr>
          <w:i/>
          <w:sz w:val="24"/>
          <w:szCs w:val="24"/>
          <w:vertAlign w:val="subscript"/>
        </w:rPr>
        <w:t>n</w:t>
      </w:r>
      <w:r>
        <w:rPr>
          <w:sz w:val="24"/>
          <w:szCs w:val="24"/>
        </w:rPr>
        <w:t xml:space="preserve">，在300 Hz ≤ </w:t>
      </w:r>
      <w:r>
        <w:rPr>
          <w:i/>
          <w:iCs/>
          <w:sz w:val="24"/>
          <w:szCs w:val="24"/>
        </w:rPr>
        <w:t xml:space="preserve">f </w:t>
      </w:r>
      <w:r>
        <w:rPr>
          <w:sz w:val="24"/>
          <w:szCs w:val="24"/>
        </w:rPr>
        <w:t>≤ 40 kHz时为1.0 dB。取多次测量的平均值作为校准结果，按公式（C.4）得到测量重复性引入的每个频率点的不确定度分量，如表C.3所示。</w:t>
      </w:r>
    </w:p>
    <w:p w14:paraId="7F05BBD3">
      <w:pPr>
        <w:widowControl/>
        <w:autoSpaceDE w:val="0"/>
        <w:autoSpaceDN w:val="0"/>
        <w:spacing w:line="360" w:lineRule="auto"/>
        <w:ind w:firstLine="480" w:firstLineChars="200"/>
        <w:rPr>
          <w:sz w:val="24"/>
          <w:szCs w:val="24"/>
        </w:rPr>
      </w:pPr>
      <w:r>
        <w:rPr>
          <w:sz w:val="24"/>
          <w:szCs w:val="24"/>
        </w:rPr>
        <w:t>每隔一段时间重复同样的测量8次，使用同样的处理方法，每一次测量重复性引入的不确定度分量均在相同的范围内，认为稳定性引入的不确定度分量可忽略不计。</w:t>
      </w:r>
    </w:p>
    <w:p w14:paraId="1A038DA2">
      <w:pPr>
        <w:widowControl/>
        <w:autoSpaceDE w:val="0"/>
        <w:autoSpaceDN w:val="0"/>
        <w:jc w:val="center"/>
        <w:rPr>
          <w:rFonts w:eastAsia="黑体"/>
          <w:szCs w:val="21"/>
        </w:rPr>
      </w:pPr>
      <w:r>
        <w:rPr>
          <w:rFonts w:eastAsia="黑体"/>
          <w:szCs w:val="21"/>
        </w:rPr>
        <w:t>表C.3 噪声声压谱密度级的测量数据</w:t>
      </w:r>
    </w:p>
    <w:tbl>
      <w:tblPr>
        <w:tblStyle w:val="17"/>
        <w:tblW w:w="92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
        <w:gridCol w:w="893"/>
        <w:gridCol w:w="893"/>
        <w:gridCol w:w="893"/>
        <w:gridCol w:w="893"/>
        <w:gridCol w:w="893"/>
        <w:gridCol w:w="893"/>
        <w:gridCol w:w="893"/>
        <w:gridCol w:w="893"/>
        <w:gridCol w:w="695"/>
        <w:gridCol w:w="695"/>
      </w:tblGrid>
      <w:tr w14:paraId="51479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tcPr>
          <w:p w14:paraId="155D3C9F">
            <w:pPr>
              <w:pStyle w:val="63"/>
              <w:spacing w:line="240" w:lineRule="auto"/>
              <w:ind w:firstLine="0" w:firstLineChars="0"/>
              <w:jc w:val="center"/>
              <w:rPr>
                <w:sz w:val="21"/>
                <w:szCs w:val="21"/>
              </w:rPr>
            </w:pPr>
            <w:r>
              <w:rPr>
                <w:i/>
                <w:sz w:val="21"/>
                <w:szCs w:val="21"/>
              </w:rPr>
              <w:t>f</w:t>
            </w:r>
            <w:r>
              <w:rPr>
                <w:sz w:val="21"/>
                <w:szCs w:val="21"/>
              </w:rPr>
              <w:t>/Hz</w:t>
            </w:r>
          </w:p>
        </w:tc>
        <w:tc>
          <w:tcPr>
            <w:tcW w:w="893" w:type="dxa"/>
          </w:tcPr>
          <w:p w14:paraId="34EB5F27">
            <w:pPr>
              <w:pStyle w:val="63"/>
              <w:spacing w:line="240" w:lineRule="auto"/>
              <w:ind w:firstLine="0" w:firstLineChars="0"/>
              <w:jc w:val="center"/>
              <w:rPr>
                <w:sz w:val="21"/>
                <w:szCs w:val="21"/>
              </w:rPr>
            </w:pPr>
            <w:r>
              <w:rPr>
                <w:i/>
                <w:sz w:val="21"/>
                <w:szCs w:val="21"/>
              </w:rPr>
              <w:t>Lps</w:t>
            </w:r>
            <w:r>
              <w:rPr>
                <w:iCs/>
                <w:sz w:val="21"/>
                <w:szCs w:val="21"/>
                <w:vertAlign w:val="subscript"/>
              </w:rPr>
              <w:t>1</w:t>
            </w:r>
            <w:r>
              <w:rPr>
                <w:sz w:val="21"/>
                <w:szCs w:val="21"/>
              </w:rPr>
              <w:t>/dB</w:t>
            </w:r>
          </w:p>
        </w:tc>
        <w:tc>
          <w:tcPr>
            <w:tcW w:w="893" w:type="dxa"/>
          </w:tcPr>
          <w:p w14:paraId="44AE2845">
            <w:pPr>
              <w:pStyle w:val="63"/>
              <w:spacing w:line="240" w:lineRule="auto"/>
              <w:ind w:firstLine="0" w:firstLineChars="0"/>
              <w:jc w:val="center"/>
              <w:rPr>
                <w:sz w:val="21"/>
                <w:szCs w:val="21"/>
              </w:rPr>
            </w:pPr>
            <w:r>
              <w:rPr>
                <w:i/>
                <w:sz w:val="21"/>
                <w:szCs w:val="21"/>
              </w:rPr>
              <w:t>Lps</w:t>
            </w:r>
            <w:r>
              <w:rPr>
                <w:iCs/>
                <w:sz w:val="21"/>
                <w:szCs w:val="21"/>
                <w:vertAlign w:val="subscript"/>
              </w:rPr>
              <w:t>2</w:t>
            </w:r>
            <w:r>
              <w:rPr>
                <w:sz w:val="21"/>
                <w:szCs w:val="21"/>
              </w:rPr>
              <w:t>/dB</w:t>
            </w:r>
          </w:p>
        </w:tc>
        <w:tc>
          <w:tcPr>
            <w:tcW w:w="893" w:type="dxa"/>
          </w:tcPr>
          <w:p w14:paraId="684BB562">
            <w:pPr>
              <w:pStyle w:val="63"/>
              <w:spacing w:line="240" w:lineRule="auto"/>
              <w:ind w:firstLine="0" w:firstLineChars="0"/>
              <w:jc w:val="center"/>
              <w:rPr>
                <w:sz w:val="21"/>
                <w:szCs w:val="21"/>
              </w:rPr>
            </w:pPr>
            <w:r>
              <w:rPr>
                <w:i/>
                <w:sz w:val="21"/>
                <w:szCs w:val="21"/>
              </w:rPr>
              <w:t>Lps</w:t>
            </w:r>
            <w:r>
              <w:rPr>
                <w:iCs/>
                <w:sz w:val="21"/>
                <w:szCs w:val="21"/>
                <w:vertAlign w:val="subscript"/>
              </w:rPr>
              <w:t>3</w:t>
            </w:r>
            <w:r>
              <w:rPr>
                <w:sz w:val="21"/>
                <w:szCs w:val="21"/>
              </w:rPr>
              <w:t>/dB</w:t>
            </w:r>
          </w:p>
        </w:tc>
        <w:tc>
          <w:tcPr>
            <w:tcW w:w="893" w:type="dxa"/>
          </w:tcPr>
          <w:p w14:paraId="3B7A5408">
            <w:pPr>
              <w:pStyle w:val="63"/>
              <w:spacing w:line="240" w:lineRule="auto"/>
              <w:ind w:firstLine="0" w:firstLineChars="0"/>
              <w:jc w:val="center"/>
              <w:rPr>
                <w:sz w:val="21"/>
                <w:szCs w:val="21"/>
              </w:rPr>
            </w:pPr>
            <w:r>
              <w:rPr>
                <w:i/>
                <w:sz w:val="21"/>
                <w:szCs w:val="21"/>
              </w:rPr>
              <w:t>Lps</w:t>
            </w:r>
            <w:r>
              <w:rPr>
                <w:iCs/>
                <w:sz w:val="21"/>
                <w:szCs w:val="21"/>
                <w:vertAlign w:val="subscript"/>
              </w:rPr>
              <w:t>4</w:t>
            </w:r>
            <w:r>
              <w:rPr>
                <w:sz w:val="21"/>
                <w:szCs w:val="21"/>
              </w:rPr>
              <w:t>/dB</w:t>
            </w:r>
          </w:p>
        </w:tc>
        <w:tc>
          <w:tcPr>
            <w:tcW w:w="893" w:type="dxa"/>
          </w:tcPr>
          <w:p w14:paraId="5EF6922B">
            <w:pPr>
              <w:pStyle w:val="63"/>
              <w:spacing w:line="240" w:lineRule="auto"/>
              <w:ind w:firstLine="0" w:firstLineChars="0"/>
              <w:jc w:val="center"/>
              <w:rPr>
                <w:sz w:val="21"/>
                <w:szCs w:val="21"/>
              </w:rPr>
            </w:pPr>
            <w:r>
              <w:rPr>
                <w:i/>
                <w:sz w:val="21"/>
                <w:szCs w:val="21"/>
              </w:rPr>
              <w:t>Lps</w:t>
            </w:r>
            <w:r>
              <w:rPr>
                <w:iCs/>
                <w:sz w:val="21"/>
                <w:szCs w:val="21"/>
                <w:vertAlign w:val="subscript"/>
              </w:rPr>
              <w:t>5</w:t>
            </w:r>
            <w:r>
              <w:rPr>
                <w:sz w:val="21"/>
                <w:szCs w:val="21"/>
              </w:rPr>
              <w:t>/dB</w:t>
            </w:r>
          </w:p>
        </w:tc>
        <w:tc>
          <w:tcPr>
            <w:tcW w:w="893" w:type="dxa"/>
          </w:tcPr>
          <w:p w14:paraId="34525E9A">
            <w:pPr>
              <w:pStyle w:val="63"/>
              <w:spacing w:line="240" w:lineRule="auto"/>
              <w:ind w:firstLine="0" w:firstLineChars="0"/>
              <w:jc w:val="center"/>
              <w:rPr>
                <w:sz w:val="21"/>
                <w:szCs w:val="21"/>
              </w:rPr>
            </w:pPr>
            <w:r>
              <w:rPr>
                <w:i/>
                <w:sz w:val="21"/>
                <w:szCs w:val="21"/>
              </w:rPr>
              <w:t>Lps</w:t>
            </w:r>
            <w:r>
              <w:rPr>
                <w:iCs/>
                <w:sz w:val="21"/>
                <w:szCs w:val="21"/>
                <w:vertAlign w:val="subscript"/>
              </w:rPr>
              <w:t>6</w:t>
            </w:r>
            <w:r>
              <w:rPr>
                <w:sz w:val="21"/>
                <w:szCs w:val="21"/>
              </w:rPr>
              <w:t>/dB</w:t>
            </w:r>
          </w:p>
        </w:tc>
        <w:tc>
          <w:tcPr>
            <w:tcW w:w="893" w:type="dxa"/>
          </w:tcPr>
          <w:p w14:paraId="570411C3">
            <w:pPr>
              <w:pStyle w:val="63"/>
              <w:spacing w:line="240" w:lineRule="auto"/>
              <w:ind w:firstLine="0" w:firstLineChars="0"/>
              <w:jc w:val="center"/>
              <w:rPr>
                <w:sz w:val="21"/>
                <w:szCs w:val="21"/>
              </w:rPr>
            </w:pPr>
            <w:r>
              <w:rPr>
                <w:i/>
                <w:sz w:val="21"/>
                <w:szCs w:val="21"/>
              </w:rPr>
              <w:t>Lps</w:t>
            </w:r>
            <w:r>
              <w:rPr>
                <w:iCs/>
                <w:sz w:val="21"/>
                <w:szCs w:val="21"/>
                <w:vertAlign w:val="subscript"/>
              </w:rPr>
              <w:t>7</w:t>
            </w:r>
            <w:r>
              <w:rPr>
                <w:sz w:val="21"/>
                <w:szCs w:val="21"/>
              </w:rPr>
              <w:t>/dB</w:t>
            </w:r>
          </w:p>
        </w:tc>
        <w:tc>
          <w:tcPr>
            <w:tcW w:w="893" w:type="dxa"/>
          </w:tcPr>
          <w:p w14:paraId="522A3B2F">
            <w:pPr>
              <w:pStyle w:val="63"/>
              <w:spacing w:line="240" w:lineRule="auto"/>
              <w:ind w:firstLine="0" w:firstLineChars="0"/>
              <w:jc w:val="center"/>
              <w:rPr>
                <w:i/>
                <w:sz w:val="21"/>
                <w:szCs w:val="21"/>
              </w:rPr>
            </w:pPr>
            <w:r>
              <w:rPr>
                <w:i/>
                <w:sz w:val="21"/>
                <w:szCs w:val="21"/>
              </w:rPr>
              <w:t>Lps</w:t>
            </w:r>
            <w:r>
              <w:rPr>
                <w:iCs/>
                <w:sz w:val="21"/>
                <w:szCs w:val="21"/>
                <w:vertAlign w:val="subscript"/>
              </w:rPr>
              <w:t>8</w:t>
            </w:r>
            <w:r>
              <w:rPr>
                <w:sz w:val="21"/>
                <w:szCs w:val="21"/>
              </w:rPr>
              <w:t>/dB</w:t>
            </w:r>
          </w:p>
        </w:tc>
        <w:tc>
          <w:tcPr>
            <w:tcW w:w="695" w:type="dxa"/>
          </w:tcPr>
          <w:p w14:paraId="392D4FA5">
            <w:pPr>
              <w:pStyle w:val="63"/>
              <w:spacing w:line="240" w:lineRule="auto"/>
              <w:ind w:firstLine="0" w:firstLineChars="0"/>
              <w:jc w:val="center"/>
              <w:rPr>
                <w:i/>
                <w:sz w:val="21"/>
                <w:szCs w:val="21"/>
              </w:rPr>
            </w:pPr>
            <w:r>
              <w:rPr>
                <w:i/>
                <w:sz w:val="21"/>
                <w:szCs w:val="21"/>
              </w:rPr>
              <w:t>S</w:t>
            </w:r>
            <w:r>
              <w:rPr>
                <w:i/>
                <w:sz w:val="21"/>
                <w:szCs w:val="21"/>
                <w:vertAlign w:val="subscript"/>
              </w:rPr>
              <w:t>n</w:t>
            </w:r>
            <w:r>
              <w:rPr>
                <w:sz w:val="21"/>
                <w:szCs w:val="21"/>
              </w:rPr>
              <w:t>/dB</w:t>
            </w:r>
          </w:p>
        </w:tc>
        <w:tc>
          <w:tcPr>
            <w:tcW w:w="695" w:type="dxa"/>
          </w:tcPr>
          <w:p w14:paraId="1A55310E">
            <w:pPr>
              <w:pStyle w:val="63"/>
              <w:spacing w:line="240" w:lineRule="auto"/>
              <w:ind w:firstLine="0" w:firstLineChars="0"/>
              <w:jc w:val="center"/>
              <w:rPr>
                <w:i/>
                <w:sz w:val="21"/>
                <w:szCs w:val="21"/>
              </w:rPr>
            </w:pPr>
            <w:r>
              <w:rPr>
                <w:i/>
                <w:sz w:val="21"/>
                <w:szCs w:val="21"/>
              </w:rPr>
              <w:t>u</w:t>
            </w:r>
            <w:r>
              <w:rPr>
                <w:i/>
                <w:sz w:val="21"/>
                <w:szCs w:val="21"/>
                <w:vertAlign w:val="subscript"/>
              </w:rPr>
              <w:t>1</w:t>
            </w:r>
            <w:r>
              <w:rPr>
                <w:sz w:val="21"/>
                <w:szCs w:val="21"/>
              </w:rPr>
              <w:t>/dB</w:t>
            </w:r>
          </w:p>
        </w:tc>
      </w:tr>
      <w:tr w14:paraId="26D9E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437ED39D">
            <w:pPr>
              <w:pStyle w:val="63"/>
              <w:spacing w:line="240" w:lineRule="auto"/>
              <w:ind w:firstLine="0" w:firstLineChars="0"/>
              <w:jc w:val="center"/>
              <w:rPr>
                <w:sz w:val="21"/>
                <w:szCs w:val="18"/>
              </w:rPr>
            </w:pPr>
            <w:r>
              <w:rPr>
                <w:kern w:val="0"/>
                <w:sz w:val="21"/>
                <w:szCs w:val="18"/>
              </w:rPr>
              <w:t>315</w:t>
            </w:r>
          </w:p>
        </w:tc>
        <w:tc>
          <w:tcPr>
            <w:tcW w:w="893" w:type="dxa"/>
          </w:tcPr>
          <w:p w14:paraId="738902B4">
            <w:pPr>
              <w:pStyle w:val="63"/>
              <w:spacing w:line="240" w:lineRule="auto"/>
              <w:ind w:firstLine="0" w:firstLineChars="0"/>
              <w:jc w:val="center"/>
              <w:rPr>
                <w:sz w:val="21"/>
                <w:szCs w:val="21"/>
              </w:rPr>
            </w:pPr>
            <w:r>
              <w:rPr>
                <w:sz w:val="21"/>
                <w:szCs w:val="21"/>
              </w:rPr>
              <w:t>61.9</w:t>
            </w:r>
          </w:p>
        </w:tc>
        <w:tc>
          <w:tcPr>
            <w:tcW w:w="893" w:type="dxa"/>
          </w:tcPr>
          <w:p w14:paraId="6A3996F8">
            <w:pPr>
              <w:pStyle w:val="63"/>
              <w:spacing w:line="240" w:lineRule="auto"/>
              <w:ind w:firstLine="0" w:firstLineChars="0"/>
              <w:jc w:val="center"/>
              <w:rPr>
                <w:sz w:val="21"/>
                <w:szCs w:val="21"/>
              </w:rPr>
            </w:pPr>
            <w:r>
              <w:rPr>
                <w:sz w:val="21"/>
                <w:szCs w:val="21"/>
              </w:rPr>
              <w:t>62.4</w:t>
            </w:r>
          </w:p>
        </w:tc>
        <w:tc>
          <w:tcPr>
            <w:tcW w:w="893" w:type="dxa"/>
          </w:tcPr>
          <w:p w14:paraId="3E61915E">
            <w:pPr>
              <w:pStyle w:val="63"/>
              <w:spacing w:line="240" w:lineRule="auto"/>
              <w:ind w:firstLine="0" w:firstLineChars="0"/>
              <w:jc w:val="center"/>
              <w:rPr>
                <w:sz w:val="21"/>
                <w:szCs w:val="21"/>
              </w:rPr>
            </w:pPr>
            <w:r>
              <w:rPr>
                <w:sz w:val="21"/>
                <w:szCs w:val="21"/>
              </w:rPr>
              <w:t>61.4</w:t>
            </w:r>
          </w:p>
        </w:tc>
        <w:tc>
          <w:tcPr>
            <w:tcW w:w="893" w:type="dxa"/>
          </w:tcPr>
          <w:p w14:paraId="4012A4DB">
            <w:pPr>
              <w:pStyle w:val="63"/>
              <w:spacing w:line="240" w:lineRule="auto"/>
              <w:ind w:firstLine="0" w:firstLineChars="0"/>
              <w:jc w:val="center"/>
              <w:rPr>
                <w:sz w:val="21"/>
                <w:szCs w:val="21"/>
              </w:rPr>
            </w:pPr>
            <w:r>
              <w:rPr>
                <w:sz w:val="21"/>
                <w:szCs w:val="21"/>
              </w:rPr>
              <w:t>63.0</w:t>
            </w:r>
          </w:p>
        </w:tc>
        <w:tc>
          <w:tcPr>
            <w:tcW w:w="893" w:type="dxa"/>
          </w:tcPr>
          <w:p w14:paraId="264B3A01">
            <w:pPr>
              <w:pStyle w:val="63"/>
              <w:spacing w:line="240" w:lineRule="auto"/>
              <w:ind w:firstLine="0" w:firstLineChars="0"/>
              <w:jc w:val="center"/>
              <w:rPr>
                <w:sz w:val="21"/>
                <w:szCs w:val="21"/>
              </w:rPr>
            </w:pPr>
            <w:r>
              <w:rPr>
                <w:sz w:val="21"/>
                <w:szCs w:val="21"/>
              </w:rPr>
              <w:t>62.3</w:t>
            </w:r>
          </w:p>
        </w:tc>
        <w:tc>
          <w:tcPr>
            <w:tcW w:w="893" w:type="dxa"/>
          </w:tcPr>
          <w:p w14:paraId="2EFD070A">
            <w:pPr>
              <w:pStyle w:val="63"/>
              <w:spacing w:line="240" w:lineRule="auto"/>
              <w:ind w:firstLine="0" w:firstLineChars="0"/>
              <w:jc w:val="center"/>
              <w:rPr>
                <w:sz w:val="21"/>
                <w:szCs w:val="21"/>
              </w:rPr>
            </w:pPr>
            <w:r>
              <w:rPr>
                <w:sz w:val="21"/>
                <w:szCs w:val="21"/>
              </w:rPr>
              <w:t>63.6</w:t>
            </w:r>
          </w:p>
        </w:tc>
        <w:tc>
          <w:tcPr>
            <w:tcW w:w="893" w:type="dxa"/>
          </w:tcPr>
          <w:p w14:paraId="3C03D9D5">
            <w:pPr>
              <w:pStyle w:val="63"/>
              <w:spacing w:line="240" w:lineRule="auto"/>
              <w:ind w:firstLine="0" w:firstLineChars="0"/>
              <w:jc w:val="center"/>
              <w:rPr>
                <w:sz w:val="21"/>
                <w:szCs w:val="21"/>
              </w:rPr>
            </w:pPr>
            <w:r>
              <w:rPr>
                <w:sz w:val="21"/>
                <w:szCs w:val="21"/>
              </w:rPr>
              <w:t>62.2</w:t>
            </w:r>
          </w:p>
        </w:tc>
        <w:tc>
          <w:tcPr>
            <w:tcW w:w="893" w:type="dxa"/>
          </w:tcPr>
          <w:p w14:paraId="7AC899FD">
            <w:pPr>
              <w:pStyle w:val="63"/>
              <w:spacing w:line="240" w:lineRule="auto"/>
              <w:ind w:firstLine="0" w:firstLineChars="0"/>
              <w:jc w:val="center"/>
              <w:rPr>
                <w:sz w:val="21"/>
                <w:szCs w:val="21"/>
              </w:rPr>
            </w:pPr>
            <w:r>
              <w:rPr>
                <w:sz w:val="21"/>
                <w:szCs w:val="21"/>
              </w:rPr>
              <w:t>62.9</w:t>
            </w:r>
          </w:p>
        </w:tc>
        <w:tc>
          <w:tcPr>
            <w:tcW w:w="695" w:type="dxa"/>
          </w:tcPr>
          <w:p w14:paraId="7CC88866">
            <w:pPr>
              <w:pStyle w:val="63"/>
              <w:spacing w:line="240" w:lineRule="auto"/>
              <w:ind w:firstLine="0" w:firstLineChars="0"/>
              <w:jc w:val="center"/>
              <w:rPr>
                <w:sz w:val="21"/>
                <w:szCs w:val="21"/>
              </w:rPr>
            </w:pPr>
            <w:r>
              <w:rPr>
                <w:sz w:val="21"/>
                <w:szCs w:val="21"/>
              </w:rPr>
              <w:t>0.7</w:t>
            </w:r>
          </w:p>
        </w:tc>
        <w:tc>
          <w:tcPr>
            <w:tcW w:w="695" w:type="dxa"/>
          </w:tcPr>
          <w:p w14:paraId="3425BD3F">
            <w:pPr>
              <w:pStyle w:val="63"/>
              <w:spacing w:line="240" w:lineRule="auto"/>
              <w:ind w:firstLine="0" w:firstLineChars="0"/>
              <w:jc w:val="center"/>
              <w:rPr>
                <w:sz w:val="21"/>
                <w:szCs w:val="21"/>
              </w:rPr>
            </w:pPr>
            <w:r>
              <w:rPr>
                <w:sz w:val="21"/>
                <w:szCs w:val="21"/>
              </w:rPr>
              <w:t>0.25</w:t>
            </w:r>
          </w:p>
        </w:tc>
      </w:tr>
      <w:tr w14:paraId="3B8A8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118D8213">
            <w:pPr>
              <w:pStyle w:val="63"/>
              <w:spacing w:line="240" w:lineRule="auto"/>
              <w:ind w:firstLine="0" w:firstLineChars="0"/>
              <w:jc w:val="center"/>
              <w:rPr>
                <w:sz w:val="21"/>
                <w:szCs w:val="18"/>
              </w:rPr>
            </w:pPr>
            <w:r>
              <w:rPr>
                <w:kern w:val="0"/>
                <w:sz w:val="21"/>
                <w:szCs w:val="18"/>
              </w:rPr>
              <w:t>400</w:t>
            </w:r>
          </w:p>
        </w:tc>
        <w:tc>
          <w:tcPr>
            <w:tcW w:w="893" w:type="dxa"/>
          </w:tcPr>
          <w:p w14:paraId="7CC3CC38">
            <w:pPr>
              <w:pStyle w:val="63"/>
              <w:spacing w:line="240" w:lineRule="auto"/>
              <w:ind w:firstLine="0" w:firstLineChars="0"/>
              <w:jc w:val="center"/>
              <w:rPr>
                <w:sz w:val="21"/>
                <w:szCs w:val="21"/>
              </w:rPr>
            </w:pPr>
            <w:r>
              <w:rPr>
                <w:sz w:val="21"/>
                <w:szCs w:val="21"/>
              </w:rPr>
              <w:t>63.8</w:t>
            </w:r>
          </w:p>
        </w:tc>
        <w:tc>
          <w:tcPr>
            <w:tcW w:w="893" w:type="dxa"/>
          </w:tcPr>
          <w:p w14:paraId="7E7E7ED2">
            <w:pPr>
              <w:pStyle w:val="63"/>
              <w:spacing w:line="240" w:lineRule="auto"/>
              <w:ind w:firstLine="0" w:firstLineChars="0"/>
              <w:jc w:val="center"/>
              <w:rPr>
                <w:sz w:val="21"/>
                <w:szCs w:val="21"/>
              </w:rPr>
            </w:pPr>
            <w:r>
              <w:rPr>
                <w:sz w:val="21"/>
                <w:szCs w:val="21"/>
              </w:rPr>
              <w:t>64.1</w:t>
            </w:r>
          </w:p>
        </w:tc>
        <w:tc>
          <w:tcPr>
            <w:tcW w:w="893" w:type="dxa"/>
          </w:tcPr>
          <w:p w14:paraId="55D42F81">
            <w:pPr>
              <w:pStyle w:val="63"/>
              <w:spacing w:line="240" w:lineRule="auto"/>
              <w:ind w:firstLine="0" w:firstLineChars="0"/>
              <w:jc w:val="center"/>
              <w:rPr>
                <w:sz w:val="21"/>
                <w:szCs w:val="21"/>
              </w:rPr>
            </w:pPr>
            <w:r>
              <w:rPr>
                <w:sz w:val="21"/>
                <w:szCs w:val="21"/>
              </w:rPr>
              <w:t>65.2</w:t>
            </w:r>
          </w:p>
        </w:tc>
        <w:tc>
          <w:tcPr>
            <w:tcW w:w="893" w:type="dxa"/>
          </w:tcPr>
          <w:p w14:paraId="482F5363">
            <w:pPr>
              <w:pStyle w:val="63"/>
              <w:spacing w:line="240" w:lineRule="auto"/>
              <w:ind w:firstLine="0" w:firstLineChars="0"/>
              <w:jc w:val="center"/>
              <w:rPr>
                <w:sz w:val="21"/>
                <w:szCs w:val="21"/>
              </w:rPr>
            </w:pPr>
            <w:r>
              <w:rPr>
                <w:sz w:val="21"/>
                <w:szCs w:val="21"/>
              </w:rPr>
              <w:t>62.9</w:t>
            </w:r>
          </w:p>
        </w:tc>
        <w:tc>
          <w:tcPr>
            <w:tcW w:w="893" w:type="dxa"/>
          </w:tcPr>
          <w:p w14:paraId="5A9EC98A">
            <w:pPr>
              <w:pStyle w:val="63"/>
              <w:spacing w:line="240" w:lineRule="auto"/>
              <w:ind w:firstLine="0" w:firstLineChars="0"/>
              <w:jc w:val="center"/>
              <w:rPr>
                <w:sz w:val="21"/>
                <w:szCs w:val="21"/>
              </w:rPr>
            </w:pPr>
            <w:r>
              <w:rPr>
                <w:sz w:val="21"/>
                <w:szCs w:val="21"/>
              </w:rPr>
              <w:t>63.8</w:t>
            </w:r>
          </w:p>
        </w:tc>
        <w:tc>
          <w:tcPr>
            <w:tcW w:w="893" w:type="dxa"/>
          </w:tcPr>
          <w:p w14:paraId="18A6A567">
            <w:pPr>
              <w:pStyle w:val="63"/>
              <w:spacing w:line="240" w:lineRule="auto"/>
              <w:ind w:firstLine="0" w:firstLineChars="0"/>
              <w:jc w:val="center"/>
              <w:rPr>
                <w:sz w:val="21"/>
                <w:szCs w:val="21"/>
              </w:rPr>
            </w:pPr>
            <w:r>
              <w:rPr>
                <w:sz w:val="21"/>
                <w:szCs w:val="21"/>
              </w:rPr>
              <w:t>65.2</w:t>
            </w:r>
          </w:p>
        </w:tc>
        <w:tc>
          <w:tcPr>
            <w:tcW w:w="893" w:type="dxa"/>
          </w:tcPr>
          <w:p w14:paraId="4C2413F8">
            <w:pPr>
              <w:pStyle w:val="63"/>
              <w:spacing w:line="240" w:lineRule="auto"/>
              <w:ind w:firstLine="0" w:firstLineChars="0"/>
              <w:jc w:val="center"/>
              <w:rPr>
                <w:sz w:val="21"/>
                <w:szCs w:val="21"/>
              </w:rPr>
            </w:pPr>
            <w:r>
              <w:rPr>
                <w:sz w:val="21"/>
                <w:szCs w:val="21"/>
              </w:rPr>
              <w:t>64.1</w:t>
            </w:r>
          </w:p>
        </w:tc>
        <w:tc>
          <w:tcPr>
            <w:tcW w:w="893" w:type="dxa"/>
          </w:tcPr>
          <w:p w14:paraId="1F1EE9BC">
            <w:pPr>
              <w:pStyle w:val="63"/>
              <w:spacing w:line="240" w:lineRule="auto"/>
              <w:ind w:firstLine="0" w:firstLineChars="0"/>
              <w:jc w:val="center"/>
              <w:rPr>
                <w:sz w:val="21"/>
                <w:szCs w:val="21"/>
              </w:rPr>
            </w:pPr>
            <w:r>
              <w:rPr>
                <w:sz w:val="21"/>
                <w:szCs w:val="21"/>
              </w:rPr>
              <w:t>65.1</w:t>
            </w:r>
          </w:p>
        </w:tc>
        <w:tc>
          <w:tcPr>
            <w:tcW w:w="695" w:type="dxa"/>
          </w:tcPr>
          <w:p w14:paraId="7FF9A690">
            <w:pPr>
              <w:pStyle w:val="63"/>
              <w:spacing w:line="240" w:lineRule="auto"/>
              <w:ind w:firstLine="0" w:firstLineChars="0"/>
              <w:jc w:val="center"/>
              <w:rPr>
                <w:sz w:val="21"/>
                <w:szCs w:val="21"/>
              </w:rPr>
            </w:pPr>
            <w:r>
              <w:rPr>
                <w:sz w:val="21"/>
                <w:szCs w:val="21"/>
              </w:rPr>
              <w:t>0.8</w:t>
            </w:r>
          </w:p>
        </w:tc>
        <w:tc>
          <w:tcPr>
            <w:tcW w:w="695" w:type="dxa"/>
          </w:tcPr>
          <w:p w14:paraId="2777D747">
            <w:pPr>
              <w:pStyle w:val="63"/>
              <w:spacing w:line="240" w:lineRule="auto"/>
              <w:ind w:firstLine="0" w:firstLineChars="0"/>
              <w:jc w:val="center"/>
              <w:rPr>
                <w:sz w:val="21"/>
                <w:szCs w:val="21"/>
              </w:rPr>
            </w:pPr>
            <w:r>
              <w:rPr>
                <w:sz w:val="21"/>
                <w:szCs w:val="21"/>
              </w:rPr>
              <w:t>0.29</w:t>
            </w:r>
          </w:p>
        </w:tc>
      </w:tr>
      <w:tr w14:paraId="3EDDB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4C6DAEC9">
            <w:pPr>
              <w:pStyle w:val="63"/>
              <w:spacing w:line="240" w:lineRule="auto"/>
              <w:ind w:firstLine="0" w:firstLineChars="0"/>
              <w:jc w:val="center"/>
              <w:rPr>
                <w:sz w:val="21"/>
                <w:szCs w:val="18"/>
              </w:rPr>
            </w:pPr>
            <w:r>
              <w:rPr>
                <w:kern w:val="0"/>
                <w:sz w:val="21"/>
                <w:szCs w:val="18"/>
              </w:rPr>
              <w:t>500</w:t>
            </w:r>
          </w:p>
        </w:tc>
        <w:tc>
          <w:tcPr>
            <w:tcW w:w="893" w:type="dxa"/>
          </w:tcPr>
          <w:p w14:paraId="26D733A8">
            <w:pPr>
              <w:pStyle w:val="63"/>
              <w:spacing w:line="240" w:lineRule="auto"/>
              <w:ind w:firstLine="0" w:firstLineChars="0"/>
              <w:jc w:val="center"/>
              <w:rPr>
                <w:sz w:val="21"/>
                <w:szCs w:val="21"/>
              </w:rPr>
            </w:pPr>
            <w:r>
              <w:rPr>
                <w:sz w:val="21"/>
                <w:szCs w:val="21"/>
              </w:rPr>
              <w:t>70.1</w:t>
            </w:r>
          </w:p>
        </w:tc>
        <w:tc>
          <w:tcPr>
            <w:tcW w:w="893" w:type="dxa"/>
          </w:tcPr>
          <w:p w14:paraId="28E57752">
            <w:pPr>
              <w:pStyle w:val="63"/>
              <w:spacing w:line="240" w:lineRule="auto"/>
              <w:ind w:firstLine="0" w:firstLineChars="0"/>
              <w:jc w:val="center"/>
              <w:rPr>
                <w:sz w:val="21"/>
                <w:szCs w:val="21"/>
              </w:rPr>
            </w:pPr>
            <w:r>
              <w:rPr>
                <w:sz w:val="21"/>
                <w:szCs w:val="21"/>
              </w:rPr>
              <w:t>68.7</w:t>
            </w:r>
          </w:p>
        </w:tc>
        <w:tc>
          <w:tcPr>
            <w:tcW w:w="893" w:type="dxa"/>
          </w:tcPr>
          <w:p w14:paraId="061F3C9D">
            <w:pPr>
              <w:pStyle w:val="63"/>
              <w:spacing w:line="240" w:lineRule="auto"/>
              <w:ind w:firstLine="0" w:firstLineChars="0"/>
              <w:jc w:val="center"/>
              <w:rPr>
                <w:sz w:val="21"/>
                <w:szCs w:val="21"/>
              </w:rPr>
            </w:pPr>
            <w:r>
              <w:rPr>
                <w:sz w:val="21"/>
                <w:szCs w:val="21"/>
              </w:rPr>
              <w:t>68.1</w:t>
            </w:r>
          </w:p>
        </w:tc>
        <w:tc>
          <w:tcPr>
            <w:tcW w:w="893" w:type="dxa"/>
          </w:tcPr>
          <w:p w14:paraId="776512DF">
            <w:pPr>
              <w:pStyle w:val="63"/>
              <w:spacing w:line="240" w:lineRule="auto"/>
              <w:ind w:firstLine="0" w:firstLineChars="0"/>
              <w:jc w:val="center"/>
              <w:rPr>
                <w:sz w:val="21"/>
                <w:szCs w:val="21"/>
              </w:rPr>
            </w:pPr>
            <w:r>
              <w:rPr>
                <w:sz w:val="21"/>
                <w:szCs w:val="21"/>
              </w:rPr>
              <w:t>69.6</w:t>
            </w:r>
          </w:p>
        </w:tc>
        <w:tc>
          <w:tcPr>
            <w:tcW w:w="893" w:type="dxa"/>
          </w:tcPr>
          <w:p w14:paraId="7B91EBEB">
            <w:pPr>
              <w:pStyle w:val="63"/>
              <w:spacing w:line="240" w:lineRule="auto"/>
              <w:ind w:firstLine="0" w:firstLineChars="0"/>
              <w:jc w:val="center"/>
              <w:rPr>
                <w:sz w:val="21"/>
                <w:szCs w:val="21"/>
              </w:rPr>
            </w:pPr>
            <w:r>
              <w:rPr>
                <w:sz w:val="21"/>
                <w:szCs w:val="21"/>
              </w:rPr>
              <w:t>70.5</w:t>
            </w:r>
          </w:p>
        </w:tc>
        <w:tc>
          <w:tcPr>
            <w:tcW w:w="893" w:type="dxa"/>
          </w:tcPr>
          <w:p w14:paraId="2814A0C4">
            <w:pPr>
              <w:pStyle w:val="63"/>
              <w:spacing w:line="240" w:lineRule="auto"/>
              <w:ind w:firstLine="0" w:firstLineChars="0"/>
              <w:jc w:val="center"/>
              <w:rPr>
                <w:sz w:val="21"/>
                <w:szCs w:val="21"/>
              </w:rPr>
            </w:pPr>
            <w:r>
              <w:rPr>
                <w:sz w:val="21"/>
                <w:szCs w:val="21"/>
              </w:rPr>
              <w:t>68.0</w:t>
            </w:r>
          </w:p>
        </w:tc>
        <w:tc>
          <w:tcPr>
            <w:tcW w:w="893" w:type="dxa"/>
          </w:tcPr>
          <w:p w14:paraId="3A684590">
            <w:pPr>
              <w:pStyle w:val="63"/>
              <w:spacing w:line="240" w:lineRule="auto"/>
              <w:ind w:firstLine="0" w:firstLineChars="0"/>
              <w:jc w:val="center"/>
              <w:rPr>
                <w:sz w:val="21"/>
                <w:szCs w:val="21"/>
              </w:rPr>
            </w:pPr>
            <w:r>
              <w:rPr>
                <w:sz w:val="21"/>
                <w:szCs w:val="21"/>
              </w:rPr>
              <w:t>68.0</w:t>
            </w:r>
          </w:p>
        </w:tc>
        <w:tc>
          <w:tcPr>
            <w:tcW w:w="893" w:type="dxa"/>
          </w:tcPr>
          <w:p w14:paraId="4D416E4B">
            <w:pPr>
              <w:pStyle w:val="63"/>
              <w:spacing w:line="240" w:lineRule="auto"/>
              <w:ind w:firstLine="0" w:firstLineChars="0"/>
              <w:jc w:val="center"/>
              <w:rPr>
                <w:sz w:val="21"/>
                <w:szCs w:val="21"/>
              </w:rPr>
            </w:pPr>
            <w:r>
              <w:rPr>
                <w:sz w:val="21"/>
                <w:szCs w:val="21"/>
              </w:rPr>
              <w:t>69.1</w:t>
            </w:r>
          </w:p>
        </w:tc>
        <w:tc>
          <w:tcPr>
            <w:tcW w:w="695" w:type="dxa"/>
          </w:tcPr>
          <w:p w14:paraId="623109F0">
            <w:pPr>
              <w:pStyle w:val="63"/>
              <w:spacing w:line="240" w:lineRule="auto"/>
              <w:ind w:firstLine="0" w:firstLineChars="0"/>
              <w:jc w:val="center"/>
              <w:rPr>
                <w:sz w:val="21"/>
                <w:szCs w:val="21"/>
              </w:rPr>
            </w:pPr>
            <w:r>
              <w:rPr>
                <w:sz w:val="21"/>
                <w:szCs w:val="21"/>
              </w:rPr>
              <w:t>1.0</w:t>
            </w:r>
          </w:p>
        </w:tc>
        <w:tc>
          <w:tcPr>
            <w:tcW w:w="695" w:type="dxa"/>
          </w:tcPr>
          <w:p w14:paraId="0E571C19">
            <w:pPr>
              <w:pStyle w:val="63"/>
              <w:spacing w:line="240" w:lineRule="auto"/>
              <w:ind w:firstLine="0" w:firstLineChars="0"/>
              <w:jc w:val="center"/>
              <w:rPr>
                <w:sz w:val="21"/>
                <w:szCs w:val="21"/>
              </w:rPr>
            </w:pPr>
            <w:r>
              <w:rPr>
                <w:sz w:val="21"/>
                <w:szCs w:val="21"/>
              </w:rPr>
              <w:t>0.34</w:t>
            </w:r>
          </w:p>
        </w:tc>
      </w:tr>
      <w:tr w14:paraId="380B5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59F88483">
            <w:pPr>
              <w:pStyle w:val="63"/>
              <w:spacing w:line="240" w:lineRule="auto"/>
              <w:ind w:firstLine="0" w:firstLineChars="0"/>
              <w:jc w:val="center"/>
              <w:rPr>
                <w:sz w:val="21"/>
                <w:szCs w:val="18"/>
              </w:rPr>
            </w:pPr>
            <w:r>
              <w:rPr>
                <w:kern w:val="0"/>
                <w:sz w:val="21"/>
                <w:szCs w:val="18"/>
              </w:rPr>
              <w:t>630</w:t>
            </w:r>
          </w:p>
        </w:tc>
        <w:tc>
          <w:tcPr>
            <w:tcW w:w="893" w:type="dxa"/>
          </w:tcPr>
          <w:p w14:paraId="2E00822A">
            <w:pPr>
              <w:pStyle w:val="63"/>
              <w:spacing w:line="240" w:lineRule="auto"/>
              <w:ind w:firstLine="0" w:firstLineChars="0"/>
              <w:jc w:val="center"/>
              <w:rPr>
                <w:sz w:val="21"/>
                <w:szCs w:val="21"/>
              </w:rPr>
            </w:pPr>
            <w:r>
              <w:rPr>
                <w:sz w:val="21"/>
                <w:szCs w:val="21"/>
              </w:rPr>
              <w:t>68.8</w:t>
            </w:r>
          </w:p>
        </w:tc>
        <w:tc>
          <w:tcPr>
            <w:tcW w:w="893" w:type="dxa"/>
          </w:tcPr>
          <w:p w14:paraId="648E404D">
            <w:pPr>
              <w:pStyle w:val="63"/>
              <w:spacing w:line="240" w:lineRule="auto"/>
              <w:ind w:firstLine="0" w:firstLineChars="0"/>
              <w:jc w:val="center"/>
              <w:rPr>
                <w:sz w:val="21"/>
                <w:szCs w:val="21"/>
              </w:rPr>
            </w:pPr>
            <w:r>
              <w:rPr>
                <w:sz w:val="21"/>
                <w:szCs w:val="21"/>
              </w:rPr>
              <w:t>70.3</w:t>
            </w:r>
          </w:p>
        </w:tc>
        <w:tc>
          <w:tcPr>
            <w:tcW w:w="893" w:type="dxa"/>
          </w:tcPr>
          <w:p w14:paraId="4045A8E8">
            <w:pPr>
              <w:pStyle w:val="63"/>
              <w:spacing w:line="240" w:lineRule="auto"/>
              <w:ind w:firstLine="0" w:firstLineChars="0"/>
              <w:jc w:val="center"/>
              <w:rPr>
                <w:sz w:val="21"/>
                <w:szCs w:val="21"/>
              </w:rPr>
            </w:pPr>
            <w:r>
              <w:rPr>
                <w:sz w:val="21"/>
                <w:szCs w:val="21"/>
              </w:rPr>
              <w:t>69.3</w:t>
            </w:r>
          </w:p>
        </w:tc>
        <w:tc>
          <w:tcPr>
            <w:tcW w:w="893" w:type="dxa"/>
          </w:tcPr>
          <w:p w14:paraId="4B6DAB71">
            <w:pPr>
              <w:pStyle w:val="63"/>
              <w:spacing w:line="240" w:lineRule="auto"/>
              <w:ind w:firstLine="0" w:firstLineChars="0"/>
              <w:jc w:val="center"/>
              <w:rPr>
                <w:sz w:val="21"/>
                <w:szCs w:val="21"/>
              </w:rPr>
            </w:pPr>
            <w:r>
              <w:rPr>
                <w:sz w:val="21"/>
                <w:szCs w:val="21"/>
              </w:rPr>
              <w:t>71.4</w:t>
            </w:r>
          </w:p>
        </w:tc>
        <w:tc>
          <w:tcPr>
            <w:tcW w:w="893" w:type="dxa"/>
          </w:tcPr>
          <w:p w14:paraId="4956DBC0">
            <w:pPr>
              <w:pStyle w:val="63"/>
              <w:spacing w:line="240" w:lineRule="auto"/>
              <w:ind w:firstLine="0" w:firstLineChars="0"/>
              <w:jc w:val="center"/>
              <w:rPr>
                <w:sz w:val="21"/>
                <w:szCs w:val="21"/>
              </w:rPr>
            </w:pPr>
            <w:r>
              <w:rPr>
                <w:sz w:val="21"/>
                <w:szCs w:val="21"/>
              </w:rPr>
              <w:t>69.8</w:t>
            </w:r>
          </w:p>
        </w:tc>
        <w:tc>
          <w:tcPr>
            <w:tcW w:w="893" w:type="dxa"/>
          </w:tcPr>
          <w:p w14:paraId="24393C74">
            <w:pPr>
              <w:pStyle w:val="63"/>
              <w:spacing w:line="240" w:lineRule="auto"/>
              <w:ind w:firstLine="0" w:firstLineChars="0"/>
              <w:jc w:val="center"/>
              <w:rPr>
                <w:sz w:val="21"/>
                <w:szCs w:val="21"/>
              </w:rPr>
            </w:pPr>
            <w:r>
              <w:rPr>
                <w:sz w:val="21"/>
                <w:szCs w:val="21"/>
              </w:rPr>
              <w:t>70.6</w:t>
            </w:r>
          </w:p>
        </w:tc>
        <w:tc>
          <w:tcPr>
            <w:tcW w:w="893" w:type="dxa"/>
          </w:tcPr>
          <w:p w14:paraId="42D0F09A">
            <w:pPr>
              <w:pStyle w:val="63"/>
              <w:spacing w:line="240" w:lineRule="auto"/>
              <w:ind w:firstLine="0" w:firstLineChars="0"/>
              <w:jc w:val="center"/>
              <w:rPr>
                <w:sz w:val="21"/>
                <w:szCs w:val="21"/>
              </w:rPr>
            </w:pPr>
            <w:r>
              <w:rPr>
                <w:sz w:val="21"/>
                <w:szCs w:val="21"/>
              </w:rPr>
              <w:t>69.9</w:t>
            </w:r>
          </w:p>
        </w:tc>
        <w:tc>
          <w:tcPr>
            <w:tcW w:w="893" w:type="dxa"/>
          </w:tcPr>
          <w:p w14:paraId="64AB2234">
            <w:pPr>
              <w:pStyle w:val="63"/>
              <w:spacing w:line="240" w:lineRule="auto"/>
              <w:ind w:firstLine="0" w:firstLineChars="0"/>
              <w:jc w:val="center"/>
              <w:rPr>
                <w:sz w:val="21"/>
                <w:szCs w:val="21"/>
              </w:rPr>
            </w:pPr>
            <w:r>
              <w:rPr>
                <w:sz w:val="21"/>
                <w:szCs w:val="21"/>
              </w:rPr>
              <w:t>71.7</w:t>
            </w:r>
          </w:p>
        </w:tc>
        <w:tc>
          <w:tcPr>
            <w:tcW w:w="695" w:type="dxa"/>
          </w:tcPr>
          <w:p w14:paraId="144C1210">
            <w:pPr>
              <w:pStyle w:val="63"/>
              <w:spacing w:line="240" w:lineRule="auto"/>
              <w:ind w:firstLine="0" w:firstLineChars="0"/>
              <w:jc w:val="center"/>
              <w:rPr>
                <w:sz w:val="21"/>
                <w:szCs w:val="21"/>
              </w:rPr>
            </w:pPr>
            <w:r>
              <w:rPr>
                <w:sz w:val="21"/>
                <w:szCs w:val="21"/>
              </w:rPr>
              <w:t>1.0</w:t>
            </w:r>
          </w:p>
        </w:tc>
        <w:tc>
          <w:tcPr>
            <w:tcW w:w="695" w:type="dxa"/>
          </w:tcPr>
          <w:p w14:paraId="455DBC3D">
            <w:pPr>
              <w:pStyle w:val="63"/>
              <w:spacing w:line="240" w:lineRule="auto"/>
              <w:ind w:firstLine="0" w:firstLineChars="0"/>
              <w:jc w:val="center"/>
              <w:rPr>
                <w:sz w:val="21"/>
                <w:szCs w:val="21"/>
              </w:rPr>
            </w:pPr>
            <w:r>
              <w:rPr>
                <w:sz w:val="21"/>
                <w:szCs w:val="21"/>
              </w:rPr>
              <w:t>0.35</w:t>
            </w:r>
          </w:p>
        </w:tc>
      </w:tr>
      <w:tr w14:paraId="2CF13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25B52191">
            <w:pPr>
              <w:pStyle w:val="63"/>
              <w:spacing w:line="240" w:lineRule="auto"/>
              <w:ind w:firstLine="0" w:firstLineChars="0"/>
              <w:jc w:val="center"/>
              <w:rPr>
                <w:sz w:val="21"/>
                <w:szCs w:val="18"/>
              </w:rPr>
            </w:pPr>
            <w:r>
              <w:rPr>
                <w:kern w:val="0"/>
                <w:sz w:val="21"/>
                <w:szCs w:val="18"/>
              </w:rPr>
              <w:t>800</w:t>
            </w:r>
          </w:p>
        </w:tc>
        <w:tc>
          <w:tcPr>
            <w:tcW w:w="893" w:type="dxa"/>
          </w:tcPr>
          <w:p w14:paraId="30D58F91">
            <w:pPr>
              <w:pStyle w:val="63"/>
              <w:spacing w:line="240" w:lineRule="auto"/>
              <w:ind w:firstLine="0" w:firstLineChars="0"/>
              <w:jc w:val="center"/>
              <w:rPr>
                <w:sz w:val="21"/>
                <w:szCs w:val="21"/>
              </w:rPr>
            </w:pPr>
            <w:r>
              <w:rPr>
                <w:sz w:val="21"/>
                <w:szCs w:val="21"/>
              </w:rPr>
              <w:t>63.6</w:t>
            </w:r>
          </w:p>
        </w:tc>
        <w:tc>
          <w:tcPr>
            <w:tcW w:w="893" w:type="dxa"/>
          </w:tcPr>
          <w:p w14:paraId="0BF189FE">
            <w:pPr>
              <w:pStyle w:val="63"/>
              <w:spacing w:line="240" w:lineRule="auto"/>
              <w:ind w:firstLine="0" w:firstLineChars="0"/>
              <w:jc w:val="center"/>
              <w:rPr>
                <w:sz w:val="21"/>
                <w:szCs w:val="21"/>
              </w:rPr>
            </w:pPr>
            <w:r>
              <w:rPr>
                <w:sz w:val="21"/>
                <w:szCs w:val="21"/>
              </w:rPr>
              <w:t>64.8</w:t>
            </w:r>
          </w:p>
        </w:tc>
        <w:tc>
          <w:tcPr>
            <w:tcW w:w="893" w:type="dxa"/>
          </w:tcPr>
          <w:p w14:paraId="4C47805B">
            <w:pPr>
              <w:pStyle w:val="63"/>
              <w:spacing w:line="240" w:lineRule="auto"/>
              <w:ind w:firstLine="0" w:firstLineChars="0"/>
              <w:jc w:val="center"/>
              <w:rPr>
                <w:sz w:val="21"/>
                <w:szCs w:val="21"/>
              </w:rPr>
            </w:pPr>
            <w:r>
              <w:rPr>
                <w:sz w:val="21"/>
                <w:szCs w:val="21"/>
              </w:rPr>
              <w:t>62.2</w:t>
            </w:r>
          </w:p>
        </w:tc>
        <w:tc>
          <w:tcPr>
            <w:tcW w:w="893" w:type="dxa"/>
          </w:tcPr>
          <w:p w14:paraId="6E140DE7">
            <w:pPr>
              <w:pStyle w:val="63"/>
              <w:spacing w:line="240" w:lineRule="auto"/>
              <w:ind w:firstLine="0" w:firstLineChars="0"/>
              <w:jc w:val="center"/>
              <w:rPr>
                <w:sz w:val="21"/>
                <w:szCs w:val="21"/>
              </w:rPr>
            </w:pPr>
            <w:r>
              <w:rPr>
                <w:sz w:val="21"/>
                <w:szCs w:val="21"/>
              </w:rPr>
              <w:t>64.2</w:t>
            </w:r>
          </w:p>
        </w:tc>
        <w:tc>
          <w:tcPr>
            <w:tcW w:w="893" w:type="dxa"/>
          </w:tcPr>
          <w:p w14:paraId="126657DF">
            <w:pPr>
              <w:pStyle w:val="63"/>
              <w:spacing w:line="240" w:lineRule="auto"/>
              <w:ind w:firstLine="0" w:firstLineChars="0"/>
              <w:jc w:val="center"/>
              <w:rPr>
                <w:sz w:val="21"/>
                <w:szCs w:val="21"/>
              </w:rPr>
            </w:pPr>
            <w:r>
              <w:rPr>
                <w:sz w:val="21"/>
                <w:szCs w:val="21"/>
              </w:rPr>
              <w:t>64.6</w:t>
            </w:r>
          </w:p>
        </w:tc>
        <w:tc>
          <w:tcPr>
            <w:tcW w:w="893" w:type="dxa"/>
          </w:tcPr>
          <w:p w14:paraId="7B45D0B6">
            <w:pPr>
              <w:pStyle w:val="63"/>
              <w:spacing w:line="240" w:lineRule="auto"/>
              <w:ind w:firstLine="0" w:firstLineChars="0"/>
              <w:jc w:val="center"/>
              <w:rPr>
                <w:sz w:val="21"/>
                <w:szCs w:val="21"/>
              </w:rPr>
            </w:pPr>
            <w:r>
              <w:rPr>
                <w:sz w:val="21"/>
                <w:szCs w:val="21"/>
              </w:rPr>
              <w:t>63.0</w:t>
            </w:r>
          </w:p>
        </w:tc>
        <w:tc>
          <w:tcPr>
            <w:tcW w:w="893" w:type="dxa"/>
          </w:tcPr>
          <w:p w14:paraId="4064D9FE">
            <w:pPr>
              <w:pStyle w:val="63"/>
              <w:spacing w:line="240" w:lineRule="auto"/>
              <w:ind w:firstLine="0" w:firstLineChars="0"/>
              <w:jc w:val="center"/>
              <w:rPr>
                <w:sz w:val="21"/>
                <w:szCs w:val="21"/>
              </w:rPr>
            </w:pPr>
            <w:r>
              <w:rPr>
                <w:sz w:val="21"/>
                <w:szCs w:val="21"/>
              </w:rPr>
              <w:t>63.7</w:t>
            </w:r>
          </w:p>
        </w:tc>
        <w:tc>
          <w:tcPr>
            <w:tcW w:w="893" w:type="dxa"/>
          </w:tcPr>
          <w:p w14:paraId="780BB31F">
            <w:pPr>
              <w:pStyle w:val="63"/>
              <w:spacing w:line="240" w:lineRule="auto"/>
              <w:ind w:firstLine="0" w:firstLineChars="0"/>
              <w:jc w:val="center"/>
              <w:rPr>
                <w:sz w:val="21"/>
                <w:szCs w:val="21"/>
              </w:rPr>
            </w:pPr>
            <w:r>
              <w:rPr>
                <w:sz w:val="21"/>
                <w:szCs w:val="21"/>
              </w:rPr>
              <w:t>63.2</w:t>
            </w:r>
          </w:p>
        </w:tc>
        <w:tc>
          <w:tcPr>
            <w:tcW w:w="695" w:type="dxa"/>
          </w:tcPr>
          <w:p w14:paraId="73E3A1E5">
            <w:pPr>
              <w:pStyle w:val="63"/>
              <w:spacing w:line="240" w:lineRule="auto"/>
              <w:ind w:firstLine="0" w:firstLineChars="0"/>
              <w:jc w:val="center"/>
              <w:rPr>
                <w:sz w:val="21"/>
                <w:szCs w:val="21"/>
              </w:rPr>
            </w:pPr>
            <w:r>
              <w:rPr>
                <w:sz w:val="21"/>
                <w:szCs w:val="21"/>
              </w:rPr>
              <w:t>0.9</w:t>
            </w:r>
          </w:p>
        </w:tc>
        <w:tc>
          <w:tcPr>
            <w:tcW w:w="695" w:type="dxa"/>
          </w:tcPr>
          <w:p w14:paraId="7EC6D549">
            <w:pPr>
              <w:pStyle w:val="63"/>
              <w:spacing w:line="240" w:lineRule="auto"/>
              <w:ind w:firstLine="0" w:firstLineChars="0"/>
              <w:jc w:val="center"/>
              <w:rPr>
                <w:sz w:val="21"/>
                <w:szCs w:val="21"/>
              </w:rPr>
            </w:pPr>
            <w:r>
              <w:rPr>
                <w:sz w:val="21"/>
                <w:szCs w:val="21"/>
              </w:rPr>
              <w:t>0.31</w:t>
            </w:r>
          </w:p>
        </w:tc>
      </w:tr>
      <w:tr w14:paraId="7CDDC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3DF91910">
            <w:pPr>
              <w:pStyle w:val="63"/>
              <w:spacing w:line="240" w:lineRule="auto"/>
              <w:ind w:firstLine="0" w:firstLineChars="0"/>
              <w:jc w:val="center"/>
              <w:rPr>
                <w:sz w:val="21"/>
                <w:szCs w:val="18"/>
              </w:rPr>
            </w:pPr>
            <w:r>
              <w:rPr>
                <w:kern w:val="0"/>
                <w:sz w:val="21"/>
                <w:szCs w:val="18"/>
              </w:rPr>
              <w:t>1000</w:t>
            </w:r>
          </w:p>
        </w:tc>
        <w:tc>
          <w:tcPr>
            <w:tcW w:w="893" w:type="dxa"/>
          </w:tcPr>
          <w:p w14:paraId="184347FE">
            <w:pPr>
              <w:pStyle w:val="63"/>
              <w:spacing w:line="240" w:lineRule="auto"/>
              <w:ind w:firstLine="0" w:firstLineChars="0"/>
              <w:jc w:val="center"/>
              <w:rPr>
                <w:sz w:val="21"/>
                <w:szCs w:val="21"/>
              </w:rPr>
            </w:pPr>
            <w:r>
              <w:rPr>
                <w:sz w:val="21"/>
                <w:szCs w:val="21"/>
              </w:rPr>
              <w:t>58.9</w:t>
            </w:r>
          </w:p>
        </w:tc>
        <w:tc>
          <w:tcPr>
            <w:tcW w:w="893" w:type="dxa"/>
          </w:tcPr>
          <w:p w14:paraId="682D9232">
            <w:pPr>
              <w:pStyle w:val="63"/>
              <w:spacing w:line="240" w:lineRule="auto"/>
              <w:ind w:firstLine="0" w:firstLineChars="0"/>
              <w:jc w:val="center"/>
              <w:rPr>
                <w:sz w:val="21"/>
                <w:szCs w:val="21"/>
              </w:rPr>
            </w:pPr>
            <w:r>
              <w:rPr>
                <w:sz w:val="21"/>
                <w:szCs w:val="21"/>
              </w:rPr>
              <w:t>58.7</w:t>
            </w:r>
          </w:p>
        </w:tc>
        <w:tc>
          <w:tcPr>
            <w:tcW w:w="893" w:type="dxa"/>
          </w:tcPr>
          <w:p w14:paraId="374E6779">
            <w:pPr>
              <w:pStyle w:val="63"/>
              <w:spacing w:line="240" w:lineRule="auto"/>
              <w:ind w:firstLine="0" w:firstLineChars="0"/>
              <w:jc w:val="center"/>
              <w:rPr>
                <w:sz w:val="21"/>
                <w:szCs w:val="21"/>
              </w:rPr>
            </w:pPr>
            <w:r>
              <w:rPr>
                <w:sz w:val="21"/>
                <w:szCs w:val="21"/>
              </w:rPr>
              <w:t>57.4</w:t>
            </w:r>
          </w:p>
        </w:tc>
        <w:tc>
          <w:tcPr>
            <w:tcW w:w="893" w:type="dxa"/>
          </w:tcPr>
          <w:p w14:paraId="55E46898">
            <w:pPr>
              <w:pStyle w:val="63"/>
              <w:spacing w:line="240" w:lineRule="auto"/>
              <w:ind w:firstLine="0" w:firstLineChars="0"/>
              <w:jc w:val="center"/>
              <w:rPr>
                <w:sz w:val="21"/>
                <w:szCs w:val="21"/>
              </w:rPr>
            </w:pPr>
            <w:r>
              <w:rPr>
                <w:sz w:val="21"/>
                <w:szCs w:val="21"/>
              </w:rPr>
              <w:t>59.4</w:t>
            </w:r>
          </w:p>
        </w:tc>
        <w:tc>
          <w:tcPr>
            <w:tcW w:w="893" w:type="dxa"/>
          </w:tcPr>
          <w:p w14:paraId="368D6EAE">
            <w:pPr>
              <w:pStyle w:val="63"/>
              <w:spacing w:line="240" w:lineRule="auto"/>
              <w:ind w:firstLine="0" w:firstLineChars="0"/>
              <w:jc w:val="center"/>
              <w:rPr>
                <w:sz w:val="21"/>
                <w:szCs w:val="21"/>
              </w:rPr>
            </w:pPr>
            <w:r>
              <w:rPr>
                <w:sz w:val="21"/>
                <w:szCs w:val="21"/>
              </w:rPr>
              <w:t>57.2</w:t>
            </w:r>
          </w:p>
        </w:tc>
        <w:tc>
          <w:tcPr>
            <w:tcW w:w="893" w:type="dxa"/>
          </w:tcPr>
          <w:p w14:paraId="6ADBCC6B">
            <w:pPr>
              <w:pStyle w:val="63"/>
              <w:spacing w:line="240" w:lineRule="auto"/>
              <w:ind w:firstLine="0" w:firstLineChars="0"/>
              <w:jc w:val="center"/>
              <w:rPr>
                <w:sz w:val="21"/>
                <w:szCs w:val="21"/>
              </w:rPr>
            </w:pPr>
            <w:r>
              <w:rPr>
                <w:sz w:val="21"/>
                <w:szCs w:val="21"/>
              </w:rPr>
              <w:t>57.0</w:t>
            </w:r>
          </w:p>
        </w:tc>
        <w:tc>
          <w:tcPr>
            <w:tcW w:w="893" w:type="dxa"/>
          </w:tcPr>
          <w:p w14:paraId="0D3E2274">
            <w:pPr>
              <w:pStyle w:val="63"/>
              <w:spacing w:line="240" w:lineRule="auto"/>
              <w:ind w:firstLine="0" w:firstLineChars="0"/>
              <w:jc w:val="center"/>
              <w:rPr>
                <w:sz w:val="21"/>
                <w:szCs w:val="21"/>
              </w:rPr>
            </w:pPr>
            <w:r>
              <w:rPr>
                <w:sz w:val="21"/>
                <w:szCs w:val="21"/>
              </w:rPr>
              <w:t>57.6</w:t>
            </w:r>
          </w:p>
        </w:tc>
        <w:tc>
          <w:tcPr>
            <w:tcW w:w="893" w:type="dxa"/>
          </w:tcPr>
          <w:p w14:paraId="23BC801A">
            <w:pPr>
              <w:pStyle w:val="63"/>
              <w:spacing w:line="240" w:lineRule="auto"/>
              <w:ind w:firstLine="0" w:firstLineChars="0"/>
              <w:jc w:val="center"/>
              <w:rPr>
                <w:sz w:val="21"/>
                <w:szCs w:val="21"/>
              </w:rPr>
            </w:pPr>
            <w:r>
              <w:rPr>
                <w:sz w:val="21"/>
                <w:szCs w:val="21"/>
              </w:rPr>
              <w:t>57.6</w:t>
            </w:r>
          </w:p>
        </w:tc>
        <w:tc>
          <w:tcPr>
            <w:tcW w:w="695" w:type="dxa"/>
          </w:tcPr>
          <w:p w14:paraId="118B359F">
            <w:pPr>
              <w:pStyle w:val="63"/>
              <w:spacing w:line="240" w:lineRule="auto"/>
              <w:ind w:firstLine="0" w:firstLineChars="0"/>
              <w:jc w:val="center"/>
              <w:rPr>
                <w:sz w:val="21"/>
                <w:szCs w:val="21"/>
              </w:rPr>
            </w:pPr>
            <w:r>
              <w:rPr>
                <w:sz w:val="21"/>
                <w:szCs w:val="21"/>
              </w:rPr>
              <w:t>0.9</w:t>
            </w:r>
          </w:p>
        </w:tc>
        <w:tc>
          <w:tcPr>
            <w:tcW w:w="695" w:type="dxa"/>
          </w:tcPr>
          <w:p w14:paraId="2494D5E0">
            <w:pPr>
              <w:pStyle w:val="63"/>
              <w:spacing w:line="240" w:lineRule="auto"/>
              <w:ind w:firstLine="0" w:firstLineChars="0"/>
              <w:jc w:val="center"/>
              <w:rPr>
                <w:sz w:val="21"/>
                <w:szCs w:val="21"/>
              </w:rPr>
            </w:pPr>
            <w:r>
              <w:rPr>
                <w:sz w:val="21"/>
                <w:szCs w:val="21"/>
              </w:rPr>
              <w:t>0.32</w:t>
            </w:r>
          </w:p>
        </w:tc>
      </w:tr>
      <w:tr w14:paraId="1328A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630D15DE">
            <w:pPr>
              <w:pStyle w:val="63"/>
              <w:spacing w:line="240" w:lineRule="auto"/>
              <w:ind w:firstLine="0" w:firstLineChars="0"/>
              <w:jc w:val="center"/>
              <w:rPr>
                <w:sz w:val="21"/>
                <w:szCs w:val="18"/>
              </w:rPr>
            </w:pPr>
            <w:r>
              <w:rPr>
                <w:kern w:val="0"/>
                <w:sz w:val="21"/>
                <w:szCs w:val="18"/>
              </w:rPr>
              <w:t>1250</w:t>
            </w:r>
          </w:p>
        </w:tc>
        <w:tc>
          <w:tcPr>
            <w:tcW w:w="893" w:type="dxa"/>
          </w:tcPr>
          <w:p w14:paraId="080CD1C6">
            <w:pPr>
              <w:pStyle w:val="63"/>
              <w:spacing w:line="240" w:lineRule="auto"/>
              <w:ind w:firstLine="0" w:firstLineChars="0"/>
              <w:jc w:val="center"/>
              <w:rPr>
                <w:sz w:val="21"/>
                <w:szCs w:val="21"/>
              </w:rPr>
            </w:pPr>
            <w:r>
              <w:rPr>
                <w:sz w:val="21"/>
                <w:szCs w:val="21"/>
              </w:rPr>
              <w:t>55.9</w:t>
            </w:r>
          </w:p>
        </w:tc>
        <w:tc>
          <w:tcPr>
            <w:tcW w:w="893" w:type="dxa"/>
          </w:tcPr>
          <w:p w14:paraId="6ED85086">
            <w:pPr>
              <w:pStyle w:val="63"/>
              <w:spacing w:line="240" w:lineRule="auto"/>
              <w:ind w:firstLine="0" w:firstLineChars="0"/>
              <w:jc w:val="center"/>
              <w:rPr>
                <w:sz w:val="21"/>
                <w:szCs w:val="21"/>
              </w:rPr>
            </w:pPr>
            <w:r>
              <w:rPr>
                <w:sz w:val="21"/>
                <w:szCs w:val="21"/>
              </w:rPr>
              <w:t>54.0</w:t>
            </w:r>
          </w:p>
        </w:tc>
        <w:tc>
          <w:tcPr>
            <w:tcW w:w="893" w:type="dxa"/>
          </w:tcPr>
          <w:p w14:paraId="7B961C56">
            <w:pPr>
              <w:pStyle w:val="63"/>
              <w:spacing w:line="240" w:lineRule="auto"/>
              <w:ind w:firstLine="0" w:firstLineChars="0"/>
              <w:jc w:val="center"/>
              <w:rPr>
                <w:sz w:val="21"/>
                <w:szCs w:val="21"/>
              </w:rPr>
            </w:pPr>
            <w:r>
              <w:rPr>
                <w:sz w:val="21"/>
                <w:szCs w:val="21"/>
              </w:rPr>
              <w:t>56.3</w:t>
            </w:r>
          </w:p>
        </w:tc>
        <w:tc>
          <w:tcPr>
            <w:tcW w:w="893" w:type="dxa"/>
          </w:tcPr>
          <w:p w14:paraId="48CA1297">
            <w:pPr>
              <w:pStyle w:val="63"/>
              <w:spacing w:line="240" w:lineRule="auto"/>
              <w:ind w:firstLine="0" w:firstLineChars="0"/>
              <w:jc w:val="center"/>
              <w:rPr>
                <w:sz w:val="21"/>
                <w:szCs w:val="21"/>
              </w:rPr>
            </w:pPr>
            <w:r>
              <w:rPr>
                <w:sz w:val="21"/>
                <w:szCs w:val="21"/>
              </w:rPr>
              <w:t>55.0</w:t>
            </w:r>
          </w:p>
        </w:tc>
        <w:tc>
          <w:tcPr>
            <w:tcW w:w="893" w:type="dxa"/>
          </w:tcPr>
          <w:p w14:paraId="0B3814BC">
            <w:pPr>
              <w:pStyle w:val="63"/>
              <w:spacing w:line="240" w:lineRule="auto"/>
              <w:ind w:firstLine="0" w:firstLineChars="0"/>
              <w:jc w:val="center"/>
              <w:rPr>
                <w:sz w:val="21"/>
                <w:szCs w:val="21"/>
              </w:rPr>
            </w:pPr>
            <w:r>
              <w:rPr>
                <w:sz w:val="21"/>
                <w:szCs w:val="21"/>
              </w:rPr>
              <w:t>54.3</w:t>
            </w:r>
          </w:p>
        </w:tc>
        <w:tc>
          <w:tcPr>
            <w:tcW w:w="893" w:type="dxa"/>
          </w:tcPr>
          <w:p w14:paraId="018016AA">
            <w:pPr>
              <w:pStyle w:val="63"/>
              <w:spacing w:line="240" w:lineRule="auto"/>
              <w:ind w:firstLine="0" w:firstLineChars="0"/>
              <w:jc w:val="center"/>
              <w:rPr>
                <w:sz w:val="21"/>
                <w:szCs w:val="21"/>
              </w:rPr>
            </w:pPr>
            <w:r>
              <w:rPr>
                <w:sz w:val="21"/>
                <w:szCs w:val="21"/>
              </w:rPr>
              <w:t>55.4</w:t>
            </w:r>
          </w:p>
        </w:tc>
        <w:tc>
          <w:tcPr>
            <w:tcW w:w="893" w:type="dxa"/>
          </w:tcPr>
          <w:p w14:paraId="29F22B3C">
            <w:pPr>
              <w:pStyle w:val="63"/>
              <w:spacing w:line="240" w:lineRule="auto"/>
              <w:ind w:firstLine="0" w:firstLineChars="0"/>
              <w:jc w:val="center"/>
              <w:rPr>
                <w:sz w:val="21"/>
                <w:szCs w:val="21"/>
              </w:rPr>
            </w:pPr>
            <w:r>
              <w:rPr>
                <w:sz w:val="21"/>
                <w:szCs w:val="21"/>
              </w:rPr>
              <w:t>54.8</w:t>
            </w:r>
          </w:p>
        </w:tc>
        <w:tc>
          <w:tcPr>
            <w:tcW w:w="893" w:type="dxa"/>
          </w:tcPr>
          <w:p w14:paraId="4A716E78">
            <w:pPr>
              <w:pStyle w:val="63"/>
              <w:spacing w:line="240" w:lineRule="auto"/>
              <w:ind w:firstLine="0" w:firstLineChars="0"/>
              <w:jc w:val="center"/>
              <w:rPr>
                <w:sz w:val="21"/>
                <w:szCs w:val="21"/>
              </w:rPr>
            </w:pPr>
            <w:r>
              <w:rPr>
                <w:sz w:val="21"/>
                <w:szCs w:val="21"/>
              </w:rPr>
              <w:t>54.4</w:t>
            </w:r>
          </w:p>
        </w:tc>
        <w:tc>
          <w:tcPr>
            <w:tcW w:w="695" w:type="dxa"/>
          </w:tcPr>
          <w:p w14:paraId="7CA7D67B">
            <w:pPr>
              <w:pStyle w:val="63"/>
              <w:spacing w:line="240" w:lineRule="auto"/>
              <w:ind w:firstLine="0" w:firstLineChars="0"/>
              <w:jc w:val="center"/>
              <w:rPr>
                <w:sz w:val="21"/>
                <w:szCs w:val="21"/>
              </w:rPr>
            </w:pPr>
            <w:r>
              <w:rPr>
                <w:sz w:val="21"/>
                <w:szCs w:val="21"/>
              </w:rPr>
              <w:t>0.8</w:t>
            </w:r>
          </w:p>
        </w:tc>
        <w:tc>
          <w:tcPr>
            <w:tcW w:w="695" w:type="dxa"/>
          </w:tcPr>
          <w:p w14:paraId="4DDC2FF5">
            <w:pPr>
              <w:pStyle w:val="63"/>
              <w:spacing w:line="240" w:lineRule="auto"/>
              <w:ind w:firstLine="0" w:firstLineChars="0"/>
              <w:jc w:val="center"/>
              <w:rPr>
                <w:sz w:val="21"/>
                <w:szCs w:val="21"/>
              </w:rPr>
            </w:pPr>
            <w:r>
              <w:rPr>
                <w:sz w:val="21"/>
                <w:szCs w:val="21"/>
              </w:rPr>
              <w:t>0.28</w:t>
            </w:r>
          </w:p>
        </w:tc>
      </w:tr>
      <w:tr w14:paraId="67E68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1A7B57A0">
            <w:pPr>
              <w:pStyle w:val="63"/>
              <w:spacing w:line="240" w:lineRule="auto"/>
              <w:ind w:firstLine="0" w:firstLineChars="0"/>
              <w:jc w:val="center"/>
              <w:rPr>
                <w:sz w:val="21"/>
                <w:szCs w:val="18"/>
              </w:rPr>
            </w:pPr>
            <w:r>
              <w:rPr>
                <w:kern w:val="0"/>
                <w:sz w:val="21"/>
                <w:szCs w:val="18"/>
              </w:rPr>
              <w:t>1600</w:t>
            </w:r>
          </w:p>
        </w:tc>
        <w:tc>
          <w:tcPr>
            <w:tcW w:w="893" w:type="dxa"/>
          </w:tcPr>
          <w:p w14:paraId="08DD4C5A">
            <w:pPr>
              <w:pStyle w:val="63"/>
              <w:spacing w:line="240" w:lineRule="auto"/>
              <w:ind w:firstLine="0" w:firstLineChars="0"/>
              <w:jc w:val="center"/>
              <w:rPr>
                <w:sz w:val="21"/>
                <w:szCs w:val="21"/>
              </w:rPr>
            </w:pPr>
            <w:r>
              <w:rPr>
                <w:sz w:val="21"/>
                <w:szCs w:val="21"/>
              </w:rPr>
              <w:t>53.9</w:t>
            </w:r>
          </w:p>
        </w:tc>
        <w:tc>
          <w:tcPr>
            <w:tcW w:w="893" w:type="dxa"/>
          </w:tcPr>
          <w:p w14:paraId="2CC6C727">
            <w:pPr>
              <w:pStyle w:val="63"/>
              <w:spacing w:line="240" w:lineRule="auto"/>
              <w:ind w:firstLine="0" w:firstLineChars="0"/>
              <w:jc w:val="center"/>
              <w:rPr>
                <w:sz w:val="21"/>
                <w:szCs w:val="21"/>
              </w:rPr>
            </w:pPr>
            <w:r>
              <w:rPr>
                <w:sz w:val="21"/>
                <w:szCs w:val="21"/>
              </w:rPr>
              <w:t>51.7</w:t>
            </w:r>
          </w:p>
        </w:tc>
        <w:tc>
          <w:tcPr>
            <w:tcW w:w="893" w:type="dxa"/>
          </w:tcPr>
          <w:p w14:paraId="60D2EE52">
            <w:pPr>
              <w:pStyle w:val="63"/>
              <w:spacing w:line="240" w:lineRule="auto"/>
              <w:ind w:firstLine="0" w:firstLineChars="0"/>
              <w:jc w:val="center"/>
              <w:rPr>
                <w:sz w:val="21"/>
                <w:szCs w:val="21"/>
              </w:rPr>
            </w:pPr>
            <w:r>
              <w:rPr>
                <w:sz w:val="21"/>
                <w:szCs w:val="21"/>
              </w:rPr>
              <w:t>52.6</w:t>
            </w:r>
          </w:p>
        </w:tc>
        <w:tc>
          <w:tcPr>
            <w:tcW w:w="893" w:type="dxa"/>
          </w:tcPr>
          <w:p w14:paraId="170DA0C0">
            <w:pPr>
              <w:pStyle w:val="63"/>
              <w:spacing w:line="240" w:lineRule="auto"/>
              <w:ind w:firstLine="0" w:firstLineChars="0"/>
              <w:jc w:val="center"/>
              <w:rPr>
                <w:sz w:val="21"/>
                <w:szCs w:val="21"/>
              </w:rPr>
            </w:pPr>
            <w:r>
              <w:rPr>
                <w:sz w:val="21"/>
                <w:szCs w:val="21"/>
              </w:rPr>
              <w:t>51.8</w:t>
            </w:r>
          </w:p>
        </w:tc>
        <w:tc>
          <w:tcPr>
            <w:tcW w:w="893" w:type="dxa"/>
          </w:tcPr>
          <w:p w14:paraId="00DC9AE1">
            <w:pPr>
              <w:pStyle w:val="63"/>
              <w:spacing w:line="240" w:lineRule="auto"/>
              <w:ind w:firstLine="0" w:firstLineChars="0"/>
              <w:jc w:val="center"/>
              <w:rPr>
                <w:sz w:val="21"/>
                <w:szCs w:val="21"/>
              </w:rPr>
            </w:pPr>
            <w:r>
              <w:rPr>
                <w:sz w:val="21"/>
                <w:szCs w:val="21"/>
              </w:rPr>
              <w:t>52.0</w:t>
            </w:r>
          </w:p>
        </w:tc>
        <w:tc>
          <w:tcPr>
            <w:tcW w:w="893" w:type="dxa"/>
          </w:tcPr>
          <w:p w14:paraId="2A2E54E6">
            <w:pPr>
              <w:pStyle w:val="63"/>
              <w:spacing w:line="240" w:lineRule="auto"/>
              <w:ind w:firstLine="0" w:firstLineChars="0"/>
              <w:jc w:val="center"/>
              <w:rPr>
                <w:sz w:val="21"/>
                <w:szCs w:val="21"/>
              </w:rPr>
            </w:pPr>
            <w:r>
              <w:rPr>
                <w:sz w:val="21"/>
                <w:szCs w:val="21"/>
              </w:rPr>
              <w:t>51.7</w:t>
            </w:r>
          </w:p>
        </w:tc>
        <w:tc>
          <w:tcPr>
            <w:tcW w:w="893" w:type="dxa"/>
          </w:tcPr>
          <w:p w14:paraId="4E7BC702">
            <w:pPr>
              <w:pStyle w:val="63"/>
              <w:spacing w:line="240" w:lineRule="auto"/>
              <w:ind w:firstLine="0" w:firstLineChars="0"/>
              <w:jc w:val="center"/>
              <w:rPr>
                <w:sz w:val="21"/>
                <w:szCs w:val="21"/>
              </w:rPr>
            </w:pPr>
            <w:r>
              <w:rPr>
                <w:sz w:val="21"/>
                <w:szCs w:val="21"/>
              </w:rPr>
              <w:t>51.5</w:t>
            </w:r>
          </w:p>
        </w:tc>
        <w:tc>
          <w:tcPr>
            <w:tcW w:w="893" w:type="dxa"/>
          </w:tcPr>
          <w:p w14:paraId="7D8E79B1">
            <w:pPr>
              <w:pStyle w:val="63"/>
              <w:spacing w:line="240" w:lineRule="auto"/>
              <w:ind w:firstLine="0" w:firstLineChars="0"/>
              <w:jc w:val="center"/>
              <w:rPr>
                <w:sz w:val="21"/>
                <w:szCs w:val="21"/>
              </w:rPr>
            </w:pPr>
            <w:r>
              <w:rPr>
                <w:sz w:val="21"/>
                <w:szCs w:val="21"/>
              </w:rPr>
              <w:t>51.6</w:t>
            </w:r>
          </w:p>
        </w:tc>
        <w:tc>
          <w:tcPr>
            <w:tcW w:w="695" w:type="dxa"/>
          </w:tcPr>
          <w:p w14:paraId="5DDF7B47">
            <w:pPr>
              <w:pStyle w:val="63"/>
              <w:spacing w:line="240" w:lineRule="auto"/>
              <w:ind w:firstLine="0" w:firstLineChars="0"/>
              <w:jc w:val="center"/>
              <w:rPr>
                <w:sz w:val="21"/>
                <w:szCs w:val="21"/>
              </w:rPr>
            </w:pPr>
            <w:r>
              <w:rPr>
                <w:sz w:val="21"/>
                <w:szCs w:val="21"/>
              </w:rPr>
              <w:t>0.8</w:t>
            </w:r>
          </w:p>
        </w:tc>
        <w:tc>
          <w:tcPr>
            <w:tcW w:w="695" w:type="dxa"/>
          </w:tcPr>
          <w:p w14:paraId="618935EC">
            <w:pPr>
              <w:pStyle w:val="63"/>
              <w:spacing w:line="240" w:lineRule="auto"/>
              <w:ind w:firstLine="0" w:firstLineChars="0"/>
              <w:jc w:val="center"/>
              <w:rPr>
                <w:sz w:val="21"/>
                <w:szCs w:val="21"/>
              </w:rPr>
            </w:pPr>
            <w:r>
              <w:rPr>
                <w:sz w:val="21"/>
                <w:szCs w:val="21"/>
              </w:rPr>
              <w:t>0.29</w:t>
            </w:r>
          </w:p>
        </w:tc>
      </w:tr>
      <w:tr w14:paraId="27D1F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11757C84">
            <w:pPr>
              <w:pStyle w:val="63"/>
              <w:spacing w:line="240" w:lineRule="auto"/>
              <w:ind w:firstLine="0" w:firstLineChars="0"/>
              <w:jc w:val="center"/>
              <w:rPr>
                <w:sz w:val="21"/>
                <w:szCs w:val="18"/>
              </w:rPr>
            </w:pPr>
            <w:r>
              <w:rPr>
                <w:kern w:val="0"/>
                <w:sz w:val="21"/>
                <w:szCs w:val="18"/>
              </w:rPr>
              <w:t>2000</w:t>
            </w:r>
          </w:p>
        </w:tc>
        <w:tc>
          <w:tcPr>
            <w:tcW w:w="893" w:type="dxa"/>
          </w:tcPr>
          <w:p w14:paraId="633683E8">
            <w:pPr>
              <w:pStyle w:val="63"/>
              <w:spacing w:line="240" w:lineRule="auto"/>
              <w:ind w:firstLine="0" w:firstLineChars="0"/>
              <w:jc w:val="center"/>
              <w:rPr>
                <w:sz w:val="21"/>
                <w:szCs w:val="21"/>
              </w:rPr>
            </w:pPr>
            <w:r>
              <w:rPr>
                <w:sz w:val="21"/>
                <w:szCs w:val="21"/>
              </w:rPr>
              <w:t>51.6</w:t>
            </w:r>
          </w:p>
        </w:tc>
        <w:tc>
          <w:tcPr>
            <w:tcW w:w="893" w:type="dxa"/>
          </w:tcPr>
          <w:p w14:paraId="3D6F3EB6">
            <w:pPr>
              <w:pStyle w:val="63"/>
              <w:spacing w:line="240" w:lineRule="auto"/>
              <w:ind w:firstLine="0" w:firstLineChars="0"/>
              <w:jc w:val="center"/>
              <w:rPr>
                <w:sz w:val="21"/>
                <w:szCs w:val="21"/>
              </w:rPr>
            </w:pPr>
            <w:r>
              <w:rPr>
                <w:sz w:val="21"/>
                <w:szCs w:val="21"/>
              </w:rPr>
              <w:t>53.2</w:t>
            </w:r>
          </w:p>
        </w:tc>
        <w:tc>
          <w:tcPr>
            <w:tcW w:w="893" w:type="dxa"/>
          </w:tcPr>
          <w:p w14:paraId="6FC5A761">
            <w:pPr>
              <w:pStyle w:val="63"/>
              <w:spacing w:line="240" w:lineRule="auto"/>
              <w:ind w:firstLine="0" w:firstLineChars="0"/>
              <w:jc w:val="center"/>
              <w:rPr>
                <w:sz w:val="21"/>
                <w:szCs w:val="21"/>
              </w:rPr>
            </w:pPr>
            <w:r>
              <w:rPr>
                <w:sz w:val="21"/>
                <w:szCs w:val="21"/>
              </w:rPr>
              <w:t>52.5</w:t>
            </w:r>
          </w:p>
        </w:tc>
        <w:tc>
          <w:tcPr>
            <w:tcW w:w="893" w:type="dxa"/>
          </w:tcPr>
          <w:p w14:paraId="0CB31739">
            <w:pPr>
              <w:pStyle w:val="63"/>
              <w:spacing w:line="240" w:lineRule="auto"/>
              <w:ind w:firstLine="0" w:firstLineChars="0"/>
              <w:jc w:val="center"/>
              <w:rPr>
                <w:sz w:val="21"/>
                <w:szCs w:val="21"/>
              </w:rPr>
            </w:pPr>
            <w:r>
              <w:rPr>
                <w:sz w:val="21"/>
                <w:szCs w:val="21"/>
              </w:rPr>
              <w:t>52.7</w:t>
            </w:r>
          </w:p>
        </w:tc>
        <w:tc>
          <w:tcPr>
            <w:tcW w:w="893" w:type="dxa"/>
          </w:tcPr>
          <w:p w14:paraId="4D8E973C">
            <w:pPr>
              <w:pStyle w:val="63"/>
              <w:spacing w:line="240" w:lineRule="auto"/>
              <w:ind w:firstLine="0" w:firstLineChars="0"/>
              <w:jc w:val="center"/>
              <w:rPr>
                <w:sz w:val="21"/>
                <w:szCs w:val="21"/>
              </w:rPr>
            </w:pPr>
            <w:r>
              <w:rPr>
                <w:sz w:val="21"/>
                <w:szCs w:val="21"/>
              </w:rPr>
              <w:t>52.0</w:t>
            </w:r>
          </w:p>
        </w:tc>
        <w:tc>
          <w:tcPr>
            <w:tcW w:w="893" w:type="dxa"/>
          </w:tcPr>
          <w:p w14:paraId="724CB51B">
            <w:pPr>
              <w:pStyle w:val="63"/>
              <w:spacing w:line="240" w:lineRule="auto"/>
              <w:ind w:firstLine="0" w:firstLineChars="0"/>
              <w:jc w:val="center"/>
              <w:rPr>
                <w:sz w:val="21"/>
                <w:szCs w:val="21"/>
              </w:rPr>
            </w:pPr>
            <w:r>
              <w:rPr>
                <w:sz w:val="21"/>
                <w:szCs w:val="21"/>
              </w:rPr>
              <w:t>51.6</w:t>
            </w:r>
          </w:p>
        </w:tc>
        <w:tc>
          <w:tcPr>
            <w:tcW w:w="893" w:type="dxa"/>
          </w:tcPr>
          <w:p w14:paraId="03CCC49F">
            <w:pPr>
              <w:pStyle w:val="63"/>
              <w:spacing w:line="240" w:lineRule="auto"/>
              <w:ind w:firstLine="0" w:firstLineChars="0"/>
              <w:jc w:val="center"/>
              <w:rPr>
                <w:sz w:val="21"/>
                <w:szCs w:val="21"/>
              </w:rPr>
            </w:pPr>
            <w:r>
              <w:rPr>
                <w:sz w:val="21"/>
                <w:szCs w:val="21"/>
              </w:rPr>
              <w:t>53.1</w:t>
            </w:r>
          </w:p>
        </w:tc>
        <w:tc>
          <w:tcPr>
            <w:tcW w:w="893" w:type="dxa"/>
          </w:tcPr>
          <w:p w14:paraId="619FCC52">
            <w:pPr>
              <w:pStyle w:val="63"/>
              <w:spacing w:line="240" w:lineRule="auto"/>
              <w:ind w:firstLine="0" w:firstLineChars="0"/>
              <w:jc w:val="center"/>
              <w:rPr>
                <w:sz w:val="21"/>
                <w:szCs w:val="21"/>
              </w:rPr>
            </w:pPr>
            <w:r>
              <w:rPr>
                <w:sz w:val="21"/>
                <w:szCs w:val="21"/>
              </w:rPr>
              <w:t>51.7</w:t>
            </w:r>
          </w:p>
        </w:tc>
        <w:tc>
          <w:tcPr>
            <w:tcW w:w="695" w:type="dxa"/>
          </w:tcPr>
          <w:p w14:paraId="4A6E4758">
            <w:pPr>
              <w:pStyle w:val="63"/>
              <w:spacing w:line="240" w:lineRule="auto"/>
              <w:ind w:firstLine="0" w:firstLineChars="0"/>
              <w:jc w:val="center"/>
              <w:rPr>
                <w:sz w:val="21"/>
                <w:szCs w:val="21"/>
              </w:rPr>
            </w:pPr>
            <w:r>
              <w:rPr>
                <w:sz w:val="21"/>
                <w:szCs w:val="21"/>
              </w:rPr>
              <w:t>0.7</w:t>
            </w:r>
          </w:p>
        </w:tc>
        <w:tc>
          <w:tcPr>
            <w:tcW w:w="695" w:type="dxa"/>
          </w:tcPr>
          <w:p w14:paraId="03B3E7D8">
            <w:pPr>
              <w:pStyle w:val="63"/>
              <w:spacing w:line="240" w:lineRule="auto"/>
              <w:ind w:firstLine="0" w:firstLineChars="0"/>
              <w:jc w:val="center"/>
              <w:rPr>
                <w:sz w:val="21"/>
                <w:szCs w:val="21"/>
              </w:rPr>
            </w:pPr>
            <w:r>
              <w:rPr>
                <w:sz w:val="21"/>
                <w:szCs w:val="21"/>
              </w:rPr>
              <w:t>0.24</w:t>
            </w:r>
          </w:p>
        </w:tc>
      </w:tr>
      <w:tr w14:paraId="1786B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3D7186A1">
            <w:pPr>
              <w:pStyle w:val="63"/>
              <w:spacing w:line="240" w:lineRule="auto"/>
              <w:ind w:firstLine="0" w:firstLineChars="0"/>
              <w:jc w:val="center"/>
              <w:rPr>
                <w:sz w:val="21"/>
                <w:szCs w:val="18"/>
              </w:rPr>
            </w:pPr>
            <w:r>
              <w:rPr>
                <w:kern w:val="0"/>
                <w:sz w:val="21"/>
                <w:szCs w:val="18"/>
              </w:rPr>
              <w:t>2500</w:t>
            </w:r>
          </w:p>
        </w:tc>
        <w:tc>
          <w:tcPr>
            <w:tcW w:w="893" w:type="dxa"/>
          </w:tcPr>
          <w:p w14:paraId="4746AF25">
            <w:pPr>
              <w:pStyle w:val="63"/>
              <w:spacing w:line="240" w:lineRule="auto"/>
              <w:ind w:firstLine="0" w:firstLineChars="0"/>
              <w:jc w:val="center"/>
              <w:rPr>
                <w:sz w:val="21"/>
                <w:szCs w:val="21"/>
              </w:rPr>
            </w:pPr>
            <w:r>
              <w:rPr>
                <w:sz w:val="21"/>
                <w:szCs w:val="21"/>
              </w:rPr>
              <w:t>51.0</w:t>
            </w:r>
          </w:p>
        </w:tc>
        <w:tc>
          <w:tcPr>
            <w:tcW w:w="893" w:type="dxa"/>
          </w:tcPr>
          <w:p w14:paraId="7DBA046A">
            <w:pPr>
              <w:pStyle w:val="63"/>
              <w:spacing w:line="240" w:lineRule="auto"/>
              <w:ind w:firstLine="0" w:firstLineChars="0"/>
              <w:jc w:val="center"/>
              <w:rPr>
                <w:sz w:val="21"/>
                <w:szCs w:val="21"/>
              </w:rPr>
            </w:pPr>
            <w:r>
              <w:rPr>
                <w:sz w:val="21"/>
                <w:szCs w:val="21"/>
              </w:rPr>
              <w:t>51.3</w:t>
            </w:r>
          </w:p>
        </w:tc>
        <w:tc>
          <w:tcPr>
            <w:tcW w:w="893" w:type="dxa"/>
          </w:tcPr>
          <w:p w14:paraId="64485EE0">
            <w:pPr>
              <w:pStyle w:val="63"/>
              <w:spacing w:line="240" w:lineRule="auto"/>
              <w:ind w:firstLine="0" w:firstLineChars="0"/>
              <w:jc w:val="center"/>
              <w:rPr>
                <w:sz w:val="21"/>
                <w:szCs w:val="21"/>
              </w:rPr>
            </w:pPr>
            <w:r>
              <w:rPr>
                <w:sz w:val="21"/>
                <w:szCs w:val="21"/>
              </w:rPr>
              <w:t>50.9</w:t>
            </w:r>
          </w:p>
        </w:tc>
        <w:tc>
          <w:tcPr>
            <w:tcW w:w="893" w:type="dxa"/>
          </w:tcPr>
          <w:p w14:paraId="476CA7B1">
            <w:pPr>
              <w:pStyle w:val="63"/>
              <w:spacing w:line="240" w:lineRule="auto"/>
              <w:ind w:firstLine="0" w:firstLineChars="0"/>
              <w:jc w:val="center"/>
              <w:rPr>
                <w:sz w:val="21"/>
                <w:szCs w:val="21"/>
              </w:rPr>
            </w:pPr>
            <w:r>
              <w:rPr>
                <w:sz w:val="21"/>
                <w:szCs w:val="21"/>
              </w:rPr>
              <w:t>51.0</w:t>
            </w:r>
          </w:p>
        </w:tc>
        <w:tc>
          <w:tcPr>
            <w:tcW w:w="893" w:type="dxa"/>
          </w:tcPr>
          <w:p w14:paraId="2E6A15DB">
            <w:pPr>
              <w:pStyle w:val="63"/>
              <w:spacing w:line="240" w:lineRule="auto"/>
              <w:ind w:firstLine="0" w:firstLineChars="0"/>
              <w:jc w:val="center"/>
              <w:rPr>
                <w:sz w:val="21"/>
                <w:szCs w:val="21"/>
              </w:rPr>
            </w:pPr>
            <w:r>
              <w:rPr>
                <w:sz w:val="21"/>
                <w:szCs w:val="21"/>
              </w:rPr>
              <w:t>52.2</w:t>
            </w:r>
          </w:p>
        </w:tc>
        <w:tc>
          <w:tcPr>
            <w:tcW w:w="893" w:type="dxa"/>
          </w:tcPr>
          <w:p w14:paraId="36D54342">
            <w:pPr>
              <w:pStyle w:val="63"/>
              <w:spacing w:line="240" w:lineRule="auto"/>
              <w:ind w:firstLine="0" w:firstLineChars="0"/>
              <w:jc w:val="center"/>
              <w:rPr>
                <w:sz w:val="21"/>
                <w:szCs w:val="21"/>
              </w:rPr>
            </w:pPr>
            <w:r>
              <w:rPr>
                <w:sz w:val="21"/>
                <w:szCs w:val="21"/>
              </w:rPr>
              <w:t>50.7</w:t>
            </w:r>
          </w:p>
        </w:tc>
        <w:tc>
          <w:tcPr>
            <w:tcW w:w="893" w:type="dxa"/>
          </w:tcPr>
          <w:p w14:paraId="2E820681">
            <w:pPr>
              <w:pStyle w:val="63"/>
              <w:spacing w:line="240" w:lineRule="auto"/>
              <w:ind w:firstLine="0" w:firstLineChars="0"/>
              <w:jc w:val="center"/>
              <w:rPr>
                <w:sz w:val="21"/>
                <w:szCs w:val="21"/>
              </w:rPr>
            </w:pPr>
            <w:r>
              <w:rPr>
                <w:sz w:val="21"/>
                <w:szCs w:val="21"/>
              </w:rPr>
              <w:t>52.4</w:t>
            </w:r>
          </w:p>
        </w:tc>
        <w:tc>
          <w:tcPr>
            <w:tcW w:w="893" w:type="dxa"/>
          </w:tcPr>
          <w:p w14:paraId="4D40604C">
            <w:pPr>
              <w:pStyle w:val="63"/>
              <w:spacing w:line="240" w:lineRule="auto"/>
              <w:ind w:firstLine="0" w:firstLineChars="0"/>
              <w:jc w:val="center"/>
              <w:rPr>
                <w:sz w:val="21"/>
                <w:szCs w:val="21"/>
              </w:rPr>
            </w:pPr>
            <w:r>
              <w:rPr>
                <w:sz w:val="21"/>
                <w:szCs w:val="21"/>
              </w:rPr>
              <w:t>51.7</w:t>
            </w:r>
          </w:p>
        </w:tc>
        <w:tc>
          <w:tcPr>
            <w:tcW w:w="695" w:type="dxa"/>
          </w:tcPr>
          <w:p w14:paraId="39BB30DB">
            <w:pPr>
              <w:pStyle w:val="63"/>
              <w:spacing w:line="240" w:lineRule="auto"/>
              <w:ind w:firstLine="0" w:firstLineChars="0"/>
              <w:jc w:val="center"/>
              <w:rPr>
                <w:sz w:val="21"/>
                <w:szCs w:val="21"/>
              </w:rPr>
            </w:pPr>
            <w:r>
              <w:rPr>
                <w:sz w:val="21"/>
                <w:szCs w:val="21"/>
              </w:rPr>
              <w:t>0.6</w:t>
            </w:r>
          </w:p>
        </w:tc>
        <w:tc>
          <w:tcPr>
            <w:tcW w:w="695" w:type="dxa"/>
          </w:tcPr>
          <w:p w14:paraId="5D4E14F4">
            <w:pPr>
              <w:pStyle w:val="63"/>
              <w:spacing w:line="240" w:lineRule="auto"/>
              <w:ind w:firstLine="0" w:firstLineChars="0"/>
              <w:jc w:val="center"/>
              <w:rPr>
                <w:sz w:val="21"/>
                <w:szCs w:val="21"/>
              </w:rPr>
            </w:pPr>
            <w:r>
              <w:rPr>
                <w:sz w:val="21"/>
                <w:szCs w:val="21"/>
              </w:rPr>
              <w:t>0.22</w:t>
            </w:r>
          </w:p>
        </w:tc>
      </w:tr>
      <w:tr w14:paraId="05DDB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25D4CB5D">
            <w:pPr>
              <w:pStyle w:val="63"/>
              <w:spacing w:line="240" w:lineRule="auto"/>
              <w:ind w:firstLine="0" w:firstLineChars="0"/>
              <w:jc w:val="center"/>
              <w:rPr>
                <w:sz w:val="21"/>
                <w:szCs w:val="18"/>
              </w:rPr>
            </w:pPr>
            <w:r>
              <w:rPr>
                <w:kern w:val="0"/>
                <w:sz w:val="21"/>
                <w:szCs w:val="18"/>
              </w:rPr>
              <w:t>3150</w:t>
            </w:r>
          </w:p>
        </w:tc>
        <w:tc>
          <w:tcPr>
            <w:tcW w:w="893" w:type="dxa"/>
          </w:tcPr>
          <w:p w14:paraId="6F8A8327">
            <w:pPr>
              <w:pStyle w:val="63"/>
              <w:spacing w:line="240" w:lineRule="auto"/>
              <w:ind w:firstLine="0" w:firstLineChars="0"/>
              <w:jc w:val="center"/>
              <w:rPr>
                <w:sz w:val="21"/>
                <w:szCs w:val="21"/>
              </w:rPr>
            </w:pPr>
            <w:r>
              <w:rPr>
                <w:sz w:val="21"/>
                <w:szCs w:val="21"/>
              </w:rPr>
              <w:t>55.7</w:t>
            </w:r>
          </w:p>
        </w:tc>
        <w:tc>
          <w:tcPr>
            <w:tcW w:w="893" w:type="dxa"/>
          </w:tcPr>
          <w:p w14:paraId="2FD65D3D">
            <w:pPr>
              <w:pStyle w:val="63"/>
              <w:spacing w:line="240" w:lineRule="auto"/>
              <w:ind w:firstLine="0" w:firstLineChars="0"/>
              <w:jc w:val="center"/>
              <w:rPr>
                <w:sz w:val="21"/>
                <w:szCs w:val="21"/>
              </w:rPr>
            </w:pPr>
            <w:r>
              <w:rPr>
                <w:sz w:val="21"/>
                <w:szCs w:val="21"/>
              </w:rPr>
              <w:t>54.2</w:t>
            </w:r>
          </w:p>
        </w:tc>
        <w:tc>
          <w:tcPr>
            <w:tcW w:w="893" w:type="dxa"/>
          </w:tcPr>
          <w:p w14:paraId="4DC3C08E">
            <w:pPr>
              <w:pStyle w:val="63"/>
              <w:spacing w:line="240" w:lineRule="auto"/>
              <w:ind w:firstLine="0" w:firstLineChars="0"/>
              <w:jc w:val="center"/>
              <w:rPr>
                <w:sz w:val="21"/>
                <w:szCs w:val="21"/>
              </w:rPr>
            </w:pPr>
            <w:r>
              <w:rPr>
                <w:sz w:val="21"/>
                <w:szCs w:val="21"/>
              </w:rPr>
              <w:t>54.4</w:t>
            </w:r>
          </w:p>
        </w:tc>
        <w:tc>
          <w:tcPr>
            <w:tcW w:w="893" w:type="dxa"/>
          </w:tcPr>
          <w:p w14:paraId="69BEE7CB">
            <w:pPr>
              <w:pStyle w:val="63"/>
              <w:spacing w:line="240" w:lineRule="auto"/>
              <w:ind w:firstLine="0" w:firstLineChars="0"/>
              <w:jc w:val="center"/>
              <w:rPr>
                <w:sz w:val="21"/>
                <w:szCs w:val="21"/>
              </w:rPr>
            </w:pPr>
            <w:r>
              <w:rPr>
                <w:sz w:val="21"/>
                <w:szCs w:val="21"/>
              </w:rPr>
              <w:t>55.1</w:t>
            </w:r>
          </w:p>
        </w:tc>
        <w:tc>
          <w:tcPr>
            <w:tcW w:w="893" w:type="dxa"/>
          </w:tcPr>
          <w:p w14:paraId="5BCF3947">
            <w:pPr>
              <w:pStyle w:val="63"/>
              <w:spacing w:line="240" w:lineRule="auto"/>
              <w:ind w:firstLine="0" w:firstLineChars="0"/>
              <w:jc w:val="center"/>
              <w:rPr>
                <w:sz w:val="21"/>
                <w:szCs w:val="21"/>
              </w:rPr>
            </w:pPr>
            <w:r>
              <w:rPr>
                <w:sz w:val="21"/>
                <w:szCs w:val="21"/>
              </w:rPr>
              <w:t>54.4</w:t>
            </w:r>
          </w:p>
        </w:tc>
        <w:tc>
          <w:tcPr>
            <w:tcW w:w="893" w:type="dxa"/>
          </w:tcPr>
          <w:p w14:paraId="37D52D2A">
            <w:pPr>
              <w:pStyle w:val="63"/>
              <w:spacing w:line="240" w:lineRule="auto"/>
              <w:ind w:firstLine="0" w:firstLineChars="0"/>
              <w:jc w:val="center"/>
              <w:rPr>
                <w:sz w:val="21"/>
                <w:szCs w:val="21"/>
              </w:rPr>
            </w:pPr>
            <w:r>
              <w:rPr>
                <w:sz w:val="21"/>
                <w:szCs w:val="21"/>
              </w:rPr>
              <w:t>54.5</w:t>
            </w:r>
          </w:p>
        </w:tc>
        <w:tc>
          <w:tcPr>
            <w:tcW w:w="893" w:type="dxa"/>
          </w:tcPr>
          <w:p w14:paraId="08326BF8">
            <w:pPr>
              <w:pStyle w:val="63"/>
              <w:spacing w:line="240" w:lineRule="auto"/>
              <w:ind w:firstLine="0" w:firstLineChars="0"/>
              <w:jc w:val="center"/>
              <w:rPr>
                <w:sz w:val="21"/>
                <w:szCs w:val="21"/>
              </w:rPr>
            </w:pPr>
            <w:r>
              <w:rPr>
                <w:sz w:val="21"/>
                <w:szCs w:val="21"/>
              </w:rPr>
              <w:t>53.0</w:t>
            </w:r>
          </w:p>
        </w:tc>
        <w:tc>
          <w:tcPr>
            <w:tcW w:w="893" w:type="dxa"/>
          </w:tcPr>
          <w:p w14:paraId="1164B60E">
            <w:pPr>
              <w:pStyle w:val="63"/>
              <w:spacing w:line="240" w:lineRule="auto"/>
              <w:ind w:firstLine="0" w:firstLineChars="0"/>
              <w:jc w:val="center"/>
              <w:rPr>
                <w:sz w:val="21"/>
                <w:szCs w:val="21"/>
              </w:rPr>
            </w:pPr>
            <w:r>
              <w:rPr>
                <w:sz w:val="21"/>
                <w:szCs w:val="21"/>
              </w:rPr>
              <w:t>54.7</w:t>
            </w:r>
          </w:p>
        </w:tc>
        <w:tc>
          <w:tcPr>
            <w:tcW w:w="695" w:type="dxa"/>
          </w:tcPr>
          <w:p w14:paraId="5FA8E9F6">
            <w:pPr>
              <w:pStyle w:val="63"/>
              <w:spacing w:line="240" w:lineRule="auto"/>
              <w:ind w:firstLine="0" w:firstLineChars="0"/>
              <w:jc w:val="center"/>
              <w:rPr>
                <w:sz w:val="21"/>
                <w:szCs w:val="21"/>
              </w:rPr>
            </w:pPr>
            <w:r>
              <w:rPr>
                <w:sz w:val="21"/>
                <w:szCs w:val="21"/>
              </w:rPr>
              <w:t>0.8</w:t>
            </w:r>
          </w:p>
        </w:tc>
        <w:tc>
          <w:tcPr>
            <w:tcW w:w="695" w:type="dxa"/>
          </w:tcPr>
          <w:p w14:paraId="6E246904">
            <w:pPr>
              <w:pStyle w:val="63"/>
              <w:spacing w:line="240" w:lineRule="auto"/>
              <w:ind w:firstLine="0" w:firstLineChars="0"/>
              <w:jc w:val="center"/>
              <w:rPr>
                <w:sz w:val="21"/>
                <w:szCs w:val="21"/>
              </w:rPr>
            </w:pPr>
            <w:r>
              <w:rPr>
                <w:sz w:val="21"/>
                <w:szCs w:val="21"/>
              </w:rPr>
              <w:t>0.28</w:t>
            </w:r>
          </w:p>
        </w:tc>
      </w:tr>
      <w:tr w14:paraId="31EBE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2607CEDE">
            <w:pPr>
              <w:pStyle w:val="63"/>
              <w:spacing w:line="240" w:lineRule="auto"/>
              <w:ind w:firstLine="0" w:firstLineChars="0"/>
              <w:jc w:val="center"/>
              <w:rPr>
                <w:sz w:val="21"/>
                <w:szCs w:val="18"/>
              </w:rPr>
            </w:pPr>
            <w:r>
              <w:rPr>
                <w:kern w:val="0"/>
                <w:sz w:val="21"/>
                <w:szCs w:val="18"/>
              </w:rPr>
              <w:t>4000</w:t>
            </w:r>
          </w:p>
        </w:tc>
        <w:tc>
          <w:tcPr>
            <w:tcW w:w="893" w:type="dxa"/>
          </w:tcPr>
          <w:p w14:paraId="1497E32F">
            <w:pPr>
              <w:pStyle w:val="63"/>
              <w:spacing w:line="240" w:lineRule="auto"/>
              <w:ind w:firstLine="0" w:firstLineChars="0"/>
              <w:jc w:val="center"/>
              <w:rPr>
                <w:sz w:val="21"/>
                <w:szCs w:val="21"/>
              </w:rPr>
            </w:pPr>
            <w:r>
              <w:rPr>
                <w:sz w:val="21"/>
                <w:szCs w:val="21"/>
              </w:rPr>
              <w:t>53.2</w:t>
            </w:r>
          </w:p>
        </w:tc>
        <w:tc>
          <w:tcPr>
            <w:tcW w:w="893" w:type="dxa"/>
          </w:tcPr>
          <w:p w14:paraId="21F32EF5">
            <w:pPr>
              <w:pStyle w:val="63"/>
              <w:spacing w:line="240" w:lineRule="auto"/>
              <w:ind w:firstLine="0" w:firstLineChars="0"/>
              <w:jc w:val="center"/>
              <w:rPr>
                <w:sz w:val="21"/>
                <w:szCs w:val="21"/>
              </w:rPr>
            </w:pPr>
            <w:r>
              <w:rPr>
                <w:sz w:val="21"/>
                <w:szCs w:val="21"/>
              </w:rPr>
              <w:t>50.6</w:t>
            </w:r>
          </w:p>
        </w:tc>
        <w:tc>
          <w:tcPr>
            <w:tcW w:w="893" w:type="dxa"/>
          </w:tcPr>
          <w:p w14:paraId="095D3F47">
            <w:pPr>
              <w:pStyle w:val="63"/>
              <w:spacing w:line="240" w:lineRule="auto"/>
              <w:ind w:firstLine="0" w:firstLineChars="0"/>
              <w:jc w:val="center"/>
              <w:rPr>
                <w:sz w:val="21"/>
                <w:szCs w:val="21"/>
              </w:rPr>
            </w:pPr>
            <w:r>
              <w:rPr>
                <w:sz w:val="21"/>
                <w:szCs w:val="21"/>
              </w:rPr>
              <w:t>52.0</w:t>
            </w:r>
          </w:p>
        </w:tc>
        <w:tc>
          <w:tcPr>
            <w:tcW w:w="893" w:type="dxa"/>
          </w:tcPr>
          <w:p w14:paraId="59514B34">
            <w:pPr>
              <w:pStyle w:val="63"/>
              <w:spacing w:line="240" w:lineRule="auto"/>
              <w:ind w:firstLine="0" w:firstLineChars="0"/>
              <w:jc w:val="center"/>
              <w:rPr>
                <w:sz w:val="21"/>
                <w:szCs w:val="21"/>
              </w:rPr>
            </w:pPr>
            <w:r>
              <w:rPr>
                <w:sz w:val="21"/>
                <w:szCs w:val="21"/>
              </w:rPr>
              <w:t>51.6</w:t>
            </w:r>
          </w:p>
        </w:tc>
        <w:tc>
          <w:tcPr>
            <w:tcW w:w="893" w:type="dxa"/>
          </w:tcPr>
          <w:p w14:paraId="1EBEDD83">
            <w:pPr>
              <w:pStyle w:val="63"/>
              <w:spacing w:line="240" w:lineRule="auto"/>
              <w:ind w:firstLine="0" w:firstLineChars="0"/>
              <w:jc w:val="center"/>
              <w:rPr>
                <w:sz w:val="21"/>
                <w:szCs w:val="21"/>
              </w:rPr>
            </w:pPr>
            <w:r>
              <w:rPr>
                <w:sz w:val="21"/>
                <w:szCs w:val="21"/>
              </w:rPr>
              <w:t>51.9</w:t>
            </w:r>
          </w:p>
        </w:tc>
        <w:tc>
          <w:tcPr>
            <w:tcW w:w="893" w:type="dxa"/>
          </w:tcPr>
          <w:p w14:paraId="1B44B958">
            <w:pPr>
              <w:pStyle w:val="63"/>
              <w:spacing w:line="240" w:lineRule="auto"/>
              <w:ind w:firstLine="0" w:firstLineChars="0"/>
              <w:jc w:val="center"/>
              <w:rPr>
                <w:sz w:val="21"/>
                <w:szCs w:val="21"/>
              </w:rPr>
            </w:pPr>
            <w:r>
              <w:rPr>
                <w:sz w:val="21"/>
                <w:szCs w:val="21"/>
              </w:rPr>
              <w:t>53.4</w:t>
            </w:r>
          </w:p>
        </w:tc>
        <w:tc>
          <w:tcPr>
            <w:tcW w:w="893" w:type="dxa"/>
          </w:tcPr>
          <w:p w14:paraId="368714C6">
            <w:pPr>
              <w:pStyle w:val="63"/>
              <w:spacing w:line="240" w:lineRule="auto"/>
              <w:ind w:firstLine="0" w:firstLineChars="0"/>
              <w:jc w:val="center"/>
              <w:rPr>
                <w:sz w:val="21"/>
                <w:szCs w:val="21"/>
              </w:rPr>
            </w:pPr>
            <w:r>
              <w:rPr>
                <w:sz w:val="21"/>
                <w:szCs w:val="21"/>
              </w:rPr>
              <w:t>51.5</w:t>
            </w:r>
          </w:p>
        </w:tc>
        <w:tc>
          <w:tcPr>
            <w:tcW w:w="893" w:type="dxa"/>
          </w:tcPr>
          <w:p w14:paraId="7734C56B">
            <w:pPr>
              <w:pStyle w:val="63"/>
              <w:spacing w:line="240" w:lineRule="auto"/>
              <w:ind w:firstLine="0" w:firstLineChars="0"/>
              <w:jc w:val="center"/>
              <w:rPr>
                <w:sz w:val="21"/>
                <w:szCs w:val="21"/>
              </w:rPr>
            </w:pPr>
            <w:r>
              <w:rPr>
                <w:sz w:val="21"/>
                <w:szCs w:val="21"/>
              </w:rPr>
              <w:t>52.8</w:t>
            </w:r>
          </w:p>
        </w:tc>
        <w:tc>
          <w:tcPr>
            <w:tcW w:w="695" w:type="dxa"/>
          </w:tcPr>
          <w:p w14:paraId="3E86A3BD">
            <w:pPr>
              <w:pStyle w:val="63"/>
              <w:spacing w:line="240" w:lineRule="auto"/>
              <w:ind w:firstLine="0" w:firstLineChars="0"/>
              <w:jc w:val="center"/>
              <w:rPr>
                <w:sz w:val="21"/>
                <w:szCs w:val="21"/>
              </w:rPr>
            </w:pPr>
            <w:r>
              <w:rPr>
                <w:sz w:val="21"/>
                <w:szCs w:val="21"/>
              </w:rPr>
              <w:t>1.0</w:t>
            </w:r>
          </w:p>
        </w:tc>
        <w:tc>
          <w:tcPr>
            <w:tcW w:w="695" w:type="dxa"/>
          </w:tcPr>
          <w:p w14:paraId="4E446BE4">
            <w:pPr>
              <w:pStyle w:val="63"/>
              <w:spacing w:line="240" w:lineRule="auto"/>
              <w:ind w:firstLine="0" w:firstLineChars="0"/>
              <w:jc w:val="center"/>
              <w:rPr>
                <w:sz w:val="21"/>
                <w:szCs w:val="21"/>
              </w:rPr>
            </w:pPr>
            <w:r>
              <w:rPr>
                <w:sz w:val="21"/>
                <w:szCs w:val="21"/>
              </w:rPr>
              <w:t>0.34</w:t>
            </w:r>
          </w:p>
        </w:tc>
      </w:tr>
      <w:tr w14:paraId="05B94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424A8021">
            <w:pPr>
              <w:pStyle w:val="63"/>
              <w:spacing w:line="240" w:lineRule="auto"/>
              <w:ind w:firstLine="0" w:firstLineChars="0"/>
              <w:jc w:val="center"/>
              <w:rPr>
                <w:sz w:val="21"/>
                <w:szCs w:val="18"/>
              </w:rPr>
            </w:pPr>
            <w:r>
              <w:rPr>
                <w:kern w:val="0"/>
                <w:sz w:val="21"/>
                <w:szCs w:val="18"/>
              </w:rPr>
              <w:t>5000</w:t>
            </w:r>
          </w:p>
        </w:tc>
        <w:tc>
          <w:tcPr>
            <w:tcW w:w="893" w:type="dxa"/>
          </w:tcPr>
          <w:p w14:paraId="3F2243CF">
            <w:pPr>
              <w:pStyle w:val="63"/>
              <w:spacing w:line="240" w:lineRule="auto"/>
              <w:ind w:firstLine="0" w:firstLineChars="0"/>
              <w:jc w:val="center"/>
              <w:rPr>
                <w:sz w:val="21"/>
                <w:szCs w:val="21"/>
              </w:rPr>
            </w:pPr>
            <w:r>
              <w:rPr>
                <w:sz w:val="21"/>
                <w:szCs w:val="21"/>
              </w:rPr>
              <w:t>52.6</w:t>
            </w:r>
          </w:p>
        </w:tc>
        <w:tc>
          <w:tcPr>
            <w:tcW w:w="893" w:type="dxa"/>
          </w:tcPr>
          <w:p w14:paraId="20904387">
            <w:pPr>
              <w:pStyle w:val="63"/>
              <w:spacing w:line="240" w:lineRule="auto"/>
              <w:ind w:firstLine="0" w:firstLineChars="0"/>
              <w:jc w:val="center"/>
              <w:rPr>
                <w:sz w:val="21"/>
                <w:szCs w:val="21"/>
              </w:rPr>
            </w:pPr>
            <w:r>
              <w:rPr>
                <w:sz w:val="21"/>
                <w:szCs w:val="21"/>
              </w:rPr>
              <w:t>53.6</w:t>
            </w:r>
          </w:p>
        </w:tc>
        <w:tc>
          <w:tcPr>
            <w:tcW w:w="893" w:type="dxa"/>
          </w:tcPr>
          <w:p w14:paraId="597B5806">
            <w:pPr>
              <w:pStyle w:val="63"/>
              <w:spacing w:line="240" w:lineRule="auto"/>
              <w:ind w:firstLine="0" w:firstLineChars="0"/>
              <w:jc w:val="center"/>
              <w:rPr>
                <w:sz w:val="21"/>
                <w:szCs w:val="21"/>
              </w:rPr>
            </w:pPr>
            <w:r>
              <w:rPr>
                <w:sz w:val="21"/>
                <w:szCs w:val="21"/>
              </w:rPr>
              <w:t>52.7</w:t>
            </w:r>
          </w:p>
        </w:tc>
        <w:tc>
          <w:tcPr>
            <w:tcW w:w="893" w:type="dxa"/>
          </w:tcPr>
          <w:p w14:paraId="6BECD10B">
            <w:pPr>
              <w:pStyle w:val="63"/>
              <w:spacing w:line="240" w:lineRule="auto"/>
              <w:ind w:firstLine="0" w:firstLineChars="0"/>
              <w:jc w:val="center"/>
              <w:rPr>
                <w:sz w:val="21"/>
                <w:szCs w:val="21"/>
              </w:rPr>
            </w:pPr>
            <w:r>
              <w:rPr>
                <w:sz w:val="21"/>
                <w:szCs w:val="21"/>
              </w:rPr>
              <w:t>53.6</w:t>
            </w:r>
          </w:p>
        </w:tc>
        <w:tc>
          <w:tcPr>
            <w:tcW w:w="893" w:type="dxa"/>
          </w:tcPr>
          <w:p w14:paraId="771C7E4A">
            <w:pPr>
              <w:pStyle w:val="63"/>
              <w:spacing w:line="240" w:lineRule="auto"/>
              <w:ind w:firstLine="0" w:firstLineChars="0"/>
              <w:jc w:val="center"/>
              <w:rPr>
                <w:sz w:val="21"/>
                <w:szCs w:val="21"/>
              </w:rPr>
            </w:pPr>
            <w:r>
              <w:rPr>
                <w:sz w:val="21"/>
                <w:szCs w:val="21"/>
              </w:rPr>
              <w:t>53.8</w:t>
            </w:r>
          </w:p>
        </w:tc>
        <w:tc>
          <w:tcPr>
            <w:tcW w:w="893" w:type="dxa"/>
          </w:tcPr>
          <w:p w14:paraId="1B25E149">
            <w:pPr>
              <w:pStyle w:val="63"/>
              <w:spacing w:line="240" w:lineRule="auto"/>
              <w:ind w:firstLine="0" w:firstLineChars="0"/>
              <w:jc w:val="center"/>
              <w:rPr>
                <w:sz w:val="21"/>
                <w:szCs w:val="21"/>
              </w:rPr>
            </w:pPr>
            <w:r>
              <w:rPr>
                <w:sz w:val="21"/>
                <w:szCs w:val="21"/>
              </w:rPr>
              <w:t>52.5</w:t>
            </w:r>
          </w:p>
        </w:tc>
        <w:tc>
          <w:tcPr>
            <w:tcW w:w="893" w:type="dxa"/>
          </w:tcPr>
          <w:p w14:paraId="17405F80">
            <w:pPr>
              <w:pStyle w:val="63"/>
              <w:spacing w:line="240" w:lineRule="auto"/>
              <w:ind w:firstLine="0" w:firstLineChars="0"/>
              <w:jc w:val="center"/>
              <w:rPr>
                <w:sz w:val="21"/>
                <w:szCs w:val="21"/>
              </w:rPr>
            </w:pPr>
            <w:r>
              <w:rPr>
                <w:sz w:val="21"/>
                <w:szCs w:val="21"/>
              </w:rPr>
              <w:t>51.5</w:t>
            </w:r>
          </w:p>
        </w:tc>
        <w:tc>
          <w:tcPr>
            <w:tcW w:w="893" w:type="dxa"/>
          </w:tcPr>
          <w:p w14:paraId="1B9C6AE6">
            <w:pPr>
              <w:pStyle w:val="63"/>
              <w:spacing w:line="240" w:lineRule="auto"/>
              <w:ind w:firstLine="0" w:firstLineChars="0"/>
              <w:jc w:val="center"/>
              <w:rPr>
                <w:sz w:val="21"/>
                <w:szCs w:val="21"/>
              </w:rPr>
            </w:pPr>
            <w:r>
              <w:rPr>
                <w:sz w:val="21"/>
                <w:szCs w:val="21"/>
              </w:rPr>
              <w:t>52.2</w:t>
            </w:r>
          </w:p>
        </w:tc>
        <w:tc>
          <w:tcPr>
            <w:tcW w:w="695" w:type="dxa"/>
          </w:tcPr>
          <w:p w14:paraId="5ABDB246">
            <w:pPr>
              <w:pStyle w:val="63"/>
              <w:spacing w:line="240" w:lineRule="auto"/>
              <w:ind w:firstLine="0" w:firstLineChars="0"/>
              <w:jc w:val="center"/>
              <w:rPr>
                <w:sz w:val="21"/>
                <w:szCs w:val="21"/>
              </w:rPr>
            </w:pPr>
            <w:r>
              <w:rPr>
                <w:sz w:val="21"/>
                <w:szCs w:val="21"/>
              </w:rPr>
              <w:t>0.8</w:t>
            </w:r>
          </w:p>
        </w:tc>
        <w:tc>
          <w:tcPr>
            <w:tcW w:w="695" w:type="dxa"/>
          </w:tcPr>
          <w:p w14:paraId="3A6D1487">
            <w:pPr>
              <w:pStyle w:val="63"/>
              <w:spacing w:line="240" w:lineRule="auto"/>
              <w:ind w:firstLine="0" w:firstLineChars="0"/>
              <w:jc w:val="center"/>
              <w:rPr>
                <w:sz w:val="21"/>
                <w:szCs w:val="21"/>
              </w:rPr>
            </w:pPr>
            <w:r>
              <w:rPr>
                <w:sz w:val="21"/>
                <w:szCs w:val="21"/>
              </w:rPr>
              <w:t>0.28</w:t>
            </w:r>
          </w:p>
        </w:tc>
      </w:tr>
      <w:tr w14:paraId="4A47C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2F85CAF4">
            <w:pPr>
              <w:pStyle w:val="63"/>
              <w:spacing w:line="240" w:lineRule="auto"/>
              <w:ind w:firstLine="0" w:firstLineChars="0"/>
              <w:jc w:val="center"/>
              <w:rPr>
                <w:sz w:val="21"/>
                <w:szCs w:val="18"/>
              </w:rPr>
            </w:pPr>
            <w:r>
              <w:rPr>
                <w:kern w:val="0"/>
                <w:sz w:val="21"/>
                <w:szCs w:val="18"/>
              </w:rPr>
              <w:t>6300</w:t>
            </w:r>
          </w:p>
        </w:tc>
        <w:tc>
          <w:tcPr>
            <w:tcW w:w="893" w:type="dxa"/>
          </w:tcPr>
          <w:p w14:paraId="3AC7AE0F">
            <w:pPr>
              <w:pStyle w:val="63"/>
              <w:spacing w:line="240" w:lineRule="auto"/>
              <w:ind w:firstLine="0" w:firstLineChars="0"/>
              <w:jc w:val="center"/>
              <w:rPr>
                <w:sz w:val="21"/>
                <w:szCs w:val="21"/>
              </w:rPr>
            </w:pPr>
            <w:r>
              <w:rPr>
                <w:sz w:val="21"/>
                <w:szCs w:val="21"/>
              </w:rPr>
              <w:t>53.3</w:t>
            </w:r>
          </w:p>
        </w:tc>
        <w:tc>
          <w:tcPr>
            <w:tcW w:w="893" w:type="dxa"/>
          </w:tcPr>
          <w:p w14:paraId="196D50DD">
            <w:pPr>
              <w:pStyle w:val="63"/>
              <w:spacing w:line="240" w:lineRule="auto"/>
              <w:ind w:firstLine="0" w:firstLineChars="0"/>
              <w:jc w:val="center"/>
              <w:rPr>
                <w:sz w:val="21"/>
                <w:szCs w:val="21"/>
              </w:rPr>
            </w:pPr>
            <w:r>
              <w:rPr>
                <w:sz w:val="21"/>
                <w:szCs w:val="21"/>
              </w:rPr>
              <w:t>52.9</w:t>
            </w:r>
          </w:p>
        </w:tc>
        <w:tc>
          <w:tcPr>
            <w:tcW w:w="893" w:type="dxa"/>
          </w:tcPr>
          <w:p w14:paraId="11C3F8D8">
            <w:pPr>
              <w:pStyle w:val="63"/>
              <w:spacing w:line="240" w:lineRule="auto"/>
              <w:ind w:firstLine="0" w:firstLineChars="0"/>
              <w:jc w:val="center"/>
              <w:rPr>
                <w:sz w:val="21"/>
                <w:szCs w:val="21"/>
              </w:rPr>
            </w:pPr>
            <w:r>
              <w:rPr>
                <w:sz w:val="21"/>
                <w:szCs w:val="21"/>
              </w:rPr>
              <w:t>54.8</w:t>
            </w:r>
          </w:p>
        </w:tc>
        <w:tc>
          <w:tcPr>
            <w:tcW w:w="893" w:type="dxa"/>
          </w:tcPr>
          <w:p w14:paraId="262E1FAE">
            <w:pPr>
              <w:pStyle w:val="63"/>
              <w:spacing w:line="240" w:lineRule="auto"/>
              <w:ind w:firstLine="0" w:firstLineChars="0"/>
              <w:jc w:val="center"/>
              <w:rPr>
                <w:sz w:val="21"/>
                <w:szCs w:val="21"/>
              </w:rPr>
            </w:pPr>
            <w:r>
              <w:rPr>
                <w:sz w:val="21"/>
                <w:szCs w:val="21"/>
              </w:rPr>
              <w:t>55.1</w:t>
            </w:r>
          </w:p>
        </w:tc>
        <w:tc>
          <w:tcPr>
            <w:tcW w:w="893" w:type="dxa"/>
          </w:tcPr>
          <w:p w14:paraId="52822C4E">
            <w:pPr>
              <w:pStyle w:val="63"/>
              <w:spacing w:line="240" w:lineRule="auto"/>
              <w:ind w:firstLine="0" w:firstLineChars="0"/>
              <w:jc w:val="center"/>
              <w:rPr>
                <w:sz w:val="21"/>
                <w:szCs w:val="21"/>
              </w:rPr>
            </w:pPr>
            <w:r>
              <w:rPr>
                <w:sz w:val="21"/>
                <w:szCs w:val="21"/>
              </w:rPr>
              <w:t>54.2</w:t>
            </w:r>
          </w:p>
        </w:tc>
        <w:tc>
          <w:tcPr>
            <w:tcW w:w="893" w:type="dxa"/>
          </w:tcPr>
          <w:p w14:paraId="66EA7ADC">
            <w:pPr>
              <w:pStyle w:val="63"/>
              <w:spacing w:line="240" w:lineRule="auto"/>
              <w:ind w:firstLine="0" w:firstLineChars="0"/>
              <w:jc w:val="center"/>
              <w:rPr>
                <w:sz w:val="21"/>
                <w:szCs w:val="21"/>
              </w:rPr>
            </w:pPr>
            <w:r>
              <w:rPr>
                <w:sz w:val="21"/>
                <w:szCs w:val="21"/>
              </w:rPr>
              <w:t>53.0</w:t>
            </w:r>
          </w:p>
        </w:tc>
        <w:tc>
          <w:tcPr>
            <w:tcW w:w="893" w:type="dxa"/>
          </w:tcPr>
          <w:p w14:paraId="4C78318C">
            <w:pPr>
              <w:pStyle w:val="63"/>
              <w:spacing w:line="240" w:lineRule="auto"/>
              <w:ind w:firstLine="0" w:firstLineChars="0"/>
              <w:jc w:val="center"/>
              <w:rPr>
                <w:sz w:val="21"/>
                <w:szCs w:val="21"/>
              </w:rPr>
            </w:pPr>
            <w:r>
              <w:rPr>
                <w:sz w:val="21"/>
                <w:szCs w:val="21"/>
              </w:rPr>
              <w:t>53.3</w:t>
            </w:r>
          </w:p>
        </w:tc>
        <w:tc>
          <w:tcPr>
            <w:tcW w:w="893" w:type="dxa"/>
          </w:tcPr>
          <w:p w14:paraId="3A11A9B7">
            <w:pPr>
              <w:pStyle w:val="63"/>
              <w:spacing w:line="240" w:lineRule="auto"/>
              <w:ind w:firstLine="0" w:firstLineChars="0"/>
              <w:jc w:val="center"/>
              <w:rPr>
                <w:sz w:val="21"/>
                <w:szCs w:val="21"/>
              </w:rPr>
            </w:pPr>
            <w:r>
              <w:rPr>
                <w:sz w:val="21"/>
                <w:szCs w:val="21"/>
              </w:rPr>
              <w:t>52.9</w:t>
            </w:r>
          </w:p>
        </w:tc>
        <w:tc>
          <w:tcPr>
            <w:tcW w:w="695" w:type="dxa"/>
          </w:tcPr>
          <w:p w14:paraId="52A8B3DC">
            <w:pPr>
              <w:pStyle w:val="63"/>
              <w:spacing w:line="240" w:lineRule="auto"/>
              <w:ind w:firstLine="0" w:firstLineChars="0"/>
              <w:jc w:val="center"/>
              <w:rPr>
                <w:sz w:val="21"/>
                <w:szCs w:val="21"/>
              </w:rPr>
            </w:pPr>
            <w:r>
              <w:rPr>
                <w:sz w:val="21"/>
                <w:szCs w:val="21"/>
              </w:rPr>
              <w:t>0.9</w:t>
            </w:r>
          </w:p>
        </w:tc>
        <w:tc>
          <w:tcPr>
            <w:tcW w:w="695" w:type="dxa"/>
          </w:tcPr>
          <w:p w14:paraId="2D08EBB8">
            <w:pPr>
              <w:pStyle w:val="63"/>
              <w:spacing w:line="240" w:lineRule="auto"/>
              <w:ind w:firstLine="0" w:firstLineChars="0"/>
              <w:jc w:val="center"/>
              <w:rPr>
                <w:sz w:val="21"/>
                <w:szCs w:val="21"/>
              </w:rPr>
            </w:pPr>
            <w:r>
              <w:rPr>
                <w:sz w:val="21"/>
                <w:szCs w:val="21"/>
              </w:rPr>
              <w:t>0.31</w:t>
            </w:r>
          </w:p>
        </w:tc>
      </w:tr>
      <w:tr w14:paraId="2EDC4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3DE25B51">
            <w:pPr>
              <w:pStyle w:val="63"/>
              <w:spacing w:line="240" w:lineRule="auto"/>
              <w:ind w:firstLine="0" w:firstLineChars="0"/>
              <w:jc w:val="center"/>
              <w:rPr>
                <w:sz w:val="21"/>
                <w:szCs w:val="18"/>
              </w:rPr>
            </w:pPr>
            <w:r>
              <w:rPr>
                <w:kern w:val="0"/>
                <w:sz w:val="21"/>
                <w:szCs w:val="18"/>
              </w:rPr>
              <w:t>8000</w:t>
            </w:r>
          </w:p>
        </w:tc>
        <w:tc>
          <w:tcPr>
            <w:tcW w:w="893" w:type="dxa"/>
          </w:tcPr>
          <w:p w14:paraId="2FD612B6">
            <w:pPr>
              <w:pStyle w:val="63"/>
              <w:spacing w:line="240" w:lineRule="auto"/>
              <w:ind w:firstLine="0" w:firstLineChars="0"/>
              <w:jc w:val="center"/>
              <w:rPr>
                <w:sz w:val="21"/>
                <w:szCs w:val="21"/>
              </w:rPr>
            </w:pPr>
            <w:r>
              <w:rPr>
                <w:sz w:val="21"/>
                <w:szCs w:val="21"/>
              </w:rPr>
              <w:t>53.4</w:t>
            </w:r>
          </w:p>
        </w:tc>
        <w:tc>
          <w:tcPr>
            <w:tcW w:w="893" w:type="dxa"/>
          </w:tcPr>
          <w:p w14:paraId="42989341">
            <w:pPr>
              <w:pStyle w:val="63"/>
              <w:spacing w:line="240" w:lineRule="auto"/>
              <w:ind w:firstLine="0" w:firstLineChars="0"/>
              <w:jc w:val="center"/>
              <w:rPr>
                <w:sz w:val="21"/>
                <w:szCs w:val="21"/>
              </w:rPr>
            </w:pPr>
            <w:r>
              <w:rPr>
                <w:sz w:val="21"/>
                <w:szCs w:val="21"/>
              </w:rPr>
              <w:t>53.3</w:t>
            </w:r>
          </w:p>
        </w:tc>
        <w:tc>
          <w:tcPr>
            <w:tcW w:w="893" w:type="dxa"/>
          </w:tcPr>
          <w:p w14:paraId="7255F4DC">
            <w:pPr>
              <w:pStyle w:val="63"/>
              <w:spacing w:line="240" w:lineRule="auto"/>
              <w:ind w:firstLine="0" w:firstLineChars="0"/>
              <w:jc w:val="center"/>
              <w:rPr>
                <w:sz w:val="21"/>
                <w:szCs w:val="21"/>
              </w:rPr>
            </w:pPr>
            <w:r>
              <w:rPr>
                <w:sz w:val="21"/>
                <w:szCs w:val="21"/>
              </w:rPr>
              <w:t>51.4</w:t>
            </w:r>
          </w:p>
        </w:tc>
        <w:tc>
          <w:tcPr>
            <w:tcW w:w="893" w:type="dxa"/>
          </w:tcPr>
          <w:p w14:paraId="669F8A5D">
            <w:pPr>
              <w:pStyle w:val="63"/>
              <w:spacing w:line="240" w:lineRule="auto"/>
              <w:ind w:firstLine="0" w:firstLineChars="0"/>
              <w:jc w:val="center"/>
              <w:rPr>
                <w:sz w:val="21"/>
                <w:szCs w:val="21"/>
              </w:rPr>
            </w:pPr>
            <w:r>
              <w:rPr>
                <w:sz w:val="21"/>
                <w:szCs w:val="21"/>
              </w:rPr>
              <w:t>53.5</w:t>
            </w:r>
          </w:p>
        </w:tc>
        <w:tc>
          <w:tcPr>
            <w:tcW w:w="893" w:type="dxa"/>
          </w:tcPr>
          <w:p w14:paraId="118C081A">
            <w:pPr>
              <w:pStyle w:val="63"/>
              <w:spacing w:line="240" w:lineRule="auto"/>
              <w:ind w:firstLine="0" w:firstLineChars="0"/>
              <w:jc w:val="center"/>
              <w:rPr>
                <w:sz w:val="21"/>
                <w:szCs w:val="21"/>
              </w:rPr>
            </w:pPr>
            <w:r>
              <w:rPr>
                <w:sz w:val="21"/>
                <w:szCs w:val="21"/>
              </w:rPr>
              <w:t>52.5</w:t>
            </w:r>
          </w:p>
        </w:tc>
        <w:tc>
          <w:tcPr>
            <w:tcW w:w="893" w:type="dxa"/>
          </w:tcPr>
          <w:p w14:paraId="441F79A7">
            <w:pPr>
              <w:pStyle w:val="63"/>
              <w:spacing w:line="240" w:lineRule="auto"/>
              <w:ind w:firstLine="0" w:firstLineChars="0"/>
              <w:jc w:val="center"/>
              <w:rPr>
                <w:sz w:val="21"/>
                <w:szCs w:val="21"/>
              </w:rPr>
            </w:pPr>
            <w:r>
              <w:rPr>
                <w:sz w:val="21"/>
                <w:szCs w:val="21"/>
              </w:rPr>
              <w:t>51.5</w:t>
            </w:r>
          </w:p>
        </w:tc>
        <w:tc>
          <w:tcPr>
            <w:tcW w:w="893" w:type="dxa"/>
          </w:tcPr>
          <w:p w14:paraId="068ADBF4">
            <w:pPr>
              <w:pStyle w:val="63"/>
              <w:spacing w:line="240" w:lineRule="auto"/>
              <w:ind w:firstLine="0" w:firstLineChars="0"/>
              <w:jc w:val="center"/>
              <w:rPr>
                <w:sz w:val="21"/>
                <w:szCs w:val="21"/>
              </w:rPr>
            </w:pPr>
            <w:r>
              <w:rPr>
                <w:sz w:val="21"/>
                <w:szCs w:val="21"/>
              </w:rPr>
              <w:t>53.9</w:t>
            </w:r>
          </w:p>
        </w:tc>
        <w:tc>
          <w:tcPr>
            <w:tcW w:w="893" w:type="dxa"/>
          </w:tcPr>
          <w:p w14:paraId="1824E2C7">
            <w:pPr>
              <w:pStyle w:val="63"/>
              <w:spacing w:line="240" w:lineRule="auto"/>
              <w:ind w:firstLine="0" w:firstLineChars="0"/>
              <w:jc w:val="center"/>
              <w:rPr>
                <w:sz w:val="21"/>
                <w:szCs w:val="21"/>
              </w:rPr>
            </w:pPr>
            <w:r>
              <w:rPr>
                <w:sz w:val="21"/>
                <w:szCs w:val="21"/>
              </w:rPr>
              <w:t>54.1</w:t>
            </w:r>
          </w:p>
        </w:tc>
        <w:tc>
          <w:tcPr>
            <w:tcW w:w="695" w:type="dxa"/>
          </w:tcPr>
          <w:p w14:paraId="5A1CBC8A">
            <w:pPr>
              <w:pStyle w:val="63"/>
              <w:spacing w:line="240" w:lineRule="auto"/>
              <w:ind w:firstLine="0" w:firstLineChars="0"/>
              <w:jc w:val="center"/>
              <w:rPr>
                <w:sz w:val="21"/>
                <w:szCs w:val="21"/>
              </w:rPr>
            </w:pPr>
            <w:r>
              <w:rPr>
                <w:sz w:val="21"/>
                <w:szCs w:val="21"/>
              </w:rPr>
              <w:t>1.0</w:t>
            </w:r>
          </w:p>
        </w:tc>
        <w:tc>
          <w:tcPr>
            <w:tcW w:w="695" w:type="dxa"/>
          </w:tcPr>
          <w:p w14:paraId="1B79E894">
            <w:pPr>
              <w:pStyle w:val="63"/>
              <w:spacing w:line="240" w:lineRule="auto"/>
              <w:ind w:firstLine="0" w:firstLineChars="0"/>
              <w:jc w:val="center"/>
              <w:rPr>
                <w:sz w:val="21"/>
                <w:szCs w:val="21"/>
              </w:rPr>
            </w:pPr>
            <w:r>
              <w:rPr>
                <w:sz w:val="21"/>
                <w:szCs w:val="21"/>
              </w:rPr>
              <w:t>0.37</w:t>
            </w:r>
          </w:p>
        </w:tc>
      </w:tr>
      <w:tr w14:paraId="73AE7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5365904F">
            <w:pPr>
              <w:pStyle w:val="63"/>
              <w:spacing w:line="240" w:lineRule="auto"/>
              <w:ind w:firstLine="0" w:firstLineChars="0"/>
              <w:jc w:val="center"/>
              <w:rPr>
                <w:sz w:val="21"/>
                <w:szCs w:val="18"/>
              </w:rPr>
            </w:pPr>
            <w:r>
              <w:rPr>
                <w:kern w:val="0"/>
                <w:sz w:val="21"/>
                <w:szCs w:val="18"/>
              </w:rPr>
              <w:t>10000</w:t>
            </w:r>
          </w:p>
        </w:tc>
        <w:tc>
          <w:tcPr>
            <w:tcW w:w="893" w:type="dxa"/>
          </w:tcPr>
          <w:p w14:paraId="7A5E0F39">
            <w:pPr>
              <w:pStyle w:val="63"/>
              <w:spacing w:line="240" w:lineRule="auto"/>
              <w:ind w:firstLine="0" w:firstLineChars="0"/>
              <w:jc w:val="center"/>
              <w:rPr>
                <w:sz w:val="21"/>
                <w:szCs w:val="21"/>
              </w:rPr>
            </w:pPr>
            <w:r>
              <w:rPr>
                <w:sz w:val="21"/>
                <w:szCs w:val="21"/>
              </w:rPr>
              <w:t>50.2</w:t>
            </w:r>
          </w:p>
        </w:tc>
        <w:tc>
          <w:tcPr>
            <w:tcW w:w="893" w:type="dxa"/>
          </w:tcPr>
          <w:p w14:paraId="057AE676">
            <w:pPr>
              <w:pStyle w:val="63"/>
              <w:spacing w:line="240" w:lineRule="auto"/>
              <w:ind w:firstLine="0" w:firstLineChars="0"/>
              <w:jc w:val="center"/>
              <w:rPr>
                <w:sz w:val="21"/>
                <w:szCs w:val="21"/>
              </w:rPr>
            </w:pPr>
            <w:r>
              <w:rPr>
                <w:sz w:val="21"/>
                <w:szCs w:val="21"/>
              </w:rPr>
              <w:t>52.8</w:t>
            </w:r>
          </w:p>
        </w:tc>
        <w:tc>
          <w:tcPr>
            <w:tcW w:w="893" w:type="dxa"/>
          </w:tcPr>
          <w:p w14:paraId="56E7EDF2">
            <w:pPr>
              <w:pStyle w:val="63"/>
              <w:spacing w:line="240" w:lineRule="auto"/>
              <w:ind w:firstLine="0" w:firstLineChars="0"/>
              <w:jc w:val="center"/>
              <w:rPr>
                <w:sz w:val="21"/>
                <w:szCs w:val="21"/>
              </w:rPr>
            </w:pPr>
            <w:r>
              <w:rPr>
                <w:sz w:val="21"/>
                <w:szCs w:val="21"/>
              </w:rPr>
              <w:t>50.5</w:t>
            </w:r>
          </w:p>
        </w:tc>
        <w:tc>
          <w:tcPr>
            <w:tcW w:w="893" w:type="dxa"/>
          </w:tcPr>
          <w:p w14:paraId="1AA035C8">
            <w:pPr>
              <w:pStyle w:val="63"/>
              <w:spacing w:line="240" w:lineRule="auto"/>
              <w:ind w:firstLine="0" w:firstLineChars="0"/>
              <w:jc w:val="center"/>
              <w:rPr>
                <w:sz w:val="21"/>
                <w:szCs w:val="21"/>
              </w:rPr>
            </w:pPr>
            <w:r>
              <w:rPr>
                <w:sz w:val="21"/>
                <w:szCs w:val="21"/>
              </w:rPr>
              <w:t>50.4</w:t>
            </w:r>
          </w:p>
        </w:tc>
        <w:tc>
          <w:tcPr>
            <w:tcW w:w="893" w:type="dxa"/>
          </w:tcPr>
          <w:p w14:paraId="0F3BFD78">
            <w:pPr>
              <w:pStyle w:val="63"/>
              <w:spacing w:line="240" w:lineRule="auto"/>
              <w:ind w:firstLine="0" w:firstLineChars="0"/>
              <w:jc w:val="center"/>
              <w:rPr>
                <w:sz w:val="21"/>
                <w:szCs w:val="21"/>
              </w:rPr>
            </w:pPr>
            <w:r>
              <w:rPr>
                <w:sz w:val="21"/>
                <w:szCs w:val="21"/>
              </w:rPr>
              <w:t>51.3</w:t>
            </w:r>
          </w:p>
        </w:tc>
        <w:tc>
          <w:tcPr>
            <w:tcW w:w="893" w:type="dxa"/>
          </w:tcPr>
          <w:p w14:paraId="0B77A6D5">
            <w:pPr>
              <w:pStyle w:val="63"/>
              <w:spacing w:line="240" w:lineRule="auto"/>
              <w:ind w:firstLine="0" w:firstLineChars="0"/>
              <w:jc w:val="center"/>
              <w:rPr>
                <w:sz w:val="21"/>
                <w:szCs w:val="21"/>
              </w:rPr>
            </w:pPr>
            <w:r>
              <w:rPr>
                <w:sz w:val="21"/>
                <w:szCs w:val="21"/>
              </w:rPr>
              <w:t>51.7</w:t>
            </w:r>
          </w:p>
        </w:tc>
        <w:tc>
          <w:tcPr>
            <w:tcW w:w="893" w:type="dxa"/>
          </w:tcPr>
          <w:p w14:paraId="084802BD">
            <w:pPr>
              <w:pStyle w:val="63"/>
              <w:spacing w:line="240" w:lineRule="auto"/>
              <w:ind w:firstLine="0" w:firstLineChars="0"/>
              <w:jc w:val="center"/>
              <w:rPr>
                <w:sz w:val="21"/>
                <w:szCs w:val="21"/>
              </w:rPr>
            </w:pPr>
            <w:r>
              <w:rPr>
                <w:sz w:val="21"/>
                <w:szCs w:val="21"/>
              </w:rPr>
              <w:t>52.6</w:t>
            </w:r>
          </w:p>
        </w:tc>
        <w:tc>
          <w:tcPr>
            <w:tcW w:w="893" w:type="dxa"/>
          </w:tcPr>
          <w:p w14:paraId="4D9DB977">
            <w:pPr>
              <w:pStyle w:val="63"/>
              <w:spacing w:line="240" w:lineRule="auto"/>
              <w:ind w:firstLine="0" w:firstLineChars="0"/>
              <w:jc w:val="center"/>
              <w:rPr>
                <w:sz w:val="21"/>
                <w:szCs w:val="21"/>
              </w:rPr>
            </w:pPr>
            <w:r>
              <w:rPr>
                <w:sz w:val="21"/>
                <w:szCs w:val="21"/>
              </w:rPr>
              <w:t>51.2</w:t>
            </w:r>
          </w:p>
        </w:tc>
        <w:tc>
          <w:tcPr>
            <w:tcW w:w="695" w:type="dxa"/>
          </w:tcPr>
          <w:p w14:paraId="36E0FBE6">
            <w:pPr>
              <w:pStyle w:val="63"/>
              <w:spacing w:line="240" w:lineRule="auto"/>
              <w:ind w:firstLine="0" w:firstLineChars="0"/>
              <w:jc w:val="center"/>
              <w:rPr>
                <w:sz w:val="21"/>
                <w:szCs w:val="21"/>
              </w:rPr>
            </w:pPr>
            <w:r>
              <w:rPr>
                <w:sz w:val="21"/>
                <w:szCs w:val="21"/>
              </w:rPr>
              <w:t>1.0</w:t>
            </w:r>
          </w:p>
        </w:tc>
        <w:tc>
          <w:tcPr>
            <w:tcW w:w="695" w:type="dxa"/>
          </w:tcPr>
          <w:p w14:paraId="702C6F15">
            <w:pPr>
              <w:pStyle w:val="63"/>
              <w:spacing w:line="240" w:lineRule="auto"/>
              <w:ind w:firstLine="0" w:firstLineChars="0"/>
              <w:jc w:val="center"/>
              <w:rPr>
                <w:sz w:val="21"/>
                <w:szCs w:val="21"/>
              </w:rPr>
            </w:pPr>
            <w:r>
              <w:rPr>
                <w:sz w:val="21"/>
                <w:szCs w:val="21"/>
              </w:rPr>
              <w:t>0.35</w:t>
            </w:r>
          </w:p>
        </w:tc>
      </w:tr>
      <w:tr w14:paraId="08D3B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06616083">
            <w:pPr>
              <w:pStyle w:val="63"/>
              <w:spacing w:line="240" w:lineRule="auto"/>
              <w:ind w:firstLine="0" w:firstLineChars="0"/>
              <w:jc w:val="center"/>
              <w:rPr>
                <w:sz w:val="21"/>
                <w:szCs w:val="18"/>
              </w:rPr>
            </w:pPr>
            <w:r>
              <w:rPr>
                <w:kern w:val="0"/>
                <w:sz w:val="21"/>
                <w:szCs w:val="18"/>
              </w:rPr>
              <w:t>12500</w:t>
            </w:r>
          </w:p>
        </w:tc>
        <w:tc>
          <w:tcPr>
            <w:tcW w:w="893" w:type="dxa"/>
          </w:tcPr>
          <w:p w14:paraId="60C026AD">
            <w:pPr>
              <w:pStyle w:val="63"/>
              <w:spacing w:line="240" w:lineRule="auto"/>
              <w:ind w:firstLine="0" w:firstLineChars="0"/>
              <w:jc w:val="center"/>
              <w:rPr>
                <w:sz w:val="21"/>
                <w:szCs w:val="21"/>
              </w:rPr>
            </w:pPr>
            <w:r>
              <w:rPr>
                <w:sz w:val="21"/>
                <w:szCs w:val="21"/>
              </w:rPr>
              <w:t>55.6</w:t>
            </w:r>
          </w:p>
        </w:tc>
        <w:tc>
          <w:tcPr>
            <w:tcW w:w="893" w:type="dxa"/>
          </w:tcPr>
          <w:p w14:paraId="4698B7AE">
            <w:pPr>
              <w:pStyle w:val="63"/>
              <w:spacing w:line="240" w:lineRule="auto"/>
              <w:ind w:firstLine="0" w:firstLineChars="0"/>
              <w:jc w:val="center"/>
              <w:rPr>
                <w:sz w:val="21"/>
                <w:szCs w:val="21"/>
              </w:rPr>
            </w:pPr>
            <w:r>
              <w:rPr>
                <w:sz w:val="21"/>
                <w:szCs w:val="21"/>
              </w:rPr>
              <w:t>54.7</w:t>
            </w:r>
          </w:p>
        </w:tc>
        <w:tc>
          <w:tcPr>
            <w:tcW w:w="893" w:type="dxa"/>
          </w:tcPr>
          <w:p w14:paraId="6BCB5936">
            <w:pPr>
              <w:pStyle w:val="63"/>
              <w:spacing w:line="240" w:lineRule="auto"/>
              <w:ind w:firstLine="0" w:firstLineChars="0"/>
              <w:jc w:val="center"/>
              <w:rPr>
                <w:sz w:val="21"/>
                <w:szCs w:val="21"/>
              </w:rPr>
            </w:pPr>
            <w:r>
              <w:rPr>
                <w:sz w:val="21"/>
                <w:szCs w:val="21"/>
              </w:rPr>
              <w:t>53.7</w:t>
            </w:r>
          </w:p>
        </w:tc>
        <w:tc>
          <w:tcPr>
            <w:tcW w:w="893" w:type="dxa"/>
          </w:tcPr>
          <w:p w14:paraId="732A6600">
            <w:pPr>
              <w:pStyle w:val="63"/>
              <w:spacing w:line="240" w:lineRule="auto"/>
              <w:ind w:firstLine="0" w:firstLineChars="0"/>
              <w:jc w:val="center"/>
              <w:rPr>
                <w:sz w:val="21"/>
                <w:szCs w:val="21"/>
              </w:rPr>
            </w:pPr>
            <w:r>
              <w:rPr>
                <w:sz w:val="21"/>
                <w:szCs w:val="21"/>
              </w:rPr>
              <w:t>52.9</w:t>
            </w:r>
          </w:p>
        </w:tc>
        <w:tc>
          <w:tcPr>
            <w:tcW w:w="893" w:type="dxa"/>
          </w:tcPr>
          <w:p w14:paraId="3C97F1BB">
            <w:pPr>
              <w:pStyle w:val="63"/>
              <w:spacing w:line="240" w:lineRule="auto"/>
              <w:ind w:firstLine="0" w:firstLineChars="0"/>
              <w:jc w:val="center"/>
              <w:rPr>
                <w:sz w:val="21"/>
                <w:szCs w:val="21"/>
              </w:rPr>
            </w:pPr>
            <w:r>
              <w:rPr>
                <w:sz w:val="21"/>
                <w:szCs w:val="21"/>
              </w:rPr>
              <w:t>54.5</w:t>
            </w:r>
          </w:p>
        </w:tc>
        <w:tc>
          <w:tcPr>
            <w:tcW w:w="893" w:type="dxa"/>
          </w:tcPr>
          <w:p w14:paraId="2C2163C8">
            <w:pPr>
              <w:pStyle w:val="63"/>
              <w:spacing w:line="240" w:lineRule="auto"/>
              <w:ind w:firstLine="0" w:firstLineChars="0"/>
              <w:jc w:val="center"/>
              <w:rPr>
                <w:sz w:val="21"/>
                <w:szCs w:val="21"/>
              </w:rPr>
            </w:pPr>
            <w:r>
              <w:rPr>
                <w:sz w:val="21"/>
                <w:szCs w:val="21"/>
              </w:rPr>
              <w:t>55.2</w:t>
            </w:r>
          </w:p>
        </w:tc>
        <w:tc>
          <w:tcPr>
            <w:tcW w:w="893" w:type="dxa"/>
          </w:tcPr>
          <w:p w14:paraId="17FDC920">
            <w:pPr>
              <w:pStyle w:val="63"/>
              <w:spacing w:line="240" w:lineRule="auto"/>
              <w:ind w:firstLine="0" w:firstLineChars="0"/>
              <w:jc w:val="center"/>
              <w:rPr>
                <w:sz w:val="21"/>
                <w:szCs w:val="21"/>
              </w:rPr>
            </w:pPr>
            <w:r>
              <w:rPr>
                <w:sz w:val="21"/>
                <w:szCs w:val="21"/>
              </w:rPr>
              <w:t>55.2</w:t>
            </w:r>
          </w:p>
        </w:tc>
        <w:tc>
          <w:tcPr>
            <w:tcW w:w="893" w:type="dxa"/>
          </w:tcPr>
          <w:p w14:paraId="7E197F74">
            <w:pPr>
              <w:pStyle w:val="63"/>
              <w:spacing w:line="240" w:lineRule="auto"/>
              <w:ind w:firstLine="0" w:firstLineChars="0"/>
              <w:jc w:val="center"/>
              <w:rPr>
                <w:sz w:val="21"/>
                <w:szCs w:val="21"/>
              </w:rPr>
            </w:pPr>
            <w:r>
              <w:rPr>
                <w:sz w:val="21"/>
                <w:szCs w:val="21"/>
              </w:rPr>
              <w:t>55.2</w:t>
            </w:r>
          </w:p>
        </w:tc>
        <w:tc>
          <w:tcPr>
            <w:tcW w:w="695" w:type="dxa"/>
          </w:tcPr>
          <w:p w14:paraId="333B7323">
            <w:pPr>
              <w:pStyle w:val="63"/>
              <w:spacing w:line="240" w:lineRule="auto"/>
              <w:ind w:firstLine="0" w:firstLineChars="0"/>
              <w:jc w:val="center"/>
              <w:rPr>
                <w:sz w:val="21"/>
                <w:szCs w:val="21"/>
              </w:rPr>
            </w:pPr>
            <w:r>
              <w:rPr>
                <w:sz w:val="21"/>
                <w:szCs w:val="21"/>
              </w:rPr>
              <w:t>0.9</w:t>
            </w:r>
          </w:p>
        </w:tc>
        <w:tc>
          <w:tcPr>
            <w:tcW w:w="695" w:type="dxa"/>
          </w:tcPr>
          <w:p w14:paraId="0ABCD212">
            <w:pPr>
              <w:pStyle w:val="63"/>
              <w:spacing w:line="240" w:lineRule="auto"/>
              <w:ind w:firstLine="0" w:firstLineChars="0"/>
              <w:jc w:val="center"/>
              <w:rPr>
                <w:sz w:val="21"/>
                <w:szCs w:val="21"/>
              </w:rPr>
            </w:pPr>
            <w:r>
              <w:rPr>
                <w:sz w:val="21"/>
                <w:szCs w:val="21"/>
              </w:rPr>
              <w:t>0.32</w:t>
            </w:r>
          </w:p>
        </w:tc>
      </w:tr>
      <w:tr w14:paraId="304F0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3C9B750C">
            <w:pPr>
              <w:pStyle w:val="63"/>
              <w:spacing w:line="240" w:lineRule="auto"/>
              <w:ind w:firstLine="0" w:firstLineChars="0"/>
              <w:jc w:val="center"/>
              <w:rPr>
                <w:sz w:val="21"/>
                <w:szCs w:val="18"/>
              </w:rPr>
            </w:pPr>
            <w:r>
              <w:rPr>
                <w:kern w:val="0"/>
                <w:sz w:val="21"/>
                <w:szCs w:val="18"/>
              </w:rPr>
              <w:t>16000</w:t>
            </w:r>
          </w:p>
        </w:tc>
        <w:tc>
          <w:tcPr>
            <w:tcW w:w="893" w:type="dxa"/>
          </w:tcPr>
          <w:p w14:paraId="32E624E0">
            <w:pPr>
              <w:pStyle w:val="63"/>
              <w:spacing w:line="240" w:lineRule="auto"/>
              <w:ind w:firstLine="0" w:firstLineChars="0"/>
              <w:jc w:val="center"/>
              <w:rPr>
                <w:sz w:val="21"/>
                <w:szCs w:val="21"/>
              </w:rPr>
            </w:pPr>
            <w:r>
              <w:rPr>
                <w:sz w:val="21"/>
                <w:szCs w:val="21"/>
              </w:rPr>
              <w:t>52.8</w:t>
            </w:r>
          </w:p>
        </w:tc>
        <w:tc>
          <w:tcPr>
            <w:tcW w:w="893" w:type="dxa"/>
          </w:tcPr>
          <w:p w14:paraId="42218535">
            <w:pPr>
              <w:pStyle w:val="63"/>
              <w:spacing w:line="240" w:lineRule="auto"/>
              <w:ind w:firstLine="0" w:firstLineChars="0"/>
              <w:jc w:val="center"/>
              <w:rPr>
                <w:sz w:val="21"/>
                <w:szCs w:val="21"/>
              </w:rPr>
            </w:pPr>
            <w:r>
              <w:rPr>
                <w:sz w:val="21"/>
                <w:szCs w:val="21"/>
              </w:rPr>
              <w:t>51.7</w:t>
            </w:r>
          </w:p>
        </w:tc>
        <w:tc>
          <w:tcPr>
            <w:tcW w:w="893" w:type="dxa"/>
          </w:tcPr>
          <w:p w14:paraId="1B00284F">
            <w:pPr>
              <w:pStyle w:val="63"/>
              <w:spacing w:line="240" w:lineRule="auto"/>
              <w:ind w:firstLine="0" w:firstLineChars="0"/>
              <w:jc w:val="center"/>
              <w:rPr>
                <w:sz w:val="21"/>
                <w:szCs w:val="21"/>
              </w:rPr>
            </w:pPr>
            <w:r>
              <w:rPr>
                <w:sz w:val="21"/>
                <w:szCs w:val="21"/>
              </w:rPr>
              <w:t>52.7</w:t>
            </w:r>
          </w:p>
        </w:tc>
        <w:tc>
          <w:tcPr>
            <w:tcW w:w="893" w:type="dxa"/>
          </w:tcPr>
          <w:p w14:paraId="7017214F">
            <w:pPr>
              <w:pStyle w:val="63"/>
              <w:spacing w:line="240" w:lineRule="auto"/>
              <w:ind w:firstLine="0" w:firstLineChars="0"/>
              <w:jc w:val="center"/>
              <w:rPr>
                <w:sz w:val="21"/>
                <w:szCs w:val="21"/>
              </w:rPr>
            </w:pPr>
            <w:r>
              <w:rPr>
                <w:sz w:val="21"/>
                <w:szCs w:val="21"/>
              </w:rPr>
              <w:t>52.0</w:t>
            </w:r>
          </w:p>
        </w:tc>
        <w:tc>
          <w:tcPr>
            <w:tcW w:w="893" w:type="dxa"/>
          </w:tcPr>
          <w:p w14:paraId="4265BFE5">
            <w:pPr>
              <w:pStyle w:val="63"/>
              <w:spacing w:line="240" w:lineRule="auto"/>
              <w:ind w:firstLine="0" w:firstLineChars="0"/>
              <w:jc w:val="center"/>
              <w:rPr>
                <w:sz w:val="21"/>
                <w:szCs w:val="21"/>
              </w:rPr>
            </w:pPr>
            <w:r>
              <w:rPr>
                <w:sz w:val="21"/>
                <w:szCs w:val="21"/>
              </w:rPr>
              <w:t>54.0</w:t>
            </w:r>
          </w:p>
        </w:tc>
        <w:tc>
          <w:tcPr>
            <w:tcW w:w="893" w:type="dxa"/>
          </w:tcPr>
          <w:p w14:paraId="547F991E">
            <w:pPr>
              <w:pStyle w:val="63"/>
              <w:spacing w:line="240" w:lineRule="auto"/>
              <w:ind w:firstLine="0" w:firstLineChars="0"/>
              <w:jc w:val="center"/>
              <w:rPr>
                <w:sz w:val="21"/>
                <w:szCs w:val="21"/>
              </w:rPr>
            </w:pPr>
            <w:r>
              <w:rPr>
                <w:sz w:val="21"/>
                <w:szCs w:val="21"/>
              </w:rPr>
              <w:t>54.1</w:t>
            </w:r>
          </w:p>
        </w:tc>
        <w:tc>
          <w:tcPr>
            <w:tcW w:w="893" w:type="dxa"/>
          </w:tcPr>
          <w:p w14:paraId="3E220770">
            <w:pPr>
              <w:pStyle w:val="63"/>
              <w:spacing w:line="240" w:lineRule="auto"/>
              <w:ind w:firstLine="0" w:firstLineChars="0"/>
              <w:jc w:val="center"/>
              <w:rPr>
                <w:sz w:val="21"/>
                <w:szCs w:val="21"/>
              </w:rPr>
            </w:pPr>
            <w:r>
              <w:rPr>
                <w:sz w:val="21"/>
                <w:szCs w:val="21"/>
              </w:rPr>
              <w:t>53.0</w:t>
            </w:r>
          </w:p>
        </w:tc>
        <w:tc>
          <w:tcPr>
            <w:tcW w:w="893" w:type="dxa"/>
          </w:tcPr>
          <w:p w14:paraId="3A8430F9">
            <w:pPr>
              <w:pStyle w:val="63"/>
              <w:spacing w:line="240" w:lineRule="auto"/>
              <w:ind w:firstLine="0" w:firstLineChars="0"/>
              <w:jc w:val="center"/>
              <w:rPr>
                <w:sz w:val="21"/>
                <w:szCs w:val="21"/>
              </w:rPr>
            </w:pPr>
            <w:r>
              <w:rPr>
                <w:sz w:val="21"/>
                <w:szCs w:val="21"/>
              </w:rPr>
              <w:t>51.9</w:t>
            </w:r>
          </w:p>
        </w:tc>
        <w:tc>
          <w:tcPr>
            <w:tcW w:w="695" w:type="dxa"/>
          </w:tcPr>
          <w:p w14:paraId="7C579FC3">
            <w:pPr>
              <w:pStyle w:val="63"/>
              <w:spacing w:line="240" w:lineRule="auto"/>
              <w:ind w:firstLine="0" w:firstLineChars="0"/>
              <w:jc w:val="center"/>
              <w:rPr>
                <w:sz w:val="21"/>
                <w:szCs w:val="21"/>
              </w:rPr>
            </w:pPr>
            <w:r>
              <w:rPr>
                <w:sz w:val="21"/>
                <w:szCs w:val="21"/>
              </w:rPr>
              <w:t>0.9</w:t>
            </w:r>
          </w:p>
        </w:tc>
        <w:tc>
          <w:tcPr>
            <w:tcW w:w="695" w:type="dxa"/>
          </w:tcPr>
          <w:p w14:paraId="4898FDD7">
            <w:pPr>
              <w:pStyle w:val="63"/>
              <w:spacing w:line="240" w:lineRule="auto"/>
              <w:ind w:firstLine="0" w:firstLineChars="0"/>
              <w:jc w:val="center"/>
              <w:rPr>
                <w:sz w:val="21"/>
                <w:szCs w:val="21"/>
              </w:rPr>
            </w:pPr>
            <w:r>
              <w:rPr>
                <w:sz w:val="21"/>
                <w:szCs w:val="21"/>
              </w:rPr>
              <w:t>0.32</w:t>
            </w:r>
          </w:p>
        </w:tc>
      </w:tr>
      <w:tr w14:paraId="128D4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61D85DC1">
            <w:pPr>
              <w:pStyle w:val="63"/>
              <w:spacing w:line="240" w:lineRule="auto"/>
              <w:ind w:firstLine="0" w:firstLineChars="0"/>
              <w:jc w:val="center"/>
              <w:rPr>
                <w:sz w:val="21"/>
                <w:szCs w:val="18"/>
              </w:rPr>
            </w:pPr>
            <w:r>
              <w:rPr>
                <w:kern w:val="0"/>
                <w:sz w:val="21"/>
                <w:szCs w:val="18"/>
              </w:rPr>
              <w:t>20000</w:t>
            </w:r>
          </w:p>
        </w:tc>
        <w:tc>
          <w:tcPr>
            <w:tcW w:w="893" w:type="dxa"/>
          </w:tcPr>
          <w:p w14:paraId="4491AE92">
            <w:pPr>
              <w:pStyle w:val="63"/>
              <w:spacing w:line="240" w:lineRule="auto"/>
              <w:ind w:firstLine="0" w:firstLineChars="0"/>
              <w:jc w:val="center"/>
              <w:rPr>
                <w:sz w:val="21"/>
                <w:szCs w:val="21"/>
              </w:rPr>
            </w:pPr>
            <w:r>
              <w:rPr>
                <w:sz w:val="21"/>
                <w:szCs w:val="21"/>
              </w:rPr>
              <w:t>51.2</w:t>
            </w:r>
          </w:p>
        </w:tc>
        <w:tc>
          <w:tcPr>
            <w:tcW w:w="893" w:type="dxa"/>
          </w:tcPr>
          <w:p w14:paraId="23E301BD">
            <w:pPr>
              <w:pStyle w:val="63"/>
              <w:spacing w:line="240" w:lineRule="auto"/>
              <w:ind w:firstLine="0" w:firstLineChars="0"/>
              <w:jc w:val="center"/>
              <w:rPr>
                <w:sz w:val="21"/>
                <w:szCs w:val="21"/>
              </w:rPr>
            </w:pPr>
            <w:r>
              <w:rPr>
                <w:sz w:val="21"/>
                <w:szCs w:val="21"/>
              </w:rPr>
              <w:t>51.5</w:t>
            </w:r>
          </w:p>
        </w:tc>
        <w:tc>
          <w:tcPr>
            <w:tcW w:w="893" w:type="dxa"/>
          </w:tcPr>
          <w:p w14:paraId="56C67C50">
            <w:pPr>
              <w:pStyle w:val="63"/>
              <w:spacing w:line="240" w:lineRule="auto"/>
              <w:ind w:firstLine="0" w:firstLineChars="0"/>
              <w:jc w:val="center"/>
              <w:rPr>
                <w:sz w:val="21"/>
                <w:szCs w:val="21"/>
              </w:rPr>
            </w:pPr>
            <w:r>
              <w:rPr>
                <w:sz w:val="21"/>
                <w:szCs w:val="21"/>
              </w:rPr>
              <w:t>50.9</w:t>
            </w:r>
          </w:p>
        </w:tc>
        <w:tc>
          <w:tcPr>
            <w:tcW w:w="893" w:type="dxa"/>
          </w:tcPr>
          <w:p w14:paraId="179BDBF0">
            <w:pPr>
              <w:pStyle w:val="63"/>
              <w:spacing w:line="240" w:lineRule="auto"/>
              <w:ind w:firstLine="0" w:firstLineChars="0"/>
              <w:jc w:val="center"/>
              <w:rPr>
                <w:sz w:val="21"/>
                <w:szCs w:val="21"/>
              </w:rPr>
            </w:pPr>
            <w:r>
              <w:rPr>
                <w:sz w:val="21"/>
                <w:szCs w:val="21"/>
              </w:rPr>
              <w:t>52.3</w:t>
            </w:r>
          </w:p>
        </w:tc>
        <w:tc>
          <w:tcPr>
            <w:tcW w:w="893" w:type="dxa"/>
          </w:tcPr>
          <w:p w14:paraId="5151359E">
            <w:pPr>
              <w:pStyle w:val="63"/>
              <w:spacing w:line="240" w:lineRule="auto"/>
              <w:ind w:firstLine="0" w:firstLineChars="0"/>
              <w:jc w:val="center"/>
              <w:rPr>
                <w:sz w:val="21"/>
                <w:szCs w:val="21"/>
              </w:rPr>
            </w:pPr>
            <w:r>
              <w:rPr>
                <w:sz w:val="21"/>
                <w:szCs w:val="21"/>
              </w:rPr>
              <w:t>51.0</w:t>
            </w:r>
          </w:p>
        </w:tc>
        <w:tc>
          <w:tcPr>
            <w:tcW w:w="893" w:type="dxa"/>
          </w:tcPr>
          <w:p w14:paraId="3382C76A">
            <w:pPr>
              <w:pStyle w:val="63"/>
              <w:spacing w:line="240" w:lineRule="auto"/>
              <w:ind w:firstLine="0" w:firstLineChars="0"/>
              <w:jc w:val="center"/>
              <w:rPr>
                <w:sz w:val="21"/>
                <w:szCs w:val="21"/>
              </w:rPr>
            </w:pPr>
            <w:r>
              <w:rPr>
                <w:sz w:val="21"/>
                <w:szCs w:val="21"/>
              </w:rPr>
              <w:t>50.9</w:t>
            </w:r>
          </w:p>
        </w:tc>
        <w:tc>
          <w:tcPr>
            <w:tcW w:w="893" w:type="dxa"/>
          </w:tcPr>
          <w:p w14:paraId="3B28FF41">
            <w:pPr>
              <w:pStyle w:val="63"/>
              <w:spacing w:line="240" w:lineRule="auto"/>
              <w:ind w:firstLine="0" w:firstLineChars="0"/>
              <w:jc w:val="center"/>
              <w:rPr>
                <w:sz w:val="21"/>
                <w:szCs w:val="21"/>
              </w:rPr>
            </w:pPr>
            <w:r>
              <w:rPr>
                <w:sz w:val="21"/>
                <w:szCs w:val="21"/>
              </w:rPr>
              <w:t>52.4</w:t>
            </w:r>
          </w:p>
        </w:tc>
        <w:tc>
          <w:tcPr>
            <w:tcW w:w="893" w:type="dxa"/>
          </w:tcPr>
          <w:p w14:paraId="2ED540F9">
            <w:pPr>
              <w:pStyle w:val="63"/>
              <w:spacing w:line="240" w:lineRule="auto"/>
              <w:ind w:firstLine="0" w:firstLineChars="0"/>
              <w:jc w:val="center"/>
              <w:rPr>
                <w:sz w:val="21"/>
                <w:szCs w:val="21"/>
              </w:rPr>
            </w:pPr>
            <w:r>
              <w:rPr>
                <w:sz w:val="21"/>
                <w:szCs w:val="21"/>
              </w:rPr>
              <w:t>50.3</w:t>
            </w:r>
          </w:p>
        </w:tc>
        <w:tc>
          <w:tcPr>
            <w:tcW w:w="695" w:type="dxa"/>
          </w:tcPr>
          <w:p w14:paraId="462A5A90">
            <w:pPr>
              <w:pStyle w:val="63"/>
              <w:spacing w:line="240" w:lineRule="auto"/>
              <w:ind w:firstLine="0" w:firstLineChars="0"/>
              <w:jc w:val="center"/>
              <w:rPr>
                <w:sz w:val="21"/>
                <w:szCs w:val="21"/>
              </w:rPr>
            </w:pPr>
            <w:r>
              <w:rPr>
                <w:sz w:val="21"/>
                <w:szCs w:val="21"/>
              </w:rPr>
              <w:t>0.7</w:t>
            </w:r>
          </w:p>
        </w:tc>
        <w:tc>
          <w:tcPr>
            <w:tcW w:w="695" w:type="dxa"/>
          </w:tcPr>
          <w:p w14:paraId="61E11270">
            <w:pPr>
              <w:pStyle w:val="63"/>
              <w:spacing w:line="240" w:lineRule="auto"/>
              <w:ind w:firstLine="0" w:firstLineChars="0"/>
              <w:jc w:val="center"/>
              <w:rPr>
                <w:sz w:val="21"/>
                <w:szCs w:val="21"/>
              </w:rPr>
            </w:pPr>
            <w:r>
              <w:rPr>
                <w:sz w:val="21"/>
                <w:szCs w:val="21"/>
              </w:rPr>
              <w:t>0.26</w:t>
            </w:r>
          </w:p>
        </w:tc>
      </w:tr>
      <w:tr w14:paraId="0D328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741" w:type="dxa"/>
            <w:vAlign w:val="center"/>
          </w:tcPr>
          <w:p w14:paraId="5016E481">
            <w:pPr>
              <w:pStyle w:val="63"/>
              <w:spacing w:line="240" w:lineRule="auto"/>
              <w:ind w:firstLine="0" w:firstLineChars="0"/>
              <w:jc w:val="center"/>
              <w:rPr>
                <w:sz w:val="21"/>
                <w:szCs w:val="18"/>
              </w:rPr>
            </w:pPr>
            <w:r>
              <w:rPr>
                <w:kern w:val="0"/>
                <w:sz w:val="21"/>
                <w:szCs w:val="18"/>
              </w:rPr>
              <w:t>25000</w:t>
            </w:r>
          </w:p>
        </w:tc>
        <w:tc>
          <w:tcPr>
            <w:tcW w:w="893" w:type="dxa"/>
          </w:tcPr>
          <w:p w14:paraId="1948FF42">
            <w:pPr>
              <w:pStyle w:val="63"/>
              <w:spacing w:line="240" w:lineRule="auto"/>
              <w:ind w:firstLine="0" w:firstLineChars="0"/>
              <w:jc w:val="center"/>
              <w:rPr>
                <w:sz w:val="21"/>
                <w:szCs w:val="21"/>
              </w:rPr>
            </w:pPr>
            <w:r>
              <w:rPr>
                <w:sz w:val="21"/>
                <w:szCs w:val="21"/>
              </w:rPr>
              <w:t>51.3</w:t>
            </w:r>
          </w:p>
        </w:tc>
        <w:tc>
          <w:tcPr>
            <w:tcW w:w="893" w:type="dxa"/>
          </w:tcPr>
          <w:p w14:paraId="20754B04">
            <w:pPr>
              <w:pStyle w:val="63"/>
              <w:spacing w:line="240" w:lineRule="auto"/>
              <w:ind w:firstLine="0" w:firstLineChars="0"/>
              <w:jc w:val="center"/>
              <w:rPr>
                <w:sz w:val="21"/>
                <w:szCs w:val="21"/>
              </w:rPr>
            </w:pPr>
            <w:r>
              <w:rPr>
                <w:sz w:val="21"/>
                <w:szCs w:val="21"/>
              </w:rPr>
              <w:t>52.3</w:t>
            </w:r>
          </w:p>
        </w:tc>
        <w:tc>
          <w:tcPr>
            <w:tcW w:w="893" w:type="dxa"/>
          </w:tcPr>
          <w:p w14:paraId="4ECB893B">
            <w:pPr>
              <w:pStyle w:val="63"/>
              <w:spacing w:line="240" w:lineRule="auto"/>
              <w:ind w:firstLine="0" w:firstLineChars="0"/>
              <w:jc w:val="center"/>
              <w:rPr>
                <w:sz w:val="21"/>
                <w:szCs w:val="21"/>
              </w:rPr>
            </w:pPr>
            <w:r>
              <w:rPr>
                <w:sz w:val="21"/>
                <w:szCs w:val="21"/>
              </w:rPr>
              <w:t>51.0</w:t>
            </w:r>
          </w:p>
        </w:tc>
        <w:tc>
          <w:tcPr>
            <w:tcW w:w="893" w:type="dxa"/>
          </w:tcPr>
          <w:p w14:paraId="715C7FC9">
            <w:pPr>
              <w:pStyle w:val="63"/>
              <w:spacing w:line="240" w:lineRule="auto"/>
              <w:ind w:firstLine="0" w:firstLineChars="0"/>
              <w:jc w:val="center"/>
              <w:rPr>
                <w:sz w:val="21"/>
                <w:szCs w:val="21"/>
              </w:rPr>
            </w:pPr>
            <w:r>
              <w:rPr>
                <w:sz w:val="21"/>
                <w:szCs w:val="21"/>
              </w:rPr>
              <w:t>50.5</w:t>
            </w:r>
          </w:p>
        </w:tc>
        <w:tc>
          <w:tcPr>
            <w:tcW w:w="893" w:type="dxa"/>
          </w:tcPr>
          <w:p w14:paraId="049F3CAE">
            <w:pPr>
              <w:pStyle w:val="63"/>
              <w:spacing w:line="240" w:lineRule="auto"/>
              <w:ind w:firstLine="0" w:firstLineChars="0"/>
              <w:jc w:val="center"/>
              <w:rPr>
                <w:sz w:val="21"/>
                <w:szCs w:val="21"/>
              </w:rPr>
            </w:pPr>
            <w:r>
              <w:rPr>
                <w:sz w:val="21"/>
                <w:szCs w:val="21"/>
              </w:rPr>
              <w:t>51.6</w:t>
            </w:r>
          </w:p>
        </w:tc>
        <w:tc>
          <w:tcPr>
            <w:tcW w:w="893" w:type="dxa"/>
          </w:tcPr>
          <w:p w14:paraId="6BE7A006">
            <w:pPr>
              <w:pStyle w:val="63"/>
              <w:spacing w:line="240" w:lineRule="auto"/>
              <w:ind w:firstLine="0" w:firstLineChars="0"/>
              <w:jc w:val="center"/>
              <w:rPr>
                <w:sz w:val="21"/>
                <w:szCs w:val="21"/>
              </w:rPr>
            </w:pPr>
            <w:r>
              <w:rPr>
                <w:sz w:val="21"/>
                <w:szCs w:val="21"/>
              </w:rPr>
              <w:t>49.5</w:t>
            </w:r>
          </w:p>
        </w:tc>
        <w:tc>
          <w:tcPr>
            <w:tcW w:w="893" w:type="dxa"/>
          </w:tcPr>
          <w:p w14:paraId="2FF2E497">
            <w:pPr>
              <w:pStyle w:val="63"/>
              <w:spacing w:line="240" w:lineRule="auto"/>
              <w:ind w:firstLine="0" w:firstLineChars="0"/>
              <w:jc w:val="center"/>
              <w:rPr>
                <w:sz w:val="21"/>
                <w:szCs w:val="21"/>
              </w:rPr>
            </w:pPr>
            <w:r>
              <w:rPr>
                <w:sz w:val="21"/>
                <w:szCs w:val="21"/>
              </w:rPr>
              <w:t>51.0</w:t>
            </w:r>
          </w:p>
        </w:tc>
        <w:tc>
          <w:tcPr>
            <w:tcW w:w="893" w:type="dxa"/>
          </w:tcPr>
          <w:p w14:paraId="1438499A">
            <w:pPr>
              <w:pStyle w:val="63"/>
              <w:spacing w:line="240" w:lineRule="auto"/>
              <w:ind w:firstLine="0" w:firstLineChars="0"/>
              <w:jc w:val="center"/>
              <w:rPr>
                <w:sz w:val="21"/>
                <w:szCs w:val="21"/>
              </w:rPr>
            </w:pPr>
            <w:r>
              <w:rPr>
                <w:sz w:val="21"/>
                <w:szCs w:val="21"/>
              </w:rPr>
              <w:t>51.2</w:t>
            </w:r>
          </w:p>
        </w:tc>
        <w:tc>
          <w:tcPr>
            <w:tcW w:w="695" w:type="dxa"/>
          </w:tcPr>
          <w:p w14:paraId="4E6C5D21">
            <w:pPr>
              <w:pStyle w:val="63"/>
              <w:spacing w:line="240" w:lineRule="auto"/>
              <w:ind w:firstLine="0" w:firstLineChars="0"/>
              <w:jc w:val="center"/>
              <w:rPr>
                <w:sz w:val="21"/>
                <w:szCs w:val="21"/>
              </w:rPr>
            </w:pPr>
            <w:r>
              <w:rPr>
                <w:sz w:val="21"/>
                <w:szCs w:val="21"/>
              </w:rPr>
              <w:t>0.8</w:t>
            </w:r>
          </w:p>
        </w:tc>
        <w:tc>
          <w:tcPr>
            <w:tcW w:w="695" w:type="dxa"/>
          </w:tcPr>
          <w:p w14:paraId="2E3DA011">
            <w:pPr>
              <w:pStyle w:val="63"/>
              <w:spacing w:line="240" w:lineRule="auto"/>
              <w:ind w:firstLine="0" w:firstLineChars="0"/>
              <w:jc w:val="center"/>
              <w:rPr>
                <w:sz w:val="21"/>
                <w:szCs w:val="21"/>
              </w:rPr>
            </w:pPr>
            <w:r>
              <w:rPr>
                <w:sz w:val="21"/>
                <w:szCs w:val="21"/>
              </w:rPr>
              <w:t>0.28</w:t>
            </w:r>
          </w:p>
        </w:tc>
      </w:tr>
      <w:tr w14:paraId="525CE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667CF6ED">
            <w:pPr>
              <w:pStyle w:val="63"/>
              <w:spacing w:line="240" w:lineRule="auto"/>
              <w:ind w:firstLine="0" w:firstLineChars="0"/>
              <w:jc w:val="center"/>
              <w:rPr>
                <w:sz w:val="21"/>
                <w:szCs w:val="18"/>
              </w:rPr>
            </w:pPr>
            <w:r>
              <w:rPr>
                <w:kern w:val="0"/>
                <w:sz w:val="21"/>
                <w:szCs w:val="18"/>
              </w:rPr>
              <w:t>31500</w:t>
            </w:r>
          </w:p>
        </w:tc>
        <w:tc>
          <w:tcPr>
            <w:tcW w:w="893" w:type="dxa"/>
          </w:tcPr>
          <w:p w14:paraId="6319C227">
            <w:pPr>
              <w:pStyle w:val="63"/>
              <w:spacing w:line="240" w:lineRule="auto"/>
              <w:ind w:firstLine="0" w:firstLineChars="0"/>
              <w:jc w:val="center"/>
              <w:rPr>
                <w:sz w:val="21"/>
                <w:szCs w:val="21"/>
              </w:rPr>
            </w:pPr>
            <w:r>
              <w:rPr>
                <w:sz w:val="21"/>
                <w:szCs w:val="21"/>
              </w:rPr>
              <w:t>48.9</w:t>
            </w:r>
          </w:p>
        </w:tc>
        <w:tc>
          <w:tcPr>
            <w:tcW w:w="893" w:type="dxa"/>
          </w:tcPr>
          <w:p w14:paraId="6E3A4D1F">
            <w:pPr>
              <w:pStyle w:val="63"/>
              <w:spacing w:line="240" w:lineRule="auto"/>
              <w:ind w:firstLine="0" w:firstLineChars="0"/>
              <w:jc w:val="center"/>
              <w:rPr>
                <w:sz w:val="21"/>
                <w:szCs w:val="21"/>
              </w:rPr>
            </w:pPr>
            <w:r>
              <w:rPr>
                <w:sz w:val="21"/>
                <w:szCs w:val="21"/>
              </w:rPr>
              <w:t>49.3</w:t>
            </w:r>
          </w:p>
        </w:tc>
        <w:tc>
          <w:tcPr>
            <w:tcW w:w="893" w:type="dxa"/>
          </w:tcPr>
          <w:p w14:paraId="4DADA13C">
            <w:pPr>
              <w:pStyle w:val="63"/>
              <w:spacing w:line="240" w:lineRule="auto"/>
              <w:ind w:firstLine="0" w:firstLineChars="0"/>
              <w:jc w:val="center"/>
              <w:rPr>
                <w:sz w:val="21"/>
                <w:szCs w:val="21"/>
              </w:rPr>
            </w:pPr>
            <w:r>
              <w:rPr>
                <w:sz w:val="21"/>
                <w:szCs w:val="21"/>
              </w:rPr>
              <w:t>49.8</w:t>
            </w:r>
          </w:p>
        </w:tc>
        <w:tc>
          <w:tcPr>
            <w:tcW w:w="893" w:type="dxa"/>
          </w:tcPr>
          <w:p w14:paraId="190F681F">
            <w:pPr>
              <w:pStyle w:val="63"/>
              <w:spacing w:line="240" w:lineRule="auto"/>
              <w:ind w:firstLine="0" w:firstLineChars="0"/>
              <w:jc w:val="center"/>
              <w:rPr>
                <w:sz w:val="21"/>
                <w:szCs w:val="21"/>
              </w:rPr>
            </w:pPr>
            <w:r>
              <w:rPr>
                <w:sz w:val="21"/>
                <w:szCs w:val="21"/>
              </w:rPr>
              <w:t>50.2</w:t>
            </w:r>
          </w:p>
        </w:tc>
        <w:tc>
          <w:tcPr>
            <w:tcW w:w="893" w:type="dxa"/>
          </w:tcPr>
          <w:p w14:paraId="7F1A2142">
            <w:pPr>
              <w:pStyle w:val="63"/>
              <w:spacing w:line="240" w:lineRule="auto"/>
              <w:ind w:firstLine="0" w:firstLineChars="0"/>
              <w:jc w:val="center"/>
              <w:rPr>
                <w:sz w:val="21"/>
                <w:szCs w:val="21"/>
              </w:rPr>
            </w:pPr>
            <w:r>
              <w:rPr>
                <w:sz w:val="21"/>
                <w:szCs w:val="21"/>
              </w:rPr>
              <w:t>49.4</w:t>
            </w:r>
          </w:p>
        </w:tc>
        <w:tc>
          <w:tcPr>
            <w:tcW w:w="893" w:type="dxa"/>
          </w:tcPr>
          <w:p w14:paraId="287AE36E">
            <w:pPr>
              <w:pStyle w:val="63"/>
              <w:spacing w:line="240" w:lineRule="auto"/>
              <w:ind w:firstLine="0" w:firstLineChars="0"/>
              <w:jc w:val="center"/>
              <w:rPr>
                <w:sz w:val="21"/>
                <w:szCs w:val="21"/>
              </w:rPr>
            </w:pPr>
            <w:r>
              <w:rPr>
                <w:sz w:val="21"/>
                <w:szCs w:val="21"/>
              </w:rPr>
              <w:t>50.3</w:t>
            </w:r>
          </w:p>
        </w:tc>
        <w:tc>
          <w:tcPr>
            <w:tcW w:w="893" w:type="dxa"/>
          </w:tcPr>
          <w:p w14:paraId="0D73AF95">
            <w:pPr>
              <w:pStyle w:val="63"/>
              <w:spacing w:line="240" w:lineRule="auto"/>
              <w:ind w:firstLine="0" w:firstLineChars="0"/>
              <w:jc w:val="center"/>
              <w:rPr>
                <w:sz w:val="21"/>
                <w:szCs w:val="21"/>
              </w:rPr>
            </w:pPr>
            <w:r>
              <w:rPr>
                <w:sz w:val="21"/>
                <w:szCs w:val="21"/>
              </w:rPr>
              <w:t>49.9</w:t>
            </w:r>
          </w:p>
        </w:tc>
        <w:tc>
          <w:tcPr>
            <w:tcW w:w="893" w:type="dxa"/>
          </w:tcPr>
          <w:p w14:paraId="2A239895">
            <w:pPr>
              <w:pStyle w:val="63"/>
              <w:spacing w:line="240" w:lineRule="auto"/>
              <w:ind w:firstLine="0" w:firstLineChars="0"/>
              <w:jc w:val="center"/>
              <w:rPr>
                <w:sz w:val="21"/>
                <w:szCs w:val="21"/>
              </w:rPr>
            </w:pPr>
            <w:r>
              <w:rPr>
                <w:sz w:val="21"/>
                <w:szCs w:val="21"/>
              </w:rPr>
              <w:t>50.1</w:t>
            </w:r>
          </w:p>
        </w:tc>
        <w:tc>
          <w:tcPr>
            <w:tcW w:w="695" w:type="dxa"/>
          </w:tcPr>
          <w:p w14:paraId="32A16179">
            <w:pPr>
              <w:pStyle w:val="63"/>
              <w:spacing w:line="240" w:lineRule="auto"/>
              <w:ind w:firstLine="0" w:firstLineChars="0"/>
              <w:jc w:val="center"/>
              <w:rPr>
                <w:sz w:val="21"/>
                <w:szCs w:val="21"/>
              </w:rPr>
            </w:pPr>
            <w:r>
              <w:rPr>
                <w:sz w:val="21"/>
                <w:szCs w:val="21"/>
              </w:rPr>
              <w:t>0.5</w:t>
            </w:r>
          </w:p>
        </w:tc>
        <w:tc>
          <w:tcPr>
            <w:tcW w:w="695" w:type="dxa"/>
          </w:tcPr>
          <w:p w14:paraId="74253486">
            <w:pPr>
              <w:pStyle w:val="63"/>
              <w:spacing w:line="240" w:lineRule="auto"/>
              <w:ind w:firstLine="0" w:firstLineChars="0"/>
              <w:jc w:val="center"/>
              <w:rPr>
                <w:sz w:val="21"/>
                <w:szCs w:val="21"/>
              </w:rPr>
            </w:pPr>
            <w:r>
              <w:rPr>
                <w:sz w:val="21"/>
                <w:szCs w:val="21"/>
              </w:rPr>
              <w:t>0.18</w:t>
            </w:r>
          </w:p>
        </w:tc>
      </w:tr>
      <w:tr w14:paraId="49FD8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41" w:type="dxa"/>
            <w:vAlign w:val="center"/>
          </w:tcPr>
          <w:p w14:paraId="50832D5A">
            <w:pPr>
              <w:pStyle w:val="63"/>
              <w:spacing w:line="240" w:lineRule="auto"/>
              <w:ind w:firstLine="0" w:firstLineChars="0"/>
              <w:jc w:val="center"/>
              <w:rPr>
                <w:sz w:val="21"/>
                <w:szCs w:val="18"/>
              </w:rPr>
            </w:pPr>
            <w:r>
              <w:rPr>
                <w:kern w:val="0"/>
                <w:sz w:val="21"/>
                <w:szCs w:val="18"/>
              </w:rPr>
              <w:t>40000</w:t>
            </w:r>
          </w:p>
        </w:tc>
        <w:tc>
          <w:tcPr>
            <w:tcW w:w="893" w:type="dxa"/>
          </w:tcPr>
          <w:p w14:paraId="536FBBE6">
            <w:pPr>
              <w:pStyle w:val="63"/>
              <w:spacing w:line="240" w:lineRule="auto"/>
              <w:ind w:firstLine="0" w:firstLineChars="0"/>
              <w:jc w:val="center"/>
              <w:rPr>
                <w:sz w:val="21"/>
                <w:szCs w:val="21"/>
              </w:rPr>
            </w:pPr>
            <w:r>
              <w:rPr>
                <w:sz w:val="21"/>
                <w:szCs w:val="21"/>
              </w:rPr>
              <w:t>49.9</w:t>
            </w:r>
          </w:p>
        </w:tc>
        <w:tc>
          <w:tcPr>
            <w:tcW w:w="893" w:type="dxa"/>
          </w:tcPr>
          <w:p w14:paraId="0088371B">
            <w:pPr>
              <w:pStyle w:val="63"/>
              <w:spacing w:line="240" w:lineRule="auto"/>
              <w:ind w:firstLine="0" w:firstLineChars="0"/>
              <w:jc w:val="center"/>
              <w:rPr>
                <w:sz w:val="21"/>
                <w:szCs w:val="21"/>
              </w:rPr>
            </w:pPr>
            <w:r>
              <w:rPr>
                <w:sz w:val="21"/>
                <w:szCs w:val="21"/>
              </w:rPr>
              <w:t>49.0</w:t>
            </w:r>
          </w:p>
        </w:tc>
        <w:tc>
          <w:tcPr>
            <w:tcW w:w="893" w:type="dxa"/>
          </w:tcPr>
          <w:p w14:paraId="04B6C467">
            <w:pPr>
              <w:pStyle w:val="63"/>
              <w:spacing w:line="240" w:lineRule="auto"/>
              <w:ind w:firstLine="0" w:firstLineChars="0"/>
              <w:jc w:val="center"/>
              <w:rPr>
                <w:sz w:val="21"/>
                <w:szCs w:val="21"/>
              </w:rPr>
            </w:pPr>
            <w:r>
              <w:rPr>
                <w:sz w:val="21"/>
                <w:szCs w:val="21"/>
              </w:rPr>
              <w:t>50.0</w:t>
            </w:r>
          </w:p>
        </w:tc>
        <w:tc>
          <w:tcPr>
            <w:tcW w:w="893" w:type="dxa"/>
          </w:tcPr>
          <w:p w14:paraId="729962BB">
            <w:pPr>
              <w:pStyle w:val="63"/>
              <w:spacing w:line="240" w:lineRule="auto"/>
              <w:ind w:firstLine="0" w:firstLineChars="0"/>
              <w:jc w:val="center"/>
              <w:rPr>
                <w:sz w:val="21"/>
                <w:szCs w:val="21"/>
              </w:rPr>
            </w:pPr>
            <w:r>
              <w:rPr>
                <w:sz w:val="21"/>
                <w:szCs w:val="21"/>
              </w:rPr>
              <w:t>48.5</w:t>
            </w:r>
          </w:p>
        </w:tc>
        <w:tc>
          <w:tcPr>
            <w:tcW w:w="893" w:type="dxa"/>
          </w:tcPr>
          <w:p w14:paraId="016D97EE">
            <w:pPr>
              <w:pStyle w:val="63"/>
              <w:spacing w:line="240" w:lineRule="auto"/>
              <w:ind w:firstLine="0" w:firstLineChars="0"/>
              <w:jc w:val="center"/>
              <w:rPr>
                <w:sz w:val="21"/>
                <w:szCs w:val="21"/>
              </w:rPr>
            </w:pPr>
            <w:r>
              <w:rPr>
                <w:sz w:val="21"/>
                <w:szCs w:val="21"/>
              </w:rPr>
              <w:t>49.2</w:t>
            </w:r>
          </w:p>
        </w:tc>
        <w:tc>
          <w:tcPr>
            <w:tcW w:w="893" w:type="dxa"/>
          </w:tcPr>
          <w:p w14:paraId="646A4094">
            <w:pPr>
              <w:pStyle w:val="63"/>
              <w:spacing w:line="240" w:lineRule="auto"/>
              <w:ind w:firstLine="0" w:firstLineChars="0"/>
              <w:jc w:val="center"/>
              <w:rPr>
                <w:sz w:val="21"/>
                <w:szCs w:val="21"/>
              </w:rPr>
            </w:pPr>
            <w:r>
              <w:rPr>
                <w:sz w:val="21"/>
                <w:szCs w:val="21"/>
              </w:rPr>
              <w:t>49.4</w:t>
            </w:r>
          </w:p>
        </w:tc>
        <w:tc>
          <w:tcPr>
            <w:tcW w:w="893" w:type="dxa"/>
          </w:tcPr>
          <w:p w14:paraId="5B3C53AB">
            <w:pPr>
              <w:pStyle w:val="63"/>
              <w:spacing w:line="240" w:lineRule="auto"/>
              <w:ind w:firstLine="0" w:firstLineChars="0"/>
              <w:jc w:val="center"/>
              <w:rPr>
                <w:sz w:val="21"/>
                <w:szCs w:val="21"/>
              </w:rPr>
            </w:pPr>
            <w:r>
              <w:rPr>
                <w:sz w:val="21"/>
                <w:szCs w:val="21"/>
              </w:rPr>
              <w:t>47.8</w:t>
            </w:r>
          </w:p>
        </w:tc>
        <w:tc>
          <w:tcPr>
            <w:tcW w:w="893" w:type="dxa"/>
          </w:tcPr>
          <w:p w14:paraId="3462ADA0">
            <w:pPr>
              <w:pStyle w:val="63"/>
              <w:spacing w:line="240" w:lineRule="auto"/>
              <w:ind w:firstLine="0" w:firstLineChars="0"/>
              <w:jc w:val="center"/>
              <w:rPr>
                <w:sz w:val="21"/>
                <w:szCs w:val="21"/>
              </w:rPr>
            </w:pPr>
            <w:r>
              <w:rPr>
                <w:sz w:val="21"/>
                <w:szCs w:val="21"/>
              </w:rPr>
              <w:t>47.7</w:t>
            </w:r>
          </w:p>
        </w:tc>
        <w:tc>
          <w:tcPr>
            <w:tcW w:w="695" w:type="dxa"/>
          </w:tcPr>
          <w:p w14:paraId="48AB992F">
            <w:pPr>
              <w:pStyle w:val="63"/>
              <w:spacing w:line="240" w:lineRule="auto"/>
              <w:ind w:firstLine="0" w:firstLineChars="0"/>
              <w:jc w:val="center"/>
              <w:rPr>
                <w:sz w:val="21"/>
                <w:szCs w:val="21"/>
              </w:rPr>
            </w:pPr>
            <w:r>
              <w:rPr>
                <w:sz w:val="21"/>
                <w:szCs w:val="21"/>
              </w:rPr>
              <w:t>0.9</w:t>
            </w:r>
          </w:p>
        </w:tc>
        <w:tc>
          <w:tcPr>
            <w:tcW w:w="695" w:type="dxa"/>
          </w:tcPr>
          <w:p w14:paraId="7A20738B">
            <w:pPr>
              <w:pStyle w:val="63"/>
              <w:spacing w:line="240" w:lineRule="auto"/>
              <w:ind w:firstLine="0" w:firstLineChars="0"/>
              <w:jc w:val="center"/>
              <w:rPr>
                <w:sz w:val="21"/>
                <w:szCs w:val="21"/>
              </w:rPr>
            </w:pPr>
            <w:r>
              <w:rPr>
                <w:sz w:val="21"/>
                <w:szCs w:val="21"/>
              </w:rPr>
              <w:t>0.31</w:t>
            </w:r>
          </w:p>
        </w:tc>
      </w:tr>
    </w:tbl>
    <w:p w14:paraId="1D8ADEF9">
      <w:pPr>
        <w:widowControl/>
        <w:autoSpaceDE w:val="0"/>
        <w:autoSpaceDN w:val="0"/>
        <w:jc w:val="center"/>
        <w:rPr>
          <w:b/>
          <w:bCs/>
          <w:sz w:val="24"/>
          <w:szCs w:val="24"/>
        </w:rPr>
      </w:pPr>
    </w:p>
    <w:p w14:paraId="7398ABCE">
      <w:pPr>
        <w:widowControl/>
        <w:autoSpaceDE w:val="0"/>
        <w:autoSpaceDN w:val="0"/>
        <w:spacing w:line="360" w:lineRule="auto"/>
        <w:jc w:val="center"/>
        <w:rPr>
          <w:sz w:val="24"/>
          <w:szCs w:val="24"/>
        </w:rPr>
      </w:pPr>
    </w:p>
    <w:p w14:paraId="4303E443">
      <w:pPr>
        <w:widowControl/>
        <w:autoSpaceDE w:val="0"/>
        <w:autoSpaceDN w:val="0"/>
        <w:spacing w:line="360" w:lineRule="auto"/>
        <w:jc w:val="center"/>
        <w:rPr>
          <w:sz w:val="24"/>
          <w:szCs w:val="24"/>
        </w:rPr>
      </w:pPr>
    </w:p>
    <w:p w14:paraId="0758C3DF">
      <w:pPr>
        <w:widowControl/>
        <w:autoSpaceDE w:val="0"/>
        <w:autoSpaceDN w:val="0"/>
        <w:spacing w:line="360" w:lineRule="auto"/>
        <w:ind w:firstLine="480" w:firstLineChars="200"/>
        <w:jc w:val="left"/>
        <w:rPr>
          <w:sz w:val="24"/>
          <w:szCs w:val="24"/>
        </w:rPr>
      </w:pPr>
      <w:r>
        <w:rPr>
          <w:sz w:val="24"/>
          <w:szCs w:val="24"/>
        </w:rPr>
        <w:t>2）信噪比不足引入的标准不确定度分量</w:t>
      </w:r>
      <w:bookmarkStart w:id="120" w:name="OLE_LINK10"/>
      <w:r>
        <w:rPr>
          <w:position w:val="-12"/>
        </w:rPr>
        <w:object>
          <v:shape id="_x0000_i1136" o:spt="75" type="#_x0000_t75" style="height:18.15pt;width:18.15pt;" o:ole="t" filled="f" o:preferrelative="t" stroked="f" coordsize="21600,21600">
            <v:path/>
            <v:fill on="f" focussize="0,0"/>
            <v:stroke on="f" joinstyle="miter"/>
            <v:imagedata r:id="rId212" o:title=""/>
            <o:lock v:ext="edit" aspectratio="t"/>
            <w10:wrap type="none"/>
            <w10:anchorlock/>
          </v:shape>
          <o:OLEObject Type="Embed" ProgID="Equation.DSMT4" ShapeID="_x0000_i1136" DrawAspect="Content" ObjectID="_1468075836" r:id="rId211">
            <o:LockedField>false</o:LockedField>
          </o:OLEObject>
        </w:object>
      </w:r>
      <w:bookmarkEnd w:id="120"/>
    </w:p>
    <w:p w14:paraId="735EFA35">
      <w:pPr>
        <w:widowControl/>
        <w:autoSpaceDE w:val="0"/>
        <w:autoSpaceDN w:val="0"/>
        <w:spacing w:line="360" w:lineRule="auto"/>
        <w:ind w:firstLine="480" w:firstLineChars="200"/>
        <w:jc w:val="left"/>
        <w:rPr>
          <w:sz w:val="24"/>
          <w:szCs w:val="24"/>
        </w:rPr>
      </w:pPr>
      <w:r>
        <w:rPr>
          <w:sz w:val="24"/>
          <w:szCs w:val="24"/>
        </w:rPr>
        <w:t>信噪比不足引入的标准不确定度分量按照B类方法评定。信噪比不足引入的误差不应超过± 0.1 dB。以均匀分布考虑，取</w:t>
      </w:r>
      <w:r>
        <w:rPr>
          <w:position w:val="-8"/>
        </w:rPr>
        <w:object>
          <v:shape id="_x0000_i1137" o:spt="75" type="#_x0000_t75" style="height:18.15pt;width:36.3pt;" o:ole="t" filled="f" o:preferrelative="t" stroked="f" coordsize="21600,21600">
            <v:path/>
            <v:fill on="f" focussize="0,0"/>
            <v:stroke on="f" joinstyle="miter"/>
            <v:imagedata r:id="rId121" o:title=""/>
            <o:lock v:ext="edit" aspectratio="t"/>
            <w10:wrap type="none"/>
            <w10:anchorlock/>
          </v:shape>
          <o:OLEObject Type="Embed" ProgID="Equation.DSMT4" ShapeID="_x0000_i1137" DrawAspect="Content" ObjectID="_1468075837" r:id="rId213">
            <o:LockedField>false</o:LockedField>
          </o:OLEObject>
        </w:object>
      </w:r>
      <w:r>
        <w:rPr>
          <w:sz w:val="24"/>
          <w:szCs w:val="24"/>
        </w:rPr>
        <w:t>，则仪器输入阻抗不足引入的标准不确定度分量为：</w:t>
      </w:r>
    </w:p>
    <w:p w14:paraId="6C53C953">
      <w:pPr>
        <w:widowControl/>
        <w:autoSpaceDE w:val="0"/>
        <w:autoSpaceDN w:val="0"/>
        <w:spacing w:line="360" w:lineRule="auto"/>
        <w:ind w:firstLine="420" w:firstLineChars="200"/>
        <w:jc w:val="right"/>
        <w:rPr>
          <w:sz w:val="24"/>
          <w:szCs w:val="24"/>
        </w:rPr>
      </w:pPr>
      <w:r>
        <w:rPr>
          <w:position w:val="-12"/>
        </w:rPr>
        <w:object>
          <v:shape id="_x0000_i1138" o:spt="75" type="#_x0000_t75" style="height:19.4pt;width:98.3pt;" o:ole="t" filled="f" o:preferrelative="t" stroked="f" coordsize="21600,21600">
            <v:path/>
            <v:fill on="f" focussize="0,0"/>
            <v:stroke on="f" joinstyle="miter"/>
            <v:imagedata r:id="rId215" o:title=""/>
            <o:lock v:ext="edit" aspectratio="t"/>
            <w10:wrap type="none"/>
            <w10:anchorlock/>
          </v:shape>
          <o:OLEObject Type="Embed" ProgID="Equation.DSMT4" ShapeID="_x0000_i1138" DrawAspect="Content" ObjectID="_1468075838" r:id="rId214">
            <o:LockedField>false</o:LockedField>
          </o:OLEObject>
        </w:object>
      </w:r>
      <w:r>
        <w:rPr>
          <w:sz w:val="24"/>
          <w:szCs w:val="28"/>
        </w:rPr>
        <w:t xml:space="preserve"> dB</w:t>
      </w:r>
      <w:r>
        <w:rPr>
          <w:sz w:val="24"/>
          <w:szCs w:val="24"/>
        </w:rPr>
        <w:t xml:space="preserve">                    </w:t>
      </w:r>
      <w:r>
        <w:rPr>
          <w:sz w:val="24"/>
          <w:szCs w:val="28"/>
        </w:rPr>
        <w:t>（C.3</w:t>
      </w:r>
      <w:r>
        <w:rPr>
          <w:rFonts w:hint="eastAsia"/>
          <w:sz w:val="24"/>
          <w:szCs w:val="28"/>
        </w:rPr>
        <w:t>2</w:t>
      </w:r>
      <w:r>
        <w:rPr>
          <w:sz w:val="24"/>
          <w:szCs w:val="28"/>
        </w:rPr>
        <w:t>）</w:t>
      </w:r>
    </w:p>
    <w:p w14:paraId="4337A435">
      <w:pPr>
        <w:widowControl/>
        <w:autoSpaceDE w:val="0"/>
        <w:autoSpaceDN w:val="0"/>
        <w:spacing w:line="360" w:lineRule="auto"/>
        <w:ind w:firstLine="480" w:firstLineChars="200"/>
        <w:jc w:val="left"/>
        <w:rPr>
          <w:sz w:val="24"/>
          <w:szCs w:val="24"/>
        </w:rPr>
      </w:pPr>
      <w:r>
        <w:rPr>
          <w:sz w:val="24"/>
          <w:szCs w:val="24"/>
        </w:rPr>
        <w:t>3）电干扰引入的标准不确定度分量</w:t>
      </w:r>
      <w:r>
        <w:rPr>
          <w:position w:val="-12"/>
        </w:rPr>
        <w:object>
          <v:shape id="_x0000_i1139" o:spt="75" type="#_x0000_t75" style="height:18.15pt;width:18.15pt;" o:ole="t" filled="f" o:preferrelative="t" stroked="f" coordsize="21600,21600">
            <v:path/>
            <v:fill on="f" focussize="0,0"/>
            <v:stroke on="f" joinstyle="miter"/>
            <v:imagedata r:id="rId217" o:title=""/>
            <o:lock v:ext="edit" aspectratio="t"/>
            <w10:wrap type="none"/>
            <w10:anchorlock/>
          </v:shape>
          <o:OLEObject Type="Embed" ProgID="Equation.DSMT4" ShapeID="_x0000_i1139" DrawAspect="Content" ObjectID="_1468075839" r:id="rId216">
            <o:LockedField>false</o:LockedField>
          </o:OLEObject>
        </w:object>
      </w:r>
    </w:p>
    <w:p w14:paraId="48A34BB0">
      <w:pPr>
        <w:widowControl/>
        <w:autoSpaceDE w:val="0"/>
        <w:autoSpaceDN w:val="0"/>
        <w:spacing w:line="360" w:lineRule="auto"/>
        <w:ind w:firstLine="480" w:firstLineChars="200"/>
        <w:jc w:val="left"/>
        <w:rPr>
          <w:sz w:val="24"/>
          <w:szCs w:val="24"/>
        </w:rPr>
      </w:pPr>
      <w:r>
        <w:rPr>
          <w:sz w:val="24"/>
          <w:szCs w:val="24"/>
        </w:rPr>
        <w:t>电干扰引入的标准不确定度分量按照B类方法评定。电干扰引入的误差不应超过± 0.1 dB。以均匀分布考虑，取</w:t>
      </w:r>
      <w:r>
        <w:rPr>
          <w:position w:val="-8"/>
        </w:rPr>
        <w:object>
          <v:shape id="_x0000_i1140" o:spt="75" type="#_x0000_t75" style="height:18.15pt;width:36.3pt;" o:ole="t" filled="f" o:preferrelative="t" stroked="f" coordsize="21600,21600">
            <v:path/>
            <v:fill on="f" focussize="0,0"/>
            <v:stroke on="f" joinstyle="miter"/>
            <v:imagedata r:id="rId121" o:title=""/>
            <o:lock v:ext="edit" aspectratio="t"/>
            <w10:wrap type="none"/>
            <w10:anchorlock/>
          </v:shape>
          <o:OLEObject Type="Embed" ProgID="Equation.DSMT4" ShapeID="_x0000_i1140" DrawAspect="Content" ObjectID="_1468075840" r:id="rId218">
            <o:LockedField>false</o:LockedField>
          </o:OLEObject>
        </w:object>
      </w:r>
      <w:r>
        <w:rPr>
          <w:sz w:val="24"/>
          <w:szCs w:val="24"/>
        </w:rPr>
        <w:t>，则仪器输入阻抗不足引入的标准不确定度分量为：</w:t>
      </w:r>
    </w:p>
    <w:p w14:paraId="14E962E7">
      <w:pPr>
        <w:widowControl/>
        <w:autoSpaceDE w:val="0"/>
        <w:autoSpaceDN w:val="0"/>
        <w:spacing w:line="360" w:lineRule="auto"/>
        <w:ind w:firstLine="420" w:firstLineChars="200"/>
        <w:jc w:val="right"/>
        <w:rPr>
          <w:sz w:val="24"/>
          <w:szCs w:val="24"/>
        </w:rPr>
      </w:pPr>
      <w:r>
        <w:rPr>
          <w:position w:val="-12"/>
        </w:rPr>
        <w:object>
          <v:shape id="_x0000_i1141" o:spt="75" type="#_x0000_t75" style="height:19.4pt;width:98.3pt;" o:ole="t" filled="f" o:preferrelative="t" stroked="f" coordsize="21600,21600">
            <v:path/>
            <v:fill on="f" focussize="0,0"/>
            <v:stroke on="f" joinstyle="miter"/>
            <v:imagedata r:id="rId220" o:title=""/>
            <o:lock v:ext="edit" aspectratio="t"/>
            <w10:wrap type="none"/>
            <w10:anchorlock/>
          </v:shape>
          <o:OLEObject Type="Embed" ProgID="Equation.DSMT4" ShapeID="_x0000_i1141" DrawAspect="Content" ObjectID="_1468075841" r:id="rId219">
            <o:LockedField>false</o:LockedField>
          </o:OLEObject>
        </w:object>
      </w:r>
      <w:r>
        <w:rPr>
          <w:sz w:val="24"/>
          <w:szCs w:val="28"/>
        </w:rPr>
        <w:t xml:space="preserve"> dB</w:t>
      </w:r>
      <w:r>
        <w:rPr>
          <w:sz w:val="24"/>
          <w:szCs w:val="24"/>
        </w:rPr>
        <w:t xml:space="preserve">                    </w:t>
      </w:r>
      <w:r>
        <w:rPr>
          <w:sz w:val="24"/>
          <w:szCs w:val="28"/>
        </w:rPr>
        <w:t>（C.3</w:t>
      </w:r>
      <w:r>
        <w:rPr>
          <w:rFonts w:hint="eastAsia"/>
          <w:sz w:val="24"/>
          <w:szCs w:val="28"/>
        </w:rPr>
        <w:t>3</w:t>
      </w:r>
      <w:r>
        <w:rPr>
          <w:sz w:val="24"/>
          <w:szCs w:val="28"/>
        </w:rPr>
        <w:t>）</w:t>
      </w:r>
    </w:p>
    <w:p w14:paraId="54F9CD09">
      <w:pPr>
        <w:widowControl/>
        <w:autoSpaceDE w:val="0"/>
        <w:autoSpaceDN w:val="0"/>
        <w:spacing w:line="360" w:lineRule="auto"/>
        <w:ind w:firstLine="480" w:firstLineChars="200"/>
        <w:jc w:val="left"/>
        <w:rPr>
          <w:sz w:val="24"/>
          <w:szCs w:val="24"/>
        </w:rPr>
      </w:pPr>
      <w:r>
        <w:rPr>
          <w:sz w:val="24"/>
          <w:szCs w:val="24"/>
        </w:rPr>
        <w:t>4）海况不稳定引入的标准不确定度分量</w:t>
      </w:r>
      <w:r>
        <w:rPr>
          <w:position w:val="-12"/>
        </w:rPr>
        <w:object>
          <v:shape id="_x0000_i1142" o:spt="75" type="#_x0000_t75" style="height:18.15pt;width:18.15pt;" o:ole="t" filled="f" o:preferrelative="t" stroked="f" coordsize="21600,21600">
            <v:path/>
            <v:fill on="f" focussize="0,0"/>
            <v:stroke on="f" joinstyle="miter"/>
            <v:imagedata r:id="rId222" o:title=""/>
            <o:lock v:ext="edit" aspectratio="t"/>
            <w10:wrap type="none"/>
            <w10:anchorlock/>
          </v:shape>
          <o:OLEObject Type="Embed" ProgID="Equation.DSMT4" ShapeID="_x0000_i1142" DrawAspect="Content" ObjectID="_1468075842" r:id="rId221">
            <o:LockedField>false</o:LockedField>
          </o:OLEObject>
        </w:object>
      </w:r>
    </w:p>
    <w:p w14:paraId="0E3BB28E">
      <w:pPr>
        <w:widowControl/>
        <w:autoSpaceDE w:val="0"/>
        <w:autoSpaceDN w:val="0"/>
        <w:spacing w:line="360" w:lineRule="auto"/>
        <w:ind w:firstLine="480" w:firstLineChars="200"/>
        <w:jc w:val="left"/>
        <w:rPr>
          <w:sz w:val="24"/>
          <w:szCs w:val="24"/>
        </w:rPr>
      </w:pPr>
      <w:r>
        <w:rPr>
          <w:sz w:val="24"/>
          <w:szCs w:val="24"/>
        </w:rPr>
        <w:t>海况不稳定引入的标准不确定分量按B类方法评定。海况不稳定引入的误差不应超过± 0.3 dB。以均匀分布考虑，取</w:t>
      </w:r>
      <w:r>
        <w:rPr>
          <w:position w:val="-8"/>
        </w:rPr>
        <w:object>
          <v:shape id="_x0000_i1143" o:spt="75" type="#_x0000_t75" style="height:18.15pt;width:36.3pt;" o:ole="t" filled="f" o:preferrelative="t" stroked="f" coordsize="21600,21600">
            <v:path/>
            <v:fill on="f" focussize="0,0"/>
            <v:stroke on="f" joinstyle="miter"/>
            <v:imagedata r:id="rId121" o:title=""/>
            <o:lock v:ext="edit" aspectratio="t"/>
            <w10:wrap type="none"/>
            <w10:anchorlock/>
          </v:shape>
          <o:OLEObject Type="Embed" ProgID="Equation.DSMT4" ShapeID="_x0000_i1143" DrawAspect="Content" ObjectID="_1468075843" r:id="rId223">
            <o:LockedField>false</o:LockedField>
          </o:OLEObject>
        </w:object>
      </w:r>
      <w:r>
        <w:rPr>
          <w:sz w:val="24"/>
          <w:szCs w:val="24"/>
        </w:rPr>
        <w:t>，则海况不稳定引入的标准不确定度分量为：</w:t>
      </w:r>
    </w:p>
    <w:p w14:paraId="60F8FF56">
      <w:pPr>
        <w:widowControl/>
        <w:autoSpaceDE w:val="0"/>
        <w:autoSpaceDN w:val="0"/>
        <w:spacing w:line="360" w:lineRule="auto"/>
        <w:ind w:firstLine="420" w:firstLineChars="200"/>
        <w:jc w:val="right"/>
        <w:rPr>
          <w:sz w:val="24"/>
          <w:szCs w:val="24"/>
        </w:rPr>
      </w:pPr>
      <w:r>
        <w:rPr>
          <w:position w:val="-12"/>
        </w:rPr>
        <w:object>
          <v:shape id="_x0000_i1144" o:spt="75" type="#_x0000_t75" style="height:19.4pt;width:98.9pt;" o:ole="t" filled="f" o:preferrelative="t" stroked="f" coordsize="21600,21600">
            <v:path/>
            <v:fill on="f" focussize="0,0"/>
            <v:stroke on="f" joinstyle="miter"/>
            <v:imagedata r:id="rId225" o:title=""/>
            <o:lock v:ext="edit" aspectratio="t"/>
            <w10:wrap type="none"/>
            <w10:anchorlock/>
          </v:shape>
          <o:OLEObject Type="Embed" ProgID="Equation.DSMT4" ShapeID="_x0000_i1144" DrawAspect="Content" ObjectID="_1468075844" r:id="rId224">
            <o:LockedField>false</o:LockedField>
          </o:OLEObject>
        </w:object>
      </w:r>
      <w:r>
        <w:t xml:space="preserve"> </w:t>
      </w:r>
      <w:r>
        <w:rPr>
          <w:sz w:val="24"/>
          <w:szCs w:val="28"/>
        </w:rPr>
        <w:t xml:space="preserve">dB           </w:t>
      </w:r>
      <w:r>
        <w:rPr>
          <w:sz w:val="24"/>
          <w:szCs w:val="24"/>
        </w:rPr>
        <w:t xml:space="preserve">         </w:t>
      </w:r>
      <w:r>
        <w:rPr>
          <w:sz w:val="24"/>
          <w:szCs w:val="28"/>
        </w:rPr>
        <w:t>（C.3</w:t>
      </w:r>
      <w:r>
        <w:rPr>
          <w:rFonts w:hint="eastAsia"/>
          <w:sz w:val="24"/>
          <w:szCs w:val="28"/>
        </w:rPr>
        <w:t>4</w:t>
      </w:r>
      <w:r>
        <w:rPr>
          <w:sz w:val="24"/>
          <w:szCs w:val="28"/>
        </w:rPr>
        <w:t>）</w:t>
      </w:r>
    </w:p>
    <w:p w14:paraId="114AED75">
      <w:pPr>
        <w:widowControl/>
        <w:autoSpaceDE w:val="0"/>
        <w:autoSpaceDN w:val="0"/>
        <w:spacing w:line="360" w:lineRule="auto"/>
        <w:ind w:firstLine="480" w:firstLineChars="200"/>
        <w:jc w:val="left"/>
        <w:rPr>
          <w:sz w:val="24"/>
          <w:szCs w:val="24"/>
        </w:rPr>
      </w:pPr>
      <w:r>
        <w:rPr>
          <w:sz w:val="24"/>
          <w:szCs w:val="24"/>
        </w:rPr>
        <w:t>5）海水温度变化引入的标准不确定度分量</w:t>
      </w:r>
      <w:r>
        <w:rPr>
          <w:position w:val="-12"/>
        </w:rPr>
        <w:object>
          <v:shape id="_x0000_i1145" o:spt="75" type="#_x0000_t75" style="height:18.15pt;width:18.15pt;" o:ole="t" filled="f" o:preferrelative="t" stroked="f" coordsize="21600,21600">
            <v:path/>
            <v:fill on="f" focussize="0,0"/>
            <v:stroke on="f" joinstyle="miter"/>
            <v:imagedata r:id="rId227" o:title=""/>
            <o:lock v:ext="edit" aspectratio="t"/>
            <w10:wrap type="none"/>
            <w10:anchorlock/>
          </v:shape>
          <o:OLEObject Type="Embed" ProgID="Equation.DSMT4" ShapeID="_x0000_i1145" DrawAspect="Content" ObjectID="_1468075845" r:id="rId226">
            <o:LockedField>false</o:LockedField>
          </o:OLEObject>
        </w:object>
      </w:r>
    </w:p>
    <w:p w14:paraId="02846997">
      <w:pPr>
        <w:widowControl/>
        <w:autoSpaceDE w:val="0"/>
        <w:autoSpaceDN w:val="0"/>
        <w:spacing w:line="360" w:lineRule="auto"/>
        <w:ind w:firstLine="480" w:firstLineChars="200"/>
        <w:rPr>
          <w:sz w:val="24"/>
          <w:szCs w:val="24"/>
        </w:rPr>
      </w:pPr>
      <w:r>
        <w:rPr>
          <w:sz w:val="24"/>
          <w:szCs w:val="24"/>
        </w:rPr>
        <w:t>海水温度变化引入的标准不确定度分量按B类方法评定，海水温度变化引入的误差不应超过± 0.2 dB。以均匀分布考虑，取</w:t>
      </w:r>
      <w:r>
        <w:rPr>
          <w:position w:val="-8"/>
        </w:rPr>
        <w:object>
          <v:shape id="_x0000_i1146" o:spt="75" type="#_x0000_t75" style="height:18.15pt;width:36.3pt;" o:ole="t" filled="f" o:preferrelative="t" stroked="f" coordsize="21600,21600">
            <v:path/>
            <v:fill on="f" focussize="0,0"/>
            <v:stroke on="f" joinstyle="miter"/>
            <v:imagedata r:id="rId121" o:title=""/>
            <o:lock v:ext="edit" aspectratio="t"/>
            <w10:wrap type="none"/>
            <w10:anchorlock/>
          </v:shape>
          <o:OLEObject Type="Embed" ProgID="Equation.DSMT4" ShapeID="_x0000_i1146" DrawAspect="Content" ObjectID="_1468075846" r:id="rId228">
            <o:LockedField>false</o:LockedField>
          </o:OLEObject>
        </w:object>
      </w:r>
      <w:r>
        <w:rPr>
          <w:sz w:val="24"/>
          <w:szCs w:val="24"/>
        </w:rPr>
        <w:t>，则海水温度变化引入的标准不确定度分量为：</w:t>
      </w:r>
    </w:p>
    <w:p w14:paraId="18A55973">
      <w:pPr>
        <w:widowControl/>
        <w:autoSpaceDE w:val="0"/>
        <w:autoSpaceDN w:val="0"/>
        <w:spacing w:line="360" w:lineRule="auto"/>
        <w:ind w:firstLine="420" w:firstLineChars="200"/>
        <w:jc w:val="right"/>
        <w:rPr>
          <w:sz w:val="24"/>
          <w:szCs w:val="28"/>
        </w:rPr>
      </w:pPr>
      <w:r>
        <w:rPr>
          <w:position w:val="-12"/>
        </w:rPr>
        <w:object>
          <v:shape id="_x0000_i1147" o:spt="75" type="#_x0000_t75" style="height:19.4pt;width:98pt;" o:ole="t" filled="f" o:preferrelative="t" stroked="f" coordsize="21600,21600">
            <v:path/>
            <v:fill on="f" focussize="0,0"/>
            <v:stroke on="f" joinstyle="miter"/>
            <v:imagedata r:id="rId230" o:title=""/>
            <o:lock v:ext="edit" aspectratio="t"/>
            <w10:wrap type="none"/>
            <w10:anchorlock/>
          </v:shape>
          <o:OLEObject Type="Embed" ProgID="Equation.DSMT4" ShapeID="_x0000_i1147" DrawAspect="Content" ObjectID="_1468075847" r:id="rId229">
            <o:LockedField>false</o:LockedField>
          </o:OLEObject>
        </w:object>
      </w:r>
      <w:r>
        <w:t xml:space="preserve"> </w:t>
      </w:r>
      <w:r>
        <w:rPr>
          <w:sz w:val="24"/>
          <w:szCs w:val="28"/>
        </w:rPr>
        <w:t>dB</w:t>
      </w:r>
      <w:r>
        <w:rPr>
          <w:sz w:val="24"/>
          <w:szCs w:val="24"/>
        </w:rPr>
        <w:t xml:space="preserve">                    </w:t>
      </w:r>
      <w:r>
        <w:rPr>
          <w:sz w:val="24"/>
          <w:szCs w:val="28"/>
        </w:rPr>
        <w:t>（C.3</w:t>
      </w:r>
      <w:r>
        <w:rPr>
          <w:rFonts w:hint="eastAsia"/>
          <w:sz w:val="24"/>
          <w:szCs w:val="28"/>
        </w:rPr>
        <w:t>5</w:t>
      </w:r>
      <w:r>
        <w:rPr>
          <w:sz w:val="24"/>
          <w:szCs w:val="28"/>
        </w:rPr>
        <w:t>）</w:t>
      </w:r>
    </w:p>
    <w:p w14:paraId="466154E2">
      <w:pPr>
        <w:widowControl/>
        <w:autoSpaceDE w:val="0"/>
        <w:autoSpaceDN w:val="0"/>
        <w:spacing w:line="360" w:lineRule="auto"/>
        <w:ind w:firstLine="480" w:firstLineChars="200"/>
        <w:jc w:val="left"/>
        <w:rPr>
          <w:sz w:val="24"/>
          <w:szCs w:val="24"/>
        </w:rPr>
      </w:pPr>
      <w:r>
        <w:rPr>
          <w:sz w:val="24"/>
          <w:szCs w:val="24"/>
        </w:rPr>
        <w:t>6）海水盐度变化引入的标准不确定度分量</w:t>
      </w:r>
      <w:r>
        <w:rPr>
          <w:position w:val="-12"/>
        </w:rPr>
        <w:object>
          <v:shape id="_x0000_i1148" o:spt="75" type="#_x0000_t75" style="height:18.15pt;width:18.15pt;" o:ole="t" filled="f" o:preferrelative="t" stroked="f" coordsize="21600,21600">
            <v:path/>
            <v:fill on="f" focussize="0,0"/>
            <v:stroke on="f" joinstyle="miter"/>
            <v:imagedata r:id="rId232" o:title=""/>
            <o:lock v:ext="edit" aspectratio="t"/>
            <w10:wrap type="none"/>
            <w10:anchorlock/>
          </v:shape>
          <o:OLEObject Type="Embed" ProgID="Equation.DSMT4" ShapeID="_x0000_i1148" DrawAspect="Content" ObjectID="_1468075848" r:id="rId231">
            <o:LockedField>false</o:LockedField>
          </o:OLEObject>
        </w:object>
      </w:r>
    </w:p>
    <w:p w14:paraId="1F023B45">
      <w:pPr>
        <w:widowControl/>
        <w:autoSpaceDE w:val="0"/>
        <w:autoSpaceDN w:val="0"/>
        <w:spacing w:line="360" w:lineRule="auto"/>
        <w:ind w:firstLine="480" w:firstLineChars="200"/>
        <w:rPr>
          <w:sz w:val="24"/>
          <w:szCs w:val="24"/>
        </w:rPr>
      </w:pPr>
      <w:r>
        <w:rPr>
          <w:sz w:val="24"/>
          <w:szCs w:val="24"/>
        </w:rPr>
        <w:t>海水盐度变化引入的标准不确定度分量按B类方法评定，海水盐度变化引入的误差不应超过± 0.1 dB。以均匀分布考虑，取</w:t>
      </w:r>
      <w:r>
        <w:rPr>
          <w:position w:val="-8"/>
        </w:rPr>
        <w:object>
          <v:shape id="_x0000_i1149" o:spt="75" type="#_x0000_t75" style="height:18.15pt;width:36.3pt;" o:ole="t" filled="f" o:preferrelative="t" stroked="f" coordsize="21600,21600">
            <v:path/>
            <v:fill on="f" focussize="0,0"/>
            <v:stroke on="f" joinstyle="miter"/>
            <v:imagedata r:id="rId121" o:title=""/>
            <o:lock v:ext="edit" aspectratio="t"/>
            <w10:wrap type="none"/>
            <w10:anchorlock/>
          </v:shape>
          <o:OLEObject Type="Embed" ProgID="Equation.DSMT4" ShapeID="_x0000_i1149" DrawAspect="Content" ObjectID="_1468075849" r:id="rId233">
            <o:LockedField>false</o:LockedField>
          </o:OLEObject>
        </w:object>
      </w:r>
      <w:r>
        <w:rPr>
          <w:sz w:val="24"/>
          <w:szCs w:val="24"/>
        </w:rPr>
        <w:t>，则海水盐度变化引入的标准不确定度分量为：</w:t>
      </w:r>
    </w:p>
    <w:p w14:paraId="3944CA64">
      <w:pPr>
        <w:widowControl/>
        <w:autoSpaceDE w:val="0"/>
        <w:autoSpaceDN w:val="0"/>
        <w:spacing w:line="360" w:lineRule="auto"/>
        <w:ind w:firstLine="420" w:firstLineChars="200"/>
        <w:jc w:val="right"/>
        <w:rPr>
          <w:sz w:val="24"/>
          <w:szCs w:val="24"/>
        </w:rPr>
      </w:pPr>
      <w:r>
        <w:rPr>
          <w:position w:val="-12"/>
        </w:rPr>
        <w:object>
          <v:shape id="_x0000_i1150" o:spt="75" type="#_x0000_t75" style="height:19.4pt;width:97.35pt;" o:ole="t" filled="f" o:preferrelative="t" stroked="f" coordsize="21600,21600">
            <v:path/>
            <v:fill on="f" focussize="0,0"/>
            <v:stroke on="f" joinstyle="miter"/>
            <v:imagedata r:id="rId235" o:title=""/>
            <o:lock v:ext="edit" aspectratio="t"/>
            <w10:wrap type="none"/>
            <w10:anchorlock/>
          </v:shape>
          <o:OLEObject Type="Embed" ProgID="Equation.DSMT4" ShapeID="_x0000_i1150" DrawAspect="Content" ObjectID="_1468075850" r:id="rId234">
            <o:LockedField>false</o:LockedField>
          </o:OLEObject>
        </w:object>
      </w:r>
      <w:r>
        <w:rPr>
          <w:sz w:val="24"/>
          <w:szCs w:val="28"/>
        </w:rPr>
        <w:t xml:space="preserve"> dB</w:t>
      </w:r>
      <w:r>
        <w:rPr>
          <w:sz w:val="24"/>
          <w:szCs w:val="24"/>
        </w:rPr>
        <w:t xml:space="preserve">                   </w:t>
      </w:r>
      <w:r>
        <w:rPr>
          <w:sz w:val="24"/>
          <w:szCs w:val="28"/>
        </w:rPr>
        <w:t>（C.3</w:t>
      </w:r>
      <w:r>
        <w:rPr>
          <w:rFonts w:hint="eastAsia"/>
          <w:sz w:val="24"/>
          <w:szCs w:val="28"/>
        </w:rPr>
        <w:t>6</w:t>
      </w:r>
      <w:r>
        <w:rPr>
          <w:sz w:val="24"/>
          <w:szCs w:val="28"/>
        </w:rPr>
        <w:t>）</w:t>
      </w:r>
    </w:p>
    <w:p w14:paraId="622BD114">
      <w:pPr>
        <w:widowControl/>
        <w:autoSpaceDE w:val="0"/>
        <w:autoSpaceDN w:val="0"/>
        <w:spacing w:line="360" w:lineRule="auto"/>
        <w:ind w:firstLine="480" w:firstLineChars="200"/>
        <w:jc w:val="left"/>
        <w:rPr>
          <w:sz w:val="24"/>
          <w:szCs w:val="24"/>
        </w:rPr>
      </w:pPr>
      <w:r>
        <w:rPr>
          <w:sz w:val="24"/>
          <w:szCs w:val="24"/>
        </w:rPr>
        <w:t>7）水面反射引入的标准不确定度分量</w:t>
      </w:r>
      <w:r>
        <w:rPr>
          <w:position w:val="-12"/>
        </w:rPr>
        <w:object>
          <v:shape id="_x0000_i1151" o:spt="75" type="#_x0000_t75" style="height:18.15pt;width:18.15pt;" o:ole="t" filled="f" o:preferrelative="t" stroked="f" coordsize="21600,21600">
            <v:path/>
            <v:fill on="f" focussize="0,0"/>
            <v:stroke on="f" joinstyle="miter"/>
            <v:imagedata r:id="rId237" o:title=""/>
            <o:lock v:ext="edit" aspectratio="t"/>
            <w10:wrap type="none"/>
            <w10:anchorlock/>
          </v:shape>
          <o:OLEObject Type="Embed" ProgID="Equation.DSMT4" ShapeID="_x0000_i1151" DrawAspect="Content" ObjectID="_1468075851" r:id="rId236">
            <o:LockedField>false</o:LockedField>
          </o:OLEObject>
        </w:object>
      </w:r>
    </w:p>
    <w:p w14:paraId="4600DD7B">
      <w:pPr>
        <w:widowControl/>
        <w:autoSpaceDE w:val="0"/>
        <w:autoSpaceDN w:val="0"/>
        <w:spacing w:line="360" w:lineRule="auto"/>
        <w:ind w:firstLine="480" w:firstLineChars="200"/>
        <w:rPr>
          <w:sz w:val="24"/>
          <w:szCs w:val="24"/>
        </w:rPr>
      </w:pPr>
      <w:r>
        <w:rPr>
          <w:sz w:val="24"/>
          <w:szCs w:val="24"/>
        </w:rPr>
        <w:t>水面反射引入的标准不确定度分量按B类方法评定，水面反射引入的误差不应超过± 0.2 dB。以均匀分布考虑，取</w:t>
      </w:r>
      <w:r>
        <w:rPr>
          <w:position w:val="-8"/>
        </w:rPr>
        <w:object>
          <v:shape id="_x0000_i1152" o:spt="75" type="#_x0000_t75" style="height:18.15pt;width:36.3pt;" o:ole="t" filled="f" o:preferrelative="t" stroked="f" coordsize="21600,21600">
            <v:path/>
            <v:fill on="f" focussize="0,0"/>
            <v:stroke on="f" joinstyle="miter"/>
            <v:imagedata r:id="rId121" o:title=""/>
            <o:lock v:ext="edit" aspectratio="t"/>
            <w10:wrap type="none"/>
            <w10:anchorlock/>
          </v:shape>
          <o:OLEObject Type="Embed" ProgID="Equation.DSMT4" ShapeID="_x0000_i1152" DrawAspect="Content" ObjectID="_1468075852" r:id="rId238">
            <o:LockedField>false</o:LockedField>
          </o:OLEObject>
        </w:object>
      </w:r>
      <w:r>
        <w:rPr>
          <w:sz w:val="24"/>
          <w:szCs w:val="24"/>
        </w:rPr>
        <w:t>，则水面反射引入的标准不确定度分量为：</w:t>
      </w:r>
    </w:p>
    <w:p w14:paraId="4D40B750">
      <w:pPr>
        <w:widowControl/>
        <w:autoSpaceDE w:val="0"/>
        <w:autoSpaceDN w:val="0"/>
        <w:spacing w:line="360" w:lineRule="auto"/>
        <w:ind w:firstLine="420" w:firstLineChars="200"/>
        <w:jc w:val="right"/>
        <w:rPr>
          <w:sz w:val="24"/>
          <w:szCs w:val="24"/>
        </w:rPr>
      </w:pPr>
      <w:r>
        <w:rPr>
          <w:position w:val="-12"/>
        </w:rPr>
        <w:object>
          <v:shape id="_x0000_i1153" o:spt="75" type="#_x0000_t75" style="height:19.4pt;width:98pt;" o:ole="t" filled="f" o:preferrelative="t" stroked="f" coordsize="21600,21600">
            <v:path/>
            <v:fill on="f" focussize="0,0"/>
            <v:stroke on="f" joinstyle="miter"/>
            <v:imagedata r:id="rId240" o:title=""/>
            <o:lock v:ext="edit" aspectratio="t"/>
            <w10:wrap type="none"/>
            <w10:anchorlock/>
          </v:shape>
          <o:OLEObject Type="Embed" ProgID="Equation.DSMT4" ShapeID="_x0000_i1153" DrawAspect="Content" ObjectID="_1468075853" r:id="rId239">
            <o:LockedField>false</o:LockedField>
          </o:OLEObject>
        </w:object>
      </w:r>
      <w:r>
        <w:t xml:space="preserve"> </w:t>
      </w:r>
      <w:r>
        <w:rPr>
          <w:sz w:val="24"/>
          <w:szCs w:val="28"/>
        </w:rPr>
        <w:t>dB</w:t>
      </w:r>
      <w:r>
        <w:rPr>
          <w:sz w:val="24"/>
          <w:szCs w:val="24"/>
        </w:rPr>
        <w:t xml:space="preserve">                  </w:t>
      </w:r>
      <w:r>
        <w:rPr>
          <w:sz w:val="24"/>
          <w:szCs w:val="28"/>
        </w:rPr>
        <w:t>（C.3</w:t>
      </w:r>
      <w:r>
        <w:rPr>
          <w:rFonts w:hint="eastAsia"/>
          <w:sz w:val="24"/>
          <w:szCs w:val="28"/>
        </w:rPr>
        <w:t>7</w:t>
      </w:r>
      <w:r>
        <w:rPr>
          <w:sz w:val="24"/>
          <w:szCs w:val="28"/>
        </w:rPr>
        <w:t>）</w:t>
      </w:r>
    </w:p>
    <w:p w14:paraId="19A814F6">
      <w:pPr>
        <w:widowControl/>
        <w:autoSpaceDE w:val="0"/>
        <w:autoSpaceDN w:val="0"/>
        <w:spacing w:line="360" w:lineRule="auto"/>
        <w:ind w:firstLine="480" w:firstLineChars="200"/>
        <w:jc w:val="left"/>
        <w:rPr>
          <w:sz w:val="24"/>
          <w:szCs w:val="24"/>
        </w:rPr>
      </w:pPr>
      <w:r>
        <w:rPr>
          <w:sz w:val="24"/>
          <w:szCs w:val="24"/>
        </w:rPr>
        <w:t>8）海底底质/地形地貌引入的标准不确定度分量</w:t>
      </w:r>
      <w:r>
        <w:rPr>
          <w:position w:val="-12"/>
        </w:rPr>
        <w:object>
          <v:shape id="_x0000_i1154" o:spt="75" type="#_x0000_t75" style="height:18.15pt;width:18.15pt;" o:ole="t" filled="f" o:preferrelative="t" stroked="f" coordsize="21600,21600">
            <v:path/>
            <v:fill on="f" focussize="0,0"/>
            <v:stroke on="f" joinstyle="miter"/>
            <v:imagedata r:id="rId242" o:title=""/>
            <o:lock v:ext="edit" aspectratio="t"/>
            <w10:wrap type="none"/>
            <w10:anchorlock/>
          </v:shape>
          <o:OLEObject Type="Embed" ProgID="Equation.DSMT4" ShapeID="_x0000_i1154" DrawAspect="Content" ObjectID="_1468075854" r:id="rId241">
            <o:LockedField>false</o:LockedField>
          </o:OLEObject>
        </w:object>
      </w:r>
    </w:p>
    <w:p w14:paraId="6038F164">
      <w:pPr>
        <w:widowControl/>
        <w:autoSpaceDE w:val="0"/>
        <w:autoSpaceDN w:val="0"/>
        <w:spacing w:line="360" w:lineRule="auto"/>
        <w:ind w:firstLine="480" w:firstLineChars="200"/>
        <w:rPr>
          <w:sz w:val="24"/>
          <w:szCs w:val="24"/>
        </w:rPr>
      </w:pPr>
      <w:r>
        <w:rPr>
          <w:sz w:val="24"/>
          <w:szCs w:val="24"/>
        </w:rPr>
        <w:t>海底底质/地形地貌引入的标准不确定度分量按B类方法评定，海底底质/地形地貌引入的误差不应超过± 0.2 dB。以均匀分布考虑，取</w:t>
      </w:r>
      <w:r>
        <w:rPr>
          <w:position w:val="-8"/>
        </w:rPr>
        <w:object>
          <v:shape id="_x0000_i1155" o:spt="75" type="#_x0000_t75" style="height:18.15pt;width:36.3pt;" o:ole="t" filled="f" o:preferrelative="t" stroked="f" coordsize="21600,21600">
            <v:path/>
            <v:fill on="f" focussize="0,0"/>
            <v:stroke on="f" joinstyle="miter"/>
            <v:imagedata r:id="rId121" o:title=""/>
            <o:lock v:ext="edit" aspectratio="t"/>
            <w10:wrap type="none"/>
            <w10:anchorlock/>
          </v:shape>
          <o:OLEObject Type="Embed" ProgID="Equation.DSMT4" ShapeID="_x0000_i1155" DrawAspect="Content" ObjectID="_1468075855" r:id="rId243">
            <o:LockedField>false</o:LockedField>
          </o:OLEObject>
        </w:object>
      </w:r>
      <w:r>
        <w:rPr>
          <w:sz w:val="24"/>
          <w:szCs w:val="24"/>
        </w:rPr>
        <w:t>，则海底底质/地形地貌引入的标准不确定度分量为：</w:t>
      </w:r>
    </w:p>
    <w:p w14:paraId="5906A03D">
      <w:pPr>
        <w:widowControl/>
        <w:autoSpaceDE w:val="0"/>
        <w:autoSpaceDN w:val="0"/>
        <w:spacing w:line="360" w:lineRule="auto"/>
        <w:ind w:firstLine="420" w:firstLineChars="200"/>
        <w:jc w:val="right"/>
        <w:rPr>
          <w:sz w:val="24"/>
          <w:szCs w:val="24"/>
        </w:rPr>
      </w:pPr>
      <w:r>
        <w:rPr>
          <w:position w:val="-12"/>
        </w:rPr>
        <w:object>
          <v:shape id="_x0000_i1156" o:spt="75" type="#_x0000_t75" style="height:19.4pt;width:98.3pt;" o:ole="t" filled="f" o:preferrelative="t" stroked="f" coordsize="21600,21600">
            <v:path/>
            <v:fill on="f" focussize="0,0"/>
            <v:stroke on="f" joinstyle="miter"/>
            <v:imagedata r:id="rId245" o:title=""/>
            <o:lock v:ext="edit" aspectratio="t"/>
            <w10:wrap type="none"/>
            <w10:anchorlock/>
          </v:shape>
          <o:OLEObject Type="Embed" ProgID="Equation.DSMT4" ShapeID="_x0000_i1156" DrawAspect="Content" ObjectID="_1468075856" r:id="rId244">
            <o:LockedField>false</o:LockedField>
          </o:OLEObject>
        </w:object>
      </w:r>
      <w:r>
        <w:t xml:space="preserve"> </w:t>
      </w:r>
      <w:r>
        <w:rPr>
          <w:sz w:val="24"/>
          <w:szCs w:val="28"/>
        </w:rPr>
        <w:t>dB</w:t>
      </w:r>
      <w:r>
        <w:rPr>
          <w:sz w:val="24"/>
          <w:szCs w:val="24"/>
        </w:rPr>
        <w:t xml:space="preserve">                  </w:t>
      </w:r>
      <w:r>
        <w:rPr>
          <w:sz w:val="24"/>
          <w:szCs w:val="28"/>
        </w:rPr>
        <w:t>（C.3</w:t>
      </w:r>
      <w:r>
        <w:rPr>
          <w:rFonts w:hint="eastAsia"/>
          <w:sz w:val="24"/>
          <w:szCs w:val="28"/>
        </w:rPr>
        <w:t>8</w:t>
      </w:r>
      <w:r>
        <w:rPr>
          <w:sz w:val="24"/>
          <w:szCs w:val="28"/>
        </w:rPr>
        <w:t>）</w:t>
      </w:r>
    </w:p>
    <w:p w14:paraId="7B8ABACF">
      <w:pPr>
        <w:widowControl/>
        <w:autoSpaceDE w:val="0"/>
        <w:autoSpaceDN w:val="0"/>
        <w:spacing w:line="360" w:lineRule="auto"/>
        <w:ind w:firstLine="480" w:firstLineChars="200"/>
        <w:jc w:val="left"/>
        <w:rPr>
          <w:sz w:val="24"/>
          <w:szCs w:val="24"/>
        </w:rPr>
      </w:pPr>
      <w:r>
        <w:rPr>
          <w:sz w:val="24"/>
          <w:szCs w:val="24"/>
        </w:rPr>
        <w:t>9）船底外形轮廓反射引入的标准不确定度分量</w:t>
      </w:r>
      <w:r>
        <w:rPr>
          <w:position w:val="-12"/>
        </w:rPr>
        <w:object>
          <v:shape id="_x0000_i1157" o:spt="75" type="#_x0000_t75" style="height:18.15pt;width:18.15pt;" o:ole="t" filled="f" o:preferrelative="t" stroked="f" coordsize="21600,21600">
            <v:path/>
            <v:fill on="f" focussize="0,0"/>
            <v:stroke on="f" joinstyle="miter"/>
            <v:imagedata r:id="rId247" o:title=""/>
            <o:lock v:ext="edit" aspectratio="t"/>
            <w10:wrap type="none"/>
            <w10:anchorlock/>
          </v:shape>
          <o:OLEObject Type="Embed" ProgID="Equation.DSMT4" ShapeID="_x0000_i1157" DrawAspect="Content" ObjectID="_1468075857" r:id="rId246">
            <o:LockedField>false</o:LockedField>
          </o:OLEObject>
        </w:object>
      </w:r>
    </w:p>
    <w:p w14:paraId="142D8113">
      <w:pPr>
        <w:widowControl/>
        <w:autoSpaceDE w:val="0"/>
        <w:autoSpaceDN w:val="0"/>
        <w:spacing w:line="360" w:lineRule="auto"/>
        <w:ind w:firstLine="480" w:firstLineChars="200"/>
        <w:rPr>
          <w:sz w:val="24"/>
          <w:szCs w:val="24"/>
        </w:rPr>
      </w:pPr>
      <w:r>
        <w:rPr>
          <w:sz w:val="24"/>
          <w:szCs w:val="24"/>
        </w:rPr>
        <w:t>船底外形轮廓反射引入的标准不确定度分量按B类方法评定，船底外形轮廓反射引入的误差不应超过± 0.2 dB。以均匀分布考虑，取</w:t>
      </w:r>
      <w:r>
        <w:rPr>
          <w:position w:val="-8"/>
        </w:rPr>
        <w:object>
          <v:shape id="_x0000_i1158" o:spt="75" type="#_x0000_t75" style="height:18.15pt;width:36.3pt;" o:ole="t" filled="f" o:preferrelative="t" stroked="f" coordsize="21600,21600">
            <v:path/>
            <v:fill on="f" focussize="0,0"/>
            <v:stroke on="f" joinstyle="miter"/>
            <v:imagedata r:id="rId121" o:title=""/>
            <o:lock v:ext="edit" aspectratio="t"/>
            <w10:wrap type="none"/>
            <w10:anchorlock/>
          </v:shape>
          <o:OLEObject Type="Embed" ProgID="Equation.DSMT4" ShapeID="_x0000_i1158" DrawAspect="Content" ObjectID="_1468075858" r:id="rId248">
            <o:LockedField>false</o:LockedField>
          </o:OLEObject>
        </w:object>
      </w:r>
      <w:r>
        <w:rPr>
          <w:sz w:val="24"/>
          <w:szCs w:val="24"/>
        </w:rPr>
        <w:t>，则船底外形轮廓反射引入的标准不确定度分量为：</w:t>
      </w:r>
    </w:p>
    <w:p w14:paraId="2F756C7F">
      <w:pPr>
        <w:widowControl/>
        <w:autoSpaceDE w:val="0"/>
        <w:autoSpaceDN w:val="0"/>
        <w:spacing w:line="360" w:lineRule="auto"/>
        <w:ind w:firstLine="420" w:firstLineChars="200"/>
        <w:jc w:val="right"/>
        <w:rPr>
          <w:sz w:val="24"/>
          <w:szCs w:val="24"/>
        </w:rPr>
      </w:pPr>
      <w:r>
        <w:rPr>
          <w:position w:val="-12"/>
        </w:rPr>
        <w:object>
          <v:shape id="_x0000_i1159" o:spt="75" type="#_x0000_t75" style="height:19.4pt;width:98pt;" o:ole="t" filled="f" o:preferrelative="t" stroked="f" coordsize="21600,21600">
            <v:path/>
            <v:fill on="f" focussize="0,0"/>
            <v:stroke on="f" joinstyle="miter"/>
            <v:imagedata r:id="rId250" o:title=""/>
            <o:lock v:ext="edit" aspectratio="t"/>
            <w10:wrap type="none"/>
            <w10:anchorlock/>
          </v:shape>
          <o:OLEObject Type="Embed" ProgID="Equation.DSMT4" ShapeID="_x0000_i1159" DrawAspect="Content" ObjectID="_1468075859" r:id="rId249">
            <o:LockedField>false</o:LockedField>
          </o:OLEObject>
        </w:object>
      </w:r>
      <w:r>
        <w:t xml:space="preserve"> </w:t>
      </w:r>
      <w:r>
        <w:rPr>
          <w:sz w:val="24"/>
          <w:szCs w:val="28"/>
        </w:rPr>
        <w:t>dB</w:t>
      </w:r>
      <w:r>
        <w:rPr>
          <w:sz w:val="24"/>
          <w:szCs w:val="24"/>
        </w:rPr>
        <w:t xml:space="preserve">                  </w:t>
      </w:r>
      <w:r>
        <w:rPr>
          <w:sz w:val="24"/>
          <w:szCs w:val="28"/>
        </w:rPr>
        <w:t>（C.3</w:t>
      </w:r>
      <w:r>
        <w:rPr>
          <w:rFonts w:hint="eastAsia"/>
          <w:sz w:val="24"/>
          <w:szCs w:val="28"/>
        </w:rPr>
        <w:t>9</w:t>
      </w:r>
      <w:r>
        <w:rPr>
          <w:sz w:val="24"/>
          <w:szCs w:val="28"/>
        </w:rPr>
        <w:t>）</w:t>
      </w:r>
    </w:p>
    <w:p w14:paraId="714C1432">
      <w:pPr>
        <w:widowControl/>
        <w:autoSpaceDE w:val="0"/>
        <w:autoSpaceDN w:val="0"/>
        <w:spacing w:line="360" w:lineRule="auto"/>
        <w:ind w:firstLine="480" w:firstLineChars="200"/>
        <w:jc w:val="left"/>
        <w:rPr>
          <w:sz w:val="24"/>
          <w:szCs w:val="24"/>
        </w:rPr>
      </w:pPr>
      <w:r>
        <w:rPr>
          <w:sz w:val="24"/>
          <w:szCs w:val="24"/>
        </w:rPr>
        <w:t>10）设备工况不稳定引入的标准不确定度分量</w:t>
      </w:r>
      <w:r>
        <w:rPr>
          <w:position w:val="-12"/>
        </w:rPr>
        <w:object>
          <v:shape id="_x0000_i1160" o:spt="75" type="#_x0000_t75" style="height:18.15pt;width:21.3pt;" o:ole="t" filled="f" o:preferrelative="t" stroked="f" coordsize="21600,21600">
            <v:path/>
            <v:fill on="f" focussize="0,0"/>
            <v:stroke on="f" joinstyle="miter"/>
            <v:imagedata r:id="rId252" o:title=""/>
            <o:lock v:ext="edit" aspectratio="t"/>
            <w10:wrap type="none"/>
            <w10:anchorlock/>
          </v:shape>
          <o:OLEObject Type="Embed" ProgID="Equation.DSMT4" ShapeID="_x0000_i1160" DrawAspect="Content" ObjectID="_1468075860" r:id="rId251">
            <o:LockedField>false</o:LockedField>
          </o:OLEObject>
        </w:object>
      </w:r>
    </w:p>
    <w:p w14:paraId="0EAFB615">
      <w:pPr>
        <w:widowControl/>
        <w:autoSpaceDE w:val="0"/>
        <w:autoSpaceDN w:val="0"/>
        <w:spacing w:line="360" w:lineRule="auto"/>
        <w:ind w:firstLine="480" w:firstLineChars="200"/>
        <w:jc w:val="left"/>
        <w:rPr>
          <w:sz w:val="24"/>
          <w:szCs w:val="24"/>
        </w:rPr>
      </w:pPr>
      <w:r>
        <w:rPr>
          <w:sz w:val="24"/>
          <w:szCs w:val="24"/>
        </w:rPr>
        <w:t>设备工况不稳定引入的标准不确定分量按B类方法评定。设备工况不稳定引入的误差不应超过± 0.3 dB。以均匀分布考虑，取</w:t>
      </w:r>
      <w:r>
        <w:rPr>
          <w:position w:val="-8"/>
        </w:rPr>
        <w:object>
          <v:shape id="_x0000_i1161" o:spt="75" type="#_x0000_t75" style="height:18.15pt;width:36.3pt;" o:ole="t" filled="f" o:preferrelative="t" stroked="f" coordsize="21600,21600">
            <v:path/>
            <v:fill on="f" focussize="0,0"/>
            <v:stroke on="f" joinstyle="miter"/>
            <v:imagedata r:id="rId121" o:title=""/>
            <o:lock v:ext="edit" aspectratio="t"/>
            <w10:wrap type="none"/>
            <w10:anchorlock/>
          </v:shape>
          <o:OLEObject Type="Embed" ProgID="Equation.DSMT4" ShapeID="_x0000_i1161" DrawAspect="Content" ObjectID="_1468075861" r:id="rId253">
            <o:LockedField>false</o:LockedField>
          </o:OLEObject>
        </w:object>
      </w:r>
      <w:r>
        <w:rPr>
          <w:sz w:val="24"/>
          <w:szCs w:val="24"/>
        </w:rPr>
        <w:t>，则设备工况不稳定引入的标准不确定度分量为：</w:t>
      </w:r>
    </w:p>
    <w:p w14:paraId="54C4EF9D">
      <w:pPr>
        <w:widowControl/>
        <w:autoSpaceDE w:val="0"/>
        <w:autoSpaceDN w:val="0"/>
        <w:spacing w:line="360" w:lineRule="auto"/>
        <w:ind w:firstLine="420" w:firstLineChars="200"/>
        <w:jc w:val="right"/>
        <w:rPr>
          <w:sz w:val="24"/>
          <w:szCs w:val="24"/>
        </w:rPr>
      </w:pPr>
      <w:r>
        <w:rPr>
          <w:position w:val="-12"/>
        </w:rPr>
        <w:object>
          <v:shape id="_x0000_i1162" o:spt="75" type="#_x0000_t75" style="height:19.4pt;width:101.75pt;" o:ole="t" filled="f" o:preferrelative="t" stroked="f" coordsize="21600,21600">
            <v:path/>
            <v:fill on="f" focussize="0,0"/>
            <v:stroke on="f" joinstyle="miter"/>
            <v:imagedata r:id="rId255" o:title=""/>
            <o:lock v:ext="edit" aspectratio="t"/>
            <w10:wrap type="none"/>
            <w10:anchorlock/>
          </v:shape>
          <o:OLEObject Type="Embed" ProgID="Equation.DSMT4" ShapeID="_x0000_i1162" DrawAspect="Content" ObjectID="_1468075862" r:id="rId254">
            <o:LockedField>false</o:LockedField>
          </o:OLEObject>
        </w:object>
      </w:r>
      <w:r>
        <w:t xml:space="preserve"> </w:t>
      </w:r>
      <w:r>
        <w:rPr>
          <w:sz w:val="24"/>
          <w:szCs w:val="28"/>
        </w:rPr>
        <w:t>dB</w:t>
      </w:r>
      <w:r>
        <w:rPr>
          <w:sz w:val="24"/>
          <w:szCs w:val="24"/>
        </w:rPr>
        <w:t xml:space="preserve">                  </w:t>
      </w:r>
      <w:r>
        <w:rPr>
          <w:sz w:val="24"/>
          <w:szCs w:val="28"/>
        </w:rPr>
        <w:t>（C.</w:t>
      </w:r>
      <w:r>
        <w:rPr>
          <w:rFonts w:hint="eastAsia"/>
          <w:sz w:val="24"/>
          <w:szCs w:val="28"/>
        </w:rPr>
        <w:t>40</w:t>
      </w:r>
      <w:r>
        <w:rPr>
          <w:sz w:val="24"/>
          <w:szCs w:val="28"/>
        </w:rPr>
        <w:t>）</w:t>
      </w:r>
    </w:p>
    <w:p w14:paraId="555C987B">
      <w:pPr>
        <w:widowControl/>
        <w:autoSpaceDE w:val="0"/>
        <w:autoSpaceDN w:val="0"/>
        <w:spacing w:line="360" w:lineRule="auto"/>
        <w:ind w:firstLine="480" w:firstLineChars="200"/>
        <w:jc w:val="left"/>
        <w:rPr>
          <w:sz w:val="24"/>
          <w:szCs w:val="24"/>
        </w:rPr>
      </w:pPr>
      <w:r>
        <w:rPr>
          <w:sz w:val="24"/>
          <w:szCs w:val="24"/>
        </w:rPr>
        <w:t>11）对水对地航向引入的标准不确定度分量</w:t>
      </w:r>
      <w:r>
        <w:rPr>
          <w:position w:val="-12"/>
        </w:rPr>
        <w:object>
          <v:shape id="_x0000_i1163" o:spt="75" type="#_x0000_t75" style="height:18.15pt;width:20.95pt;" o:ole="t" filled="f" o:preferrelative="t" stroked="f" coordsize="21600,21600">
            <v:path/>
            <v:fill on="f" focussize="0,0"/>
            <v:stroke on="f" joinstyle="miter"/>
            <v:imagedata r:id="rId257" o:title=""/>
            <o:lock v:ext="edit" aspectratio="t"/>
            <w10:wrap type="none"/>
            <w10:anchorlock/>
          </v:shape>
          <o:OLEObject Type="Embed" ProgID="Equation.DSMT4" ShapeID="_x0000_i1163" DrawAspect="Content" ObjectID="_1468075863" r:id="rId256">
            <o:LockedField>false</o:LockedField>
          </o:OLEObject>
        </w:object>
      </w:r>
    </w:p>
    <w:p w14:paraId="5C528012">
      <w:pPr>
        <w:widowControl/>
        <w:autoSpaceDE w:val="0"/>
        <w:autoSpaceDN w:val="0"/>
        <w:spacing w:line="360" w:lineRule="auto"/>
        <w:ind w:firstLine="480" w:firstLineChars="200"/>
        <w:rPr>
          <w:sz w:val="24"/>
          <w:szCs w:val="24"/>
        </w:rPr>
      </w:pPr>
      <w:r>
        <w:rPr>
          <w:sz w:val="24"/>
          <w:szCs w:val="24"/>
        </w:rPr>
        <w:t>对水对地航向引入的标准不确定度分量按B类方法评定，对水对地航向引入的误差不应超过± 0.2 dB。以均匀分布考虑，取</w:t>
      </w:r>
      <w:r>
        <w:rPr>
          <w:position w:val="-8"/>
        </w:rPr>
        <w:object>
          <v:shape id="_x0000_i1164" o:spt="75" type="#_x0000_t75" style="height:18.15pt;width:36.3pt;" o:ole="t" filled="f" o:preferrelative="t" stroked="f" coordsize="21600,21600">
            <v:path/>
            <v:fill on="f" focussize="0,0"/>
            <v:stroke on="f" joinstyle="miter"/>
            <v:imagedata r:id="rId121" o:title=""/>
            <o:lock v:ext="edit" aspectratio="t"/>
            <w10:wrap type="none"/>
            <w10:anchorlock/>
          </v:shape>
          <o:OLEObject Type="Embed" ProgID="Equation.DSMT4" ShapeID="_x0000_i1164" DrawAspect="Content" ObjectID="_1468075864" r:id="rId258">
            <o:LockedField>false</o:LockedField>
          </o:OLEObject>
        </w:object>
      </w:r>
      <w:r>
        <w:rPr>
          <w:sz w:val="24"/>
          <w:szCs w:val="24"/>
        </w:rPr>
        <w:t>，则对水对地航向引入的标准不确定度分量为：</w:t>
      </w:r>
    </w:p>
    <w:p w14:paraId="08063950">
      <w:pPr>
        <w:widowControl/>
        <w:autoSpaceDE w:val="0"/>
        <w:autoSpaceDN w:val="0"/>
        <w:spacing w:line="360" w:lineRule="auto"/>
        <w:ind w:firstLine="420" w:firstLineChars="200"/>
        <w:jc w:val="right"/>
        <w:rPr>
          <w:sz w:val="24"/>
          <w:szCs w:val="24"/>
        </w:rPr>
      </w:pPr>
      <w:r>
        <w:rPr>
          <w:position w:val="-12"/>
        </w:rPr>
        <w:object>
          <v:shape id="_x0000_i1165" o:spt="75" type="#_x0000_t75" style="height:19.4pt;width:100.8pt;" o:ole="t" filled="f" o:preferrelative="t" stroked="f" coordsize="21600,21600">
            <v:path/>
            <v:fill on="f" focussize="0,0"/>
            <v:stroke on="f" joinstyle="miter"/>
            <v:imagedata r:id="rId260" o:title=""/>
            <o:lock v:ext="edit" aspectratio="t"/>
            <w10:wrap type="none"/>
            <w10:anchorlock/>
          </v:shape>
          <o:OLEObject Type="Embed" ProgID="Equation.DSMT4" ShapeID="_x0000_i1165" DrawAspect="Content" ObjectID="_1468075865" r:id="rId259">
            <o:LockedField>false</o:LockedField>
          </o:OLEObject>
        </w:object>
      </w:r>
      <w:r>
        <w:t xml:space="preserve"> </w:t>
      </w:r>
      <w:r>
        <w:rPr>
          <w:sz w:val="24"/>
          <w:szCs w:val="28"/>
        </w:rPr>
        <w:t>dB</w:t>
      </w:r>
      <w:r>
        <w:rPr>
          <w:sz w:val="24"/>
          <w:szCs w:val="24"/>
        </w:rPr>
        <w:t xml:space="preserve">                 </w:t>
      </w:r>
      <w:r>
        <w:rPr>
          <w:sz w:val="24"/>
          <w:szCs w:val="28"/>
        </w:rPr>
        <w:t>（C.4</w:t>
      </w:r>
      <w:r>
        <w:rPr>
          <w:rFonts w:hint="eastAsia"/>
          <w:sz w:val="24"/>
          <w:szCs w:val="28"/>
        </w:rPr>
        <w:t>1</w:t>
      </w:r>
      <w:r>
        <w:rPr>
          <w:sz w:val="24"/>
          <w:szCs w:val="28"/>
        </w:rPr>
        <w:t>）</w:t>
      </w:r>
    </w:p>
    <w:p w14:paraId="27D1E8BE">
      <w:pPr>
        <w:widowControl/>
        <w:autoSpaceDE w:val="0"/>
        <w:autoSpaceDN w:val="0"/>
        <w:spacing w:line="360" w:lineRule="auto"/>
        <w:ind w:firstLine="480" w:firstLineChars="200"/>
        <w:jc w:val="left"/>
        <w:rPr>
          <w:sz w:val="24"/>
          <w:szCs w:val="24"/>
        </w:rPr>
      </w:pPr>
      <w:r>
        <w:rPr>
          <w:sz w:val="24"/>
          <w:szCs w:val="24"/>
        </w:rPr>
        <w:t>12）多普勒效应引入的标准不确定度分量</w:t>
      </w:r>
      <w:bookmarkStart w:id="121" w:name="OLE_LINK9"/>
      <w:r>
        <w:rPr>
          <w:position w:val="-12"/>
        </w:rPr>
        <w:object>
          <v:shape id="_x0000_i1166" o:spt="75" type="#_x0000_t75" style="height:18.15pt;width:21.3pt;" o:ole="t" filled="f" o:preferrelative="t" stroked="f" coordsize="21600,21600">
            <v:path/>
            <v:fill on="f" focussize="0,0"/>
            <v:stroke on="f" joinstyle="miter"/>
            <v:imagedata r:id="rId262" o:title=""/>
            <o:lock v:ext="edit" aspectratio="t"/>
            <w10:wrap type="none"/>
            <w10:anchorlock/>
          </v:shape>
          <o:OLEObject Type="Embed" ProgID="Equation.DSMT4" ShapeID="_x0000_i1166" DrawAspect="Content" ObjectID="_1468075866" r:id="rId261">
            <o:LockedField>false</o:LockedField>
          </o:OLEObject>
        </w:object>
      </w:r>
      <w:bookmarkEnd w:id="121"/>
    </w:p>
    <w:p w14:paraId="3ADA8D00">
      <w:pPr>
        <w:widowControl/>
        <w:autoSpaceDE w:val="0"/>
        <w:autoSpaceDN w:val="0"/>
        <w:spacing w:line="360" w:lineRule="auto"/>
        <w:ind w:firstLine="480" w:firstLineChars="200"/>
        <w:rPr>
          <w:sz w:val="24"/>
          <w:szCs w:val="24"/>
        </w:rPr>
      </w:pPr>
      <w:r>
        <w:rPr>
          <w:sz w:val="24"/>
          <w:szCs w:val="24"/>
        </w:rPr>
        <w:t>多普勒效应引入的标准不确定度分量按B类方法评定，多普勒效应引入的误差不应超过± 0.2 dB。以均匀分布考虑，取</w:t>
      </w:r>
      <w:r>
        <w:rPr>
          <w:position w:val="-8"/>
        </w:rPr>
        <w:object>
          <v:shape id="_x0000_i1167" o:spt="75" type="#_x0000_t75" style="height:18.15pt;width:36.3pt;" o:ole="t" filled="f" o:preferrelative="t" stroked="f" coordsize="21600,21600">
            <v:path/>
            <v:fill on="f" focussize="0,0"/>
            <v:stroke on="f" joinstyle="miter"/>
            <v:imagedata r:id="rId121" o:title=""/>
            <o:lock v:ext="edit" aspectratio="t"/>
            <w10:wrap type="none"/>
            <w10:anchorlock/>
          </v:shape>
          <o:OLEObject Type="Embed" ProgID="Equation.DSMT4" ShapeID="_x0000_i1167" DrawAspect="Content" ObjectID="_1468075867" r:id="rId263">
            <o:LockedField>false</o:LockedField>
          </o:OLEObject>
        </w:object>
      </w:r>
      <w:r>
        <w:rPr>
          <w:sz w:val="24"/>
          <w:szCs w:val="24"/>
        </w:rPr>
        <w:t>，则多普勒效应引入的标准不确定度分量为：</w:t>
      </w:r>
    </w:p>
    <w:p w14:paraId="5375678C">
      <w:pPr>
        <w:widowControl/>
        <w:autoSpaceDE w:val="0"/>
        <w:autoSpaceDN w:val="0"/>
        <w:spacing w:line="360" w:lineRule="auto"/>
        <w:ind w:firstLine="420" w:firstLineChars="200"/>
        <w:jc w:val="right"/>
        <w:rPr>
          <w:sz w:val="24"/>
          <w:szCs w:val="24"/>
        </w:rPr>
      </w:pPr>
      <w:bookmarkStart w:id="122" w:name="_Toc197605005"/>
      <w:r>
        <w:rPr>
          <w:position w:val="-12"/>
        </w:rPr>
        <w:object>
          <v:shape id="_x0000_i1168" o:spt="75" type="#_x0000_t75" style="height:19.4pt;width:102.05pt;" o:ole="t" filled="f" o:preferrelative="t" stroked="f" coordsize="21600,21600">
            <v:path/>
            <v:fill on="f" focussize="0,0"/>
            <v:stroke on="f" joinstyle="miter"/>
            <v:imagedata r:id="rId265" o:title=""/>
            <o:lock v:ext="edit" aspectratio="t"/>
            <w10:wrap type="none"/>
            <w10:anchorlock/>
          </v:shape>
          <o:OLEObject Type="Embed" ProgID="Equation.DSMT4" ShapeID="_x0000_i1168" DrawAspect="Content" ObjectID="_1468075868" r:id="rId264">
            <o:LockedField>false</o:LockedField>
          </o:OLEObject>
        </w:object>
      </w:r>
      <w:r>
        <w:t xml:space="preserve"> </w:t>
      </w:r>
      <w:r>
        <w:rPr>
          <w:sz w:val="24"/>
          <w:szCs w:val="28"/>
        </w:rPr>
        <w:t>dB</w:t>
      </w:r>
      <w:r>
        <w:rPr>
          <w:sz w:val="24"/>
          <w:szCs w:val="24"/>
        </w:rPr>
        <w:t xml:space="preserve">                 </w:t>
      </w:r>
      <w:r>
        <w:rPr>
          <w:sz w:val="24"/>
          <w:szCs w:val="28"/>
        </w:rPr>
        <w:t>（C.4</w:t>
      </w:r>
      <w:r>
        <w:rPr>
          <w:rFonts w:hint="eastAsia"/>
          <w:sz w:val="24"/>
          <w:szCs w:val="28"/>
        </w:rPr>
        <w:t>2</w:t>
      </w:r>
      <w:r>
        <w:rPr>
          <w:sz w:val="24"/>
          <w:szCs w:val="28"/>
        </w:rPr>
        <w:t>）</w:t>
      </w:r>
    </w:p>
    <w:p w14:paraId="1D6699E9">
      <w:pPr>
        <w:widowControl/>
        <w:autoSpaceDE w:val="0"/>
        <w:autoSpaceDN w:val="0"/>
        <w:spacing w:line="360" w:lineRule="auto"/>
        <w:ind w:firstLine="480" w:firstLineChars="200"/>
        <w:jc w:val="center"/>
        <w:rPr>
          <w:sz w:val="24"/>
          <w:szCs w:val="24"/>
        </w:rPr>
      </w:pPr>
    </w:p>
    <w:p w14:paraId="1ACDC7A0">
      <w:pPr>
        <w:pStyle w:val="32"/>
        <w:spacing w:line="360" w:lineRule="auto"/>
        <w:ind w:firstLine="0" w:firstLineChars="0"/>
        <w:rPr>
          <w:rFonts w:ascii="Times New Roman"/>
          <w:sz w:val="24"/>
          <w:szCs w:val="24"/>
        </w:rPr>
      </w:pPr>
      <w:r>
        <w:rPr>
          <w:rFonts w:ascii="Times New Roman"/>
          <w:sz w:val="24"/>
          <w:szCs w:val="24"/>
        </w:rPr>
        <w:t>C.4.2 测量不确定度分量汇总</w:t>
      </w:r>
      <w:bookmarkEnd w:id="122"/>
    </w:p>
    <w:p w14:paraId="636FF467">
      <w:pPr>
        <w:widowControl/>
        <w:autoSpaceDE w:val="0"/>
        <w:autoSpaceDN w:val="0"/>
        <w:spacing w:line="360" w:lineRule="auto"/>
        <w:ind w:firstLine="480" w:firstLineChars="200"/>
        <w:jc w:val="left"/>
        <w:rPr>
          <w:sz w:val="24"/>
          <w:szCs w:val="24"/>
        </w:rPr>
      </w:pPr>
      <w:r>
        <w:rPr>
          <w:sz w:val="24"/>
          <w:szCs w:val="24"/>
        </w:rPr>
        <w:t>水声探测系统的自噪声示值各频率点处的测量不确定度</w:t>
      </w:r>
      <w:r>
        <w:rPr>
          <w:rFonts w:hint="eastAsia"/>
          <w:sz w:val="24"/>
          <w:szCs w:val="24"/>
        </w:rPr>
        <w:t>分量</w:t>
      </w:r>
      <w:r>
        <w:rPr>
          <w:sz w:val="24"/>
          <w:szCs w:val="24"/>
        </w:rPr>
        <w:t>汇总表</w:t>
      </w:r>
      <w:r>
        <w:rPr>
          <w:rFonts w:hint="eastAsia"/>
          <w:sz w:val="24"/>
          <w:szCs w:val="24"/>
        </w:rPr>
        <w:t>见表C</w:t>
      </w:r>
      <w:r>
        <w:rPr>
          <w:sz w:val="24"/>
          <w:szCs w:val="24"/>
        </w:rPr>
        <w:t>.4。</w:t>
      </w:r>
    </w:p>
    <w:p w14:paraId="590004DC">
      <w:pPr>
        <w:widowControl/>
        <w:autoSpaceDE w:val="0"/>
        <w:autoSpaceDN w:val="0"/>
        <w:jc w:val="center"/>
        <w:rPr>
          <w:rFonts w:eastAsia="黑体"/>
          <w:szCs w:val="21"/>
        </w:rPr>
      </w:pPr>
      <w:r>
        <w:rPr>
          <w:rFonts w:eastAsia="黑体"/>
          <w:szCs w:val="21"/>
        </w:rPr>
        <w:t>表C.4 测量不确定度</w:t>
      </w:r>
      <w:r>
        <w:rPr>
          <w:rFonts w:hint="eastAsia" w:eastAsia="黑体"/>
          <w:szCs w:val="21"/>
        </w:rPr>
        <w:t>分量</w:t>
      </w:r>
      <w:r>
        <w:rPr>
          <w:rFonts w:eastAsia="黑体"/>
          <w:szCs w:val="21"/>
        </w:rPr>
        <w:t>汇总表</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4609"/>
        <w:gridCol w:w="671"/>
        <w:gridCol w:w="1706"/>
        <w:gridCol w:w="1278"/>
      </w:tblGrid>
      <w:tr w14:paraId="38D51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2" w:type="dxa"/>
            <w:vMerge w:val="restart"/>
            <w:shd w:val="clear" w:color="auto" w:fill="auto"/>
            <w:vAlign w:val="center"/>
          </w:tcPr>
          <w:p w14:paraId="70C745E8">
            <w:pPr>
              <w:widowControl/>
              <w:autoSpaceDE w:val="0"/>
              <w:autoSpaceDN w:val="0"/>
              <w:spacing w:line="360" w:lineRule="auto"/>
              <w:rPr>
                <w:szCs w:val="21"/>
              </w:rPr>
            </w:pPr>
            <w:bookmarkStart w:id="123" w:name="_Hlk199495740"/>
            <w:r>
              <w:rPr>
                <w:szCs w:val="21"/>
              </w:rPr>
              <w:t>序号</w:t>
            </w:r>
          </w:p>
        </w:tc>
        <w:tc>
          <w:tcPr>
            <w:tcW w:w="8264" w:type="dxa"/>
            <w:gridSpan w:val="4"/>
            <w:shd w:val="clear" w:color="auto" w:fill="auto"/>
            <w:vAlign w:val="center"/>
          </w:tcPr>
          <w:p w14:paraId="5393A0E7">
            <w:pPr>
              <w:widowControl/>
              <w:autoSpaceDE w:val="0"/>
              <w:autoSpaceDN w:val="0"/>
              <w:spacing w:line="360" w:lineRule="auto"/>
              <w:jc w:val="center"/>
              <w:rPr>
                <w:szCs w:val="21"/>
              </w:rPr>
            </w:pPr>
            <w:r>
              <w:rPr>
                <w:szCs w:val="21"/>
              </w:rPr>
              <w:t>标准不确定度</w:t>
            </w:r>
          </w:p>
        </w:tc>
      </w:tr>
      <w:tr w14:paraId="4B6F6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662" w:type="dxa"/>
            <w:vMerge w:val="continue"/>
            <w:shd w:val="clear" w:color="auto" w:fill="auto"/>
            <w:vAlign w:val="center"/>
          </w:tcPr>
          <w:p w14:paraId="62E390D0">
            <w:pPr>
              <w:widowControl/>
              <w:autoSpaceDE w:val="0"/>
              <w:autoSpaceDN w:val="0"/>
              <w:spacing w:line="360" w:lineRule="auto"/>
              <w:jc w:val="center"/>
              <w:rPr>
                <w:szCs w:val="21"/>
              </w:rPr>
            </w:pPr>
          </w:p>
        </w:tc>
        <w:tc>
          <w:tcPr>
            <w:tcW w:w="4609" w:type="dxa"/>
            <w:shd w:val="clear" w:color="auto" w:fill="auto"/>
            <w:vAlign w:val="center"/>
          </w:tcPr>
          <w:p w14:paraId="4F3766A2">
            <w:pPr>
              <w:widowControl/>
              <w:autoSpaceDE w:val="0"/>
              <w:autoSpaceDN w:val="0"/>
              <w:spacing w:line="360" w:lineRule="auto"/>
              <w:jc w:val="center"/>
              <w:rPr>
                <w:szCs w:val="21"/>
              </w:rPr>
            </w:pPr>
            <w:r>
              <w:rPr>
                <w:szCs w:val="21"/>
              </w:rPr>
              <w:t>来源</w:t>
            </w:r>
          </w:p>
        </w:tc>
        <w:tc>
          <w:tcPr>
            <w:tcW w:w="671" w:type="dxa"/>
            <w:shd w:val="clear" w:color="auto" w:fill="auto"/>
            <w:vAlign w:val="center"/>
          </w:tcPr>
          <w:p w14:paraId="1B694459">
            <w:pPr>
              <w:widowControl/>
              <w:autoSpaceDE w:val="0"/>
              <w:autoSpaceDN w:val="0"/>
              <w:spacing w:line="360" w:lineRule="auto"/>
              <w:jc w:val="center"/>
              <w:rPr>
                <w:szCs w:val="21"/>
              </w:rPr>
            </w:pPr>
            <w:r>
              <w:rPr>
                <w:szCs w:val="21"/>
              </w:rPr>
              <w:t>符号</w:t>
            </w:r>
          </w:p>
        </w:tc>
        <w:tc>
          <w:tcPr>
            <w:tcW w:w="1706" w:type="dxa"/>
            <w:shd w:val="clear" w:color="auto" w:fill="auto"/>
            <w:vAlign w:val="center"/>
          </w:tcPr>
          <w:p w14:paraId="306FC899">
            <w:pPr>
              <w:widowControl/>
              <w:autoSpaceDE w:val="0"/>
              <w:autoSpaceDN w:val="0"/>
              <w:spacing w:line="360" w:lineRule="auto"/>
              <w:jc w:val="center"/>
              <w:rPr>
                <w:szCs w:val="21"/>
              </w:rPr>
            </w:pPr>
            <w:r>
              <w:rPr>
                <w:szCs w:val="21"/>
              </w:rPr>
              <w:t>数值/dB</w:t>
            </w:r>
          </w:p>
        </w:tc>
        <w:tc>
          <w:tcPr>
            <w:tcW w:w="1278" w:type="dxa"/>
            <w:vAlign w:val="center"/>
          </w:tcPr>
          <w:p w14:paraId="03C177A7">
            <w:pPr>
              <w:widowControl/>
              <w:autoSpaceDE w:val="0"/>
              <w:autoSpaceDN w:val="0"/>
              <w:spacing w:line="360" w:lineRule="auto"/>
              <w:jc w:val="center"/>
              <w:rPr>
                <w:szCs w:val="21"/>
              </w:rPr>
            </w:pPr>
            <w:r>
              <w:rPr>
                <w:szCs w:val="21"/>
              </w:rPr>
              <w:t>灵敏度系数</w:t>
            </w:r>
          </w:p>
        </w:tc>
      </w:tr>
      <w:tr w14:paraId="7D2BD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2" w:type="dxa"/>
            <w:shd w:val="clear" w:color="auto" w:fill="auto"/>
            <w:vAlign w:val="center"/>
          </w:tcPr>
          <w:p w14:paraId="0CBEF7A9">
            <w:pPr>
              <w:widowControl/>
              <w:autoSpaceDE w:val="0"/>
              <w:autoSpaceDN w:val="0"/>
              <w:spacing w:line="360" w:lineRule="auto"/>
              <w:jc w:val="center"/>
              <w:rPr>
                <w:szCs w:val="21"/>
              </w:rPr>
            </w:pPr>
            <w:r>
              <w:rPr>
                <w:szCs w:val="21"/>
              </w:rPr>
              <w:t>1</w:t>
            </w:r>
          </w:p>
        </w:tc>
        <w:tc>
          <w:tcPr>
            <w:tcW w:w="4609" w:type="dxa"/>
            <w:shd w:val="clear" w:color="auto" w:fill="auto"/>
            <w:vAlign w:val="center"/>
          </w:tcPr>
          <w:p w14:paraId="152FC5D8">
            <w:pPr>
              <w:widowControl/>
              <w:autoSpaceDE w:val="0"/>
              <w:autoSpaceDN w:val="0"/>
              <w:spacing w:line="360" w:lineRule="auto"/>
              <w:jc w:val="center"/>
              <w:rPr>
                <w:szCs w:val="21"/>
              </w:rPr>
            </w:pPr>
            <w:r>
              <w:rPr>
                <w:szCs w:val="21"/>
              </w:rPr>
              <w:t>测量重复性引入的标准不确定度分量</w:t>
            </w:r>
          </w:p>
        </w:tc>
        <w:tc>
          <w:tcPr>
            <w:tcW w:w="671" w:type="dxa"/>
            <w:shd w:val="clear" w:color="auto" w:fill="auto"/>
            <w:vAlign w:val="center"/>
          </w:tcPr>
          <w:p w14:paraId="64C5B2D4">
            <w:pPr>
              <w:widowControl/>
              <w:autoSpaceDE w:val="0"/>
              <w:autoSpaceDN w:val="0"/>
              <w:spacing w:line="360" w:lineRule="auto"/>
              <w:jc w:val="center"/>
              <w:rPr>
                <w:i/>
                <w:iCs/>
                <w:szCs w:val="21"/>
              </w:rPr>
            </w:pPr>
            <w:r>
              <w:rPr>
                <w:position w:val="-12"/>
              </w:rPr>
              <w:object>
                <v:shape id="_x0000_i1169" o:spt="75" type="#_x0000_t75" style="height:18.15pt;width:17.85pt;" o:ole="t" filled="f" o:preferrelative="t" stroked="f" coordsize="21600,21600">
                  <v:path/>
                  <v:fill on="f" focussize="0,0"/>
                  <v:stroke on="f" joinstyle="miter"/>
                  <v:imagedata r:id="rId210" o:title=""/>
                  <o:lock v:ext="edit" aspectratio="t"/>
                  <w10:wrap type="none"/>
                  <w10:anchorlock/>
                </v:shape>
                <o:OLEObject Type="Embed" ProgID="Equation.DSMT4" ShapeID="_x0000_i1169" DrawAspect="Content" ObjectID="_1468075869" r:id="rId266">
                  <o:LockedField>false</o:LockedField>
                </o:OLEObject>
              </w:object>
            </w:r>
          </w:p>
        </w:tc>
        <w:tc>
          <w:tcPr>
            <w:tcW w:w="1706" w:type="dxa"/>
            <w:shd w:val="clear" w:color="auto" w:fill="auto"/>
            <w:vAlign w:val="center"/>
          </w:tcPr>
          <w:p w14:paraId="0F6A542C">
            <w:pPr>
              <w:widowControl/>
              <w:autoSpaceDE w:val="0"/>
              <w:autoSpaceDN w:val="0"/>
              <w:spacing w:line="360" w:lineRule="auto"/>
              <w:jc w:val="center"/>
              <w:rPr>
                <w:szCs w:val="21"/>
              </w:rPr>
            </w:pPr>
            <w:r>
              <w:rPr>
                <w:szCs w:val="21"/>
              </w:rPr>
              <w:t>见表B.3</w:t>
            </w:r>
          </w:p>
        </w:tc>
        <w:tc>
          <w:tcPr>
            <w:tcW w:w="1278" w:type="dxa"/>
            <w:vAlign w:val="center"/>
          </w:tcPr>
          <w:p w14:paraId="20BFEE27">
            <w:pPr>
              <w:widowControl/>
              <w:autoSpaceDE w:val="0"/>
              <w:autoSpaceDN w:val="0"/>
              <w:spacing w:line="360" w:lineRule="auto"/>
              <w:jc w:val="center"/>
              <w:rPr>
                <w:szCs w:val="21"/>
              </w:rPr>
            </w:pPr>
            <w:r>
              <w:rPr>
                <w:szCs w:val="21"/>
              </w:rPr>
              <w:t>1</w:t>
            </w:r>
          </w:p>
        </w:tc>
      </w:tr>
      <w:tr w14:paraId="7F702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662" w:type="dxa"/>
            <w:shd w:val="clear" w:color="auto" w:fill="auto"/>
            <w:vAlign w:val="center"/>
          </w:tcPr>
          <w:p w14:paraId="15FEE551">
            <w:pPr>
              <w:widowControl/>
              <w:autoSpaceDE w:val="0"/>
              <w:autoSpaceDN w:val="0"/>
              <w:spacing w:line="360" w:lineRule="auto"/>
              <w:jc w:val="center"/>
              <w:rPr>
                <w:szCs w:val="21"/>
              </w:rPr>
            </w:pPr>
            <w:r>
              <w:rPr>
                <w:szCs w:val="21"/>
              </w:rPr>
              <w:t>2</w:t>
            </w:r>
          </w:p>
        </w:tc>
        <w:tc>
          <w:tcPr>
            <w:tcW w:w="4609" w:type="dxa"/>
            <w:shd w:val="clear" w:color="auto" w:fill="auto"/>
            <w:vAlign w:val="center"/>
          </w:tcPr>
          <w:p w14:paraId="6EB00E7E">
            <w:pPr>
              <w:widowControl/>
              <w:autoSpaceDE w:val="0"/>
              <w:autoSpaceDN w:val="0"/>
              <w:spacing w:line="360" w:lineRule="auto"/>
              <w:jc w:val="center"/>
              <w:rPr>
                <w:szCs w:val="21"/>
              </w:rPr>
            </w:pPr>
            <w:r>
              <w:rPr>
                <w:szCs w:val="21"/>
              </w:rPr>
              <w:t>信噪比不足引入的标准不确定度分量</w:t>
            </w:r>
          </w:p>
        </w:tc>
        <w:tc>
          <w:tcPr>
            <w:tcW w:w="671" w:type="dxa"/>
            <w:shd w:val="clear" w:color="auto" w:fill="auto"/>
            <w:vAlign w:val="center"/>
          </w:tcPr>
          <w:p w14:paraId="7328EF35">
            <w:pPr>
              <w:widowControl/>
              <w:autoSpaceDE w:val="0"/>
              <w:autoSpaceDN w:val="0"/>
              <w:spacing w:line="360" w:lineRule="auto"/>
              <w:jc w:val="center"/>
              <w:rPr>
                <w:szCs w:val="21"/>
              </w:rPr>
            </w:pPr>
            <w:r>
              <w:rPr>
                <w:position w:val="-12"/>
              </w:rPr>
              <w:object>
                <v:shape id="_x0000_i1170" o:spt="75" type="#_x0000_t75" style="height:18.15pt;width:18.15pt;" o:ole="t" filled="f" o:preferrelative="t" stroked="f" coordsize="21600,21600">
                  <v:path/>
                  <v:fill on="f" focussize="0,0"/>
                  <v:stroke on="f" joinstyle="miter"/>
                  <v:imagedata r:id="rId212" o:title=""/>
                  <o:lock v:ext="edit" aspectratio="t"/>
                  <w10:wrap type="none"/>
                  <w10:anchorlock/>
                </v:shape>
                <o:OLEObject Type="Embed" ProgID="Equation.DSMT4" ShapeID="_x0000_i1170" DrawAspect="Content" ObjectID="_1468075870" r:id="rId267">
                  <o:LockedField>false</o:LockedField>
                </o:OLEObject>
              </w:object>
            </w:r>
          </w:p>
        </w:tc>
        <w:tc>
          <w:tcPr>
            <w:tcW w:w="1706" w:type="dxa"/>
            <w:shd w:val="clear" w:color="auto" w:fill="auto"/>
            <w:vAlign w:val="center"/>
          </w:tcPr>
          <w:p w14:paraId="046DB2C7">
            <w:pPr>
              <w:widowControl/>
              <w:autoSpaceDE w:val="0"/>
              <w:autoSpaceDN w:val="0"/>
              <w:jc w:val="center"/>
              <w:rPr>
                <w:szCs w:val="21"/>
              </w:rPr>
            </w:pPr>
            <w:r>
              <w:rPr>
                <w:szCs w:val="21"/>
              </w:rPr>
              <w:t>0.06</w:t>
            </w:r>
          </w:p>
        </w:tc>
        <w:tc>
          <w:tcPr>
            <w:tcW w:w="1278" w:type="dxa"/>
            <w:vAlign w:val="center"/>
          </w:tcPr>
          <w:p w14:paraId="2EB2142E">
            <w:pPr>
              <w:widowControl/>
              <w:autoSpaceDE w:val="0"/>
              <w:autoSpaceDN w:val="0"/>
              <w:jc w:val="center"/>
              <w:rPr>
                <w:szCs w:val="21"/>
              </w:rPr>
            </w:pPr>
            <w:r>
              <w:rPr>
                <w:szCs w:val="21"/>
              </w:rPr>
              <w:t>1</w:t>
            </w:r>
          </w:p>
        </w:tc>
      </w:tr>
      <w:tr w14:paraId="6ED6C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2" w:type="dxa"/>
            <w:shd w:val="clear" w:color="auto" w:fill="auto"/>
            <w:vAlign w:val="center"/>
          </w:tcPr>
          <w:p w14:paraId="0D726F6A">
            <w:pPr>
              <w:widowControl/>
              <w:autoSpaceDE w:val="0"/>
              <w:autoSpaceDN w:val="0"/>
              <w:spacing w:line="360" w:lineRule="auto"/>
              <w:jc w:val="center"/>
              <w:rPr>
                <w:szCs w:val="21"/>
              </w:rPr>
            </w:pPr>
            <w:r>
              <w:rPr>
                <w:szCs w:val="21"/>
              </w:rPr>
              <w:t>3</w:t>
            </w:r>
          </w:p>
        </w:tc>
        <w:tc>
          <w:tcPr>
            <w:tcW w:w="4609" w:type="dxa"/>
            <w:shd w:val="clear" w:color="auto" w:fill="auto"/>
            <w:vAlign w:val="center"/>
          </w:tcPr>
          <w:p w14:paraId="7A28F412">
            <w:pPr>
              <w:widowControl/>
              <w:autoSpaceDE w:val="0"/>
              <w:autoSpaceDN w:val="0"/>
              <w:spacing w:line="360" w:lineRule="auto"/>
              <w:jc w:val="center"/>
              <w:rPr>
                <w:szCs w:val="21"/>
              </w:rPr>
            </w:pPr>
            <w:r>
              <w:rPr>
                <w:szCs w:val="21"/>
              </w:rPr>
              <w:t>电干扰引入的标准不确定度分量</w:t>
            </w:r>
          </w:p>
        </w:tc>
        <w:tc>
          <w:tcPr>
            <w:tcW w:w="671" w:type="dxa"/>
            <w:shd w:val="clear" w:color="auto" w:fill="auto"/>
            <w:vAlign w:val="center"/>
          </w:tcPr>
          <w:p w14:paraId="10284A15">
            <w:pPr>
              <w:widowControl/>
              <w:autoSpaceDE w:val="0"/>
              <w:autoSpaceDN w:val="0"/>
              <w:spacing w:line="360" w:lineRule="auto"/>
              <w:jc w:val="center"/>
              <w:rPr>
                <w:szCs w:val="21"/>
              </w:rPr>
            </w:pPr>
            <w:r>
              <w:rPr>
                <w:position w:val="-12"/>
              </w:rPr>
              <w:object>
                <v:shape id="_x0000_i1171" o:spt="75" type="#_x0000_t75" style="height:18.15pt;width:18.15pt;" o:ole="t" filled="f" o:preferrelative="t" stroked="f" coordsize="21600,21600">
                  <v:path/>
                  <v:fill on="f" focussize="0,0"/>
                  <v:stroke on="f" joinstyle="miter"/>
                  <v:imagedata r:id="rId217" o:title=""/>
                  <o:lock v:ext="edit" aspectratio="t"/>
                  <w10:wrap type="none"/>
                  <w10:anchorlock/>
                </v:shape>
                <o:OLEObject Type="Embed" ProgID="Equation.DSMT4" ShapeID="_x0000_i1171" DrawAspect="Content" ObjectID="_1468075871" r:id="rId268">
                  <o:LockedField>false</o:LockedField>
                </o:OLEObject>
              </w:object>
            </w:r>
          </w:p>
        </w:tc>
        <w:tc>
          <w:tcPr>
            <w:tcW w:w="1706" w:type="dxa"/>
            <w:shd w:val="clear" w:color="auto" w:fill="auto"/>
            <w:vAlign w:val="center"/>
          </w:tcPr>
          <w:p w14:paraId="74AEBEB3">
            <w:pPr>
              <w:widowControl/>
              <w:autoSpaceDE w:val="0"/>
              <w:autoSpaceDN w:val="0"/>
              <w:spacing w:line="360" w:lineRule="auto"/>
              <w:jc w:val="center"/>
              <w:rPr>
                <w:szCs w:val="21"/>
              </w:rPr>
            </w:pPr>
            <w:r>
              <w:rPr>
                <w:szCs w:val="21"/>
              </w:rPr>
              <w:t>0.06</w:t>
            </w:r>
          </w:p>
        </w:tc>
        <w:tc>
          <w:tcPr>
            <w:tcW w:w="1278" w:type="dxa"/>
            <w:vAlign w:val="center"/>
          </w:tcPr>
          <w:p w14:paraId="6E2EABDB">
            <w:pPr>
              <w:widowControl/>
              <w:autoSpaceDE w:val="0"/>
              <w:autoSpaceDN w:val="0"/>
              <w:spacing w:line="360" w:lineRule="auto"/>
              <w:jc w:val="center"/>
              <w:rPr>
                <w:szCs w:val="21"/>
              </w:rPr>
            </w:pPr>
            <w:r>
              <w:rPr>
                <w:szCs w:val="21"/>
              </w:rPr>
              <w:t>1</w:t>
            </w:r>
          </w:p>
        </w:tc>
      </w:tr>
      <w:tr w14:paraId="66624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2" w:type="dxa"/>
            <w:shd w:val="clear" w:color="auto" w:fill="auto"/>
            <w:vAlign w:val="center"/>
          </w:tcPr>
          <w:p w14:paraId="40813EFA">
            <w:pPr>
              <w:widowControl/>
              <w:autoSpaceDE w:val="0"/>
              <w:autoSpaceDN w:val="0"/>
              <w:spacing w:line="360" w:lineRule="auto"/>
              <w:jc w:val="center"/>
              <w:rPr>
                <w:szCs w:val="21"/>
              </w:rPr>
            </w:pPr>
            <w:r>
              <w:rPr>
                <w:szCs w:val="21"/>
              </w:rPr>
              <w:t>4</w:t>
            </w:r>
          </w:p>
        </w:tc>
        <w:tc>
          <w:tcPr>
            <w:tcW w:w="4609" w:type="dxa"/>
            <w:shd w:val="clear" w:color="auto" w:fill="auto"/>
            <w:vAlign w:val="center"/>
          </w:tcPr>
          <w:p w14:paraId="3959C4AD">
            <w:pPr>
              <w:widowControl/>
              <w:autoSpaceDE w:val="0"/>
              <w:autoSpaceDN w:val="0"/>
              <w:spacing w:line="360" w:lineRule="auto"/>
              <w:jc w:val="center"/>
              <w:rPr>
                <w:szCs w:val="21"/>
              </w:rPr>
            </w:pPr>
            <w:r>
              <w:rPr>
                <w:szCs w:val="21"/>
              </w:rPr>
              <w:t>海况不稳定引入的标准不确定度分量</w:t>
            </w:r>
          </w:p>
        </w:tc>
        <w:tc>
          <w:tcPr>
            <w:tcW w:w="671" w:type="dxa"/>
            <w:shd w:val="clear" w:color="auto" w:fill="auto"/>
            <w:vAlign w:val="center"/>
          </w:tcPr>
          <w:p w14:paraId="43DB021B">
            <w:pPr>
              <w:widowControl/>
              <w:autoSpaceDE w:val="0"/>
              <w:autoSpaceDN w:val="0"/>
              <w:spacing w:line="360" w:lineRule="auto"/>
              <w:jc w:val="center"/>
              <w:rPr>
                <w:szCs w:val="21"/>
              </w:rPr>
            </w:pPr>
            <w:r>
              <w:rPr>
                <w:position w:val="-12"/>
              </w:rPr>
              <w:object>
                <v:shape id="_x0000_i1172" o:spt="75" type="#_x0000_t75" style="height:18.15pt;width:18.15pt;" o:ole="t" filled="f" o:preferrelative="t" stroked="f" coordsize="21600,21600">
                  <v:path/>
                  <v:fill on="f" focussize="0,0"/>
                  <v:stroke on="f" joinstyle="miter"/>
                  <v:imagedata r:id="rId222" o:title=""/>
                  <o:lock v:ext="edit" aspectratio="t"/>
                  <w10:wrap type="none"/>
                  <w10:anchorlock/>
                </v:shape>
                <o:OLEObject Type="Embed" ProgID="Equation.DSMT4" ShapeID="_x0000_i1172" DrawAspect="Content" ObjectID="_1468075872" r:id="rId269">
                  <o:LockedField>false</o:LockedField>
                </o:OLEObject>
              </w:object>
            </w:r>
          </w:p>
        </w:tc>
        <w:tc>
          <w:tcPr>
            <w:tcW w:w="1706" w:type="dxa"/>
            <w:shd w:val="clear" w:color="auto" w:fill="auto"/>
            <w:vAlign w:val="center"/>
          </w:tcPr>
          <w:p w14:paraId="43EC96CE">
            <w:pPr>
              <w:widowControl/>
              <w:autoSpaceDE w:val="0"/>
              <w:autoSpaceDN w:val="0"/>
              <w:spacing w:line="360" w:lineRule="auto"/>
              <w:jc w:val="center"/>
              <w:rPr>
                <w:szCs w:val="21"/>
              </w:rPr>
            </w:pPr>
            <w:r>
              <w:rPr>
                <w:szCs w:val="21"/>
              </w:rPr>
              <w:t>0.17</w:t>
            </w:r>
          </w:p>
        </w:tc>
        <w:tc>
          <w:tcPr>
            <w:tcW w:w="1278" w:type="dxa"/>
            <w:vAlign w:val="center"/>
          </w:tcPr>
          <w:p w14:paraId="5475FD97">
            <w:pPr>
              <w:widowControl/>
              <w:autoSpaceDE w:val="0"/>
              <w:autoSpaceDN w:val="0"/>
              <w:spacing w:line="360" w:lineRule="auto"/>
              <w:jc w:val="center"/>
              <w:rPr>
                <w:szCs w:val="21"/>
              </w:rPr>
            </w:pPr>
            <w:r>
              <w:rPr>
                <w:szCs w:val="21"/>
              </w:rPr>
              <w:t>1</w:t>
            </w:r>
          </w:p>
        </w:tc>
      </w:tr>
      <w:tr w14:paraId="0D52E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2" w:type="dxa"/>
            <w:shd w:val="clear" w:color="auto" w:fill="auto"/>
            <w:vAlign w:val="center"/>
          </w:tcPr>
          <w:p w14:paraId="62E0A51C">
            <w:pPr>
              <w:widowControl/>
              <w:autoSpaceDE w:val="0"/>
              <w:autoSpaceDN w:val="0"/>
              <w:spacing w:line="360" w:lineRule="auto"/>
              <w:jc w:val="center"/>
              <w:rPr>
                <w:szCs w:val="21"/>
              </w:rPr>
            </w:pPr>
            <w:r>
              <w:rPr>
                <w:szCs w:val="21"/>
              </w:rPr>
              <w:t>5</w:t>
            </w:r>
          </w:p>
        </w:tc>
        <w:tc>
          <w:tcPr>
            <w:tcW w:w="4609" w:type="dxa"/>
            <w:shd w:val="clear" w:color="auto" w:fill="auto"/>
            <w:vAlign w:val="center"/>
          </w:tcPr>
          <w:p w14:paraId="5F2B11EA">
            <w:pPr>
              <w:widowControl/>
              <w:autoSpaceDE w:val="0"/>
              <w:autoSpaceDN w:val="0"/>
              <w:spacing w:line="360" w:lineRule="auto"/>
              <w:jc w:val="center"/>
              <w:rPr>
                <w:szCs w:val="21"/>
              </w:rPr>
            </w:pPr>
            <w:r>
              <w:rPr>
                <w:szCs w:val="21"/>
              </w:rPr>
              <w:t>海水温度变化引入的标准不确定度分量</w:t>
            </w:r>
          </w:p>
        </w:tc>
        <w:tc>
          <w:tcPr>
            <w:tcW w:w="671" w:type="dxa"/>
            <w:shd w:val="clear" w:color="auto" w:fill="auto"/>
            <w:vAlign w:val="center"/>
          </w:tcPr>
          <w:p w14:paraId="125B29AF">
            <w:pPr>
              <w:widowControl/>
              <w:autoSpaceDE w:val="0"/>
              <w:autoSpaceDN w:val="0"/>
              <w:spacing w:line="360" w:lineRule="auto"/>
              <w:jc w:val="center"/>
              <w:rPr>
                <w:szCs w:val="21"/>
              </w:rPr>
            </w:pPr>
            <w:r>
              <w:rPr>
                <w:position w:val="-12"/>
              </w:rPr>
              <w:object>
                <v:shape id="_x0000_i1173" o:spt="75" type="#_x0000_t75" style="height:18.15pt;width:18.15pt;" o:ole="t" filled="f" o:preferrelative="t" stroked="f" coordsize="21600,21600">
                  <v:path/>
                  <v:fill on="f" focussize="0,0"/>
                  <v:stroke on="f" joinstyle="miter"/>
                  <v:imagedata r:id="rId227" o:title=""/>
                  <o:lock v:ext="edit" aspectratio="t"/>
                  <w10:wrap type="none"/>
                  <w10:anchorlock/>
                </v:shape>
                <o:OLEObject Type="Embed" ProgID="Equation.DSMT4" ShapeID="_x0000_i1173" DrawAspect="Content" ObjectID="_1468075873" r:id="rId270">
                  <o:LockedField>false</o:LockedField>
                </o:OLEObject>
              </w:object>
            </w:r>
          </w:p>
        </w:tc>
        <w:tc>
          <w:tcPr>
            <w:tcW w:w="1706" w:type="dxa"/>
            <w:shd w:val="clear" w:color="auto" w:fill="auto"/>
            <w:vAlign w:val="center"/>
          </w:tcPr>
          <w:p w14:paraId="4E5AD2B9">
            <w:pPr>
              <w:widowControl/>
              <w:autoSpaceDE w:val="0"/>
              <w:autoSpaceDN w:val="0"/>
              <w:spacing w:line="360" w:lineRule="auto"/>
              <w:jc w:val="center"/>
              <w:rPr>
                <w:szCs w:val="21"/>
              </w:rPr>
            </w:pPr>
            <w:r>
              <w:rPr>
                <w:szCs w:val="21"/>
              </w:rPr>
              <w:t>0.12</w:t>
            </w:r>
          </w:p>
        </w:tc>
        <w:tc>
          <w:tcPr>
            <w:tcW w:w="1278" w:type="dxa"/>
            <w:vAlign w:val="center"/>
          </w:tcPr>
          <w:p w14:paraId="6AE111D8">
            <w:pPr>
              <w:widowControl/>
              <w:autoSpaceDE w:val="0"/>
              <w:autoSpaceDN w:val="0"/>
              <w:spacing w:line="360" w:lineRule="auto"/>
              <w:jc w:val="center"/>
              <w:rPr>
                <w:szCs w:val="21"/>
              </w:rPr>
            </w:pPr>
            <w:r>
              <w:rPr>
                <w:szCs w:val="21"/>
              </w:rPr>
              <w:t>1</w:t>
            </w:r>
          </w:p>
        </w:tc>
      </w:tr>
      <w:tr w14:paraId="6DD7D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2" w:type="dxa"/>
            <w:shd w:val="clear" w:color="auto" w:fill="auto"/>
            <w:vAlign w:val="center"/>
          </w:tcPr>
          <w:p w14:paraId="4163CB19">
            <w:pPr>
              <w:widowControl/>
              <w:autoSpaceDE w:val="0"/>
              <w:autoSpaceDN w:val="0"/>
              <w:spacing w:line="360" w:lineRule="auto"/>
              <w:jc w:val="center"/>
              <w:rPr>
                <w:szCs w:val="21"/>
              </w:rPr>
            </w:pPr>
            <w:r>
              <w:rPr>
                <w:szCs w:val="21"/>
              </w:rPr>
              <w:t>6</w:t>
            </w:r>
          </w:p>
        </w:tc>
        <w:tc>
          <w:tcPr>
            <w:tcW w:w="4609" w:type="dxa"/>
            <w:shd w:val="clear" w:color="auto" w:fill="auto"/>
            <w:vAlign w:val="center"/>
          </w:tcPr>
          <w:p w14:paraId="2C734FAE">
            <w:pPr>
              <w:widowControl/>
              <w:autoSpaceDE w:val="0"/>
              <w:autoSpaceDN w:val="0"/>
              <w:spacing w:line="360" w:lineRule="auto"/>
              <w:jc w:val="center"/>
              <w:rPr>
                <w:szCs w:val="21"/>
              </w:rPr>
            </w:pPr>
            <w:r>
              <w:rPr>
                <w:szCs w:val="21"/>
              </w:rPr>
              <w:t>海水盐度变化引入的标准不确定度分量</w:t>
            </w:r>
          </w:p>
        </w:tc>
        <w:tc>
          <w:tcPr>
            <w:tcW w:w="671" w:type="dxa"/>
            <w:shd w:val="clear" w:color="auto" w:fill="auto"/>
            <w:vAlign w:val="center"/>
          </w:tcPr>
          <w:p w14:paraId="5EC498A1">
            <w:pPr>
              <w:widowControl/>
              <w:autoSpaceDE w:val="0"/>
              <w:autoSpaceDN w:val="0"/>
              <w:spacing w:line="360" w:lineRule="auto"/>
              <w:jc w:val="center"/>
              <w:rPr>
                <w:szCs w:val="21"/>
              </w:rPr>
            </w:pPr>
            <w:r>
              <w:rPr>
                <w:position w:val="-12"/>
              </w:rPr>
              <w:object>
                <v:shape id="_x0000_i1174" o:spt="75" type="#_x0000_t75" style="height:18.15pt;width:18.15pt;" o:ole="t" filled="f" o:preferrelative="t" stroked="f" coordsize="21600,21600">
                  <v:path/>
                  <v:fill on="f" focussize="0,0"/>
                  <v:stroke on="f" joinstyle="miter"/>
                  <v:imagedata r:id="rId232" o:title=""/>
                  <o:lock v:ext="edit" aspectratio="t"/>
                  <w10:wrap type="none"/>
                  <w10:anchorlock/>
                </v:shape>
                <o:OLEObject Type="Embed" ProgID="Equation.DSMT4" ShapeID="_x0000_i1174" DrawAspect="Content" ObjectID="_1468075874" r:id="rId271">
                  <o:LockedField>false</o:LockedField>
                </o:OLEObject>
              </w:object>
            </w:r>
          </w:p>
        </w:tc>
        <w:tc>
          <w:tcPr>
            <w:tcW w:w="1706" w:type="dxa"/>
            <w:shd w:val="clear" w:color="auto" w:fill="auto"/>
            <w:vAlign w:val="center"/>
          </w:tcPr>
          <w:p w14:paraId="37205133">
            <w:pPr>
              <w:widowControl/>
              <w:autoSpaceDE w:val="0"/>
              <w:autoSpaceDN w:val="0"/>
              <w:spacing w:line="360" w:lineRule="auto"/>
              <w:jc w:val="center"/>
              <w:rPr>
                <w:szCs w:val="21"/>
              </w:rPr>
            </w:pPr>
            <w:r>
              <w:rPr>
                <w:szCs w:val="21"/>
              </w:rPr>
              <w:t>0.06</w:t>
            </w:r>
          </w:p>
        </w:tc>
        <w:tc>
          <w:tcPr>
            <w:tcW w:w="1278" w:type="dxa"/>
            <w:vAlign w:val="center"/>
          </w:tcPr>
          <w:p w14:paraId="749AB38C">
            <w:pPr>
              <w:widowControl/>
              <w:autoSpaceDE w:val="0"/>
              <w:autoSpaceDN w:val="0"/>
              <w:spacing w:line="360" w:lineRule="auto"/>
              <w:jc w:val="center"/>
              <w:rPr>
                <w:szCs w:val="21"/>
              </w:rPr>
            </w:pPr>
            <w:r>
              <w:rPr>
                <w:szCs w:val="21"/>
              </w:rPr>
              <w:t>1</w:t>
            </w:r>
          </w:p>
        </w:tc>
      </w:tr>
      <w:tr w14:paraId="6531C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2" w:type="dxa"/>
            <w:shd w:val="clear" w:color="auto" w:fill="auto"/>
            <w:vAlign w:val="center"/>
          </w:tcPr>
          <w:p w14:paraId="0D427FC9">
            <w:pPr>
              <w:widowControl/>
              <w:autoSpaceDE w:val="0"/>
              <w:autoSpaceDN w:val="0"/>
              <w:spacing w:line="360" w:lineRule="auto"/>
              <w:jc w:val="center"/>
              <w:rPr>
                <w:szCs w:val="21"/>
              </w:rPr>
            </w:pPr>
            <w:r>
              <w:rPr>
                <w:szCs w:val="21"/>
              </w:rPr>
              <w:t>7</w:t>
            </w:r>
          </w:p>
        </w:tc>
        <w:tc>
          <w:tcPr>
            <w:tcW w:w="4609" w:type="dxa"/>
            <w:shd w:val="clear" w:color="auto" w:fill="auto"/>
            <w:vAlign w:val="center"/>
          </w:tcPr>
          <w:p w14:paraId="4B2CEADB">
            <w:pPr>
              <w:widowControl/>
              <w:autoSpaceDE w:val="0"/>
              <w:autoSpaceDN w:val="0"/>
              <w:spacing w:line="360" w:lineRule="auto"/>
              <w:jc w:val="center"/>
              <w:rPr>
                <w:szCs w:val="21"/>
              </w:rPr>
            </w:pPr>
            <w:r>
              <w:rPr>
                <w:szCs w:val="21"/>
              </w:rPr>
              <w:t>水面反射引入的标准不确定度分量</w:t>
            </w:r>
          </w:p>
        </w:tc>
        <w:tc>
          <w:tcPr>
            <w:tcW w:w="671" w:type="dxa"/>
            <w:shd w:val="clear" w:color="auto" w:fill="auto"/>
            <w:vAlign w:val="center"/>
          </w:tcPr>
          <w:p w14:paraId="153AAD2D">
            <w:pPr>
              <w:widowControl/>
              <w:autoSpaceDE w:val="0"/>
              <w:autoSpaceDN w:val="0"/>
              <w:spacing w:line="360" w:lineRule="auto"/>
              <w:jc w:val="center"/>
              <w:rPr>
                <w:szCs w:val="21"/>
              </w:rPr>
            </w:pPr>
            <w:r>
              <w:rPr>
                <w:position w:val="-12"/>
              </w:rPr>
              <w:object>
                <v:shape id="_x0000_i1175" o:spt="75" type="#_x0000_t75" style="height:18.15pt;width:18.15pt;" o:ole="t" filled="f" o:preferrelative="t" stroked="f" coordsize="21600,21600">
                  <v:path/>
                  <v:fill on="f" focussize="0,0"/>
                  <v:stroke on="f" joinstyle="miter"/>
                  <v:imagedata r:id="rId237" o:title=""/>
                  <o:lock v:ext="edit" aspectratio="t"/>
                  <w10:wrap type="none"/>
                  <w10:anchorlock/>
                </v:shape>
                <o:OLEObject Type="Embed" ProgID="Equation.DSMT4" ShapeID="_x0000_i1175" DrawAspect="Content" ObjectID="_1468075875" r:id="rId272">
                  <o:LockedField>false</o:LockedField>
                </o:OLEObject>
              </w:object>
            </w:r>
          </w:p>
        </w:tc>
        <w:tc>
          <w:tcPr>
            <w:tcW w:w="1706" w:type="dxa"/>
            <w:shd w:val="clear" w:color="auto" w:fill="auto"/>
            <w:vAlign w:val="center"/>
          </w:tcPr>
          <w:p w14:paraId="0712541E">
            <w:pPr>
              <w:widowControl/>
              <w:autoSpaceDE w:val="0"/>
              <w:autoSpaceDN w:val="0"/>
              <w:spacing w:line="360" w:lineRule="auto"/>
              <w:jc w:val="center"/>
              <w:rPr>
                <w:szCs w:val="21"/>
              </w:rPr>
            </w:pPr>
            <w:r>
              <w:rPr>
                <w:szCs w:val="21"/>
              </w:rPr>
              <w:t>0.12</w:t>
            </w:r>
          </w:p>
        </w:tc>
        <w:tc>
          <w:tcPr>
            <w:tcW w:w="1278" w:type="dxa"/>
            <w:vAlign w:val="center"/>
          </w:tcPr>
          <w:p w14:paraId="532A076B">
            <w:pPr>
              <w:widowControl/>
              <w:autoSpaceDE w:val="0"/>
              <w:autoSpaceDN w:val="0"/>
              <w:spacing w:line="360" w:lineRule="auto"/>
              <w:jc w:val="center"/>
              <w:rPr>
                <w:szCs w:val="21"/>
              </w:rPr>
            </w:pPr>
            <w:r>
              <w:rPr>
                <w:szCs w:val="21"/>
              </w:rPr>
              <w:t>1</w:t>
            </w:r>
          </w:p>
        </w:tc>
      </w:tr>
      <w:tr w14:paraId="5B16B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2" w:type="dxa"/>
            <w:shd w:val="clear" w:color="auto" w:fill="auto"/>
            <w:vAlign w:val="center"/>
          </w:tcPr>
          <w:p w14:paraId="40F75DFC">
            <w:pPr>
              <w:widowControl/>
              <w:autoSpaceDE w:val="0"/>
              <w:autoSpaceDN w:val="0"/>
              <w:spacing w:line="360" w:lineRule="auto"/>
              <w:jc w:val="center"/>
              <w:rPr>
                <w:szCs w:val="21"/>
              </w:rPr>
            </w:pPr>
            <w:r>
              <w:rPr>
                <w:szCs w:val="21"/>
              </w:rPr>
              <w:t>8</w:t>
            </w:r>
          </w:p>
        </w:tc>
        <w:tc>
          <w:tcPr>
            <w:tcW w:w="4609" w:type="dxa"/>
            <w:shd w:val="clear" w:color="auto" w:fill="auto"/>
            <w:vAlign w:val="center"/>
          </w:tcPr>
          <w:p w14:paraId="6CDD62DD">
            <w:pPr>
              <w:widowControl/>
              <w:autoSpaceDE w:val="0"/>
              <w:autoSpaceDN w:val="0"/>
              <w:spacing w:line="360" w:lineRule="auto"/>
              <w:jc w:val="center"/>
              <w:rPr>
                <w:szCs w:val="21"/>
              </w:rPr>
            </w:pPr>
            <w:r>
              <w:rPr>
                <w:szCs w:val="21"/>
              </w:rPr>
              <w:t>海底底质/地形地貌引入的标准不确定度分量</w:t>
            </w:r>
          </w:p>
        </w:tc>
        <w:tc>
          <w:tcPr>
            <w:tcW w:w="671" w:type="dxa"/>
            <w:shd w:val="clear" w:color="auto" w:fill="auto"/>
            <w:vAlign w:val="center"/>
          </w:tcPr>
          <w:p w14:paraId="04269BB8">
            <w:pPr>
              <w:widowControl/>
              <w:autoSpaceDE w:val="0"/>
              <w:autoSpaceDN w:val="0"/>
              <w:spacing w:line="360" w:lineRule="auto"/>
              <w:jc w:val="center"/>
              <w:rPr>
                <w:szCs w:val="21"/>
              </w:rPr>
            </w:pPr>
            <w:r>
              <w:rPr>
                <w:position w:val="-12"/>
              </w:rPr>
              <w:object>
                <v:shape id="_x0000_i1176" o:spt="75" type="#_x0000_t75" style="height:18.15pt;width:18.15pt;" o:ole="t" filled="f" o:preferrelative="t" stroked="f" coordsize="21600,21600">
                  <v:path/>
                  <v:fill on="f" focussize="0,0"/>
                  <v:stroke on="f" joinstyle="miter"/>
                  <v:imagedata r:id="rId242" o:title=""/>
                  <o:lock v:ext="edit" aspectratio="t"/>
                  <w10:wrap type="none"/>
                  <w10:anchorlock/>
                </v:shape>
                <o:OLEObject Type="Embed" ProgID="Equation.DSMT4" ShapeID="_x0000_i1176" DrawAspect="Content" ObjectID="_1468075876" r:id="rId273">
                  <o:LockedField>false</o:LockedField>
                </o:OLEObject>
              </w:object>
            </w:r>
          </w:p>
        </w:tc>
        <w:tc>
          <w:tcPr>
            <w:tcW w:w="1706" w:type="dxa"/>
            <w:shd w:val="clear" w:color="auto" w:fill="auto"/>
            <w:vAlign w:val="center"/>
          </w:tcPr>
          <w:p w14:paraId="583096D1">
            <w:pPr>
              <w:widowControl/>
              <w:autoSpaceDE w:val="0"/>
              <w:autoSpaceDN w:val="0"/>
              <w:spacing w:line="360" w:lineRule="auto"/>
              <w:jc w:val="center"/>
              <w:rPr>
                <w:szCs w:val="21"/>
              </w:rPr>
            </w:pPr>
            <w:r>
              <w:rPr>
                <w:szCs w:val="21"/>
              </w:rPr>
              <w:t>0.12</w:t>
            </w:r>
          </w:p>
        </w:tc>
        <w:tc>
          <w:tcPr>
            <w:tcW w:w="1278" w:type="dxa"/>
            <w:vAlign w:val="center"/>
          </w:tcPr>
          <w:p w14:paraId="49993995">
            <w:pPr>
              <w:widowControl/>
              <w:autoSpaceDE w:val="0"/>
              <w:autoSpaceDN w:val="0"/>
              <w:spacing w:line="360" w:lineRule="auto"/>
              <w:jc w:val="center"/>
              <w:rPr>
                <w:szCs w:val="21"/>
              </w:rPr>
            </w:pPr>
            <w:r>
              <w:rPr>
                <w:szCs w:val="21"/>
              </w:rPr>
              <w:t>1</w:t>
            </w:r>
          </w:p>
        </w:tc>
      </w:tr>
      <w:tr w14:paraId="4B1D4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2" w:type="dxa"/>
            <w:shd w:val="clear" w:color="auto" w:fill="auto"/>
            <w:vAlign w:val="center"/>
          </w:tcPr>
          <w:p w14:paraId="11E59A13">
            <w:pPr>
              <w:widowControl/>
              <w:autoSpaceDE w:val="0"/>
              <w:autoSpaceDN w:val="0"/>
              <w:spacing w:line="360" w:lineRule="auto"/>
              <w:jc w:val="center"/>
              <w:rPr>
                <w:szCs w:val="21"/>
              </w:rPr>
            </w:pPr>
            <w:r>
              <w:rPr>
                <w:szCs w:val="21"/>
              </w:rPr>
              <w:t>9</w:t>
            </w:r>
          </w:p>
        </w:tc>
        <w:tc>
          <w:tcPr>
            <w:tcW w:w="4609" w:type="dxa"/>
            <w:shd w:val="clear" w:color="auto" w:fill="auto"/>
            <w:vAlign w:val="center"/>
          </w:tcPr>
          <w:p w14:paraId="30547A42">
            <w:pPr>
              <w:widowControl/>
              <w:autoSpaceDE w:val="0"/>
              <w:autoSpaceDN w:val="0"/>
              <w:spacing w:line="360" w:lineRule="auto"/>
              <w:jc w:val="center"/>
              <w:rPr>
                <w:szCs w:val="21"/>
              </w:rPr>
            </w:pPr>
            <w:r>
              <w:rPr>
                <w:szCs w:val="21"/>
              </w:rPr>
              <w:t>船底外形轮廓反射引入的标准不确定度分量</w:t>
            </w:r>
          </w:p>
        </w:tc>
        <w:tc>
          <w:tcPr>
            <w:tcW w:w="671" w:type="dxa"/>
            <w:shd w:val="clear" w:color="auto" w:fill="auto"/>
            <w:vAlign w:val="center"/>
          </w:tcPr>
          <w:p w14:paraId="33E30806">
            <w:pPr>
              <w:widowControl/>
              <w:autoSpaceDE w:val="0"/>
              <w:autoSpaceDN w:val="0"/>
              <w:spacing w:line="360" w:lineRule="auto"/>
              <w:jc w:val="center"/>
              <w:rPr>
                <w:szCs w:val="21"/>
              </w:rPr>
            </w:pPr>
            <w:r>
              <w:rPr>
                <w:position w:val="-12"/>
              </w:rPr>
              <w:object>
                <v:shape id="_x0000_i1177" o:spt="75" type="#_x0000_t75" style="height:18.15pt;width:18.15pt;" o:ole="t" filled="f" o:preferrelative="t" stroked="f" coordsize="21600,21600">
                  <v:path/>
                  <v:fill on="f" focussize="0,0"/>
                  <v:stroke on="f" joinstyle="miter"/>
                  <v:imagedata r:id="rId247" o:title=""/>
                  <o:lock v:ext="edit" aspectratio="t"/>
                  <w10:wrap type="none"/>
                  <w10:anchorlock/>
                </v:shape>
                <o:OLEObject Type="Embed" ProgID="Equation.DSMT4" ShapeID="_x0000_i1177" DrawAspect="Content" ObjectID="_1468075877" r:id="rId274">
                  <o:LockedField>false</o:LockedField>
                </o:OLEObject>
              </w:object>
            </w:r>
          </w:p>
        </w:tc>
        <w:tc>
          <w:tcPr>
            <w:tcW w:w="1706" w:type="dxa"/>
            <w:shd w:val="clear" w:color="auto" w:fill="auto"/>
            <w:vAlign w:val="center"/>
          </w:tcPr>
          <w:p w14:paraId="27B7A40D">
            <w:pPr>
              <w:widowControl/>
              <w:autoSpaceDE w:val="0"/>
              <w:autoSpaceDN w:val="0"/>
              <w:spacing w:line="360" w:lineRule="auto"/>
              <w:jc w:val="center"/>
              <w:rPr>
                <w:szCs w:val="21"/>
              </w:rPr>
            </w:pPr>
            <w:r>
              <w:rPr>
                <w:szCs w:val="21"/>
              </w:rPr>
              <w:t>0.12</w:t>
            </w:r>
          </w:p>
        </w:tc>
        <w:tc>
          <w:tcPr>
            <w:tcW w:w="1278" w:type="dxa"/>
            <w:vAlign w:val="center"/>
          </w:tcPr>
          <w:p w14:paraId="20B9425E">
            <w:pPr>
              <w:widowControl/>
              <w:autoSpaceDE w:val="0"/>
              <w:autoSpaceDN w:val="0"/>
              <w:spacing w:line="360" w:lineRule="auto"/>
              <w:jc w:val="center"/>
              <w:rPr>
                <w:szCs w:val="21"/>
              </w:rPr>
            </w:pPr>
            <w:r>
              <w:rPr>
                <w:szCs w:val="21"/>
              </w:rPr>
              <w:t>1</w:t>
            </w:r>
          </w:p>
        </w:tc>
      </w:tr>
      <w:tr w14:paraId="1093B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2" w:type="dxa"/>
            <w:shd w:val="clear" w:color="auto" w:fill="auto"/>
            <w:vAlign w:val="center"/>
          </w:tcPr>
          <w:p w14:paraId="3C3A3D98">
            <w:pPr>
              <w:widowControl/>
              <w:autoSpaceDE w:val="0"/>
              <w:autoSpaceDN w:val="0"/>
              <w:spacing w:line="360" w:lineRule="auto"/>
              <w:jc w:val="center"/>
              <w:rPr>
                <w:szCs w:val="21"/>
              </w:rPr>
            </w:pPr>
            <w:r>
              <w:rPr>
                <w:szCs w:val="21"/>
              </w:rPr>
              <w:t>10</w:t>
            </w:r>
          </w:p>
        </w:tc>
        <w:tc>
          <w:tcPr>
            <w:tcW w:w="4609" w:type="dxa"/>
            <w:shd w:val="clear" w:color="auto" w:fill="auto"/>
            <w:vAlign w:val="center"/>
          </w:tcPr>
          <w:p w14:paraId="2159D0F4">
            <w:pPr>
              <w:widowControl/>
              <w:autoSpaceDE w:val="0"/>
              <w:autoSpaceDN w:val="0"/>
              <w:spacing w:line="360" w:lineRule="auto"/>
              <w:jc w:val="center"/>
              <w:rPr>
                <w:szCs w:val="21"/>
              </w:rPr>
            </w:pPr>
            <w:r>
              <w:rPr>
                <w:szCs w:val="21"/>
              </w:rPr>
              <w:t>设备工况不稳定引入的标准不确定度分量</w:t>
            </w:r>
          </w:p>
        </w:tc>
        <w:tc>
          <w:tcPr>
            <w:tcW w:w="671" w:type="dxa"/>
            <w:shd w:val="clear" w:color="auto" w:fill="auto"/>
            <w:vAlign w:val="center"/>
          </w:tcPr>
          <w:p w14:paraId="0DB1E73A">
            <w:pPr>
              <w:widowControl/>
              <w:autoSpaceDE w:val="0"/>
              <w:autoSpaceDN w:val="0"/>
              <w:spacing w:line="360" w:lineRule="auto"/>
              <w:jc w:val="center"/>
              <w:rPr>
                <w:i/>
                <w:iCs/>
                <w:szCs w:val="21"/>
              </w:rPr>
            </w:pPr>
            <w:r>
              <w:rPr>
                <w:position w:val="-12"/>
              </w:rPr>
              <w:object>
                <v:shape id="_x0000_i1178" o:spt="75" type="#_x0000_t75" style="height:18.15pt;width:21.3pt;" o:ole="t" filled="f" o:preferrelative="t" stroked="f" coordsize="21600,21600">
                  <v:path/>
                  <v:fill on="f" focussize="0,0"/>
                  <v:stroke on="f" joinstyle="miter"/>
                  <v:imagedata r:id="rId252" o:title=""/>
                  <o:lock v:ext="edit" aspectratio="t"/>
                  <w10:wrap type="none"/>
                  <w10:anchorlock/>
                </v:shape>
                <o:OLEObject Type="Embed" ProgID="Equation.DSMT4" ShapeID="_x0000_i1178" DrawAspect="Content" ObjectID="_1468075878" r:id="rId275">
                  <o:LockedField>false</o:LockedField>
                </o:OLEObject>
              </w:object>
            </w:r>
          </w:p>
        </w:tc>
        <w:tc>
          <w:tcPr>
            <w:tcW w:w="1706" w:type="dxa"/>
            <w:shd w:val="clear" w:color="auto" w:fill="auto"/>
            <w:vAlign w:val="center"/>
          </w:tcPr>
          <w:p w14:paraId="7D005397">
            <w:pPr>
              <w:widowControl/>
              <w:autoSpaceDE w:val="0"/>
              <w:autoSpaceDN w:val="0"/>
              <w:spacing w:line="360" w:lineRule="auto"/>
              <w:jc w:val="center"/>
              <w:rPr>
                <w:szCs w:val="21"/>
              </w:rPr>
            </w:pPr>
            <w:r>
              <w:rPr>
                <w:szCs w:val="21"/>
              </w:rPr>
              <w:t>0.17</w:t>
            </w:r>
          </w:p>
        </w:tc>
        <w:tc>
          <w:tcPr>
            <w:tcW w:w="1278" w:type="dxa"/>
            <w:vAlign w:val="center"/>
          </w:tcPr>
          <w:p w14:paraId="27EC68DC">
            <w:pPr>
              <w:widowControl/>
              <w:autoSpaceDE w:val="0"/>
              <w:autoSpaceDN w:val="0"/>
              <w:spacing w:line="360" w:lineRule="auto"/>
              <w:jc w:val="center"/>
              <w:rPr>
                <w:szCs w:val="21"/>
              </w:rPr>
            </w:pPr>
            <w:r>
              <w:rPr>
                <w:szCs w:val="21"/>
              </w:rPr>
              <w:t>1</w:t>
            </w:r>
          </w:p>
        </w:tc>
      </w:tr>
      <w:tr w14:paraId="7B991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2" w:type="dxa"/>
            <w:shd w:val="clear" w:color="auto" w:fill="auto"/>
            <w:vAlign w:val="center"/>
          </w:tcPr>
          <w:p w14:paraId="0E1BB3E5">
            <w:pPr>
              <w:widowControl/>
              <w:autoSpaceDE w:val="0"/>
              <w:autoSpaceDN w:val="0"/>
              <w:spacing w:line="360" w:lineRule="auto"/>
              <w:jc w:val="center"/>
              <w:rPr>
                <w:szCs w:val="21"/>
              </w:rPr>
            </w:pPr>
            <w:r>
              <w:rPr>
                <w:szCs w:val="21"/>
              </w:rPr>
              <w:t>11</w:t>
            </w:r>
          </w:p>
        </w:tc>
        <w:tc>
          <w:tcPr>
            <w:tcW w:w="4609" w:type="dxa"/>
            <w:shd w:val="clear" w:color="auto" w:fill="auto"/>
            <w:vAlign w:val="center"/>
          </w:tcPr>
          <w:p w14:paraId="57D11448">
            <w:pPr>
              <w:widowControl/>
              <w:autoSpaceDE w:val="0"/>
              <w:autoSpaceDN w:val="0"/>
              <w:spacing w:line="360" w:lineRule="auto"/>
              <w:jc w:val="center"/>
              <w:rPr>
                <w:szCs w:val="21"/>
              </w:rPr>
            </w:pPr>
            <w:r>
              <w:rPr>
                <w:szCs w:val="21"/>
              </w:rPr>
              <w:t>对水对地航向引入的标准不确定度分量</w:t>
            </w:r>
          </w:p>
        </w:tc>
        <w:tc>
          <w:tcPr>
            <w:tcW w:w="671" w:type="dxa"/>
            <w:shd w:val="clear" w:color="auto" w:fill="auto"/>
            <w:vAlign w:val="center"/>
          </w:tcPr>
          <w:p w14:paraId="0B0401ED">
            <w:pPr>
              <w:widowControl/>
              <w:autoSpaceDE w:val="0"/>
              <w:autoSpaceDN w:val="0"/>
              <w:spacing w:line="360" w:lineRule="auto"/>
              <w:jc w:val="center"/>
              <w:rPr>
                <w:i/>
                <w:iCs/>
                <w:szCs w:val="21"/>
              </w:rPr>
            </w:pPr>
            <w:r>
              <w:rPr>
                <w:position w:val="-12"/>
              </w:rPr>
              <w:object>
                <v:shape id="_x0000_i1179" o:spt="75" type="#_x0000_t75" style="height:18.15pt;width:20.95pt;" o:ole="t" filled="f" o:preferrelative="t" stroked="f" coordsize="21600,21600">
                  <v:path/>
                  <v:fill on="f" focussize="0,0"/>
                  <v:stroke on="f" joinstyle="miter"/>
                  <v:imagedata r:id="rId257" o:title=""/>
                  <o:lock v:ext="edit" aspectratio="t"/>
                  <w10:wrap type="none"/>
                  <w10:anchorlock/>
                </v:shape>
                <o:OLEObject Type="Embed" ProgID="Equation.DSMT4" ShapeID="_x0000_i1179" DrawAspect="Content" ObjectID="_1468075879" r:id="rId276">
                  <o:LockedField>false</o:LockedField>
                </o:OLEObject>
              </w:object>
            </w:r>
          </w:p>
        </w:tc>
        <w:tc>
          <w:tcPr>
            <w:tcW w:w="1706" w:type="dxa"/>
            <w:shd w:val="clear" w:color="auto" w:fill="auto"/>
            <w:vAlign w:val="center"/>
          </w:tcPr>
          <w:p w14:paraId="33CA8690">
            <w:pPr>
              <w:widowControl/>
              <w:autoSpaceDE w:val="0"/>
              <w:autoSpaceDN w:val="0"/>
              <w:spacing w:line="360" w:lineRule="auto"/>
              <w:jc w:val="center"/>
              <w:rPr>
                <w:szCs w:val="21"/>
              </w:rPr>
            </w:pPr>
            <w:r>
              <w:rPr>
                <w:szCs w:val="21"/>
              </w:rPr>
              <w:t>0.12</w:t>
            </w:r>
          </w:p>
        </w:tc>
        <w:tc>
          <w:tcPr>
            <w:tcW w:w="1278" w:type="dxa"/>
            <w:vAlign w:val="center"/>
          </w:tcPr>
          <w:p w14:paraId="4077284E">
            <w:pPr>
              <w:widowControl/>
              <w:autoSpaceDE w:val="0"/>
              <w:autoSpaceDN w:val="0"/>
              <w:spacing w:line="360" w:lineRule="auto"/>
              <w:jc w:val="center"/>
              <w:rPr>
                <w:szCs w:val="21"/>
              </w:rPr>
            </w:pPr>
            <w:r>
              <w:rPr>
                <w:szCs w:val="21"/>
              </w:rPr>
              <w:t>1</w:t>
            </w:r>
          </w:p>
        </w:tc>
      </w:tr>
      <w:tr w14:paraId="46223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2" w:type="dxa"/>
            <w:shd w:val="clear" w:color="auto" w:fill="auto"/>
            <w:vAlign w:val="center"/>
          </w:tcPr>
          <w:p w14:paraId="3AD161BD">
            <w:pPr>
              <w:widowControl/>
              <w:autoSpaceDE w:val="0"/>
              <w:autoSpaceDN w:val="0"/>
              <w:spacing w:line="360" w:lineRule="auto"/>
              <w:jc w:val="center"/>
              <w:rPr>
                <w:szCs w:val="21"/>
              </w:rPr>
            </w:pPr>
            <w:r>
              <w:rPr>
                <w:szCs w:val="21"/>
              </w:rPr>
              <w:t>12</w:t>
            </w:r>
          </w:p>
        </w:tc>
        <w:tc>
          <w:tcPr>
            <w:tcW w:w="4609" w:type="dxa"/>
            <w:shd w:val="clear" w:color="auto" w:fill="auto"/>
            <w:vAlign w:val="center"/>
          </w:tcPr>
          <w:p w14:paraId="0D9F64B5">
            <w:pPr>
              <w:widowControl/>
              <w:autoSpaceDE w:val="0"/>
              <w:autoSpaceDN w:val="0"/>
              <w:spacing w:line="360" w:lineRule="auto"/>
              <w:jc w:val="center"/>
              <w:rPr>
                <w:szCs w:val="21"/>
              </w:rPr>
            </w:pPr>
            <w:r>
              <w:rPr>
                <w:szCs w:val="21"/>
              </w:rPr>
              <w:t>多普勒效应引入的标准不确定度分量</w:t>
            </w:r>
          </w:p>
        </w:tc>
        <w:tc>
          <w:tcPr>
            <w:tcW w:w="671" w:type="dxa"/>
            <w:shd w:val="clear" w:color="auto" w:fill="auto"/>
            <w:vAlign w:val="center"/>
          </w:tcPr>
          <w:p w14:paraId="36E72D73">
            <w:pPr>
              <w:widowControl/>
              <w:autoSpaceDE w:val="0"/>
              <w:autoSpaceDN w:val="0"/>
              <w:spacing w:line="360" w:lineRule="auto"/>
              <w:jc w:val="center"/>
              <w:rPr>
                <w:i/>
                <w:iCs/>
                <w:szCs w:val="21"/>
              </w:rPr>
            </w:pPr>
            <w:r>
              <w:rPr>
                <w:position w:val="-12"/>
              </w:rPr>
              <w:object>
                <v:shape id="_x0000_i1180" o:spt="75" type="#_x0000_t75" style="height:18.15pt;width:21.3pt;" o:ole="t" filled="f" o:preferrelative="t" stroked="f" coordsize="21600,21600">
                  <v:path/>
                  <v:fill on="f" focussize="0,0"/>
                  <v:stroke on="f" joinstyle="miter"/>
                  <v:imagedata r:id="rId262" o:title=""/>
                  <o:lock v:ext="edit" aspectratio="t"/>
                  <w10:wrap type="none"/>
                  <w10:anchorlock/>
                </v:shape>
                <o:OLEObject Type="Embed" ProgID="Equation.DSMT4" ShapeID="_x0000_i1180" DrawAspect="Content" ObjectID="_1468075880" r:id="rId277">
                  <o:LockedField>false</o:LockedField>
                </o:OLEObject>
              </w:object>
            </w:r>
          </w:p>
        </w:tc>
        <w:tc>
          <w:tcPr>
            <w:tcW w:w="1706" w:type="dxa"/>
            <w:shd w:val="clear" w:color="auto" w:fill="auto"/>
            <w:vAlign w:val="center"/>
          </w:tcPr>
          <w:p w14:paraId="5DC7695F">
            <w:pPr>
              <w:widowControl/>
              <w:autoSpaceDE w:val="0"/>
              <w:autoSpaceDN w:val="0"/>
              <w:spacing w:line="360" w:lineRule="auto"/>
              <w:jc w:val="center"/>
              <w:rPr>
                <w:szCs w:val="21"/>
              </w:rPr>
            </w:pPr>
            <w:r>
              <w:rPr>
                <w:szCs w:val="21"/>
              </w:rPr>
              <w:t>0.12</w:t>
            </w:r>
          </w:p>
        </w:tc>
        <w:tc>
          <w:tcPr>
            <w:tcW w:w="1278" w:type="dxa"/>
            <w:vAlign w:val="center"/>
          </w:tcPr>
          <w:p w14:paraId="073F46A0">
            <w:pPr>
              <w:widowControl/>
              <w:autoSpaceDE w:val="0"/>
              <w:autoSpaceDN w:val="0"/>
              <w:spacing w:line="360" w:lineRule="auto"/>
              <w:jc w:val="center"/>
              <w:rPr>
                <w:szCs w:val="21"/>
              </w:rPr>
            </w:pPr>
            <w:r>
              <w:rPr>
                <w:szCs w:val="21"/>
              </w:rPr>
              <w:t>1</w:t>
            </w:r>
          </w:p>
        </w:tc>
      </w:tr>
      <w:bookmarkEnd w:id="123"/>
    </w:tbl>
    <w:p w14:paraId="3153C84C">
      <w:pPr>
        <w:pStyle w:val="32"/>
        <w:spacing w:line="360" w:lineRule="auto"/>
        <w:ind w:firstLine="0" w:firstLineChars="0"/>
        <w:rPr>
          <w:rFonts w:ascii="Times New Roman"/>
          <w:sz w:val="24"/>
          <w:szCs w:val="24"/>
        </w:rPr>
      </w:pPr>
      <w:bookmarkStart w:id="124" w:name="_Toc197605006"/>
    </w:p>
    <w:p w14:paraId="26D9E67F">
      <w:pPr>
        <w:pStyle w:val="32"/>
        <w:spacing w:line="360" w:lineRule="auto"/>
        <w:ind w:firstLine="0" w:firstLineChars="0"/>
        <w:rPr>
          <w:rFonts w:ascii="Times New Roman"/>
          <w:sz w:val="24"/>
          <w:szCs w:val="24"/>
        </w:rPr>
      </w:pPr>
      <w:r>
        <w:rPr>
          <w:rFonts w:ascii="Times New Roman"/>
          <w:sz w:val="24"/>
          <w:szCs w:val="24"/>
        </w:rPr>
        <w:t>C.4.3 水声探测系统的自噪声示值引入的合成标准不确定度</w:t>
      </w:r>
      <w:bookmarkEnd w:id="124"/>
    </w:p>
    <w:p w14:paraId="106C4BDD">
      <w:pPr>
        <w:widowControl/>
        <w:autoSpaceDE w:val="0"/>
        <w:autoSpaceDN w:val="0"/>
        <w:spacing w:line="360" w:lineRule="auto"/>
        <w:ind w:firstLine="480" w:firstLineChars="200"/>
        <w:jc w:val="left"/>
        <w:rPr>
          <w:sz w:val="24"/>
          <w:szCs w:val="24"/>
        </w:rPr>
      </w:pPr>
      <w:r>
        <w:rPr>
          <w:sz w:val="24"/>
          <w:szCs w:val="24"/>
        </w:rPr>
        <w:t>因列举的不确定度分量互不相关，可得到300 Hz~40 kHz水声探测系统的水下噪声声压谱密度级示值的合成标准不确定度：</w:t>
      </w:r>
    </w:p>
    <w:p w14:paraId="1C903C3B">
      <w:pPr>
        <w:widowControl/>
        <w:autoSpaceDE w:val="0"/>
        <w:autoSpaceDN w:val="0"/>
        <w:spacing w:line="360" w:lineRule="auto"/>
        <w:jc w:val="right"/>
        <w:rPr>
          <w:sz w:val="24"/>
          <w:szCs w:val="24"/>
        </w:rPr>
      </w:pPr>
      <w:r>
        <w:rPr>
          <w:position w:val="-14"/>
        </w:rPr>
        <w:object>
          <v:shape id="_x0000_i1181" o:spt="75" type="#_x0000_t75" style="height:23.15pt;width:373.45pt;" o:ole="t" filled="f" o:preferrelative="t" stroked="f" coordsize="21600,21600">
            <v:path/>
            <v:fill on="f" focussize="0,0"/>
            <v:stroke on="f" joinstyle="miter"/>
            <v:imagedata r:id="rId279" o:title=""/>
            <o:lock v:ext="edit" aspectratio="t"/>
            <w10:wrap type="none"/>
            <w10:anchorlock/>
          </v:shape>
          <o:OLEObject Type="Embed" ProgID="Equation.DSMT4" ShapeID="_x0000_i1181" DrawAspect="Content" ObjectID="_1468075881" r:id="rId278">
            <o:LockedField>false</o:LockedField>
          </o:OLEObject>
        </w:object>
      </w:r>
      <w:r>
        <w:rPr>
          <w:sz w:val="24"/>
          <w:szCs w:val="24"/>
        </w:rPr>
        <w:t xml:space="preserve">   </w:t>
      </w:r>
      <w:r>
        <w:rPr>
          <w:sz w:val="24"/>
          <w:szCs w:val="28"/>
        </w:rPr>
        <w:t>（C.4</w:t>
      </w:r>
      <w:r>
        <w:rPr>
          <w:rFonts w:hint="eastAsia"/>
          <w:sz w:val="24"/>
          <w:szCs w:val="28"/>
        </w:rPr>
        <w:t>3</w:t>
      </w:r>
      <w:r>
        <w:rPr>
          <w:sz w:val="24"/>
          <w:szCs w:val="28"/>
        </w:rPr>
        <w:t>）</w:t>
      </w:r>
    </w:p>
    <w:p w14:paraId="0134D326">
      <w:pPr>
        <w:widowControl/>
        <w:autoSpaceDE w:val="0"/>
        <w:autoSpaceDN w:val="0"/>
        <w:spacing w:line="360" w:lineRule="auto"/>
        <w:ind w:firstLine="480" w:firstLineChars="200"/>
        <w:jc w:val="right"/>
        <w:rPr>
          <w:sz w:val="24"/>
          <w:szCs w:val="24"/>
        </w:rPr>
      </w:pPr>
      <w:r>
        <w:rPr>
          <w:sz w:val="24"/>
          <w:szCs w:val="24"/>
        </w:rPr>
        <w:t xml:space="preserve">在300 Hz ≤ </w:t>
      </w:r>
      <w:r>
        <w:rPr>
          <w:i/>
          <w:iCs/>
          <w:sz w:val="24"/>
          <w:szCs w:val="24"/>
        </w:rPr>
        <w:t xml:space="preserve">f </w:t>
      </w:r>
      <w:r>
        <w:rPr>
          <w:sz w:val="24"/>
          <w:szCs w:val="24"/>
        </w:rPr>
        <w:t>≤ 1 kH时：</w:t>
      </w:r>
      <w:r>
        <w:rPr>
          <w:position w:val="-14"/>
        </w:rPr>
        <w:object>
          <v:shape id="_x0000_i1182" o:spt="75" type="#_x0000_t75" style="height:19.4pt;width:40.7pt;" o:ole="t" filled="f" o:preferrelative="t" stroked="f" coordsize="21600,21600">
            <v:path/>
            <v:fill on="f" focussize="0,0"/>
            <v:stroke on="f" joinstyle="miter"/>
            <v:imagedata r:id="rId281" o:title=""/>
            <o:lock v:ext="edit" aspectratio="t"/>
            <w10:wrap type="none"/>
            <w10:anchorlock/>
          </v:shape>
          <o:OLEObject Type="Embed" ProgID="Equation.DSMT4" ShapeID="_x0000_i1182" DrawAspect="Content" ObjectID="_1468075882" r:id="rId280">
            <o:LockedField>false</o:LockedField>
          </o:OLEObject>
        </w:object>
      </w:r>
      <w:r>
        <w:rPr>
          <w:sz w:val="24"/>
          <w:szCs w:val="24"/>
        </w:rPr>
        <w:t xml:space="preserve">=0.53 dB              </w:t>
      </w:r>
      <w:r>
        <w:rPr>
          <w:sz w:val="24"/>
          <w:szCs w:val="28"/>
        </w:rPr>
        <w:t>（C.4</w:t>
      </w:r>
      <w:r>
        <w:rPr>
          <w:rFonts w:hint="eastAsia"/>
          <w:sz w:val="24"/>
          <w:szCs w:val="28"/>
        </w:rPr>
        <w:t>4</w:t>
      </w:r>
      <w:r>
        <w:rPr>
          <w:sz w:val="24"/>
          <w:szCs w:val="28"/>
        </w:rPr>
        <w:t>）</w:t>
      </w:r>
    </w:p>
    <w:p w14:paraId="62950AA1">
      <w:pPr>
        <w:widowControl/>
        <w:autoSpaceDE w:val="0"/>
        <w:autoSpaceDN w:val="0"/>
        <w:spacing w:line="360" w:lineRule="auto"/>
        <w:ind w:firstLine="480" w:firstLineChars="200"/>
        <w:jc w:val="right"/>
        <w:rPr>
          <w:sz w:val="24"/>
          <w:szCs w:val="24"/>
        </w:rPr>
      </w:pPr>
      <w:r>
        <w:rPr>
          <w:sz w:val="24"/>
          <w:szCs w:val="24"/>
        </w:rPr>
        <w:t>在1 kHz＜</w:t>
      </w:r>
      <w:r>
        <w:rPr>
          <w:i/>
          <w:iCs/>
          <w:sz w:val="24"/>
          <w:szCs w:val="24"/>
        </w:rPr>
        <w:t xml:space="preserve">f </w:t>
      </w:r>
      <w:r>
        <w:rPr>
          <w:sz w:val="24"/>
          <w:szCs w:val="24"/>
        </w:rPr>
        <w:t>≤ 40 kH时：</w:t>
      </w:r>
      <w:r>
        <w:rPr>
          <w:position w:val="-14"/>
        </w:rPr>
        <w:object>
          <v:shape id="_x0000_i1183" o:spt="75" type="#_x0000_t75" style="height:19.4pt;width:40.7pt;" o:ole="t" filled="f" o:preferrelative="t" stroked="f" coordsize="21600,21600">
            <v:path/>
            <v:fill on="f" focussize="0,0"/>
            <v:stroke on="f" joinstyle="miter"/>
            <v:imagedata r:id="rId283" o:title=""/>
            <o:lock v:ext="edit" aspectratio="t"/>
            <w10:wrap type="none"/>
            <w10:anchorlock/>
          </v:shape>
          <o:OLEObject Type="Embed" ProgID="Equation.DSMT4" ShapeID="_x0000_i1183" DrawAspect="Content" ObjectID="_1468075883" r:id="rId282">
            <o:LockedField>false</o:LockedField>
          </o:OLEObject>
        </w:object>
      </w:r>
      <w:r>
        <w:rPr>
          <w:sz w:val="24"/>
          <w:szCs w:val="24"/>
        </w:rPr>
        <w:t xml:space="preserve">=0.53 dB              </w:t>
      </w:r>
      <w:r>
        <w:rPr>
          <w:sz w:val="24"/>
          <w:szCs w:val="28"/>
        </w:rPr>
        <w:t>（C.4</w:t>
      </w:r>
      <w:r>
        <w:rPr>
          <w:rFonts w:hint="eastAsia"/>
          <w:sz w:val="24"/>
          <w:szCs w:val="28"/>
        </w:rPr>
        <w:t>5</w:t>
      </w:r>
      <w:r>
        <w:rPr>
          <w:sz w:val="24"/>
          <w:szCs w:val="28"/>
        </w:rPr>
        <w:t>）</w:t>
      </w:r>
    </w:p>
    <w:p w14:paraId="1696AADE">
      <w:pPr>
        <w:widowControl/>
        <w:autoSpaceDE w:val="0"/>
        <w:autoSpaceDN w:val="0"/>
        <w:spacing w:line="360" w:lineRule="auto"/>
        <w:ind w:firstLine="480" w:firstLineChars="200"/>
        <w:jc w:val="center"/>
        <w:rPr>
          <w:sz w:val="24"/>
          <w:szCs w:val="24"/>
        </w:rPr>
      </w:pPr>
    </w:p>
    <w:p w14:paraId="2D25B9C0">
      <w:pPr>
        <w:widowControl/>
        <w:autoSpaceDE w:val="0"/>
        <w:autoSpaceDN w:val="0"/>
        <w:spacing w:line="360" w:lineRule="auto"/>
        <w:ind w:firstLine="480" w:firstLineChars="200"/>
        <w:jc w:val="center"/>
        <w:rPr>
          <w:sz w:val="24"/>
          <w:szCs w:val="24"/>
        </w:rPr>
        <w:sectPr>
          <w:pgSz w:w="11907" w:h="16839"/>
          <w:pgMar w:top="1418" w:right="1134" w:bottom="1134" w:left="1418" w:header="1134" w:footer="851" w:gutter="0"/>
          <w:cols w:space="720" w:num="1"/>
          <w:docGrid w:type="lines" w:linePitch="312" w:charSpace="0"/>
        </w:sectPr>
      </w:pPr>
    </w:p>
    <w:p w14:paraId="723683B6">
      <w:pPr>
        <w:pStyle w:val="36"/>
        <w:numPr>
          <w:ilvl w:val="0"/>
          <w:numId w:val="0"/>
        </w:numPr>
        <w:spacing w:before="156" w:after="156" w:line="360" w:lineRule="auto"/>
        <w:outlineLvl w:val="9"/>
        <w:rPr>
          <w:rFonts w:ascii="Times New Roman"/>
          <w:sz w:val="24"/>
          <w:szCs w:val="24"/>
        </w:rPr>
      </w:pPr>
      <w:bookmarkStart w:id="125" w:name="_Toc199420209"/>
      <w:bookmarkStart w:id="126" w:name="_Toc197605007"/>
      <w:r>
        <w:rPr>
          <w:rFonts w:ascii="Times New Roman"/>
          <w:sz w:val="24"/>
          <w:szCs w:val="24"/>
        </w:rPr>
        <w:t>C.5 船载水声探测系统</w:t>
      </w:r>
      <w:r>
        <w:rPr>
          <w:rFonts w:hint="eastAsia" w:ascii="Times New Roman"/>
          <w:sz w:val="24"/>
          <w:szCs w:val="24"/>
        </w:rPr>
        <w:t>自噪声示值误差</w:t>
      </w:r>
      <w:r>
        <w:rPr>
          <w:rFonts w:ascii="Times New Roman"/>
          <w:sz w:val="24"/>
          <w:szCs w:val="24"/>
        </w:rPr>
        <w:t>的合成标准不确定度</w:t>
      </w:r>
      <w:bookmarkEnd w:id="125"/>
      <w:bookmarkEnd w:id="126"/>
    </w:p>
    <w:p w14:paraId="10FC7CCA">
      <w:pPr>
        <w:widowControl/>
        <w:autoSpaceDE w:val="0"/>
        <w:autoSpaceDN w:val="0"/>
        <w:spacing w:line="360" w:lineRule="auto"/>
        <w:ind w:firstLine="480" w:firstLineChars="200"/>
        <w:jc w:val="left"/>
        <w:rPr>
          <w:sz w:val="24"/>
          <w:szCs w:val="24"/>
        </w:rPr>
      </w:pPr>
      <w:r>
        <w:rPr>
          <w:sz w:val="24"/>
          <w:szCs w:val="24"/>
        </w:rPr>
        <w:t>船载水声探测系统</w:t>
      </w:r>
      <w:r>
        <w:rPr>
          <w:rFonts w:hint="eastAsia"/>
          <w:sz w:val="24"/>
          <w:szCs w:val="24"/>
        </w:rPr>
        <w:t>自噪声示值误差的</w:t>
      </w:r>
      <w:r>
        <w:rPr>
          <w:sz w:val="24"/>
          <w:szCs w:val="24"/>
        </w:rPr>
        <w:t>合成标准不确定度如</w:t>
      </w:r>
      <w:bookmarkStart w:id="127" w:name="_Toc197605008"/>
      <w:r>
        <w:rPr>
          <w:sz w:val="24"/>
          <w:szCs w:val="24"/>
        </w:rPr>
        <w:t>下：</w:t>
      </w:r>
    </w:p>
    <w:p w14:paraId="79D4C7CE">
      <w:pPr>
        <w:widowControl/>
        <w:autoSpaceDE w:val="0"/>
        <w:autoSpaceDN w:val="0"/>
        <w:spacing w:line="360" w:lineRule="auto"/>
        <w:ind w:firstLine="480" w:firstLineChars="200"/>
        <w:jc w:val="right"/>
        <w:rPr>
          <w:sz w:val="24"/>
          <w:szCs w:val="24"/>
        </w:rPr>
      </w:pPr>
      <w:r>
        <w:rPr>
          <w:sz w:val="24"/>
          <w:szCs w:val="24"/>
        </w:rPr>
        <w:t xml:space="preserve">在300 Hz ≤ </w:t>
      </w:r>
      <w:r>
        <w:rPr>
          <w:i/>
          <w:iCs/>
          <w:sz w:val="24"/>
          <w:szCs w:val="24"/>
        </w:rPr>
        <w:t xml:space="preserve">f </w:t>
      </w:r>
      <w:r>
        <w:rPr>
          <w:sz w:val="24"/>
          <w:szCs w:val="24"/>
        </w:rPr>
        <w:t>≤ 1 kHz时：</w:t>
      </w:r>
      <w:r>
        <w:rPr>
          <w:position w:val="-14"/>
        </w:rPr>
        <w:object>
          <v:shape id="_x0000_i1184" o:spt="75" type="#_x0000_t75" style="height:19.4pt;width:48.2pt;" o:ole="t" filled="f" o:preferrelative="t" stroked="f" coordsize="21600,21600">
            <v:path/>
            <v:fill on="f" focussize="0,0"/>
            <v:stroke on="f" joinstyle="miter"/>
            <v:imagedata r:id="rId285" o:title=""/>
            <o:lock v:ext="edit" aspectratio="t"/>
            <w10:wrap type="none"/>
            <w10:anchorlock/>
          </v:shape>
          <o:OLEObject Type="Embed" ProgID="Equation.DSMT4" ShapeID="_x0000_i1184" DrawAspect="Content" ObjectID="_1468075884" r:id="rId284">
            <o:LockedField>false</o:LockedField>
          </o:OLEObject>
        </w:object>
      </w:r>
      <w:r>
        <w:rPr>
          <w:sz w:val="24"/>
          <w:szCs w:val="24"/>
        </w:rPr>
        <w:t xml:space="preserve">=0.99 dB             </w:t>
      </w:r>
      <w:r>
        <w:rPr>
          <w:sz w:val="24"/>
          <w:szCs w:val="28"/>
        </w:rPr>
        <w:t>（C.4</w:t>
      </w:r>
      <w:r>
        <w:rPr>
          <w:rFonts w:hint="eastAsia"/>
          <w:sz w:val="24"/>
          <w:szCs w:val="28"/>
        </w:rPr>
        <w:t>6</w:t>
      </w:r>
      <w:r>
        <w:rPr>
          <w:sz w:val="24"/>
          <w:szCs w:val="28"/>
        </w:rPr>
        <w:t>）</w:t>
      </w:r>
    </w:p>
    <w:p w14:paraId="24849C70">
      <w:pPr>
        <w:widowControl/>
        <w:autoSpaceDE w:val="0"/>
        <w:autoSpaceDN w:val="0"/>
        <w:spacing w:line="360" w:lineRule="auto"/>
        <w:ind w:firstLine="480" w:firstLineChars="200"/>
        <w:jc w:val="right"/>
        <w:rPr>
          <w:sz w:val="24"/>
          <w:szCs w:val="24"/>
        </w:rPr>
      </w:pPr>
      <w:r>
        <w:rPr>
          <w:sz w:val="24"/>
          <w:szCs w:val="24"/>
        </w:rPr>
        <w:t>在1 kHz＜</w:t>
      </w:r>
      <w:r>
        <w:rPr>
          <w:i/>
          <w:iCs/>
          <w:sz w:val="24"/>
          <w:szCs w:val="24"/>
        </w:rPr>
        <w:t xml:space="preserve">f </w:t>
      </w:r>
      <w:r>
        <w:rPr>
          <w:sz w:val="24"/>
          <w:szCs w:val="24"/>
        </w:rPr>
        <w:t>≤ 40 kHz时：</w:t>
      </w:r>
      <w:r>
        <w:rPr>
          <w:position w:val="-14"/>
        </w:rPr>
        <w:object>
          <v:shape id="_x0000_i1185" o:spt="75" type="#_x0000_t75" style="height:19.4pt;width:48.2pt;" o:ole="t" filled="f" o:preferrelative="t" stroked="f" coordsize="21600,21600">
            <v:path/>
            <v:fill on="f" focussize="0,0"/>
            <v:stroke on="f" joinstyle="miter"/>
            <v:imagedata r:id="rId287" o:title=""/>
            <o:lock v:ext="edit" aspectratio="t"/>
            <w10:wrap type="none"/>
            <w10:anchorlock/>
          </v:shape>
          <o:OLEObject Type="Embed" ProgID="Equation.DSMT4" ShapeID="_x0000_i1185" DrawAspect="Content" ObjectID="_1468075885" r:id="rId286">
            <o:LockedField>false</o:LockedField>
          </o:OLEObject>
        </w:object>
      </w:r>
      <w:r>
        <w:rPr>
          <w:sz w:val="24"/>
          <w:szCs w:val="24"/>
        </w:rPr>
        <w:t xml:space="preserve">=0.87 dB             </w:t>
      </w:r>
      <w:r>
        <w:rPr>
          <w:sz w:val="24"/>
          <w:szCs w:val="28"/>
        </w:rPr>
        <w:t>（C.4</w:t>
      </w:r>
      <w:r>
        <w:rPr>
          <w:rFonts w:hint="eastAsia"/>
          <w:sz w:val="24"/>
          <w:szCs w:val="28"/>
        </w:rPr>
        <w:t>7</w:t>
      </w:r>
      <w:r>
        <w:rPr>
          <w:sz w:val="24"/>
          <w:szCs w:val="28"/>
        </w:rPr>
        <w:t>）</w:t>
      </w:r>
    </w:p>
    <w:p w14:paraId="3A7FC143">
      <w:pPr>
        <w:pStyle w:val="36"/>
        <w:numPr>
          <w:ilvl w:val="0"/>
          <w:numId w:val="0"/>
        </w:numPr>
        <w:spacing w:before="156" w:after="156" w:line="360" w:lineRule="auto"/>
        <w:outlineLvl w:val="9"/>
        <w:rPr>
          <w:rFonts w:ascii="Times New Roman"/>
          <w:sz w:val="24"/>
          <w:szCs w:val="24"/>
        </w:rPr>
      </w:pPr>
      <w:bookmarkStart w:id="128" w:name="_Toc200290575"/>
      <w:bookmarkStart w:id="129" w:name="_Toc199420210"/>
      <w:r>
        <w:rPr>
          <w:rFonts w:ascii="Times New Roman"/>
          <w:sz w:val="24"/>
          <w:szCs w:val="24"/>
        </w:rPr>
        <w:t>C.6 扩展不确定度</w:t>
      </w:r>
      <w:bookmarkEnd w:id="127"/>
      <w:bookmarkEnd w:id="128"/>
      <w:bookmarkEnd w:id="129"/>
    </w:p>
    <w:p w14:paraId="5225FF3B">
      <w:pPr>
        <w:widowControl/>
        <w:autoSpaceDE w:val="0"/>
        <w:autoSpaceDN w:val="0"/>
        <w:spacing w:line="360" w:lineRule="auto"/>
        <w:ind w:firstLine="480" w:firstLineChars="200"/>
        <w:jc w:val="left"/>
        <w:rPr>
          <w:sz w:val="24"/>
          <w:szCs w:val="24"/>
        </w:rPr>
      </w:pPr>
      <w:bookmarkStart w:id="130" w:name="_Hlk197719258"/>
      <w:r>
        <w:rPr>
          <w:sz w:val="24"/>
          <w:szCs w:val="24"/>
        </w:rPr>
        <w:t>在300 Hz~40 kHz范围内，船载水声探测系统自噪声示值误差的扩展不确定度为：</w:t>
      </w:r>
    </w:p>
    <w:p w14:paraId="1B49CFA3">
      <w:pPr>
        <w:widowControl/>
        <w:autoSpaceDE w:val="0"/>
        <w:autoSpaceDN w:val="0"/>
        <w:spacing w:line="360" w:lineRule="auto"/>
        <w:ind w:firstLine="420" w:firstLineChars="200"/>
        <w:jc w:val="right"/>
        <w:rPr>
          <w:sz w:val="24"/>
          <w:szCs w:val="24"/>
        </w:rPr>
      </w:pPr>
      <w:r>
        <w:rPr>
          <w:position w:val="-12"/>
        </w:rPr>
        <w:object>
          <v:shape id="_x0000_i1186" o:spt="75" type="#_x0000_t75" style="height:18.15pt;width:40.05pt;" o:ole="t" filled="f" o:preferrelative="t" stroked="f" coordsize="21600,21600">
            <v:path/>
            <v:fill on="f" focussize="0,0"/>
            <v:stroke on="f" joinstyle="miter"/>
            <v:imagedata r:id="rId289" o:title=""/>
            <o:lock v:ext="edit" aspectratio="t"/>
            <w10:wrap type="none"/>
            <w10:anchorlock/>
          </v:shape>
          <o:OLEObject Type="Embed" ProgID="Equation.DSMT4" ShapeID="_x0000_i1186" DrawAspect="Content" ObjectID="_1468075886" r:id="rId288">
            <o:LockedField>false</o:LockedField>
          </o:OLEObject>
        </w:object>
      </w:r>
      <w:r>
        <w:t xml:space="preserve">                        </w:t>
      </w:r>
      <w:r>
        <w:rPr>
          <w:sz w:val="24"/>
          <w:szCs w:val="24"/>
        </w:rPr>
        <w:t xml:space="preserve">  </w:t>
      </w:r>
      <w:r>
        <w:rPr>
          <w:sz w:val="24"/>
          <w:szCs w:val="28"/>
        </w:rPr>
        <w:t>（C.4</w:t>
      </w:r>
      <w:r>
        <w:rPr>
          <w:rFonts w:hint="eastAsia"/>
          <w:sz w:val="24"/>
          <w:szCs w:val="28"/>
        </w:rPr>
        <w:t>8</w:t>
      </w:r>
      <w:r>
        <w:rPr>
          <w:sz w:val="24"/>
          <w:szCs w:val="28"/>
        </w:rPr>
        <w:t>）</w:t>
      </w:r>
    </w:p>
    <w:p w14:paraId="16BD56C0">
      <w:pPr>
        <w:widowControl/>
        <w:autoSpaceDE w:val="0"/>
        <w:autoSpaceDN w:val="0"/>
        <w:spacing w:line="360" w:lineRule="auto"/>
        <w:ind w:firstLine="480" w:firstLineChars="200"/>
        <w:jc w:val="center"/>
        <w:rPr>
          <w:sz w:val="24"/>
          <w:szCs w:val="24"/>
        </w:rPr>
      </w:pPr>
    </w:p>
    <w:p w14:paraId="78B5AED5">
      <w:pPr>
        <w:widowControl/>
        <w:autoSpaceDE w:val="0"/>
        <w:autoSpaceDN w:val="0"/>
        <w:spacing w:line="360" w:lineRule="auto"/>
        <w:ind w:firstLine="480" w:firstLineChars="200"/>
        <w:jc w:val="left"/>
        <w:rPr>
          <w:sz w:val="24"/>
          <w:szCs w:val="24"/>
        </w:rPr>
      </w:pPr>
      <w:r>
        <w:rPr>
          <w:sz w:val="24"/>
          <w:szCs w:val="24"/>
        </w:rPr>
        <w:t>则：</w:t>
      </w:r>
    </w:p>
    <w:p w14:paraId="6D010C39">
      <w:pPr>
        <w:widowControl/>
        <w:autoSpaceDE w:val="0"/>
        <w:autoSpaceDN w:val="0"/>
        <w:spacing w:line="360" w:lineRule="auto"/>
        <w:ind w:firstLine="480" w:firstLineChars="200"/>
        <w:jc w:val="right"/>
        <w:rPr>
          <w:sz w:val="24"/>
          <w:szCs w:val="24"/>
        </w:rPr>
      </w:pPr>
      <w:r>
        <w:rPr>
          <w:sz w:val="24"/>
          <w:szCs w:val="24"/>
        </w:rPr>
        <w:t xml:space="preserve">在300 Hz ≤ </w:t>
      </w:r>
      <w:r>
        <w:rPr>
          <w:i/>
          <w:iCs/>
          <w:sz w:val="24"/>
          <w:szCs w:val="24"/>
        </w:rPr>
        <w:t xml:space="preserve">f </w:t>
      </w:r>
      <w:r>
        <w:rPr>
          <w:sz w:val="24"/>
          <w:szCs w:val="24"/>
        </w:rPr>
        <w:t>≤ 1 kHz时：</w:t>
      </w:r>
      <w:r>
        <w:rPr>
          <w:i/>
          <w:iCs/>
          <w:sz w:val="24"/>
          <w:szCs w:val="24"/>
        </w:rPr>
        <w:t>U</w:t>
      </w:r>
      <w:r>
        <w:rPr>
          <w:sz w:val="24"/>
          <w:szCs w:val="24"/>
        </w:rPr>
        <w:t>=2.0 dB (</w:t>
      </w:r>
      <w:r>
        <w:rPr>
          <w:i/>
          <w:iCs/>
          <w:sz w:val="24"/>
          <w:szCs w:val="24"/>
        </w:rPr>
        <w:t>k</w:t>
      </w:r>
      <w:r>
        <w:rPr>
          <w:sz w:val="24"/>
          <w:szCs w:val="24"/>
        </w:rPr>
        <w:t xml:space="preserve">=2)         </w:t>
      </w:r>
      <w:r>
        <w:t xml:space="preserve">   </w:t>
      </w:r>
      <w:r>
        <w:rPr>
          <w:sz w:val="24"/>
          <w:szCs w:val="24"/>
        </w:rPr>
        <w:t xml:space="preserve">  </w:t>
      </w:r>
      <w:r>
        <w:rPr>
          <w:sz w:val="24"/>
          <w:szCs w:val="28"/>
        </w:rPr>
        <w:t>（C.4</w:t>
      </w:r>
      <w:r>
        <w:rPr>
          <w:rFonts w:hint="eastAsia"/>
          <w:sz w:val="24"/>
          <w:szCs w:val="28"/>
        </w:rPr>
        <w:t>9</w:t>
      </w:r>
      <w:r>
        <w:rPr>
          <w:sz w:val="24"/>
          <w:szCs w:val="28"/>
        </w:rPr>
        <w:t>）</w:t>
      </w:r>
    </w:p>
    <w:p w14:paraId="7D975812">
      <w:pPr>
        <w:widowControl/>
        <w:autoSpaceDE w:val="0"/>
        <w:autoSpaceDN w:val="0"/>
        <w:spacing w:line="360" w:lineRule="auto"/>
        <w:ind w:firstLine="480" w:firstLineChars="200"/>
        <w:jc w:val="right"/>
        <w:rPr>
          <w:sz w:val="24"/>
          <w:szCs w:val="24"/>
        </w:rPr>
      </w:pPr>
      <w:r>
        <w:rPr>
          <w:sz w:val="24"/>
          <w:szCs w:val="24"/>
        </w:rPr>
        <mc:AlternateContent>
          <mc:Choice Requires="wps">
            <w:drawing>
              <wp:anchor distT="0" distB="0" distL="114300" distR="114300" simplePos="0" relativeHeight="251668480" behindDoc="0" locked="0" layoutInCell="1" allowOverlap="1">
                <wp:simplePos x="0" y="0"/>
                <wp:positionH relativeFrom="column">
                  <wp:posOffset>2299335</wp:posOffset>
                </wp:positionH>
                <wp:positionV relativeFrom="paragraph">
                  <wp:posOffset>1121410</wp:posOffset>
                </wp:positionV>
                <wp:extent cx="153543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153518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81.05pt;margin-top:88.3pt;height:0pt;width:120.9pt;z-index:251668480;mso-width-relative:page;mso-height-relative:page;" filled="f" stroked="t" coordsize="21600,21600" o:gfxdata="UEsDBAoAAAAAAIdO4kAAAAAAAAAAAAAAAAAEAAAAZHJzL1BLAwQUAAAACACHTuJAUiuuINcAAAAL&#10;AQAADwAAAGRycy9kb3ducmV2LnhtbE2PwU7DMAyG70i8Q2QkbiztJqWja7oDEgckJKBw4Ji1XtuR&#10;OKXJ2vL2GAkJjvb/6/PnYr84KyYcQ+9JQ7pKQCDVvump1fD2en+zBRGiocZYT6jhCwPsy8uLwuSN&#10;n+kFpyq2giEUcqOhi3HIpQx1h86ElR+QODv60ZnI49jKZjQzw52V6yRR0pme+EJnBrzrsP6ozo4p&#10;lH0eFzu+Pz89dttqPuHDlKHW11dpsgMRcYl/ZfjRZ3Uo2engz9QEYTVs1DrlKgeZUiC4oZLNLYjD&#10;70aWhfz/Q/kNUEsDBBQAAAAIAIdO4kDsmrA14wEAALEDAAAOAAAAZHJzL2Uyb0RvYy54bWytU81u&#10;EzEQviPxDpbvZJNGiapVNj00KhcEkYAHmHjtXUv+k8fNJi/BCyBxgxNH7rwN5TEYe9O0lEsP7ME7&#10;Hs984++b8erqYA3by4jau4bPJlPOpBO+1a5r+McPN68uOcMErgXjnWz4USK/Wr98sRpCLS98700r&#10;IyMQh/UQGt6nFOqqQtFLCzjxQTo6VD5aSLSNXdVGGAjdmupiOl1Wg49tiF5IRPJuxkN+QozPAfRK&#10;aSE3Xtxa6dKIGqWBRJSw1wH5utxWKSnSO6VQJmYaTkxTWakI2bu8VusV1F2E0GtxugI85wpPOFnQ&#10;joqeoTaQgN1G/Q+U1SJ69CpNhLfVSKQoQixm0yfavO8hyMKFpMZwFh3/H6x4u99GptuGzzlzYKnh&#10;d59//Pr09ffPL7Teff/G5lmkIWBNsdduG087DNuYGR9UtPlPXNihCHs8CysPiQlyzhbzxexyyZm4&#10;P6seEkPE9Fp6y7LRcKNd5gw17N9gomIUeh+S3c7faGNK34xjQ8OX8wV1UwDNoqIZINMG4oOu4wxM&#10;R0MuUiyI6I1uc3bGwdjtrk1ke8ijUb5MlKr9FZZLbwD7Ma4cjUNjdaJ3YLRt+OXjbOMIJMs1CpSt&#10;nW+PRbfip06WMqepy6PyeF+yH17a+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SK64g1wAAAAsB&#10;AAAPAAAAAAAAAAEAIAAAACIAAABkcnMvZG93bnJldi54bWxQSwECFAAUAAAACACHTuJA7JqwNeMB&#10;AACxAwAADgAAAAAAAAABACAAAAAmAQAAZHJzL2Uyb0RvYy54bWxQSwUGAAAAAAYABgBZAQAAewUA&#10;AAAA&#10;">
                <v:fill on="f" focussize="0,0"/>
                <v:stroke weight="0.5pt" color="#000000 [3200]" miterlimit="8" joinstyle="miter"/>
                <v:imagedata o:title=""/>
                <o:lock v:ext="edit" aspectratio="f"/>
              </v:line>
            </w:pict>
          </mc:Fallback>
        </mc:AlternateContent>
      </w:r>
      <w:r>
        <w:rPr>
          <w:sz w:val="24"/>
          <w:szCs w:val="24"/>
        </w:rPr>
        <w:t xml:space="preserve">在1 kHz＜ </w:t>
      </w:r>
      <w:r>
        <w:rPr>
          <w:i/>
          <w:iCs/>
          <w:sz w:val="24"/>
          <w:szCs w:val="24"/>
        </w:rPr>
        <w:t>f</w:t>
      </w:r>
      <w:r>
        <w:rPr>
          <w:sz w:val="24"/>
          <w:szCs w:val="24"/>
        </w:rPr>
        <w:t xml:space="preserve"> ≤ 40 kHz时：</w:t>
      </w:r>
      <w:r>
        <w:rPr>
          <w:i/>
          <w:iCs/>
          <w:sz w:val="24"/>
          <w:szCs w:val="24"/>
        </w:rPr>
        <w:t>U</w:t>
      </w:r>
      <w:r>
        <w:rPr>
          <w:sz w:val="24"/>
          <w:szCs w:val="24"/>
        </w:rPr>
        <w:t>=1.7 dB (</w:t>
      </w:r>
      <w:r>
        <w:rPr>
          <w:i/>
          <w:iCs/>
          <w:sz w:val="24"/>
          <w:szCs w:val="24"/>
        </w:rPr>
        <w:t>k</w:t>
      </w:r>
      <w:r>
        <w:rPr>
          <w:sz w:val="24"/>
          <w:szCs w:val="24"/>
        </w:rPr>
        <w:t>=2)</w:t>
      </w:r>
      <w:bookmarkEnd w:id="85"/>
      <w:bookmarkEnd w:id="94"/>
      <w:bookmarkEnd w:id="130"/>
      <w:r>
        <w:rPr>
          <w:sz w:val="24"/>
          <w:szCs w:val="24"/>
        </w:rPr>
        <w:t xml:space="preserve">   </w:t>
      </w:r>
      <w:r>
        <w:t xml:space="preserve">          </w:t>
      </w:r>
      <w:r>
        <w:rPr>
          <w:sz w:val="24"/>
          <w:szCs w:val="24"/>
        </w:rPr>
        <w:t xml:space="preserve">  </w:t>
      </w:r>
      <w:r>
        <w:rPr>
          <w:sz w:val="24"/>
          <w:szCs w:val="28"/>
        </w:rPr>
        <w:t>（C.</w:t>
      </w:r>
      <w:r>
        <w:rPr>
          <w:rFonts w:hint="eastAsia"/>
          <w:sz w:val="24"/>
          <w:szCs w:val="28"/>
        </w:rPr>
        <w:t>50</w:t>
      </w:r>
      <w:r>
        <w:rPr>
          <w:sz w:val="24"/>
          <w:szCs w:val="28"/>
        </w:rPr>
        <w:t>）</w:t>
      </w:r>
    </w:p>
    <w:p w14:paraId="5C3EE7CF">
      <w:pPr>
        <w:widowControl/>
        <w:autoSpaceDE w:val="0"/>
        <w:autoSpaceDN w:val="0"/>
        <w:spacing w:line="360" w:lineRule="auto"/>
        <w:ind w:firstLine="480" w:firstLineChars="200"/>
        <w:jc w:val="left"/>
        <w:rPr>
          <w:sz w:val="24"/>
          <w:szCs w:val="24"/>
        </w:rPr>
      </w:pPr>
    </w:p>
    <w:sectPr>
      <w:pgSz w:w="11907" w:h="16839"/>
      <w:pgMar w:top="1418" w:right="1134" w:bottom="1134" w:left="1418" w:header="1134" w:footer="85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FZSSK--GBK1-0">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E-BZ">
    <w:altName w:val="Cambria"/>
    <w:panose1 w:val="00000000000000000000"/>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D94AA3">
    <w:pPr>
      <w:pStyle w:val="53"/>
      <w:rPr>
        <w:rStyle w:val="19"/>
      </w:rPr>
    </w:pPr>
    <w:r>
      <w:fldChar w:fldCharType="begin"/>
    </w:r>
    <w:r>
      <w:rPr>
        <w:rStyle w:val="19"/>
      </w:rPr>
      <w:instrText xml:space="preserve">PAGE  </w:instrText>
    </w:r>
    <w:r>
      <w:fldChar w:fldCharType="separate"/>
    </w:r>
    <w:r>
      <w:rPr>
        <w:rStyle w:val="19"/>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ABFBE2">
    <w:pPr>
      <w:pStyle w:val="10"/>
      <w:jc w:val="right"/>
    </w:pPr>
  </w:p>
  <w:p w14:paraId="36EAEF55">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CE4CCC">
    <w:pPr>
      <w:pStyle w:val="10"/>
      <w:rPr>
        <w:rStyle w:val="19"/>
        <w:rFonts w:ascii="Calibri" w:hAnsi="Calibri"/>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E8754E">
    <w:pPr>
      <w:pStyle w:val="10"/>
      <w:jc w:val="right"/>
    </w:pPr>
    <w:r>
      <w:fldChar w:fldCharType="begin"/>
    </w:r>
    <w:r>
      <w:instrText xml:space="preserve">PAGE   \* MERGEFORMAT</w:instrText>
    </w:r>
    <w:r>
      <w:fldChar w:fldCharType="separate"/>
    </w:r>
    <w:r>
      <w:rPr>
        <w:lang w:val="zh-CN"/>
      </w:rPr>
      <w:t>I</w:t>
    </w:r>
    <w:r>
      <w:fldChar w:fldCharType="end"/>
    </w:r>
  </w:p>
  <w:p w14:paraId="52E9028F">
    <w:pPr>
      <w:pStyle w:val="1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06E9A6">
    <w:pPr>
      <w:pStyle w:val="10"/>
    </w:pPr>
    <w:r>
      <w:fldChar w:fldCharType="begin"/>
    </w:r>
    <w:r>
      <w:instrText xml:space="preserve">PAGE   \* MERGEFORMAT</w:instrText>
    </w:r>
    <w:r>
      <w:fldChar w:fldCharType="separate"/>
    </w:r>
    <w:r>
      <w:rPr>
        <w:lang w:val="zh-CN"/>
      </w:rPr>
      <w:t>II</w:t>
    </w:r>
    <w:r>
      <w:fldChar w:fldCharType="end"/>
    </w:r>
  </w:p>
  <w:p w14:paraId="7A3E6D87">
    <w:pPr>
      <w:pStyle w:val="10"/>
      <w:rPr>
        <w:rStyle w:val="19"/>
        <w:rFonts w:ascii="Calibri" w:hAnsi="Calibri"/>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12702831"/>
    </w:sdtPr>
    <w:sdtContent>
      <w:p w14:paraId="0099CA2B">
        <w:pPr>
          <w:pStyle w:val="10"/>
          <w:jc w:val="right"/>
        </w:pPr>
        <w:r>
          <w:fldChar w:fldCharType="begin"/>
        </w:r>
        <w:r>
          <w:instrText xml:space="preserve">PAGE   \* MERGEFORMAT</w:instrText>
        </w:r>
        <w:r>
          <w:fldChar w:fldCharType="separate"/>
        </w:r>
        <w:r>
          <w:rPr>
            <w:lang w:val="zh-CN"/>
          </w:rPr>
          <w:t>2</w:t>
        </w:r>
        <w:r>
          <w:fldChar w:fldCharType="end"/>
        </w:r>
      </w:p>
    </w:sdtContent>
  </w:sdt>
  <w:p w14:paraId="26ED8F7E">
    <w:pPr>
      <w:pStyle w:val="1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0527777"/>
      <w:docPartObj>
        <w:docPartGallery w:val="autotext"/>
      </w:docPartObj>
    </w:sdtPr>
    <w:sdtContent>
      <w:p w14:paraId="1BB2F2A1">
        <w:pPr>
          <w:pStyle w:val="10"/>
        </w:pPr>
        <w:r>
          <w:fldChar w:fldCharType="begin"/>
        </w:r>
        <w:r>
          <w:instrText xml:space="preserve">PAGE   \* MERGEFORMAT</w:instrText>
        </w:r>
        <w:r>
          <w:fldChar w:fldCharType="separate"/>
        </w:r>
        <w:r>
          <w:rPr>
            <w:lang w:val="zh-CN"/>
          </w:rPr>
          <w:t>2</w:t>
        </w:r>
        <w:r>
          <w:fldChar w:fldCharType="end"/>
        </w:r>
      </w:p>
    </w:sdtContent>
  </w:sdt>
  <w:p w14:paraId="3B12BA4B">
    <w:pPr>
      <w:pStyle w:val="10"/>
      <w:rPr>
        <w:rStyle w:val="19"/>
        <w:rFonts w:ascii="Calibri" w:hAnsi="Calibri"/>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ECEBE2">
    <w:pPr>
      <w:pStyle w:val="11"/>
      <w:rPr>
        <w:rFonts w:hint="eastAsia" w:ascii="黑体" w:hAnsi="黑体" w:eastAsia="黑体"/>
      </w:rPr>
    </w:pPr>
    <w:r>
      <w:rPr>
        <w:rFonts w:ascii="黑体" w:hAnsi="黑体" w:eastAsia="黑体"/>
        <w:sz w:val="21"/>
      </w:rPr>
      <w:t>JJF</w:t>
    </w:r>
    <w:r>
      <w:rPr>
        <w:rFonts w:hint="eastAsia" w:ascii="黑体" w:hAnsi="黑体" w:eastAsia="黑体"/>
      </w:rPr>
      <w:t xml:space="preserve"> 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91568B">
    <w:r>
      <w:rPr>
        <w:rFonts w:hint="eastAsia"/>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411069">
    <w:pPr>
      <w:pStyle w:val="11"/>
    </w:pPr>
    <w:r>
      <w:t xml:space="preserve"> </w:t>
    </w:r>
    <w:r>
      <w:rPr>
        <w:sz w:val="21"/>
      </w:rPr>
      <w:t>JJF</w:t>
    </w:r>
    <w:r>
      <w:rPr>
        <w:rFonts w:hint="eastAsia"/>
      </w:rPr>
      <w:t xml:space="preserve"> 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6120DA">
    <w:pPr>
      <w:pStyle w:val="11"/>
    </w:pPr>
    <w:r>
      <w:rPr>
        <w:sz w:val="21"/>
      </w:rPr>
      <w:t>JJF</w:t>
    </w:r>
    <w:r>
      <w:rPr>
        <w:rFonts w:hint="eastAsia"/>
      </w:rPr>
      <w:t xml:space="preserve"> 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4FC8D6">
    <w:pPr>
      <w:pStyle w:val="11"/>
    </w:pPr>
    <w:r>
      <w:rPr>
        <w:sz w:val="21"/>
      </w:rPr>
      <w:t>JJF</w:t>
    </w:r>
    <w:r>
      <w:rPr>
        <w:rFonts w:hint="eastAsia"/>
      </w:rPr>
      <w:t xml:space="preserve"> 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7E65F9"/>
    <w:multiLevelType w:val="multilevel"/>
    <w:tmpl w:val="407E65F9"/>
    <w:lvl w:ilvl="0" w:tentative="0">
      <w:start w:val="1"/>
      <w:numFmt w:val="none"/>
      <w:pStyle w:val="49"/>
      <w:lvlText w:val="%1·　"/>
      <w:lvlJc w:val="left"/>
      <w:pPr>
        <w:tabs>
          <w:tab w:val="left" w:pos="1140"/>
        </w:tabs>
        <w:ind w:left="737" w:hanging="317"/>
      </w:pPr>
      <w:rPr>
        <w:rFonts w:hint="eastAsia" w:ascii="宋体" w:hAnsi="Times New Roman" w:eastAsia="宋体" w:cs="Times New Roman"/>
        <w:b w:val="0"/>
        <w:i w:val="0"/>
        <w:sz w:val="21"/>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646260FA"/>
    <w:multiLevelType w:val="multilevel"/>
    <w:tmpl w:val="646260FA"/>
    <w:lvl w:ilvl="0" w:tentative="0">
      <w:start w:val="1"/>
      <w:numFmt w:val="decimal"/>
      <w:pStyle w:val="37"/>
      <w:suff w:val="nothing"/>
      <w:lvlText w:val="表%1　"/>
      <w:lvlJc w:val="left"/>
      <w:rPr>
        <w:rFonts w:hint="default" w:ascii="Times New Roman" w:hAnsi="Times New Roman" w:eastAsia="黑体" w:cs="Times New Roman"/>
        <w:b w:val="0"/>
        <w:i w:val="0"/>
        <w:sz w:val="21"/>
      </w:rPr>
    </w:lvl>
    <w:lvl w:ilvl="1" w:tentative="0">
      <w:start w:val="1"/>
      <w:numFmt w:val="decimal"/>
      <w:lvlText w:val="%1.%2"/>
      <w:lvlJc w:val="left"/>
      <w:pPr>
        <w:tabs>
          <w:tab w:val="left" w:pos="5245"/>
        </w:tabs>
        <w:ind w:left="5245" w:hanging="567"/>
      </w:pPr>
      <w:rPr>
        <w:rFonts w:hint="eastAsia" w:cs="Times New Roman"/>
      </w:rPr>
    </w:lvl>
    <w:lvl w:ilvl="2" w:tentative="0">
      <w:start w:val="1"/>
      <w:numFmt w:val="decimal"/>
      <w:lvlText w:val="%1.%2.%3"/>
      <w:lvlJc w:val="left"/>
      <w:pPr>
        <w:tabs>
          <w:tab w:val="left" w:pos="5671"/>
        </w:tabs>
        <w:ind w:left="5671" w:hanging="567"/>
      </w:pPr>
      <w:rPr>
        <w:rFonts w:hint="eastAsia" w:cs="Times New Roman"/>
      </w:rPr>
    </w:lvl>
    <w:lvl w:ilvl="3" w:tentative="0">
      <w:start w:val="1"/>
      <w:numFmt w:val="decimal"/>
      <w:lvlText w:val="%1.%2.%3.%4"/>
      <w:lvlJc w:val="left"/>
      <w:pPr>
        <w:tabs>
          <w:tab w:val="left" w:pos="6237"/>
        </w:tabs>
        <w:ind w:left="6237" w:hanging="708"/>
      </w:pPr>
      <w:rPr>
        <w:rFonts w:hint="eastAsia" w:cs="Times New Roman"/>
      </w:rPr>
    </w:lvl>
    <w:lvl w:ilvl="4" w:tentative="0">
      <w:start w:val="1"/>
      <w:numFmt w:val="decimal"/>
      <w:lvlText w:val="%1.%2.%3.%4.%5"/>
      <w:lvlJc w:val="left"/>
      <w:pPr>
        <w:tabs>
          <w:tab w:val="left" w:pos="6804"/>
        </w:tabs>
        <w:ind w:left="6804" w:hanging="850"/>
      </w:pPr>
      <w:rPr>
        <w:rFonts w:hint="eastAsia" w:cs="Times New Roman"/>
      </w:rPr>
    </w:lvl>
    <w:lvl w:ilvl="5" w:tentative="0">
      <w:start w:val="1"/>
      <w:numFmt w:val="decimal"/>
      <w:lvlText w:val="%1.%2.%3.%4.%5.%6"/>
      <w:lvlJc w:val="left"/>
      <w:pPr>
        <w:tabs>
          <w:tab w:val="left" w:pos="7513"/>
        </w:tabs>
        <w:ind w:left="7513" w:hanging="1134"/>
      </w:pPr>
      <w:rPr>
        <w:rFonts w:hint="eastAsia" w:cs="Times New Roman"/>
      </w:rPr>
    </w:lvl>
    <w:lvl w:ilvl="6" w:tentative="0">
      <w:start w:val="1"/>
      <w:numFmt w:val="decimal"/>
      <w:lvlText w:val="%1.%2.%3.%4.%5.%6.%7"/>
      <w:lvlJc w:val="left"/>
      <w:pPr>
        <w:tabs>
          <w:tab w:val="left" w:pos="8080"/>
        </w:tabs>
        <w:ind w:left="8080" w:hanging="1276"/>
      </w:pPr>
      <w:rPr>
        <w:rFonts w:hint="eastAsia" w:cs="Times New Roman"/>
      </w:rPr>
    </w:lvl>
    <w:lvl w:ilvl="7" w:tentative="0">
      <w:start w:val="1"/>
      <w:numFmt w:val="decimal"/>
      <w:lvlText w:val="%1.%2.%3.%4.%5.%6.%7.%8"/>
      <w:lvlJc w:val="left"/>
      <w:pPr>
        <w:tabs>
          <w:tab w:val="left" w:pos="8647"/>
        </w:tabs>
        <w:ind w:left="8647" w:hanging="1418"/>
      </w:pPr>
      <w:rPr>
        <w:rFonts w:hint="eastAsia" w:cs="Times New Roman"/>
      </w:rPr>
    </w:lvl>
    <w:lvl w:ilvl="8" w:tentative="0">
      <w:start w:val="1"/>
      <w:numFmt w:val="decimal"/>
      <w:lvlText w:val="%1.%2.%3.%4.%5.%6.%7.%8.%9"/>
      <w:lvlJc w:val="left"/>
      <w:pPr>
        <w:tabs>
          <w:tab w:val="left" w:pos="9355"/>
        </w:tabs>
        <w:ind w:left="9355" w:hanging="1700"/>
      </w:pPr>
      <w:rPr>
        <w:rFonts w:hint="eastAsia" w:cs="Times New Roman"/>
      </w:rPr>
    </w:lvl>
  </w:abstractNum>
  <w:abstractNum w:abstractNumId="2">
    <w:nsid w:val="657D3FBC"/>
    <w:multiLevelType w:val="multilevel"/>
    <w:tmpl w:val="657D3FBC"/>
    <w:lvl w:ilvl="0" w:tentative="0">
      <w:start w:val="1"/>
      <w:numFmt w:val="upperLetter"/>
      <w:pStyle w:val="40"/>
      <w:suff w:val="nothing"/>
      <w:lvlText w:val="附　录　%1"/>
      <w:lvlJc w:val="left"/>
      <w:rPr>
        <w:rFonts w:hint="eastAsia" w:ascii="黑体" w:hAnsi="Times New Roman" w:eastAsia="黑体" w:cs="Times New Roman"/>
        <w:b w:val="0"/>
        <w:i w:val="0"/>
        <w:sz w:val="21"/>
      </w:rPr>
    </w:lvl>
    <w:lvl w:ilvl="1" w:tentative="0">
      <w:start w:val="1"/>
      <w:numFmt w:val="decimal"/>
      <w:pStyle w:val="51"/>
      <w:suff w:val="nothing"/>
      <w:lvlText w:val="%1.%2　"/>
      <w:lvlJc w:val="left"/>
      <w:rPr>
        <w:rFonts w:hint="eastAsia" w:ascii="黑体" w:hAnsi="Times New Roman" w:eastAsia="黑体" w:cs="Times New Roman"/>
        <w:b w:val="0"/>
        <w:i w:val="0"/>
        <w:snapToGrid/>
        <w:spacing w:val="0"/>
        <w:w w:val="100"/>
        <w:kern w:val="21"/>
        <w:sz w:val="21"/>
      </w:rPr>
    </w:lvl>
    <w:lvl w:ilvl="2" w:tentative="0">
      <w:start w:val="1"/>
      <w:numFmt w:val="decimal"/>
      <w:lvlText w:val="4.2.%3"/>
      <w:lvlJc w:val="left"/>
      <w:rPr>
        <w:rFonts w:hint="eastAsia" w:cs="Times New Roman"/>
        <w:b w:val="0"/>
        <w:i w:val="0"/>
        <w:sz w:val="24"/>
        <w:szCs w:val="24"/>
      </w:rPr>
    </w:lvl>
    <w:lvl w:ilvl="3" w:tentative="0">
      <w:start w:val="1"/>
      <w:numFmt w:val="decimal"/>
      <w:lvlText w:val="4.2.%4."/>
      <w:lvlJc w:val="left"/>
      <w:rPr>
        <w:rFonts w:hint="eastAsia" w:cs="Times New Roman"/>
        <w:b w:val="0"/>
        <w:i w:val="0"/>
        <w:sz w:val="24"/>
        <w:szCs w:val="24"/>
      </w:rPr>
    </w:lvl>
    <w:lvl w:ilvl="4" w:tentative="0">
      <w:start w:val="1"/>
      <w:numFmt w:val="decimal"/>
      <w:pStyle w:val="44"/>
      <w:suff w:val="nothing"/>
      <w:lvlText w:val="%1.%2.%3.%4.%5　"/>
      <w:lvlJc w:val="left"/>
      <w:rPr>
        <w:rFonts w:hint="eastAsia" w:ascii="黑体" w:hAnsi="Times New Roman" w:eastAsia="黑体" w:cs="Times New Roman"/>
        <w:b w:val="0"/>
        <w:i w:val="0"/>
        <w:sz w:val="21"/>
      </w:rPr>
    </w:lvl>
    <w:lvl w:ilvl="5" w:tentative="0">
      <w:start w:val="1"/>
      <w:numFmt w:val="decimal"/>
      <w:pStyle w:val="47"/>
      <w:suff w:val="nothing"/>
      <w:lvlText w:val="%1.%2.%3.%4.%5.%6　"/>
      <w:lvlJc w:val="left"/>
      <w:rPr>
        <w:rFonts w:hint="eastAsia" w:ascii="黑体" w:hAnsi="Times New Roman" w:eastAsia="黑体" w:cs="Times New Roman"/>
        <w:b w:val="0"/>
        <w:i w:val="0"/>
        <w:sz w:val="21"/>
      </w:rPr>
    </w:lvl>
    <w:lvl w:ilvl="6" w:tentative="0">
      <w:start w:val="1"/>
      <w:numFmt w:val="decimal"/>
      <w:pStyle w:val="46"/>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3">
    <w:nsid w:val="6CEA2025"/>
    <w:multiLevelType w:val="multilevel"/>
    <w:tmpl w:val="6CEA2025"/>
    <w:lvl w:ilvl="0" w:tentative="0">
      <w:start w:val="1"/>
      <w:numFmt w:val="none"/>
      <w:pStyle w:val="39"/>
      <w:suff w:val="nothing"/>
      <w:lvlText w:val="1"/>
      <w:lvlJc w:val="left"/>
      <w:rPr>
        <w:rFonts w:hint="default" w:ascii="Times New Roman" w:hAnsi="Times New Roman" w:cs="Times New Roman"/>
        <w:b/>
        <w:i w:val="0"/>
        <w:sz w:val="21"/>
      </w:rPr>
    </w:lvl>
    <w:lvl w:ilvl="1" w:tentative="0">
      <w:start w:val="6"/>
      <w:numFmt w:val="decimal"/>
      <w:pStyle w:val="36"/>
      <w:suff w:val="nothing"/>
      <w:lvlText w:val="%1%2　"/>
      <w:lvlJc w:val="left"/>
      <w:rPr>
        <w:rFonts w:hint="eastAsia" w:ascii="黑体" w:hAnsi="Times New Roman" w:eastAsia="黑体" w:cs="Times New Roman"/>
        <w:b w:val="0"/>
        <w:i w:val="0"/>
        <w:sz w:val="21"/>
      </w:rPr>
    </w:lvl>
    <w:lvl w:ilvl="2" w:tentative="0">
      <w:start w:val="1"/>
      <w:numFmt w:val="decimal"/>
      <w:pStyle w:val="35"/>
      <w:suff w:val="nothing"/>
      <w:lvlText w:val="%1%2.%3　"/>
      <w:lvlJc w:val="left"/>
      <w:rPr>
        <w:rFonts w:hint="eastAsia" w:ascii="黑体" w:hAnsi="Times New Roman" w:eastAsia="黑体" w:cs="Times New Roman"/>
        <w:b w:val="0"/>
        <w:i w:val="0"/>
        <w:sz w:val="21"/>
      </w:rPr>
    </w:lvl>
    <w:lvl w:ilvl="3" w:tentative="0">
      <w:start w:val="1"/>
      <w:numFmt w:val="decimal"/>
      <w:lvlRestart w:val="0"/>
      <w:pStyle w:val="34"/>
      <w:suff w:val="nothing"/>
      <w:lvlText w:val="6.3.%4"/>
      <w:lvlJc w:val="left"/>
      <w:rPr>
        <w:rFonts w:hint="eastAsia" w:ascii="宋体" w:hAnsi="Times New Roman" w:eastAsia="宋体" w:cs="Times New Roman"/>
        <w:b/>
        <w:i w:val="0"/>
        <w:color w:val="auto"/>
        <w:sz w:val="24"/>
      </w:rPr>
    </w:lvl>
    <w:lvl w:ilvl="4" w:tentative="0">
      <w:start w:val="1"/>
      <w:numFmt w:val="none"/>
      <w:lvlRestart w:val="0"/>
      <w:pStyle w:val="43"/>
      <w:suff w:val="nothing"/>
      <w:lvlText w:val="6.3.2.1"/>
      <w:lvlJc w:val="left"/>
      <w:rPr>
        <w:rFonts w:hint="eastAsia" w:ascii="宋体" w:hAnsi="Times New Roman" w:eastAsia="宋体" w:cs="Times New Roman"/>
        <w:b w:val="0"/>
        <w:i w:val="0"/>
        <w:sz w:val="24"/>
      </w:rPr>
    </w:lvl>
    <w:lvl w:ilvl="5" w:tentative="0">
      <w:start w:val="1"/>
      <w:numFmt w:val="decimal"/>
      <w:pStyle w:val="42"/>
      <w:suff w:val="nothing"/>
      <w:lvlText w:val="%1%2.%3.%4.%5.%6　"/>
      <w:lvlJc w:val="left"/>
      <w:rPr>
        <w:rFonts w:hint="eastAsia" w:ascii="黑体" w:hAnsi="Times New Roman" w:eastAsia="黑体" w:cs="Times New Roman"/>
        <w:b w:val="0"/>
        <w:i w:val="0"/>
        <w:sz w:val="21"/>
      </w:rPr>
    </w:lvl>
    <w:lvl w:ilvl="6" w:tentative="0">
      <w:start w:val="1"/>
      <w:numFmt w:val="decimal"/>
      <w:pStyle w:val="41"/>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4">
    <w:nsid w:val="7080200C"/>
    <w:multiLevelType w:val="multilevel"/>
    <w:tmpl w:val="7080200C"/>
    <w:lvl w:ilvl="0" w:tentative="0">
      <w:start w:val="1"/>
      <w:numFmt w:val="decimal"/>
      <w:lvlText w:val="%1"/>
      <w:lvlJc w:val="left"/>
      <w:pPr>
        <w:tabs>
          <w:tab w:val="left" w:pos="360"/>
        </w:tabs>
        <w:ind w:left="360" w:hanging="360"/>
      </w:pPr>
      <w:rPr>
        <w:rFonts w:hint="eastAsia" w:cs="Times New Roman"/>
      </w:rPr>
    </w:lvl>
    <w:lvl w:ilvl="1" w:tentative="0">
      <w:start w:val="1"/>
      <w:numFmt w:val="lowerLetter"/>
      <w:lvlText w:val="%2）"/>
      <w:lvlJc w:val="left"/>
      <w:pPr>
        <w:tabs>
          <w:tab w:val="left" w:pos="780"/>
        </w:tabs>
        <w:ind w:left="780" w:hanging="360"/>
      </w:pPr>
      <w:rPr>
        <w:rFonts w:hint="eastAsia"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63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k5NGNhNWFjNTEwYmQ5OWQyOWIxZTUyYjQwYTgzZjcifQ=="/>
  </w:docVars>
  <w:rsids>
    <w:rsidRoot w:val="00107402"/>
    <w:rsid w:val="00000110"/>
    <w:rsid w:val="00000313"/>
    <w:rsid w:val="00000C5D"/>
    <w:rsid w:val="00000C87"/>
    <w:rsid w:val="00001B7F"/>
    <w:rsid w:val="0000216D"/>
    <w:rsid w:val="00002A08"/>
    <w:rsid w:val="00003B7E"/>
    <w:rsid w:val="00004C8E"/>
    <w:rsid w:val="000056CD"/>
    <w:rsid w:val="00006729"/>
    <w:rsid w:val="000075A9"/>
    <w:rsid w:val="000109D2"/>
    <w:rsid w:val="000110D9"/>
    <w:rsid w:val="000111DA"/>
    <w:rsid w:val="00011AC2"/>
    <w:rsid w:val="00013840"/>
    <w:rsid w:val="000138AE"/>
    <w:rsid w:val="00013B72"/>
    <w:rsid w:val="00014727"/>
    <w:rsid w:val="000148D9"/>
    <w:rsid w:val="00014984"/>
    <w:rsid w:val="000158D8"/>
    <w:rsid w:val="00016662"/>
    <w:rsid w:val="00016D6D"/>
    <w:rsid w:val="000175FD"/>
    <w:rsid w:val="00020039"/>
    <w:rsid w:val="000206B6"/>
    <w:rsid w:val="00021EB3"/>
    <w:rsid w:val="0002234E"/>
    <w:rsid w:val="0002241D"/>
    <w:rsid w:val="0002265E"/>
    <w:rsid w:val="000227A0"/>
    <w:rsid w:val="0002286B"/>
    <w:rsid w:val="0002296E"/>
    <w:rsid w:val="00022CF9"/>
    <w:rsid w:val="0002380E"/>
    <w:rsid w:val="00024607"/>
    <w:rsid w:val="000252EA"/>
    <w:rsid w:val="000253B0"/>
    <w:rsid w:val="000263F8"/>
    <w:rsid w:val="00030537"/>
    <w:rsid w:val="00030CFF"/>
    <w:rsid w:val="00030E4C"/>
    <w:rsid w:val="000310DA"/>
    <w:rsid w:val="00031485"/>
    <w:rsid w:val="00031749"/>
    <w:rsid w:val="00031789"/>
    <w:rsid w:val="00031B68"/>
    <w:rsid w:val="00032387"/>
    <w:rsid w:val="00034564"/>
    <w:rsid w:val="000361EB"/>
    <w:rsid w:val="00036D3B"/>
    <w:rsid w:val="0003777D"/>
    <w:rsid w:val="00037E8A"/>
    <w:rsid w:val="0004021E"/>
    <w:rsid w:val="000405C9"/>
    <w:rsid w:val="00040864"/>
    <w:rsid w:val="000417D1"/>
    <w:rsid w:val="0004210F"/>
    <w:rsid w:val="00042A48"/>
    <w:rsid w:val="00043442"/>
    <w:rsid w:val="00043BDC"/>
    <w:rsid w:val="0004418F"/>
    <w:rsid w:val="0004435C"/>
    <w:rsid w:val="0004476E"/>
    <w:rsid w:val="00044C83"/>
    <w:rsid w:val="0004592A"/>
    <w:rsid w:val="00045B8D"/>
    <w:rsid w:val="0004669A"/>
    <w:rsid w:val="00047165"/>
    <w:rsid w:val="00051041"/>
    <w:rsid w:val="00052E87"/>
    <w:rsid w:val="00055AE2"/>
    <w:rsid w:val="00055B85"/>
    <w:rsid w:val="00057770"/>
    <w:rsid w:val="00060067"/>
    <w:rsid w:val="000602F1"/>
    <w:rsid w:val="0006151A"/>
    <w:rsid w:val="00063ACF"/>
    <w:rsid w:val="00064312"/>
    <w:rsid w:val="000645D6"/>
    <w:rsid w:val="00064CF0"/>
    <w:rsid w:val="00065B45"/>
    <w:rsid w:val="00066438"/>
    <w:rsid w:val="00066C29"/>
    <w:rsid w:val="00066EF6"/>
    <w:rsid w:val="00070DAA"/>
    <w:rsid w:val="000712B9"/>
    <w:rsid w:val="00071779"/>
    <w:rsid w:val="00071EB2"/>
    <w:rsid w:val="00071EB6"/>
    <w:rsid w:val="00072555"/>
    <w:rsid w:val="00073D69"/>
    <w:rsid w:val="00073FF5"/>
    <w:rsid w:val="000747A4"/>
    <w:rsid w:val="000749AF"/>
    <w:rsid w:val="00074F97"/>
    <w:rsid w:val="00077A20"/>
    <w:rsid w:val="000822E8"/>
    <w:rsid w:val="00082526"/>
    <w:rsid w:val="000828D0"/>
    <w:rsid w:val="00082C85"/>
    <w:rsid w:val="00084316"/>
    <w:rsid w:val="0008518C"/>
    <w:rsid w:val="00085B1D"/>
    <w:rsid w:val="00085D9A"/>
    <w:rsid w:val="00086168"/>
    <w:rsid w:val="0008736A"/>
    <w:rsid w:val="00087BDD"/>
    <w:rsid w:val="00087D45"/>
    <w:rsid w:val="000905D5"/>
    <w:rsid w:val="0009065D"/>
    <w:rsid w:val="0009117F"/>
    <w:rsid w:val="000911A0"/>
    <w:rsid w:val="00092D71"/>
    <w:rsid w:val="00093118"/>
    <w:rsid w:val="00095908"/>
    <w:rsid w:val="00095B21"/>
    <w:rsid w:val="00096E75"/>
    <w:rsid w:val="000A079E"/>
    <w:rsid w:val="000A1224"/>
    <w:rsid w:val="000A1269"/>
    <w:rsid w:val="000A12F2"/>
    <w:rsid w:val="000A137B"/>
    <w:rsid w:val="000A27C7"/>
    <w:rsid w:val="000A2C0E"/>
    <w:rsid w:val="000A334A"/>
    <w:rsid w:val="000A3C5B"/>
    <w:rsid w:val="000A415C"/>
    <w:rsid w:val="000A4218"/>
    <w:rsid w:val="000A430A"/>
    <w:rsid w:val="000A57AA"/>
    <w:rsid w:val="000A5DFA"/>
    <w:rsid w:val="000A675F"/>
    <w:rsid w:val="000B02DC"/>
    <w:rsid w:val="000B073F"/>
    <w:rsid w:val="000B13B8"/>
    <w:rsid w:val="000B1894"/>
    <w:rsid w:val="000B2965"/>
    <w:rsid w:val="000B2BB3"/>
    <w:rsid w:val="000B37CE"/>
    <w:rsid w:val="000B3BCE"/>
    <w:rsid w:val="000B5ED5"/>
    <w:rsid w:val="000B626C"/>
    <w:rsid w:val="000B62AC"/>
    <w:rsid w:val="000B7268"/>
    <w:rsid w:val="000B7EB0"/>
    <w:rsid w:val="000C075E"/>
    <w:rsid w:val="000C07B6"/>
    <w:rsid w:val="000C0883"/>
    <w:rsid w:val="000C0F03"/>
    <w:rsid w:val="000C15D6"/>
    <w:rsid w:val="000C2139"/>
    <w:rsid w:val="000C2A98"/>
    <w:rsid w:val="000C2C50"/>
    <w:rsid w:val="000C354A"/>
    <w:rsid w:val="000C355F"/>
    <w:rsid w:val="000C4680"/>
    <w:rsid w:val="000C4868"/>
    <w:rsid w:val="000C4AED"/>
    <w:rsid w:val="000C5382"/>
    <w:rsid w:val="000C5FD6"/>
    <w:rsid w:val="000C61A8"/>
    <w:rsid w:val="000C70B3"/>
    <w:rsid w:val="000D033B"/>
    <w:rsid w:val="000D3425"/>
    <w:rsid w:val="000D3FF0"/>
    <w:rsid w:val="000D4AD0"/>
    <w:rsid w:val="000D5055"/>
    <w:rsid w:val="000D50F0"/>
    <w:rsid w:val="000D5918"/>
    <w:rsid w:val="000D5D74"/>
    <w:rsid w:val="000D793B"/>
    <w:rsid w:val="000D7E9A"/>
    <w:rsid w:val="000E0799"/>
    <w:rsid w:val="000E0ED8"/>
    <w:rsid w:val="000E0FE8"/>
    <w:rsid w:val="000E1046"/>
    <w:rsid w:val="000E2088"/>
    <w:rsid w:val="000E2353"/>
    <w:rsid w:val="000E3424"/>
    <w:rsid w:val="000E38DE"/>
    <w:rsid w:val="000E3BC7"/>
    <w:rsid w:val="000E3FBF"/>
    <w:rsid w:val="000E4D55"/>
    <w:rsid w:val="000E5582"/>
    <w:rsid w:val="000E6908"/>
    <w:rsid w:val="000E6EF2"/>
    <w:rsid w:val="000E7255"/>
    <w:rsid w:val="000E7473"/>
    <w:rsid w:val="000E7F45"/>
    <w:rsid w:val="000F0743"/>
    <w:rsid w:val="000F0886"/>
    <w:rsid w:val="000F089C"/>
    <w:rsid w:val="000F0B20"/>
    <w:rsid w:val="000F100E"/>
    <w:rsid w:val="000F16D1"/>
    <w:rsid w:val="000F19E8"/>
    <w:rsid w:val="000F1F4F"/>
    <w:rsid w:val="000F1FC4"/>
    <w:rsid w:val="000F406E"/>
    <w:rsid w:val="000F4500"/>
    <w:rsid w:val="000F4AB7"/>
    <w:rsid w:val="000F4B53"/>
    <w:rsid w:val="000F5410"/>
    <w:rsid w:val="000F54C6"/>
    <w:rsid w:val="000F5E79"/>
    <w:rsid w:val="001002E8"/>
    <w:rsid w:val="00100B89"/>
    <w:rsid w:val="00100DAE"/>
    <w:rsid w:val="00103948"/>
    <w:rsid w:val="00105039"/>
    <w:rsid w:val="00106262"/>
    <w:rsid w:val="0010693B"/>
    <w:rsid w:val="00106CFF"/>
    <w:rsid w:val="00107402"/>
    <w:rsid w:val="00107650"/>
    <w:rsid w:val="00110646"/>
    <w:rsid w:val="001109E8"/>
    <w:rsid w:val="001115C3"/>
    <w:rsid w:val="00111F62"/>
    <w:rsid w:val="00112BFE"/>
    <w:rsid w:val="00113132"/>
    <w:rsid w:val="00113BDE"/>
    <w:rsid w:val="00114AD5"/>
    <w:rsid w:val="0011594D"/>
    <w:rsid w:val="001179F6"/>
    <w:rsid w:val="00117C5D"/>
    <w:rsid w:val="00120655"/>
    <w:rsid w:val="00120AE4"/>
    <w:rsid w:val="00120E4D"/>
    <w:rsid w:val="0012145C"/>
    <w:rsid w:val="001215ED"/>
    <w:rsid w:val="00121C7A"/>
    <w:rsid w:val="001221E2"/>
    <w:rsid w:val="001226EF"/>
    <w:rsid w:val="001228BB"/>
    <w:rsid w:val="00122D36"/>
    <w:rsid w:val="001236B3"/>
    <w:rsid w:val="00123C64"/>
    <w:rsid w:val="00124343"/>
    <w:rsid w:val="001246B1"/>
    <w:rsid w:val="00125191"/>
    <w:rsid w:val="00125243"/>
    <w:rsid w:val="0012693E"/>
    <w:rsid w:val="00126BAF"/>
    <w:rsid w:val="0012701F"/>
    <w:rsid w:val="0013003D"/>
    <w:rsid w:val="00130312"/>
    <w:rsid w:val="00131BC7"/>
    <w:rsid w:val="00132023"/>
    <w:rsid w:val="0013294A"/>
    <w:rsid w:val="00133815"/>
    <w:rsid w:val="001338A6"/>
    <w:rsid w:val="00133A7A"/>
    <w:rsid w:val="00133FE0"/>
    <w:rsid w:val="00134564"/>
    <w:rsid w:val="00134870"/>
    <w:rsid w:val="00134C7D"/>
    <w:rsid w:val="0013707E"/>
    <w:rsid w:val="001371F1"/>
    <w:rsid w:val="001375FF"/>
    <w:rsid w:val="00137DD4"/>
    <w:rsid w:val="00140C6D"/>
    <w:rsid w:val="00141011"/>
    <w:rsid w:val="001417A0"/>
    <w:rsid w:val="001418F3"/>
    <w:rsid w:val="00143561"/>
    <w:rsid w:val="001448C7"/>
    <w:rsid w:val="001465FA"/>
    <w:rsid w:val="00146E1B"/>
    <w:rsid w:val="00150AED"/>
    <w:rsid w:val="00150D8C"/>
    <w:rsid w:val="0015157B"/>
    <w:rsid w:val="0015174B"/>
    <w:rsid w:val="00151F0E"/>
    <w:rsid w:val="00152337"/>
    <w:rsid w:val="0015384B"/>
    <w:rsid w:val="001564DD"/>
    <w:rsid w:val="0015712C"/>
    <w:rsid w:val="001574DC"/>
    <w:rsid w:val="00157CBB"/>
    <w:rsid w:val="00160012"/>
    <w:rsid w:val="0016075D"/>
    <w:rsid w:val="001608A3"/>
    <w:rsid w:val="00162169"/>
    <w:rsid w:val="00162797"/>
    <w:rsid w:val="00163FFE"/>
    <w:rsid w:val="00164075"/>
    <w:rsid w:val="00164117"/>
    <w:rsid w:val="0016427B"/>
    <w:rsid w:val="00164D3C"/>
    <w:rsid w:val="00165119"/>
    <w:rsid w:val="00165637"/>
    <w:rsid w:val="001673B1"/>
    <w:rsid w:val="00167C7B"/>
    <w:rsid w:val="001715D7"/>
    <w:rsid w:val="00173BC2"/>
    <w:rsid w:val="00174AF2"/>
    <w:rsid w:val="00175323"/>
    <w:rsid w:val="00175E2B"/>
    <w:rsid w:val="00176899"/>
    <w:rsid w:val="00176D2E"/>
    <w:rsid w:val="00177AF2"/>
    <w:rsid w:val="0018019B"/>
    <w:rsid w:val="001802F7"/>
    <w:rsid w:val="00180CEC"/>
    <w:rsid w:val="00181AF1"/>
    <w:rsid w:val="00182B8D"/>
    <w:rsid w:val="001833B4"/>
    <w:rsid w:val="00183C83"/>
    <w:rsid w:val="00183E4B"/>
    <w:rsid w:val="001840D3"/>
    <w:rsid w:val="001842BF"/>
    <w:rsid w:val="0018596F"/>
    <w:rsid w:val="00185B74"/>
    <w:rsid w:val="00186646"/>
    <w:rsid w:val="00186F6E"/>
    <w:rsid w:val="00187839"/>
    <w:rsid w:val="00190E7F"/>
    <w:rsid w:val="0019148D"/>
    <w:rsid w:val="00192287"/>
    <w:rsid w:val="00192709"/>
    <w:rsid w:val="001938E7"/>
    <w:rsid w:val="0019549F"/>
    <w:rsid w:val="0019574D"/>
    <w:rsid w:val="00195E98"/>
    <w:rsid w:val="00195E9C"/>
    <w:rsid w:val="0019668C"/>
    <w:rsid w:val="00197B36"/>
    <w:rsid w:val="00197E4C"/>
    <w:rsid w:val="001A02E8"/>
    <w:rsid w:val="001A03E7"/>
    <w:rsid w:val="001A0443"/>
    <w:rsid w:val="001A0B38"/>
    <w:rsid w:val="001A0E76"/>
    <w:rsid w:val="001A1245"/>
    <w:rsid w:val="001A1893"/>
    <w:rsid w:val="001A1DD9"/>
    <w:rsid w:val="001A31C9"/>
    <w:rsid w:val="001A4E01"/>
    <w:rsid w:val="001A5BE0"/>
    <w:rsid w:val="001A61FD"/>
    <w:rsid w:val="001A76F7"/>
    <w:rsid w:val="001A7A88"/>
    <w:rsid w:val="001B0665"/>
    <w:rsid w:val="001B085E"/>
    <w:rsid w:val="001B09D2"/>
    <w:rsid w:val="001B1B0F"/>
    <w:rsid w:val="001B22DA"/>
    <w:rsid w:val="001B25B8"/>
    <w:rsid w:val="001B3178"/>
    <w:rsid w:val="001B440E"/>
    <w:rsid w:val="001B5313"/>
    <w:rsid w:val="001B6368"/>
    <w:rsid w:val="001B6C08"/>
    <w:rsid w:val="001B6FFE"/>
    <w:rsid w:val="001C09EF"/>
    <w:rsid w:val="001C0BB8"/>
    <w:rsid w:val="001C0DA2"/>
    <w:rsid w:val="001C167C"/>
    <w:rsid w:val="001C1EDB"/>
    <w:rsid w:val="001C1F42"/>
    <w:rsid w:val="001C28BD"/>
    <w:rsid w:val="001C390D"/>
    <w:rsid w:val="001C390E"/>
    <w:rsid w:val="001C3B8C"/>
    <w:rsid w:val="001C4355"/>
    <w:rsid w:val="001C436D"/>
    <w:rsid w:val="001C54B8"/>
    <w:rsid w:val="001C5C54"/>
    <w:rsid w:val="001C6148"/>
    <w:rsid w:val="001C6D6F"/>
    <w:rsid w:val="001D0680"/>
    <w:rsid w:val="001D1872"/>
    <w:rsid w:val="001D250A"/>
    <w:rsid w:val="001D25A8"/>
    <w:rsid w:val="001D4385"/>
    <w:rsid w:val="001D4951"/>
    <w:rsid w:val="001D563A"/>
    <w:rsid w:val="001D679F"/>
    <w:rsid w:val="001E0E0A"/>
    <w:rsid w:val="001E1662"/>
    <w:rsid w:val="001E1B1E"/>
    <w:rsid w:val="001E2020"/>
    <w:rsid w:val="001E2955"/>
    <w:rsid w:val="001E3CE0"/>
    <w:rsid w:val="001E3E61"/>
    <w:rsid w:val="001E3FD9"/>
    <w:rsid w:val="001E4462"/>
    <w:rsid w:val="001E457A"/>
    <w:rsid w:val="001E4D0A"/>
    <w:rsid w:val="001E500A"/>
    <w:rsid w:val="001E5D6E"/>
    <w:rsid w:val="001E7745"/>
    <w:rsid w:val="001F0ADF"/>
    <w:rsid w:val="001F1748"/>
    <w:rsid w:val="001F2647"/>
    <w:rsid w:val="001F315F"/>
    <w:rsid w:val="001F5840"/>
    <w:rsid w:val="001F5AE3"/>
    <w:rsid w:val="001F6A08"/>
    <w:rsid w:val="0020076C"/>
    <w:rsid w:val="00201182"/>
    <w:rsid w:val="00202492"/>
    <w:rsid w:val="00203172"/>
    <w:rsid w:val="00204046"/>
    <w:rsid w:val="00204A90"/>
    <w:rsid w:val="00204F21"/>
    <w:rsid w:val="0020789E"/>
    <w:rsid w:val="00210A44"/>
    <w:rsid w:val="00210C37"/>
    <w:rsid w:val="00211198"/>
    <w:rsid w:val="002120B7"/>
    <w:rsid w:val="002120D8"/>
    <w:rsid w:val="002124FA"/>
    <w:rsid w:val="002126FA"/>
    <w:rsid w:val="00212D4B"/>
    <w:rsid w:val="00212F8C"/>
    <w:rsid w:val="0021446C"/>
    <w:rsid w:val="00214DFC"/>
    <w:rsid w:val="0021681D"/>
    <w:rsid w:val="00216884"/>
    <w:rsid w:val="00216FE0"/>
    <w:rsid w:val="00217A14"/>
    <w:rsid w:val="00217AA1"/>
    <w:rsid w:val="00217F39"/>
    <w:rsid w:val="002203C6"/>
    <w:rsid w:val="002206C0"/>
    <w:rsid w:val="00220DCB"/>
    <w:rsid w:val="002220F3"/>
    <w:rsid w:val="00222205"/>
    <w:rsid w:val="002225EA"/>
    <w:rsid w:val="002237BD"/>
    <w:rsid w:val="00223C9B"/>
    <w:rsid w:val="00224F03"/>
    <w:rsid w:val="002250BF"/>
    <w:rsid w:val="00225668"/>
    <w:rsid w:val="00225948"/>
    <w:rsid w:val="0022617B"/>
    <w:rsid w:val="0022680D"/>
    <w:rsid w:val="0022748C"/>
    <w:rsid w:val="00232A0E"/>
    <w:rsid w:val="00233219"/>
    <w:rsid w:val="002341DE"/>
    <w:rsid w:val="0023498F"/>
    <w:rsid w:val="00235C18"/>
    <w:rsid w:val="00236435"/>
    <w:rsid w:val="00237451"/>
    <w:rsid w:val="0024005D"/>
    <w:rsid w:val="00240199"/>
    <w:rsid w:val="0024079E"/>
    <w:rsid w:val="00240D48"/>
    <w:rsid w:val="00240FF6"/>
    <w:rsid w:val="002412D6"/>
    <w:rsid w:val="00241A7D"/>
    <w:rsid w:val="00241CE3"/>
    <w:rsid w:val="00242955"/>
    <w:rsid w:val="002430A9"/>
    <w:rsid w:val="00243BD5"/>
    <w:rsid w:val="00244232"/>
    <w:rsid w:val="002449D7"/>
    <w:rsid w:val="00244B72"/>
    <w:rsid w:val="00244DD7"/>
    <w:rsid w:val="00244EF9"/>
    <w:rsid w:val="00245B1C"/>
    <w:rsid w:val="00246127"/>
    <w:rsid w:val="002465A9"/>
    <w:rsid w:val="0024686F"/>
    <w:rsid w:val="002477AF"/>
    <w:rsid w:val="002502BA"/>
    <w:rsid w:val="00251030"/>
    <w:rsid w:val="00252946"/>
    <w:rsid w:val="00252FFF"/>
    <w:rsid w:val="00253334"/>
    <w:rsid w:val="002544A8"/>
    <w:rsid w:val="00254A9D"/>
    <w:rsid w:val="002554D8"/>
    <w:rsid w:val="00255724"/>
    <w:rsid w:val="002564E1"/>
    <w:rsid w:val="0025708B"/>
    <w:rsid w:val="002570D9"/>
    <w:rsid w:val="00257199"/>
    <w:rsid w:val="00257C89"/>
    <w:rsid w:val="00257DA2"/>
    <w:rsid w:val="00257EA1"/>
    <w:rsid w:val="00260FE8"/>
    <w:rsid w:val="00261593"/>
    <w:rsid w:val="00261CA4"/>
    <w:rsid w:val="00263B04"/>
    <w:rsid w:val="00264073"/>
    <w:rsid w:val="0026449E"/>
    <w:rsid w:val="0026477F"/>
    <w:rsid w:val="002650C9"/>
    <w:rsid w:val="002651CA"/>
    <w:rsid w:val="00265AB3"/>
    <w:rsid w:val="00266162"/>
    <w:rsid w:val="002711B5"/>
    <w:rsid w:val="002725EB"/>
    <w:rsid w:val="002726CE"/>
    <w:rsid w:val="002727CF"/>
    <w:rsid w:val="00273775"/>
    <w:rsid w:val="002738B7"/>
    <w:rsid w:val="0027512E"/>
    <w:rsid w:val="002755B0"/>
    <w:rsid w:val="002765D2"/>
    <w:rsid w:val="00276C69"/>
    <w:rsid w:val="00276F3D"/>
    <w:rsid w:val="002778AC"/>
    <w:rsid w:val="00277CDF"/>
    <w:rsid w:val="00281D5F"/>
    <w:rsid w:val="00283656"/>
    <w:rsid w:val="00284194"/>
    <w:rsid w:val="002841E2"/>
    <w:rsid w:val="00284282"/>
    <w:rsid w:val="00284A55"/>
    <w:rsid w:val="00284DFB"/>
    <w:rsid w:val="00285C01"/>
    <w:rsid w:val="0028617A"/>
    <w:rsid w:val="00286C4B"/>
    <w:rsid w:val="0028709D"/>
    <w:rsid w:val="002874AC"/>
    <w:rsid w:val="00287B33"/>
    <w:rsid w:val="00287CDE"/>
    <w:rsid w:val="002908E2"/>
    <w:rsid w:val="00291AF9"/>
    <w:rsid w:val="00292B18"/>
    <w:rsid w:val="00292B21"/>
    <w:rsid w:val="00292C69"/>
    <w:rsid w:val="00293D3A"/>
    <w:rsid w:val="002940D9"/>
    <w:rsid w:val="00294638"/>
    <w:rsid w:val="00295535"/>
    <w:rsid w:val="002956DB"/>
    <w:rsid w:val="0029700B"/>
    <w:rsid w:val="00297848"/>
    <w:rsid w:val="002A0086"/>
    <w:rsid w:val="002A0226"/>
    <w:rsid w:val="002A049A"/>
    <w:rsid w:val="002A0DA6"/>
    <w:rsid w:val="002A33BB"/>
    <w:rsid w:val="002A35D6"/>
    <w:rsid w:val="002A3DC1"/>
    <w:rsid w:val="002A3F14"/>
    <w:rsid w:val="002A50CD"/>
    <w:rsid w:val="002A556B"/>
    <w:rsid w:val="002A5A16"/>
    <w:rsid w:val="002A5A30"/>
    <w:rsid w:val="002A6F42"/>
    <w:rsid w:val="002A74A1"/>
    <w:rsid w:val="002A7DA1"/>
    <w:rsid w:val="002B0297"/>
    <w:rsid w:val="002B055C"/>
    <w:rsid w:val="002B09D4"/>
    <w:rsid w:val="002B0D57"/>
    <w:rsid w:val="002B2B26"/>
    <w:rsid w:val="002B41BB"/>
    <w:rsid w:val="002B4EB3"/>
    <w:rsid w:val="002B7F00"/>
    <w:rsid w:val="002C0D05"/>
    <w:rsid w:val="002C252F"/>
    <w:rsid w:val="002C2D8B"/>
    <w:rsid w:val="002C3754"/>
    <w:rsid w:val="002C41AA"/>
    <w:rsid w:val="002C427F"/>
    <w:rsid w:val="002C5402"/>
    <w:rsid w:val="002C57A6"/>
    <w:rsid w:val="002C591C"/>
    <w:rsid w:val="002C59E6"/>
    <w:rsid w:val="002C5EFD"/>
    <w:rsid w:val="002C63AC"/>
    <w:rsid w:val="002C66F3"/>
    <w:rsid w:val="002C685F"/>
    <w:rsid w:val="002C7452"/>
    <w:rsid w:val="002C78D4"/>
    <w:rsid w:val="002D06CC"/>
    <w:rsid w:val="002D09EB"/>
    <w:rsid w:val="002D1249"/>
    <w:rsid w:val="002D1EC5"/>
    <w:rsid w:val="002D20F5"/>
    <w:rsid w:val="002D292D"/>
    <w:rsid w:val="002D2B4C"/>
    <w:rsid w:val="002D2DBA"/>
    <w:rsid w:val="002D3001"/>
    <w:rsid w:val="002D3067"/>
    <w:rsid w:val="002D44DF"/>
    <w:rsid w:val="002D45B3"/>
    <w:rsid w:val="002D4F7A"/>
    <w:rsid w:val="002D6E04"/>
    <w:rsid w:val="002D6E5D"/>
    <w:rsid w:val="002D7796"/>
    <w:rsid w:val="002D78B8"/>
    <w:rsid w:val="002D7A00"/>
    <w:rsid w:val="002D7BD5"/>
    <w:rsid w:val="002E0117"/>
    <w:rsid w:val="002E0449"/>
    <w:rsid w:val="002E08C1"/>
    <w:rsid w:val="002E1F16"/>
    <w:rsid w:val="002E20D3"/>
    <w:rsid w:val="002E2127"/>
    <w:rsid w:val="002E2969"/>
    <w:rsid w:val="002E2A02"/>
    <w:rsid w:val="002E2E1B"/>
    <w:rsid w:val="002E3152"/>
    <w:rsid w:val="002E58E5"/>
    <w:rsid w:val="002E7F77"/>
    <w:rsid w:val="002F0320"/>
    <w:rsid w:val="002F0DD9"/>
    <w:rsid w:val="002F0E1D"/>
    <w:rsid w:val="002F268C"/>
    <w:rsid w:val="002F26C7"/>
    <w:rsid w:val="002F3BC8"/>
    <w:rsid w:val="002F3CC7"/>
    <w:rsid w:val="002F3E4E"/>
    <w:rsid w:val="002F3E8D"/>
    <w:rsid w:val="002F420C"/>
    <w:rsid w:val="002F4B08"/>
    <w:rsid w:val="002F5D38"/>
    <w:rsid w:val="002F5FF5"/>
    <w:rsid w:val="002F6491"/>
    <w:rsid w:val="002F6EDC"/>
    <w:rsid w:val="002F724A"/>
    <w:rsid w:val="002F7A4D"/>
    <w:rsid w:val="00300376"/>
    <w:rsid w:val="003028D6"/>
    <w:rsid w:val="003053FA"/>
    <w:rsid w:val="00305FDB"/>
    <w:rsid w:val="00306451"/>
    <w:rsid w:val="003069D7"/>
    <w:rsid w:val="00306C65"/>
    <w:rsid w:val="00307A01"/>
    <w:rsid w:val="003102F5"/>
    <w:rsid w:val="003103C5"/>
    <w:rsid w:val="00310DBB"/>
    <w:rsid w:val="0031119D"/>
    <w:rsid w:val="0031169B"/>
    <w:rsid w:val="00312F18"/>
    <w:rsid w:val="00313676"/>
    <w:rsid w:val="00313955"/>
    <w:rsid w:val="00313C21"/>
    <w:rsid w:val="0031435A"/>
    <w:rsid w:val="00315751"/>
    <w:rsid w:val="00315874"/>
    <w:rsid w:val="003159E0"/>
    <w:rsid w:val="00315D2D"/>
    <w:rsid w:val="00316FAE"/>
    <w:rsid w:val="0031717E"/>
    <w:rsid w:val="00317697"/>
    <w:rsid w:val="00317D2A"/>
    <w:rsid w:val="00317FDF"/>
    <w:rsid w:val="00320192"/>
    <w:rsid w:val="0032047D"/>
    <w:rsid w:val="0032073E"/>
    <w:rsid w:val="00322462"/>
    <w:rsid w:val="00322A6C"/>
    <w:rsid w:val="00322AD5"/>
    <w:rsid w:val="00322C66"/>
    <w:rsid w:val="00322CA3"/>
    <w:rsid w:val="00323541"/>
    <w:rsid w:val="00324153"/>
    <w:rsid w:val="00324E50"/>
    <w:rsid w:val="0032545F"/>
    <w:rsid w:val="0032573B"/>
    <w:rsid w:val="00325FCD"/>
    <w:rsid w:val="003261F5"/>
    <w:rsid w:val="00326F24"/>
    <w:rsid w:val="00326F5F"/>
    <w:rsid w:val="00327372"/>
    <w:rsid w:val="00327678"/>
    <w:rsid w:val="00330528"/>
    <w:rsid w:val="003316A1"/>
    <w:rsid w:val="003318B8"/>
    <w:rsid w:val="003322D8"/>
    <w:rsid w:val="003326AB"/>
    <w:rsid w:val="003335FC"/>
    <w:rsid w:val="0033373A"/>
    <w:rsid w:val="0033459E"/>
    <w:rsid w:val="0033542E"/>
    <w:rsid w:val="00335D25"/>
    <w:rsid w:val="0033645E"/>
    <w:rsid w:val="00336EB7"/>
    <w:rsid w:val="00337A28"/>
    <w:rsid w:val="0034067B"/>
    <w:rsid w:val="00341016"/>
    <w:rsid w:val="003416A6"/>
    <w:rsid w:val="00343167"/>
    <w:rsid w:val="00343582"/>
    <w:rsid w:val="0034363F"/>
    <w:rsid w:val="003439D5"/>
    <w:rsid w:val="00345ECF"/>
    <w:rsid w:val="00345FCA"/>
    <w:rsid w:val="00346339"/>
    <w:rsid w:val="00347374"/>
    <w:rsid w:val="003473FA"/>
    <w:rsid w:val="003476B1"/>
    <w:rsid w:val="00350A76"/>
    <w:rsid w:val="00350E3B"/>
    <w:rsid w:val="00351B9B"/>
    <w:rsid w:val="00351F20"/>
    <w:rsid w:val="00352505"/>
    <w:rsid w:val="00353576"/>
    <w:rsid w:val="00353616"/>
    <w:rsid w:val="003538D6"/>
    <w:rsid w:val="00354F88"/>
    <w:rsid w:val="003551BC"/>
    <w:rsid w:val="00355601"/>
    <w:rsid w:val="0035572F"/>
    <w:rsid w:val="00355A26"/>
    <w:rsid w:val="003564D2"/>
    <w:rsid w:val="00356526"/>
    <w:rsid w:val="00360A01"/>
    <w:rsid w:val="00361A43"/>
    <w:rsid w:val="00362324"/>
    <w:rsid w:val="00363CB9"/>
    <w:rsid w:val="00363E42"/>
    <w:rsid w:val="003646B0"/>
    <w:rsid w:val="00364BC1"/>
    <w:rsid w:val="00364BE9"/>
    <w:rsid w:val="0036585F"/>
    <w:rsid w:val="003659D2"/>
    <w:rsid w:val="00365E9F"/>
    <w:rsid w:val="00366145"/>
    <w:rsid w:val="0036622C"/>
    <w:rsid w:val="0036630B"/>
    <w:rsid w:val="0036686B"/>
    <w:rsid w:val="00366BC6"/>
    <w:rsid w:val="00366CDC"/>
    <w:rsid w:val="00367420"/>
    <w:rsid w:val="00367DE4"/>
    <w:rsid w:val="00371336"/>
    <w:rsid w:val="00372406"/>
    <w:rsid w:val="0037289F"/>
    <w:rsid w:val="00373264"/>
    <w:rsid w:val="00373A1C"/>
    <w:rsid w:val="00373B87"/>
    <w:rsid w:val="00373E47"/>
    <w:rsid w:val="00374B39"/>
    <w:rsid w:val="00374DE5"/>
    <w:rsid w:val="00375D69"/>
    <w:rsid w:val="00376E77"/>
    <w:rsid w:val="00376EC8"/>
    <w:rsid w:val="0037746F"/>
    <w:rsid w:val="00380260"/>
    <w:rsid w:val="003814EC"/>
    <w:rsid w:val="003816C0"/>
    <w:rsid w:val="00381DFB"/>
    <w:rsid w:val="00382102"/>
    <w:rsid w:val="00382A02"/>
    <w:rsid w:val="00384603"/>
    <w:rsid w:val="00384A12"/>
    <w:rsid w:val="00384DD9"/>
    <w:rsid w:val="00386235"/>
    <w:rsid w:val="00386292"/>
    <w:rsid w:val="00386A49"/>
    <w:rsid w:val="00386D69"/>
    <w:rsid w:val="003879AC"/>
    <w:rsid w:val="00387A8F"/>
    <w:rsid w:val="003904F9"/>
    <w:rsid w:val="0039085E"/>
    <w:rsid w:val="00390C72"/>
    <w:rsid w:val="00391725"/>
    <w:rsid w:val="00391E24"/>
    <w:rsid w:val="003925C7"/>
    <w:rsid w:val="0039457A"/>
    <w:rsid w:val="003952B7"/>
    <w:rsid w:val="00395AD0"/>
    <w:rsid w:val="00396B98"/>
    <w:rsid w:val="00397AF6"/>
    <w:rsid w:val="00397C45"/>
    <w:rsid w:val="003A003B"/>
    <w:rsid w:val="003A0448"/>
    <w:rsid w:val="003A1AEA"/>
    <w:rsid w:val="003A2076"/>
    <w:rsid w:val="003A2668"/>
    <w:rsid w:val="003A382C"/>
    <w:rsid w:val="003A3875"/>
    <w:rsid w:val="003A39C4"/>
    <w:rsid w:val="003A61F9"/>
    <w:rsid w:val="003A6B36"/>
    <w:rsid w:val="003A6BCE"/>
    <w:rsid w:val="003A732C"/>
    <w:rsid w:val="003B21B5"/>
    <w:rsid w:val="003B24B4"/>
    <w:rsid w:val="003B2828"/>
    <w:rsid w:val="003B293C"/>
    <w:rsid w:val="003B30C2"/>
    <w:rsid w:val="003B3197"/>
    <w:rsid w:val="003B334A"/>
    <w:rsid w:val="003B33C4"/>
    <w:rsid w:val="003B3FE3"/>
    <w:rsid w:val="003B4AB3"/>
    <w:rsid w:val="003B4BDE"/>
    <w:rsid w:val="003B4F63"/>
    <w:rsid w:val="003B78C7"/>
    <w:rsid w:val="003B792A"/>
    <w:rsid w:val="003B7AF1"/>
    <w:rsid w:val="003C0CEC"/>
    <w:rsid w:val="003C0E43"/>
    <w:rsid w:val="003C19C8"/>
    <w:rsid w:val="003C1BD8"/>
    <w:rsid w:val="003C1C2A"/>
    <w:rsid w:val="003C1D8E"/>
    <w:rsid w:val="003C1E16"/>
    <w:rsid w:val="003C2373"/>
    <w:rsid w:val="003C245F"/>
    <w:rsid w:val="003C2D27"/>
    <w:rsid w:val="003C2F03"/>
    <w:rsid w:val="003C3B83"/>
    <w:rsid w:val="003C4902"/>
    <w:rsid w:val="003C4B48"/>
    <w:rsid w:val="003C50AD"/>
    <w:rsid w:val="003C6627"/>
    <w:rsid w:val="003C6CFD"/>
    <w:rsid w:val="003C6E75"/>
    <w:rsid w:val="003C7CCC"/>
    <w:rsid w:val="003C7F20"/>
    <w:rsid w:val="003D0148"/>
    <w:rsid w:val="003D03F7"/>
    <w:rsid w:val="003D04F0"/>
    <w:rsid w:val="003D0B63"/>
    <w:rsid w:val="003D166D"/>
    <w:rsid w:val="003D168C"/>
    <w:rsid w:val="003D2BEA"/>
    <w:rsid w:val="003D366C"/>
    <w:rsid w:val="003D3FDC"/>
    <w:rsid w:val="003D4A72"/>
    <w:rsid w:val="003D5FA4"/>
    <w:rsid w:val="003E0792"/>
    <w:rsid w:val="003E08A6"/>
    <w:rsid w:val="003E0DA4"/>
    <w:rsid w:val="003E1B13"/>
    <w:rsid w:val="003E4D8B"/>
    <w:rsid w:val="003E55F5"/>
    <w:rsid w:val="003E5F49"/>
    <w:rsid w:val="003E69E0"/>
    <w:rsid w:val="003E6AC5"/>
    <w:rsid w:val="003F2123"/>
    <w:rsid w:val="003F2921"/>
    <w:rsid w:val="003F3966"/>
    <w:rsid w:val="003F3F9F"/>
    <w:rsid w:val="003F4022"/>
    <w:rsid w:val="003F4B6C"/>
    <w:rsid w:val="003F5223"/>
    <w:rsid w:val="003F531A"/>
    <w:rsid w:val="003F5B13"/>
    <w:rsid w:val="003F5C9E"/>
    <w:rsid w:val="003F5F16"/>
    <w:rsid w:val="003F610D"/>
    <w:rsid w:val="003F6311"/>
    <w:rsid w:val="003F668D"/>
    <w:rsid w:val="003F6D93"/>
    <w:rsid w:val="003F7093"/>
    <w:rsid w:val="004021D6"/>
    <w:rsid w:val="004028C5"/>
    <w:rsid w:val="00402E6A"/>
    <w:rsid w:val="00403DFC"/>
    <w:rsid w:val="004048B0"/>
    <w:rsid w:val="00405682"/>
    <w:rsid w:val="00406578"/>
    <w:rsid w:val="004074B8"/>
    <w:rsid w:val="00410193"/>
    <w:rsid w:val="0041063D"/>
    <w:rsid w:val="0041097E"/>
    <w:rsid w:val="0041132F"/>
    <w:rsid w:val="00411732"/>
    <w:rsid w:val="00411A61"/>
    <w:rsid w:val="00411E2C"/>
    <w:rsid w:val="00411F33"/>
    <w:rsid w:val="00413012"/>
    <w:rsid w:val="00413E52"/>
    <w:rsid w:val="0041436E"/>
    <w:rsid w:val="00414384"/>
    <w:rsid w:val="00415D7A"/>
    <w:rsid w:val="00417586"/>
    <w:rsid w:val="0041771A"/>
    <w:rsid w:val="00417AB0"/>
    <w:rsid w:val="0042046E"/>
    <w:rsid w:val="004215AA"/>
    <w:rsid w:val="00421AA1"/>
    <w:rsid w:val="00421DDE"/>
    <w:rsid w:val="00422A57"/>
    <w:rsid w:val="00422F2C"/>
    <w:rsid w:val="0042408F"/>
    <w:rsid w:val="004245A5"/>
    <w:rsid w:val="00425F15"/>
    <w:rsid w:val="0042612E"/>
    <w:rsid w:val="00426703"/>
    <w:rsid w:val="004269E2"/>
    <w:rsid w:val="00426F57"/>
    <w:rsid w:val="00427027"/>
    <w:rsid w:val="00427745"/>
    <w:rsid w:val="00431EA2"/>
    <w:rsid w:val="00432DAD"/>
    <w:rsid w:val="00432E01"/>
    <w:rsid w:val="00434217"/>
    <w:rsid w:val="00434426"/>
    <w:rsid w:val="00434693"/>
    <w:rsid w:val="00435095"/>
    <w:rsid w:val="004354A5"/>
    <w:rsid w:val="004356B6"/>
    <w:rsid w:val="00436829"/>
    <w:rsid w:val="004368F6"/>
    <w:rsid w:val="00436FEF"/>
    <w:rsid w:val="0043769B"/>
    <w:rsid w:val="00440752"/>
    <w:rsid w:val="00441A7E"/>
    <w:rsid w:val="00441E4A"/>
    <w:rsid w:val="004432A9"/>
    <w:rsid w:val="00443D5A"/>
    <w:rsid w:val="00443F6D"/>
    <w:rsid w:val="00444127"/>
    <w:rsid w:val="0044571B"/>
    <w:rsid w:val="004457EB"/>
    <w:rsid w:val="004475B9"/>
    <w:rsid w:val="0045041B"/>
    <w:rsid w:val="00450606"/>
    <w:rsid w:val="00450AA1"/>
    <w:rsid w:val="00450BDF"/>
    <w:rsid w:val="00450D51"/>
    <w:rsid w:val="00450F98"/>
    <w:rsid w:val="00451904"/>
    <w:rsid w:val="00452E1E"/>
    <w:rsid w:val="00452E32"/>
    <w:rsid w:val="0045328A"/>
    <w:rsid w:val="00453CAB"/>
    <w:rsid w:val="00453EC4"/>
    <w:rsid w:val="00455224"/>
    <w:rsid w:val="00456083"/>
    <w:rsid w:val="00456CA1"/>
    <w:rsid w:val="004577C5"/>
    <w:rsid w:val="0046003E"/>
    <w:rsid w:val="004604F9"/>
    <w:rsid w:val="00461323"/>
    <w:rsid w:val="004621A8"/>
    <w:rsid w:val="004633D2"/>
    <w:rsid w:val="00463651"/>
    <w:rsid w:val="00463C58"/>
    <w:rsid w:val="00463F3E"/>
    <w:rsid w:val="004646AF"/>
    <w:rsid w:val="00467B76"/>
    <w:rsid w:val="00470175"/>
    <w:rsid w:val="00471085"/>
    <w:rsid w:val="00471159"/>
    <w:rsid w:val="00471799"/>
    <w:rsid w:val="00471D79"/>
    <w:rsid w:val="00472888"/>
    <w:rsid w:val="00473578"/>
    <w:rsid w:val="00473EFD"/>
    <w:rsid w:val="004745F5"/>
    <w:rsid w:val="004753D9"/>
    <w:rsid w:val="00476E3F"/>
    <w:rsid w:val="00476EFA"/>
    <w:rsid w:val="0048078A"/>
    <w:rsid w:val="00480BFF"/>
    <w:rsid w:val="00480D67"/>
    <w:rsid w:val="00481062"/>
    <w:rsid w:val="0048113C"/>
    <w:rsid w:val="00481ACC"/>
    <w:rsid w:val="00481F9D"/>
    <w:rsid w:val="00482E5A"/>
    <w:rsid w:val="00484629"/>
    <w:rsid w:val="00486087"/>
    <w:rsid w:val="0048707C"/>
    <w:rsid w:val="004900DF"/>
    <w:rsid w:val="004905D1"/>
    <w:rsid w:val="004907C2"/>
    <w:rsid w:val="00490B46"/>
    <w:rsid w:val="00490B90"/>
    <w:rsid w:val="004918E2"/>
    <w:rsid w:val="00493954"/>
    <w:rsid w:val="004942C5"/>
    <w:rsid w:val="00495407"/>
    <w:rsid w:val="00495755"/>
    <w:rsid w:val="0049578F"/>
    <w:rsid w:val="0049653D"/>
    <w:rsid w:val="00496732"/>
    <w:rsid w:val="00496DA3"/>
    <w:rsid w:val="00496E69"/>
    <w:rsid w:val="00496F74"/>
    <w:rsid w:val="0049725B"/>
    <w:rsid w:val="004976EF"/>
    <w:rsid w:val="004978DE"/>
    <w:rsid w:val="004A03B2"/>
    <w:rsid w:val="004A193D"/>
    <w:rsid w:val="004A1B78"/>
    <w:rsid w:val="004A1C8A"/>
    <w:rsid w:val="004A2189"/>
    <w:rsid w:val="004A6E75"/>
    <w:rsid w:val="004A743C"/>
    <w:rsid w:val="004A7E64"/>
    <w:rsid w:val="004B054E"/>
    <w:rsid w:val="004B0E2B"/>
    <w:rsid w:val="004B1292"/>
    <w:rsid w:val="004B24B2"/>
    <w:rsid w:val="004B2581"/>
    <w:rsid w:val="004B4110"/>
    <w:rsid w:val="004B4C06"/>
    <w:rsid w:val="004B6B2A"/>
    <w:rsid w:val="004B70CA"/>
    <w:rsid w:val="004B7EC8"/>
    <w:rsid w:val="004C19DB"/>
    <w:rsid w:val="004C228E"/>
    <w:rsid w:val="004C2C2D"/>
    <w:rsid w:val="004C2F78"/>
    <w:rsid w:val="004C5985"/>
    <w:rsid w:val="004C65D2"/>
    <w:rsid w:val="004C719B"/>
    <w:rsid w:val="004C7468"/>
    <w:rsid w:val="004C7C6D"/>
    <w:rsid w:val="004D05A1"/>
    <w:rsid w:val="004D12F5"/>
    <w:rsid w:val="004D18F7"/>
    <w:rsid w:val="004D1B7A"/>
    <w:rsid w:val="004D1BBD"/>
    <w:rsid w:val="004D2060"/>
    <w:rsid w:val="004D2659"/>
    <w:rsid w:val="004D34AB"/>
    <w:rsid w:val="004D35BA"/>
    <w:rsid w:val="004D4612"/>
    <w:rsid w:val="004D464F"/>
    <w:rsid w:val="004D4F26"/>
    <w:rsid w:val="004D4FB4"/>
    <w:rsid w:val="004D54D8"/>
    <w:rsid w:val="004D6338"/>
    <w:rsid w:val="004D6D51"/>
    <w:rsid w:val="004D6F93"/>
    <w:rsid w:val="004D712A"/>
    <w:rsid w:val="004D72EA"/>
    <w:rsid w:val="004E132D"/>
    <w:rsid w:val="004E1FE2"/>
    <w:rsid w:val="004E3610"/>
    <w:rsid w:val="004E3642"/>
    <w:rsid w:val="004E3AE4"/>
    <w:rsid w:val="004E48A8"/>
    <w:rsid w:val="004E5709"/>
    <w:rsid w:val="004E5769"/>
    <w:rsid w:val="004E6010"/>
    <w:rsid w:val="004E628F"/>
    <w:rsid w:val="004E70F1"/>
    <w:rsid w:val="004E7BC2"/>
    <w:rsid w:val="004F0733"/>
    <w:rsid w:val="004F1D83"/>
    <w:rsid w:val="004F2744"/>
    <w:rsid w:val="004F373A"/>
    <w:rsid w:val="004F4BEC"/>
    <w:rsid w:val="004F50C4"/>
    <w:rsid w:val="004F5378"/>
    <w:rsid w:val="004F56E2"/>
    <w:rsid w:val="004F58AC"/>
    <w:rsid w:val="004F65AC"/>
    <w:rsid w:val="004F6D60"/>
    <w:rsid w:val="004F7753"/>
    <w:rsid w:val="00500390"/>
    <w:rsid w:val="00500FAB"/>
    <w:rsid w:val="0050237A"/>
    <w:rsid w:val="00502445"/>
    <w:rsid w:val="005026E2"/>
    <w:rsid w:val="00502D4D"/>
    <w:rsid w:val="005035C2"/>
    <w:rsid w:val="005043C1"/>
    <w:rsid w:val="00506534"/>
    <w:rsid w:val="005067D6"/>
    <w:rsid w:val="00507657"/>
    <w:rsid w:val="00507733"/>
    <w:rsid w:val="00507E4C"/>
    <w:rsid w:val="00510619"/>
    <w:rsid w:val="0051428B"/>
    <w:rsid w:val="0051431F"/>
    <w:rsid w:val="00514545"/>
    <w:rsid w:val="00514D57"/>
    <w:rsid w:val="0051554E"/>
    <w:rsid w:val="005155B8"/>
    <w:rsid w:val="005157C5"/>
    <w:rsid w:val="00517157"/>
    <w:rsid w:val="00517412"/>
    <w:rsid w:val="00520505"/>
    <w:rsid w:val="005207C8"/>
    <w:rsid w:val="00520F8F"/>
    <w:rsid w:val="005220CB"/>
    <w:rsid w:val="00522A97"/>
    <w:rsid w:val="005231BD"/>
    <w:rsid w:val="00523DF6"/>
    <w:rsid w:val="0052440B"/>
    <w:rsid w:val="00524859"/>
    <w:rsid w:val="00524B74"/>
    <w:rsid w:val="0052512D"/>
    <w:rsid w:val="00526565"/>
    <w:rsid w:val="00526740"/>
    <w:rsid w:val="005319F1"/>
    <w:rsid w:val="00532308"/>
    <w:rsid w:val="00532F1C"/>
    <w:rsid w:val="00533B87"/>
    <w:rsid w:val="00535967"/>
    <w:rsid w:val="00536052"/>
    <w:rsid w:val="00537450"/>
    <w:rsid w:val="005407E4"/>
    <w:rsid w:val="00540B3F"/>
    <w:rsid w:val="005414E8"/>
    <w:rsid w:val="00541D55"/>
    <w:rsid w:val="005433CE"/>
    <w:rsid w:val="0054489F"/>
    <w:rsid w:val="00544C13"/>
    <w:rsid w:val="00544DE2"/>
    <w:rsid w:val="00546887"/>
    <w:rsid w:val="00546C82"/>
    <w:rsid w:val="0054769F"/>
    <w:rsid w:val="005479B2"/>
    <w:rsid w:val="00547F84"/>
    <w:rsid w:val="00550563"/>
    <w:rsid w:val="0055102A"/>
    <w:rsid w:val="005524B8"/>
    <w:rsid w:val="005530F8"/>
    <w:rsid w:val="005531F3"/>
    <w:rsid w:val="0055451C"/>
    <w:rsid w:val="00554E1E"/>
    <w:rsid w:val="00555968"/>
    <w:rsid w:val="005627E9"/>
    <w:rsid w:val="00563071"/>
    <w:rsid w:val="00564CB8"/>
    <w:rsid w:val="00564EE5"/>
    <w:rsid w:val="00566D4D"/>
    <w:rsid w:val="00566DDE"/>
    <w:rsid w:val="00566F8E"/>
    <w:rsid w:val="00566FD9"/>
    <w:rsid w:val="00567A8B"/>
    <w:rsid w:val="00567B9C"/>
    <w:rsid w:val="00567D56"/>
    <w:rsid w:val="00567F8E"/>
    <w:rsid w:val="0057188A"/>
    <w:rsid w:val="005723E4"/>
    <w:rsid w:val="00572EEF"/>
    <w:rsid w:val="00573982"/>
    <w:rsid w:val="00573D63"/>
    <w:rsid w:val="00573F72"/>
    <w:rsid w:val="00574AA8"/>
    <w:rsid w:val="00575002"/>
    <w:rsid w:val="005750A7"/>
    <w:rsid w:val="00575F41"/>
    <w:rsid w:val="0057621F"/>
    <w:rsid w:val="005763A5"/>
    <w:rsid w:val="00576B98"/>
    <w:rsid w:val="005776FA"/>
    <w:rsid w:val="00580068"/>
    <w:rsid w:val="005803AA"/>
    <w:rsid w:val="0058058F"/>
    <w:rsid w:val="0058127B"/>
    <w:rsid w:val="00581684"/>
    <w:rsid w:val="00582251"/>
    <w:rsid w:val="005824E1"/>
    <w:rsid w:val="00582572"/>
    <w:rsid w:val="00582A55"/>
    <w:rsid w:val="00582B0C"/>
    <w:rsid w:val="00582B1B"/>
    <w:rsid w:val="00582C43"/>
    <w:rsid w:val="005834C0"/>
    <w:rsid w:val="00583FCE"/>
    <w:rsid w:val="005843D4"/>
    <w:rsid w:val="00584C28"/>
    <w:rsid w:val="00584C33"/>
    <w:rsid w:val="00586617"/>
    <w:rsid w:val="005867B5"/>
    <w:rsid w:val="0058682F"/>
    <w:rsid w:val="0058697C"/>
    <w:rsid w:val="0058744B"/>
    <w:rsid w:val="005875D3"/>
    <w:rsid w:val="00587FB3"/>
    <w:rsid w:val="00590688"/>
    <w:rsid w:val="00591AE0"/>
    <w:rsid w:val="00592592"/>
    <w:rsid w:val="0059288A"/>
    <w:rsid w:val="00592C2A"/>
    <w:rsid w:val="00592FC9"/>
    <w:rsid w:val="005939F3"/>
    <w:rsid w:val="00594CBD"/>
    <w:rsid w:val="0059520D"/>
    <w:rsid w:val="005A07E0"/>
    <w:rsid w:val="005A1168"/>
    <w:rsid w:val="005A11FE"/>
    <w:rsid w:val="005A1BC8"/>
    <w:rsid w:val="005A1E38"/>
    <w:rsid w:val="005A1F77"/>
    <w:rsid w:val="005A28DB"/>
    <w:rsid w:val="005A314B"/>
    <w:rsid w:val="005A343E"/>
    <w:rsid w:val="005A3EA9"/>
    <w:rsid w:val="005A45D6"/>
    <w:rsid w:val="005A46F6"/>
    <w:rsid w:val="005A4A0A"/>
    <w:rsid w:val="005A540B"/>
    <w:rsid w:val="005A5424"/>
    <w:rsid w:val="005A59F4"/>
    <w:rsid w:val="005A7D62"/>
    <w:rsid w:val="005A7D74"/>
    <w:rsid w:val="005B0B48"/>
    <w:rsid w:val="005B0F13"/>
    <w:rsid w:val="005B1C72"/>
    <w:rsid w:val="005B2E08"/>
    <w:rsid w:val="005B2EBB"/>
    <w:rsid w:val="005B3EFB"/>
    <w:rsid w:val="005B41F2"/>
    <w:rsid w:val="005B4C1C"/>
    <w:rsid w:val="005B4E5B"/>
    <w:rsid w:val="005B5197"/>
    <w:rsid w:val="005B52F8"/>
    <w:rsid w:val="005C07C5"/>
    <w:rsid w:val="005C100F"/>
    <w:rsid w:val="005C126A"/>
    <w:rsid w:val="005C1394"/>
    <w:rsid w:val="005C143D"/>
    <w:rsid w:val="005C27EF"/>
    <w:rsid w:val="005C3A39"/>
    <w:rsid w:val="005C4630"/>
    <w:rsid w:val="005C4C2F"/>
    <w:rsid w:val="005C552C"/>
    <w:rsid w:val="005C5D29"/>
    <w:rsid w:val="005C5DF1"/>
    <w:rsid w:val="005D07A9"/>
    <w:rsid w:val="005D0E38"/>
    <w:rsid w:val="005D1B56"/>
    <w:rsid w:val="005D1CE1"/>
    <w:rsid w:val="005D270B"/>
    <w:rsid w:val="005D2CF8"/>
    <w:rsid w:val="005D2DC6"/>
    <w:rsid w:val="005D345C"/>
    <w:rsid w:val="005D3B53"/>
    <w:rsid w:val="005D3E6F"/>
    <w:rsid w:val="005D4016"/>
    <w:rsid w:val="005D46D3"/>
    <w:rsid w:val="005D4CB1"/>
    <w:rsid w:val="005D4DF4"/>
    <w:rsid w:val="005D7950"/>
    <w:rsid w:val="005D7D76"/>
    <w:rsid w:val="005E1FFD"/>
    <w:rsid w:val="005E2499"/>
    <w:rsid w:val="005E278F"/>
    <w:rsid w:val="005E2BD9"/>
    <w:rsid w:val="005E34FE"/>
    <w:rsid w:val="005E3BC5"/>
    <w:rsid w:val="005E493B"/>
    <w:rsid w:val="005E5A8C"/>
    <w:rsid w:val="005E5B06"/>
    <w:rsid w:val="005E6B12"/>
    <w:rsid w:val="005E6D10"/>
    <w:rsid w:val="005E6D1F"/>
    <w:rsid w:val="005F024C"/>
    <w:rsid w:val="005F113D"/>
    <w:rsid w:val="005F22DC"/>
    <w:rsid w:val="005F259B"/>
    <w:rsid w:val="005F5960"/>
    <w:rsid w:val="005F64DA"/>
    <w:rsid w:val="005F6E42"/>
    <w:rsid w:val="005F758B"/>
    <w:rsid w:val="005F7FE5"/>
    <w:rsid w:val="006000D0"/>
    <w:rsid w:val="00601E70"/>
    <w:rsid w:val="006026E2"/>
    <w:rsid w:val="006028CE"/>
    <w:rsid w:val="006028E6"/>
    <w:rsid w:val="00604495"/>
    <w:rsid w:val="00605BEF"/>
    <w:rsid w:val="006067BA"/>
    <w:rsid w:val="0061144E"/>
    <w:rsid w:val="00611ABF"/>
    <w:rsid w:val="00613F40"/>
    <w:rsid w:val="00613FEB"/>
    <w:rsid w:val="006145DB"/>
    <w:rsid w:val="006163F9"/>
    <w:rsid w:val="00617063"/>
    <w:rsid w:val="00617B46"/>
    <w:rsid w:val="00617C39"/>
    <w:rsid w:val="00620927"/>
    <w:rsid w:val="006232C0"/>
    <w:rsid w:val="00623447"/>
    <w:rsid w:val="0062371D"/>
    <w:rsid w:val="00625F78"/>
    <w:rsid w:val="0062760A"/>
    <w:rsid w:val="00627CB9"/>
    <w:rsid w:val="00627D90"/>
    <w:rsid w:val="0063070A"/>
    <w:rsid w:val="006324B9"/>
    <w:rsid w:val="006327E4"/>
    <w:rsid w:val="006347A0"/>
    <w:rsid w:val="006347EF"/>
    <w:rsid w:val="00634F93"/>
    <w:rsid w:val="006363F7"/>
    <w:rsid w:val="006365E3"/>
    <w:rsid w:val="00636B3A"/>
    <w:rsid w:val="00636E78"/>
    <w:rsid w:val="00637DF4"/>
    <w:rsid w:val="00640287"/>
    <w:rsid w:val="006406D1"/>
    <w:rsid w:val="006406E0"/>
    <w:rsid w:val="00640F8B"/>
    <w:rsid w:val="00641243"/>
    <w:rsid w:val="006423AC"/>
    <w:rsid w:val="006426AC"/>
    <w:rsid w:val="006427AA"/>
    <w:rsid w:val="00642C77"/>
    <w:rsid w:val="00643122"/>
    <w:rsid w:val="006448C4"/>
    <w:rsid w:val="00645419"/>
    <w:rsid w:val="00645686"/>
    <w:rsid w:val="006460A7"/>
    <w:rsid w:val="00647ABA"/>
    <w:rsid w:val="0065036D"/>
    <w:rsid w:val="00650A13"/>
    <w:rsid w:val="00650C0E"/>
    <w:rsid w:val="00650F44"/>
    <w:rsid w:val="00651D1C"/>
    <w:rsid w:val="00653072"/>
    <w:rsid w:val="00653772"/>
    <w:rsid w:val="006555F4"/>
    <w:rsid w:val="006561CF"/>
    <w:rsid w:val="006567B8"/>
    <w:rsid w:val="00656A86"/>
    <w:rsid w:val="006601AD"/>
    <w:rsid w:val="00660EFB"/>
    <w:rsid w:val="00661A1B"/>
    <w:rsid w:val="00663285"/>
    <w:rsid w:val="00664670"/>
    <w:rsid w:val="00664690"/>
    <w:rsid w:val="006648F4"/>
    <w:rsid w:val="00665625"/>
    <w:rsid w:val="00666702"/>
    <w:rsid w:val="00666D08"/>
    <w:rsid w:val="00666FA7"/>
    <w:rsid w:val="00667E3E"/>
    <w:rsid w:val="00670B64"/>
    <w:rsid w:val="00670BB7"/>
    <w:rsid w:val="00670F2D"/>
    <w:rsid w:val="00670F51"/>
    <w:rsid w:val="00671067"/>
    <w:rsid w:val="006718EE"/>
    <w:rsid w:val="00671FE6"/>
    <w:rsid w:val="00673B9D"/>
    <w:rsid w:val="00674304"/>
    <w:rsid w:val="00675FCC"/>
    <w:rsid w:val="006761E9"/>
    <w:rsid w:val="006766A3"/>
    <w:rsid w:val="006772D0"/>
    <w:rsid w:val="00677701"/>
    <w:rsid w:val="00680E5B"/>
    <w:rsid w:val="00680F20"/>
    <w:rsid w:val="006816B2"/>
    <w:rsid w:val="00681ADB"/>
    <w:rsid w:val="00681F74"/>
    <w:rsid w:val="0068351C"/>
    <w:rsid w:val="0068413C"/>
    <w:rsid w:val="00684596"/>
    <w:rsid w:val="00684B1F"/>
    <w:rsid w:val="006855B3"/>
    <w:rsid w:val="0068644B"/>
    <w:rsid w:val="00686F8D"/>
    <w:rsid w:val="00687038"/>
    <w:rsid w:val="0068741F"/>
    <w:rsid w:val="00687B35"/>
    <w:rsid w:val="00687E66"/>
    <w:rsid w:val="00692E7E"/>
    <w:rsid w:val="00692ECE"/>
    <w:rsid w:val="00693330"/>
    <w:rsid w:val="00693743"/>
    <w:rsid w:val="00693A1A"/>
    <w:rsid w:val="00693CD3"/>
    <w:rsid w:val="00694675"/>
    <w:rsid w:val="00694DA0"/>
    <w:rsid w:val="00695692"/>
    <w:rsid w:val="0069583B"/>
    <w:rsid w:val="00695D80"/>
    <w:rsid w:val="006961DD"/>
    <w:rsid w:val="0069628F"/>
    <w:rsid w:val="006A0677"/>
    <w:rsid w:val="006A25BF"/>
    <w:rsid w:val="006A2FD4"/>
    <w:rsid w:val="006A3510"/>
    <w:rsid w:val="006A390D"/>
    <w:rsid w:val="006A3FA3"/>
    <w:rsid w:val="006A4146"/>
    <w:rsid w:val="006A41FA"/>
    <w:rsid w:val="006A4F1E"/>
    <w:rsid w:val="006A5A6B"/>
    <w:rsid w:val="006A67D2"/>
    <w:rsid w:val="006B02A1"/>
    <w:rsid w:val="006B243C"/>
    <w:rsid w:val="006B3246"/>
    <w:rsid w:val="006B3349"/>
    <w:rsid w:val="006B538C"/>
    <w:rsid w:val="006B589E"/>
    <w:rsid w:val="006B72FB"/>
    <w:rsid w:val="006B7568"/>
    <w:rsid w:val="006C172C"/>
    <w:rsid w:val="006C2745"/>
    <w:rsid w:val="006C34A9"/>
    <w:rsid w:val="006C365B"/>
    <w:rsid w:val="006C478C"/>
    <w:rsid w:val="006C50E1"/>
    <w:rsid w:val="006C577D"/>
    <w:rsid w:val="006C5C7D"/>
    <w:rsid w:val="006C5D31"/>
    <w:rsid w:val="006C608D"/>
    <w:rsid w:val="006C6457"/>
    <w:rsid w:val="006C67D1"/>
    <w:rsid w:val="006C6C4A"/>
    <w:rsid w:val="006C753D"/>
    <w:rsid w:val="006C7B20"/>
    <w:rsid w:val="006D0DB1"/>
    <w:rsid w:val="006D1B51"/>
    <w:rsid w:val="006D1B60"/>
    <w:rsid w:val="006D2D73"/>
    <w:rsid w:val="006D3340"/>
    <w:rsid w:val="006D42A0"/>
    <w:rsid w:val="006D467F"/>
    <w:rsid w:val="006D5436"/>
    <w:rsid w:val="006D5EEE"/>
    <w:rsid w:val="006D5FB8"/>
    <w:rsid w:val="006D6329"/>
    <w:rsid w:val="006D6AB3"/>
    <w:rsid w:val="006D7020"/>
    <w:rsid w:val="006D70EF"/>
    <w:rsid w:val="006D7232"/>
    <w:rsid w:val="006D75A6"/>
    <w:rsid w:val="006D7D61"/>
    <w:rsid w:val="006D7FE9"/>
    <w:rsid w:val="006E0419"/>
    <w:rsid w:val="006E2EE0"/>
    <w:rsid w:val="006E3B17"/>
    <w:rsid w:val="006E3C50"/>
    <w:rsid w:val="006E42C0"/>
    <w:rsid w:val="006E46D9"/>
    <w:rsid w:val="006E506C"/>
    <w:rsid w:val="006E55ED"/>
    <w:rsid w:val="006E5CD1"/>
    <w:rsid w:val="006E5D31"/>
    <w:rsid w:val="006E6377"/>
    <w:rsid w:val="006E7211"/>
    <w:rsid w:val="006E7564"/>
    <w:rsid w:val="006F003D"/>
    <w:rsid w:val="006F1EF1"/>
    <w:rsid w:val="006F482C"/>
    <w:rsid w:val="006F54C1"/>
    <w:rsid w:val="006F55D3"/>
    <w:rsid w:val="006F5A1B"/>
    <w:rsid w:val="006F6151"/>
    <w:rsid w:val="006F6633"/>
    <w:rsid w:val="006F680E"/>
    <w:rsid w:val="006F7BCA"/>
    <w:rsid w:val="0070000D"/>
    <w:rsid w:val="007023E9"/>
    <w:rsid w:val="007026C0"/>
    <w:rsid w:val="00702B2A"/>
    <w:rsid w:val="00702B92"/>
    <w:rsid w:val="00702EB2"/>
    <w:rsid w:val="007030F1"/>
    <w:rsid w:val="00703952"/>
    <w:rsid w:val="00703BCB"/>
    <w:rsid w:val="00703C16"/>
    <w:rsid w:val="00703C3C"/>
    <w:rsid w:val="00703D93"/>
    <w:rsid w:val="007043F0"/>
    <w:rsid w:val="00704B88"/>
    <w:rsid w:val="00705160"/>
    <w:rsid w:val="00706315"/>
    <w:rsid w:val="00706355"/>
    <w:rsid w:val="00706ECF"/>
    <w:rsid w:val="007074D6"/>
    <w:rsid w:val="00707639"/>
    <w:rsid w:val="00710639"/>
    <w:rsid w:val="00710699"/>
    <w:rsid w:val="00710771"/>
    <w:rsid w:val="00710C2D"/>
    <w:rsid w:val="00710DE8"/>
    <w:rsid w:val="00711B11"/>
    <w:rsid w:val="00712A61"/>
    <w:rsid w:val="00714A2B"/>
    <w:rsid w:val="00714ABA"/>
    <w:rsid w:val="007157F1"/>
    <w:rsid w:val="00715E71"/>
    <w:rsid w:val="00716ECB"/>
    <w:rsid w:val="00717578"/>
    <w:rsid w:val="00717698"/>
    <w:rsid w:val="007214D0"/>
    <w:rsid w:val="00721754"/>
    <w:rsid w:val="00721EFC"/>
    <w:rsid w:val="00723D1F"/>
    <w:rsid w:val="00724058"/>
    <w:rsid w:val="00724BF4"/>
    <w:rsid w:val="00724C59"/>
    <w:rsid w:val="00725117"/>
    <w:rsid w:val="007258F5"/>
    <w:rsid w:val="007275C1"/>
    <w:rsid w:val="00727607"/>
    <w:rsid w:val="00727B5B"/>
    <w:rsid w:val="00731716"/>
    <w:rsid w:val="00731CA4"/>
    <w:rsid w:val="0073264B"/>
    <w:rsid w:val="0073360B"/>
    <w:rsid w:val="00733CC2"/>
    <w:rsid w:val="0073439B"/>
    <w:rsid w:val="00734C0C"/>
    <w:rsid w:val="00735261"/>
    <w:rsid w:val="0073628A"/>
    <w:rsid w:val="00737037"/>
    <w:rsid w:val="00741558"/>
    <w:rsid w:val="00741A02"/>
    <w:rsid w:val="00741D26"/>
    <w:rsid w:val="00742FDB"/>
    <w:rsid w:val="0074397F"/>
    <w:rsid w:val="00743DB0"/>
    <w:rsid w:val="00744340"/>
    <w:rsid w:val="00744818"/>
    <w:rsid w:val="00744CEF"/>
    <w:rsid w:val="007466F9"/>
    <w:rsid w:val="007469F9"/>
    <w:rsid w:val="00746EF6"/>
    <w:rsid w:val="00747471"/>
    <w:rsid w:val="00750638"/>
    <w:rsid w:val="007508D8"/>
    <w:rsid w:val="00750DEC"/>
    <w:rsid w:val="0075211E"/>
    <w:rsid w:val="00752D90"/>
    <w:rsid w:val="007545B3"/>
    <w:rsid w:val="00754982"/>
    <w:rsid w:val="00755FD4"/>
    <w:rsid w:val="00756EC0"/>
    <w:rsid w:val="007571E3"/>
    <w:rsid w:val="00757D85"/>
    <w:rsid w:val="00760D10"/>
    <w:rsid w:val="0076282F"/>
    <w:rsid w:val="00762CA9"/>
    <w:rsid w:val="00764482"/>
    <w:rsid w:val="007648FE"/>
    <w:rsid w:val="007649E5"/>
    <w:rsid w:val="00764A22"/>
    <w:rsid w:val="00764AB2"/>
    <w:rsid w:val="0076579D"/>
    <w:rsid w:val="00765892"/>
    <w:rsid w:val="00766D5F"/>
    <w:rsid w:val="007704DE"/>
    <w:rsid w:val="00770734"/>
    <w:rsid w:val="007716BB"/>
    <w:rsid w:val="00771C1A"/>
    <w:rsid w:val="0077289E"/>
    <w:rsid w:val="0077304D"/>
    <w:rsid w:val="00774386"/>
    <w:rsid w:val="007746D7"/>
    <w:rsid w:val="00774DED"/>
    <w:rsid w:val="00775294"/>
    <w:rsid w:val="00776A5E"/>
    <w:rsid w:val="00776A6B"/>
    <w:rsid w:val="00776EF4"/>
    <w:rsid w:val="00777538"/>
    <w:rsid w:val="00777D40"/>
    <w:rsid w:val="00780D3F"/>
    <w:rsid w:val="00780EFD"/>
    <w:rsid w:val="0078146A"/>
    <w:rsid w:val="00781897"/>
    <w:rsid w:val="007834B8"/>
    <w:rsid w:val="007846B8"/>
    <w:rsid w:val="00784895"/>
    <w:rsid w:val="0078493D"/>
    <w:rsid w:val="0078499C"/>
    <w:rsid w:val="007851E3"/>
    <w:rsid w:val="0078574A"/>
    <w:rsid w:val="00787254"/>
    <w:rsid w:val="00787AD0"/>
    <w:rsid w:val="00790128"/>
    <w:rsid w:val="00790146"/>
    <w:rsid w:val="00790784"/>
    <w:rsid w:val="0079088A"/>
    <w:rsid w:val="007908EE"/>
    <w:rsid w:val="00790E32"/>
    <w:rsid w:val="00791608"/>
    <w:rsid w:val="00791C1B"/>
    <w:rsid w:val="00792DF6"/>
    <w:rsid w:val="007936D7"/>
    <w:rsid w:val="0079384A"/>
    <w:rsid w:val="00794100"/>
    <w:rsid w:val="00795931"/>
    <w:rsid w:val="00797353"/>
    <w:rsid w:val="00797505"/>
    <w:rsid w:val="00797590"/>
    <w:rsid w:val="007A0CA8"/>
    <w:rsid w:val="007A1860"/>
    <w:rsid w:val="007A1A14"/>
    <w:rsid w:val="007A1D1A"/>
    <w:rsid w:val="007A255D"/>
    <w:rsid w:val="007A2B57"/>
    <w:rsid w:val="007A3419"/>
    <w:rsid w:val="007A39AC"/>
    <w:rsid w:val="007A3B8B"/>
    <w:rsid w:val="007A40FF"/>
    <w:rsid w:val="007A4336"/>
    <w:rsid w:val="007A4395"/>
    <w:rsid w:val="007A4CDD"/>
    <w:rsid w:val="007A5096"/>
    <w:rsid w:val="007A578A"/>
    <w:rsid w:val="007A5CF3"/>
    <w:rsid w:val="007A682B"/>
    <w:rsid w:val="007A70F6"/>
    <w:rsid w:val="007A778E"/>
    <w:rsid w:val="007A77A0"/>
    <w:rsid w:val="007A7CB6"/>
    <w:rsid w:val="007B28B0"/>
    <w:rsid w:val="007B29A1"/>
    <w:rsid w:val="007B2F72"/>
    <w:rsid w:val="007B446A"/>
    <w:rsid w:val="007B50B7"/>
    <w:rsid w:val="007B58CE"/>
    <w:rsid w:val="007B5C1C"/>
    <w:rsid w:val="007B5EB7"/>
    <w:rsid w:val="007B7340"/>
    <w:rsid w:val="007B7E33"/>
    <w:rsid w:val="007C0264"/>
    <w:rsid w:val="007C037E"/>
    <w:rsid w:val="007C0B2B"/>
    <w:rsid w:val="007C1992"/>
    <w:rsid w:val="007C1BA9"/>
    <w:rsid w:val="007C280A"/>
    <w:rsid w:val="007C2A65"/>
    <w:rsid w:val="007C4583"/>
    <w:rsid w:val="007C4866"/>
    <w:rsid w:val="007C4A29"/>
    <w:rsid w:val="007C4C02"/>
    <w:rsid w:val="007C4CF7"/>
    <w:rsid w:val="007C4D68"/>
    <w:rsid w:val="007C5304"/>
    <w:rsid w:val="007C5D5E"/>
    <w:rsid w:val="007C5F09"/>
    <w:rsid w:val="007C6350"/>
    <w:rsid w:val="007C65EF"/>
    <w:rsid w:val="007D00F0"/>
    <w:rsid w:val="007D03F7"/>
    <w:rsid w:val="007D0BBF"/>
    <w:rsid w:val="007D2313"/>
    <w:rsid w:val="007D390A"/>
    <w:rsid w:val="007D3C01"/>
    <w:rsid w:val="007D4126"/>
    <w:rsid w:val="007D42D2"/>
    <w:rsid w:val="007D4BB7"/>
    <w:rsid w:val="007D59B1"/>
    <w:rsid w:val="007D5A61"/>
    <w:rsid w:val="007D5D73"/>
    <w:rsid w:val="007D63C3"/>
    <w:rsid w:val="007D655B"/>
    <w:rsid w:val="007D6C9D"/>
    <w:rsid w:val="007D71D7"/>
    <w:rsid w:val="007D7CD9"/>
    <w:rsid w:val="007E1E8D"/>
    <w:rsid w:val="007E2904"/>
    <w:rsid w:val="007E4A30"/>
    <w:rsid w:val="007E4C55"/>
    <w:rsid w:val="007E4F6A"/>
    <w:rsid w:val="007E5340"/>
    <w:rsid w:val="007E5537"/>
    <w:rsid w:val="007E5C85"/>
    <w:rsid w:val="007E5D22"/>
    <w:rsid w:val="007E5DF0"/>
    <w:rsid w:val="007E6221"/>
    <w:rsid w:val="007E6331"/>
    <w:rsid w:val="007E6E96"/>
    <w:rsid w:val="007E70E9"/>
    <w:rsid w:val="007E7A19"/>
    <w:rsid w:val="007E7D96"/>
    <w:rsid w:val="007F0BEC"/>
    <w:rsid w:val="007F16BE"/>
    <w:rsid w:val="007F1A99"/>
    <w:rsid w:val="007F38FD"/>
    <w:rsid w:val="007F53CC"/>
    <w:rsid w:val="007F59EF"/>
    <w:rsid w:val="007F5AB7"/>
    <w:rsid w:val="007F6BDD"/>
    <w:rsid w:val="007F7080"/>
    <w:rsid w:val="007F7796"/>
    <w:rsid w:val="007F77C5"/>
    <w:rsid w:val="008013C0"/>
    <w:rsid w:val="008015FD"/>
    <w:rsid w:val="00801E39"/>
    <w:rsid w:val="00802B26"/>
    <w:rsid w:val="00802D9E"/>
    <w:rsid w:val="00803504"/>
    <w:rsid w:val="00805C01"/>
    <w:rsid w:val="008068F0"/>
    <w:rsid w:val="00807575"/>
    <w:rsid w:val="008075BB"/>
    <w:rsid w:val="00810178"/>
    <w:rsid w:val="008105A0"/>
    <w:rsid w:val="0081080A"/>
    <w:rsid w:val="00810A91"/>
    <w:rsid w:val="00810C57"/>
    <w:rsid w:val="008119F1"/>
    <w:rsid w:val="008121CD"/>
    <w:rsid w:val="00813C3C"/>
    <w:rsid w:val="00814954"/>
    <w:rsid w:val="00814CF8"/>
    <w:rsid w:val="00814EB1"/>
    <w:rsid w:val="00814F05"/>
    <w:rsid w:val="00815D5B"/>
    <w:rsid w:val="0081637F"/>
    <w:rsid w:val="0081667D"/>
    <w:rsid w:val="00816C9D"/>
    <w:rsid w:val="0081751E"/>
    <w:rsid w:val="008175B3"/>
    <w:rsid w:val="00817751"/>
    <w:rsid w:val="00817E22"/>
    <w:rsid w:val="0082035B"/>
    <w:rsid w:val="00820B36"/>
    <w:rsid w:val="00821946"/>
    <w:rsid w:val="00821D02"/>
    <w:rsid w:val="00821FF8"/>
    <w:rsid w:val="008233F7"/>
    <w:rsid w:val="00823F19"/>
    <w:rsid w:val="00824DD1"/>
    <w:rsid w:val="00825F1F"/>
    <w:rsid w:val="008274A5"/>
    <w:rsid w:val="00827C69"/>
    <w:rsid w:val="00830D8B"/>
    <w:rsid w:val="00830DDE"/>
    <w:rsid w:val="00830FAB"/>
    <w:rsid w:val="00831295"/>
    <w:rsid w:val="0083131E"/>
    <w:rsid w:val="00831FB1"/>
    <w:rsid w:val="008326DD"/>
    <w:rsid w:val="0083277D"/>
    <w:rsid w:val="0083385B"/>
    <w:rsid w:val="00833C9B"/>
    <w:rsid w:val="008340F7"/>
    <w:rsid w:val="008347C2"/>
    <w:rsid w:val="00835178"/>
    <w:rsid w:val="00835471"/>
    <w:rsid w:val="0083553C"/>
    <w:rsid w:val="00837F1D"/>
    <w:rsid w:val="0084023A"/>
    <w:rsid w:val="008403DD"/>
    <w:rsid w:val="008418F4"/>
    <w:rsid w:val="008419DE"/>
    <w:rsid w:val="00842840"/>
    <w:rsid w:val="008432D3"/>
    <w:rsid w:val="008437E1"/>
    <w:rsid w:val="00843C54"/>
    <w:rsid w:val="008443D7"/>
    <w:rsid w:val="00844899"/>
    <w:rsid w:val="00845BA7"/>
    <w:rsid w:val="008466D3"/>
    <w:rsid w:val="008467DE"/>
    <w:rsid w:val="008468D7"/>
    <w:rsid w:val="00847A35"/>
    <w:rsid w:val="0085057B"/>
    <w:rsid w:val="00853202"/>
    <w:rsid w:val="00853622"/>
    <w:rsid w:val="00853789"/>
    <w:rsid w:val="008539EE"/>
    <w:rsid w:val="00853A85"/>
    <w:rsid w:val="008540AF"/>
    <w:rsid w:val="0085452E"/>
    <w:rsid w:val="008553B1"/>
    <w:rsid w:val="00855D30"/>
    <w:rsid w:val="00855E12"/>
    <w:rsid w:val="00856BD1"/>
    <w:rsid w:val="00857A66"/>
    <w:rsid w:val="00857FA6"/>
    <w:rsid w:val="0086013D"/>
    <w:rsid w:val="0086026A"/>
    <w:rsid w:val="008606C5"/>
    <w:rsid w:val="00860BD7"/>
    <w:rsid w:val="00861975"/>
    <w:rsid w:val="00861C7B"/>
    <w:rsid w:val="0086243E"/>
    <w:rsid w:val="008625CE"/>
    <w:rsid w:val="008626FD"/>
    <w:rsid w:val="00862ADA"/>
    <w:rsid w:val="00863263"/>
    <w:rsid w:val="00863700"/>
    <w:rsid w:val="00863A07"/>
    <w:rsid w:val="008643DF"/>
    <w:rsid w:val="00864443"/>
    <w:rsid w:val="008651F2"/>
    <w:rsid w:val="008653C8"/>
    <w:rsid w:val="008667FA"/>
    <w:rsid w:val="0086783E"/>
    <w:rsid w:val="00867FC0"/>
    <w:rsid w:val="008712AA"/>
    <w:rsid w:val="0087184F"/>
    <w:rsid w:val="00875236"/>
    <w:rsid w:val="008754D9"/>
    <w:rsid w:val="00875698"/>
    <w:rsid w:val="00875B91"/>
    <w:rsid w:val="00875FD0"/>
    <w:rsid w:val="008762A9"/>
    <w:rsid w:val="008767A2"/>
    <w:rsid w:val="0087748C"/>
    <w:rsid w:val="00877797"/>
    <w:rsid w:val="00880DED"/>
    <w:rsid w:val="008815E1"/>
    <w:rsid w:val="00881697"/>
    <w:rsid w:val="008818D1"/>
    <w:rsid w:val="00881AE6"/>
    <w:rsid w:val="008822C3"/>
    <w:rsid w:val="0088257F"/>
    <w:rsid w:val="008829FF"/>
    <w:rsid w:val="00883306"/>
    <w:rsid w:val="00883A05"/>
    <w:rsid w:val="00883FCE"/>
    <w:rsid w:val="00884AB7"/>
    <w:rsid w:val="00885155"/>
    <w:rsid w:val="008851A3"/>
    <w:rsid w:val="00885D20"/>
    <w:rsid w:val="008861B4"/>
    <w:rsid w:val="00887824"/>
    <w:rsid w:val="008903AA"/>
    <w:rsid w:val="00891354"/>
    <w:rsid w:val="0089179D"/>
    <w:rsid w:val="008917B0"/>
    <w:rsid w:val="00891D4B"/>
    <w:rsid w:val="00892FD3"/>
    <w:rsid w:val="0089360C"/>
    <w:rsid w:val="008936CC"/>
    <w:rsid w:val="00893F24"/>
    <w:rsid w:val="008942CF"/>
    <w:rsid w:val="00894420"/>
    <w:rsid w:val="0089478E"/>
    <w:rsid w:val="008947F8"/>
    <w:rsid w:val="008958DE"/>
    <w:rsid w:val="00896255"/>
    <w:rsid w:val="008966C2"/>
    <w:rsid w:val="00897071"/>
    <w:rsid w:val="008A0133"/>
    <w:rsid w:val="008A03A1"/>
    <w:rsid w:val="008A03C1"/>
    <w:rsid w:val="008A0CD5"/>
    <w:rsid w:val="008A126A"/>
    <w:rsid w:val="008A1B4F"/>
    <w:rsid w:val="008A1C31"/>
    <w:rsid w:val="008A1D77"/>
    <w:rsid w:val="008A26CC"/>
    <w:rsid w:val="008A34CF"/>
    <w:rsid w:val="008A3770"/>
    <w:rsid w:val="008A44D3"/>
    <w:rsid w:val="008A5398"/>
    <w:rsid w:val="008A62A1"/>
    <w:rsid w:val="008A736A"/>
    <w:rsid w:val="008A7514"/>
    <w:rsid w:val="008B07F1"/>
    <w:rsid w:val="008B0A0D"/>
    <w:rsid w:val="008B0DDA"/>
    <w:rsid w:val="008B23C5"/>
    <w:rsid w:val="008B24A8"/>
    <w:rsid w:val="008B2C1E"/>
    <w:rsid w:val="008B3464"/>
    <w:rsid w:val="008B3C01"/>
    <w:rsid w:val="008B3E43"/>
    <w:rsid w:val="008B3EEA"/>
    <w:rsid w:val="008B3F9A"/>
    <w:rsid w:val="008B5195"/>
    <w:rsid w:val="008B533C"/>
    <w:rsid w:val="008B5729"/>
    <w:rsid w:val="008B6398"/>
    <w:rsid w:val="008B63A0"/>
    <w:rsid w:val="008B6D11"/>
    <w:rsid w:val="008B7F6B"/>
    <w:rsid w:val="008C0127"/>
    <w:rsid w:val="008C02FE"/>
    <w:rsid w:val="008C069A"/>
    <w:rsid w:val="008C0CCB"/>
    <w:rsid w:val="008C1652"/>
    <w:rsid w:val="008C3362"/>
    <w:rsid w:val="008C42FA"/>
    <w:rsid w:val="008C5237"/>
    <w:rsid w:val="008C5AA8"/>
    <w:rsid w:val="008C6983"/>
    <w:rsid w:val="008C6DD9"/>
    <w:rsid w:val="008C6F79"/>
    <w:rsid w:val="008C799F"/>
    <w:rsid w:val="008C7AFA"/>
    <w:rsid w:val="008C7D38"/>
    <w:rsid w:val="008D098A"/>
    <w:rsid w:val="008D0CD7"/>
    <w:rsid w:val="008D12EB"/>
    <w:rsid w:val="008D3125"/>
    <w:rsid w:val="008D3B8F"/>
    <w:rsid w:val="008D488F"/>
    <w:rsid w:val="008D570C"/>
    <w:rsid w:val="008D6709"/>
    <w:rsid w:val="008D75E8"/>
    <w:rsid w:val="008E00E3"/>
    <w:rsid w:val="008E03FF"/>
    <w:rsid w:val="008E09A3"/>
    <w:rsid w:val="008E0B37"/>
    <w:rsid w:val="008E1492"/>
    <w:rsid w:val="008E221B"/>
    <w:rsid w:val="008E293A"/>
    <w:rsid w:val="008E3417"/>
    <w:rsid w:val="008E39FA"/>
    <w:rsid w:val="008E3F18"/>
    <w:rsid w:val="008E4151"/>
    <w:rsid w:val="008E433B"/>
    <w:rsid w:val="008E4432"/>
    <w:rsid w:val="008E4FFE"/>
    <w:rsid w:val="008E5915"/>
    <w:rsid w:val="008E6371"/>
    <w:rsid w:val="008F23C0"/>
    <w:rsid w:val="008F2E93"/>
    <w:rsid w:val="008F43BF"/>
    <w:rsid w:val="008F4B75"/>
    <w:rsid w:val="008F4D12"/>
    <w:rsid w:val="008F4EFA"/>
    <w:rsid w:val="008F5B69"/>
    <w:rsid w:val="008F5DAA"/>
    <w:rsid w:val="008F6864"/>
    <w:rsid w:val="008F7957"/>
    <w:rsid w:val="00900F8E"/>
    <w:rsid w:val="009016E1"/>
    <w:rsid w:val="00901BA5"/>
    <w:rsid w:val="00901BF0"/>
    <w:rsid w:val="00901E71"/>
    <w:rsid w:val="009033A0"/>
    <w:rsid w:val="009035EC"/>
    <w:rsid w:val="009038EC"/>
    <w:rsid w:val="00903C91"/>
    <w:rsid w:val="00904C29"/>
    <w:rsid w:val="00905E5C"/>
    <w:rsid w:val="00907735"/>
    <w:rsid w:val="0091030B"/>
    <w:rsid w:val="009112F2"/>
    <w:rsid w:val="0091131C"/>
    <w:rsid w:val="00913197"/>
    <w:rsid w:val="00913446"/>
    <w:rsid w:val="00913C66"/>
    <w:rsid w:val="009148DF"/>
    <w:rsid w:val="00914BD1"/>
    <w:rsid w:val="00915587"/>
    <w:rsid w:val="0091588E"/>
    <w:rsid w:val="00915B6A"/>
    <w:rsid w:val="00916103"/>
    <w:rsid w:val="00917F03"/>
    <w:rsid w:val="0092045D"/>
    <w:rsid w:val="00920C09"/>
    <w:rsid w:val="00920CB8"/>
    <w:rsid w:val="009235EB"/>
    <w:rsid w:val="009237EC"/>
    <w:rsid w:val="00923C61"/>
    <w:rsid w:val="0092411A"/>
    <w:rsid w:val="00925B1E"/>
    <w:rsid w:val="00925DC2"/>
    <w:rsid w:val="00926EAC"/>
    <w:rsid w:val="00930012"/>
    <w:rsid w:val="00930193"/>
    <w:rsid w:val="00930467"/>
    <w:rsid w:val="00930E85"/>
    <w:rsid w:val="0093128B"/>
    <w:rsid w:val="009313E5"/>
    <w:rsid w:val="00931B34"/>
    <w:rsid w:val="009320BA"/>
    <w:rsid w:val="0093246B"/>
    <w:rsid w:val="009345E6"/>
    <w:rsid w:val="0093499C"/>
    <w:rsid w:val="009351A0"/>
    <w:rsid w:val="00935A35"/>
    <w:rsid w:val="0093656C"/>
    <w:rsid w:val="00936D58"/>
    <w:rsid w:val="00937D97"/>
    <w:rsid w:val="0094117B"/>
    <w:rsid w:val="0094122C"/>
    <w:rsid w:val="00941238"/>
    <w:rsid w:val="00941979"/>
    <w:rsid w:val="00941D6D"/>
    <w:rsid w:val="009420F8"/>
    <w:rsid w:val="00942223"/>
    <w:rsid w:val="0094331B"/>
    <w:rsid w:val="0094491D"/>
    <w:rsid w:val="0094496A"/>
    <w:rsid w:val="00944C97"/>
    <w:rsid w:val="0094581D"/>
    <w:rsid w:val="00945DA2"/>
    <w:rsid w:val="00945E1D"/>
    <w:rsid w:val="00946382"/>
    <w:rsid w:val="00946C89"/>
    <w:rsid w:val="00946F20"/>
    <w:rsid w:val="00947928"/>
    <w:rsid w:val="009507E5"/>
    <w:rsid w:val="00950AD1"/>
    <w:rsid w:val="00950F4C"/>
    <w:rsid w:val="00951889"/>
    <w:rsid w:val="00951B8A"/>
    <w:rsid w:val="00951E60"/>
    <w:rsid w:val="00953197"/>
    <w:rsid w:val="00953AEC"/>
    <w:rsid w:val="009552D8"/>
    <w:rsid w:val="0095646B"/>
    <w:rsid w:val="00956A8A"/>
    <w:rsid w:val="0096041C"/>
    <w:rsid w:val="009617D7"/>
    <w:rsid w:val="00961CA5"/>
    <w:rsid w:val="00962056"/>
    <w:rsid w:val="00962144"/>
    <w:rsid w:val="0096229F"/>
    <w:rsid w:val="009623F1"/>
    <w:rsid w:val="0096349C"/>
    <w:rsid w:val="00963FDE"/>
    <w:rsid w:val="009640AE"/>
    <w:rsid w:val="009644F5"/>
    <w:rsid w:val="00964602"/>
    <w:rsid w:val="00964AF3"/>
    <w:rsid w:val="009650C0"/>
    <w:rsid w:val="00966C15"/>
    <w:rsid w:val="0097010B"/>
    <w:rsid w:val="009707AF"/>
    <w:rsid w:val="00970FDC"/>
    <w:rsid w:val="009711BF"/>
    <w:rsid w:val="009717A3"/>
    <w:rsid w:val="00971C56"/>
    <w:rsid w:val="009730D6"/>
    <w:rsid w:val="009761FE"/>
    <w:rsid w:val="0097649B"/>
    <w:rsid w:val="00976778"/>
    <w:rsid w:val="00977079"/>
    <w:rsid w:val="00977B9C"/>
    <w:rsid w:val="009807D4"/>
    <w:rsid w:val="0098119F"/>
    <w:rsid w:val="00981246"/>
    <w:rsid w:val="0098219C"/>
    <w:rsid w:val="0098258F"/>
    <w:rsid w:val="00982F36"/>
    <w:rsid w:val="00984AC9"/>
    <w:rsid w:val="00985171"/>
    <w:rsid w:val="009851D6"/>
    <w:rsid w:val="0098571B"/>
    <w:rsid w:val="009868B0"/>
    <w:rsid w:val="00986DCA"/>
    <w:rsid w:val="009876DB"/>
    <w:rsid w:val="00990CA4"/>
    <w:rsid w:val="009913D0"/>
    <w:rsid w:val="00991435"/>
    <w:rsid w:val="009914DE"/>
    <w:rsid w:val="0099299E"/>
    <w:rsid w:val="009931C8"/>
    <w:rsid w:val="00993A96"/>
    <w:rsid w:val="00994716"/>
    <w:rsid w:val="00995DD2"/>
    <w:rsid w:val="009966B9"/>
    <w:rsid w:val="009969AF"/>
    <w:rsid w:val="00996DC2"/>
    <w:rsid w:val="00997B31"/>
    <w:rsid w:val="00997F8B"/>
    <w:rsid w:val="009A07D5"/>
    <w:rsid w:val="009A0C97"/>
    <w:rsid w:val="009A1B0C"/>
    <w:rsid w:val="009A1C98"/>
    <w:rsid w:val="009A20EA"/>
    <w:rsid w:val="009A2187"/>
    <w:rsid w:val="009A2A49"/>
    <w:rsid w:val="009A34FB"/>
    <w:rsid w:val="009A3C48"/>
    <w:rsid w:val="009A3D21"/>
    <w:rsid w:val="009A4808"/>
    <w:rsid w:val="009A574E"/>
    <w:rsid w:val="009A5994"/>
    <w:rsid w:val="009A6BEE"/>
    <w:rsid w:val="009A6D2C"/>
    <w:rsid w:val="009A6D95"/>
    <w:rsid w:val="009A714B"/>
    <w:rsid w:val="009B0E04"/>
    <w:rsid w:val="009B25E1"/>
    <w:rsid w:val="009B27B7"/>
    <w:rsid w:val="009B27EB"/>
    <w:rsid w:val="009B29B2"/>
    <w:rsid w:val="009B2EEC"/>
    <w:rsid w:val="009B32B1"/>
    <w:rsid w:val="009B33B5"/>
    <w:rsid w:val="009B3507"/>
    <w:rsid w:val="009B3967"/>
    <w:rsid w:val="009B3B04"/>
    <w:rsid w:val="009B5956"/>
    <w:rsid w:val="009B6F3B"/>
    <w:rsid w:val="009B7DF4"/>
    <w:rsid w:val="009B7FD5"/>
    <w:rsid w:val="009C1966"/>
    <w:rsid w:val="009C1BE0"/>
    <w:rsid w:val="009C269F"/>
    <w:rsid w:val="009C4BE0"/>
    <w:rsid w:val="009C4D02"/>
    <w:rsid w:val="009C55BA"/>
    <w:rsid w:val="009C66F1"/>
    <w:rsid w:val="009C6AAD"/>
    <w:rsid w:val="009C6CC3"/>
    <w:rsid w:val="009C6CE6"/>
    <w:rsid w:val="009C6EEF"/>
    <w:rsid w:val="009C7E30"/>
    <w:rsid w:val="009D0927"/>
    <w:rsid w:val="009D16A4"/>
    <w:rsid w:val="009D2AFD"/>
    <w:rsid w:val="009D4732"/>
    <w:rsid w:val="009D50FF"/>
    <w:rsid w:val="009D551E"/>
    <w:rsid w:val="009D5E50"/>
    <w:rsid w:val="009D5E7E"/>
    <w:rsid w:val="009D63A7"/>
    <w:rsid w:val="009D7AF8"/>
    <w:rsid w:val="009D7BBD"/>
    <w:rsid w:val="009E0DE7"/>
    <w:rsid w:val="009E18AF"/>
    <w:rsid w:val="009E1A51"/>
    <w:rsid w:val="009E2230"/>
    <w:rsid w:val="009E2D6E"/>
    <w:rsid w:val="009E3228"/>
    <w:rsid w:val="009E3B70"/>
    <w:rsid w:val="009E4D78"/>
    <w:rsid w:val="009E5CE3"/>
    <w:rsid w:val="009E69F1"/>
    <w:rsid w:val="009E6ED2"/>
    <w:rsid w:val="009E71A5"/>
    <w:rsid w:val="009E77D4"/>
    <w:rsid w:val="009F050E"/>
    <w:rsid w:val="009F2ABE"/>
    <w:rsid w:val="009F4173"/>
    <w:rsid w:val="009F45D6"/>
    <w:rsid w:val="009F6610"/>
    <w:rsid w:val="009F6C98"/>
    <w:rsid w:val="009F7B3A"/>
    <w:rsid w:val="009F7B99"/>
    <w:rsid w:val="00A00460"/>
    <w:rsid w:val="00A00D7E"/>
    <w:rsid w:val="00A00F15"/>
    <w:rsid w:val="00A012F2"/>
    <w:rsid w:val="00A02269"/>
    <w:rsid w:val="00A029FD"/>
    <w:rsid w:val="00A0305D"/>
    <w:rsid w:val="00A035CE"/>
    <w:rsid w:val="00A03778"/>
    <w:rsid w:val="00A04103"/>
    <w:rsid w:val="00A06A45"/>
    <w:rsid w:val="00A07AB3"/>
    <w:rsid w:val="00A106D0"/>
    <w:rsid w:val="00A11272"/>
    <w:rsid w:val="00A11AB3"/>
    <w:rsid w:val="00A12135"/>
    <w:rsid w:val="00A132EC"/>
    <w:rsid w:val="00A14B2B"/>
    <w:rsid w:val="00A15E8C"/>
    <w:rsid w:val="00A16936"/>
    <w:rsid w:val="00A17AD7"/>
    <w:rsid w:val="00A221BD"/>
    <w:rsid w:val="00A2253F"/>
    <w:rsid w:val="00A261AC"/>
    <w:rsid w:val="00A26763"/>
    <w:rsid w:val="00A26F31"/>
    <w:rsid w:val="00A271DB"/>
    <w:rsid w:val="00A31425"/>
    <w:rsid w:val="00A32E36"/>
    <w:rsid w:val="00A331BF"/>
    <w:rsid w:val="00A33A68"/>
    <w:rsid w:val="00A33D9C"/>
    <w:rsid w:val="00A3455A"/>
    <w:rsid w:val="00A34901"/>
    <w:rsid w:val="00A36554"/>
    <w:rsid w:val="00A368D5"/>
    <w:rsid w:val="00A3719A"/>
    <w:rsid w:val="00A372B3"/>
    <w:rsid w:val="00A4037E"/>
    <w:rsid w:val="00A4051C"/>
    <w:rsid w:val="00A40F38"/>
    <w:rsid w:val="00A41C8F"/>
    <w:rsid w:val="00A42162"/>
    <w:rsid w:val="00A43151"/>
    <w:rsid w:val="00A433C2"/>
    <w:rsid w:val="00A43688"/>
    <w:rsid w:val="00A444E6"/>
    <w:rsid w:val="00A453C4"/>
    <w:rsid w:val="00A459BF"/>
    <w:rsid w:val="00A50269"/>
    <w:rsid w:val="00A50A9F"/>
    <w:rsid w:val="00A50D2D"/>
    <w:rsid w:val="00A51294"/>
    <w:rsid w:val="00A514A4"/>
    <w:rsid w:val="00A5150A"/>
    <w:rsid w:val="00A515CD"/>
    <w:rsid w:val="00A51E4B"/>
    <w:rsid w:val="00A52035"/>
    <w:rsid w:val="00A5315A"/>
    <w:rsid w:val="00A5315E"/>
    <w:rsid w:val="00A54142"/>
    <w:rsid w:val="00A5481A"/>
    <w:rsid w:val="00A54820"/>
    <w:rsid w:val="00A56E2F"/>
    <w:rsid w:val="00A56E75"/>
    <w:rsid w:val="00A60C06"/>
    <w:rsid w:val="00A624EB"/>
    <w:rsid w:val="00A62AC2"/>
    <w:rsid w:val="00A630D3"/>
    <w:rsid w:val="00A64B6D"/>
    <w:rsid w:val="00A64CD4"/>
    <w:rsid w:val="00A65508"/>
    <w:rsid w:val="00A65CAF"/>
    <w:rsid w:val="00A65F0F"/>
    <w:rsid w:val="00A7023A"/>
    <w:rsid w:val="00A7047B"/>
    <w:rsid w:val="00A70D4F"/>
    <w:rsid w:val="00A730D5"/>
    <w:rsid w:val="00A7444B"/>
    <w:rsid w:val="00A7500D"/>
    <w:rsid w:val="00A75F2E"/>
    <w:rsid w:val="00A768A6"/>
    <w:rsid w:val="00A80326"/>
    <w:rsid w:val="00A80B9E"/>
    <w:rsid w:val="00A80F7F"/>
    <w:rsid w:val="00A82015"/>
    <w:rsid w:val="00A824BE"/>
    <w:rsid w:val="00A82C84"/>
    <w:rsid w:val="00A83567"/>
    <w:rsid w:val="00A83BE2"/>
    <w:rsid w:val="00A83E7B"/>
    <w:rsid w:val="00A85ED2"/>
    <w:rsid w:val="00A87917"/>
    <w:rsid w:val="00A90478"/>
    <w:rsid w:val="00A90485"/>
    <w:rsid w:val="00A90A78"/>
    <w:rsid w:val="00A911F4"/>
    <w:rsid w:val="00A914B9"/>
    <w:rsid w:val="00A91945"/>
    <w:rsid w:val="00A92025"/>
    <w:rsid w:val="00A927C9"/>
    <w:rsid w:val="00A935B5"/>
    <w:rsid w:val="00A93F1F"/>
    <w:rsid w:val="00A9485C"/>
    <w:rsid w:val="00A9512D"/>
    <w:rsid w:val="00A9547D"/>
    <w:rsid w:val="00A9755B"/>
    <w:rsid w:val="00A97FF5"/>
    <w:rsid w:val="00AA005D"/>
    <w:rsid w:val="00AA1398"/>
    <w:rsid w:val="00AA15F4"/>
    <w:rsid w:val="00AA1959"/>
    <w:rsid w:val="00AA1A14"/>
    <w:rsid w:val="00AA2AEA"/>
    <w:rsid w:val="00AA2BC9"/>
    <w:rsid w:val="00AA4085"/>
    <w:rsid w:val="00AA43EC"/>
    <w:rsid w:val="00AA4628"/>
    <w:rsid w:val="00AA4E95"/>
    <w:rsid w:val="00AA5ABD"/>
    <w:rsid w:val="00AA5B2F"/>
    <w:rsid w:val="00AA6487"/>
    <w:rsid w:val="00AA7C31"/>
    <w:rsid w:val="00AA7CBD"/>
    <w:rsid w:val="00AB1012"/>
    <w:rsid w:val="00AB1207"/>
    <w:rsid w:val="00AB1420"/>
    <w:rsid w:val="00AB25EA"/>
    <w:rsid w:val="00AB2DB2"/>
    <w:rsid w:val="00AB30EB"/>
    <w:rsid w:val="00AB33E4"/>
    <w:rsid w:val="00AB33FF"/>
    <w:rsid w:val="00AB493B"/>
    <w:rsid w:val="00AB527A"/>
    <w:rsid w:val="00AB55EC"/>
    <w:rsid w:val="00AB5963"/>
    <w:rsid w:val="00AB5C0C"/>
    <w:rsid w:val="00AB5F51"/>
    <w:rsid w:val="00AB659B"/>
    <w:rsid w:val="00AB68A8"/>
    <w:rsid w:val="00AB72A3"/>
    <w:rsid w:val="00AB7C04"/>
    <w:rsid w:val="00AB7E37"/>
    <w:rsid w:val="00AC01CD"/>
    <w:rsid w:val="00AC107D"/>
    <w:rsid w:val="00AC24EF"/>
    <w:rsid w:val="00AC2675"/>
    <w:rsid w:val="00AC4A52"/>
    <w:rsid w:val="00AC5B2E"/>
    <w:rsid w:val="00AC5B65"/>
    <w:rsid w:val="00AC61BC"/>
    <w:rsid w:val="00AD0DBA"/>
    <w:rsid w:val="00AD0FA8"/>
    <w:rsid w:val="00AD146B"/>
    <w:rsid w:val="00AD1FA1"/>
    <w:rsid w:val="00AD21B1"/>
    <w:rsid w:val="00AD21D2"/>
    <w:rsid w:val="00AD22CD"/>
    <w:rsid w:val="00AD22FA"/>
    <w:rsid w:val="00AD23DD"/>
    <w:rsid w:val="00AD2B2F"/>
    <w:rsid w:val="00AD4CBB"/>
    <w:rsid w:val="00AD5A16"/>
    <w:rsid w:val="00AD64A5"/>
    <w:rsid w:val="00AD67EF"/>
    <w:rsid w:val="00AD6819"/>
    <w:rsid w:val="00AD7110"/>
    <w:rsid w:val="00AE0369"/>
    <w:rsid w:val="00AE1464"/>
    <w:rsid w:val="00AE1924"/>
    <w:rsid w:val="00AE2F63"/>
    <w:rsid w:val="00AE38B4"/>
    <w:rsid w:val="00AE5ADE"/>
    <w:rsid w:val="00AE7047"/>
    <w:rsid w:val="00AE7091"/>
    <w:rsid w:val="00AE7D87"/>
    <w:rsid w:val="00AF05CE"/>
    <w:rsid w:val="00AF1177"/>
    <w:rsid w:val="00AF1496"/>
    <w:rsid w:val="00AF2524"/>
    <w:rsid w:val="00AF360B"/>
    <w:rsid w:val="00AF398A"/>
    <w:rsid w:val="00AF41E8"/>
    <w:rsid w:val="00AF447C"/>
    <w:rsid w:val="00AF5127"/>
    <w:rsid w:val="00AF51F7"/>
    <w:rsid w:val="00AF7C76"/>
    <w:rsid w:val="00AF7E05"/>
    <w:rsid w:val="00B00F9E"/>
    <w:rsid w:val="00B01A25"/>
    <w:rsid w:val="00B034E7"/>
    <w:rsid w:val="00B036DD"/>
    <w:rsid w:val="00B0494F"/>
    <w:rsid w:val="00B061D9"/>
    <w:rsid w:val="00B06895"/>
    <w:rsid w:val="00B0765A"/>
    <w:rsid w:val="00B07CBB"/>
    <w:rsid w:val="00B10D15"/>
    <w:rsid w:val="00B12338"/>
    <w:rsid w:val="00B12681"/>
    <w:rsid w:val="00B12EE6"/>
    <w:rsid w:val="00B136CA"/>
    <w:rsid w:val="00B13DDD"/>
    <w:rsid w:val="00B145E9"/>
    <w:rsid w:val="00B14A17"/>
    <w:rsid w:val="00B1584E"/>
    <w:rsid w:val="00B16B4D"/>
    <w:rsid w:val="00B17EE6"/>
    <w:rsid w:val="00B21CE4"/>
    <w:rsid w:val="00B2247D"/>
    <w:rsid w:val="00B22F83"/>
    <w:rsid w:val="00B23198"/>
    <w:rsid w:val="00B23538"/>
    <w:rsid w:val="00B24D77"/>
    <w:rsid w:val="00B251FA"/>
    <w:rsid w:val="00B259F3"/>
    <w:rsid w:val="00B26834"/>
    <w:rsid w:val="00B26995"/>
    <w:rsid w:val="00B26EA9"/>
    <w:rsid w:val="00B2741E"/>
    <w:rsid w:val="00B306CB"/>
    <w:rsid w:val="00B30929"/>
    <w:rsid w:val="00B30ACF"/>
    <w:rsid w:val="00B31B36"/>
    <w:rsid w:val="00B320D9"/>
    <w:rsid w:val="00B32B53"/>
    <w:rsid w:val="00B33700"/>
    <w:rsid w:val="00B33E58"/>
    <w:rsid w:val="00B357B9"/>
    <w:rsid w:val="00B35835"/>
    <w:rsid w:val="00B361FC"/>
    <w:rsid w:val="00B36337"/>
    <w:rsid w:val="00B36362"/>
    <w:rsid w:val="00B37678"/>
    <w:rsid w:val="00B37D5B"/>
    <w:rsid w:val="00B40D7D"/>
    <w:rsid w:val="00B41EA2"/>
    <w:rsid w:val="00B42082"/>
    <w:rsid w:val="00B42118"/>
    <w:rsid w:val="00B42971"/>
    <w:rsid w:val="00B42D4D"/>
    <w:rsid w:val="00B440BF"/>
    <w:rsid w:val="00B44A39"/>
    <w:rsid w:val="00B44D1C"/>
    <w:rsid w:val="00B4557D"/>
    <w:rsid w:val="00B45B32"/>
    <w:rsid w:val="00B45D8F"/>
    <w:rsid w:val="00B46094"/>
    <w:rsid w:val="00B461F5"/>
    <w:rsid w:val="00B463DF"/>
    <w:rsid w:val="00B47203"/>
    <w:rsid w:val="00B47A9A"/>
    <w:rsid w:val="00B51758"/>
    <w:rsid w:val="00B51BBD"/>
    <w:rsid w:val="00B52120"/>
    <w:rsid w:val="00B52C49"/>
    <w:rsid w:val="00B53207"/>
    <w:rsid w:val="00B53702"/>
    <w:rsid w:val="00B5469C"/>
    <w:rsid w:val="00B54FA4"/>
    <w:rsid w:val="00B5540B"/>
    <w:rsid w:val="00B55B7C"/>
    <w:rsid w:val="00B56BEB"/>
    <w:rsid w:val="00B57081"/>
    <w:rsid w:val="00B57145"/>
    <w:rsid w:val="00B57525"/>
    <w:rsid w:val="00B575E0"/>
    <w:rsid w:val="00B577B0"/>
    <w:rsid w:val="00B57842"/>
    <w:rsid w:val="00B61B62"/>
    <w:rsid w:val="00B61DDB"/>
    <w:rsid w:val="00B63674"/>
    <w:rsid w:val="00B65CC9"/>
    <w:rsid w:val="00B65DA9"/>
    <w:rsid w:val="00B6615C"/>
    <w:rsid w:val="00B6665A"/>
    <w:rsid w:val="00B671D4"/>
    <w:rsid w:val="00B70882"/>
    <w:rsid w:val="00B7109B"/>
    <w:rsid w:val="00B71BE8"/>
    <w:rsid w:val="00B7254D"/>
    <w:rsid w:val="00B7321A"/>
    <w:rsid w:val="00B736AE"/>
    <w:rsid w:val="00B73BD0"/>
    <w:rsid w:val="00B741CE"/>
    <w:rsid w:val="00B746CF"/>
    <w:rsid w:val="00B746DD"/>
    <w:rsid w:val="00B74801"/>
    <w:rsid w:val="00B7523A"/>
    <w:rsid w:val="00B75244"/>
    <w:rsid w:val="00B7529D"/>
    <w:rsid w:val="00B756D7"/>
    <w:rsid w:val="00B76A52"/>
    <w:rsid w:val="00B775AB"/>
    <w:rsid w:val="00B77B93"/>
    <w:rsid w:val="00B77E9A"/>
    <w:rsid w:val="00B80E3A"/>
    <w:rsid w:val="00B80FE3"/>
    <w:rsid w:val="00B81640"/>
    <w:rsid w:val="00B827AE"/>
    <w:rsid w:val="00B82AAB"/>
    <w:rsid w:val="00B82B0C"/>
    <w:rsid w:val="00B82E33"/>
    <w:rsid w:val="00B831F6"/>
    <w:rsid w:val="00B844D6"/>
    <w:rsid w:val="00B846E0"/>
    <w:rsid w:val="00B84FD9"/>
    <w:rsid w:val="00B8532B"/>
    <w:rsid w:val="00B86151"/>
    <w:rsid w:val="00B86B3A"/>
    <w:rsid w:val="00B900C2"/>
    <w:rsid w:val="00B9117D"/>
    <w:rsid w:val="00B9131B"/>
    <w:rsid w:val="00B91ED3"/>
    <w:rsid w:val="00B928FE"/>
    <w:rsid w:val="00B92A4D"/>
    <w:rsid w:val="00B92DE0"/>
    <w:rsid w:val="00B93388"/>
    <w:rsid w:val="00B9390F"/>
    <w:rsid w:val="00B94366"/>
    <w:rsid w:val="00B946A7"/>
    <w:rsid w:val="00B94C44"/>
    <w:rsid w:val="00B9619A"/>
    <w:rsid w:val="00B9674F"/>
    <w:rsid w:val="00B97591"/>
    <w:rsid w:val="00BA0FED"/>
    <w:rsid w:val="00BA133F"/>
    <w:rsid w:val="00BA199D"/>
    <w:rsid w:val="00BA23A6"/>
    <w:rsid w:val="00BA2502"/>
    <w:rsid w:val="00BA2DB2"/>
    <w:rsid w:val="00BA457D"/>
    <w:rsid w:val="00BA5DC7"/>
    <w:rsid w:val="00BA6D54"/>
    <w:rsid w:val="00BA76CF"/>
    <w:rsid w:val="00BA7998"/>
    <w:rsid w:val="00BB00EE"/>
    <w:rsid w:val="00BB15D0"/>
    <w:rsid w:val="00BB1AF5"/>
    <w:rsid w:val="00BB1CEE"/>
    <w:rsid w:val="00BB2777"/>
    <w:rsid w:val="00BB2900"/>
    <w:rsid w:val="00BB2B6A"/>
    <w:rsid w:val="00BB4509"/>
    <w:rsid w:val="00BB48F0"/>
    <w:rsid w:val="00BB4959"/>
    <w:rsid w:val="00BB5702"/>
    <w:rsid w:val="00BB6840"/>
    <w:rsid w:val="00BB6AE6"/>
    <w:rsid w:val="00BB75BD"/>
    <w:rsid w:val="00BB78BF"/>
    <w:rsid w:val="00BB7B45"/>
    <w:rsid w:val="00BC0115"/>
    <w:rsid w:val="00BC16B7"/>
    <w:rsid w:val="00BC21F1"/>
    <w:rsid w:val="00BC23DE"/>
    <w:rsid w:val="00BC2C7F"/>
    <w:rsid w:val="00BC3129"/>
    <w:rsid w:val="00BC4256"/>
    <w:rsid w:val="00BC46F5"/>
    <w:rsid w:val="00BC49BF"/>
    <w:rsid w:val="00BC4C37"/>
    <w:rsid w:val="00BC5089"/>
    <w:rsid w:val="00BC6073"/>
    <w:rsid w:val="00BC6464"/>
    <w:rsid w:val="00BC6D4F"/>
    <w:rsid w:val="00BC6DD6"/>
    <w:rsid w:val="00BC79F6"/>
    <w:rsid w:val="00BD177B"/>
    <w:rsid w:val="00BD2A36"/>
    <w:rsid w:val="00BD34A9"/>
    <w:rsid w:val="00BD3807"/>
    <w:rsid w:val="00BD3C19"/>
    <w:rsid w:val="00BD476D"/>
    <w:rsid w:val="00BD4BCF"/>
    <w:rsid w:val="00BD4E3B"/>
    <w:rsid w:val="00BD504C"/>
    <w:rsid w:val="00BD5B6A"/>
    <w:rsid w:val="00BD5DC5"/>
    <w:rsid w:val="00BD6C01"/>
    <w:rsid w:val="00BD6C8A"/>
    <w:rsid w:val="00BD75F7"/>
    <w:rsid w:val="00BE18DE"/>
    <w:rsid w:val="00BE1917"/>
    <w:rsid w:val="00BE3245"/>
    <w:rsid w:val="00BE3712"/>
    <w:rsid w:val="00BE3C40"/>
    <w:rsid w:val="00BE3EA1"/>
    <w:rsid w:val="00BE4075"/>
    <w:rsid w:val="00BE4A85"/>
    <w:rsid w:val="00BE55A9"/>
    <w:rsid w:val="00BE630F"/>
    <w:rsid w:val="00BE6CA8"/>
    <w:rsid w:val="00BE702F"/>
    <w:rsid w:val="00BE7C38"/>
    <w:rsid w:val="00BE7D59"/>
    <w:rsid w:val="00BF014E"/>
    <w:rsid w:val="00BF16DE"/>
    <w:rsid w:val="00BF28D1"/>
    <w:rsid w:val="00BF2C53"/>
    <w:rsid w:val="00BF4D53"/>
    <w:rsid w:val="00BF55DB"/>
    <w:rsid w:val="00BF588B"/>
    <w:rsid w:val="00BF69DC"/>
    <w:rsid w:val="00BF7957"/>
    <w:rsid w:val="00BF7D8E"/>
    <w:rsid w:val="00BF7DC9"/>
    <w:rsid w:val="00C00308"/>
    <w:rsid w:val="00C00728"/>
    <w:rsid w:val="00C0141A"/>
    <w:rsid w:val="00C024AA"/>
    <w:rsid w:val="00C03204"/>
    <w:rsid w:val="00C0381E"/>
    <w:rsid w:val="00C044C8"/>
    <w:rsid w:val="00C05699"/>
    <w:rsid w:val="00C05C31"/>
    <w:rsid w:val="00C06AD4"/>
    <w:rsid w:val="00C06C1E"/>
    <w:rsid w:val="00C07123"/>
    <w:rsid w:val="00C07A92"/>
    <w:rsid w:val="00C07AAE"/>
    <w:rsid w:val="00C1163D"/>
    <w:rsid w:val="00C1219E"/>
    <w:rsid w:val="00C12728"/>
    <w:rsid w:val="00C12F46"/>
    <w:rsid w:val="00C13927"/>
    <w:rsid w:val="00C13CE4"/>
    <w:rsid w:val="00C14445"/>
    <w:rsid w:val="00C15079"/>
    <w:rsid w:val="00C161CA"/>
    <w:rsid w:val="00C16376"/>
    <w:rsid w:val="00C163C2"/>
    <w:rsid w:val="00C174A5"/>
    <w:rsid w:val="00C17859"/>
    <w:rsid w:val="00C17B7B"/>
    <w:rsid w:val="00C202D5"/>
    <w:rsid w:val="00C2078E"/>
    <w:rsid w:val="00C207BE"/>
    <w:rsid w:val="00C2225A"/>
    <w:rsid w:val="00C228C5"/>
    <w:rsid w:val="00C22FBD"/>
    <w:rsid w:val="00C23B5A"/>
    <w:rsid w:val="00C24E6B"/>
    <w:rsid w:val="00C25274"/>
    <w:rsid w:val="00C26DFC"/>
    <w:rsid w:val="00C3092F"/>
    <w:rsid w:val="00C31183"/>
    <w:rsid w:val="00C31466"/>
    <w:rsid w:val="00C3191E"/>
    <w:rsid w:val="00C32BCF"/>
    <w:rsid w:val="00C32E4B"/>
    <w:rsid w:val="00C32E6F"/>
    <w:rsid w:val="00C33D5F"/>
    <w:rsid w:val="00C33EDF"/>
    <w:rsid w:val="00C34A77"/>
    <w:rsid w:val="00C34B0E"/>
    <w:rsid w:val="00C34C33"/>
    <w:rsid w:val="00C35DD3"/>
    <w:rsid w:val="00C362CF"/>
    <w:rsid w:val="00C37A0B"/>
    <w:rsid w:val="00C404B3"/>
    <w:rsid w:val="00C40EF4"/>
    <w:rsid w:val="00C411E5"/>
    <w:rsid w:val="00C41849"/>
    <w:rsid w:val="00C42ED2"/>
    <w:rsid w:val="00C43821"/>
    <w:rsid w:val="00C4391C"/>
    <w:rsid w:val="00C441C0"/>
    <w:rsid w:val="00C44F3F"/>
    <w:rsid w:val="00C44FD7"/>
    <w:rsid w:val="00C4641B"/>
    <w:rsid w:val="00C467C8"/>
    <w:rsid w:val="00C469BF"/>
    <w:rsid w:val="00C46ED0"/>
    <w:rsid w:val="00C4756A"/>
    <w:rsid w:val="00C52147"/>
    <w:rsid w:val="00C5292B"/>
    <w:rsid w:val="00C52FE9"/>
    <w:rsid w:val="00C53D3A"/>
    <w:rsid w:val="00C54314"/>
    <w:rsid w:val="00C54E60"/>
    <w:rsid w:val="00C54EF8"/>
    <w:rsid w:val="00C55324"/>
    <w:rsid w:val="00C55EE5"/>
    <w:rsid w:val="00C57455"/>
    <w:rsid w:val="00C57FA8"/>
    <w:rsid w:val="00C60581"/>
    <w:rsid w:val="00C60AAD"/>
    <w:rsid w:val="00C6133B"/>
    <w:rsid w:val="00C615B0"/>
    <w:rsid w:val="00C62B34"/>
    <w:rsid w:val="00C62FF1"/>
    <w:rsid w:val="00C64386"/>
    <w:rsid w:val="00C649BB"/>
    <w:rsid w:val="00C6579C"/>
    <w:rsid w:val="00C65A0E"/>
    <w:rsid w:val="00C67439"/>
    <w:rsid w:val="00C67F4A"/>
    <w:rsid w:val="00C70C23"/>
    <w:rsid w:val="00C70C54"/>
    <w:rsid w:val="00C71388"/>
    <w:rsid w:val="00C720C8"/>
    <w:rsid w:val="00C73A24"/>
    <w:rsid w:val="00C73BF9"/>
    <w:rsid w:val="00C74AE5"/>
    <w:rsid w:val="00C74EAB"/>
    <w:rsid w:val="00C75044"/>
    <w:rsid w:val="00C760F5"/>
    <w:rsid w:val="00C762F3"/>
    <w:rsid w:val="00C767F8"/>
    <w:rsid w:val="00C76C54"/>
    <w:rsid w:val="00C77CB6"/>
    <w:rsid w:val="00C81725"/>
    <w:rsid w:val="00C819CB"/>
    <w:rsid w:val="00C82F02"/>
    <w:rsid w:val="00C841D7"/>
    <w:rsid w:val="00C852D4"/>
    <w:rsid w:val="00C8672C"/>
    <w:rsid w:val="00C872C9"/>
    <w:rsid w:val="00C87E4D"/>
    <w:rsid w:val="00C90C1F"/>
    <w:rsid w:val="00C91416"/>
    <w:rsid w:val="00C919EB"/>
    <w:rsid w:val="00C91B73"/>
    <w:rsid w:val="00C92C48"/>
    <w:rsid w:val="00C93739"/>
    <w:rsid w:val="00C93952"/>
    <w:rsid w:val="00C93DBD"/>
    <w:rsid w:val="00C94E60"/>
    <w:rsid w:val="00C9518F"/>
    <w:rsid w:val="00C957B8"/>
    <w:rsid w:val="00C963D8"/>
    <w:rsid w:val="00C96672"/>
    <w:rsid w:val="00C9667C"/>
    <w:rsid w:val="00C975A2"/>
    <w:rsid w:val="00C97A52"/>
    <w:rsid w:val="00CA0879"/>
    <w:rsid w:val="00CA0893"/>
    <w:rsid w:val="00CA0D8A"/>
    <w:rsid w:val="00CA1B8A"/>
    <w:rsid w:val="00CA1F18"/>
    <w:rsid w:val="00CA2992"/>
    <w:rsid w:val="00CA2F9C"/>
    <w:rsid w:val="00CA4A01"/>
    <w:rsid w:val="00CA4B05"/>
    <w:rsid w:val="00CA53D3"/>
    <w:rsid w:val="00CA6074"/>
    <w:rsid w:val="00CA60D0"/>
    <w:rsid w:val="00CA6365"/>
    <w:rsid w:val="00CA6986"/>
    <w:rsid w:val="00CA6E0A"/>
    <w:rsid w:val="00CA79F7"/>
    <w:rsid w:val="00CA7D22"/>
    <w:rsid w:val="00CB01A7"/>
    <w:rsid w:val="00CB081D"/>
    <w:rsid w:val="00CB1329"/>
    <w:rsid w:val="00CB1E51"/>
    <w:rsid w:val="00CB3611"/>
    <w:rsid w:val="00CB502E"/>
    <w:rsid w:val="00CB5496"/>
    <w:rsid w:val="00CB570A"/>
    <w:rsid w:val="00CB5AE9"/>
    <w:rsid w:val="00CB647B"/>
    <w:rsid w:val="00CB6AB5"/>
    <w:rsid w:val="00CB6C0E"/>
    <w:rsid w:val="00CB7CF7"/>
    <w:rsid w:val="00CC0BFA"/>
    <w:rsid w:val="00CC1054"/>
    <w:rsid w:val="00CC22F0"/>
    <w:rsid w:val="00CC2873"/>
    <w:rsid w:val="00CC2B02"/>
    <w:rsid w:val="00CC351D"/>
    <w:rsid w:val="00CC504E"/>
    <w:rsid w:val="00CC527C"/>
    <w:rsid w:val="00CC5E3F"/>
    <w:rsid w:val="00CC619F"/>
    <w:rsid w:val="00CC7839"/>
    <w:rsid w:val="00CD0399"/>
    <w:rsid w:val="00CD0BC4"/>
    <w:rsid w:val="00CD0EEA"/>
    <w:rsid w:val="00CD133A"/>
    <w:rsid w:val="00CD25CA"/>
    <w:rsid w:val="00CD287D"/>
    <w:rsid w:val="00CD4FEC"/>
    <w:rsid w:val="00CD5057"/>
    <w:rsid w:val="00CD68C9"/>
    <w:rsid w:val="00CD75DA"/>
    <w:rsid w:val="00CD762E"/>
    <w:rsid w:val="00CE141D"/>
    <w:rsid w:val="00CE19B1"/>
    <w:rsid w:val="00CE1A1A"/>
    <w:rsid w:val="00CE1BB2"/>
    <w:rsid w:val="00CE1C70"/>
    <w:rsid w:val="00CE21A3"/>
    <w:rsid w:val="00CE2B87"/>
    <w:rsid w:val="00CE3F1A"/>
    <w:rsid w:val="00CE581B"/>
    <w:rsid w:val="00CE5B1B"/>
    <w:rsid w:val="00CE5C2F"/>
    <w:rsid w:val="00CE619A"/>
    <w:rsid w:val="00CE61C9"/>
    <w:rsid w:val="00CE6C29"/>
    <w:rsid w:val="00CF0D5E"/>
    <w:rsid w:val="00CF17B5"/>
    <w:rsid w:val="00CF1C0C"/>
    <w:rsid w:val="00CF3E4B"/>
    <w:rsid w:val="00CF4AB7"/>
    <w:rsid w:val="00CF5516"/>
    <w:rsid w:val="00CF71D8"/>
    <w:rsid w:val="00CF72D5"/>
    <w:rsid w:val="00CF7372"/>
    <w:rsid w:val="00D0010A"/>
    <w:rsid w:val="00D00258"/>
    <w:rsid w:val="00D02FFF"/>
    <w:rsid w:val="00D04803"/>
    <w:rsid w:val="00D06D2A"/>
    <w:rsid w:val="00D071D2"/>
    <w:rsid w:val="00D076E9"/>
    <w:rsid w:val="00D07919"/>
    <w:rsid w:val="00D1031B"/>
    <w:rsid w:val="00D10A09"/>
    <w:rsid w:val="00D11AAD"/>
    <w:rsid w:val="00D13C6E"/>
    <w:rsid w:val="00D13C6F"/>
    <w:rsid w:val="00D141A1"/>
    <w:rsid w:val="00D146D1"/>
    <w:rsid w:val="00D14D82"/>
    <w:rsid w:val="00D16800"/>
    <w:rsid w:val="00D16B4B"/>
    <w:rsid w:val="00D16ECF"/>
    <w:rsid w:val="00D17693"/>
    <w:rsid w:val="00D17CF9"/>
    <w:rsid w:val="00D20400"/>
    <w:rsid w:val="00D206C7"/>
    <w:rsid w:val="00D2097D"/>
    <w:rsid w:val="00D221DE"/>
    <w:rsid w:val="00D22A5F"/>
    <w:rsid w:val="00D2370B"/>
    <w:rsid w:val="00D237BB"/>
    <w:rsid w:val="00D24494"/>
    <w:rsid w:val="00D24549"/>
    <w:rsid w:val="00D249E1"/>
    <w:rsid w:val="00D24DFA"/>
    <w:rsid w:val="00D25732"/>
    <w:rsid w:val="00D271D6"/>
    <w:rsid w:val="00D27DB1"/>
    <w:rsid w:val="00D27EDE"/>
    <w:rsid w:val="00D318B6"/>
    <w:rsid w:val="00D3196B"/>
    <w:rsid w:val="00D31AB3"/>
    <w:rsid w:val="00D31DC6"/>
    <w:rsid w:val="00D3330B"/>
    <w:rsid w:val="00D33A03"/>
    <w:rsid w:val="00D33C2D"/>
    <w:rsid w:val="00D340DC"/>
    <w:rsid w:val="00D34416"/>
    <w:rsid w:val="00D3455B"/>
    <w:rsid w:val="00D3610E"/>
    <w:rsid w:val="00D36B63"/>
    <w:rsid w:val="00D36E66"/>
    <w:rsid w:val="00D371EA"/>
    <w:rsid w:val="00D37760"/>
    <w:rsid w:val="00D3782F"/>
    <w:rsid w:val="00D37B56"/>
    <w:rsid w:val="00D401BF"/>
    <w:rsid w:val="00D422E3"/>
    <w:rsid w:val="00D44257"/>
    <w:rsid w:val="00D44A94"/>
    <w:rsid w:val="00D4546C"/>
    <w:rsid w:val="00D45654"/>
    <w:rsid w:val="00D456EB"/>
    <w:rsid w:val="00D471EA"/>
    <w:rsid w:val="00D47304"/>
    <w:rsid w:val="00D479DB"/>
    <w:rsid w:val="00D47A42"/>
    <w:rsid w:val="00D47BB3"/>
    <w:rsid w:val="00D503F7"/>
    <w:rsid w:val="00D50B83"/>
    <w:rsid w:val="00D50E78"/>
    <w:rsid w:val="00D51701"/>
    <w:rsid w:val="00D51A3C"/>
    <w:rsid w:val="00D529D8"/>
    <w:rsid w:val="00D53348"/>
    <w:rsid w:val="00D5365C"/>
    <w:rsid w:val="00D53AEE"/>
    <w:rsid w:val="00D53D39"/>
    <w:rsid w:val="00D556B8"/>
    <w:rsid w:val="00D57613"/>
    <w:rsid w:val="00D57938"/>
    <w:rsid w:val="00D6011C"/>
    <w:rsid w:val="00D60646"/>
    <w:rsid w:val="00D60E19"/>
    <w:rsid w:val="00D6118C"/>
    <w:rsid w:val="00D6206D"/>
    <w:rsid w:val="00D6391F"/>
    <w:rsid w:val="00D63A47"/>
    <w:rsid w:val="00D63D7B"/>
    <w:rsid w:val="00D645F4"/>
    <w:rsid w:val="00D64A8F"/>
    <w:rsid w:val="00D65B84"/>
    <w:rsid w:val="00D6769D"/>
    <w:rsid w:val="00D6770C"/>
    <w:rsid w:val="00D67716"/>
    <w:rsid w:val="00D67D6A"/>
    <w:rsid w:val="00D706EE"/>
    <w:rsid w:val="00D7114D"/>
    <w:rsid w:val="00D725F4"/>
    <w:rsid w:val="00D735D1"/>
    <w:rsid w:val="00D7416C"/>
    <w:rsid w:val="00D744C9"/>
    <w:rsid w:val="00D74829"/>
    <w:rsid w:val="00D75310"/>
    <w:rsid w:val="00D754A1"/>
    <w:rsid w:val="00D76AB9"/>
    <w:rsid w:val="00D76AC0"/>
    <w:rsid w:val="00D809CD"/>
    <w:rsid w:val="00D817DF"/>
    <w:rsid w:val="00D82857"/>
    <w:rsid w:val="00D83060"/>
    <w:rsid w:val="00D8312D"/>
    <w:rsid w:val="00D83ED5"/>
    <w:rsid w:val="00D84764"/>
    <w:rsid w:val="00D8546E"/>
    <w:rsid w:val="00D85F55"/>
    <w:rsid w:val="00D917B3"/>
    <w:rsid w:val="00D918F9"/>
    <w:rsid w:val="00D9211D"/>
    <w:rsid w:val="00D93F29"/>
    <w:rsid w:val="00D94365"/>
    <w:rsid w:val="00D94DE0"/>
    <w:rsid w:val="00D9531A"/>
    <w:rsid w:val="00D95F24"/>
    <w:rsid w:val="00D961F9"/>
    <w:rsid w:val="00D96233"/>
    <w:rsid w:val="00D97381"/>
    <w:rsid w:val="00DA0083"/>
    <w:rsid w:val="00DA04C5"/>
    <w:rsid w:val="00DA084B"/>
    <w:rsid w:val="00DA095E"/>
    <w:rsid w:val="00DA44EA"/>
    <w:rsid w:val="00DA46F2"/>
    <w:rsid w:val="00DA4A4A"/>
    <w:rsid w:val="00DA4E6B"/>
    <w:rsid w:val="00DA7EEC"/>
    <w:rsid w:val="00DB0CF3"/>
    <w:rsid w:val="00DB0DCC"/>
    <w:rsid w:val="00DB1417"/>
    <w:rsid w:val="00DB26AC"/>
    <w:rsid w:val="00DB38EE"/>
    <w:rsid w:val="00DB46A7"/>
    <w:rsid w:val="00DB5110"/>
    <w:rsid w:val="00DB52B8"/>
    <w:rsid w:val="00DB5DB1"/>
    <w:rsid w:val="00DB7950"/>
    <w:rsid w:val="00DB7AB9"/>
    <w:rsid w:val="00DB7C0D"/>
    <w:rsid w:val="00DC0DBB"/>
    <w:rsid w:val="00DC1C93"/>
    <w:rsid w:val="00DC2847"/>
    <w:rsid w:val="00DC2B2F"/>
    <w:rsid w:val="00DC5515"/>
    <w:rsid w:val="00DC5BD4"/>
    <w:rsid w:val="00DC6738"/>
    <w:rsid w:val="00DC76A7"/>
    <w:rsid w:val="00DD0161"/>
    <w:rsid w:val="00DD0B11"/>
    <w:rsid w:val="00DD0BA0"/>
    <w:rsid w:val="00DD144B"/>
    <w:rsid w:val="00DD18C0"/>
    <w:rsid w:val="00DD37D2"/>
    <w:rsid w:val="00DD42E9"/>
    <w:rsid w:val="00DD595E"/>
    <w:rsid w:val="00DD5B93"/>
    <w:rsid w:val="00DD6A51"/>
    <w:rsid w:val="00DD6EE3"/>
    <w:rsid w:val="00DD7E70"/>
    <w:rsid w:val="00DD7F66"/>
    <w:rsid w:val="00DE0280"/>
    <w:rsid w:val="00DE1555"/>
    <w:rsid w:val="00DE1788"/>
    <w:rsid w:val="00DE20E3"/>
    <w:rsid w:val="00DE284D"/>
    <w:rsid w:val="00DE2EFE"/>
    <w:rsid w:val="00DE38B3"/>
    <w:rsid w:val="00DE4EF7"/>
    <w:rsid w:val="00DE535C"/>
    <w:rsid w:val="00DE543D"/>
    <w:rsid w:val="00DE5C22"/>
    <w:rsid w:val="00DE5E56"/>
    <w:rsid w:val="00DE6204"/>
    <w:rsid w:val="00DE6B7B"/>
    <w:rsid w:val="00DE7F4F"/>
    <w:rsid w:val="00DF1E37"/>
    <w:rsid w:val="00DF1F97"/>
    <w:rsid w:val="00DF3657"/>
    <w:rsid w:val="00DF36EC"/>
    <w:rsid w:val="00DF5510"/>
    <w:rsid w:val="00DF60EE"/>
    <w:rsid w:val="00DF63C4"/>
    <w:rsid w:val="00DF65A9"/>
    <w:rsid w:val="00E02D62"/>
    <w:rsid w:val="00E02E64"/>
    <w:rsid w:val="00E03138"/>
    <w:rsid w:val="00E0361B"/>
    <w:rsid w:val="00E03ABD"/>
    <w:rsid w:val="00E047E3"/>
    <w:rsid w:val="00E04C64"/>
    <w:rsid w:val="00E05034"/>
    <w:rsid w:val="00E05540"/>
    <w:rsid w:val="00E05F01"/>
    <w:rsid w:val="00E06B63"/>
    <w:rsid w:val="00E0768C"/>
    <w:rsid w:val="00E07C10"/>
    <w:rsid w:val="00E114F0"/>
    <w:rsid w:val="00E115D3"/>
    <w:rsid w:val="00E11C12"/>
    <w:rsid w:val="00E120EC"/>
    <w:rsid w:val="00E124D3"/>
    <w:rsid w:val="00E12F1F"/>
    <w:rsid w:val="00E13AA9"/>
    <w:rsid w:val="00E14770"/>
    <w:rsid w:val="00E14BA9"/>
    <w:rsid w:val="00E15902"/>
    <w:rsid w:val="00E17451"/>
    <w:rsid w:val="00E1759E"/>
    <w:rsid w:val="00E1774D"/>
    <w:rsid w:val="00E20062"/>
    <w:rsid w:val="00E205C7"/>
    <w:rsid w:val="00E20766"/>
    <w:rsid w:val="00E20C68"/>
    <w:rsid w:val="00E220EE"/>
    <w:rsid w:val="00E2307E"/>
    <w:rsid w:val="00E231DD"/>
    <w:rsid w:val="00E2398A"/>
    <w:rsid w:val="00E23F40"/>
    <w:rsid w:val="00E2552B"/>
    <w:rsid w:val="00E2565E"/>
    <w:rsid w:val="00E2595E"/>
    <w:rsid w:val="00E25CBE"/>
    <w:rsid w:val="00E25E00"/>
    <w:rsid w:val="00E26169"/>
    <w:rsid w:val="00E26C76"/>
    <w:rsid w:val="00E30D16"/>
    <w:rsid w:val="00E31105"/>
    <w:rsid w:val="00E31E31"/>
    <w:rsid w:val="00E3218B"/>
    <w:rsid w:val="00E32497"/>
    <w:rsid w:val="00E33743"/>
    <w:rsid w:val="00E337AE"/>
    <w:rsid w:val="00E3593C"/>
    <w:rsid w:val="00E35F6C"/>
    <w:rsid w:val="00E36388"/>
    <w:rsid w:val="00E37191"/>
    <w:rsid w:val="00E371A9"/>
    <w:rsid w:val="00E373AB"/>
    <w:rsid w:val="00E375A2"/>
    <w:rsid w:val="00E37C2D"/>
    <w:rsid w:val="00E40F9A"/>
    <w:rsid w:val="00E41798"/>
    <w:rsid w:val="00E41AA4"/>
    <w:rsid w:val="00E41B72"/>
    <w:rsid w:val="00E42061"/>
    <w:rsid w:val="00E421B8"/>
    <w:rsid w:val="00E43208"/>
    <w:rsid w:val="00E440C0"/>
    <w:rsid w:val="00E44205"/>
    <w:rsid w:val="00E4529A"/>
    <w:rsid w:val="00E46A38"/>
    <w:rsid w:val="00E46B2E"/>
    <w:rsid w:val="00E477FB"/>
    <w:rsid w:val="00E50339"/>
    <w:rsid w:val="00E507C4"/>
    <w:rsid w:val="00E51852"/>
    <w:rsid w:val="00E51BAE"/>
    <w:rsid w:val="00E51D8D"/>
    <w:rsid w:val="00E52C6F"/>
    <w:rsid w:val="00E5377A"/>
    <w:rsid w:val="00E54119"/>
    <w:rsid w:val="00E542DB"/>
    <w:rsid w:val="00E54644"/>
    <w:rsid w:val="00E55EE1"/>
    <w:rsid w:val="00E56248"/>
    <w:rsid w:val="00E56803"/>
    <w:rsid w:val="00E56C12"/>
    <w:rsid w:val="00E57FEE"/>
    <w:rsid w:val="00E60237"/>
    <w:rsid w:val="00E60AC1"/>
    <w:rsid w:val="00E60C30"/>
    <w:rsid w:val="00E61C50"/>
    <w:rsid w:val="00E622F1"/>
    <w:rsid w:val="00E63FC3"/>
    <w:rsid w:val="00E64177"/>
    <w:rsid w:val="00E64DE2"/>
    <w:rsid w:val="00E65438"/>
    <w:rsid w:val="00E65FD5"/>
    <w:rsid w:val="00E661B9"/>
    <w:rsid w:val="00E6721B"/>
    <w:rsid w:val="00E67945"/>
    <w:rsid w:val="00E70D4D"/>
    <w:rsid w:val="00E71AAB"/>
    <w:rsid w:val="00E71E5D"/>
    <w:rsid w:val="00E7243C"/>
    <w:rsid w:val="00E724A0"/>
    <w:rsid w:val="00E7301D"/>
    <w:rsid w:val="00E7567C"/>
    <w:rsid w:val="00E75F7A"/>
    <w:rsid w:val="00E76D79"/>
    <w:rsid w:val="00E8103B"/>
    <w:rsid w:val="00E817D8"/>
    <w:rsid w:val="00E82897"/>
    <w:rsid w:val="00E82F85"/>
    <w:rsid w:val="00E83ACC"/>
    <w:rsid w:val="00E84434"/>
    <w:rsid w:val="00E84744"/>
    <w:rsid w:val="00E905B3"/>
    <w:rsid w:val="00E90C3D"/>
    <w:rsid w:val="00E9169E"/>
    <w:rsid w:val="00E92135"/>
    <w:rsid w:val="00E92410"/>
    <w:rsid w:val="00E928B5"/>
    <w:rsid w:val="00E9546C"/>
    <w:rsid w:val="00E95B5D"/>
    <w:rsid w:val="00E95F08"/>
    <w:rsid w:val="00E95F47"/>
    <w:rsid w:val="00E965B2"/>
    <w:rsid w:val="00E96B99"/>
    <w:rsid w:val="00E96CCE"/>
    <w:rsid w:val="00EA1B77"/>
    <w:rsid w:val="00EA2773"/>
    <w:rsid w:val="00EA34D4"/>
    <w:rsid w:val="00EA3837"/>
    <w:rsid w:val="00EA3AD5"/>
    <w:rsid w:val="00EA5B7F"/>
    <w:rsid w:val="00EA5F8C"/>
    <w:rsid w:val="00EA66D8"/>
    <w:rsid w:val="00EA7B07"/>
    <w:rsid w:val="00EB0797"/>
    <w:rsid w:val="00EB09B2"/>
    <w:rsid w:val="00EB0FB0"/>
    <w:rsid w:val="00EB1958"/>
    <w:rsid w:val="00EB294C"/>
    <w:rsid w:val="00EB2D71"/>
    <w:rsid w:val="00EB2F75"/>
    <w:rsid w:val="00EB32D0"/>
    <w:rsid w:val="00EB462E"/>
    <w:rsid w:val="00EB48BF"/>
    <w:rsid w:val="00EB4984"/>
    <w:rsid w:val="00EB4DE7"/>
    <w:rsid w:val="00EB6E31"/>
    <w:rsid w:val="00EB7C65"/>
    <w:rsid w:val="00EC0819"/>
    <w:rsid w:val="00EC164C"/>
    <w:rsid w:val="00EC1670"/>
    <w:rsid w:val="00EC2D7C"/>
    <w:rsid w:val="00EC3059"/>
    <w:rsid w:val="00EC388F"/>
    <w:rsid w:val="00EC4549"/>
    <w:rsid w:val="00EC476A"/>
    <w:rsid w:val="00EC538E"/>
    <w:rsid w:val="00EC7135"/>
    <w:rsid w:val="00EC7149"/>
    <w:rsid w:val="00EC73B9"/>
    <w:rsid w:val="00EC7B31"/>
    <w:rsid w:val="00ED100F"/>
    <w:rsid w:val="00ED1406"/>
    <w:rsid w:val="00ED1E18"/>
    <w:rsid w:val="00ED40C0"/>
    <w:rsid w:val="00ED41BF"/>
    <w:rsid w:val="00ED44C0"/>
    <w:rsid w:val="00ED4B40"/>
    <w:rsid w:val="00ED55C6"/>
    <w:rsid w:val="00ED7AE3"/>
    <w:rsid w:val="00ED7E79"/>
    <w:rsid w:val="00EE0911"/>
    <w:rsid w:val="00EE1482"/>
    <w:rsid w:val="00EE21A0"/>
    <w:rsid w:val="00EE22DC"/>
    <w:rsid w:val="00EE28A9"/>
    <w:rsid w:val="00EE3811"/>
    <w:rsid w:val="00EE3CA8"/>
    <w:rsid w:val="00EE3CAE"/>
    <w:rsid w:val="00EE51FA"/>
    <w:rsid w:val="00EE52AF"/>
    <w:rsid w:val="00EE55B9"/>
    <w:rsid w:val="00EE6323"/>
    <w:rsid w:val="00EE6A0C"/>
    <w:rsid w:val="00EE6A85"/>
    <w:rsid w:val="00EF10A1"/>
    <w:rsid w:val="00EF1793"/>
    <w:rsid w:val="00EF46E2"/>
    <w:rsid w:val="00EF58FC"/>
    <w:rsid w:val="00EF5E52"/>
    <w:rsid w:val="00EF65C9"/>
    <w:rsid w:val="00EF6739"/>
    <w:rsid w:val="00F00954"/>
    <w:rsid w:val="00F00C1B"/>
    <w:rsid w:val="00F02E3D"/>
    <w:rsid w:val="00F03526"/>
    <w:rsid w:val="00F047F9"/>
    <w:rsid w:val="00F04CFC"/>
    <w:rsid w:val="00F05234"/>
    <w:rsid w:val="00F0573A"/>
    <w:rsid w:val="00F0580E"/>
    <w:rsid w:val="00F0632B"/>
    <w:rsid w:val="00F063D5"/>
    <w:rsid w:val="00F07254"/>
    <w:rsid w:val="00F1135B"/>
    <w:rsid w:val="00F11641"/>
    <w:rsid w:val="00F12E70"/>
    <w:rsid w:val="00F134F9"/>
    <w:rsid w:val="00F13BD0"/>
    <w:rsid w:val="00F1496E"/>
    <w:rsid w:val="00F14CEF"/>
    <w:rsid w:val="00F14F8B"/>
    <w:rsid w:val="00F15BB2"/>
    <w:rsid w:val="00F167F2"/>
    <w:rsid w:val="00F16989"/>
    <w:rsid w:val="00F16FDC"/>
    <w:rsid w:val="00F17287"/>
    <w:rsid w:val="00F17F7D"/>
    <w:rsid w:val="00F20BF5"/>
    <w:rsid w:val="00F21EA3"/>
    <w:rsid w:val="00F22415"/>
    <w:rsid w:val="00F22EAC"/>
    <w:rsid w:val="00F2308D"/>
    <w:rsid w:val="00F23391"/>
    <w:rsid w:val="00F235CE"/>
    <w:rsid w:val="00F23BE1"/>
    <w:rsid w:val="00F2560A"/>
    <w:rsid w:val="00F256AE"/>
    <w:rsid w:val="00F25BDF"/>
    <w:rsid w:val="00F25FB4"/>
    <w:rsid w:val="00F27A33"/>
    <w:rsid w:val="00F27FA4"/>
    <w:rsid w:val="00F301F2"/>
    <w:rsid w:val="00F30413"/>
    <w:rsid w:val="00F32A00"/>
    <w:rsid w:val="00F32ABF"/>
    <w:rsid w:val="00F3377F"/>
    <w:rsid w:val="00F33AC1"/>
    <w:rsid w:val="00F33F57"/>
    <w:rsid w:val="00F3482B"/>
    <w:rsid w:val="00F34A2D"/>
    <w:rsid w:val="00F353DF"/>
    <w:rsid w:val="00F357C1"/>
    <w:rsid w:val="00F358E9"/>
    <w:rsid w:val="00F35B61"/>
    <w:rsid w:val="00F364F0"/>
    <w:rsid w:val="00F37570"/>
    <w:rsid w:val="00F40687"/>
    <w:rsid w:val="00F40CFC"/>
    <w:rsid w:val="00F410E2"/>
    <w:rsid w:val="00F418A1"/>
    <w:rsid w:val="00F41E39"/>
    <w:rsid w:val="00F42E37"/>
    <w:rsid w:val="00F43C6A"/>
    <w:rsid w:val="00F44DBC"/>
    <w:rsid w:val="00F44F1D"/>
    <w:rsid w:val="00F450DD"/>
    <w:rsid w:val="00F45315"/>
    <w:rsid w:val="00F463B3"/>
    <w:rsid w:val="00F46538"/>
    <w:rsid w:val="00F46ACA"/>
    <w:rsid w:val="00F46B64"/>
    <w:rsid w:val="00F46E05"/>
    <w:rsid w:val="00F4757A"/>
    <w:rsid w:val="00F50732"/>
    <w:rsid w:val="00F524A5"/>
    <w:rsid w:val="00F52A0C"/>
    <w:rsid w:val="00F53998"/>
    <w:rsid w:val="00F53D10"/>
    <w:rsid w:val="00F5551E"/>
    <w:rsid w:val="00F5795E"/>
    <w:rsid w:val="00F6058C"/>
    <w:rsid w:val="00F6062C"/>
    <w:rsid w:val="00F60979"/>
    <w:rsid w:val="00F610DA"/>
    <w:rsid w:val="00F615A0"/>
    <w:rsid w:val="00F6187C"/>
    <w:rsid w:val="00F626E9"/>
    <w:rsid w:val="00F63954"/>
    <w:rsid w:val="00F6469D"/>
    <w:rsid w:val="00F6477F"/>
    <w:rsid w:val="00F647F7"/>
    <w:rsid w:val="00F65395"/>
    <w:rsid w:val="00F65ADF"/>
    <w:rsid w:val="00F661B9"/>
    <w:rsid w:val="00F665AD"/>
    <w:rsid w:val="00F66691"/>
    <w:rsid w:val="00F667F7"/>
    <w:rsid w:val="00F66ADB"/>
    <w:rsid w:val="00F6732B"/>
    <w:rsid w:val="00F674A9"/>
    <w:rsid w:val="00F678FB"/>
    <w:rsid w:val="00F67BE8"/>
    <w:rsid w:val="00F67D6D"/>
    <w:rsid w:val="00F702AD"/>
    <w:rsid w:val="00F70365"/>
    <w:rsid w:val="00F710F6"/>
    <w:rsid w:val="00F71C46"/>
    <w:rsid w:val="00F7211F"/>
    <w:rsid w:val="00F745D0"/>
    <w:rsid w:val="00F74B7C"/>
    <w:rsid w:val="00F7531B"/>
    <w:rsid w:val="00F756F2"/>
    <w:rsid w:val="00F75946"/>
    <w:rsid w:val="00F75CC5"/>
    <w:rsid w:val="00F76C3D"/>
    <w:rsid w:val="00F7784E"/>
    <w:rsid w:val="00F800CE"/>
    <w:rsid w:val="00F813EE"/>
    <w:rsid w:val="00F8170A"/>
    <w:rsid w:val="00F818FB"/>
    <w:rsid w:val="00F81CDB"/>
    <w:rsid w:val="00F82829"/>
    <w:rsid w:val="00F83249"/>
    <w:rsid w:val="00F834FB"/>
    <w:rsid w:val="00F835FD"/>
    <w:rsid w:val="00F83D5E"/>
    <w:rsid w:val="00F84763"/>
    <w:rsid w:val="00F84F5C"/>
    <w:rsid w:val="00F84F88"/>
    <w:rsid w:val="00F8550D"/>
    <w:rsid w:val="00F85B59"/>
    <w:rsid w:val="00F868F4"/>
    <w:rsid w:val="00F86C68"/>
    <w:rsid w:val="00F86D89"/>
    <w:rsid w:val="00F86E4D"/>
    <w:rsid w:val="00F86EBF"/>
    <w:rsid w:val="00F87234"/>
    <w:rsid w:val="00F8789C"/>
    <w:rsid w:val="00F8795B"/>
    <w:rsid w:val="00F9097C"/>
    <w:rsid w:val="00F90ADF"/>
    <w:rsid w:val="00F90BCF"/>
    <w:rsid w:val="00F90D2D"/>
    <w:rsid w:val="00F910DB"/>
    <w:rsid w:val="00F917E3"/>
    <w:rsid w:val="00F91BCE"/>
    <w:rsid w:val="00F92DEE"/>
    <w:rsid w:val="00F93166"/>
    <w:rsid w:val="00F936B8"/>
    <w:rsid w:val="00F93C27"/>
    <w:rsid w:val="00F94103"/>
    <w:rsid w:val="00F94C57"/>
    <w:rsid w:val="00F95BDE"/>
    <w:rsid w:val="00F97F05"/>
    <w:rsid w:val="00FA04F5"/>
    <w:rsid w:val="00FA072B"/>
    <w:rsid w:val="00FA2BD4"/>
    <w:rsid w:val="00FA36C5"/>
    <w:rsid w:val="00FA3CDE"/>
    <w:rsid w:val="00FA507C"/>
    <w:rsid w:val="00FA5429"/>
    <w:rsid w:val="00FA57A1"/>
    <w:rsid w:val="00FA5C33"/>
    <w:rsid w:val="00FA61F7"/>
    <w:rsid w:val="00FA656A"/>
    <w:rsid w:val="00FA748B"/>
    <w:rsid w:val="00FB03A2"/>
    <w:rsid w:val="00FB046A"/>
    <w:rsid w:val="00FB0771"/>
    <w:rsid w:val="00FB1802"/>
    <w:rsid w:val="00FB4D3D"/>
    <w:rsid w:val="00FB54C4"/>
    <w:rsid w:val="00FB6CB9"/>
    <w:rsid w:val="00FB76BA"/>
    <w:rsid w:val="00FB7708"/>
    <w:rsid w:val="00FC0167"/>
    <w:rsid w:val="00FC1839"/>
    <w:rsid w:val="00FC2C16"/>
    <w:rsid w:val="00FC47A1"/>
    <w:rsid w:val="00FC4C7B"/>
    <w:rsid w:val="00FC5105"/>
    <w:rsid w:val="00FC5559"/>
    <w:rsid w:val="00FC60B7"/>
    <w:rsid w:val="00FC622F"/>
    <w:rsid w:val="00FC6456"/>
    <w:rsid w:val="00FC6E15"/>
    <w:rsid w:val="00FC73D8"/>
    <w:rsid w:val="00FD05DA"/>
    <w:rsid w:val="00FD0A0E"/>
    <w:rsid w:val="00FD0AD3"/>
    <w:rsid w:val="00FD0AE9"/>
    <w:rsid w:val="00FD0DCC"/>
    <w:rsid w:val="00FD0F90"/>
    <w:rsid w:val="00FD1287"/>
    <w:rsid w:val="00FD2D43"/>
    <w:rsid w:val="00FD2DF0"/>
    <w:rsid w:val="00FD2E0F"/>
    <w:rsid w:val="00FD448C"/>
    <w:rsid w:val="00FD476A"/>
    <w:rsid w:val="00FD487C"/>
    <w:rsid w:val="00FD49F9"/>
    <w:rsid w:val="00FD4DF7"/>
    <w:rsid w:val="00FD506E"/>
    <w:rsid w:val="00FD5420"/>
    <w:rsid w:val="00FD5F3B"/>
    <w:rsid w:val="00FD7816"/>
    <w:rsid w:val="00FD78AE"/>
    <w:rsid w:val="00FE051D"/>
    <w:rsid w:val="00FE2002"/>
    <w:rsid w:val="00FE2CD7"/>
    <w:rsid w:val="00FE3C1F"/>
    <w:rsid w:val="00FE3E6D"/>
    <w:rsid w:val="00FE56E2"/>
    <w:rsid w:val="00FE5F4E"/>
    <w:rsid w:val="00FE604D"/>
    <w:rsid w:val="00FE61D6"/>
    <w:rsid w:val="00FE7733"/>
    <w:rsid w:val="00FE7B3A"/>
    <w:rsid w:val="00FE7C6B"/>
    <w:rsid w:val="00FF06AB"/>
    <w:rsid w:val="00FF1967"/>
    <w:rsid w:val="00FF1F8C"/>
    <w:rsid w:val="00FF29EE"/>
    <w:rsid w:val="00FF3380"/>
    <w:rsid w:val="00FF35E1"/>
    <w:rsid w:val="00FF5776"/>
    <w:rsid w:val="00FF5878"/>
    <w:rsid w:val="00FF5F4E"/>
    <w:rsid w:val="00FF622E"/>
    <w:rsid w:val="00FF7210"/>
    <w:rsid w:val="09967C0F"/>
    <w:rsid w:val="0A2B7C87"/>
    <w:rsid w:val="0EFB1544"/>
    <w:rsid w:val="10FA2B3D"/>
    <w:rsid w:val="18323EAC"/>
    <w:rsid w:val="19595D42"/>
    <w:rsid w:val="1B4A62CF"/>
    <w:rsid w:val="1D9462F0"/>
    <w:rsid w:val="26DA24FE"/>
    <w:rsid w:val="28651D87"/>
    <w:rsid w:val="2D8C6666"/>
    <w:rsid w:val="2E075211"/>
    <w:rsid w:val="36CD7B84"/>
    <w:rsid w:val="3B3B6A5D"/>
    <w:rsid w:val="43FD1331"/>
    <w:rsid w:val="47EB050B"/>
    <w:rsid w:val="4BA44E16"/>
    <w:rsid w:val="624700EC"/>
    <w:rsid w:val="644C25DC"/>
    <w:rsid w:val="6BFA4726"/>
    <w:rsid w:val="78CF51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99" w:semiHidden="0"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3"/>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24"/>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9"/>
    <w:pPr>
      <w:spacing w:before="100" w:beforeAutospacing="1" w:after="100" w:afterAutospacing="1"/>
      <w:jc w:val="left"/>
      <w:outlineLvl w:val="2"/>
    </w:pPr>
    <w:rPr>
      <w:rFonts w:hint="eastAsia" w:ascii="宋体" w:hAnsi="宋体"/>
      <w:b/>
      <w:kern w:val="0"/>
      <w:sz w:val="27"/>
      <w:szCs w:val="27"/>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caption"/>
    <w:basedOn w:val="1"/>
    <w:next w:val="1"/>
    <w:link w:val="67"/>
    <w:qFormat/>
    <w:uiPriority w:val="35"/>
    <w:rPr>
      <w:rFonts w:ascii="等线 Light" w:hAnsi="等线 Light" w:eastAsia="黑体"/>
      <w:sz w:val="20"/>
      <w:szCs w:val="20"/>
    </w:rPr>
  </w:style>
  <w:style w:type="paragraph" w:styleId="6">
    <w:name w:val="Document Map"/>
    <w:basedOn w:val="1"/>
    <w:link w:val="25"/>
    <w:unhideWhenUsed/>
    <w:qFormat/>
    <w:uiPriority w:val="99"/>
    <w:rPr>
      <w:rFonts w:ascii="宋体"/>
      <w:kern w:val="0"/>
      <w:sz w:val="18"/>
      <w:szCs w:val="18"/>
    </w:rPr>
  </w:style>
  <w:style w:type="paragraph" w:styleId="7">
    <w:name w:val="annotation text"/>
    <w:basedOn w:val="1"/>
    <w:link w:val="26"/>
    <w:unhideWhenUsed/>
    <w:qFormat/>
    <w:uiPriority w:val="99"/>
    <w:pPr>
      <w:jc w:val="left"/>
    </w:pPr>
  </w:style>
  <w:style w:type="paragraph" w:styleId="8">
    <w:name w:val="toc 3"/>
    <w:basedOn w:val="1"/>
    <w:next w:val="1"/>
    <w:unhideWhenUsed/>
    <w:qFormat/>
    <w:uiPriority w:val="39"/>
  </w:style>
  <w:style w:type="paragraph" w:styleId="9">
    <w:name w:val="Balloon Text"/>
    <w:basedOn w:val="1"/>
    <w:link w:val="27"/>
    <w:unhideWhenUsed/>
    <w:qFormat/>
    <w:uiPriority w:val="99"/>
    <w:rPr>
      <w:kern w:val="0"/>
      <w:sz w:val="18"/>
      <w:szCs w:val="18"/>
    </w:rPr>
  </w:style>
  <w:style w:type="paragraph" w:styleId="10">
    <w:name w:val="footer"/>
    <w:basedOn w:val="1"/>
    <w:link w:val="28"/>
    <w:unhideWhenUsed/>
    <w:qFormat/>
    <w:uiPriority w:val="99"/>
    <w:pPr>
      <w:tabs>
        <w:tab w:val="center" w:pos="4153"/>
        <w:tab w:val="right" w:pos="8306"/>
      </w:tabs>
      <w:snapToGrid w:val="0"/>
      <w:jc w:val="left"/>
    </w:pPr>
    <w:rPr>
      <w:kern w:val="0"/>
      <w:sz w:val="18"/>
      <w:szCs w:val="18"/>
    </w:rPr>
  </w:style>
  <w:style w:type="paragraph" w:styleId="11">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2">
    <w:name w:val="toc 1"/>
    <w:basedOn w:val="1"/>
    <w:qFormat/>
    <w:uiPriority w:val="39"/>
    <w:pPr>
      <w:widowControl/>
      <w:tabs>
        <w:tab w:val="right" w:leader="dot" w:pos="9345"/>
      </w:tabs>
      <w:jc w:val="center"/>
    </w:pPr>
    <w:rPr>
      <w:rFonts w:ascii="宋体"/>
      <w:kern w:val="0"/>
      <w:szCs w:val="20"/>
    </w:rPr>
  </w:style>
  <w:style w:type="paragraph" w:styleId="13">
    <w:name w:val="toc 2"/>
    <w:basedOn w:val="12"/>
    <w:qFormat/>
    <w:uiPriority w:val="39"/>
    <w:pPr>
      <w:tabs>
        <w:tab w:val="left" w:pos="284"/>
      </w:tabs>
    </w:pPr>
  </w:style>
  <w:style w:type="paragraph" w:styleId="1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5">
    <w:name w:val="annotation subject"/>
    <w:basedOn w:val="7"/>
    <w:next w:val="7"/>
    <w:link w:val="30"/>
    <w:unhideWhenUsed/>
    <w:qFormat/>
    <w:uiPriority w:val="99"/>
    <w:rPr>
      <w:b/>
      <w:bCs/>
      <w:kern w:val="0"/>
      <w:sz w:val="20"/>
      <w:szCs w:val="20"/>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page number"/>
    <w:qFormat/>
    <w:uiPriority w:val="99"/>
    <w:rPr>
      <w:rFonts w:ascii="Times New Roman" w:hAnsi="Times New Roman" w:eastAsia="宋体" w:cs="Times New Roman"/>
      <w:sz w:val="18"/>
    </w:rPr>
  </w:style>
  <w:style w:type="character" w:styleId="20">
    <w:name w:val="Hyperlink"/>
    <w:qFormat/>
    <w:uiPriority w:val="99"/>
    <w:rPr>
      <w:rFonts w:ascii="Times New Roman" w:hAnsi="Times New Roman" w:eastAsia="宋体" w:cs="Times New Roman"/>
      <w:color w:val="auto"/>
      <w:spacing w:val="0"/>
      <w:w w:val="100"/>
      <w:position w:val="0"/>
      <w:sz w:val="21"/>
      <w:u w:val="none"/>
      <w:vertAlign w:val="baseline"/>
    </w:rPr>
  </w:style>
  <w:style w:type="character" w:styleId="21">
    <w:name w:val="annotation reference"/>
    <w:unhideWhenUsed/>
    <w:qFormat/>
    <w:uiPriority w:val="99"/>
    <w:rPr>
      <w:sz w:val="21"/>
      <w:szCs w:val="21"/>
    </w:rPr>
  </w:style>
  <w:style w:type="character" w:styleId="22">
    <w:name w:val="HTML Cite"/>
    <w:qFormat/>
    <w:uiPriority w:val="99"/>
    <w:rPr>
      <w:rFonts w:cs="Times New Roman"/>
      <w:i/>
      <w:iCs/>
    </w:rPr>
  </w:style>
  <w:style w:type="character" w:customStyle="1" w:styleId="23">
    <w:name w:val="标题 1 字符"/>
    <w:link w:val="2"/>
    <w:qFormat/>
    <w:uiPriority w:val="99"/>
    <w:rPr>
      <w:rFonts w:ascii="Times New Roman" w:hAnsi="Times New Roman" w:eastAsia="宋体" w:cs="Times New Roman"/>
      <w:b/>
      <w:bCs/>
      <w:kern w:val="44"/>
      <w:sz w:val="44"/>
      <w:szCs w:val="44"/>
    </w:rPr>
  </w:style>
  <w:style w:type="character" w:customStyle="1" w:styleId="24">
    <w:name w:val="标题 2 字符"/>
    <w:link w:val="3"/>
    <w:qFormat/>
    <w:uiPriority w:val="0"/>
    <w:rPr>
      <w:rFonts w:ascii="Arial" w:hAnsi="Arial" w:eastAsia="黑体"/>
      <w:b/>
      <w:bCs/>
      <w:kern w:val="2"/>
      <w:sz w:val="32"/>
      <w:szCs w:val="32"/>
    </w:rPr>
  </w:style>
  <w:style w:type="character" w:customStyle="1" w:styleId="25">
    <w:name w:val="文档结构图 字符"/>
    <w:link w:val="6"/>
    <w:semiHidden/>
    <w:qFormat/>
    <w:uiPriority w:val="99"/>
    <w:rPr>
      <w:rFonts w:ascii="宋体" w:eastAsia="宋体"/>
      <w:sz w:val="18"/>
      <w:szCs w:val="18"/>
    </w:rPr>
  </w:style>
  <w:style w:type="character" w:customStyle="1" w:styleId="26">
    <w:name w:val="批注文字 字符"/>
    <w:link w:val="7"/>
    <w:semiHidden/>
    <w:qFormat/>
    <w:uiPriority w:val="99"/>
  </w:style>
  <w:style w:type="character" w:customStyle="1" w:styleId="27">
    <w:name w:val="批注框文本 字符"/>
    <w:link w:val="9"/>
    <w:semiHidden/>
    <w:qFormat/>
    <w:uiPriority w:val="99"/>
    <w:rPr>
      <w:sz w:val="18"/>
      <w:szCs w:val="18"/>
    </w:rPr>
  </w:style>
  <w:style w:type="character" w:customStyle="1" w:styleId="28">
    <w:name w:val="页脚 字符"/>
    <w:link w:val="10"/>
    <w:qFormat/>
    <w:uiPriority w:val="99"/>
    <w:rPr>
      <w:sz w:val="18"/>
      <w:szCs w:val="18"/>
    </w:rPr>
  </w:style>
  <w:style w:type="character" w:customStyle="1" w:styleId="29">
    <w:name w:val="页眉 字符"/>
    <w:link w:val="11"/>
    <w:semiHidden/>
    <w:qFormat/>
    <w:uiPriority w:val="99"/>
    <w:rPr>
      <w:sz w:val="18"/>
      <w:szCs w:val="18"/>
    </w:rPr>
  </w:style>
  <w:style w:type="character" w:customStyle="1" w:styleId="30">
    <w:name w:val="批注主题 字符"/>
    <w:link w:val="15"/>
    <w:semiHidden/>
    <w:qFormat/>
    <w:uiPriority w:val="99"/>
    <w:rPr>
      <w:b/>
      <w:bCs/>
    </w:rPr>
  </w:style>
  <w:style w:type="character" w:customStyle="1" w:styleId="31">
    <w:name w:val="段 Char"/>
    <w:link w:val="32"/>
    <w:qFormat/>
    <w:locked/>
    <w:uiPriority w:val="0"/>
    <w:rPr>
      <w:rFonts w:ascii="宋体" w:hAnsi="Times New Roman"/>
      <w:sz w:val="21"/>
      <w:lang w:val="en-US" w:eastAsia="zh-CN" w:bidi="ar-SA"/>
    </w:rPr>
  </w:style>
  <w:style w:type="paragraph" w:customStyle="1" w:styleId="32">
    <w:name w:val="段"/>
    <w:link w:val="3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3">
    <w:name w:val="二级条标题 Char"/>
    <w:link w:val="34"/>
    <w:qFormat/>
    <w:locked/>
    <w:uiPriority w:val="0"/>
    <w:rPr>
      <w:rFonts w:ascii="黑体" w:hAnsi="Times New Roman" w:eastAsia="黑体" w:cs="Times New Roman"/>
      <w:kern w:val="0"/>
      <w:szCs w:val="20"/>
    </w:rPr>
  </w:style>
  <w:style w:type="paragraph" w:customStyle="1" w:styleId="34">
    <w:name w:val="二级条标题"/>
    <w:basedOn w:val="35"/>
    <w:next w:val="32"/>
    <w:link w:val="33"/>
    <w:qFormat/>
    <w:uiPriority w:val="0"/>
    <w:pPr>
      <w:numPr>
        <w:ilvl w:val="3"/>
      </w:numPr>
      <w:outlineLvl w:val="3"/>
    </w:pPr>
    <w:rPr>
      <w:sz w:val="20"/>
    </w:rPr>
  </w:style>
  <w:style w:type="paragraph" w:customStyle="1" w:styleId="35">
    <w:name w:val="一级条标题"/>
    <w:basedOn w:val="36"/>
    <w:next w:val="32"/>
    <w:qFormat/>
    <w:uiPriority w:val="0"/>
    <w:pPr>
      <w:numPr>
        <w:ilvl w:val="2"/>
      </w:numPr>
      <w:spacing w:beforeLines="0" w:afterLines="0"/>
      <w:outlineLvl w:val="2"/>
    </w:pPr>
  </w:style>
  <w:style w:type="paragraph" w:customStyle="1" w:styleId="36">
    <w:name w:val="章标题"/>
    <w:next w:val="32"/>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paragraph" w:customStyle="1" w:styleId="37">
    <w:name w:val="正文表标题"/>
    <w:next w:val="32"/>
    <w:qFormat/>
    <w:uiPriority w:val="99"/>
    <w:pPr>
      <w:numPr>
        <w:ilvl w:val="0"/>
        <w:numId w:val="2"/>
      </w:numPr>
      <w:jc w:val="center"/>
    </w:pPr>
    <w:rPr>
      <w:rFonts w:ascii="黑体" w:hAnsi="Times New Roman" w:eastAsia="黑体" w:cs="Times New Roman"/>
      <w:sz w:val="21"/>
      <w:lang w:val="en-US" w:eastAsia="zh-CN" w:bidi="ar-SA"/>
    </w:rPr>
  </w:style>
  <w:style w:type="paragraph" w:customStyle="1" w:styleId="38">
    <w:name w:val="目次、标准名称标题"/>
    <w:basedOn w:val="39"/>
    <w:next w:val="32"/>
    <w:qFormat/>
    <w:uiPriority w:val="99"/>
    <w:pPr>
      <w:numPr>
        <w:numId w:val="0"/>
      </w:numPr>
      <w:spacing w:line="460" w:lineRule="exact"/>
    </w:pPr>
  </w:style>
  <w:style w:type="paragraph" w:customStyle="1" w:styleId="39">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40">
    <w:name w:val="附录标识"/>
    <w:basedOn w:val="39"/>
    <w:qFormat/>
    <w:uiPriority w:val="99"/>
    <w:pPr>
      <w:numPr>
        <w:ilvl w:val="0"/>
        <w:numId w:val="3"/>
      </w:numPr>
      <w:tabs>
        <w:tab w:val="left" w:pos="6405"/>
      </w:tabs>
      <w:spacing w:after="200"/>
    </w:pPr>
    <w:rPr>
      <w:sz w:val="21"/>
    </w:rPr>
  </w:style>
  <w:style w:type="paragraph" w:customStyle="1" w:styleId="41">
    <w:name w:val="五级条标题"/>
    <w:basedOn w:val="42"/>
    <w:next w:val="32"/>
    <w:qFormat/>
    <w:uiPriority w:val="0"/>
    <w:pPr>
      <w:numPr>
        <w:ilvl w:val="6"/>
      </w:numPr>
      <w:tabs>
        <w:tab w:val="left" w:pos="360"/>
      </w:tabs>
      <w:outlineLvl w:val="6"/>
    </w:pPr>
  </w:style>
  <w:style w:type="paragraph" w:customStyle="1" w:styleId="42">
    <w:name w:val="四级条标题"/>
    <w:basedOn w:val="43"/>
    <w:next w:val="32"/>
    <w:qFormat/>
    <w:uiPriority w:val="0"/>
    <w:pPr>
      <w:numPr>
        <w:ilvl w:val="5"/>
      </w:numPr>
      <w:tabs>
        <w:tab w:val="left" w:pos="360"/>
      </w:tabs>
      <w:outlineLvl w:val="5"/>
    </w:pPr>
  </w:style>
  <w:style w:type="paragraph" w:customStyle="1" w:styleId="43">
    <w:name w:val="三级条标题"/>
    <w:basedOn w:val="34"/>
    <w:next w:val="32"/>
    <w:qFormat/>
    <w:uiPriority w:val="0"/>
    <w:pPr>
      <w:numPr>
        <w:ilvl w:val="4"/>
      </w:numPr>
      <w:tabs>
        <w:tab w:val="left" w:pos="360"/>
      </w:tabs>
      <w:outlineLvl w:val="4"/>
    </w:pPr>
  </w:style>
  <w:style w:type="paragraph" w:customStyle="1" w:styleId="44">
    <w:name w:val="附录三级条标题"/>
    <w:basedOn w:val="1"/>
    <w:next w:val="32"/>
    <w:qFormat/>
    <w:uiPriority w:val="99"/>
    <w:pPr>
      <w:widowControl/>
      <w:numPr>
        <w:ilvl w:val="4"/>
        <w:numId w:val="3"/>
      </w:numPr>
      <w:wordWrap w:val="0"/>
      <w:overflowPunct w:val="0"/>
      <w:autoSpaceDE w:val="0"/>
      <w:autoSpaceDN w:val="0"/>
      <w:textAlignment w:val="baseline"/>
      <w:outlineLvl w:val="4"/>
    </w:pPr>
    <w:rPr>
      <w:rFonts w:ascii="黑体" w:eastAsia="黑体"/>
      <w:kern w:val="21"/>
      <w:szCs w:val="20"/>
    </w:rPr>
  </w:style>
  <w:style w:type="paragraph" w:customStyle="1" w:styleId="45">
    <w:name w:val="WPSOffice手动目录 1"/>
    <w:qFormat/>
    <w:uiPriority w:val="0"/>
    <w:rPr>
      <w:rFonts w:ascii="Times New Roman" w:hAnsi="Times New Roman" w:eastAsia="宋体" w:cs="Times New Roman"/>
      <w:lang w:val="en-US" w:eastAsia="zh-CN" w:bidi="ar-SA"/>
    </w:rPr>
  </w:style>
  <w:style w:type="paragraph" w:customStyle="1" w:styleId="46">
    <w:name w:val="附录五级条标题"/>
    <w:basedOn w:val="47"/>
    <w:next w:val="32"/>
    <w:qFormat/>
    <w:uiPriority w:val="99"/>
    <w:pPr>
      <w:numPr>
        <w:ilvl w:val="6"/>
      </w:numPr>
      <w:outlineLvl w:val="6"/>
    </w:pPr>
  </w:style>
  <w:style w:type="paragraph" w:customStyle="1" w:styleId="47">
    <w:name w:val="附录四级条标题"/>
    <w:basedOn w:val="44"/>
    <w:next w:val="32"/>
    <w:qFormat/>
    <w:uiPriority w:val="99"/>
    <w:pPr>
      <w:numPr>
        <w:ilvl w:val="5"/>
      </w:numPr>
      <w:outlineLvl w:val="5"/>
    </w:pPr>
  </w:style>
  <w:style w:type="paragraph" w:customStyle="1" w:styleId="48">
    <w:name w:val="目次、索引正文"/>
    <w:qFormat/>
    <w:uiPriority w:val="99"/>
    <w:pPr>
      <w:spacing w:line="320" w:lineRule="exact"/>
      <w:jc w:val="both"/>
    </w:pPr>
    <w:rPr>
      <w:rFonts w:ascii="宋体" w:hAnsi="Times New Roman" w:eastAsia="宋体" w:cs="Times New Roman"/>
      <w:sz w:val="21"/>
      <w:lang w:val="en-US" w:eastAsia="zh-CN" w:bidi="ar-SA"/>
    </w:rPr>
  </w:style>
  <w:style w:type="paragraph" w:customStyle="1" w:styleId="49">
    <w:name w:val="列项·"/>
    <w:qFormat/>
    <w:uiPriority w:val="99"/>
    <w:pPr>
      <w:numPr>
        <w:ilvl w:val="0"/>
        <w:numId w:val="4"/>
      </w:numPr>
      <w:tabs>
        <w:tab w:val="left" w:pos="840"/>
        <w:tab w:val="clear" w:pos="1140"/>
      </w:tabs>
      <w:ind w:left="840" w:leftChars="200" w:hanging="420" w:hangingChars="200"/>
      <w:jc w:val="both"/>
    </w:pPr>
    <w:rPr>
      <w:rFonts w:ascii="宋体" w:hAnsi="Times New Roman" w:eastAsia="宋体" w:cs="Times New Roman"/>
      <w:sz w:val="21"/>
      <w:lang w:val="en-US" w:eastAsia="zh-CN" w:bidi="ar-SA"/>
    </w:rPr>
  </w:style>
  <w:style w:type="paragraph" w:customStyle="1" w:styleId="5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1">
    <w:name w:val="附录章标题"/>
    <w:next w:val="32"/>
    <w:qFormat/>
    <w:uiPriority w:val="99"/>
    <w:pPr>
      <w:numPr>
        <w:ilvl w:val="1"/>
        <w:numId w:val="3"/>
      </w:num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52">
    <w:name w:val="默认段落字体 Para Char Char Char Char Char Char Char Char Char1 Char Char Char Char Char Char Char"/>
    <w:basedOn w:val="10"/>
    <w:qFormat/>
    <w:uiPriority w:val="0"/>
    <w:pPr>
      <w:shd w:val="clear" w:color="auto" w:fill="000080"/>
      <w:tabs>
        <w:tab w:val="clear" w:pos="4153"/>
        <w:tab w:val="clear" w:pos="8306"/>
      </w:tabs>
      <w:snapToGrid/>
      <w:spacing w:line="360" w:lineRule="auto"/>
      <w:ind w:left="200" w:leftChars="200"/>
      <w:jc w:val="both"/>
    </w:pPr>
    <w:rPr>
      <w:sz w:val="24"/>
      <w:szCs w:val="20"/>
    </w:rPr>
  </w:style>
  <w:style w:type="paragraph" w:customStyle="1" w:styleId="53">
    <w:name w:val="标准书脚_偶数页"/>
    <w:qFormat/>
    <w:uiPriority w:val="99"/>
    <w:pPr>
      <w:spacing w:before="120"/>
    </w:pPr>
    <w:rPr>
      <w:rFonts w:ascii="Times New Roman" w:hAnsi="Times New Roman" w:eastAsia="宋体" w:cs="Times New Roman"/>
      <w:sz w:val="18"/>
      <w:lang w:val="en-US" w:eastAsia="zh-CN" w:bidi="ar-SA"/>
    </w:rPr>
  </w:style>
  <w:style w:type="table" w:customStyle="1" w:styleId="54">
    <w:name w:val="网格型2"/>
    <w:basedOn w:val="16"/>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5">
    <w:name w:val="网格型3"/>
    <w:basedOn w:val="16"/>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6">
    <w:name w:val="网格型6"/>
    <w:basedOn w:val="16"/>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7">
    <w:name w:val="网格型5"/>
    <w:basedOn w:val="16"/>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8">
    <w:name w:val="网格型1"/>
    <w:basedOn w:val="16"/>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9">
    <w:name w:val="网格型4"/>
    <w:basedOn w:val="16"/>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0">
    <w:name w:val="Placeholder Text"/>
    <w:semiHidden/>
    <w:qFormat/>
    <w:uiPriority w:val="99"/>
    <w:rPr>
      <w:color w:val="808080"/>
    </w:rPr>
  </w:style>
  <w:style w:type="paragraph" w:customStyle="1" w:styleId="61">
    <w:name w:val="TOC 标题1"/>
    <w:basedOn w:val="2"/>
    <w:next w:val="1"/>
    <w:qFormat/>
    <w:uiPriority w:val="39"/>
    <w:pPr>
      <w:widowControl/>
      <w:spacing w:before="240" w:after="0" w:line="259" w:lineRule="auto"/>
      <w:jc w:val="left"/>
      <w:outlineLvl w:val="9"/>
    </w:pPr>
    <w:rPr>
      <w:rFonts w:ascii="等线 Light" w:hAnsi="等线 Light" w:eastAsia="等线 Light"/>
      <w:b w:val="0"/>
      <w:bCs w:val="0"/>
      <w:color w:val="2F5496"/>
      <w:kern w:val="0"/>
      <w:sz w:val="32"/>
      <w:szCs w:val="32"/>
    </w:rPr>
  </w:style>
  <w:style w:type="paragraph" w:customStyle="1" w:styleId="62">
    <w:name w:val="修订1"/>
    <w:hidden/>
    <w:unhideWhenUsed/>
    <w:qFormat/>
    <w:uiPriority w:val="99"/>
    <w:rPr>
      <w:rFonts w:ascii="Times New Roman" w:hAnsi="Times New Roman" w:eastAsia="宋体" w:cs="Times New Roman"/>
      <w:kern w:val="2"/>
      <w:sz w:val="21"/>
      <w:szCs w:val="22"/>
      <w:lang w:val="en-US" w:eastAsia="zh-CN" w:bidi="ar-SA"/>
    </w:rPr>
  </w:style>
  <w:style w:type="paragraph" w:customStyle="1" w:styleId="63">
    <w:name w:val="0 正文"/>
    <w:basedOn w:val="1"/>
    <w:link w:val="64"/>
    <w:qFormat/>
    <w:uiPriority w:val="0"/>
    <w:pPr>
      <w:spacing w:line="360" w:lineRule="auto"/>
      <w:ind w:firstLine="200" w:firstLineChars="200"/>
    </w:pPr>
    <w:rPr>
      <w:rFonts w:eastAsia="仿宋_GB2312"/>
      <w:sz w:val="24"/>
      <w:szCs w:val="24"/>
    </w:rPr>
  </w:style>
  <w:style w:type="character" w:customStyle="1" w:styleId="64">
    <w:name w:val="0 正文 字符"/>
    <w:link w:val="63"/>
    <w:qFormat/>
    <w:uiPriority w:val="0"/>
    <w:rPr>
      <w:rFonts w:eastAsia="仿宋_GB2312"/>
      <w:kern w:val="2"/>
      <w:sz w:val="24"/>
      <w:szCs w:val="24"/>
    </w:rPr>
  </w:style>
  <w:style w:type="character" w:customStyle="1" w:styleId="65">
    <w:name w:val="fontstyle01"/>
    <w:qFormat/>
    <w:uiPriority w:val="0"/>
    <w:rPr>
      <w:rFonts w:hint="default" w:ascii="FZSSK--GBK1-0" w:hAnsi="FZSSK--GBK1-0"/>
      <w:color w:val="000000"/>
      <w:sz w:val="22"/>
      <w:szCs w:val="22"/>
    </w:rPr>
  </w:style>
  <w:style w:type="character" w:customStyle="1" w:styleId="66">
    <w:name w:val="fontstyle21"/>
    <w:qFormat/>
    <w:uiPriority w:val="0"/>
    <w:rPr>
      <w:rFonts w:hint="default" w:ascii="E-BZ" w:hAnsi="E-BZ"/>
      <w:color w:val="000000"/>
      <w:sz w:val="22"/>
      <w:szCs w:val="22"/>
    </w:rPr>
  </w:style>
  <w:style w:type="character" w:customStyle="1" w:styleId="67">
    <w:name w:val="题注 字符"/>
    <w:basedOn w:val="18"/>
    <w:link w:val="5"/>
    <w:qFormat/>
    <w:uiPriority w:val="35"/>
    <w:rPr>
      <w:rFonts w:ascii="等线 Light" w:hAnsi="等线 Light" w:eastAsia="黑体"/>
      <w:kern w:val="2"/>
    </w:rPr>
  </w:style>
  <w:style w:type="paragraph" w:customStyle="1" w:styleId="68">
    <w:name w:val="修订2"/>
    <w:hidden/>
    <w:unhideWhenUsed/>
    <w:qFormat/>
    <w:uiPriority w:val="99"/>
    <w:rPr>
      <w:rFonts w:ascii="Times New Roman" w:hAnsi="Times New Roman" w:eastAsia="宋体" w:cs="Times New Roman"/>
      <w:kern w:val="2"/>
      <w:sz w:val="21"/>
      <w:szCs w:val="22"/>
      <w:lang w:val="en-US" w:eastAsia="zh-CN" w:bidi="ar-SA"/>
    </w:rPr>
  </w:style>
  <w:style w:type="paragraph" w:customStyle="1" w:styleId="69">
    <w:name w:val="TOC 标题2"/>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70">
    <w:name w:val="Revision"/>
    <w:hidden/>
    <w:semiHidden/>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38.wmf"/><Relationship Id="rId98" Type="http://schemas.openxmlformats.org/officeDocument/2006/relationships/oleObject" Target="embeddings/oleObject46.bin"/><Relationship Id="rId97" Type="http://schemas.openxmlformats.org/officeDocument/2006/relationships/image" Target="media/image37.wmf"/><Relationship Id="rId96" Type="http://schemas.openxmlformats.org/officeDocument/2006/relationships/oleObject" Target="embeddings/oleObject45.bin"/><Relationship Id="rId95" Type="http://schemas.openxmlformats.org/officeDocument/2006/relationships/image" Target="media/image36.wmf"/><Relationship Id="rId94" Type="http://schemas.openxmlformats.org/officeDocument/2006/relationships/oleObject" Target="embeddings/oleObject44.bin"/><Relationship Id="rId93" Type="http://schemas.openxmlformats.org/officeDocument/2006/relationships/image" Target="media/image35.wmf"/><Relationship Id="rId92" Type="http://schemas.openxmlformats.org/officeDocument/2006/relationships/oleObject" Target="embeddings/oleObject43.bin"/><Relationship Id="rId91" Type="http://schemas.openxmlformats.org/officeDocument/2006/relationships/image" Target="media/image34.wmf"/><Relationship Id="rId90" Type="http://schemas.openxmlformats.org/officeDocument/2006/relationships/oleObject" Target="embeddings/oleObject42.bin"/><Relationship Id="rId9" Type="http://schemas.openxmlformats.org/officeDocument/2006/relationships/header" Target="header4.xml"/><Relationship Id="rId89" Type="http://schemas.openxmlformats.org/officeDocument/2006/relationships/image" Target="media/image33.wmf"/><Relationship Id="rId88" Type="http://schemas.openxmlformats.org/officeDocument/2006/relationships/oleObject" Target="embeddings/oleObject41.bin"/><Relationship Id="rId87" Type="http://schemas.openxmlformats.org/officeDocument/2006/relationships/image" Target="media/image32.wmf"/><Relationship Id="rId86" Type="http://schemas.openxmlformats.org/officeDocument/2006/relationships/oleObject" Target="embeddings/oleObject40.bin"/><Relationship Id="rId85" Type="http://schemas.openxmlformats.org/officeDocument/2006/relationships/image" Target="media/image31.wmf"/><Relationship Id="rId84" Type="http://schemas.openxmlformats.org/officeDocument/2006/relationships/oleObject" Target="embeddings/oleObject39.bin"/><Relationship Id="rId83" Type="http://schemas.openxmlformats.org/officeDocument/2006/relationships/image" Target="media/image30.wmf"/><Relationship Id="rId82" Type="http://schemas.openxmlformats.org/officeDocument/2006/relationships/oleObject" Target="embeddings/oleObject38.bin"/><Relationship Id="rId81" Type="http://schemas.openxmlformats.org/officeDocument/2006/relationships/image" Target="media/image29.wmf"/><Relationship Id="rId80" Type="http://schemas.openxmlformats.org/officeDocument/2006/relationships/oleObject" Target="embeddings/oleObject37.bin"/><Relationship Id="rId8" Type="http://schemas.openxmlformats.org/officeDocument/2006/relationships/footer" Target="footer3.xml"/><Relationship Id="rId79" Type="http://schemas.openxmlformats.org/officeDocument/2006/relationships/image" Target="media/image28.wmf"/><Relationship Id="rId78" Type="http://schemas.openxmlformats.org/officeDocument/2006/relationships/oleObject" Target="embeddings/oleObject36.bin"/><Relationship Id="rId77" Type="http://schemas.openxmlformats.org/officeDocument/2006/relationships/image" Target="media/image27.wmf"/><Relationship Id="rId76" Type="http://schemas.openxmlformats.org/officeDocument/2006/relationships/oleObject" Target="embeddings/oleObject35.bin"/><Relationship Id="rId75" Type="http://schemas.openxmlformats.org/officeDocument/2006/relationships/oleObject" Target="embeddings/oleObject34.bin"/><Relationship Id="rId74" Type="http://schemas.openxmlformats.org/officeDocument/2006/relationships/image" Target="media/image26.wmf"/><Relationship Id="rId73" Type="http://schemas.openxmlformats.org/officeDocument/2006/relationships/oleObject" Target="embeddings/oleObject33.bin"/><Relationship Id="rId72" Type="http://schemas.openxmlformats.org/officeDocument/2006/relationships/image" Target="media/image25.wmf"/><Relationship Id="rId71" Type="http://schemas.openxmlformats.org/officeDocument/2006/relationships/oleObject" Target="embeddings/oleObject32.bin"/><Relationship Id="rId70" Type="http://schemas.openxmlformats.org/officeDocument/2006/relationships/image" Target="media/image24.wmf"/><Relationship Id="rId7" Type="http://schemas.openxmlformats.org/officeDocument/2006/relationships/footer" Target="footer2.xml"/><Relationship Id="rId69" Type="http://schemas.openxmlformats.org/officeDocument/2006/relationships/oleObject" Target="embeddings/oleObject31.bin"/><Relationship Id="rId68" Type="http://schemas.openxmlformats.org/officeDocument/2006/relationships/image" Target="media/image23.wmf"/><Relationship Id="rId67" Type="http://schemas.openxmlformats.org/officeDocument/2006/relationships/oleObject" Target="embeddings/oleObject30.bin"/><Relationship Id="rId66" Type="http://schemas.openxmlformats.org/officeDocument/2006/relationships/oleObject" Target="embeddings/oleObject29.bin"/><Relationship Id="rId65" Type="http://schemas.openxmlformats.org/officeDocument/2006/relationships/image" Target="media/image22.wmf"/><Relationship Id="rId64" Type="http://schemas.openxmlformats.org/officeDocument/2006/relationships/oleObject" Target="embeddings/oleObject28.bin"/><Relationship Id="rId63" Type="http://schemas.openxmlformats.org/officeDocument/2006/relationships/image" Target="media/image21.wmf"/><Relationship Id="rId62" Type="http://schemas.openxmlformats.org/officeDocument/2006/relationships/oleObject" Target="embeddings/oleObject27.bin"/><Relationship Id="rId61" Type="http://schemas.openxmlformats.org/officeDocument/2006/relationships/image" Target="media/image20.wmf"/><Relationship Id="rId60" Type="http://schemas.openxmlformats.org/officeDocument/2006/relationships/oleObject" Target="embeddings/oleObject26.bin"/><Relationship Id="rId6" Type="http://schemas.openxmlformats.org/officeDocument/2006/relationships/header" Target="header3.xml"/><Relationship Id="rId59" Type="http://schemas.openxmlformats.org/officeDocument/2006/relationships/image" Target="media/image19.wmf"/><Relationship Id="rId58" Type="http://schemas.openxmlformats.org/officeDocument/2006/relationships/oleObject" Target="embeddings/oleObject25.bin"/><Relationship Id="rId57" Type="http://schemas.openxmlformats.org/officeDocument/2006/relationships/oleObject" Target="embeddings/oleObject24.bin"/><Relationship Id="rId56" Type="http://schemas.openxmlformats.org/officeDocument/2006/relationships/oleObject" Target="embeddings/oleObject23.bin"/><Relationship Id="rId55" Type="http://schemas.openxmlformats.org/officeDocument/2006/relationships/oleObject" Target="embeddings/oleObject22.bin"/><Relationship Id="rId54" Type="http://schemas.openxmlformats.org/officeDocument/2006/relationships/oleObject" Target="embeddings/oleObject21.bin"/><Relationship Id="rId53" Type="http://schemas.openxmlformats.org/officeDocument/2006/relationships/image" Target="media/image18.wmf"/><Relationship Id="rId52" Type="http://schemas.openxmlformats.org/officeDocument/2006/relationships/oleObject" Target="embeddings/oleObject20.bin"/><Relationship Id="rId51" Type="http://schemas.openxmlformats.org/officeDocument/2006/relationships/oleObject" Target="embeddings/oleObject19.bin"/><Relationship Id="rId50" Type="http://schemas.openxmlformats.org/officeDocument/2006/relationships/image" Target="media/image17.wmf"/><Relationship Id="rId5" Type="http://schemas.openxmlformats.org/officeDocument/2006/relationships/footer" Target="footer1.xml"/><Relationship Id="rId49" Type="http://schemas.openxmlformats.org/officeDocument/2006/relationships/oleObject" Target="embeddings/oleObject18.bin"/><Relationship Id="rId48" Type="http://schemas.openxmlformats.org/officeDocument/2006/relationships/oleObject" Target="embeddings/oleObject17.bin"/><Relationship Id="rId47" Type="http://schemas.openxmlformats.org/officeDocument/2006/relationships/oleObject" Target="embeddings/oleObject16.bin"/><Relationship Id="rId46" Type="http://schemas.openxmlformats.org/officeDocument/2006/relationships/image" Target="media/image16.wmf"/><Relationship Id="rId45" Type="http://schemas.openxmlformats.org/officeDocument/2006/relationships/oleObject" Target="embeddings/oleObject15.bin"/><Relationship Id="rId44" Type="http://schemas.openxmlformats.org/officeDocument/2006/relationships/image" Target="media/image15.wmf"/><Relationship Id="rId43" Type="http://schemas.openxmlformats.org/officeDocument/2006/relationships/oleObject" Target="embeddings/oleObject14.bin"/><Relationship Id="rId42" Type="http://schemas.openxmlformats.org/officeDocument/2006/relationships/image" Target="media/image14.wmf"/><Relationship Id="rId41" Type="http://schemas.openxmlformats.org/officeDocument/2006/relationships/oleObject" Target="embeddings/oleObject13.bin"/><Relationship Id="rId40" Type="http://schemas.openxmlformats.org/officeDocument/2006/relationships/image" Target="media/image13.wmf"/><Relationship Id="rId4" Type="http://schemas.openxmlformats.org/officeDocument/2006/relationships/header" Target="header2.xml"/><Relationship Id="rId39" Type="http://schemas.openxmlformats.org/officeDocument/2006/relationships/oleObject" Target="embeddings/oleObject12.bin"/><Relationship Id="rId38" Type="http://schemas.openxmlformats.org/officeDocument/2006/relationships/image" Target="media/image12.wmf"/><Relationship Id="rId37" Type="http://schemas.openxmlformats.org/officeDocument/2006/relationships/oleObject" Target="embeddings/oleObject11.bin"/><Relationship Id="rId36" Type="http://schemas.openxmlformats.org/officeDocument/2006/relationships/image" Target="media/image11.wmf"/><Relationship Id="rId35" Type="http://schemas.openxmlformats.org/officeDocument/2006/relationships/oleObject" Target="embeddings/oleObject10.bin"/><Relationship Id="rId34" Type="http://schemas.openxmlformats.org/officeDocument/2006/relationships/image" Target="media/image10.wmf"/><Relationship Id="rId33" Type="http://schemas.openxmlformats.org/officeDocument/2006/relationships/oleObject" Target="embeddings/oleObject9.bin"/><Relationship Id="rId32" Type="http://schemas.openxmlformats.org/officeDocument/2006/relationships/image" Target="media/image9.wmf"/><Relationship Id="rId31" Type="http://schemas.openxmlformats.org/officeDocument/2006/relationships/oleObject" Target="embeddings/oleObject8.bin"/><Relationship Id="rId30" Type="http://schemas.openxmlformats.org/officeDocument/2006/relationships/image" Target="media/image8.wmf"/><Relationship Id="rId3" Type="http://schemas.openxmlformats.org/officeDocument/2006/relationships/header" Target="header1.xml"/><Relationship Id="rId293" Type="http://schemas.openxmlformats.org/officeDocument/2006/relationships/fontTable" Target="fontTable.xml"/><Relationship Id="rId292" Type="http://schemas.openxmlformats.org/officeDocument/2006/relationships/customXml" Target="../customXml/item2.xml"/><Relationship Id="rId291" Type="http://schemas.openxmlformats.org/officeDocument/2006/relationships/numbering" Target="numbering.xml"/><Relationship Id="rId290" Type="http://schemas.openxmlformats.org/officeDocument/2006/relationships/customXml" Target="../customXml/item1.xml"/><Relationship Id="rId29" Type="http://schemas.openxmlformats.org/officeDocument/2006/relationships/oleObject" Target="embeddings/oleObject7.bin"/><Relationship Id="rId289" Type="http://schemas.openxmlformats.org/officeDocument/2006/relationships/image" Target="media/image112.wmf"/><Relationship Id="rId288" Type="http://schemas.openxmlformats.org/officeDocument/2006/relationships/oleObject" Target="embeddings/oleObject162.bin"/><Relationship Id="rId287" Type="http://schemas.openxmlformats.org/officeDocument/2006/relationships/image" Target="media/image111.wmf"/><Relationship Id="rId286" Type="http://schemas.openxmlformats.org/officeDocument/2006/relationships/oleObject" Target="embeddings/oleObject161.bin"/><Relationship Id="rId285" Type="http://schemas.openxmlformats.org/officeDocument/2006/relationships/image" Target="media/image110.wmf"/><Relationship Id="rId284" Type="http://schemas.openxmlformats.org/officeDocument/2006/relationships/oleObject" Target="embeddings/oleObject160.bin"/><Relationship Id="rId283" Type="http://schemas.openxmlformats.org/officeDocument/2006/relationships/image" Target="media/image109.wmf"/><Relationship Id="rId282" Type="http://schemas.openxmlformats.org/officeDocument/2006/relationships/oleObject" Target="embeddings/oleObject159.bin"/><Relationship Id="rId281" Type="http://schemas.openxmlformats.org/officeDocument/2006/relationships/image" Target="media/image108.wmf"/><Relationship Id="rId280" Type="http://schemas.openxmlformats.org/officeDocument/2006/relationships/oleObject" Target="embeddings/oleObject158.bin"/><Relationship Id="rId28" Type="http://schemas.openxmlformats.org/officeDocument/2006/relationships/image" Target="media/image7.wmf"/><Relationship Id="rId279" Type="http://schemas.openxmlformats.org/officeDocument/2006/relationships/image" Target="media/image107.wmf"/><Relationship Id="rId278" Type="http://schemas.openxmlformats.org/officeDocument/2006/relationships/oleObject" Target="embeddings/oleObject157.bin"/><Relationship Id="rId277" Type="http://schemas.openxmlformats.org/officeDocument/2006/relationships/oleObject" Target="embeddings/oleObject156.bin"/><Relationship Id="rId276" Type="http://schemas.openxmlformats.org/officeDocument/2006/relationships/oleObject" Target="embeddings/oleObject155.bin"/><Relationship Id="rId275" Type="http://schemas.openxmlformats.org/officeDocument/2006/relationships/oleObject" Target="embeddings/oleObject154.bin"/><Relationship Id="rId274" Type="http://schemas.openxmlformats.org/officeDocument/2006/relationships/oleObject" Target="embeddings/oleObject153.bin"/><Relationship Id="rId273" Type="http://schemas.openxmlformats.org/officeDocument/2006/relationships/oleObject" Target="embeddings/oleObject152.bin"/><Relationship Id="rId272" Type="http://schemas.openxmlformats.org/officeDocument/2006/relationships/oleObject" Target="embeddings/oleObject151.bin"/><Relationship Id="rId271" Type="http://schemas.openxmlformats.org/officeDocument/2006/relationships/oleObject" Target="embeddings/oleObject150.bin"/><Relationship Id="rId270" Type="http://schemas.openxmlformats.org/officeDocument/2006/relationships/oleObject" Target="embeddings/oleObject149.bin"/><Relationship Id="rId27" Type="http://schemas.openxmlformats.org/officeDocument/2006/relationships/oleObject" Target="embeddings/oleObject6.bin"/><Relationship Id="rId269" Type="http://schemas.openxmlformats.org/officeDocument/2006/relationships/oleObject" Target="embeddings/oleObject148.bin"/><Relationship Id="rId268" Type="http://schemas.openxmlformats.org/officeDocument/2006/relationships/oleObject" Target="embeddings/oleObject147.bin"/><Relationship Id="rId267" Type="http://schemas.openxmlformats.org/officeDocument/2006/relationships/oleObject" Target="embeddings/oleObject146.bin"/><Relationship Id="rId266" Type="http://schemas.openxmlformats.org/officeDocument/2006/relationships/oleObject" Target="embeddings/oleObject145.bin"/><Relationship Id="rId265" Type="http://schemas.openxmlformats.org/officeDocument/2006/relationships/image" Target="media/image106.wmf"/><Relationship Id="rId264" Type="http://schemas.openxmlformats.org/officeDocument/2006/relationships/oleObject" Target="embeddings/oleObject144.bin"/><Relationship Id="rId263" Type="http://schemas.openxmlformats.org/officeDocument/2006/relationships/oleObject" Target="embeddings/oleObject143.bin"/><Relationship Id="rId262" Type="http://schemas.openxmlformats.org/officeDocument/2006/relationships/image" Target="media/image105.wmf"/><Relationship Id="rId261" Type="http://schemas.openxmlformats.org/officeDocument/2006/relationships/oleObject" Target="embeddings/oleObject142.bin"/><Relationship Id="rId260" Type="http://schemas.openxmlformats.org/officeDocument/2006/relationships/image" Target="media/image104.wmf"/><Relationship Id="rId26" Type="http://schemas.openxmlformats.org/officeDocument/2006/relationships/image" Target="media/image6.wmf"/><Relationship Id="rId259" Type="http://schemas.openxmlformats.org/officeDocument/2006/relationships/oleObject" Target="embeddings/oleObject141.bin"/><Relationship Id="rId258" Type="http://schemas.openxmlformats.org/officeDocument/2006/relationships/oleObject" Target="embeddings/oleObject140.bin"/><Relationship Id="rId257" Type="http://schemas.openxmlformats.org/officeDocument/2006/relationships/image" Target="media/image103.wmf"/><Relationship Id="rId256" Type="http://schemas.openxmlformats.org/officeDocument/2006/relationships/oleObject" Target="embeddings/oleObject139.bin"/><Relationship Id="rId255" Type="http://schemas.openxmlformats.org/officeDocument/2006/relationships/image" Target="media/image102.wmf"/><Relationship Id="rId254" Type="http://schemas.openxmlformats.org/officeDocument/2006/relationships/oleObject" Target="embeddings/oleObject138.bin"/><Relationship Id="rId253" Type="http://schemas.openxmlformats.org/officeDocument/2006/relationships/oleObject" Target="embeddings/oleObject137.bin"/><Relationship Id="rId252" Type="http://schemas.openxmlformats.org/officeDocument/2006/relationships/image" Target="media/image101.wmf"/><Relationship Id="rId251" Type="http://schemas.openxmlformats.org/officeDocument/2006/relationships/oleObject" Target="embeddings/oleObject136.bin"/><Relationship Id="rId250" Type="http://schemas.openxmlformats.org/officeDocument/2006/relationships/image" Target="media/image100.wmf"/><Relationship Id="rId25" Type="http://schemas.openxmlformats.org/officeDocument/2006/relationships/oleObject" Target="embeddings/oleObject5.bin"/><Relationship Id="rId249" Type="http://schemas.openxmlformats.org/officeDocument/2006/relationships/oleObject" Target="embeddings/oleObject135.bin"/><Relationship Id="rId248" Type="http://schemas.openxmlformats.org/officeDocument/2006/relationships/oleObject" Target="embeddings/oleObject134.bin"/><Relationship Id="rId247" Type="http://schemas.openxmlformats.org/officeDocument/2006/relationships/image" Target="media/image99.wmf"/><Relationship Id="rId246" Type="http://schemas.openxmlformats.org/officeDocument/2006/relationships/oleObject" Target="embeddings/oleObject133.bin"/><Relationship Id="rId245" Type="http://schemas.openxmlformats.org/officeDocument/2006/relationships/image" Target="media/image98.wmf"/><Relationship Id="rId244" Type="http://schemas.openxmlformats.org/officeDocument/2006/relationships/oleObject" Target="embeddings/oleObject132.bin"/><Relationship Id="rId243" Type="http://schemas.openxmlformats.org/officeDocument/2006/relationships/oleObject" Target="embeddings/oleObject131.bin"/><Relationship Id="rId242" Type="http://schemas.openxmlformats.org/officeDocument/2006/relationships/image" Target="media/image97.wmf"/><Relationship Id="rId241" Type="http://schemas.openxmlformats.org/officeDocument/2006/relationships/oleObject" Target="embeddings/oleObject130.bin"/><Relationship Id="rId240" Type="http://schemas.openxmlformats.org/officeDocument/2006/relationships/image" Target="media/image96.wmf"/><Relationship Id="rId24" Type="http://schemas.openxmlformats.org/officeDocument/2006/relationships/image" Target="media/image5.wmf"/><Relationship Id="rId239" Type="http://schemas.openxmlformats.org/officeDocument/2006/relationships/oleObject" Target="embeddings/oleObject129.bin"/><Relationship Id="rId238" Type="http://schemas.openxmlformats.org/officeDocument/2006/relationships/oleObject" Target="embeddings/oleObject128.bin"/><Relationship Id="rId237" Type="http://schemas.openxmlformats.org/officeDocument/2006/relationships/image" Target="media/image95.wmf"/><Relationship Id="rId236" Type="http://schemas.openxmlformats.org/officeDocument/2006/relationships/oleObject" Target="embeddings/oleObject127.bin"/><Relationship Id="rId235" Type="http://schemas.openxmlformats.org/officeDocument/2006/relationships/image" Target="media/image94.wmf"/><Relationship Id="rId234" Type="http://schemas.openxmlformats.org/officeDocument/2006/relationships/oleObject" Target="embeddings/oleObject126.bin"/><Relationship Id="rId233" Type="http://schemas.openxmlformats.org/officeDocument/2006/relationships/oleObject" Target="embeddings/oleObject125.bin"/><Relationship Id="rId232" Type="http://schemas.openxmlformats.org/officeDocument/2006/relationships/image" Target="media/image93.wmf"/><Relationship Id="rId231" Type="http://schemas.openxmlformats.org/officeDocument/2006/relationships/oleObject" Target="embeddings/oleObject124.bin"/><Relationship Id="rId230" Type="http://schemas.openxmlformats.org/officeDocument/2006/relationships/image" Target="media/image92.wmf"/><Relationship Id="rId23" Type="http://schemas.openxmlformats.org/officeDocument/2006/relationships/oleObject" Target="embeddings/oleObject4.bin"/><Relationship Id="rId229" Type="http://schemas.openxmlformats.org/officeDocument/2006/relationships/oleObject" Target="embeddings/oleObject123.bin"/><Relationship Id="rId228" Type="http://schemas.openxmlformats.org/officeDocument/2006/relationships/oleObject" Target="embeddings/oleObject122.bin"/><Relationship Id="rId227" Type="http://schemas.openxmlformats.org/officeDocument/2006/relationships/image" Target="media/image91.wmf"/><Relationship Id="rId226" Type="http://schemas.openxmlformats.org/officeDocument/2006/relationships/oleObject" Target="embeddings/oleObject121.bin"/><Relationship Id="rId225" Type="http://schemas.openxmlformats.org/officeDocument/2006/relationships/image" Target="media/image90.wmf"/><Relationship Id="rId224" Type="http://schemas.openxmlformats.org/officeDocument/2006/relationships/oleObject" Target="embeddings/oleObject120.bin"/><Relationship Id="rId223" Type="http://schemas.openxmlformats.org/officeDocument/2006/relationships/oleObject" Target="embeddings/oleObject119.bin"/><Relationship Id="rId222" Type="http://schemas.openxmlformats.org/officeDocument/2006/relationships/image" Target="media/image89.wmf"/><Relationship Id="rId221" Type="http://schemas.openxmlformats.org/officeDocument/2006/relationships/oleObject" Target="embeddings/oleObject118.bin"/><Relationship Id="rId220" Type="http://schemas.openxmlformats.org/officeDocument/2006/relationships/image" Target="media/image88.wmf"/><Relationship Id="rId22" Type="http://schemas.openxmlformats.org/officeDocument/2006/relationships/image" Target="media/image4.wmf"/><Relationship Id="rId219" Type="http://schemas.openxmlformats.org/officeDocument/2006/relationships/oleObject" Target="embeddings/oleObject117.bin"/><Relationship Id="rId218" Type="http://schemas.openxmlformats.org/officeDocument/2006/relationships/oleObject" Target="embeddings/oleObject116.bin"/><Relationship Id="rId217" Type="http://schemas.openxmlformats.org/officeDocument/2006/relationships/image" Target="media/image87.wmf"/><Relationship Id="rId216" Type="http://schemas.openxmlformats.org/officeDocument/2006/relationships/oleObject" Target="embeddings/oleObject115.bin"/><Relationship Id="rId215" Type="http://schemas.openxmlformats.org/officeDocument/2006/relationships/image" Target="media/image86.wmf"/><Relationship Id="rId214" Type="http://schemas.openxmlformats.org/officeDocument/2006/relationships/oleObject" Target="embeddings/oleObject114.bin"/><Relationship Id="rId213" Type="http://schemas.openxmlformats.org/officeDocument/2006/relationships/oleObject" Target="embeddings/oleObject113.bin"/><Relationship Id="rId212" Type="http://schemas.openxmlformats.org/officeDocument/2006/relationships/image" Target="media/image85.wmf"/><Relationship Id="rId211" Type="http://schemas.openxmlformats.org/officeDocument/2006/relationships/oleObject" Target="embeddings/oleObject112.bin"/><Relationship Id="rId210" Type="http://schemas.openxmlformats.org/officeDocument/2006/relationships/image" Target="media/image84.wmf"/><Relationship Id="rId21" Type="http://schemas.openxmlformats.org/officeDocument/2006/relationships/oleObject" Target="embeddings/oleObject3.bin"/><Relationship Id="rId209" Type="http://schemas.openxmlformats.org/officeDocument/2006/relationships/oleObject" Target="embeddings/oleObject111.bin"/><Relationship Id="rId208" Type="http://schemas.openxmlformats.org/officeDocument/2006/relationships/image" Target="media/image83.wmf"/><Relationship Id="rId207" Type="http://schemas.openxmlformats.org/officeDocument/2006/relationships/oleObject" Target="embeddings/oleObject110.bin"/><Relationship Id="rId206" Type="http://schemas.openxmlformats.org/officeDocument/2006/relationships/image" Target="media/image82.wmf"/><Relationship Id="rId205" Type="http://schemas.openxmlformats.org/officeDocument/2006/relationships/oleObject" Target="embeddings/oleObject109.bin"/><Relationship Id="rId204" Type="http://schemas.openxmlformats.org/officeDocument/2006/relationships/image" Target="media/image81.wmf"/><Relationship Id="rId203" Type="http://schemas.openxmlformats.org/officeDocument/2006/relationships/oleObject" Target="embeddings/oleObject108.bin"/><Relationship Id="rId202" Type="http://schemas.openxmlformats.org/officeDocument/2006/relationships/image" Target="media/image80.wmf"/><Relationship Id="rId201" Type="http://schemas.openxmlformats.org/officeDocument/2006/relationships/oleObject" Target="embeddings/oleObject107.bin"/><Relationship Id="rId200" Type="http://schemas.openxmlformats.org/officeDocument/2006/relationships/oleObject" Target="embeddings/oleObject106.bin"/><Relationship Id="rId20" Type="http://schemas.openxmlformats.org/officeDocument/2006/relationships/image" Target="media/image3.wmf"/><Relationship Id="rId2" Type="http://schemas.openxmlformats.org/officeDocument/2006/relationships/settings" Target="settings.xml"/><Relationship Id="rId199" Type="http://schemas.openxmlformats.org/officeDocument/2006/relationships/image" Target="media/image79.wmf"/><Relationship Id="rId198" Type="http://schemas.openxmlformats.org/officeDocument/2006/relationships/oleObject" Target="embeddings/oleObject105.bin"/><Relationship Id="rId197" Type="http://schemas.openxmlformats.org/officeDocument/2006/relationships/image" Target="media/image78.wmf"/><Relationship Id="rId196" Type="http://schemas.openxmlformats.org/officeDocument/2006/relationships/oleObject" Target="embeddings/oleObject104.bin"/><Relationship Id="rId195" Type="http://schemas.openxmlformats.org/officeDocument/2006/relationships/oleObject" Target="embeddings/oleObject103.bin"/><Relationship Id="rId194" Type="http://schemas.openxmlformats.org/officeDocument/2006/relationships/image" Target="media/image77.wmf"/><Relationship Id="rId193" Type="http://schemas.openxmlformats.org/officeDocument/2006/relationships/oleObject" Target="embeddings/oleObject102.bin"/><Relationship Id="rId192" Type="http://schemas.openxmlformats.org/officeDocument/2006/relationships/image" Target="media/image76.wmf"/><Relationship Id="rId191" Type="http://schemas.openxmlformats.org/officeDocument/2006/relationships/oleObject" Target="embeddings/oleObject101.bin"/><Relationship Id="rId190" Type="http://schemas.openxmlformats.org/officeDocument/2006/relationships/oleObject" Target="embeddings/oleObject100.bin"/><Relationship Id="rId19" Type="http://schemas.openxmlformats.org/officeDocument/2006/relationships/oleObject" Target="embeddings/oleObject2.bin"/><Relationship Id="rId189" Type="http://schemas.openxmlformats.org/officeDocument/2006/relationships/image" Target="media/image75.wmf"/><Relationship Id="rId188" Type="http://schemas.openxmlformats.org/officeDocument/2006/relationships/oleObject" Target="embeddings/oleObject99.bin"/><Relationship Id="rId187" Type="http://schemas.openxmlformats.org/officeDocument/2006/relationships/image" Target="media/image74.wmf"/><Relationship Id="rId186" Type="http://schemas.openxmlformats.org/officeDocument/2006/relationships/oleObject" Target="embeddings/oleObject98.bin"/><Relationship Id="rId185" Type="http://schemas.openxmlformats.org/officeDocument/2006/relationships/oleObject" Target="embeddings/oleObject97.bin"/><Relationship Id="rId184" Type="http://schemas.openxmlformats.org/officeDocument/2006/relationships/image" Target="media/image73.wmf"/><Relationship Id="rId183" Type="http://schemas.openxmlformats.org/officeDocument/2006/relationships/oleObject" Target="embeddings/oleObject96.bin"/><Relationship Id="rId182" Type="http://schemas.openxmlformats.org/officeDocument/2006/relationships/image" Target="media/image72.wmf"/><Relationship Id="rId181" Type="http://schemas.openxmlformats.org/officeDocument/2006/relationships/oleObject" Target="embeddings/oleObject95.bin"/><Relationship Id="rId180" Type="http://schemas.openxmlformats.org/officeDocument/2006/relationships/oleObject" Target="embeddings/oleObject94.bin"/><Relationship Id="rId18" Type="http://schemas.openxmlformats.org/officeDocument/2006/relationships/image" Target="media/image2.wmf"/><Relationship Id="rId179" Type="http://schemas.openxmlformats.org/officeDocument/2006/relationships/image" Target="media/image71.wmf"/><Relationship Id="rId178" Type="http://schemas.openxmlformats.org/officeDocument/2006/relationships/oleObject" Target="embeddings/oleObject93.bin"/><Relationship Id="rId177" Type="http://schemas.openxmlformats.org/officeDocument/2006/relationships/image" Target="media/image70.wmf"/><Relationship Id="rId176" Type="http://schemas.openxmlformats.org/officeDocument/2006/relationships/oleObject" Target="embeddings/oleObject92.bin"/><Relationship Id="rId175" Type="http://schemas.openxmlformats.org/officeDocument/2006/relationships/oleObject" Target="embeddings/oleObject91.bin"/><Relationship Id="rId174" Type="http://schemas.openxmlformats.org/officeDocument/2006/relationships/image" Target="media/image69.wmf"/><Relationship Id="rId173" Type="http://schemas.openxmlformats.org/officeDocument/2006/relationships/oleObject" Target="embeddings/oleObject90.bin"/><Relationship Id="rId172" Type="http://schemas.openxmlformats.org/officeDocument/2006/relationships/image" Target="media/image68.wmf"/><Relationship Id="rId171" Type="http://schemas.openxmlformats.org/officeDocument/2006/relationships/oleObject" Target="embeddings/oleObject89.bin"/><Relationship Id="rId170" Type="http://schemas.openxmlformats.org/officeDocument/2006/relationships/oleObject" Target="embeddings/oleObject88.bin"/><Relationship Id="rId17" Type="http://schemas.openxmlformats.org/officeDocument/2006/relationships/oleObject" Target="embeddings/oleObject1.bin"/><Relationship Id="rId169" Type="http://schemas.openxmlformats.org/officeDocument/2006/relationships/image" Target="media/image67.wmf"/><Relationship Id="rId168" Type="http://schemas.openxmlformats.org/officeDocument/2006/relationships/oleObject" Target="embeddings/oleObject87.bin"/><Relationship Id="rId167" Type="http://schemas.openxmlformats.org/officeDocument/2006/relationships/image" Target="media/image66.wmf"/><Relationship Id="rId166" Type="http://schemas.openxmlformats.org/officeDocument/2006/relationships/oleObject" Target="embeddings/oleObject86.bin"/><Relationship Id="rId165" Type="http://schemas.openxmlformats.org/officeDocument/2006/relationships/oleObject" Target="embeddings/oleObject85.bin"/><Relationship Id="rId164" Type="http://schemas.openxmlformats.org/officeDocument/2006/relationships/image" Target="media/image65.wmf"/><Relationship Id="rId163" Type="http://schemas.openxmlformats.org/officeDocument/2006/relationships/oleObject" Target="embeddings/oleObject84.bin"/><Relationship Id="rId162" Type="http://schemas.openxmlformats.org/officeDocument/2006/relationships/image" Target="media/image64.wmf"/><Relationship Id="rId161" Type="http://schemas.openxmlformats.org/officeDocument/2006/relationships/oleObject" Target="embeddings/oleObject83.bin"/><Relationship Id="rId160" Type="http://schemas.openxmlformats.org/officeDocument/2006/relationships/oleObject" Target="embeddings/oleObject82.bin"/><Relationship Id="rId16" Type="http://schemas.openxmlformats.org/officeDocument/2006/relationships/image" Target="media/image1.png"/><Relationship Id="rId159" Type="http://schemas.openxmlformats.org/officeDocument/2006/relationships/image" Target="media/image63.wmf"/><Relationship Id="rId158" Type="http://schemas.openxmlformats.org/officeDocument/2006/relationships/oleObject" Target="embeddings/oleObject81.bin"/><Relationship Id="rId157" Type="http://schemas.openxmlformats.org/officeDocument/2006/relationships/image" Target="media/image62.wmf"/><Relationship Id="rId156" Type="http://schemas.openxmlformats.org/officeDocument/2006/relationships/oleObject" Target="embeddings/oleObject80.bin"/><Relationship Id="rId155" Type="http://schemas.openxmlformats.org/officeDocument/2006/relationships/oleObject" Target="embeddings/oleObject79.bin"/><Relationship Id="rId154" Type="http://schemas.openxmlformats.org/officeDocument/2006/relationships/image" Target="media/image61.wmf"/><Relationship Id="rId153" Type="http://schemas.openxmlformats.org/officeDocument/2006/relationships/oleObject" Target="embeddings/oleObject78.bin"/><Relationship Id="rId152" Type="http://schemas.openxmlformats.org/officeDocument/2006/relationships/image" Target="media/image60.wmf"/><Relationship Id="rId151" Type="http://schemas.openxmlformats.org/officeDocument/2006/relationships/oleObject" Target="embeddings/oleObject77.bin"/><Relationship Id="rId150" Type="http://schemas.openxmlformats.org/officeDocument/2006/relationships/oleObject" Target="embeddings/oleObject76.bin"/><Relationship Id="rId15" Type="http://schemas.openxmlformats.org/officeDocument/2006/relationships/theme" Target="theme/theme1.xml"/><Relationship Id="rId149" Type="http://schemas.openxmlformats.org/officeDocument/2006/relationships/image" Target="media/image59.wmf"/><Relationship Id="rId148" Type="http://schemas.openxmlformats.org/officeDocument/2006/relationships/oleObject" Target="embeddings/oleObject75.bin"/><Relationship Id="rId147" Type="http://schemas.openxmlformats.org/officeDocument/2006/relationships/image" Target="media/image58.wmf"/><Relationship Id="rId146" Type="http://schemas.openxmlformats.org/officeDocument/2006/relationships/oleObject" Target="embeddings/oleObject74.bin"/><Relationship Id="rId145" Type="http://schemas.openxmlformats.org/officeDocument/2006/relationships/oleObject" Target="embeddings/oleObject73.bin"/><Relationship Id="rId144" Type="http://schemas.openxmlformats.org/officeDocument/2006/relationships/image" Target="media/image57.wmf"/><Relationship Id="rId143" Type="http://schemas.openxmlformats.org/officeDocument/2006/relationships/oleObject" Target="embeddings/oleObject72.bin"/><Relationship Id="rId142" Type="http://schemas.openxmlformats.org/officeDocument/2006/relationships/image" Target="media/image56.wmf"/><Relationship Id="rId141" Type="http://schemas.openxmlformats.org/officeDocument/2006/relationships/oleObject" Target="embeddings/oleObject71.bin"/><Relationship Id="rId140" Type="http://schemas.openxmlformats.org/officeDocument/2006/relationships/oleObject" Target="embeddings/oleObject70.bin"/><Relationship Id="rId14" Type="http://schemas.openxmlformats.org/officeDocument/2006/relationships/footer" Target="footer7.xml"/><Relationship Id="rId139" Type="http://schemas.openxmlformats.org/officeDocument/2006/relationships/image" Target="media/image55.wmf"/><Relationship Id="rId138" Type="http://schemas.openxmlformats.org/officeDocument/2006/relationships/oleObject" Target="embeddings/oleObject69.bin"/><Relationship Id="rId137" Type="http://schemas.openxmlformats.org/officeDocument/2006/relationships/image" Target="media/image54.wmf"/><Relationship Id="rId136" Type="http://schemas.openxmlformats.org/officeDocument/2006/relationships/oleObject" Target="embeddings/oleObject68.bin"/><Relationship Id="rId135" Type="http://schemas.openxmlformats.org/officeDocument/2006/relationships/image" Target="media/image53.wmf"/><Relationship Id="rId134" Type="http://schemas.openxmlformats.org/officeDocument/2006/relationships/oleObject" Target="embeddings/oleObject67.bin"/><Relationship Id="rId133" Type="http://schemas.openxmlformats.org/officeDocument/2006/relationships/image" Target="media/image52.wmf"/><Relationship Id="rId132" Type="http://schemas.openxmlformats.org/officeDocument/2006/relationships/oleObject" Target="embeddings/oleObject66.bin"/><Relationship Id="rId131" Type="http://schemas.openxmlformats.org/officeDocument/2006/relationships/oleObject" Target="embeddings/oleObject65.bin"/><Relationship Id="rId130" Type="http://schemas.openxmlformats.org/officeDocument/2006/relationships/image" Target="media/image51.wmf"/><Relationship Id="rId13" Type="http://schemas.openxmlformats.org/officeDocument/2006/relationships/footer" Target="footer6.xml"/><Relationship Id="rId129" Type="http://schemas.openxmlformats.org/officeDocument/2006/relationships/oleObject" Target="embeddings/oleObject64.bin"/><Relationship Id="rId128" Type="http://schemas.openxmlformats.org/officeDocument/2006/relationships/image" Target="media/image50.wmf"/><Relationship Id="rId127" Type="http://schemas.openxmlformats.org/officeDocument/2006/relationships/oleObject" Target="embeddings/oleObject63.bin"/><Relationship Id="rId126" Type="http://schemas.openxmlformats.org/officeDocument/2006/relationships/image" Target="media/image49.wmf"/><Relationship Id="rId125" Type="http://schemas.openxmlformats.org/officeDocument/2006/relationships/oleObject" Target="embeddings/oleObject62.bin"/><Relationship Id="rId124" Type="http://schemas.openxmlformats.org/officeDocument/2006/relationships/image" Target="media/image48.wmf"/><Relationship Id="rId123" Type="http://schemas.openxmlformats.org/officeDocument/2006/relationships/oleObject" Target="embeddings/oleObject61.bin"/><Relationship Id="rId122" Type="http://schemas.openxmlformats.org/officeDocument/2006/relationships/oleObject" Target="embeddings/oleObject60.bin"/><Relationship Id="rId121" Type="http://schemas.openxmlformats.org/officeDocument/2006/relationships/image" Target="media/image47.wmf"/><Relationship Id="rId120" Type="http://schemas.openxmlformats.org/officeDocument/2006/relationships/oleObject" Target="embeddings/oleObject59.bin"/><Relationship Id="rId12" Type="http://schemas.openxmlformats.org/officeDocument/2006/relationships/header" Target="header5.xml"/><Relationship Id="rId119" Type="http://schemas.openxmlformats.org/officeDocument/2006/relationships/oleObject" Target="embeddings/oleObject58.bin"/><Relationship Id="rId118" Type="http://schemas.openxmlformats.org/officeDocument/2006/relationships/image" Target="media/image46.wmf"/><Relationship Id="rId117" Type="http://schemas.openxmlformats.org/officeDocument/2006/relationships/oleObject" Target="embeddings/oleObject57.bin"/><Relationship Id="rId116" Type="http://schemas.openxmlformats.org/officeDocument/2006/relationships/image" Target="media/image45.wmf"/><Relationship Id="rId115" Type="http://schemas.openxmlformats.org/officeDocument/2006/relationships/oleObject" Target="embeddings/oleObject56.bin"/><Relationship Id="rId114" Type="http://schemas.openxmlformats.org/officeDocument/2006/relationships/oleObject" Target="embeddings/oleObject55.bin"/><Relationship Id="rId113" Type="http://schemas.openxmlformats.org/officeDocument/2006/relationships/oleObject" Target="embeddings/oleObject54.bin"/><Relationship Id="rId112" Type="http://schemas.openxmlformats.org/officeDocument/2006/relationships/image" Target="media/image44.wmf"/><Relationship Id="rId111" Type="http://schemas.openxmlformats.org/officeDocument/2006/relationships/oleObject" Target="embeddings/oleObject53.bin"/><Relationship Id="rId110" Type="http://schemas.openxmlformats.org/officeDocument/2006/relationships/image" Target="media/image43.wmf"/><Relationship Id="rId11" Type="http://schemas.openxmlformats.org/officeDocument/2006/relationships/footer" Target="footer5.xml"/><Relationship Id="rId109" Type="http://schemas.openxmlformats.org/officeDocument/2006/relationships/oleObject" Target="embeddings/oleObject52.bin"/><Relationship Id="rId108" Type="http://schemas.openxmlformats.org/officeDocument/2006/relationships/oleObject" Target="embeddings/oleObject51.bin"/><Relationship Id="rId107" Type="http://schemas.openxmlformats.org/officeDocument/2006/relationships/image" Target="media/image42.wmf"/><Relationship Id="rId106" Type="http://schemas.openxmlformats.org/officeDocument/2006/relationships/oleObject" Target="embeddings/oleObject50.bin"/><Relationship Id="rId105" Type="http://schemas.openxmlformats.org/officeDocument/2006/relationships/image" Target="media/image41.wmf"/><Relationship Id="rId104" Type="http://schemas.openxmlformats.org/officeDocument/2006/relationships/oleObject" Target="embeddings/oleObject49.bin"/><Relationship Id="rId103" Type="http://schemas.openxmlformats.org/officeDocument/2006/relationships/image" Target="media/image40.wmf"/><Relationship Id="rId102" Type="http://schemas.openxmlformats.org/officeDocument/2006/relationships/oleObject" Target="embeddings/oleObject48.bin"/><Relationship Id="rId101" Type="http://schemas.openxmlformats.org/officeDocument/2006/relationships/image" Target="media/image39.wmf"/><Relationship Id="rId100" Type="http://schemas.openxmlformats.org/officeDocument/2006/relationships/oleObject" Target="embeddings/oleObject47.bin"/><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91A42D-311A-480F-AF87-FA7E92F68BC4}">
  <ds:schemaRefs/>
</ds:datastoreItem>
</file>

<file path=docProps/app.xml><?xml version="1.0" encoding="utf-8"?>
<Properties xmlns="http://schemas.openxmlformats.org/officeDocument/2006/extended-properties" xmlns:vt="http://schemas.openxmlformats.org/officeDocument/2006/docPropsVTypes">
  <Template>Normal</Template>
  <Pages>29</Pages>
  <Words>4615</Words>
  <Characters>5611</Characters>
  <Lines>1520</Lines>
  <Paragraphs>1643</Paragraphs>
  <TotalTime>118</TotalTime>
  <ScaleCrop>false</ScaleCrop>
  <LinksUpToDate>false</LinksUpToDate>
  <CharactersWithSpaces>6205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2025-07-03T09:36:00Z</dcterms:created>
  <dc:creator>syjlz</dc:creator>
  <cp:lastModifiedBy>安其</cp:lastModifiedBy>
  <cp:lastPrinted>2025-06-26T05:04:00Z</cp:lastPrinted>
  <dcterms:modified xsi:type="dcterms:W3CDTF">2025-07-04T01:33:48Z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MTWinEqns">
    <vt:bool>true</vt:bool>
  </property>
  <property fmtid="{D5CDD505-2E9C-101B-9397-08002B2CF9AE}" pid="4" name="ICV">
    <vt:lpwstr>A6A24DF5EF6043C180573469DD9C6B50_13</vt:lpwstr>
  </property>
  <property fmtid="{D5CDD505-2E9C-101B-9397-08002B2CF9AE}" pid="5" name="KSOTemplateDocerSaveRecord">
    <vt:lpwstr>eyJoZGlkIjoiZWUxNWZmYmU5NzdmMTNlOTdlOGEwYTYwZmEzZTc2MmIiLCJ1c2VySWQiOiIyNDI5NTkwNTUifQ==</vt:lpwstr>
  </property>
</Properties>
</file>