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7C6A7">
      <w:pPr>
        <w:ind w:left="-2" w:leftChars="-1" w:right="-1"/>
        <w:jc w:val="center"/>
        <w:rPr>
          <w:rFonts w:eastAsia="仿宋"/>
          <w:sz w:val="24"/>
          <w:highlight w:val="none"/>
        </w:rPr>
      </w:pPr>
    </w:p>
    <w:p w14:paraId="798CDB8B">
      <w:pPr>
        <w:ind w:left="-2" w:leftChars="-1" w:right="-1"/>
        <w:jc w:val="center"/>
        <w:rPr>
          <w:rFonts w:eastAsia="仿宋"/>
          <w:sz w:val="24"/>
          <w:highlight w:val="none"/>
        </w:rPr>
      </w:pPr>
    </w:p>
    <w:p w14:paraId="2BCF4C66">
      <w:pPr>
        <w:ind w:left="-2" w:leftChars="-1" w:right="-1"/>
        <w:jc w:val="center"/>
        <w:rPr>
          <w:rFonts w:eastAsia="仿宋"/>
          <w:sz w:val="24"/>
          <w:highlight w:val="none"/>
        </w:rPr>
      </w:pPr>
    </w:p>
    <w:p w14:paraId="4AB2A3EB">
      <w:pPr>
        <w:ind w:left="-2" w:leftChars="-1" w:right="-1"/>
        <w:jc w:val="center"/>
        <w:rPr>
          <w:rFonts w:eastAsia="仿宋"/>
          <w:sz w:val="24"/>
          <w:highlight w:val="none"/>
        </w:rPr>
      </w:pPr>
    </w:p>
    <w:p w14:paraId="4247576C">
      <w:pPr>
        <w:ind w:left="-2" w:leftChars="-1" w:right="-1"/>
        <w:jc w:val="center"/>
        <w:rPr>
          <w:rFonts w:eastAsia="仿宋"/>
          <w:b/>
          <w:sz w:val="36"/>
          <w:highlight w:val="none"/>
        </w:rPr>
      </w:pPr>
      <w:r>
        <w:rPr>
          <w:rFonts w:eastAsia="仿宋"/>
          <w:b/>
          <w:sz w:val="36"/>
          <w:highlight w:val="none"/>
        </w:rPr>
        <w:t>中华人民共和国国家计量检定规程</w:t>
      </w:r>
    </w:p>
    <w:p w14:paraId="45F19709">
      <w:pPr>
        <w:ind w:left="-2" w:leftChars="-1" w:right="-1"/>
        <w:jc w:val="center"/>
        <w:rPr>
          <w:rFonts w:eastAsia="仿宋"/>
          <w:b/>
          <w:sz w:val="48"/>
          <w:highlight w:val="none"/>
        </w:rPr>
      </w:pPr>
    </w:p>
    <w:p w14:paraId="603C1513">
      <w:pPr>
        <w:ind w:left="-2" w:leftChars="-1" w:right="-1"/>
        <w:jc w:val="center"/>
        <w:rPr>
          <w:rFonts w:eastAsia="仿宋"/>
          <w:b/>
          <w:sz w:val="48"/>
          <w:highlight w:val="none"/>
        </w:rPr>
      </w:pPr>
    </w:p>
    <w:p w14:paraId="7C016DD0">
      <w:pPr>
        <w:ind w:left="-2" w:leftChars="-1" w:right="-1"/>
        <w:jc w:val="center"/>
        <w:rPr>
          <w:rFonts w:eastAsia="仿宋"/>
          <w:b/>
          <w:sz w:val="48"/>
          <w:highlight w:val="none"/>
        </w:rPr>
      </w:pPr>
    </w:p>
    <w:p w14:paraId="5DDEC4B0">
      <w:pPr>
        <w:ind w:left="-2" w:leftChars="-1" w:right="-1"/>
        <w:jc w:val="center"/>
        <w:rPr>
          <w:rFonts w:eastAsia="仿宋"/>
          <w:b/>
          <w:sz w:val="40"/>
          <w:szCs w:val="20"/>
          <w:highlight w:val="none"/>
        </w:rPr>
      </w:pPr>
      <w:r>
        <w:rPr>
          <w:rFonts w:hint="eastAsia" w:eastAsia="仿宋"/>
          <w:b/>
          <w:sz w:val="40"/>
          <w:szCs w:val="20"/>
          <w:highlight w:val="none"/>
        </w:rPr>
        <w:t>防护水平标准级电离室剂量计</w:t>
      </w:r>
    </w:p>
    <w:p w14:paraId="462C8527">
      <w:pPr>
        <w:ind w:left="-2" w:leftChars="-1" w:right="-1"/>
        <w:jc w:val="center"/>
        <w:rPr>
          <w:rFonts w:eastAsia="仿宋"/>
          <w:b/>
          <w:sz w:val="32"/>
          <w:szCs w:val="20"/>
          <w:highlight w:val="none"/>
        </w:rPr>
      </w:pPr>
      <w:r>
        <w:rPr>
          <w:rFonts w:eastAsia="仿宋"/>
          <w:b/>
          <w:sz w:val="40"/>
          <w:szCs w:val="20"/>
          <w:highlight w:val="none"/>
        </w:rPr>
        <w:t>检定规程编写说明</w:t>
      </w:r>
    </w:p>
    <w:p w14:paraId="34FD149E">
      <w:pPr>
        <w:ind w:left="-2" w:leftChars="-1" w:right="-1"/>
        <w:jc w:val="center"/>
        <w:rPr>
          <w:rFonts w:eastAsia="仿宋"/>
          <w:b/>
          <w:sz w:val="44"/>
          <w:highlight w:val="none"/>
        </w:rPr>
      </w:pPr>
    </w:p>
    <w:p w14:paraId="6C0CB701">
      <w:pPr>
        <w:ind w:left="-2" w:leftChars="-1" w:right="-1"/>
        <w:jc w:val="center"/>
        <w:rPr>
          <w:rFonts w:eastAsia="仿宋"/>
          <w:b/>
          <w:sz w:val="44"/>
          <w:highlight w:val="none"/>
        </w:rPr>
      </w:pPr>
    </w:p>
    <w:p w14:paraId="3ED597C0">
      <w:pPr>
        <w:ind w:left="-2" w:leftChars="-1" w:right="-1"/>
        <w:jc w:val="center"/>
        <w:rPr>
          <w:rFonts w:eastAsia="仿宋"/>
          <w:b/>
          <w:sz w:val="44"/>
          <w:highlight w:val="none"/>
        </w:rPr>
      </w:pPr>
    </w:p>
    <w:p w14:paraId="232B7A4B">
      <w:pPr>
        <w:ind w:left="-2" w:leftChars="-1" w:right="-1"/>
        <w:jc w:val="center"/>
        <w:rPr>
          <w:rFonts w:eastAsia="仿宋"/>
          <w:b/>
          <w:sz w:val="44"/>
          <w:highlight w:val="none"/>
        </w:rPr>
      </w:pPr>
    </w:p>
    <w:p w14:paraId="55FF450B">
      <w:pPr>
        <w:ind w:left="-2" w:leftChars="-1" w:right="-1"/>
        <w:jc w:val="center"/>
        <w:rPr>
          <w:rFonts w:eastAsia="仿宋"/>
          <w:b/>
          <w:sz w:val="44"/>
          <w:highlight w:val="none"/>
        </w:rPr>
      </w:pPr>
    </w:p>
    <w:p w14:paraId="3D08A0DF">
      <w:pPr>
        <w:ind w:left="-2" w:leftChars="-1" w:right="-1"/>
        <w:jc w:val="center"/>
        <w:rPr>
          <w:rFonts w:eastAsia="仿宋"/>
          <w:b/>
          <w:sz w:val="44"/>
          <w:highlight w:val="none"/>
        </w:rPr>
      </w:pPr>
    </w:p>
    <w:p w14:paraId="0F1057BE">
      <w:pPr>
        <w:ind w:left="-2" w:leftChars="-1" w:right="-1"/>
        <w:jc w:val="center"/>
        <w:rPr>
          <w:rFonts w:eastAsia="仿宋"/>
          <w:b/>
          <w:sz w:val="44"/>
          <w:highlight w:val="none"/>
        </w:rPr>
      </w:pPr>
    </w:p>
    <w:p w14:paraId="0102C781">
      <w:pPr>
        <w:spacing w:before="156" w:line="480" w:lineRule="exact"/>
        <w:jc w:val="center"/>
        <w:rPr>
          <w:rFonts w:eastAsia="仿宋"/>
          <w:sz w:val="28"/>
          <w:szCs w:val="28"/>
          <w:highlight w:val="none"/>
        </w:rPr>
      </w:pPr>
      <w:r>
        <w:rPr>
          <w:rFonts w:eastAsia="仿宋"/>
          <w:sz w:val="28"/>
          <w:szCs w:val="28"/>
          <w:highlight w:val="none"/>
        </w:rPr>
        <w:t>《</w:t>
      </w:r>
      <w:r>
        <w:rPr>
          <w:rFonts w:hint="eastAsia" w:eastAsia="仿宋"/>
          <w:sz w:val="28"/>
          <w:szCs w:val="28"/>
          <w:highlight w:val="none"/>
        </w:rPr>
        <w:t>防护水平标准级</w:t>
      </w:r>
      <w:bookmarkStart w:id="3" w:name="_GoBack"/>
      <w:bookmarkEnd w:id="3"/>
      <w:r>
        <w:rPr>
          <w:rFonts w:hint="eastAsia" w:eastAsia="仿宋"/>
          <w:sz w:val="28"/>
          <w:szCs w:val="28"/>
          <w:highlight w:val="none"/>
        </w:rPr>
        <w:t>电离室剂量计</w:t>
      </w:r>
      <w:r>
        <w:rPr>
          <w:rFonts w:eastAsia="仿宋"/>
          <w:sz w:val="28"/>
          <w:szCs w:val="28"/>
          <w:highlight w:val="none"/>
        </w:rPr>
        <w:t>》</w:t>
      </w:r>
    </w:p>
    <w:p w14:paraId="62AC4B2C">
      <w:pPr>
        <w:spacing w:before="156" w:line="480" w:lineRule="exact"/>
        <w:jc w:val="center"/>
        <w:rPr>
          <w:rFonts w:eastAsia="仿宋"/>
          <w:sz w:val="28"/>
          <w:szCs w:val="28"/>
          <w:highlight w:val="none"/>
        </w:rPr>
      </w:pPr>
      <w:r>
        <w:rPr>
          <w:rFonts w:eastAsia="仿宋"/>
          <w:sz w:val="28"/>
          <w:szCs w:val="28"/>
          <w:highlight w:val="none"/>
        </w:rPr>
        <w:t>编写组</w:t>
      </w:r>
    </w:p>
    <w:p w14:paraId="06CCB061">
      <w:pPr>
        <w:spacing w:before="156" w:line="480" w:lineRule="exact"/>
        <w:jc w:val="center"/>
        <w:rPr>
          <w:rFonts w:eastAsia="仿宋"/>
          <w:sz w:val="28"/>
          <w:szCs w:val="28"/>
          <w:highlight w:val="none"/>
        </w:rPr>
      </w:pPr>
    </w:p>
    <w:p w14:paraId="75972C90">
      <w:pPr>
        <w:spacing w:before="156" w:line="480" w:lineRule="exact"/>
        <w:jc w:val="center"/>
        <w:rPr>
          <w:rFonts w:eastAsia="仿宋"/>
          <w:sz w:val="28"/>
          <w:szCs w:val="28"/>
          <w:highlight w:val="none"/>
        </w:rPr>
      </w:pPr>
    </w:p>
    <w:p w14:paraId="43957A69">
      <w:pPr>
        <w:spacing w:before="156" w:line="480" w:lineRule="exact"/>
        <w:jc w:val="center"/>
        <w:rPr>
          <w:rFonts w:eastAsia="仿宋"/>
          <w:sz w:val="28"/>
          <w:szCs w:val="28"/>
          <w:highlight w:val="none"/>
        </w:rPr>
      </w:pPr>
    </w:p>
    <w:p w14:paraId="5885EFC6">
      <w:pPr>
        <w:spacing w:before="156" w:line="480" w:lineRule="exact"/>
        <w:jc w:val="center"/>
        <w:rPr>
          <w:rFonts w:eastAsia="仿宋"/>
          <w:b/>
          <w:sz w:val="28"/>
          <w:highlight w:val="none"/>
        </w:rPr>
      </w:pPr>
      <w:r>
        <w:rPr>
          <w:rFonts w:eastAsia="仿宋"/>
          <w:sz w:val="28"/>
          <w:szCs w:val="28"/>
          <w:highlight w:val="none"/>
        </w:rPr>
        <w:t>202</w:t>
      </w:r>
      <w:r>
        <w:rPr>
          <w:rFonts w:hint="eastAsia" w:eastAsia="仿宋"/>
          <w:sz w:val="28"/>
          <w:szCs w:val="28"/>
          <w:highlight w:val="none"/>
        </w:rPr>
        <w:t>5</w:t>
      </w:r>
      <w:r>
        <w:rPr>
          <w:rFonts w:eastAsia="仿宋"/>
          <w:sz w:val="28"/>
          <w:szCs w:val="28"/>
          <w:highlight w:val="none"/>
        </w:rPr>
        <w:t>年</w:t>
      </w:r>
      <w:r>
        <w:rPr>
          <w:rFonts w:hint="eastAsia" w:eastAsia="仿宋"/>
          <w:sz w:val="28"/>
          <w:szCs w:val="28"/>
          <w:highlight w:val="none"/>
        </w:rPr>
        <w:t>07</w:t>
      </w:r>
      <w:r>
        <w:rPr>
          <w:rFonts w:eastAsia="仿宋"/>
          <w:sz w:val="28"/>
          <w:szCs w:val="28"/>
          <w:highlight w:val="none"/>
        </w:rPr>
        <w:t>月</w:t>
      </w:r>
      <w:r>
        <w:rPr>
          <w:rFonts w:hint="eastAsia" w:eastAsia="仿宋"/>
          <w:sz w:val="28"/>
          <w:szCs w:val="28"/>
          <w:highlight w:val="none"/>
        </w:rPr>
        <w:t>29</w:t>
      </w:r>
      <w:r>
        <w:rPr>
          <w:rFonts w:eastAsia="仿宋"/>
          <w:sz w:val="28"/>
          <w:szCs w:val="28"/>
          <w:highlight w:val="none"/>
        </w:rPr>
        <w:t>日</w:t>
      </w:r>
    </w:p>
    <w:p w14:paraId="254C72C5">
      <w:pPr>
        <w:rPr>
          <w:highlight w:val="none"/>
        </w:rPr>
      </w:pPr>
      <w:r>
        <w:rPr>
          <w:highlight w:val="none"/>
        </w:rPr>
        <w:br w:type="page"/>
      </w:r>
    </w:p>
    <w:p w14:paraId="00DBC25E">
      <w:pPr>
        <w:ind w:left="-2" w:leftChars="-1" w:right="-1"/>
        <w:jc w:val="center"/>
        <w:rPr>
          <w:rFonts w:eastAsia="仿宋"/>
          <w:b/>
          <w:sz w:val="32"/>
          <w:highlight w:val="none"/>
        </w:rPr>
      </w:pPr>
      <w:r>
        <w:rPr>
          <w:rFonts w:hint="eastAsia" w:eastAsia="仿宋"/>
          <w:b/>
          <w:sz w:val="32"/>
          <w:highlight w:val="none"/>
        </w:rPr>
        <w:t>防护水平标准级电离室剂量计</w:t>
      </w:r>
    </w:p>
    <w:p w14:paraId="09BC389D">
      <w:pPr>
        <w:jc w:val="center"/>
        <w:rPr>
          <w:rFonts w:eastAsia="仿宋"/>
          <w:b/>
          <w:sz w:val="32"/>
          <w:highlight w:val="none"/>
        </w:rPr>
      </w:pPr>
      <w:r>
        <w:rPr>
          <w:rFonts w:eastAsia="仿宋"/>
          <w:b/>
          <w:sz w:val="32"/>
          <w:highlight w:val="none"/>
        </w:rPr>
        <w:t>检定规程编写说明</w:t>
      </w:r>
    </w:p>
    <w:p w14:paraId="14D495D0">
      <w:pPr>
        <w:pStyle w:val="2"/>
        <w:numPr>
          <w:ilvl w:val="0"/>
          <w:numId w:val="1"/>
        </w:numPr>
        <w:adjustRightInd w:val="0"/>
        <w:snapToGrid w:val="0"/>
        <w:spacing w:before="100" w:beforeAutospacing="1" w:after="0" w:line="360" w:lineRule="auto"/>
        <w:rPr>
          <w:rFonts w:ascii="Times New Roman" w:hAnsi="Times New Roman" w:eastAsia="仿宋"/>
          <w:highlight w:val="none"/>
        </w:rPr>
      </w:pPr>
      <w:r>
        <w:rPr>
          <w:rFonts w:ascii="Times New Roman" w:hAnsi="Times New Roman" w:eastAsia="仿宋"/>
          <w:highlight w:val="none"/>
        </w:rPr>
        <w:t>制定的必要性</w:t>
      </w:r>
    </w:p>
    <w:p w14:paraId="3A840313">
      <w:pPr>
        <w:adjustRightInd w:val="0"/>
        <w:snapToGrid w:val="0"/>
        <w:spacing w:before="100" w:beforeAutospacing="1" w:line="360" w:lineRule="auto"/>
        <w:ind w:firstLine="560"/>
        <w:rPr>
          <w:rFonts w:eastAsia="仿宋_GB2312"/>
          <w:sz w:val="24"/>
          <w:szCs w:val="28"/>
          <w:highlight w:val="none"/>
        </w:rPr>
      </w:pPr>
      <w:r>
        <w:rPr>
          <w:rFonts w:eastAsia="仿宋_GB2312"/>
          <w:sz w:val="24"/>
          <w:szCs w:val="28"/>
          <w:highlight w:val="none"/>
        </w:rPr>
        <w:t>防护水平电离室剂量计作为计量标准，是X/γ射线空气比释动能计量器具检定系统表中非常重要的一环，起到承上启下的作用：向上溯源到国家计量基准，向下将量值传递到工作计量器具。目前，国内对于防护水平标准级电离室剂量计的检定/量传的技术法规文件尚属空白。</w:t>
      </w:r>
    </w:p>
    <w:p w14:paraId="7576BC10">
      <w:pPr>
        <w:adjustRightInd w:val="0"/>
        <w:snapToGrid w:val="0"/>
        <w:spacing w:before="100" w:beforeAutospacing="1" w:line="360" w:lineRule="auto"/>
        <w:ind w:firstLine="560"/>
        <w:rPr>
          <w:rFonts w:eastAsia="仿宋_GB2312"/>
          <w:sz w:val="24"/>
          <w:szCs w:val="28"/>
          <w:highlight w:val="none"/>
        </w:rPr>
      </w:pPr>
      <w:r>
        <w:rPr>
          <w:rFonts w:eastAsia="仿宋_GB2312"/>
          <w:sz w:val="24"/>
          <w:szCs w:val="28"/>
          <w:highlight w:val="none"/>
        </w:rPr>
        <w:t>因此有必要建立针对X/γ射线防护水平标准级电离室剂量计的检定规程，解决当前标准级电离室剂量计计量溯源技术法规缺失的问题。对防护水平剂量标准开展量传工作，以进一步提升X/γ射线防护剂量监测用工作计量器具的准确性和可靠性，完善辐射防护剂量量传体系具有重要意义。</w:t>
      </w:r>
    </w:p>
    <w:p w14:paraId="6719B755">
      <w:pPr>
        <w:adjustRightInd w:val="0"/>
        <w:snapToGrid w:val="0"/>
        <w:spacing w:before="100" w:beforeAutospacing="1" w:line="360" w:lineRule="auto"/>
        <w:ind w:firstLine="560"/>
        <w:rPr>
          <w:rFonts w:eastAsia="仿宋_GB2312"/>
          <w:sz w:val="24"/>
          <w:szCs w:val="28"/>
          <w:highlight w:val="none"/>
        </w:rPr>
      </w:pPr>
      <w:r>
        <w:rPr>
          <w:rFonts w:eastAsia="仿宋_GB2312"/>
          <w:sz w:val="24"/>
          <w:szCs w:val="28"/>
          <w:highlight w:val="none"/>
        </w:rPr>
        <w:t>经与全国电离辐射计量技术委员会的沟通协商，于</w:t>
      </w:r>
      <w:r>
        <w:rPr>
          <w:rFonts w:hint="eastAsia" w:eastAsia="仿宋_GB2312"/>
          <w:sz w:val="24"/>
          <w:szCs w:val="28"/>
          <w:highlight w:val="none"/>
        </w:rPr>
        <w:t>2022</w:t>
      </w:r>
      <w:r>
        <w:rPr>
          <w:rFonts w:eastAsia="仿宋_GB2312"/>
          <w:sz w:val="24"/>
          <w:szCs w:val="28"/>
          <w:highlight w:val="none"/>
        </w:rPr>
        <w:t>年向原国家质检总局正式申请制订《防护水平标准级电离室剂量计检定规程》，经国家质量监督检验检疫总局批准，该检定规程的制订工作也列入了20</w:t>
      </w:r>
      <w:r>
        <w:rPr>
          <w:rFonts w:hint="eastAsia" w:eastAsia="仿宋_GB2312"/>
          <w:sz w:val="24"/>
          <w:szCs w:val="28"/>
          <w:highlight w:val="none"/>
        </w:rPr>
        <w:t>22</w:t>
      </w:r>
      <w:r>
        <w:rPr>
          <w:rFonts w:eastAsia="仿宋_GB2312"/>
          <w:sz w:val="24"/>
          <w:szCs w:val="28"/>
          <w:highlight w:val="none"/>
        </w:rPr>
        <w:t>~20</w:t>
      </w:r>
      <w:r>
        <w:rPr>
          <w:rFonts w:hint="eastAsia" w:eastAsia="仿宋_GB2312"/>
          <w:sz w:val="24"/>
          <w:szCs w:val="28"/>
          <w:highlight w:val="none"/>
        </w:rPr>
        <w:t>23年的技术法规制修订计划。</w:t>
      </w:r>
    </w:p>
    <w:p w14:paraId="609B2C17">
      <w:pPr>
        <w:pStyle w:val="2"/>
        <w:numPr>
          <w:ilvl w:val="0"/>
          <w:numId w:val="1"/>
        </w:numPr>
        <w:adjustRightInd w:val="0"/>
        <w:snapToGrid w:val="0"/>
        <w:spacing w:before="100" w:beforeAutospacing="1" w:after="0" w:line="360" w:lineRule="auto"/>
        <w:rPr>
          <w:rFonts w:ascii="Times New Roman" w:hAnsi="Times New Roman" w:eastAsia="仿宋"/>
          <w:highlight w:val="none"/>
        </w:rPr>
      </w:pPr>
      <w:r>
        <w:rPr>
          <w:rFonts w:ascii="Times New Roman" w:hAnsi="Times New Roman" w:eastAsia="仿宋"/>
          <w:highlight w:val="none"/>
        </w:rPr>
        <w:t>编写过程</w:t>
      </w:r>
    </w:p>
    <w:p w14:paraId="3BF763FE">
      <w:pPr>
        <w:adjustRightInd w:val="0"/>
        <w:snapToGrid w:val="0"/>
        <w:spacing w:before="100" w:beforeAutospacing="1" w:line="360" w:lineRule="auto"/>
        <w:ind w:firstLine="560"/>
        <w:rPr>
          <w:rFonts w:eastAsia="仿宋"/>
          <w:sz w:val="24"/>
          <w:szCs w:val="28"/>
          <w:highlight w:val="none"/>
        </w:rPr>
      </w:pPr>
      <w:r>
        <w:rPr>
          <w:rFonts w:hint="eastAsia" w:eastAsia="仿宋"/>
          <w:sz w:val="24"/>
          <w:szCs w:val="28"/>
          <w:highlight w:val="none"/>
        </w:rPr>
        <w:t>中国计量科学研究院和北京市计量检测科学研究院作为</w:t>
      </w:r>
      <w:r>
        <w:rPr>
          <w:rFonts w:eastAsia="仿宋"/>
          <w:sz w:val="24"/>
          <w:szCs w:val="28"/>
          <w:highlight w:val="none"/>
        </w:rPr>
        <w:t>本检定规程</w:t>
      </w:r>
      <w:r>
        <w:rPr>
          <w:rFonts w:hint="eastAsia" w:eastAsia="仿宋"/>
          <w:sz w:val="24"/>
          <w:szCs w:val="28"/>
          <w:highlight w:val="none"/>
        </w:rPr>
        <w:t>主要起草单位，中国原子能科学研究院电离辐射国防一级计量站和上海市计量测试技术研究院参与起草</w:t>
      </w:r>
      <w:r>
        <w:rPr>
          <w:rFonts w:eastAsia="仿宋"/>
          <w:sz w:val="24"/>
          <w:szCs w:val="28"/>
          <w:highlight w:val="none"/>
        </w:rPr>
        <w:t>。起草小组同技术委员会负责人就检定规程的适用范围、采用的辐射量、编写依据、计量性能要求和通用技术要求等问题</w:t>
      </w:r>
      <w:r>
        <w:rPr>
          <w:rFonts w:hint="eastAsia" w:eastAsia="仿宋"/>
          <w:sz w:val="24"/>
          <w:szCs w:val="28"/>
          <w:highlight w:val="none"/>
        </w:rPr>
        <w:t>开展了深入</w:t>
      </w:r>
      <w:r>
        <w:rPr>
          <w:rFonts w:eastAsia="仿宋"/>
          <w:sz w:val="24"/>
          <w:szCs w:val="28"/>
          <w:highlight w:val="none"/>
        </w:rPr>
        <w:t>讨论</w:t>
      </w:r>
      <w:r>
        <w:rPr>
          <w:rFonts w:hint="eastAsia" w:eastAsia="仿宋"/>
          <w:sz w:val="24"/>
          <w:szCs w:val="28"/>
          <w:highlight w:val="none"/>
        </w:rPr>
        <w:t>，</w:t>
      </w:r>
      <w:r>
        <w:rPr>
          <w:rFonts w:eastAsia="仿宋"/>
          <w:sz w:val="24"/>
          <w:szCs w:val="28"/>
          <w:highlight w:val="none"/>
        </w:rPr>
        <w:t>确定了制定工作的具体内容。</w:t>
      </w:r>
    </w:p>
    <w:p w14:paraId="1CC3E7DC">
      <w:pPr>
        <w:adjustRightInd w:val="0"/>
        <w:snapToGrid w:val="0"/>
        <w:spacing w:before="100" w:beforeAutospacing="1" w:line="360" w:lineRule="auto"/>
        <w:ind w:firstLine="560"/>
        <w:rPr>
          <w:rFonts w:eastAsia="仿宋"/>
          <w:sz w:val="24"/>
          <w:szCs w:val="28"/>
          <w:highlight w:val="none"/>
        </w:rPr>
      </w:pPr>
      <w:r>
        <w:rPr>
          <w:rFonts w:eastAsia="仿宋"/>
          <w:sz w:val="24"/>
          <w:szCs w:val="28"/>
          <w:highlight w:val="none"/>
        </w:rPr>
        <w:t>本检定规程主要参照</w:t>
      </w:r>
      <w:r>
        <w:rPr>
          <w:rFonts w:hint="eastAsia" w:eastAsia="仿宋"/>
          <w:sz w:val="24"/>
          <w:szCs w:val="28"/>
          <w:highlight w:val="none"/>
        </w:rPr>
        <w:t>JJG 2043—2010 (60~250)kV X射线空气比释动能计量器具、JJG 2044—2019 γ射线空气比释动能计量器具、JJF 1606—2016 治疗水平电离室剂量计型式评价大纲等</w:t>
      </w:r>
      <w:r>
        <w:rPr>
          <w:rFonts w:eastAsia="仿宋"/>
          <w:sz w:val="24"/>
          <w:szCs w:val="28"/>
          <w:highlight w:val="none"/>
        </w:rPr>
        <w:t>起草，初稿于20</w:t>
      </w:r>
      <w:r>
        <w:rPr>
          <w:rFonts w:hint="eastAsia" w:eastAsia="仿宋"/>
          <w:sz w:val="24"/>
          <w:szCs w:val="28"/>
          <w:highlight w:val="none"/>
        </w:rPr>
        <w:t>25</w:t>
      </w:r>
      <w:r>
        <w:rPr>
          <w:rFonts w:eastAsia="仿宋"/>
          <w:sz w:val="24"/>
          <w:szCs w:val="28"/>
          <w:highlight w:val="none"/>
        </w:rPr>
        <w:t>年</w:t>
      </w:r>
      <w:r>
        <w:rPr>
          <w:rFonts w:hint="eastAsia" w:eastAsia="仿宋"/>
          <w:sz w:val="24"/>
          <w:szCs w:val="28"/>
          <w:highlight w:val="none"/>
        </w:rPr>
        <w:t>5</w:t>
      </w:r>
      <w:r>
        <w:rPr>
          <w:rFonts w:eastAsia="仿宋"/>
          <w:sz w:val="24"/>
          <w:szCs w:val="28"/>
          <w:highlight w:val="none"/>
        </w:rPr>
        <w:t>月完成。经与技术委员会和有关</w:t>
      </w:r>
      <w:r>
        <w:rPr>
          <w:rFonts w:hint="eastAsia" w:eastAsia="仿宋"/>
          <w:sz w:val="24"/>
          <w:szCs w:val="28"/>
          <w:highlight w:val="none"/>
        </w:rPr>
        <w:t>专家</w:t>
      </w:r>
      <w:r>
        <w:rPr>
          <w:rFonts w:eastAsia="仿宋"/>
          <w:sz w:val="24"/>
          <w:szCs w:val="28"/>
          <w:highlight w:val="none"/>
        </w:rPr>
        <w:t>多次讨论修改并补充，</w:t>
      </w:r>
      <w:r>
        <w:rPr>
          <w:rFonts w:hint="eastAsia" w:eastAsia="仿宋"/>
          <w:sz w:val="24"/>
          <w:szCs w:val="28"/>
          <w:highlight w:val="none"/>
        </w:rPr>
        <w:t>计划</w:t>
      </w:r>
      <w:r>
        <w:rPr>
          <w:rFonts w:eastAsia="仿宋"/>
          <w:sz w:val="24"/>
          <w:szCs w:val="28"/>
          <w:highlight w:val="none"/>
        </w:rPr>
        <w:t>于202</w:t>
      </w:r>
      <w:r>
        <w:rPr>
          <w:rFonts w:hint="eastAsia" w:eastAsia="仿宋"/>
          <w:sz w:val="24"/>
          <w:szCs w:val="28"/>
          <w:highlight w:val="none"/>
        </w:rPr>
        <w:t>5</w:t>
      </w:r>
      <w:r>
        <w:rPr>
          <w:rFonts w:eastAsia="仿宋"/>
          <w:sz w:val="24"/>
          <w:szCs w:val="28"/>
          <w:highlight w:val="none"/>
        </w:rPr>
        <w:t>年</w:t>
      </w:r>
      <w:r>
        <w:rPr>
          <w:rFonts w:hint="eastAsia" w:eastAsia="仿宋"/>
          <w:sz w:val="24"/>
          <w:szCs w:val="28"/>
          <w:highlight w:val="none"/>
        </w:rPr>
        <w:t>8</w:t>
      </w:r>
      <w:r>
        <w:rPr>
          <w:rFonts w:eastAsia="仿宋"/>
          <w:sz w:val="24"/>
          <w:szCs w:val="28"/>
          <w:highlight w:val="none"/>
        </w:rPr>
        <w:t>月完成征求意见稿并</w:t>
      </w:r>
      <w:r>
        <w:rPr>
          <w:rFonts w:hint="eastAsia" w:eastAsia="仿宋"/>
          <w:sz w:val="24"/>
          <w:szCs w:val="28"/>
          <w:highlight w:val="none"/>
        </w:rPr>
        <w:t>发送</w:t>
      </w:r>
      <w:r>
        <w:rPr>
          <w:rFonts w:eastAsia="仿宋"/>
          <w:sz w:val="24"/>
          <w:szCs w:val="28"/>
          <w:highlight w:val="none"/>
        </w:rPr>
        <w:t>至技术委员会全体委员在内的各位专家，广泛征求意见</w:t>
      </w:r>
      <w:r>
        <w:rPr>
          <w:rFonts w:hint="eastAsia" w:eastAsia="仿宋"/>
          <w:sz w:val="24"/>
          <w:szCs w:val="28"/>
          <w:highlight w:val="none"/>
        </w:rPr>
        <w:t>。计划于2025年09月23日至26日全国电离辐射计量技术委员会召开国家计量技术规范审定会，并在会上对本规程进行讨论与审定</w:t>
      </w:r>
      <w:r>
        <w:rPr>
          <w:rFonts w:eastAsia="仿宋"/>
          <w:sz w:val="24"/>
          <w:highlight w:val="none"/>
        </w:rPr>
        <w:t>。</w:t>
      </w:r>
    </w:p>
    <w:p w14:paraId="22A29B92">
      <w:pPr>
        <w:pStyle w:val="2"/>
        <w:numPr>
          <w:ilvl w:val="0"/>
          <w:numId w:val="1"/>
        </w:numPr>
        <w:adjustRightInd w:val="0"/>
        <w:snapToGrid w:val="0"/>
        <w:spacing w:before="100" w:beforeAutospacing="1" w:after="0" w:line="360" w:lineRule="auto"/>
        <w:rPr>
          <w:rFonts w:ascii="Times New Roman" w:hAnsi="Times New Roman" w:eastAsia="仿宋"/>
          <w:b w:val="0"/>
          <w:sz w:val="28"/>
          <w:highlight w:val="none"/>
        </w:rPr>
      </w:pPr>
      <w:r>
        <w:rPr>
          <w:rFonts w:ascii="Times New Roman" w:hAnsi="Times New Roman" w:eastAsia="仿宋"/>
          <w:highlight w:val="none"/>
        </w:rPr>
        <w:t>适用范围</w:t>
      </w:r>
    </w:p>
    <w:p w14:paraId="5336EFCD">
      <w:pPr>
        <w:adjustRightInd w:val="0"/>
        <w:snapToGrid w:val="0"/>
        <w:spacing w:before="100" w:beforeAutospacing="1" w:line="360" w:lineRule="auto"/>
        <w:ind w:firstLine="560"/>
        <w:rPr>
          <w:rFonts w:eastAsia="仿宋"/>
          <w:sz w:val="24"/>
          <w:szCs w:val="28"/>
          <w:highlight w:val="none"/>
        </w:rPr>
      </w:pPr>
      <w:r>
        <w:rPr>
          <w:rFonts w:hint="eastAsia" w:eastAsia="仿宋"/>
          <w:sz w:val="24"/>
          <w:szCs w:val="28"/>
          <w:highlight w:val="none"/>
        </w:rPr>
        <w:t>本检定规程适用于用作空气比释动能（防护水平）计量标准的电离室剂量计，不适用于用作工作计量器具的无源累积型剂量测量装置、便携式剂量当量剂量仪和监测仪。当前国际标准尚未对防护水平标准级电离室剂量计的能量范围做出规定，根据检定规程JJG 393—2018中对工作计量器具的检定范围是80 keV~1.5 MeV的X/</w:t>
      </w:r>
      <w:r>
        <w:rPr>
          <w:rFonts w:eastAsia="仿宋"/>
          <w:sz w:val="24"/>
          <w:szCs w:val="28"/>
          <w:highlight w:val="none"/>
        </w:rPr>
        <w:t>γ</w:t>
      </w:r>
      <w:r>
        <w:rPr>
          <w:rFonts w:hint="eastAsia" w:eastAsia="仿宋"/>
          <w:sz w:val="24"/>
          <w:szCs w:val="28"/>
          <w:highlight w:val="none"/>
        </w:rPr>
        <w:t>辐射。</w:t>
      </w:r>
    </w:p>
    <w:p w14:paraId="7D9A7B69">
      <w:pPr>
        <w:adjustRightInd w:val="0"/>
        <w:snapToGrid w:val="0"/>
        <w:spacing w:before="100" w:beforeAutospacing="1" w:line="360" w:lineRule="auto"/>
        <w:ind w:firstLine="560"/>
        <w:rPr>
          <w:rFonts w:eastAsia="仿宋"/>
          <w:sz w:val="24"/>
          <w:szCs w:val="28"/>
          <w:highlight w:val="none"/>
        </w:rPr>
      </w:pPr>
      <w:r>
        <w:rPr>
          <w:rFonts w:hint="eastAsia" w:eastAsia="仿宋"/>
          <w:sz w:val="24"/>
          <w:szCs w:val="28"/>
          <w:highlight w:val="none"/>
        </w:rPr>
        <w:t>因此，征求意见稿明确的本检定规程的适用范围是：</w:t>
      </w:r>
    </w:p>
    <w:p w14:paraId="2A7D7996">
      <w:pPr>
        <w:adjustRightInd w:val="0"/>
        <w:snapToGrid w:val="0"/>
        <w:spacing w:before="100" w:beforeAutospacing="1" w:line="360" w:lineRule="auto"/>
        <w:ind w:firstLine="560"/>
        <w:rPr>
          <w:rFonts w:eastAsia="仿宋"/>
          <w:sz w:val="24"/>
          <w:szCs w:val="28"/>
          <w:highlight w:val="none"/>
        </w:rPr>
      </w:pPr>
      <w:r>
        <w:rPr>
          <w:rFonts w:eastAsia="仿宋"/>
          <w:sz w:val="24"/>
          <w:szCs w:val="28"/>
          <w:highlight w:val="none"/>
        </w:rPr>
        <w:t>辐射——</w:t>
      </w:r>
      <w:r>
        <w:rPr>
          <w:rFonts w:hint="eastAsia" w:eastAsia="仿宋"/>
          <w:sz w:val="24"/>
          <w:szCs w:val="28"/>
          <w:highlight w:val="none"/>
        </w:rPr>
        <w:t>X/</w:t>
      </w:r>
      <w:r>
        <w:rPr>
          <w:rFonts w:eastAsia="仿宋"/>
          <w:sz w:val="24"/>
          <w:szCs w:val="28"/>
          <w:highlight w:val="none"/>
        </w:rPr>
        <w:t>γ辐射；</w:t>
      </w:r>
    </w:p>
    <w:p w14:paraId="2AAE2E82">
      <w:pPr>
        <w:adjustRightInd w:val="0"/>
        <w:snapToGrid w:val="0"/>
        <w:spacing w:before="100" w:beforeAutospacing="1" w:line="360" w:lineRule="auto"/>
        <w:ind w:firstLine="560"/>
        <w:rPr>
          <w:rFonts w:eastAsia="仿宋"/>
          <w:sz w:val="24"/>
          <w:szCs w:val="28"/>
          <w:highlight w:val="none"/>
        </w:rPr>
      </w:pPr>
      <w:r>
        <w:rPr>
          <w:rFonts w:eastAsia="仿宋"/>
          <w:sz w:val="24"/>
          <w:szCs w:val="28"/>
          <w:highlight w:val="none"/>
        </w:rPr>
        <w:t>辐射量——</w:t>
      </w:r>
      <w:r>
        <w:rPr>
          <w:rFonts w:hint="eastAsia" w:eastAsia="仿宋"/>
          <w:sz w:val="24"/>
          <w:szCs w:val="28"/>
          <w:highlight w:val="none"/>
        </w:rPr>
        <w:t>空气比释动能（率）</w:t>
      </w:r>
      <w:r>
        <w:rPr>
          <w:rFonts w:eastAsia="仿宋"/>
          <w:sz w:val="24"/>
          <w:szCs w:val="28"/>
          <w:highlight w:val="none"/>
        </w:rPr>
        <w:t>；</w:t>
      </w:r>
    </w:p>
    <w:p w14:paraId="773B01D9">
      <w:pPr>
        <w:adjustRightInd w:val="0"/>
        <w:snapToGrid w:val="0"/>
        <w:spacing w:before="100" w:beforeAutospacing="1" w:line="360" w:lineRule="auto"/>
        <w:ind w:firstLine="560"/>
        <w:rPr>
          <w:rFonts w:eastAsia="仿宋"/>
          <w:sz w:val="24"/>
          <w:szCs w:val="28"/>
          <w:highlight w:val="none"/>
        </w:rPr>
      </w:pPr>
      <w:r>
        <w:rPr>
          <w:rFonts w:hint="eastAsia" w:eastAsia="仿宋"/>
          <w:sz w:val="24"/>
          <w:szCs w:val="28"/>
          <w:highlight w:val="none"/>
        </w:rPr>
        <w:t>X/</w:t>
      </w:r>
      <w:r>
        <w:rPr>
          <w:rFonts w:eastAsia="仿宋"/>
          <w:sz w:val="24"/>
          <w:szCs w:val="28"/>
          <w:highlight w:val="none"/>
        </w:rPr>
        <w:t>γ射线能量——</w:t>
      </w:r>
      <w:r>
        <w:rPr>
          <w:rFonts w:hint="eastAsia" w:eastAsia="仿宋"/>
          <w:sz w:val="24"/>
          <w:szCs w:val="28"/>
          <w:highlight w:val="none"/>
        </w:rPr>
        <w:t>80 keV~1.5 MeV</w:t>
      </w:r>
      <w:r>
        <w:rPr>
          <w:rFonts w:eastAsia="仿宋"/>
          <w:sz w:val="24"/>
          <w:szCs w:val="28"/>
          <w:highlight w:val="none"/>
        </w:rPr>
        <w:t>;</w:t>
      </w:r>
    </w:p>
    <w:p w14:paraId="2DC2CCC2">
      <w:pPr>
        <w:adjustRightInd w:val="0"/>
        <w:snapToGrid w:val="0"/>
        <w:spacing w:before="100" w:beforeAutospacing="1" w:line="360" w:lineRule="auto"/>
        <w:ind w:firstLine="560"/>
        <w:rPr>
          <w:rFonts w:eastAsia="仿宋"/>
          <w:sz w:val="24"/>
          <w:szCs w:val="28"/>
          <w:highlight w:val="none"/>
        </w:rPr>
      </w:pPr>
      <w:r>
        <w:rPr>
          <w:rFonts w:eastAsia="仿宋"/>
          <w:sz w:val="24"/>
          <w:szCs w:val="28"/>
          <w:highlight w:val="none"/>
        </w:rPr>
        <w:t>仪器类型——</w:t>
      </w:r>
      <w:r>
        <w:rPr>
          <w:rFonts w:hint="eastAsia" w:eastAsia="仿宋"/>
          <w:sz w:val="24"/>
          <w:szCs w:val="28"/>
          <w:highlight w:val="none"/>
        </w:rPr>
        <w:t>防护水平标准级电离室剂量计;</w:t>
      </w:r>
    </w:p>
    <w:p w14:paraId="2535E9BF">
      <w:pPr>
        <w:adjustRightInd w:val="0"/>
        <w:snapToGrid w:val="0"/>
        <w:spacing w:before="100" w:beforeAutospacing="1" w:line="360" w:lineRule="auto"/>
        <w:ind w:firstLine="560"/>
        <w:rPr>
          <w:rFonts w:eastAsia="仿宋"/>
          <w:sz w:val="24"/>
          <w:szCs w:val="28"/>
          <w:highlight w:val="none"/>
        </w:rPr>
      </w:pPr>
      <w:r>
        <w:rPr>
          <w:rFonts w:eastAsia="仿宋"/>
          <w:sz w:val="24"/>
          <w:szCs w:val="28"/>
          <w:highlight w:val="none"/>
        </w:rPr>
        <w:t>使用场合——</w:t>
      </w:r>
      <w:r>
        <w:rPr>
          <w:rFonts w:hint="eastAsia" w:eastAsia="仿宋"/>
          <w:sz w:val="24"/>
          <w:szCs w:val="28"/>
          <w:highlight w:val="none"/>
        </w:rPr>
        <w:t>空气比释动能（防护水平）计量标准。</w:t>
      </w:r>
    </w:p>
    <w:p w14:paraId="205511DD">
      <w:pPr>
        <w:pStyle w:val="2"/>
        <w:numPr>
          <w:ilvl w:val="0"/>
          <w:numId w:val="1"/>
        </w:numPr>
        <w:adjustRightInd w:val="0"/>
        <w:snapToGrid w:val="0"/>
        <w:spacing w:before="100" w:beforeAutospacing="1" w:after="0" w:line="360" w:lineRule="auto"/>
        <w:rPr>
          <w:rFonts w:ascii="Times New Roman" w:hAnsi="Times New Roman" w:eastAsia="仿宋"/>
          <w:highlight w:val="none"/>
        </w:rPr>
      </w:pPr>
      <w:r>
        <w:rPr>
          <w:rFonts w:ascii="Times New Roman" w:hAnsi="Times New Roman" w:eastAsia="仿宋"/>
          <w:highlight w:val="none"/>
        </w:rPr>
        <w:t>编写依据</w:t>
      </w:r>
    </w:p>
    <w:p w14:paraId="7A9B1E14">
      <w:pPr>
        <w:numPr>
          <w:ilvl w:val="0"/>
          <w:numId w:val="2"/>
        </w:numPr>
        <w:adjustRightInd w:val="0"/>
        <w:snapToGrid w:val="0"/>
        <w:spacing w:before="100" w:beforeAutospacing="1" w:line="360" w:lineRule="auto"/>
        <w:ind w:hanging="696"/>
        <w:rPr>
          <w:rFonts w:eastAsia="仿宋"/>
          <w:sz w:val="24"/>
          <w:szCs w:val="28"/>
          <w:highlight w:val="none"/>
        </w:rPr>
      </w:pPr>
      <w:r>
        <w:rPr>
          <w:rFonts w:eastAsia="仿宋"/>
          <w:sz w:val="24"/>
          <w:szCs w:val="28"/>
          <w:highlight w:val="none"/>
        </w:rPr>
        <w:t>本检定规程</w:t>
      </w:r>
      <w:r>
        <w:rPr>
          <w:rFonts w:hint="eastAsia" w:eastAsia="仿宋"/>
          <w:sz w:val="24"/>
          <w:szCs w:val="28"/>
          <w:highlight w:val="none"/>
        </w:rPr>
        <w:t>主要</w:t>
      </w:r>
      <w:r>
        <w:rPr>
          <w:rFonts w:eastAsia="仿宋"/>
          <w:sz w:val="24"/>
          <w:szCs w:val="28"/>
          <w:highlight w:val="none"/>
        </w:rPr>
        <w:t>参考</w:t>
      </w:r>
      <w:r>
        <w:rPr>
          <w:rFonts w:hint="eastAsia" w:eastAsia="仿宋"/>
          <w:sz w:val="24"/>
          <w:szCs w:val="28"/>
          <w:highlight w:val="none"/>
        </w:rPr>
        <w:t>下列</w:t>
      </w:r>
      <w:r>
        <w:rPr>
          <w:rFonts w:eastAsia="仿宋"/>
          <w:sz w:val="24"/>
          <w:szCs w:val="28"/>
          <w:highlight w:val="none"/>
        </w:rPr>
        <w:t>标准</w:t>
      </w:r>
    </w:p>
    <w:p w14:paraId="2BDDDA74">
      <w:pPr>
        <w:numPr>
          <w:ilvl w:val="0"/>
          <w:numId w:val="3"/>
        </w:numPr>
        <w:snapToGrid w:val="0"/>
        <w:spacing w:line="360" w:lineRule="auto"/>
        <w:ind w:left="1045" w:hanging="405"/>
        <w:rPr>
          <w:sz w:val="24"/>
          <w:highlight w:val="none"/>
        </w:rPr>
      </w:pPr>
      <w:bookmarkStart w:id="0" w:name="_Hlk12549194"/>
      <w:r>
        <w:rPr>
          <w:rFonts w:hint="eastAsia"/>
          <w:sz w:val="24"/>
          <w:highlight w:val="none"/>
        </w:rPr>
        <w:t xml:space="preserve">ISO 4037.1:2019 辐射防护 用于校准剂量仪和剂量率仪及确定其能量响应的X和γ参考辐射 第1部分: 辐射特性及产生方法 (Radiological protection — X and gamma reference radiation for calibrating dosemeters and doserate meters and for determining their response as a function of photon energy—Part 1: Radiation </w:t>
      </w:r>
      <w:r>
        <w:rPr>
          <w:sz w:val="24"/>
          <w:highlight w:val="none"/>
        </w:rPr>
        <w:t>characteristics and production methods)</w:t>
      </w:r>
    </w:p>
    <w:p w14:paraId="79127146">
      <w:pPr>
        <w:numPr>
          <w:ilvl w:val="0"/>
          <w:numId w:val="3"/>
        </w:numPr>
        <w:snapToGrid w:val="0"/>
        <w:spacing w:line="360" w:lineRule="auto"/>
        <w:ind w:left="1045" w:hanging="405"/>
        <w:rPr>
          <w:sz w:val="24"/>
          <w:highlight w:val="none"/>
        </w:rPr>
      </w:pPr>
      <w:r>
        <w:rPr>
          <w:rFonts w:hint="eastAsia"/>
          <w:sz w:val="24"/>
          <w:highlight w:val="none"/>
        </w:rPr>
        <w:t>ISO 4037.2:2019 辐射防护 用于校准剂量仪和剂量率仪及确定其能量响应的X和γ参考辐射 第2部分: 辐射防护用的能量范围为8 keV~1.3 MeV和4 MeV~9 MeV的参考辐射的剂量测定 (Radiological protection — X and gamma reference radiation for calibrating dosemeters and doserate meters and for determining their response as a functio</w:t>
      </w:r>
      <w:r>
        <w:rPr>
          <w:sz w:val="24"/>
          <w:highlight w:val="none"/>
        </w:rPr>
        <w:t>n of photon energy—Part 2: Dosimetry for radiation protection over the energy ranges from 8 keV to 1.3 MeV and 4 MeV to 9 MeV)</w:t>
      </w:r>
    </w:p>
    <w:p w14:paraId="5390822A">
      <w:pPr>
        <w:numPr>
          <w:ilvl w:val="0"/>
          <w:numId w:val="3"/>
        </w:numPr>
        <w:snapToGrid w:val="0"/>
        <w:spacing w:line="360" w:lineRule="auto"/>
        <w:ind w:left="1045" w:hanging="405"/>
        <w:rPr>
          <w:sz w:val="24"/>
          <w:highlight w:val="none"/>
        </w:rPr>
      </w:pPr>
      <w:r>
        <w:rPr>
          <w:rFonts w:hint="eastAsia"/>
          <w:sz w:val="24"/>
          <w:highlight w:val="none"/>
        </w:rPr>
        <w:t>IEC 60731:2011 医用电气设备 放射治疗用电离室剂量计 （</w:t>
      </w:r>
      <w:r>
        <w:rPr>
          <w:sz w:val="24"/>
          <w:highlight w:val="none"/>
        </w:rPr>
        <w:t>Medical electrical equipment - Dosimeters with ionization chambers as used in radiotherapy</w:t>
      </w:r>
      <w:r>
        <w:rPr>
          <w:rFonts w:hint="eastAsia"/>
          <w:sz w:val="24"/>
          <w:highlight w:val="none"/>
        </w:rPr>
        <w:t>）</w:t>
      </w:r>
    </w:p>
    <w:bookmarkEnd w:id="0"/>
    <w:p w14:paraId="69DE6949">
      <w:pPr>
        <w:pStyle w:val="2"/>
        <w:numPr>
          <w:ilvl w:val="0"/>
          <w:numId w:val="1"/>
        </w:numPr>
        <w:adjustRightInd w:val="0"/>
        <w:snapToGrid w:val="0"/>
        <w:spacing w:before="100" w:beforeAutospacing="1" w:after="0" w:line="360" w:lineRule="auto"/>
        <w:rPr>
          <w:rFonts w:ascii="Times New Roman" w:hAnsi="Times New Roman" w:eastAsia="仿宋"/>
          <w:highlight w:val="none"/>
        </w:rPr>
      </w:pPr>
      <w:r>
        <w:rPr>
          <w:rFonts w:ascii="Times New Roman" w:hAnsi="Times New Roman" w:eastAsia="仿宋"/>
          <w:highlight w:val="none"/>
        </w:rPr>
        <w:t>有关条文的说明</w:t>
      </w:r>
    </w:p>
    <w:p w14:paraId="147A022B">
      <w:pPr>
        <w:pStyle w:val="3"/>
        <w:numPr>
          <w:ilvl w:val="0"/>
          <w:numId w:val="4"/>
        </w:numPr>
        <w:adjustRightInd w:val="0"/>
        <w:snapToGrid w:val="0"/>
        <w:spacing w:before="100" w:beforeAutospacing="1" w:after="0" w:line="360" w:lineRule="auto"/>
        <w:rPr>
          <w:rFonts w:eastAsia="仿宋"/>
          <w:sz w:val="28"/>
          <w:szCs w:val="28"/>
          <w:highlight w:val="none"/>
        </w:rPr>
      </w:pPr>
      <w:r>
        <w:rPr>
          <w:rFonts w:eastAsia="仿宋"/>
          <w:sz w:val="28"/>
          <w:szCs w:val="28"/>
          <w:highlight w:val="none"/>
        </w:rPr>
        <w:t>引言</w:t>
      </w:r>
    </w:p>
    <w:p w14:paraId="27B1EDA2">
      <w:pPr>
        <w:adjustRightInd w:val="0"/>
        <w:snapToGrid w:val="0"/>
        <w:spacing w:before="100" w:beforeAutospacing="1" w:line="360" w:lineRule="auto"/>
        <w:ind w:firstLine="560"/>
        <w:rPr>
          <w:rFonts w:eastAsia="仿宋"/>
          <w:sz w:val="24"/>
          <w:highlight w:val="none"/>
        </w:rPr>
      </w:pPr>
      <w:r>
        <w:rPr>
          <w:rFonts w:eastAsia="仿宋"/>
          <w:sz w:val="24"/>
          <w:highlight w:val="none"/>
        </w:rPr>
        <w:t>本检定规程引言中写明</w:t>
      </w:r>
      <w:r>
        <w:rPr>
          <w:rFonts w:hint="eastAsia" w:eastAsia="仿宋"/>
          <w:sz w:val="24"/>
          <w:highlight w:val="none"/>
        </w:rPr>
        <w:t>JJG 2044-2019 《γ射线空气比释动能计量器具》、JJG 2043-2010 《(60~250) kV X射线空气比释动能检定系统表》、JJF 1002-2010《国家计量检定规程编写规则》、JJF 1001-2011《通用计量术语及定义》、JJF 1059.1-2012《测量不确定度评定与表示》</w:t>
      </w:r>
      <w:r>
        <w:rPr>
          <w:rFonts w:eastAsia="仿宋"/>
          <w:sz w:val="24"/>
          <w:highlight w:val="none"/>
        </w:rPr>
        <w:t>，该标准国际通行。</w:t>
      </w:r>
    </w:p>
    <w:p w14:paraId="6FF63AA9">
      <w:pPr>
        <w:pStyle w:val="3"/>
        <w:numPr>
          <w:ilvl w:val="0"/>
          <w:numId w:val="4"/>
        </w:numPr>
        <w:adjustRightInd w:val="0"/>
        <w:snapToGrid w:val="0"/>
        <w:spacing w:before="100" w:beforeAutospacing="1" w:after="0" w:line="360" w:lineRule="auto"/>
        <w:rPr>
          <w:rFonts w:eastAsia="仿宋"/>
          <w:sz w:val="28"/>
          <w:szCs w:val="28"/>
          <w:highlight w:val="none"/>
        </w:rPr>
      </w:pPr>
      <w:r>
        <w:rPr>
          <w:rFonts w:eastAsia="仿宋"/>
          <w:sz w:val="28"/>
          <w:szCs w:val="28"/>
          <w:highlight w:val="none"/>
        </w:rPr>
        <w:t>能量范围</w:t>
      </w:r>
    </w:p>
    <w:p w14:paraId="54356B4A">
      <w:pPr>
        <w:adjustRightInd w:val="0"/>
        <w:snapToGrid w:val="0"/>
        <w:spacing w:before="100" w:beforeAutospacing="1" w:line="360" w:lineRule="auto"/>
        <w:ind w:firstLine="560"/>
        <w:rPr>
          <w:rFonts w:eastAsia="仿宋"/>
          <w:sz w:val="24"/>
          <w:szCs w:val="28"/>
          <w:highlight w:val="none"/>
        </w:rPr>
      </w:pPr>
      <w:r>
        <w:rPr>
          <w:rFonts w:hint="eastAsia" w:eastAsia="仿宋"/>
          <w:sz w:val="24"/>
          <w:szCs w:val="28"/>
          <w:highlight w:val="none"/>
        </w:rPr>
        <w:t>针对用于用作空气比释动能（防护水平）计量标准的电离室剂量计</w:t>
      </w:r>
      <w:r>
        <w:rPr>
          <w:rFonts w:eastAsia="仿宋"/>
          <w:sz w:val="24"/>
          <w:szCs w:val="28"/>
          <w:highlight w:val="none"/>
        </w:rPr>
        <w:t>的能量范围即为</w:t>
      </w:r>
      <w:r>
        <w:rPr>
          <w:rFonts w:hint="eastAsia" w:eastAsia="仿宋"/>
          <w:sz w:val="24"/>
          <w:szCs w:val="28"/>
          <w:highlight w:val="none"/>
        </w:rPr>
        <w:t>80 keV</w:t>
      </w:r>
      <w:r>
        <w:rPr>
          <w:rFonts w:eastAsia="仿宋"/>
          <w:sz w:val="24"/>
          <w:szCs w:val="28"/>
          <w:highlight w:val="none"/>
        </w:rPr>
        <w:t>~</w:t>
      </w:r>
      <w:r>
        <w:rPr>
          <w:rFonts w:hint="eastAsia" w:eastAsia="仿宋"/>
          <w:sz w:val="24"/>
          <w:szCs w:val="28"/>
          <w:highlight w:val="none"/>
        </w:rPr>
        <w:t>1.5</w:t>
      </w:r>
      <w:r>
        <w:rPr>
          <w:rFonts w:eastAsia="仿宋"/>
          <w:sz w:val="24"/>
          <w:szCs w:val="28"/>
          <w:highlight w:val="none"/>
        </w:rPr>
        <w:t xml:space="preserve"> MeV。</w:t>
      </w:r>
    </w:p>
    <w:p w14:paraId="2061E681">
      <w:pPr>
        <w:pStyle w:val="3"/>
        <w:numPr>
          <w:ilvl w:val="0"/>
          <w:numId w:val="4"/>
        </w:numPr>
        <w:adjustRightInd w:val="0"/>
        <w:snapToGrid w:val="0"/>
        <w:spacing w:before="100" w:beforeAutospacing="1" w:after="0" w:line="360" w:lineRule="auto"/>
        <w:rPr>
          <w:rFonts w:eastAsia="仿宋"/>
          <w:sz w:val="28"/>
          <w:szCs w:val="28"/>
          <w:highlight w:val="none"/>
        </w:rPr>
      </w:pPr>
      <w:r>
        <w:rPr>
          <w:rFonts w:eastAsia="仿宋"/>
          <w:sz w:val="28"/>
          <w:szCs w:val="28"/>
          <w:highlight w:val="none"/>
        </w:rPr>
        <w:t>检定项目</w:t>
      </w:r>
    </w:p>
    <w:p w14:paraId="66D49690">
      <w:pPr>
        <w:adjustRightInd w:val="0"/>
        <w:snapToGrid w:val="0"/>
        <w:spacing w:before="100" w:beforeAutospacing="1" w:line="360" w:lineRule="auto"/>
        <w:ind w:firstLine="480" w:firstLineChars="200"/>
        <w:rPr>
          <w:rFonts w:eastAsia="仿宋"/>
          <w:sz w:val="24"/>
          <w:szCs w:val="28"/>
          <w:highlight w:val="none"/>
        </w:rPr>
      </w:pPr>
      <w:r>
        <w:rPr>
          <w:rFonts w:hint="eastAsia" w:eastAsia="仿宋"/>
          <w:sz w:val="24"/>
          <w:szCs w:val="28"/>
          <w:highlight w:val="none"/>
        </w:rPr>
        <w:t>根据JG 2043—2010、JJG 2044—2019中对于防护水平计量标准的要求以及JJF 1606—2016中对其他电离室型剂量计的计量要求，</w:t>
      </w:r>
      <w:bookmarkStart w:id="1" w:name="_Hlk52794826"/>
      <w:r>
        <w:rPr>
          <w:rFonts w:hint="eastAsia" w:eastAsia="仿宋"/>
          <w:sz w:val="24"/>
          <w:szCs w:val="28"/>
          <w:highlight w:val="none"/>
        </w:rPr>
        <w:t>校准因子</w:t>
      </w:r>
      <w:r>
        <w:rPr>
          <w:rFonts w:eastAsia="仿宋"/>
          <w:sz w:val="24"/>
          <w:szCs w:val="28"/>
          <w:highlight w:val="none"/>
        </w:rPr>
        <w:t>、</w:t>
      </w:r>
      <w:r>
        <w:rPr>
          <w:rFonts w:hint="eastAsia" w:eastAsia="仿宋"/>
          <w:sz w:val="24"/>
          <w:szCs w:val="28"/>
          <w:highlight w:val="none"/>
        </w:rPr>
        <w:t>非线性响应、重复性、</w:t>
      </w:r>
      <w:r>
        <w:rPr>
          <w:rFonts w:eastAsia="仿宋"/>
          <w:sz w:val="24"/>
          <w:szCs w:val="28"/>
          <w:highlight w:val="none"/>
        </w:rPr>
        <w:t>能量响应</w:t>
      </w:r>
      <w:r>
        <w:rPr>
          <w:rFonts w:hint="eastAsia" w:eastAsia="仿宋"/>
          <w:sz w:val="24"/>
          <w:szCs w:val="28"/>
          <w:highlight w:val="none"/>
        </w:rPr>
        <w:t>、漏电流、稳定性</w:t>
      </w:r>
      <w:r>
        <w:rPr>
          <w:rFonts w:eastAsia="仿宋"/>
          <w:sz w:val="24"/>
          <w:szCs w:val="28"/>
          <w:highlight w:val="none"/>
        </w:rPr>
        <w:t>作为主要的检定项目</w:t>
      </w:r>
      <w:bookmarkEnd w:id="1"/>
      <w:bookmarkStart w:id="2" w:name="_Hlk52795250"/>
      <w:r>
        <w:rPr>
          <w:rFonts w:eastAsia="仿宋"/>
          <w:sz w:val="24"/>
          <w:szCs w:val="28"/>
          <w:highlight w:val="none"/>
        </w:rPr>
        <w:t>。</w:t>
      </w:r>
    </w:p>
    <w:bookmarkEnd w:id="2"/>
    <w:p w14:paraId="04A0F8E5">
      <w:pPr>
        <w:pStyle w:val="3"/>
        <w:numPr>
          <w:ilvl w:val="0"/>
          <w:numId w:val="4"/>
        </w:numPr>
        <w:adjustRightInd w:val="0"/>
        <w:snapToGrid w:val="0"/>
        <w:spacing w:before="100" w:beforeAutospacing="1" w:after="0" w:line="360" w:lineRule="auto"/>
        <w:rPr>
          <w:rFonts w:eastAsia="仿宋"/>
          <w:sz w:val="28"/>
          <w:szCs w:val="28"/>
          <w:highlight w:val="none"/>
        </w:rPr>
      </w:pPr>
      <w:r>
        <w:rPr>
          <w:rFonts w:hint="eastAsia" w:eastAsia="仿宋"/>
          <w:sz w:val="28"/>
          <w:szCs w:val="28"/>
          <w:highlight w:val="none"/>
        </w:rPr>
        <w:t>校准因子</w:t>
      </w:r>
    </w:p>
    <w:p w14:paraId="2E790FDB">
      <w:pPr>
        <w:adjustRightInd w:val="0"/>
        <w:snapToGrid w:val="0"/>
        <w:spacing w:before="100" w:beforeAutospacing="1" w:line="360" w:lineRule="auto"/>
        <w:ind w:firstLine="480" w:firstLineChars="200"/>
        <w:rPr>
          <w:rFonts w:eastAsia="仿宋"/>
          <w:sz w:val="24"/>
          <w:szCs w:val="28"/>
          <w:highlight w:val="none"/>
        </w:rPr>
      </w:pPr>
      <w:r>
        <w:rPr>
          <w:rFonts w:hint="eastAsia" w:eastAsia="仿宋"/>
          <w:sz w:val="24"/>
          <w:szCs w:val="28"/>
          <w:highlight w:val="none"/>
        </w:rPr>
        <w:t>参考JJG 2044—2019和JJG 2043—2010，对防护水平标准剂量计的扩展合成相对不确定度要求分别为</w:t>
      </w:r>
      <w:r>
        <w:rPr>
          <w:rFonts w:hint="eastAsia" w:eastAsia="仿宋"/>
          <w:i/>
          <w:iCs/>
          <w:sz w:val="24"/>
          <w:szCs w:val="28"/>
          <w:highlight w:val="none"/>
        </w:rPr>
        <w:t>U</w:t>
      </w:r>
      <w:r>
        <w:rPr>
          <w:rFonts w:hint="eastAsia" w:eastAsia="仿宋"/>
          <w:sz w:val="24"/>
          <w:szCs w:val="28"/>
          <w:highlight w:val="none"/>
        </w:rPr>
        <w:t>=3.5%(</w:t>
      </w:r>
      <w:r>
        <w:rPr>
          <w:rFonts w:hint="eastAsia" w:eastAsia="仿宋"/>
          <w:i/>
          <w:iCs/>
          <w:sz w:val="24"/>
          <w:szCs w:val="28"/>
          <w:highlight w:val="none"/>
        </w:rPr>
        <w:t>k</w:t>
      </w:r>
      <w:r>
        <w:rPr>
          <w:rFonts w:hint="eastAsia" w:eastAsia="仿宋"/>
          <w:sz w:val="24"/>
          <w:szCs w:val="28"/>
          <w:highlight w:val="none"/>
        </w:rPr>
        <w:t>=2)和</w:t>
      </w:r>
      <w:r>
        <w:rPr>
          <w:rFonts w:hint="eastAsia" w:eastAsia="仿宋"/>
          <w:i/>
          <w:iCs/>
          <w:sz w:val="24"/>
          <w:szCs w:val="28"/>
          <w:highlight w:val="none"/>
        </w:rPr>
        <w:t>U</w:t>
      </w:r>
      <w:r>
        <w:rPr>
          <w:rFonts w:hint="eastAsia" w:eastAsia="仿宋"/>
          <w:sz w:val="24"/>
          <w:szCs w:val="28"/>
          <w:highlight w:val="none"/>
        </w:rPr>
        <w:t>=5.0%(</w:t>
      </w:r>
      <w:r>
        <w:rPr>
          <w:rFonts w:hint="eastAsia" w:eastAsia="仿宋"/>
          <w:i/>
          <w:iCs/>
          <w:sz w:val="24"/>
          <w:szCs w:val="28"/>
          <w:highlight w:val="none"/>
        </w:rPr>
        <w:t>k</w:t>
      </w:r>
      <w:r>
        <w:rPr>
          <w:rFonts w:hint="eastAsia" w:eastAsia="仿宋"/>
          <w:sz w:val="24"/>
          <w:szCs w:val="28"/>
          <w:highlight w:val="none"/>
        </w:rPr>
        <w:t>=2)，其检定方法为：</w:t>
      </w:r>
    </w:p>
    <w:p w14:paraId="756213E8">
      <w:pPr>
        <w:adjustRightInd w:val="0"/>
        <w:snapToGrid w:val="0"/>
        <w:spacing w:before="100" w:beforeAutospacing="1" w:line="360" w:lineRule="auto"/>
        <w:rPr>
          <w:rFonts w:eastAsia="仿宋"/>
          <w:sz w:val="24"/>
          <w:szCs w:val="28"/>
          <w:highlight w:val="none"/>
        </w:rPr>
      </w:pPr>
      <w:r>
        <w:rPr>
          <w:highlight w:val="none"/>
        </w:rPr>
        <w:drawing>
          <wp:inline distT="0" distB="0" distL="114300" distR="114300">
            <wp:extent cx="5274310" cy="4220845"/>
            <wp:effectExtent l="0" t="0" r="2540" b="8255"/>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4"/>
                    <a:stretch>
                      <a:fillRect/>
                    </a:stretch>
                  </pic:blipFill>
                  <pic:spPr>
                    <a:xfrm>
                      <a:off x="0" y="0"/>
                      <a:ext cx="5274310" cy="4220845"/>
                    </a:xfrm>
                    <a:prstGeom prst="rect">
                      <a:avLst/>
                    </a:prstGeom>
                    <a:noFill/>
                    <a:ln>
                      <a:noFill/>
                    </a:ln>
                  </pic:spPr>
                </pic:pic>
              </a:graphicData>
            </a:graphic>
          </wp:inline>
        </w:drawing>
      </w:r>
    </w:p>
    <w:p w14:paraId="4EA292D5">
      <w:pPr>
        <w:adjustRightInd w:val="0"/>
        <w:snapToGrid w:val="0"/>
        <w:spacing w:before="100" w:beforeAutospacing="1" w:line="360" w:lineRule="auto"/>
        <w:ind w:firstLine="480" w:firstLineChars="200"/>
        <w:rPr>
          <w:rFonts w:eastAsia="仿宋"/>
          <w:sz w:val="24"/>
          <w:szCs w:val="28"/>
          <w:highlight w:val="none"/>
        </w:rPr>
      </w:pPr>
    </w:p>
    <w:p w14:paraId="4DE7D06B">
      <w:pPr>
        <w:pStyle w:val="3"/>
        <w:numPr>
          <w:ilvl w:val="0"/>
          <w:numId w:val="4"/>
        </w:numPr>
        <w:adjustRightInd w:val="0"/>
        <w:snapToGrid w:val="0"/>
        <w:spacing w:before="100" w:beforeAutospacing="1" w:after="0" w:line="360" w:lineRule="auto"/>
        <w:rPr>
          <w:rFonts w:eastAsia="仿宋"/>
          <w:sz w:val="28"/>
          <w:szCs w:val="28"/>
          <w:highlight w:val="none"/>
        </w:rPr>
      </w:pPr>
      <w:r>
        <w:rPr>
          <w:rFonts w:hint="eastAsia" w:eastAsia="仿宋"/>
          <w:sz w:val="28"/>
          <w:szCs w:val="28"/>
          <w:highlight w:val="none"/>
        </w:rPr>
        <w:t>非线性响应</w:t>
      </w:r>
    </w:p>
    <w:p w14:paraId="513366F2">
      <w:pPr>
        <w:adjustRightInd w:val="0"/>
        <w:snapToGrid w:val="0"/>
        <w:spacing w:before="100" w:beforeAutospacing="1" w:line="360" w:lineRule="auto"/>
        <w:ind w:firstLine="480" w:firstLineChars="200"/>
        <w:rPr>
          <w:rFonts w:eastAsia="仿宋"/>
          <w:sz w:val="24"/>
          <w:szCs w:val="28"/>
          <w:highlight w:val="none"/>
        </w:rPr>
      </w:pPr>
      <w:r>
        <w:rPr>
          <w:rFonts w:hint="eastAsia" w:eastAsia="仿宋"/>
          <w:sz w:val="24"/>
          <w:szCs w:val="28"/>
          <w:highlight w:val="none"/>
        </w:rPr>
        <w:t>参考JJF 1606—2016中“6.2.7非线性”对治疗水平电离室剂量计的非线性要求，而且根据JJF 2044中对防护水平γ射线标准剂量计的测量范围（1×10</w:t>
      </w:r>
      <w:r>
        <w:rPr>
          <w:rFonts w:hint="eastAsia" w:eastAsia="仿宋"/>
          <w:sz w:val="24"/>
          <w:szCs w:val="28"/>
          <w:highlight w:val="none"/>
          <w:vertAlign w:val="superscript"/>
        </w:rPr>
        <w:t>-6</w:t>
      </w:r>
      <w:r>
        <w:rPr>
          <w:rFonts w:hint="eastAsia" w:eastAsia="仿宋"/>
          <w:sz w:val="24"/>
          <w:szCs w:val="28"/>
          <w:highlight w:val="none"/>
        </w:rPr>
        <w:t>~10）Gy/h，综合考虑下，对该技术指标非线性响应</w:t>
      </w:r>
      <w:r>
        <w:rPr>
          <w:rFonts w:hint="eastAsia"/>
          <w:position w:val="-30"/>
          <w:highlight w:val="none"/>
        </w:rPr>
        <w:object>
          <v:shape id="_x0000_i1025" o:spt="75" type="#_x0000_t75" style="height:33.75pt;width:18.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eastAsia="仿宋"/>
          <w:sz w:val="24"/>
          <w:szCs w:val="28"/>
          <w:highlight w:val="none"/>
        </w:rPr>
        <w:t>的技术要求放宽至（0.98,1.02），计算方法为：</w:t>
      </w:r>
    </w:p>
    <w:p w14:paraId="3C013618">
      <w:pPr>
        <w:adjustRightInd w:val="0"/>
        <w:snapToGrid w:val="0"/>
        <w:spacing w:before="100" w:beforeAutospacing="1" w:line="240" w:lineRule="auto"/>
        <w:rPr>
          <w:rFonts w:eastAsia="仿宋"/>
          <w:sz w:val="24"/>
          <w:szCs w:val="28"/>
          <w:highlight w:val="none"/>
        </w:rPr>
      </w:pPr>
      <w:r>
        <w:rPr>
          <w:highlight w:val="none"/>
        </w:rPr>
        <w:drawing>
          <wp:inline distT="0" distB="0" distL="114300" distR="114300">
            <wp:extent cx="5271135" cy="2721610"/>
            <wp:effectExtent l="0" t="0" r="5715" b="25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5271135" cy="2721610"/>
                    </a:xfrm>
                    <a:prstGeom prst="rect">
                      <a:avLst/>
                    </a:prstGeom>
                    <a:noFill/>
                    <a:ln>
                      <a:noFill/>
                    </a:ln>
                  </pic:spPr>
                </pic:pic>
              </a:graphicData>
            </a:graphic>
          </wp:inline>
        </w:drawing>
      </w:r>
    </w:p>
    <w:p w14:paraId="15850AF1">
      <w:pPr>
        <w:pStyle w:val="3"/>
        <w:numPr>
          <w:ilvl w:val="0"/>
          <w:numId w:val="4"/>
        </w:numPr>
        <w:adjustRightInd w:val="0"/>
        <w:snapToGrid w:val="0"/>
        <w:spacing w:before="100" w:beforeAutospacing="1" w:after="0" w:line="360" w:lineRule="auto"/>
        <w:rPr>
          <w:rFonts w:eastAsia="仿宋"/>
          <w:sz w:val="28"/>
          <w:szCs w:val="28"/>
          <w:highlight w:val="none"/>
        </w:rPr>
      </w:pPr>
      <w:r>
        <w:rPr>
          <w:rFonts w:hint="eastAsia" w:eastAsia="仿宋"/>
          <w:sz w:val="28"/>
          <w:szCs w:val="28"/>
          <w:highlight w:val="none"/>
        </w:rPr>
        <w:t>能量响应</w:t>
      </w:r>
    </w:p>
    <w:p w14:paraId="2C017952">
      <w:pPr>
        <w:adjustRightInd w:val="0"/>
        <w:snapToGrid w:val="0"/>
        <w:spacing w:before="100" w:beforeAutospacing="1" w:line="360" w:lineRule="auto"/>
        <w:ind w:firstLine="480" w:firstLineChars="200"/>
        <w:rPr>
          <w:rFonts w:ascii="仿宋" w:hAnsi="仿宋" w:eastAsia="仿宋"/>
          <w:sz w:val="24"/>
          <w:highlight w:val="none"/>
        </w:rPr>
      </w:pPr>
      <w:r>
        <w:rPr>
          <w:rFonts w:hint="eastAsia" w:eastAsia="仿宋"/>
          <w:sz w:val="24"/>
          <w:szCs w:val="28"/>
          <w:highlight w:val="none"/>
        </w:rPr>
        <w:t>参考ISO 4037.2-2019标准中P3第4.3节</w:t>
      </w:r>
      <w:r>
        <w:rPr>
          <w:rFonts w:eastAsia="仿宋"/>
          <w:sz w:val="24"/>
          <w:szCs w:val="28"/>
          <w:highlight w:val="none"/>
        </w:rPr>
        <w:t>Energy dependence of the response of the standard instrument</w:t>
      </w:r>
      <w:r>
        <w:rPr>
          <w:rFonts w:hint="eastAsia" w:eastAsia="仿宋"/>
          <w:sz w:val="24"/>
          <w:szCs w:val="28"/>
          <w:highlight w:val="none"/>
        </w:rPr>
        <w:t>对能量响应进行判定。</w:t>
      </w:r>
    </w:p>
    <w:p w14:paraId="7550DEEB">
      <w:pPr>
        <w:adjustRightInd w:val="0"/>
        <w:snapToGrid w:val="0"/>
        <w:spacing w:before="100" w:beforeAutospacing="1" w:line="240" w:lineRule="auto"/>
        <w:ind w:firstLine="0" w:firstLineChars="0"/>
        <w:jc w:val="center"/>
        <w:rPr>
          <w:rFonts w:ascii="仿宋" w:hAnsi="仿宋" w:eastAsia="仿宋"/>
          <w:sz w:val="24"/>
          <w:highlight w:val="none"/>
        </w:rPr>
      </w:pPr>
      <w:r>
        <w:rPr>
          <w:rFonts w:ascii="仿宋" w:hAnsi="仿宋" w:eastAsia="仿宋"/>
          <w:sz w:val="24"/>
          <w:highlight w:val="none"/>
        </w:rPr>
        <w:drawing>
          <wp:inline distT="0" distB="0" distL="0" distR="0">
            <wp:extent cx="5295900" cy="840740"/>
            <wp:effectExtent l="0" t="0" r="0" b="165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50546" cy="849671"/>
                    </a:xfrm>
                    <a:prstGeom prst="rect">
                      <a:avLst/>
                    </a:prstGeom>
                    <a:noFill/>
                    <a:ln>
                      <a:noFill/>
                    </a:ln>
                  </pic:spPr>
                </pic:pic>
              </a:graphicData>
            </a:graphic>
          </wp:inline>
        </w:drawing>
      </w:r>
    </w:p>
    <w:p w14:paraId="7932BA8F">
      <w:pPr>
        <w:adjustRightInd w:val="0"/>
        <w:snapToGrid w:val="0"/>
        <w:spacing w:before="100" w:beforeAutospacing="1" w:line="240" w:lineRule="auto"/>
        <w:ind w:firstLine="0" w:firstLineChars="0"/>
        <w:jc w:val="center"/>
        <w:rPr>
          <w:rFonts w:hint="eastAsia" w:ascii="仿宋" w:hAnsi="仿宋" w:eastAsia="仿宋"/>
          <w:sz w:val="24"/>
          <w:highlight w:val="none"/>
        </w:rPr>
      </w:pPr>
      <w:r>
        <w:rPr>
          <w:rFonts w:ascii="仿宋" w:hAnsi="仿宋" w:eastAsia="仿宋"/>
          <w:sz w:val="24"/>
          <w:highlight w:val="none"/>
        </w:rPr>
        <w:drawing>
          <wp:inline distT="0" distB="0" distL="0" distR="0">
            <wp:extent cx="5120640" cy="1870075"/>
            <wp:effectExtent l="0" t="0" r="3810" b="0"/>
            <wp:docPr id="3454757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75754"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46919" cy="1880057"/>
                    </a:xfrm>
                    <a:prstGeom prst="rect">
                      <a:avLst/>
                    </a:prstGeom>
                    <a:noFill/>
                    <a:ln>
                      <a:noFill/>
                    </a:ln>
                  </pic:spPr>
                </pic:pic>
              </a:graphicData>
            </a:graphic>
          </wp:inline>
        </w:drawing>
      </w:r>
    </w:p>
    <w:p w14:paraId="4F981A5A">
      <w:pPr>
        <w:pStyle w:val="3"/>
        <w:numPr>
          <w:ilvl w:val="0"/>
          <w:numId w:val="4"/>
        </w:numPr>
        <w:adjustRightInd w:val="0"/>
        <w:snapToGrid w:val="0"/>
        <w:spacing w:before="100" w:beforeAutospacing="1" w:after="0" w:line="360" w:lineRule="auto"/>
        <w:rPr>
          <w:rFonts w:eastAsia="仿宋"/>
          <w:sz w:val="28"/>
          <w:szCs w:val="28"/>
          <w:highlight w:val="none"/>
        </w:rPr>
      </w:pPr>
      <w:r>
        <w:rPr>
          <w:rFonts w:hint="eastAsia" w:eastAsia="仿宋"/>
          <w:sz w:val="28"/>
          <w:szCs w:val="28"/>
          <w:highlight w:val="none"/>
        </w:rPr>
        <w:t>漏电</w:t>
      </w:r>
    </w:p>
    <w:p w14:paraId="1937C730">
      <w:pPr>
        <w:adjustRightInd w:val="0"/>
        <w:snapToGrid w:val="0"/>
        <w:spacing w:before="100" w:beforeAutospacing="1" w:line="360" w:lineRule="auto"/>
        <w:ind w:firstLine="480" w:firstLineChars="200"/>
        <w:rPr>
          <w:rFonts w:eastAsia="仿宋"/>
          <w:sz w:val="24"/>
          <w:szCs w:val="28"/>
          <w:highlight w:val="none"/>
        </w:rPr>
      </w:pPr>
      <w:r>
        <w:rPr>
          <w:rFonts w:hint="eastAsia" w:eastAsia="仿宋"/>
          <w:sz w:val="24"/>
          <w:szCs w:val="28"/>
          <w:highlight w:val="none"/>
        </w:rPr>
        <w:t>参考JJF 1606—2016中“6.1.1漏电流”中对治疗水平电离室剂量计的漏电流要求，提出漏电流的指标为：</w:t>
      </w:r>
    </w:p>
    <w:p w14:paraId="0BE143C6">
      <w:pPr>
        <w:adjustRightInd w:val="0"/>
        <w:snapToGrid w:val="0"/>
        <w:spacing w:before="100" w:beforeAutospacing="1" w:line="240" w:lineRule="auto"/>
        <w:ind w:firstLine="420" w:firstLineChars="200"/>
        <w:rPr>
          <w:rFonts w:eastAsia="仿宋"/>
          <w:sz w:val="24"/>
          <w:szCs w:val="28"/>
          <w:highlight w:val="none"/>
        </w:rPr>
      </w:pPr>
      <w:r>
        <w:rPr>
          <w:highlight w:val="none"/>
        </w:rPr>
        <w:drawing>
          <wp:inline distT="0" distB="0" distL="114300" distR="114300">
            <wp:extent cx="4830445" cy="956310"/>
            <wp:effectExtent l="0" t="0" r="8255" b="1524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4830445" cy="956310"/>
                    </a:xfrm>
                    <a:prstGeom prst="rect">
                      <a:avLst/>
                    </a:prstGeom>
                    <a:noFill/>
                    <a:ln>
                      <a:noFill/>
                    </a:ln>
                  </pic:spPr>
                </pic:pic>
              </a:graphicData>
            </a:graphic>
          </wp:inline>
        </w:drawing>
      </w:r>
    </w:p>
    <w:p w14:paraId="5BF1B368">
      <w:pPr>
        <w:adjustRightInd w:val="0"/>
        <w:snapToGrid w:val="0"/>
        <w:spacing w:before="100" w:beforeAutospacing="1" w:line="240" w:lineRule="auto"/>
        <w:ind w:firstLine="480" w:firstLineChars="200"/>
        <w:rPr>
          <w:rFonts w:eastAsia="仿宋"/>
          <w:sz w:val="24"/>
          <w:szCs w:val="28"/>
          <w:highlight w:val="none"/>
        </w:rPr>
      </w:pPr>
      <w:r>
        <w:rPr>
          <w:rFonts w:hint="eastAsia" w:eastAsia="仿宋"/>
          <w:sz w:val="24"/>
          <w:szCs w:val="28"/>
          <w:highlight w:val="none"/>
        </w:rPr>
        <w:t>检定方法为：</w:t>
      </w:r>
    </w:p>
    <w:p w14:paraId="627C8AA0">
      <w:pPr>
        <w:adjustRightInd w:val="0"/>
        <w:snapToGrid w:val="0"/>
        <w:spacing w:before="100" w:beforeAutospacing="1" w:line="240" w:lineRule="auto"/>
        <w:ind w:firstLine="420" w:firstLineChars="200"/>
        <w:rPr>
          <w:rFonts w:eastAsia="仿宋"/>
          <w:sz w:val="24"/>
          <w:szCs w:val="28"/>
          <w:highlight w:val="none"/>
        </w:rPr>
      </w:pPr>
      <w:r>
        <w:rPr>
          <w:highlight w:val="none"/>
        </w:rPr>
        <w:drawing>
          <wp:inline distT="0" distB="0" distL="114300" distR="114300">
            <wp:extent cx="5267960" cy="2437130"/>
            <wp:effectExtent l="0" t="0" r="8890" b="127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1"/>
                    <a:stretch>
                      <a:fillRect/>
                    </a:stretch>
                  </pic:blipFill>
                  <pic:spPr>
                    <a:xfrm>
                      <a:off x="0" y="0"/>
                      <a:ext cx="5267960" cy="2437130"/>
                    </a:xfrm>
                    <a:prstGeom prst="rect">
                      <a:avLst/>
                    </a:prstGeom>
                    <a:noFill/>
                    <a:ln>
                      <a:noFill/>
                    </a:ln>
                  </pic:spPr>
                </pic:pic>
              </a:graphicData>
            </a:graphic>
          </wp:inline>
        </w:drawing>
      </w:r>
    </w:p>
    <w:p w14:paraId="5EDF00E7">
      <w:pPr>
        <w:pStyle w:val="3"/>
        <w:numPr>
          <w:ilvl w:val="0"/>
          <w:numId w:val="4"/>
        </w:numPr>
        <w:adjustRightInd w:val="0"/>
        <w:snapToGrid w:val="0"/>
        <w:spacing w:before="100" w:beforeAutospacing="1" w:after="0" w:line="360" w:lineRule="auto"/>
        <w:rPr>
          <w:rFonts w:eastAsia="仿宋"/>
          <w:sz w:val="28"/>
          <w:szCs w:val="28"/>
          <w:highlight w:val="none"/>
        </w:rPr>
      </w:pPr>
      <w:r>
        <w:rPr>
          <w:rFonts w:hint="eastAsia" w:eastAsia="仿宋"/>
          <w:sz w:val="28"/>
          <w:szCs w:val="28"/>
          <w:highlight w:val="none"/>
        </w:rPr>
        <w:t>稳定性</w:t>
      </w:r>
    </w:p>
    <w:p w14:paraId="2C328386">
      <w:pPr>
        <w:adjustRightInd w:val="0"/>
        <w:snapToGrid w:val="0"/>
        <w:spacing w:before="100" w:beforeAutospacing="1"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参考JJF 1033计量标准考核标准规范要求的“4.2.3 计量标准的稳定性”，并依据“C.2.2.2 采用高等级的计量标准进行考核”的方法“C.2.2.2.2”，提出稳定性的检定方法为</w:t>
      </w:r>
    </w:p>
    <w:p w14:paraId="28EC6AD9">
      <w:pPr>
        <w:adjustRightInd w:val="0"/>
        <w:snapToGrid w:val="0"/>
        <w:spacing w:before="100" w:beforeAutospacing="1" w:line="240" w:lineRule="auto"/>
        <w:rPr>
          <w:highlight w:val="none"/>
        </w:rPr>
      </w:pPr>
      <w:r>
        <w:rPr>
          <w:highlight w:val="none"/>
        </w:rPr>
        <w:drawing>
          <wp:inline distT="0" distB="0" distL="114300" distR="114300">
            <wp:extent cx="5267325" cy="1803400"/>
            <wp:effectExtent l="0" t="0" r="9525" b="635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a:stretch>
                      <a:fillRect/>
                    </a:stretch>
                  </pic:blipFill>
                  <pic:spPr>
                    <a:xfrm>
                      <a:off x="0" y="0"/>
                      <a:ext cx="5267325" cy="1803400"/>
                    </a:xfrm>
                    <a:prstGeom prst="rect">
                      <a:avLst/>
                    </a:prstGeom>
                    <a:noFill/>
                    <a:ln>
                      <a:noFill/>
                    </a:ln>
                  </pic:spPr>
                </pic:pic>
              </a:graphicData>
            </a:graphic>
          </wp:inline>
        </w:drawing>
      </w:r>
    </w:p>
    <w:p w14:paraId="10CBBF08">
      <w:pPr>
        <w:adjustRightInd w:val="0"/>
        <w:snapToGrid w:val="0"/>
        <w:spacing w:before="100" w:beforeAutospacing="1"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对于空气比释动能（防护水平）计量标准，该指标一般为±0.5%。</w:t>
      </w:r>
    </w:p>
    <w:p w14:paraId="736C5239">
      <w:pPr>
        <w:rPr>
          <w:rFonts w:hint="eastAsia" w:ascii="仿宋" w:hAnsi="仿宋" w:eastAsia="仿宋"/>
          <w:sz w:val="24"/>
          <w:highlight w:val="none"/>
        </w:rPr>
      </w:pPr>
    </w:p>
    <w:p w14:paraId="1D9B3704">
      <w:pPr>
        <w:adjustRightInd w:val="0"/>
        <w:snapToGrid w:val="0"/>
        <w:spacing w:line="360" w:lineRule="auto"/>
        <w:ind w:firstLine="480" w:firstLineChars="200"/>
        <w:jc w:val="right"/>
        <w:rPr>
          <w:rFonts w:hint="eastAsia" w:ascii="仿宋" w:hAnsi="仿宋" w:eastAsia="仿宋"/>
          <w:sz w:val="24"/>
          <w:highlight w:val="none"/>
        </w:rPr>
      </w:pPr>
      <w:r>
        <w:rPr>
          <w:rFonts w:ascii="仿宋" w:hAnsi="仿宋" w:eastAsia="仿宋"/>
          <w:sz w:val="24"/>
          <w:highlight w:val="none"/>
        </w:rPr>
        <w:t>《</w:t>
      </w:r>
      <w:r>
        <w:rPr>
          <w:rFonts w:hint="eastAsia" w:ascii="仿宋" w:hAnsi="仿宋" w:eastAsia="仿宋"/>
          <w:sz w:val="24"/>
          <w:highlight w:val="none"/>
        </w:rPr>
        <w:t>防护水平标准级电离室剂量计</w:t>
      </w:r>
      <w:r>
        <w:rPr>
          <w:rFonts w:ascii="仿宋" w:hAnsi="仿宋" w:eastAsia="仿宋"/>
          <w:sz w:val="24"/>
          <w:highlight w:val="none"/>
        </w:rPr>
        <w:t>》编写组</w:t>
      </w:r>
    </w:p>
    <w:p w14:paraId="08A5EB40">
      <w:pPr>
        <w:jc w:val="right"/>
        <w:rPr>
          <w:highlight w:val="none"/>
        </w:rPr>
      </w:pPr>
      <w:r>
        <w:rPr>
          <w:rFonts w:hint="eastAsia" w:ascii="仿宋" w:hAnsi="仿宋" w:eastAsia="仿宋"/>
          <w:sz w:val="24"/>
          <w:highlight w:val="none"/>
        </w:rPr>
        <w:t>2025年07月29日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BDD9A"/>
    <w:multiLevelType w:val="singleLevel"/>
    <w:tmpl w:val="B26BDD9A"/>
    <w:lvl w:ilvl="0" w:tentative="0">
      <w:start w:val="1"/>
      <w:numFmt w:val="lowerLetter"/>
      <w:lvlText w:val="%1."/>
      <w:lvlJc w:val="left"/>
      <w:pPr>
        <w:ind w:left="425" w:hanging="425"/>
      </w:pPr>
      <w:rPr>
        <w:rFonts w:hint="default"/>
      </w:rPr>
    </w:lvl>
  </w:abstractNum>
  <w:abstractNum w:abstractNumId="1">
    <w:nsid w:val="29625085"/>
    <w:multiLevelType w:val="multilevel"/>
    <w:tmpl w:val="2962508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073CD0"/>
    <w:multiLevelType w:val="multilevel"/>
    <w:tmpl w:val="51073CD0"/>
    <w:lvl w:ilvl="0" w:tentative="0">
      <w:start w:val="1"/>
      <w:numFmt w:val="decimal"/>
      <w:lvlText w:val="%1)"/>
      <w:lvlJc w:val="left"/>
      <w:pPr>
        <w:ind w:left="980" w:hanging="420"/>
      </w:pPr>
      <w:rPr>
        <w:rFonts w:hint="eastAsia"/>
        <w:sz w:val="24"/>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4E96ABD"/>
    <w:multiLevelType w:val="multilevel"/>
    <w:tmpl w:val="74E96ABD"/>
    <w:lvl w:ilvl="0" w:tentative="0">
      <w:start w:val="1"/>
      <w:numFmt w:val="japa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88"/>
    <w:rsid w:val="00072D88"/>
    <w:rsid w:val="000F41B4"/>
    <w:rsid w:val="0075216B"/>
    <w:rsid w:val="00BA1067"/>
    <w:rsid w:val="00C623F0"/>
    <w:rsid w:val="02AA1F96"/>
    <w:rsid w:val="396957EB"/>
    <w:rsid w:val="431B42B0"/>
    <w:rsid w:val="471B2A99"/>
    <w:rsid w:val="568E7F05"/>
    <w:rsid w:val="6260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9"/>
    <w:uiPriority w:val="0"/>
    <w:pPr>
      <w:tabs>
        <w:tab w:val="center" w:pos="4153"/>
        <w:tab w:val="right" w:pos="8306"/>
      </w:tabs>
      <w:snapToGrid w:val="0"/>
      <w:jc w:val="center"/>
    </w:pPr>
    <w:rPr>
      <w:sz w:val="18"/>
      <w:szCs w:val="18"/>
    </w:rPr>
  </w:style>
  <w:style w:type="character" w:styleId="8">
    <w:name w:val="page number"/>
    <w:qFormat/>
    <w:uiPriority w:val="0"/>
    <w:rPr>
      <w:rFonts w:ascii="Times New Roman" w:hAnsi="Times New Roman" w:eastAsia="宋体"/>
    </w:rPr>
  </w:style>
  <w:style w:type="character" w:customStyle="1" w:styleId="9">
    <w:name w:val="页眉 字符"/>
    <w:basedOn w:val="7"/>
    <w:link w:val="5"/>
    <w:uiPriority w:val="0"/>
    <w:rPr>
      <w:kern w:val="2"/>
      <w:sz w:val="18"/>
      <w:szCs w:val="18"/>
    </w:rPr>
  </w:style>
  <w:style w:type="paragraph" w:customStyle="1" w:styleId="1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1872</Words>
  <Characters>2712</Characters>
  <Lines>64</Lines>
  <Paragraphs>37</Paragraphs>
  <TotalTime>2</TotalTime>
  <ScaleCrop>false</ScaleCrop>
  <LinksUpToDate>false</LinksUpToDate>
  <CharactersWithSpaces>2861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2025-07-30T06:21:00Z</dcterms:created>
  <dc:creator>Administrator</dc:creator>
  <cp:lastModifiedBy>黄建微</cp:lastModifiedBy>
  <dcterms:modified xsi:type="dcterms:W3CDTF">2025-07-31T03:17:35Z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eyJoZGlkIjoiM2U3MDFjMjg5ODdlZGMxMWVhMGE5OWEwYWM3ZTNmMTciLCJ1c2VySWQiOiIxNjE2NzI0NTM3In0=</vt:lpwstr>
  </property>
  <property fmtid="{D5CDD505-2E9C-101B-9397-08002B2CF9AE}" pid="4" name="ICV">
    <vt:lpwstr>403B119981384041BD01A21728CADF0D_12</vt:lpwstr>
  </property>
</Properties>
</file>