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3D" w:rsidRDefault="00B2143D">
      <w:pPr>
        <w:pStyle w:val="1"/>
        <w:jc w:val="center"/>
        <w:rPr>
          <w:sz w:val="36"/>
        </w:rPr>
      </w:pPr>
    </w:p>
    <w:p w:rsidR="00B2143D" w:rsidRDefault="00B2143D">
      <w:pPr>
        <w:pStyle w:val="1"/>
        <w:jc w:val="center"/>
        <w:rPr>
          <w:sz w:val="36"/>
        </w:rPr>
      </w:pPr>
    </w:p>
    <w:p w:rsidR="00B2143D" w:rsidRDefault="00B2143D">
      <w:pPr>
        <w:pStyle w:val="1"/>
        <w:jc w:val="center"/>
        <w:rPr>
          <w:sz w:val="36"/>
        </w:rPr>
      </w:pPr>
    </w:p>
    <w:p w:rsidR="00B2143D" w:rsidRDefault="00B2143D">
      <w:pPr>
        <w:pStyle w:val="1"/>
        <w:jc w:val="center"/>
        <w:rPr>
          <w:sz w:val="36"/>
        </w:rPr>
      </w:pPr>
    </w:p>
    <w:p w:rsidR="00B2143D" w:rsidRDefault="00B2143D">
      <w:pPr>
        <w:pStyle w:val="1"/>
        <w:jc w:val="center"/>
        <w:rPr>
          <w:sz w:val="36"/>
        </w:rPr>
      </w:pPr>
    </w:p>
    <w:p w:rsidR="00B2143D" w:rsidRDefault="00975155" w:rsidP="00892C9B">
      <w:pPr>
        <w:pStyle w:val="1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《</w:t>
      </w:r>
      <w:r w:rsidR="00892C9B">
        <w:rPr>
          <w:rFonts w:hint="eastAsia"/>
          <w:b/>
          <w:sz w:val="48"/>
          <w:szCs w:val="48"/>
        </w:rPr>
        <w:t>电流表、电压表、功率表及电阻表</w:t>
      </w:r>
      <w:r>
        <w:rPr>
          <w:rFonts w:hint="eastAsia"/>
          <w:b/>
          <w:sz w:val="48"/>
          <w:szCs w:val="48"/>
        </w:rPr>
        <w:t>》</w:t>
      </w:r>
    </w:p>
    <w:p w:rsidR="00B2143D" w:rsidRDefault="00975155">
      <w:pPr>
        <w:pStyle w:val="1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国家</w:t>
      </w:r>
      <w:r w:rsidR="00892C9B">
        <w:rPr>
          <w:rFonts w:hint="eastAsia"/>
          <w:b/>
          <w:sz w:val="48"/>
          <w:szCs w:val="48"/>
        </w:rPr>
        <w:t>检定规程</w:t>
      </w:r>
      <w:r>
        <w:rPr>
          <w:rFonts w:hint="eastAsia"/>
          <w:b/>
          <w:sz w:val="48"/>
          <w:szCs w:val="48"/>
        </w:rPr>
        <w:t>编</w:t>
      </w:r>
      <w:r w:rsidR="00537FC4">
        <w:rPr>
          <w:rFonts w:hint="eastAsia"/>
          <w:b/>
          <w:sz w:val="48"/>
          <w:szCs w:val="48"/>
        </w:rPr>
        <w:t>制</w:t>
      </w:r>
      <w:r>
        <w:rPr>
          <w:rFonts w:hint="eastAsia"/>
          <w:b/>
          <w:sz w:val="48"/>
          <w:szCs w:val="48"/>
        </w:rPr>
        <w:t>说明</w:t>
      </w:r>
    </w:p>
    <w:p w:rsidR="00B2143D" w:rsidRDefault="00B2143D">
      <w:pPr>
        <w:pStyle w:val="1"/>
        <w:jc w:val="center"/>
        <w:rPr>
          <w:sz w:val="36"/>
        </w:rPr>
      </w:pPr>
    </w:p>
    <w:p w:rsidR="00B2143D" w:rsidRDefault="00B2143D">
      <w:pPr>
        <w:pStyle w:val="1"/>
        <w:jc w:val="center"/>
        <w:rPr>
          <w:sz w:val="36"/>
        </w:rPr>
      </w:pPr>
    </w:p>
    <w:p w:rsidR="00B2143D" w:rsidRDefault="00B2143D">
      <w:pPr>
        <w:pStyle w:val="1"/>
        <w:jc w:val="center"/>
        <w:rPr>
          <w:sz w:val="36"/>
        </w:rPr>
      </w:pPr>
    </w:p>
    <w:p w:rsidR="00B2143D" w:rsidRDefault="00B2143D">
      <w:pPr>
        <w:pStyle w:val="1"/>
        <w:jc w:val="center"/>
        <w:rPr>
          <w:sz w:val="36"/>
        </w:rPr>
      </w:pPr>
    </w:p>
    <w:p w:rsidR="00B2143D" w:rsidRDefault="00B2143D">
      <w:pPr>
        <w:pStyle w:val="1"/>
        <w:jc w:val="center"/>
        <w:rPr>
          <w:sz w:val="36"/>
        </w:rPr>
      </w:pPr>
    </w:p>
    <w:p w:rsidR="00B2143D" w:rsidRDefault="00B2143D">
      <w:pPr>
        <w:pStyle w:val="1"/>
        <w:jc w:val="center"/>
        <w:rPr>
          <w:sz w:val="36"/>
        </w:rPr>
      </w:pPr>
    </w:p>
    <w:p w:rsidR="00B2143D" w:rsidRDefault="00B2143D">
      <w:pPr>
        <w:pStyle w:val="1"/>
        <w:jc w:val="center"/>
        <w:rPr>
          <w:sz w:val="36"/>
        </w:rPr>
      </w:pPr>
    </w:p>
    <w:p w:rsidR="00B2143D" w:rsidRDefault="00B2143D">
      <w:pPr>
        <w:pStyle w:val="1"/>
        <w:jc w:val="center"/>
        <w:rPr>
          <w:sz w:val="36"/>
        </w:rPr>
      </w:pPr>
    </w:p>
    <w:p w:rsidR="00B2143D" w:rsidRDefault="00B2143D"/>
    <w:p w:rsidR="00B2143D" w:rsidRDefault="00B2143D"/>
    <w:p w:rsidR="00B2143D" w:rsidRDefault="00B2143D"/>
    <w:p w:rsidR="00B2143D" w:rsidRDefault="00B2143D"/>
    <w:p w:rsidR="00B2143D" w:rsidRDefault="00B2143D"/>
    <w:p w:rsidR="00B2143D" w:rsidRDefault="00B2143D"/>
    <w:p w:rsidR="00B2143D" w:rsidRDefault="00B2143D"/>
    <w:p w:rsidR="00B2143D" w:rsidRDefault="00B2143D"/>
    <w:p w:rsidR="00B2143D" w:rsidRDefault="0097515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《</w:t>
      </w:r>
      <w:r w:rsidR="00892C9B" w:rsidRPr="00892C9B">
        <w:rPr>
          <w:rFonts w:hint="eastAsia"/>
          <w:sz w:val="32"/>
          <w:szCs w:val="32"/>
        </w:rPr>
        <w:t>电流表、电压表、功率表及电阻表</w:t>
      </w:r>
      <w:r>
        <w:rPr>
          <w:rFonts w:hint="eastAsia"/>
          <w:sz w:val="32"/>
          <w:szCs w:val="32"/>
        </w:rPr>
        <w:t>》</w:t>
      </w:r>
      <w:r w:rsidR="00892C9B">
        <w:rPr>
          <w:rFonts w:hint="eastAsia"/>
          <w:sz w:val="32"/>
          <w:szCs w:val="32"/>
        </w:rPr>
        <w:t>检定规程</w:t>
      </w:r>
      <w:r>
        <w:rPr>
          <w:rFonts w:hint="eastAsia"/>
          <w:sz w:val="32"/>
          <w:szCs w:val="32"/>
        </w:rPr>
        <w:t>起草小组</w:t>
      </w:r>
    </w:p>
    <w:p w:rsidR="00B2143D" w:rsidRDefault="00975155">
      <w:pPr>
        <w:spacing w:line="360" w:lineRule="auto"/>
        <w:ind w:firstLine="420"/>
        <w:jc w:val="center"/>
        <w:rPr>
          <w:rFonts w:ascii="宋体" w:hAnsi="宋体"/>
          <w:sz w:val="24"/>
        </w:rPr>
      </w:pPr>
      <w:r>
        <w:rPr>
          <w:rFonts w:ascii="宋体" w:hAnsi="宋体"/>
          <w:sz w:val="32"/>
          <w:szCs w:val="32"/>
        </w:rPr>
        <w:t xml:space="preserve"> 20</w:t>
      </w:r>
      <w:r>
        <w:rPr>
          <w:rFonts w:ascii="宋体" w:hAnsi="宋体" w:hint="eastAsia"/>
          <w:sz w:val="32"/>
          <w:szCs w:val="32"/>
        </w:rPr>
        <w:t>2</w:t>
      </w:r>
      <w:r w:rsidR="00F03A34">
        <w:rPr>
          <w:rFonts w:ascii="宋体" w:hAnsi="宋体" w:hint="eastAsia"/>
          <w:sz w:val="32"/>
          <w:szCs w:val="32"/>
        </w:rPr>
        <w:t>5</w:t>
      </w:r>
      <w:r>
        <w:rPr>
          <w:rFonts w:ascii="宋体" w:hAnsi="宋体" w:hint="eastAsia"/>
          <w:sz w:val="32"/>
          <w:szCs w:val="32"/>
        </w:rPr>
        <w:t>年</w:t>
      </w:r>
      <w:r w:rsidR="00F03A34"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月2日</w:t>
      </w:r>
    </w:p>
    <w:p w:rsidR="00B2143D" w:rsidRDefault="00B2143D"/>
    <w:p w:rsidR="00B2143D" w:rsidRDefault="00B2143D"/>
    <w:p w:rsidR="00B2143D" w:rsidRDefault="00975155">
      <w:pPr>
        <w:pStyle w:val="1"/>
        <w:jc w:val="center"/>
        <w:rPr>
          <w:sz w:val="36"/>
        </w:rPr>
      </w:pPr>
      <w:r>
        <w:rPr>
          <w:rFonts w:hint="eastAsia"/>
          <w:sz w:val="36"/>
        </w:rPr>
        <w:lastRenderedPageBreak/>
        <w:t>《</w:t>
      </w:r>
      <w:r w:rsidR="00892C9B" w:rsidRPr="00892C9B">
        <w:rPr>
          <w:rFonts w:hint="eastAsia"/>
          <w:sz w:val="36"/>
        </w:rPr>
        <w:t>电流表、电压表、功率表及电阻表</w:t>
      </w:r>
      <w:r>
        <w:rPr>
          <w:rFonts w:hint="eastAsia"/>
          <w:sz w:val="36"/>
        </w:rPr>
        <w:t>》</w:t>
      </w:r>
    </w:p>
    <w:p w:rsidR="00B2143D" w:rsidRDefault="00975155">
      <w:pPr>
        <w:pStyle w:val="1"/>
        <w:jc w:val="center"/>
        <w:rPr>
          <w:sz w:val="36"/>
        </w:rPr>
      </w:pPr>
      <w:r>
        <w:rPr>
          <w:rFonts w:hint="eastAsia"/>
          <w:sz w:val="36"/>
        </w:rPr>
        <w:t>国家</w:t>
      </w:r>
      <w:r w:rsidR="00892C9B">
        <w:rPr>
          <w:rFonts w:hint="eastAsia"/>
          <w:sz w:val="36"/>
        </w:rPr>
        <w:t>检定规程</w:t>
      </w:r>
      <w:r>
        <w:rPr>
          <w:rFonts w:hint="eastAsia"/>
          <w:sz w:val="36"/>
        </w:rPr>
        <w:t>编</w:t>
      </w:r>
      <w:r w:rsidR="00CC160D">
        <w:rPr>
          <w:rFonts w:hint="eastAsia"/>
          <w:sz w:val="36"/>
        </w:rPr>
        <w:t>制</w:t>
      </w:r>
      <w:r>
        <w:rPr>
          <w:rFonts w:hint="eastAsia"/>
          <w:sz w:val="36"/>
        </w:rPr>
        <w:t>说明</w:t>
      </w:r>
    </w:p>
    <w:p w:rsidR="00B2143D" w:rsidRDefault="00B2143D"/>
    <w:p w:rsidR="00B2143D" w:rsidRDefault="00975155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一、任务来源</w:t>
      </w:r>
    </w:p>
    <w:p w:rsidR="00B2143D" w:rsidRDefault="00975155" w:rsidP="00892C9B">
      <w:pPr>
        <w:spacing w:line="360" w:lineRule="auto"/>
        <w:ind w:firstLineChars="192" w:firstLine="461"/>
        <w:rPr>
          <w:sz w:val="24"/>
        </w:rPr>
      </w:pPr>
      <w:r>
        <w:rPr>
          <w:rFonts w:hint="eastAsia"/>
          <w:sz w:val="24"/>
        </w:rPr>
        <w:t>根据</w:t>
      </w:r>
      <w:proofErr w:type="gramStart"/>
      <w:r>
        <w:rPr>
          <w:rFonts w:hint="eastAsia"/>
          <w:sz w:val="24"/>
        </w:rPr>
        <w:t>“</w:t>
      </w:r>
      <w:proofErr w:type="gramEnd"/>
      <w:r w:rsidR="00892C9B">
        <w:rPr>
          <w:rFonts w:hint="eastAsia"/>
          <w:sz w:val="24"/>
        </w:rPr>
        <w:t>国家市场监督管理总局办公厅市监计量发</w:t>
      </w:r>
      <w:r>
        <w:rPr>
          <w:rFonts w:hint="eastAsia"/>
          <w:sz w:val="24"/>
        </w:rPr>
        <w:t>[</w:t>
      </w:r>
      <w:r w:rsidR="00EA21B6">
        <w:rPr>
          <w:rFonts w:hint="eastAsia"/>
          <w:sz w:val="24"/>
        </w:rPr>
        <w:t>2024]40</w:t>
      </w:r>
      <w:r>
        <w:rPr>
          <w:rFonts w:hint="eastAsia"/>
          <w:sz w:val="24"/>
        </w:rPr>
        <w:t>号</w:t>
      </w:r>
      <w:r w:rsidR="00892C9B">
        <w:rPr>
          <w:rFonts w:hint="eastAsia"/>
          <w:sz w:val="24"/>
        </w:rPr>
        <w:t>文件</w:t>
      </w:r>
      <w:r>
        <w:rPr>
          <w:rFonts w:hint="eastAsia"/>
          <w:sz w:val="24"/>
        </w:rPr>
        <w:t>，</w:t>
      </w:r>
      <w:r w:rsidR="00892C9B">
        <w:rPr>
          <w:rFonts w:hint="eastAsia"/>
          <w:sz w:val="24"/>
        </w:rPr>
        <w:t>辽宁省检验检测认证中心（辽宁省计量科学研究院）承担了由中国计量科学研究院负责的“</w:t>
      </w:r>
      <w:r w:rsidR="00892C9B" w:rsidRPr="00892C9B">
        <w:rPr>
          <w:rFonts w:hint="eastAsia"/>
          <w:sz w:val="24"/>
        </w:rPr>
        <w:t>电流表、电压表、功率表及电阻表</w:t>
      </w:r>
      <w:r w:rsidR="00892C9B">
        <w:rPr>
          <w:rFonts w:hint="eastAsia"/>
          <w:sz w:val="24"/>
        </w:rPr>
        <w:t>检定规程”修订项目。</w:t>
      </w:r>
    </w:p>
    <w:p w:rsidR="00B2143D" w:rsidRDefault="00975155">
      <w:pPr>
        <w:tabs>
          <w:tab w:val="left" w:pos="900"/>
        </w:tabs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二、采纳国际建议说明</w:t>
      </w:r>
    </w:p>
    <w:p w:rsidR="00B2143D" w:rsidRDefault="00975155" w:rsidP="00892C9B">
      <w:pPr>
        <w:spacing w:line="360" w:lineRule="auto"/>
        <w:ind w:firstLineChars="192" w:firstLine="461"/>
        <w:rPr>
          <w:sz w:val="24"/>
        </w:rPr>
      </w:pPr>
      <w:r>
        <w:rPr>
          <w:rFonts w:hint="eastAsia"/>
          <w:sz w:val="24"/>
        </w:rPr>
        <w:t>《</w:t>
      </w:r>
      <w:r w:rsidR="00892C9B" w:rsidRPr="00892C9B">
        <w:rPr>
          <w:rFonts w:hint="eastAsia"/>
          <w:sz w:val="24"/>
        </w:rPr>
        <w:t>电流表、电压表、功率表及电阻表检定规程</w:t>
      </w:r>
      <w:r>
        <w:rPr>
          <w:rFonts w:hint="eastAsia"/>
          <w:sz w:val="24"/>
        </w:rPr>
        <w:t>》未涉及国际建议和采纳情况</w:t>
      </w:r>
      <w:r w:rsidR="00EA21B6">
        <w:rPr>
          <w:rFonts w:hint="eastAsia"/>
          <w:sz w:val="24"/>
        </w:rPr>
        <w:t>。</w:t>
      </w:r>
    </w:p>
    <w:p w:rsidR="00B2143D" w:rsidRDefault="00975155">
      <w:pPr>
        <w:tabs>
          <w:tab w:val="left" w:pos="900"/>
        </w:tabs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</w:t>
      </w:r>
      <w:r w:rsidR="00831919">
        <w:rPr>
          <w:rFonts w:ascii="宋体" w:hAnsi="宋体" w:hint="eastAsia"/>
          <w:b/>
          <w:sz w:val="24"/>
        </w:rPr>
        <w:t>检定规程修</w:t>
      </w:r>
      <w:r w:rsidR="00C155D2">
        <w:rPr>
          <w:rFonts w:ascii="宋体" w:hAnsi="宋体" w:hint="eastAsia"/>
          <w:b/>
          <w:sz w:val="24"/>
        </w:rPr>
        <w:t>订</w:t>
      </w:r>
      <w:r>
        <w:rPr>
          <w:rFonts w:ascii="宋体" w:hAnsi="宋体" w:hint="eastAsia"/>
          <w:b/>
          <w:sz w:val="24"/>
        </w:rPr>
        <w:t>的必要性</w:t>
      </w:r>
    </w:p>
    <w:p w:rsidR="00892C9B" w:rsidRPr="00892C9B" w:rsidRDefault="00892C9B" w:rsidP="00892C9B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892C9B">
        <w:rPr>
          <w:rFonts w:ascii="宋体" w:hAnsi="宋体" w:hint="eastAsia"/>
          <w:bCs/>
          <w:sz w:val="24"/>
        </w:rPr>
        <w:t>自</w:t>
      </w:r>
      <w:r w:rsidRPr="00892C9B">
        <w:rPr>
          <w:rFonts w:ascii="宋体" w:hAnsi="宋体"/>
          <w:bCs/>
          <w:sz w:val="24"/>
        </w:rPr>
        <w:t>JJG</w:t>
      </w:r>
      <w:r w:rsidRPr="00892C9B">
        <w:rPr>
          <w:rFonts w:ascii="宋体" w:hAnsi="宋体" w:hint="eastAsia"/>
          <w:bCs/>
          <w:sz w:val="24"/>
        </w:rPr>
        <w:t>124</w:t>
      </w:r>
      <w:r w:rsidRPr="00892C9B">
        <w:rPr>
          <w:rFonts w:ascii="宋体" w:hAnsi="宋体"/>
          <w:bCs/>
          <w:sz w:val="24"/>
        </w:rPr>
        <w:t>-</w:t>
      </w:r>
      <w:r w:rsidRPr="00892C9B">
        <w:rPr>
          <w:rFonts w:ascii="宋体" w:hAnsi="宋体" w:hint="eastAsia"/>
          <w:bCs/>
          <w:sz w:val="24"/>
        </w:rPr>
        <w:t>2005《电流表、电压表、功率表及电阻表》检定规程实施以来，对电流表、电压表、功率表及电阻表的检定工作起到了一定积极作用，但随着科学的发展，在兼容性和覆盖面及操作性等方面已存在一些问题，有些已无法满足经济和社会发展的要求。</w:t>
      </w:r>
    </w:p>
    <w:p w:rsidR="00892C9B" w:rsidRPr="00892C9B" w:rsidRDefault="00892C9B" w:rsidP="00892C9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892C9B">
        <w:rPr>
          <w:rFonts w:ascii="宋体" w:hAnsi="宋体" w:hint="eastAsia"/>
          <w:bCs/>
          <w:sz w:val="24"/>
        </w:rPr>
        <w:t>近年来国内外的相关工作也有了很大的发展，许多规范和建议作了重新修订。如：国内</w:t>
      </w:r>
      <w:r w:rsidR="004D3E73" w:rsidRPr="00F90DD7">
        <w:rPr>
          <w:rFonts w:ascii="宋体" w:hAnsi="宋体"/>
          <w:bCs/>
          <w:sz w:val="24"/>
        </w:rPr>
        <w:t>JJF10</w:t>
      </w:r>
      <w:r w:rsidR="004D3E73">
        <w:rPr>
          <w:rFonts w:ascii="宋体" w:hAnsi="宋体" w:hint="eastAsia"/>
          <w:bCs/>
          <w:sz w:val="24"/>
        </w:rPr>
        <w:t>02</w:t>
      </w:r>
      <w:r w:rsidR="004D3E73" w:rsidRPr="00F90DD7">
        <w:rPr>
          <w:rFonts w:ascii="宋体" w:hAnsi="宋体"/>
          <w:bCs/>
          <w:sz w:val="24"/>
        </w:rPr>
        <w:t>-2010</w:t>
      </w:r>
      <w:r w:rsidR="004D3E73" w:rsidRPr="00F90DD7">
        <w:rPr>
          <w:rFonts w:ascii="宋体" w:hAnsi="宋体" w:hint="eastAsia"/>
          <w:bCs/>
          <w:sz w:val="24"/>
        </w:rPr>
        <w:t>《国家计量</w:t>
      </w:r>
      <w:r w:rsidR="004D3E73">
        <w:rPr>
          <w:rFonts w:ascii="宋体" w:hAnsi="宋体" w:hint="eastAsia"/>
          <w:bCs/>
          <w:sz w:val="24"/>
        </w:rPr>
        <w:t>检定规程</w:t>
      </w:r>
      <w:r w:rsidR="004D3E73" w:rsidRPr="00F90DD7">
        <w:rPr>
          <w:rFonts w:ascii="宋体" w:hAnsi="宋体" w:hint="eastAsia"/>
          <w:bCs/>
          <w:sz w:val="24"/>
        </w:rPr>
        <w:t>编写规则》</w:t>
      </w:r>
      <w:r w:rsidRPr="00892C9B">
        <w:rPr>
          <w:rFonts w:ascii="宋体" w:hAnsi="宋体" w:hint="eastAsia"/>
          <w:bCs/>
          <w:sz w:val="24"/>
        </w:rPr>
        <w:t>及</w:t>
      </w:r>
      <w:r w:rsidR="004D3E73">
        <w:rPr>
          <w:rFonts w:ascii="宋体" w:hAnsi="宋体" w:hint="eastAsia"/>
          <w:bCs/>
          <w:sz w:val="24"/>
        </w:rPr>
        <w:t>JJF 1001—2011《通用计量术语及定义》</w:t>
      </w:r>
      <w:r w:rsidRPr="00892C9B">
        <w:rPr>
          <w:rFonts w:ascii="宋体" w:hAnsi="宋体" w:hint="eastAsia"/>
          <w:bCs/>
          <w:sz w:val="24"/>
        </w:rPr>
        <w:t>等作了重新修订。为了与相应的法律法规及技术规范相配套一致，亟需对</w:t>
      </w:r>
      <w:r w:rsidRPr="00892C9B">
        <w:rPr>
          <w:rFonts w:ascii="宋体" w:hAnsi="宋体"/>
          <w:bCs/>
          <w:sz w:val="24"/>
        </w:rPr>
        <w:t>JJG</w:t>
      </w:r>
      <w:r w:rsidRPr="00892C9B">
        <w:rPr>
          <w:rFonts w:ascii="宋体" w:hAnsi="宋体" w:hint="eastAsia"/>
          <w:bCs/>
          <w:sz w:val="24"/>
        </w:rPr>
        <w:t>124</w:t>
      </w:r>
      <w:r w:rsidRPr="00892C9B">
        <w:rPr>
          <w:rFonts w:ascii="宋体" w:hAnsi="宋体"/>
          <w:bCs/>
          <w:sz w:val="24"/>
        </w:rPr>
        <w:t>-</w:t>
      </w:r>
      <w:r w:rsidRPr="00892C9B">
        <w:rPr>
          <w:rFonts w:ascii="宋体" w:hAnsi="宋体" w:hint="eastAsia"/>
          <w:bCs/>
          <w:sz w:val="24"/>
        </w:rPr>
        <w:t>2005《电流表、电压表、功率表及电阻表》进行修订。</w:t>
      </w:r>
    </w:p>
    <w:p w:rsidR="00B2143D" w:rsidRDefault="00975155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/>
          <w:b/>
          <w:bCs/>
          <w:sz w:val="24"/>
        </w:rPr>
        <w:t>规</w:t>
      </w:r>
      <w:r>
        <w:rPr>
          <w:rFonts w:ascii="宋体" w:hAnsi="宋体" w:hint="eastAsia"/>
          <w:b/>
          <w:bCs/>
          <w:sz w:val="24"/>
        </w:rPr>
        <w:t>范</w:t>
      </w:r>
      <w:r>
        <w:rPr>
          <w:rFonts w:ascii="宋体" w:hAnsi="宋体"/>
          <w:b/>
          <w:bCs/>
          <w:sz w:val="24"/>
        </w:rPr>
        <w:t>起草的主要技术依据及原则</w:t>
      </w:r>
    </w:p>
    <w:p w:rsidR="00892C9B" w:rsidRDefault="00892C9B" w:rsidP="00892C9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F90DD7">
        <w:rPr>
          <w:rFonts w:ascii="宋体" w:hAnsi="宋体" w:hint="eastAsia"/>
          <w:bCs/>
          <w:sz w:val="24"/>
        </w:rPr>
        <w:t>本</w:t>
      </w:r>
      <w:r>
        <w:rPr>
          <w:rFonts w:ascii="宋体" w:hAnsi="宋体" w:hint="eastAsia"/>
          <w:bCs/>
          <w:sz w:val="24"/>
        </w:rPr>
        <w:t>规程</w:t>
      </w:r>
      <w:r w:rsidRPr="00F90DD7">
        <w:rPr>
          <w:rFonts w:ascii="宋体" w:hAnsi="宋体" w:hint="eastAsia"/>
          <w:bCs/>
          <w:sz w:val="24"/>
        </w:rPr>
        <w:t>依据</w:t>
      </w:r>
      <w:r w:rsidRPr="00F90DD7">
        <w:rPr>
          <w:rFonts w:ascii="宋体" w:hAnsi="宋体"/>
          <w:bCs/>
          <w:sz w:val="24"/>
        </w:rPr>
        <w:t>JJF10</w:t>
      </w:r>
      <w:r>
        <w:rPr>
          <w:rFonts w:ascii="宋体" w:hAnsi="宋体" w:hint="eastAsia"/>
          <w:bCs/>
          <w:sz w:val="24"/>
        </w:rPr>
        <w:t>02</w:t>
      </w:r>
      <w:r w:rsidRPr="00F90DD7">
        <w:rPr>
          <w:rFonts w:ascii="宋体" w:hAnsi="宋体"/>
          <w:bCs/>
          <w:sz w:val="24"/>
        </w:rPr>
        <w:t>-2010</w:t>
      </w:r>
      <w:r w:rsidRPr="00F90DD7">
        <w:rPr>
          <w:rFonts w:ascii="宋体" w:hAnsi="宋体" w:hint="eastAsia"/>
          <w:bCs/>
          <w:sz w:val="24"/>
        </w:rPr>
        <w:t>《国家计量</w:t>
      </w:r>
      <w:r>
        <w:rPr>
          <w:rFonts w:ascii="宋体" w:hAnsi="宋体" w:hint="eastAsia"/>
          <w:bCs/>
          <w:sz w:val="24"/>
        </w:rPr>
        <w:t>检定规程</w:t>
      </w:r>
      <w:r w:rsidRPr="00F90DD7">
        <w:rPr>
          <w:rFonts w:ascii="宋体" w:hAnsi="宋体" w:hint="eastAsia"/>
          <w:bCs/>
          <w:sz w:val="24"/>
        </w:rPr>
        <w:t>编写规则》编写。本</w:t>
      </w:r>
      <w:r>
        <w:rPr>
          <w:rFonts w:ascii="宋体" w:hAnsi="宋体" w:hint="eastAsia"/>
          <w:bCs/>
          <w:sz w:val="24"/>
        </w:rPr>
        <w:t>规程</w:t>
      </w:r>
      <w:r w:rsidRPr="00F90DD7">
        <w:rPr>
          <w:rFonts w:ascii="宋体" w:hAnsi="宋体" w:hint="eastAsia"/>
          <w:bCs/>
          <w:sz w:val="24"/>
        </w:rPr>
        <w:t>参</w:t>
      </w:r>
      <w:r>
        <w:rPr>
          <w:rFonts w:ascii="宋体" w:hAnsi="宋体" w:hint="eastAsia"/>
          <w:bCs/>
          <w:sz w:val="24"/>
        </w:rPr>
        <w:t>照</w:t>
      </w:r>
      <w:r>
        <w:rPr>
          <w:rFonts w:ascii="宋体" w:hAnsi="宋体"/>
          <w:bCs/>
          <w:sz w:val="24"/>
        </w:rPr>
        <w:t>GB/T 7676.2-2017</w:t>
      </w:r>
      <w:r w:rsidRPr="00F90DD7">
        <w:rPr>
          <w:rFonts w:ascii="宋体" w:hAnsi="宋体" w:hint="eastAsia"/>
          <w:bCs/>
          <w:sz w:val="24"/>
        </w:rPr>
        <w:t>《</w:t>
      </w:r>
      <w:r>
        <w:rPr>
          <w:rFonts w:ascii="宋体" w:hAnsi="宋体" w:hint="eastAsia"/>
          <w:bCs/>
          <w:sz w:val="24"/>
        </w:rPr>
        <w:t>直接作用模拟指示电测量仪表及其附件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第</w:t>
      </w: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部分：电流表和电压表的特殊要求</w:t>
      </w:r>
      <w:r w:rsidRPr="00F90DD7">
        <w:rPr>
          <w:rFonts w:ascii="宋体" w:hAnsi="宋体" w:hint="eastAsia"/>
          <w:bCs/>
          <w:sz w:val="24"/>
        </w:rPr>
        <w:t>》、</w:t>
      </w:r>
      <w:r>
        <w:rPr>
          <w:rFonts w:ascii="宋体" w:hAnsi="宋体"/>
          <w:bCs/>
          <w:sz w:val="24"/>
        </w:rPr>
        <w:t>GB/T 7676.3-2017</w:t>
      </w:r>
      <w:r w:rsidRPr="00F90DD7">
        <w:rPr>
          <w:rFonts w:ascii="宋体" w:hAnsi="宋体" w:hint="eastAsia"/>
          <w:bCs/>
          <w:sz w:val="24"/>
        </w:rPr>
        <w:t>《</w:t>
      </w:r>
      <w:r>
        <w:rPr>
          <w:rFonts w:ascii="宋体" w:hAnsi="宋体" w:hint="eastAsia"/>
          <w:bCs/>
          <w:sz w:val="24"/>
        </w:rPr>
        <w:t>直接作用模拟指示电测量仪表及其附件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第</w:t>
      </w:r>
      <w:r>
        <w:rPr>
          <w:rFonts w:ascii="宋体" w:hAnsi="宋体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部分：功率表和无功功率表的特殊要求</w:t>
      </w:r>
      <w:r w:rsidRPr="00F90DD7">
        <w:rPr>
          <w:rFonts w:ascii="宋体" w:hAnsi="宋体" w:hint="eastAsia"/>
          <w:bCs/>
          <w:sz w:val="24"/>
        </w:rPr>
        <w:t>》、</w:t>
      </w:r>
      <w:r>
        <w:rPr>
          <w:rFonts w:ascii="宋体" w:hAnsi="宋体"/>
          <w:bCs/>
          <w:sz w:val="24"/>
        </w:rPr>
        <w:t>GB/T 7676.6-2017</w:t>
      </w:r>
      <w:r w:rsidRPr="00F90DD7">
        <w:rPr>
          <w:rFonts w:ascii="宋体" w:hAnsi="宋体" w:hint="eastAsia"/>
          <w:bCs/>
          <w:sz w:val="24"/>
        </w:rPr>
        <w:t>《</w:t>
      </w:r>
      <w:r>
        <w:rPr>
          <w:rFonts w:ascii="宋体" w:hAnsi="宋体" w:hint="eastAsia"/>
          <w:bCs/>
          <w:sz w:val="24"/>
        </w:rPr>
        <w:t>直接作用模拟指示电测量仪表及其附件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第</w:t>
      </w:r>
      <w:r>
        <w:rPr>
          <w:rFonts w:ascii="宋体" w:hAnsi="宋体"/>
          <w:bCs/>
          <w:sz w:val="24"/>
        </w:rPr>
        <w:t>6</w:t>
      </w:r>
      <w:r>
        <w:rPr>
          <w:rFonts w:ascii="宋体" w:hAnsi="宋体" w:hint="eastAsia"/>
          <w:bCs/>
          <w:sz w:val="24"/>
        </w:rPr>
        <w:t>部分：电阻表（阻抗表）和电导表的特殊要求</w:t>
      </w:r>
      <w:r w:rsidRPr="00F90DD7">
        <w:rPr>
          <w:rFonts w:ascii="宋体" w:hAnsi="宋体" w:hint="eastAsia"/>
          <w:bCs/>
          <w:sz w:val="24"/>
        </w:rPr>
        <w:t>》</w:t>
      </w:r>
      <w:r>
        <w:rPr>
          <w:rFonts w:ascii="宋体" w:hAnsi="宋体" w:hint="eastAsia"/>
          <w:bCs/>
          <w:sz w:val="24"/>
        </w:rPr>
        <w:t>等标准，对</w:t>
      </w:r>
      <w:r>
        <w:rPr>
          <w:rFonts w:ascii="宋体" w:hAnsi="宋体"/>
          <w:bCs/>
          <w:sz w:val="24"/>
        </w:rPr>
        <w:t>JJG124-2005</w:t>
      </w:r>
      <w:r>
        <w:rPr>
          <w:rFonts w:ascii="宋体" w:hAnsi="宋体" w:hint="eastAsia"/>
          <w:bCs/>
          <w:sz w:val="24"/>
        </w:rPr>
        <w:t>《</w:t>
      </w:r>
      <w:r w:rsidRPr="00BE03B5">
        <w:rPr>
          <w:rFonts w:ascii="宋体" w:hAnsi="宋体" w:hint="eastAsia"/>
          <w:bCs/>
          <w:sz w:val="24"/>
        </w:rPr>
        <w:t>电流表、电压表、功率表及电阻表</w:t>
      </w:r>
      <w:r>
        <w:rPr>
          <w:rFonts w:ascii="宋体" w:hAnsi="宋体" w:hint="eastAsia"/>
          <w:bCs/>
          <w:sz w:val="24"/>
        </w:rPr>
        <w:t>》进行修订的。</w:t>
      </w:r>
    </w:p>
    <w:p w:rsidR="00892C9B" w:rsidRPr="00892C9B" w:rsidRDefault="00892C9B" w:rsidP="00892C9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892C9B">
        <w:rPr>
          <w:rFonts w:ascii="宋体" w:hAnsi="宋体" w:hint="eastAsia"/>
          <w:bCs/>
          <w:sz w:val="24"/>
        </w:rPr>
        <w:t>此次制定工作，制定小组坚持了以下主要原则：</w:t>
      </w:r>
    </w:p>
    <w:p w:rsidR="00892C9B" w:rsidRPr="00892C9B" w:rsidRDefault="00892C9B" w:rsidP="00892C9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892C9B">
        <w:rPr>
          <w:rFonts w:ascii="宋体" w:hAnsi="宋体" w:hint="eastAsia"/>
          <w:bCs/>
          <w:sz w:val="24"/>
        </w:rPr>
        <w:t>1、提高规范的兼容性和覆盖面；</w:t>
      </w:r>
    </w:p>
    <w:p w:rsidR="00892C9B" w:rsidRPr="00892C9B" w:rsidRDefault="00892C9B" w:rsidP="00892C9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892C9B">
        <w:rPr>
          <w:rFonts w:ascii="宋体" w:hAnsi="宋体" w:hint="eastAsia"/>
          <w:bCs/>
          <w:sz w:val="24"/>
        </w:rPr>
        <w:t>2、注重与国家现行的法律法规、标准、技术规范保持一致；</w:t>
      </w:r>
    </w:p>
    <w:p w:rsidR="00892C9B" w:rsidRPr="00892C9B" w:rsidRDefault="00892C9B" w:rsidP="00892C9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892C9B">
        <w:rPr>
          <w:rFonts w:ascii="宋体" w:hAnsi="宋体" w:hint="eastAsia"/>
          <w:bCs/>
          <w:sz w:val="24"/>
        </w:rPr>
        <w:t>3、提高规范的实用性和可操作性；</w:t>
      </w:r>
    </w:p>
    <w:p w:rsidR="00892C9B" w:rsidRPr="00892C9B" w:rsidRDefault="00892C9B" w:rsidP="00892C9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892C9B">
        <w:rPr>
          <w:rFonts w:ascii="宋体" w:hAnsi="宋体" w:hint="eastAsia"/>
          <w:bCs/>
          <w:sz w:val="24"/>
        </w:rPr>
        <w:lastRenderedPageBreak/>
        <w:t>4、坚持广泛征求意见。</w:t>
      </w:r>
    </w:p>
    <w:p w:rsidR="00B2143D" w:rsidRDefault="00975155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sz w:val="24"/>
        </w:rPr>
        <w:t>五、规程起草过程和计划</w:t>
      </w:r>
    </w:p>
    <w:p w:rsidR="00B2143D" w:rsidRDefault="00975155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1、20</w:t>
      </w:r>
      <w:r w:rsidR="00AE5A9E">
        <w:rPr>
          <w:rFonts w:ascii="宋体" w:hAnsi="宋体" w:hint="eastAsia"/>
          <w:sz w:val="24"/>
        </w:rPr>
        <w:t>24</w:t>
      </w:r>
      <w:r>
        <w:rPr>
          <w:rFonts w:ascii="宋体" w:hAnsi="宋体" w:hint="eastAsia"/>
          <w:sz w:val="24"/>
        </w:rPr>
        <w:t>年 07月集结起草人员。</w:t>
      </w:r>
    </w:p>
    <w:p w:rsidR="00B2143D" w:rsidRDefault="00975155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2、20</w:t>
      </w:r>
      <w:r w:rsidR="00AE5A9E">
        <w:rPr>
          <w:rFonts w:ascii="宋体" w:hAnsi="宋体" w:hint="eastAsia"/>
          <w:sz w:val="24"/>
        </w:rPr>
        <w:t>24</w:t>
      </w:r>
      <w:r>
        <w:rPr>
          <w:rFonts w:ascii="宋体" w:hAnsi="宋体" w:hint="eastAsia"/>
          <w:sz w:val="24"/>
        </w:rPr>
        <w:t>年08月至20</w:t>
      </w:r>
      <w:r w:rsidR="00AE5A9E">
        <w:rPr>
          <w:rFonts w:ascii="宋体" w:hAnsi="宋体" w:hint="eastAsia"/>
          <w:sz w:val="24"/>
        </w:rPr>
        <w:t>24</w:t>
      </w:r>
      <w:r>
        <w:rPr>
          <w:rFonts w:ascii="宋体" w:hAnsi="宋体" w:hint="eastAsia"/>
          <w:sz w:val="24"/>
        </w:rPr>
        <w:t>年08月，调研工作和试验工作</w:t>
      </w:r>
    </w:p>
    <w:p w:rsidR="00B2143D" w:rsidRDefault="00975155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3、20</w:t>
      </w:r>
      <w:r w:rsidR="00AE5A9E">
        <w:rPr>
          <w:rFonts w:ascii="宋体" w:hAnsi="宋体" w:hint="eastAsia"/>
          <w:sz w:val="24"/>
        </w:rPr>
        <w:t>24</w:t>
      </w:r>
      <w:r>
        <w:rPr>
          <w:rFonts w:ascii="宋体" w:hAnsi="宋体" w:hint="eastAsia"/>
          <w:sz w:val="24"/>
        </w:rPr>
        <w:t>年 08 月至202</w:t>
      </w:r>
      <w:r w:rsidR="00AE5A9E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年0</w:t>
      </w:r>
      <w:r w:rsidR="00AE5A9E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月，完成</w:t>
      </w:r>
      <w:r w:rsidR="00F03A34">
        <w:rPr>
          <w:rFonts w:ascii="宋体" w:hAnsi="宋体" w:hint="eastAsia"/>
          <w:sz w:val="24"/>
        </w:rPr>
        <w:t>规程</w:t>
      </w:r>
      <w:r>
        <w:rPr>
          <w:rFonts w:ascii="宋体" w:hAnsi="宋体" w:hint="eastAsia"/>
          <w:sz w:val="24"/>
        </w:rPr>
        <w:t>初稿</w:t>
      </w:r>
    </w:p>
    <w:p w:rsidR="00B2143D" w:rsidRDefault="00975155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4、202</w:t>
      </w:r>
      <w:r w:rsidR="00AE5A9E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年0</w:t>
      </w:r>
      <w:r w:rsidR="00AE5A9E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月形成征求意见稿，向使用单位、生产单位、计量部门和有关专家征求意见。</w:t>
      </w:r>
    </w:p>
    <w:p w:rsidR="00B2143D" w:rsidRDefault="00975155">
      <w:pPr>
        <w:tabs>
          <w:tab w:val="center" w:pos="4153"/>
        </w:tabs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5、202</w:t>
      </w:r>
      <w:r w:rsidR="00AE5A9E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>07月根据部分使用单位、生产单位、计量部门和专家的返回意见和建议，形成预</w:t>
      </w:r>
      <w:r>
        <w:rPr>
          <w:rFonts w:ascii="宋体" w:hAnsi="宋体"/>
          <w:color w:val="000000"/>
          <w:sz w:val="24"/>
        </w:rPr>
        <w:t>审稿</w:t>
      </w:r>
      <w:r>
        <w:rPr>
          <w:rFonts w:ascii="宋体" w:hAnsi="宋体" w:hint="eastAsia"/>
          <w:color w:val="000000"/>
          <w:sz w:val="24"/>
        </w:rPr>
        <w:t>。</w:t>
      </w:r>
    </w:p>
    <w:p w:rsidR="00B2143D" w:rsidRDefault="00975155">
      <w:pPr>
        <w:tabs>
          <w:tab w:val="center" w:pos="4153"/>
        </w:tabs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6、202</w:t>
      </w:r>
      <w:r w:rsidR="00AE5A9E">
        <w:rPr>
          <w:rFonts w:ascii="宋体" w:hAnsi="宋体" w:hint="eastAsia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>年</w:t>
      </w:r>
      <w:r w:rsidR="00AE5A9E">
        <w:rPr>
          <w:rFonts w:ascii="宋体" w:hAnsi="宋体" w:hint="eastAsia"/>
          <w:color w:val="000000"/>
          <w:sz w:val="24"/>
        </w:rPr>
        <w:t>9</w:t>
      </w:r>
      <w:r>
        <w:rPr>
          <w:rFonts w:ascii="宋体" w:hAnsi="宋体" w:hint="eastAsia"/>
          <w:color w:val="000000"/>
          <w:sz w:val="24"/>
        </w:rPr>
        <w:t>月通过全国电磁计量技术委员会预审，根据与会意见修改并形成报审稿。</w:t>
      </w:r>
    </w:p>
    <w:p w:rsidR="00B2143D" w:rsidRDefault="00975155">
      <w:pPr>
        <w:tabs>
          <w:tab w:val="center" w:pos="4153"/>
        </w:tabs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7、202</w:t>
      </w:r>
      <w:r w:rsidR="00AE5A9E">
        <w:rPr>
          <w:rFonts w:ascii="宋体" w:hAnsi="宋体" w:hint="eastAsia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>年11月通过全国电磁计量技术委员会审定，根据与会意见修改并报国家市场监督管理总局审批。</w:t>
      </w:r>
    </w:p>
    <w:p w:rsidR="00B2143D" w:rsidRDefault="00975155">
      <w:pPr>
        <w:tabs>
          <w:tab w:val="center" w:pos="4153"/>
        </w:tabs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color w:val="000000"/>
          <w:sz w:val="24"/>
        </w:rPr>
        <w:t>六、</w:t>
      </w:r>
      <w:r>
        <w:rPr>
          <w:rFonts w:ascii="宋体" w:hAnsi="宋体" w:hint="eastAsia"/>
          <w:b/>
          <w:sz w:val="24"/>
        </w:rPr>
        <w:t>规范</w:t>
      </w:r>
      <w:r>
        <w:rPr>
          <w:rFonts w:ascii="宋体" w:hAnsi="宋体"/>
          <w:b/>
          <w:sz w:val="24"/>
        </w:rPr>
        <w:t>起草的重点</w:t>
      </w:r>
    </w:p>
    <w:p w:rsidR="00B2143D" w:rsidRDefault="00975155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1、计量特性</w:t>
      </w:r>
      <w:r>
        <w:rPr>
          <w:rFonts w:ascii="宋体" w:hAnsi="宋体"/>
          <w:sz w:val="24"/>
        </w:rPr>
        <w:t>。</w:t>
      </w:r>
    </w:p>
    <w:p w:rsidR="00B2143D" w:rsidRDefault="0097515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2、确定</w:t>
      </w:r>
      <w:r w:rsidR="00984720">
        <w:rPr>
          <w:rFonts w:ascii="宋体" w:hAnsi="宋体" w:hint="eastAsia"/>
          <w:sz w:val="24"/>
        </w:rPr>
        <w:t>检定</w:t>
      </w:r>
      <w:r>
        <w:rPr>
          <w:rFonts w:ascii="宋体" w:hAnsi="宋体" w:hint="eastAsia"/>
          <w:sz w:val="24"/>
        </w:rPr>
        <w:t>条件、</w:t>
      </w:r>
      <w:r w:rsidR="00984720">
        <w:rPr>
          <w:rFonts w:ascii="宋体" w:hAnsi="宋体" w:hint="eastAsia"/>
          <w:sz w:val="24"/>
        </w:rPr>
        <w:t>检定</w:t>
      </w:r>
      <w:r>
        <w:rPr>
          <w:rFonts w:ascii="宋体" w:hAnsi="宋体" w:hint="eastAsia"/>
          <w:sz w:val="24"/>
        </w:rPr>
        <w:t>用主要设备</w:t>
      </w:r>
      <w:r>
        <w:rPr>
          <w:rFonts w:ascii="宋体" w:hAnsi="宋体"/>
          <w:sz w:val="24"/>
        </w:rPr>
        <w:t>。</w:t>
      </w:r>
    </w:p>
    <w:p w:rsidR="00B2143D" w:rsidRDefault="00975155">
      <w:pPr>
        <w:tabs>
          <w:tab w:val="left" w:pos="540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3、确定</w:t>
      </w:r>
      <w:r w:rsidR="00984720">
        <w:rPr>
          <w:rFonts w:ascii="宋体" w:hAnsi="宋体" w:hint="eastAsia"/>
          <w:sz w:val="24"/>
        </w:rPr>
        <w:t>检定</w:t>
      </w:r>
      <w:r>
        <w:rPr>
          <w:rFonts w:ascii="宋体" w:hAnsi="宋体" w:hint="eastAsia"/>
          <w:sz w:val="24"/>
        </w:rPr>
        <w:t>项目和</w:t>
      </w:r>
      <w:r w:rsidR="00984720">
        <w:rPr>
          <w:rFonts w:ascii="宋体" w:hAnsi="宋体" w:hint="eastAsia"/>
          <w:sz w:val="24"/>
        </w:rPr>
        <w:t>检定</w:t>
      </w:r>
      <w:r>
        <w:rPr>
          <w:rFonts w:ascii="宋体" w:hAnsi="宋体" w:hint="eastAsia"/>
          <w:sz w:val="24"/>
        </w:rPr>
        <w:t>方法</w:t>
      </w:r>
      <w:r>
        <w:rPr>
          <w:rFonts w:ascii="宋体" w:hAnsi="宋体"/>
          <w:sz w:val="24"/>
        </w:rPr>
        <w:t>。</w:t>
      </w:r>
    </w:p>
    <w:p w:rsidR="00B2143D" w:rsidRDefault="00975155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sz w:val="24"/>
        </w:rPr>
        <w:t>七、主要内容</w:t>
      </w:r>
    </w:p>
    <w:p w:rsidR="00F03A34" w:rsidRPr="00F03A34" w:rsidRDefault="00F03A34" w:rsidP="00F03A34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与</w:t>
      </w:r>
      <w:r>
        <w:rPr>
          <w:rFonts w:ascii="宋体" w:hAnsi="宋体"/>
          <w:bCs/>
          <w:sz w:val="24"/>
        </w:rPr>
        <w:t>JJG124-2005</w:t>
      </w:r>
      <w:r>
        <w:rPr>
          <w:rFonts w:ascii="宋体" w:hAnsi="宋体" w:hint="eastAsia"/>
          <w:bCs/>
          <w:sz w:val="24"/>
        </w:rPr>
        <w:t>相比，除编辑性修改外主要技术变化如下：</w:t>
      </w:r>
    </w:p>
    <w:p w:rsidR="00F03A34" w:rsidRDefault="00EA21B6" w:rsidP="00EA21B6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1，</w:t>
      </w:r>
      <w:r w:rsidR="00F03A34">
        <w:rPr>
          <w:rFonts w:ascii="宋体" w:hAnsi="宋体" w:hint="eastAsia"/>
          <w:bCs/>
          <w:sz w:val="24"/>
        </w:rPr>
        <w:t>增加引言、引用文件</w:t>
      </w:r>
      <w:r>
        <w:rPr>
          <w:rFonts w:ascii="宋体" w:hAnsi="宋体" w:hint="eastAsia"/>
          <w:bCs/>
          <w:sz w:val="24"/>
        </w:rPr>
        <w:t>；</w:t>
      </w:r>
      <w:r w:rsidR="00F03A34">
        <w:rPr>
          <w:rFonts w:ascii="宋体" w:hAnsi="宋体" w:hint="eastAsia"/>
          <w:bCs/>
          <w:sz w:val="24"/>
        </w:rPr>
        <w:t>增加检定设备</w:t>
      </w:r>
      <w:r>
        <w:rPr>
          <w:rFonts w:ascii="宋体" w:hAnsi="宋体" w:hint="eastAsia"/>
          <w:bCs/>
          <w:sz w:val="24"/>
        </w:rPr>
        <w:t>；</w:t>
      </w:r>
    </w:p>
    <w:p w:rsidR="00F03A34" w:rsidRDefault="00EA21B6" w:rsidP="00F03A34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2，依据国标</w:t>
      </w:r>
      <w:r>
        <w:rPr>
          <w:rFonts w:ascii="宋体" w:hAnsi="宋体"/>
          <w:bCs/>
          <w:sz w:val="24"/>
        </w:rPr>
        <w:t>GB/T 7676</w:t>
      </w:r>
      <w:r w:rsidR="00F03A34">
        <w:rPr>
          <w:rFonts w:ascii="宋体" w:hAnsi="宋体" w:hint="eastAsia"/>
          <w:bCs/>
          <w:sz w:val="24"/>
        </w:rPr>
        <w:t>删除升降变差的检定</w:t>
      </w:r>
      <w:r>
        <w:rPr>
          <w:rFonts w:ascii="宋体" w:hAnsi="宋体" w:hint="eastAsia"/>
          <w:bCs/>
          <w:sz w:val="24"/>
        </w:rPr>
        <w:t>；</w:t>
      </w:r>
    </w:p>
    <w:p w:rsidR="004964CC" w:rsidRDefault="004964CC" w:rsidP="00F03A34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3，位置影响，在国标</w:t>
      </w:r>
      <w:r>
        <w:rPr>
          <w:rFonts w:ascii="宋体" w:hAnsi="宋体"/>
          <w:bCs/>
          <w:sz w:val="24"/>
        </w:rPr>
        <w:t>GB/T 7676</w:t>
      </w:r>
      <w:r>
        <w:rPr>
          <w:rFonts w:ascii="宋体" w:hAnsi="宋体" w:hint="eastAsia"/>
          <w:bCs/>
          <w:sz w:val="24"/>
        </w:rPr>
        <w:t>.9-2017中属于改变量试验，故</w:t>
      </w:r>
      <w:r w:rsidR="006D03C5">
        <w:rPr>
          <w:rFonts w:ascii="宋体" w:hAnsi="宋体" w:hint="eastAsia"/>
          <w:bCs/>
          <w:sz w:val="24"/>
        </w:rPr>
        <w:t>改为以下规定：</w:t>
      </w:r>
      <w:r>
        <w:rPr>
          <w:rFonts w:ascii="宋体" w:hAnsi="宋体" w:hint="eastAsia"/>
          <w:bCs/>
          <w:sz w:val="24"/>
        </w:rPr>
        <w:t>对于有位置标志的仪表，应在检定时按照仪表规定的位置检定，对于没有位置标志的仪表，应按照水平或者垂直位置进行检定。</w:t>
      </w:r>
    </w:p>
    <w:p w:rsidR="00482259" w:rsidRPr="00F03A34" w:rsidRDefault="00482259" w:rsidP="00F03A34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4，功率因数影响，在国标</w:t>
      </w:r>
      <w:r>
        <w:rPr>
          <w:rFonts w:ascii="宋体" w:hAnsi="宋体"/>
          <w:bCs/>
          <w:sz w:val="24"/>
        </w:rPr>
        <w:t>GB/T 7676</w:t>
      </w:r>
      <w:r>
        <w:rPr>
          <w:rFonts w:ascii="宋体" w:hAnsi="宋体" w:hint="eastAsia"/>
          <w:bCs/>
          <w:sz w:val="24"/>
        </w:rPr>
        <w:t>.9-2017中属于改变</w:t>
      </w:r>
      <w:proofErr w:type="gramStart"/>
      <w:r>
        <w:rPr>
          <w:rFonts w:ascii="宋体" w:hAnsi="宋体" w:hint="eastAsia"/>
          <w:bCs/>
          <w:sz w:val="24"/>
        </w:rPr>
        <w:t>量试验</w:t>
      </w:r>
      <w:proofErr w:type="gramEnd"/>
      <w:r w:rsidR="009B1523">
        <w:rPr>
          <w:rFonts w:ascii="宋体" w:hAnsi="宋体" w:hint="eastAsia"/>
          <w:bCs/>
          <w:sz w:val="24"/>
        </w:rPr>
        <w:t>与计量性能关系不紧密</w:t>
      </w:r>
      <w:r>
        <w:rPr>
          <w:rFonts w:ascii="宋体" w:hAnsi="宋体" w:hint="eastAsia"/>
          <w:bCs/>
          <w:sz w:val="24"/>
        </w:rPr>
        <w:t>，故</w:t>
      </w:r>
      <w:r w:rsidR="009B1523">
        <w:rPr>
          <w:rFonts w:ascii="宋体" w:hAnsi="宋体" w:hint="eastAsia"/>
          <w:bCs/>
          <w:sz w:val="24"/>
        </w:rPr>
        <w:t>删除。</w:t>
      </w:r>
    </w:p>
    <w:p w:rsidR="00F03A34" w:rsidRDefault="00D558FB" w:rsidP="00F03A34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</w:t>
      </w:r>
      <w:r w:rsidR="00EA21B6">
        <w:rPr>
          <w:rFonts w:ascii="宋体" w:hAnsi="宋体" w:hint="eastAsia"/>
          <w:bCs/>
          <w:sz w:val="24"/>
        </w:rPr>
        <w:t>，原规程中的绝缘电阻测量和</w:t>
      </w:r>
      <w:r w:rsidR="00F03A34">
        <w:rPr>
          <w:rFonts w:ascii="宋体" w:hAnsi="宋体" w:hint="eastAsia"/>
          <w:bCs/>
          <w:sz w:val="24"/>
        </w:rPr>
        <w:t>介电强度</w:t>
      </w:r>
      <w:r w:rsidR="00EA21B6">
        <w:rPr>
          <w:rFonts w:ascii="宋体" w:hAnsi="宋体" w:hint="eastAsia"/>
          <w:bCs/>
          <w:sz w:val="24"/>
        </w:rPr>
        <w:t>试验均为安全性检查，与计量性能</w:t>
      </w:r>
      <w:r w:rsidR="009B1523">
        <w:rPr>
          <w:rFonts w:ascii="宋体" w:hAnsi="宋体" w:hint="eastAsia"/>
          <w:bCs/>
          <w:sz w:val="24"/>
        </w:rPr>
        <w:t>关</w:t>
      </w:r>
      <w:r w:rsidR="00EA21B6">
        <w:rPr>
          <w:rFonts w:ascii="宋体" w:hAnsi="宋体" w:hint="eastAsia"/>
          <w:bCs/>
          <w:sz w:val="24"/>
        </w:rPr>
        <w:t>系不紧密，故删除；</w:t>
      </w:r>
    </w:p>
    <w:p w:rsidR="0018238F" w:rsidRDefault="0018238F" w:rsidP="00F03A34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6，通用技术要求的阻尼部分依据</w:t>
      </w:r>
      <w:r>
        <w:rPr>
          <w:rFonts w:ascii="宋体" w:hAnsi="宋体"/>
          <w:bCs/>
          <w:sz w:val="24"/>
        </w:rPr>
        <w:t>GB/T 7676</w:t>
      </w:r>
      <w:r>
        <w:rPr>
          <w:rFonts w:ascii="宋体" w:hAnsi="宋体" w:hint="eastAsia"/>
          <w:bCs/>
          <w:sz w:val="24"/>
        </w:rPr>
        <w:t>进行了修改。</w:t>
      </w:r>
    </w:p>
    <w:p w:rsidR="0018238F" w:rsidRDefault="0018238F" w:rsidP="0018238F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7，计量器具控制中的检定条件依据</w:t>
      </w:r>
      <w:r>
        <w:rPr>
          <w:rFonts w:ascii="宋体" w:hAnsi="宋体"/>
          <w:bCs/>
          <w:sz w:val="24"/>
        </w:rPr>
        <w:t>GB/T 7676</w:t>
      </w:r>
      <w:r>
        <w:rPr>
          <w:rFonts w:ascii="宋体" w:hAnsi="宋体" w:hint="eastAsia"/>
          <w:bCs/>
          <w:sz w:val="24"/>
        </w:rPr>
        <w:t>进行了修改。</w:t>
      </w:r>
    </w:p>
    <w:p w:rsidR="0018238F" w:rsidRPr="0018238F" w:rsidRDefault="0018238F" w:rsidP="00F03A34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8，增加了三相交流功率表的检定方法。</w:t>
      </w:r>
    </w:p>
    <w:p w:rsidR="00F03A34" w:rsidRDefault="0018238F" w:rsidP="00F677D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9</w:t>
      </w:r>
      <w:r w:rsidR="00EA21B6">
        <w:rPr>
          <w:rFonts w:ascii="宋体" w:hAnsi="宋体" w:hint="eastAsia"/>
          <w:bCs/>
          <w:sz w:val="24"/>
        </w:rPr>
        <w:t>，由于技术进步导致原规程中一些检定方法目前已经不再适用，</w:t>
      </w:r>
      <w:r w:rsidR="00F677D3">
        <w:rPr>
          <w:rFonts w:ascii="宋体" w:hAnsi="宋体" w:hint="eastAsia"/>
          <w:bCs/>
          <w:sz w:val="24"/>
        </w:rPr>
        <w:t>故</w:t>
      </w:r>
      <w:r w:rsidR="00F03A34">
        <w:rPr>
          <w:rFonts w:ascii="宋体" w:hAnsi="宋体" w:hint="eastAsia"/>
          <w:bCs/>
          <w:sz w:val="24"/>
        </w:rPr>
        <w:t>删除用直流电位差计作为标准</w:t>
      </w:r>
      <w:r w:rsidR="001872BF">
        <w:rPr>
          <w:rFonts w:ascii="宋体" w:hAnsi="宋体" w:hint="eastAsia"/>
          <w:bCs/>
          <w:sz w:val="24"/>
        </w:rPr>
        <w:t>器</w:t>
      </w:r>
      <w:bookmarkStart w:id="0" w:name="_GoBack"/>
      <w:bookmarkEnd w:id="0"/>
      <w:r w:rsidR="00F03A34">
        <w:rPr>
          <w:rFonts w:ascii="宋体" w:hAnsi="宋体" w:hint="eastAsia"/>
          <w:bCs/>
          <w:sz w:val="24"/>
        </w:rPr>
        <w:t>的检定方法</w:t>
      </w:r>
      <w:r w:rsidR="00F677D3">
        <w:rPr>
          <w:rFonts w:ascii="宋体" w:hAnsi="宋体" w:hint="eastAsia"/>
          <w:bCs/>
          <w:sz w:val="24"/>
        </w:rPr>
        <w:t>，</w:t>
      </w:r>
      <w:r w:rsidR="00F03A34">
        <w:rPr>
          <w:rFonts w:ascii="宋体" w:hAnsi="宋体" w:hint="eastAsia"/>
          <w:bCs/>
          <w:sz w:val="24"/>
        </w:rPr>
        <w:t>删除用模拟指示仪表作为标准</w:t>
      </w:r>
      <w:r w:rsidR="001872BF">
        <w:rPr>
          <w:rFonts w:ascii="宋体" w:hAnsi="宋体" w:hint="eastAsia"/>
          <w:bCs/>
          <w:sz w:val="24"/>
        </w:rPr>
        <w:t>器</w:t>
      </w:r>
      <w:r w:rsidR="00F03A34">
        <w:rPr>
          <w:rFonts w:ascii="宋体" w:hAnsi="宋体" w:hint="eastAsia"/>
          <w:bCs/>
          <w:sz w:val="24"/>
        </w:rPr>
        <w:t>的检定方法</w:t>
      </w:r>
      <w:r w:rsidR="00F677D3">
        <w:rPr>
          <w:rFonts w:ascii="宋体" w:hAnsi="宋体" w:hint="eastAsia"/>
          <w:bCs/>
          <w:sz w:val="24"/>
        </w:rPr>
        <w:t>。</w:t>
      </w:r>
    </w:p>
    <w:p w:rsidR="00B2143D" w:rsidRPr="00F03A34" w:rsidRDefault="00975155" w:rsidP="00F03A34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F03A34">
        <w:rPr>
          <w:rFonts w:ascii="宋体" w:hAnsi="宋体" w:hint="eastAsia"/>
          <w:bCs/>
          <w:sz w:val="24"/>
        </w:rPr>
        <w:t>以上是</w:t>
      </w:r>
      <w:proofErr w:type="gramStart"/>
      <w:r w:rsidR="00F03A34">
        <w:rPr>
          <w:rFonts w:ascii="宋体" w:hAnsi="宋体" w:hint="eastAsia"/>
          <w:bCs/>
          <w:sz w:val="24"/>
        </w:rPr>
        <w:t>修订</w:t>
      </w:r>
      <w:r w:rsidRPr="00F03A34">
        <w:rPr>
          <w:rFonts w:ascii="宋体" w:hAnsi="宋体" w:hint="eastAsia"/>
          <w:bCs/>
          <w:sz w:val="24"/>
        </w:rPr>
        <w:t>此</w:t>
      </w:r>
      <w:proofErr w:type="gramEnd"/>
      <w:r w:rsidR="00F03A34">
        <w:rPr>
          <w:rFonts w:ascii="宋体" w:hAnsi="宋体" w:hint="eastAsia"/>
          <w:bCs/>
          <w:sz w:val="24"/>
        </w:rPr>
        <w:t>规程</w:t>
      </w:r>
      <w:r w:rsidRPr="00F03A34">
        <w:rPr>
          <w:rFonts w:ascii="宋体" w:hAnsi="宋体" w:hint="eastAsia"/>
          <w:bCs/>
          <w:sz w:val="24"/>
        </w:rPr>
        <w:t>的编制说明，请各位专家提出宝贵意见。</w:t>
      </w:r>
    </w:p>
    <w:p w:rsidR="00B2143D" w:rsidRDefault="00975155">
      <w:pPr>
        <w:spacing w:line="360" w:lineRule="auto"/>
        <w:ind w:right="560" w:firstLine="42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</w:t>
      </w:r>
    </w:p>
    <w:p w:rsidR="00F03A34" w:rsidRPr="00F03A34" w:rsidRDefault="00975155" w:rsidP="00F03A34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 xml:space="preserve">              </w:t>
      </w:r>
      <w:r w:rsidR="00F03A34">
        <w:rPr>
          <w:rFonts w:ascii="宋体" w:hAnsi="宋体" w:hint="eastAsia"/>
          <w:bCs/>
          <w:sz w:val="24"/>
        </w:rPr>
        <w:t xml:space="preserve">       </w:t>
      </w:r>
      <w:r w:rsidR="00F03A34" w:rsidRPr="00F03A34">
        <w:rPr>
          <w:rFonts w:ascii="宋体" w:hAnsi="宋体" w:hint="eastAsia"/>
          <w:bCs/>
          <w:sz w:val="24"/>
        </w:rPr>
        <w:t>《电流表、电压表、功率表及电阻表》检定规程起草小组</w:t>
      </w:r>
    </w:p>
    <w:p w:rsidR="00B2143D" w:rsidRPr="00F03A34" w:rsidRDefault="00975155" w:rsidP="00F03A34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F03A34">
        <w:rPr>
          <w:rFonts w:ascii="宋体" w:hAnsi="宋体"/>
          <w:bCs/>
          <w:sz w:val="24"/>
        </w:rPr>
        <w:t xml:space="preserve">                        </w:t>
      </w:r>
      <w:r w:rsidRPr="00F03A34">
        <w:rPr>
          <w:rFonts w:ascii="宋体" w:hAnsi="宋体" w:hint="eastAsia"/>
          <w:bCs/>
          <w:sz w:val="24"/>
        </w:rPr>
        <w:t xml:space="preserve">   </w:t>
      </w:r>
      <w:r w:rsidRPr="00F03A34">
        <w:rPr>
          <w:rFonts w:ascii="宋体" w:hAnsi="宋体"/>
          <w:bCs/>
          <w:sz w:val="24"/>
        </w:rPr>
        <w:t xml:space="preserve">  </w:t>
      </w:r>
      <w:r w:rsidR="00F03A34">
        <w:rPr>
          <w:rFonts w:ascii="宋体" w:hAnsi="宋体" w:hint="eastAsia"/>
          <w:bCs/>
          <w:sz w:val="24"/>
        </w:rPr>
        <w:t xml:space="preserve">                  </w:t>
      </w:r>
      <w:r w:rsidRPr="00F03A34">
        <w:rPr>
          <w:rFonts w:ascii="宋体" w:hAnsi="宋体"/>
          <w:bCs/>
          <w:sz w:val="24"/>
        </w:rPr>
        <w:t>20</w:t>
      </w:r>
      <w:r w:rsidRPr="00F03A34">
        <w:rPr>
          <w:rFonts w:ascii="宋体" w:hAnsi="宋体" w:hint="eastAsia"/>
          <w:bCs/>
          <w:sz w:val="24"/>
        </w:rPr>
        <w:t>2</w:t>
      </w:r>
      <w:r w:rsidR="00984720" w:rsidRPr="00F03A34">
        <w:rPr>
          <w:rFonts w:ascii="宋体" w:hAnsi="宋体" w:hint="eastAsia"/>
          <w:bCs/>
          <w:sz w:val="24"/>
        </w:rPr>
        <w:t>5</w:t>
      </w:r>
      <w:r w:rsidRPr="00F03A34">
        <w:rPr>
          <w:rFonts w:ascii="宋体" w:hAnsi="宋体" w:hint="eastAsia"/>
          <w:bCs/>
          <w:sz w:val="24"/>
        </w:rPr>
        <w:t>年</w:t>
      </w:r>
      <w:r w:rsidR="00984720" w:rsidRPr="00F03A34">
        <w:rPr>
          <w:rFonts w:ascii="宋体" w:hAnsi="宋体" w:hint="eastAsia"/>
          <w:bCs/>
          <w:sz w:val="24"/>
        </w:rPr>
        <w:t>4</w:t>
      </w:r>
      <w:r w:rsidRPr="00F03A34">
        <w:rPr>
          <w:rFonts w:ascii="宋体" w:hAnsi="宋体" w:hint="eastAsia"/>
          <w:bCs/>
          <w:sz w:val="24"/>
        </w:rPr>
        <w:t>月2日</w:t>
      </w:r>
    </w:p>
    <w:sectPr w:rsidR="00B2143D" w:rsidRPr="00F03A34">
      <w:footerReference w:type="even" r:id="rId9"/>
      <w:footerReference w:type="default" r:id="rId10"/>
      <w:pgSz w:w="11906" w:h="16838"/>
      <w:pgMar w:top="1418" w:right="1378" w:bottom="1440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1EC" w:rsidRDefault="005811EC">
      <w:r>
        <w:separator/>
      </w:r>
    </w:p>
  </w:endnote>
  <w:endnote w:type="continuationSeparator" w:id="0">
    <w:p w:rsidR="005811EC" w:rsidRDefault="0058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3D" w:rsidRDefault="00975155">
    <w:pPr>
      <w:pStyle w:val="a9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B2143D" w:rsidRDefault="00B2143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3D" w:rsidRDefault="00975155">
    <w:pPr>
      <w:pStyle w:val="a9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 w:rsidR="001872BF">
      <w:rPr>
        <w:rStyle w:val="ac"/>
        <w:noProof/>
      </w:rPr>
      <w:t>3</w:t>
    </w:r>
    <w:r>
      <w:fldChar w:fldCharType="end"/>
    </w:r>
  </w:p>
  <w:p w:rsidR="00B2143D" w:rsidRDefault="00B2143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1EC" w:rsidRDefault="005811EC">
      <w:r>
        <w:separator/>
      </w:r>
    </w:p>
  </w:footnote>
  <w:footnote w:type="continuationSeparator" w:id="0">
    <w:p w:rsidR="005811EC" w:rsidRDefault="00581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A9AE24"/>
    <w:multiLevelType w:val="singleLevel"/>
    <w:tmpl w:val="B4A9AE24"/>
    <w:lvl w:ilvl="0">
      <w:start w:val="9"/>
      <w:numFmt w:val="decimal"/>
      <w:suff w:val="nothing"/>
      <w:lvlText w:val="%1、"/>
      <w:lvlJc w:val="left"/>
    </w:lvl>
  </w:abstractNum>
  <w:abstractNum w:abstractNumId="1">
    <w:nsid w:val="DC95ACBF"/>
    <w:multiLevelType w:val="singleLevel"/>
    <w:tmpl w:val="DC95ACBF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21"/>
    <w:rsid w:val="000027D1"/>
    <w:rsid w:val="0002778B"/>
    <w:rsid w:val="00047445"/>
    <w:rsid w:val="000523BC"/>
    <w:rsid w:val="00057C2D"/>
    <w:rsid w:val="000650B3"/>
    <w:rsid w:val="00070146"/>
    <w:rsid w:val="00071AF3"/>
    <w:rsid w:val="00071E44"/>
    <w:rsid w:val="00077CA7"/>
    <w:rsid w:val="00083F37"/>
    <w:rsid w:val="000A398D"/>
    <w:rsid w:val="000B349B"/>
    <w:rsid w:val="000D43C2"/>
    <w:rsid w:val="000E0BD1"/>
    <w:rsid w:val="000E2627"/>
    <w:rsid w:val="0010122D"/>
    <w:rsid w:val="00143581"/>
    <w:rsid w:val="0014391A"/>
    <w:rsid w:val="001520DF"/>
    <w:rsid w:val="00167F1F"/>
    <w:rsid w:val="00176A91"/>
    <w:rsid w:val="0018238F"/>
    <w:rsid w:val="00182802"/>
    <w:rsid w:val="001872BF"/>
    <w:rsid w:val="001B0F33"/>
    <w:rsid w:val="001B18DF"/>
    <w:rsid w:val="001D291F"/>
    <w:rsid w:val="00201040"/>
    <w:rsid w:val="00201105"/>
    <w:rsid w:val="00212CA7"/>
    <w:rsid w:val="002172B3"/>
    <w:rsid w:val="00224248"/>
    <w:rsid w:val="00224F51"/>
    <w:rsid w:val="0023093C"/>
    <w:rsid w:val="00233640"/>
    <w:rsid w:val="00260E43"/>
    <w:rsid w:val="00265A37"/>
    <w:rsid w:val="00271C10"/>
    <w:rsid w:val="0027739A"/>
    <w:rsid w:val="00284DEF"/>
    <w:rsid w:val="00291B2E"/>
    <w:rsid w:val="002A2ACE"/>
    <w:rsid w:val="002E715F"/>
    <w:rsid w:val="002F7A0E"/>
    <w:rsid w:val="00301050"/>
    <w:rsid w:val="003232A0"/>
    <w:rsid w:val="00333959"/>
    <w:rsid w:val="00352F07"/>
    <w:rsid w:val="00353E13"/>
    <w:rsid w:val="003B0AD0"/>
    <w:rsid w:val="003C5124"/>
    <w:rsid w:val="00404018"/>
    <w:rsid w:val="00422C2E"/>
    <w:rsid w:val="004335FC"/>
    <w:rsid w:val="00482259"/>
    <w:rsid w:val="004964CC"/>
    <w:rsid w:val="004B641C"/>
    <w:rsid w:val="004C6F8C"/>
    <w:rsid w:val="004D3E73"/>
    <w:rsid w:val="00501F0A"/>
    <w:rsid w:val="00504592"/>
    <w:rsid w:val="0051228A"/>
    <w:rsid w:val="00537749"/>
    <w:rsid w:val="00537FC4"/>
    <w:rsid w:val="00550A60"/>
    <w:rsid w:val="0055212D"/>
    <w:rsid w:val="00565D61"/>
    <w:rsid w:val="005811EC"/>
    <w:rsid w:val="005A44BE"/>
    <w:rsid w:val="005B0DBE"/>
    <w:rsid w:val="005F023E"/>
    <w:rsid w:val="005F1917"/>
    <w:rsid w:val="005F462E"/>
    <w:rsid w:val="00646F24"/>
    <w:rsid w:val="0067477A"/>
    <w:rsid w:val="00675692"/>
    <w:rsid w:val="0067717E"/>
    <w:rsid w:val="0067736B"/>
    <w:rsid w:val="006A49B0"/>
    <w:rsid w:val="006D03C5"/>
    <w:rsid w:val="006D2F8A"/>
    <w:rsid w:val="00705EF0"/>
    <w:rsid w:val="007061D9"/>
    <w:rsid w:val="00733494"/>
    <w:rsid w:val="0073621F"/>
    <w:rsid w:val="007434EE"/>
    <w:rsid w:val="0074416C"/>
    <w:rsid w:val="0077628A"/>
    <w:rsid w:val="007A35F6"/>
    <w:rsid w:val="007B6B6B"/>
    <w:rsid w:val="0082569B"/>
    <w:rsid w:val="008257E2"/>
    <w:rsid w:val="00831919"/>
    <w:rsid w:val="00836349"/>
    <w:rsid w:val="00836744"/>
    <w:rsid w:val="00840777"/>
    <w:rsid w:val="008413E9"/>
    <w:rsid w:val="00842FC3"/>
    <w:rsid w:val="00850710"/>
    <w:rsid w:val="00852986"/>
    <w:rsid w:val="00864FB7"/>
    <w:rsid w:val="00892C9B"/>
    <w:rsid w:val="008B52B8"/>
    <w:rsid w:val="008C3C7C"/>
    <w:rsid w:val="008C5E2E"/>
    <w:rsid w:val="008C6B5E"/>
    <w:rsid w:val="008F586C"/>
    <w:rsid w:val="00903AAB"/>
    <w:rsid w:val="00925E3B"/>
    <w:rsid w:val="0094697C"/>
    <w:rsid w:val="009518BD"/>
    <w:rsid w:val="00970C45"/>
    <w:rsid w:val="00975155"/>
    <w:rsid w:val="0097765C"/>
    <w:rsid w:val="00984720"/>
    <w:rsid w:val="009975F9"/>
    <w:rsid w:val="009A2ED0"/>
    <w:rsid w:val="009A3D39"/>
    <w:rsid w:val="009A536F"/>
    <w:rsid w:val="009B1523"/>
    <w:rsid w:val="009B1C4F"/>
    <w:rsid w:val="009B4200"/>
    <w:rsid w:val="009B60E2"/>
    <w:rsid w:val="009B656D"/>
    <w:rsid w:val="009E0B1C"/>
    <w:rsid w:val="009E262A"/>
    <w:rsid w:val="009F3BDB"/>
    <w:rsid w:val="00A17701"/>
    <w:rsid w:val="00A403A6"/>
    <w:rsid w:val="00A6410E"/>
    <w:rsid w:val="00AA5A18"/>
    <w:rsid w:val="00AA61C2"/>
    <w:rsid w:val="00AE5A9E"/>
    <w:rsid w:val="00B1422C"/>
    <w:rsid w:val="00B2143D"/>
    <w:rsid w:val="00B33C31"/>
    <w:rsid w:val="00B7192F"/>
    <w:rsid w:val="00B824F7"/>
    <w:rsid w:val="00B9636F"/>
    <w:rsid w:val="00BE25F0"/>
    <w:rsid w:val="00BF46EF"/>
    <w:rsid w:val="00C038AA"/>
    <w:rsid w:val="00C155D2"/>
    <w:rsid w:val="00C17B14"/>
    <w:rsid w:val="00C36E17"/>
    <w:rsid w:val="00C80A1B"/>
    <w:rsid w:val="00C843C6"/>
    <w:rsid w:val="00C9193C"/>
    <w:rsid w:val="00CA570B"/>
    <w:rsid w:val="00CC160D"/>
    <w:rsid w:val="00CD3966"/>
    <w:rsid w:val="00CE09BE"/>
    <w:rsid w:val="00CF024B"/>
    <w:rsid w:val="00D558FB"/>
    <w:rsid w:val="00D67C74"/>
    <w:rsid w:val="00D72DB5"/>
    <w:rsid w:val="00D97807"/>
    <w:rsid w:val="00DA2F63"/>
    <w:rsid w:val="00DA5563"/>
    <w:rsid w:val="00DD6BFE"/>
    <w:rsid w:val="00E13D85"/>
    <w:rsid w:val="00E143F4"/>
    <w:rsid w:val="00E4264A"/>
    <w:rsid w:val="00E47321"/>
    <w:rsid w:val="00E50D3B"/>
    <w:rsid w:val="00E823CD"/>
    <w:rsid w:val="00E83C1A"/>
    <w:rsid w:val="00E92F6E"/>
    <w:rsid w:val="00EA21B6"/>
    <w:rsid w:val="00EC6826"/>
    <w:rsid w:val="00ED1BCE"/>
    <w:rsid w:val="00ED5960"/>
    <w:rsid w:val="00EF1054"/>
    <w:rsid w:val="00EF1CFA"/>
    <w:rsid w:val="00EF470E"/>
    <w:rsid w:val="00F03A34"/>
    <w:rsid w:val="00F0772D"/>
    <w:rsid w:val="00F17CE7"/>
    <w:rsid w:val="00F503EA"/>
    <w:rsid w:val="00F64394"/>
    <w:rsid w:val="00F677D3"/>
    <w:rsid w:val="00F80E0F"/>
    <w:rsid w:val="00F836C0"/>
    <w:rsid w:val="00F86518"/>
    <w:rsid w:val="00FC7E73"/>
    <w:rsid w:val="00FD3E86"/>
    <w:rsid w:val="00FD528D"/>
    <w:rsid w:val="00FE1745"/>
    <w:rsid w:val="11922690"/>
    <w:rsid w:val="1FB40408"/>
    <w:rsid w:val="21A33626"/>
    <w:rsid w:val="254A03CC"/>
    <w:rsid w:val="2BCF1456"/>
    <w:rsid w:val="3EEC05BB"/>
    <w:rsid w:val="72D2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宋体" w:hAnsi="宋体" w:cs="Arial Unicode MS"/>
      <w:sz w:val="52"/>
    </w:rPr>
  </w:style>
  <w:style w:type="paragraph" w:styleId="2">
    <w:name w:val="heading 2"/>
    <w:basedOn w:val="a"/>
    <w:next w:val="a"/>
    <w:qFormat/>
    <w:pPr>
      <w:keepNext/>
      <w:tabs>
        <w:tab w:val="left" w:pos="7920"/>
      </w:tabs>
      <w:ind w:rightChars="183" w:right="384"/>
      <w:jc w:val="center"/>
      <w:outlineLvl w:val="1"/>
    </w:pPr>
    <w:rPr>
      <w:rFonts w:ascii="黑体" w:eastAsia="黑体"/>
      <w:b/>
      <w:bCs/>
      <w:sz w:val="28"/>
    </w:rPr>
  </w:style>
  <w:style w:type="paragraph" w:styleId="3">
    <w:name w:val="heading 3"/>
    <w:basedOn w:val="a"/>
    <w:next w:val="a"/>
    <w:qFormat/>
    <w:pPr>
      <w:keepNext/>
      <w:jc w:val="left"/>
      <w:outlineLvl w:val="2"/>
    </w:pPr>
    <w:rPr>
      <w:rFonts w:ascii="黑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/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ody Text"/>
    <w:basedOn w:val="a"/>
    <w:pPr>
      <w:spacing w:line="360" w:lineRule="auto"/>
    </w:pPr>
    <w:rPr>
      <w:sz w:val="24"/>
    </w:rPr>
  </w:style>
  <w:style w:type="paragraph" w:styleId="a6">
    <w:name w:val="Body Text Indent"/>
    <w:basedOn w:val="a"/>
    <w:pPr>
      <w:spacing w:after="120"/>
      <w:ind w:leftChars="200" w:left="420"/>
    </w:pPr>
  </w:style>
  <w:style w:type="paragraph" w:styleId="a7">
    <w:name w:val="Date"/>
    <w:basedOn w:val="a"/>
    <w:next w:val="a"/>
    <w:pPr>
      <w:ind w:leftChars="2500" w:left="100"/>
    </w:pPr>
  </w:style>
  <w:style w:type="paragraph" w:styleId="20">
    <w:name w:val="Body Text Indent 2"/>
    <w:basedOn w:val="a"/>
    <w:pPr>
      <w:spacing w:after="120" w:line="480" w:lineRule="auto"/>
      <w:ind w:leftChars="200" w:left="420"/>
    </w:p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4"/>
    <w:next w:val="a4"/>
    <w:semiHidden/>
    <w:rPr>
      <w:b/>
      <w:bCs/>
    </w:rPr>
  </w:style>
  <w:style w:type="character" w:styleId="ac">
    <w:name w:val="page number"/>
    <w:basedOn w:val="a0"/>
  </w:style>
  <w:style w:type="character" w:styleId="ad">
    <w:name w:val="annotation reference"/>
    <w:semiHidden/>
    <w:rPr>
      <w:sz w:val="21"/>
      <w:szCs w:val="21"/>
    </w:rPr>
  </w:style>
  <w:style w:type="paragraph" w:customStyle="1" w:styleId="jj">
    <w:name w:val="jj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zihui12">
    <w:name w:val="zi_hui_12"/>
    <w:basedOn w:val="a0"/>
  </w:style>
  <w:style w:type="character" w:customStyle="1" w:styleId="Char">
    <w:name w:val="文档结构图 Char"/>
    <w:link w:val="a3"/>
    <w:qFormat/>
    <w:rPr>
      <w:rFonts w:asci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宋体" w:hAnsi="宋体" w:cs="Arial Unicode MS"/>
      <w:sz w:val="52"/>
    </w:rPr>
  </w:style>
  <w:style w:type="paragraph" w:styleId="2">
    <w:name w:val="heading 2"/>
    <w:basedOn w:val="a"/>
    <w:next w:val="a"/>
    <w:qFormat/>
    <w:pPr>
      <w:keepNext/>
      <w:tabs>
        <w:tab w:val="left" w:pos="7920"/>
      </w:tabs>
      <w:ind w:rightChars="183" w:right="384"/>
      <w:jc w:val="center"/>
      <w:outlineLvl w:val="1"/>
    </w:pPr>
    <w:rPr>
      <w:rFonts w:ascii="黑体" w:eastAsia="黑体"/>
      <w:b/>
      <w:bCs/>
      <w:sz w:val="28"/>
    </w:rPr>
  </w:style>
  <w:style w:type="paragraph" w:styleId="3">
    <w:name w:val="heading 3"/>
    <w:basedOn w:val="a"/>
    <w:next w:val="a"/>
    <w:qFormat/>
    <w:pPr>
      <w:keepNext/>
      <w:jc w:val="left"/>
      <w:outlineLvl w:val="2"/>
    </w:pPr>
    <w:rPr>
      <w:rFonts w:ascii="黑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/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ody Text"/>
    <w:basedOn w:val="a"/>
    <w:pPr>
      <w:spacing w:line="360" w:lineRule="auto"/>
    </w:pPr>
    <w:rPr>
      <w:sz w:val="24"/>
    </w:rPr>
  </w:style>
  <w:style w:type="paragraph" w:styleId="a6">
    <w:name w:val="Body Text Indent"/>
    <w:basedOn w:val="a"/>
    <w:pPr>
      <w:spacing w:after="120"/>
      <w:ind w:leftChars="200" w:left="420"/>
    </w:pPr>
  </w:style>
  <w:style w:type="paragraph" w:styleId="a7">
    <w:name w:val="Date"/>
    <w:basedOn w:val="a"/>
    <w:next w:val="a"/>
    <w:pPr>
      <w:ind w:leftChars="2500" w:left="100"/>
    </w:pPr>
  </w:style>
  <w:style w:type="paragraph" w:styleId="20">
    <w:name w:val="Body Text Indent 2"/>
    <w:basedOn w:val="a"/>
    <w:pPr>
      <w:spacing w:after="120" w:line="480" w:lineRule="auto"/>
      <w:ind w:leftChars="200" w:left="420"/>
    </w:p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4"/>
    <w:next w:val="a4"/>
    <w:semiHidden/>
    <w:rPr>
      <w:b/>
      <w:bCs/>
    </w:rPr>
  </w:style>
  <w:style w:type="character" w:styleId="ac">
    <w:name w:val="page number"/>
    <w:basedOn w:val="a0"/>
  </w:style>
  <w:style w:type="character" w:styleId="ad">
    <w:name w:val="annotation reference"/>
    <w:semiHidden/>
    <w:rPr>
      <w:sz w:val="21"/>
      <w:szCs w:val="21"/>
    </w:rPr>
  </w:style>
  <w:style w:type="paragraph" w:customStyle="1" w:styleId="jj">
    <w:name w:val="jj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zihui12">
    <w:name w:val="zi_hui_12"/>
    <w:basedOn w:val="a0"/>
  </w:style>
  <w:style w:type="character" w:customStyle="1" w:styleId="Char">
    <w:name w:val="文档结构图 Char"/>
    <w:link w:val="a3"/>
    <w:qFormat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274</Words>
  <Characters>1565</Characters>
  <Application>Microsoft Office Word</Application>
  <DocSecurity>0</DocSecurity>
  <Lines>13</Lines>
  <Paragraphs>3</Paragraphs>
  <ScaleCrop>false</ScaleCrop>
  <Company>WWW.JUJUMAO.COM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JJG</dc:title>
  <dc:creator>黄小雪</dc:creator>
  <cp:lastModifiedBy>李颂扬</cp:lastModifiedBy>
  <cp:revision>18</cp:revision>
  <cp:lastPrinted>2012-01-18T03:09:00Z</cp:lastPrinted>
  <dcterms:created xsi:type="dcterms:W3CDTF">2015-10-14T03:29:00Z</dcterms:created>
  <dcterms:modified xsi:type="dcterms:W3CDTF">2025-08-06T09:06:00Z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