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434B2">
      <w:pPr>
        <w:snapToGrid w:val="0"/>
        <w:spacing w:after="0" w:line="360" w:lineRule="auto"/>
        <w:jc w:val="center"/>
        <w:rPr>
          <w:b/>
          <w:sz w:val="32"/>
          <w:szCs w:val="32"/>
        </w:rPr>
      </w:pPr>
      <w:r>
        <w:rPr>
          <w:b/>
          <w:sz w:val="32"/>
          <w:szCs w:val="32"/>
        </w:rPr>
        <w:t>《</w:t>
      </w:r>
      <w:r>
        <w:rPr>
          <w:rFonts w:hint="eastAsia"/>
          <w:b/>
          <w:sz w:val="32"/>
          <w:szCs w:val="32"/>
        </w:rPr>
        <w:t>煤化工生产企业温室气体监测方法</w:t>
      </w:r>
      <w:r>
        <w:rPr>
          <w:b/>
          <w:sz w:val="32"/>
          <w:szCs w:val="32"/>
        </w:rPr>
        <w:t>》</w:t>
      </w:r>
      <w:r>
        <w:rPr>
          <w:rFonts w:hint="eastAsia"/>
          <w:b/>
          <w:sz w:val="32"/>
          <w:szCs w:val="32"/>
        </w:rPr>
        <w:t>编制</w:t>
      </w:r>
      <w:r>
        <w:rPr>
          <w:b/>
          <w:sz w:val="32"/>
          <w:szCs w:val="32"/>
        </w:rPr>
        <w:t>说明</w:t>
      </w:r>
    </w:p>
    <w:p w14:paraId="23B68CE6">
      <w:pPr>
        <w:snapToGrid w:val="0"/>
        <w:spacing w:before="234" w:beforeLines="50" w:after="0" w:line="360" w:lineRule="auto"/>
        <w:rPr>
          <w:b/>
          <w:bCs/>
          <w:sz w:val="28"/>
          <w:szCs w:val="28"/>
        </w:rPr>
      </w:pPr>
      <w:r>
        <w:rPr>
          <w:b/>
          <w:bCs/>
          <w:sz w:val="28"/>
          <w:szCs w:val="28"/>
        </w:rPr>
        <w:t>一、任务来源</w:t>
      </w:r>
      <w:bookmarkStart w:id="1" w:name="_GoBack"/>
      <w:bookmarkEnd w:id="1"/>
    </w:p>
    <w:p w14:paraId="4DC21B8E">
      <w:pPr>
        <w:snapToGrid w:val="0"/>
        <w:spacing w:after="0" w:line="360" w:lineRule="auto"/>
        <w:ind w:firstLine="560" w:firstLineChars="200"/>
        <w:rPr>
          <w:rFonts w:hint="eastAsia"/>
          <w:sz w:val="28"/>
          <w:szCs w:val="28"/>
        </w:rPr>
      </w:pPr>
      <w:r>
        <w:rPr>
          <w:rFonts w:hint="eastAsia"/>
          <w:sz w:val="28"/>
          <w:szCs w:val="28"/>
        </w:rPr>
        <w:t>2024年</w:t>
      </w:r>
      <w:r>
        <w:rPr>
          <w:rFonts w:hint="eastAsia"/>
          <w:sz w:val="28"/>
          <w:szCs w:val="28"/>
          <w:lang w:val="en-US" w:eastAsia="zh-CN"/>
        </w:rPr>
        <w:t>5月</w:t>
      </w:r>
      <w:r>
        <w:rPr>
          <w:rFonts w:hint="eastAsia"/>
          <w:sz w:val="28"/>
          <w:szCs w:val="28"/>
        </w:rPr>
        <w:t>，国家市场监督管理总局</w:t>
      </w:r>
      <w:r>
        <w:rPr>
          <w:rFonts w:hint="eastAsia"/>
          <w:sz w:val="28"/>
          <w:szCs w:val="28"/>
          <w:lang w:val="en-US" w:eastAsia="zh-CN"/>
        </w:rPr>
        <w:t>下达</w:t>
      </w:r>
      <w:r>
        <w:rPr>
          <w:rFonts w:hint="eastAsia"/>
          <w:sz w:val="28"/>
          <w:szCs w:val="28"/>
        </w:rPr>
        <w:t>《市场监管总局办公厅关于印发2024年国家计量技术规范制定、修订及宣贯计划的通知》，《煤化工生产企业温室气体监测方法》获得国家市场监督管理总局批准立项。</w:t>
      </w:r>
      <w:r>
        <w:rPr>
          <w:rFonts w:hint="eastAsia"/>
          <w:sz w:val="28"/>
          <w:szCs w:val="28"/>
          <w:lang w:val="en-US" w:eastAsia="zh-CN"/>
        </w:rPr>
        <w:t>随后，全国碳达峰碳中和计量技术委员会碳排放量分技术委员会对起草单位提出编制要求。鄂尔多斯市检验检测中心作为主要起草单位接受了《</w:t>
      </w:r>
      <w:r>
        <w:rPr>
          <w:rFonts w:hint="eastAsia"/>
          <w:sz w:val="28"/>
          <w:szCs w:val="28"/>
        </w:rPr>
        <w:t>煤化工生产企业温室气体监测方法</w:t>
      </w:r>
      <w:r>
        <w:rPr>
          <w:rFonts w:hint="eastAsia"/>
          <w:sz w:val="28"/>
          <w:szCs w:val="28"/>
          <w:lang w:val="en-US" w:eastAsia="zh-CN"/>
        </w:rPr>
        <w:t>》的制定任务，并于2024年6月组织起草单位成立编制小组，</w:t>
      </w:r>
      <w:r>
        <w:rPr>
          <w:rFonts w:hint="eastAsia"/>
          <w:sz w:val="28"/>
          <w:szCs w:val="28"/>
        </w:rPr>
        <w:t>正式启动《煤化工生产企业温室气体监测方法》制订起草工作，任务归口全国碳达峰碳中和计量技术委员会碳排放量分技术委员会管理。</w:t>
      </w:r>
    </w:p>
    <w:p w14:paraId="3EB5EFCA">
      <w:pPr>
        <w:snapToGrid w:val="0"/>
        <w:spacing w:after="0" w:line="360" w:lineRule="auto"/>
        <w:rPr>
          <w:b/>
          <w:bCs/>
          <w:sz w:val="28"/>
          <w:szCs w:val="28"/>
        </w:rPr>
      </w:pPr>
      <w:r>
        <w:rPr>
          <w:b/>
          <w:bCs/>
          <w:sz w:val="28"/>
          <w:szCs w:val="28"/>
        </w:rPr>
        <w:t>二、立项必要性</w:t>
      </w:r>
    </w:p>
    <w:p w14:paraId="5F8D37E2">
      <w:pPr>
        <w:snapToGrid w:val="0"/>
        <w:spacing w:after="0" w:line="360" w:lineRule="auto"/>
        <w:ind w:firstLine="560" w:firstLineChars="200"/>
        <w:rPr>
          <w:rFonts w:hint="eastAsia"/>
          <w:sz w:val="28"/>
          <w:szCs w:val="28"/>
        </w:rPr>
      </w:pPr>
      <w:r>
        <w:rPr>
          <w:rFonts w:hint="eastAsia"/>
          <w:sz w:val="28"/>
          <w:szCs w:val="28"/>
        </w:rPr>
        <w:t>2020年9月22日，习近平总书记在第七十五届联合国大会一般性辩论上郑重宣示：“二氧化碳排放力争于2030年前达到峰值，努力争取2060年前实现碳中和”。煤化工作为高耗能行业，碳排放量占全国碳排放量的8%</w:t>
      </w:r>
      <w:r>
        <w:rPr>
          <w:rFonts w:hint="eastAsia"/>
          <w:sz w:val="28"/>
          <w:szCs w:val="28"/>
          <w:lang w:eastAsia="zh-CN"/>
        </w:rPr>
        <w:t>～</w:t>
      </w:r>
      <w:r>
        <w:rPr>
          <w:rFonts w:hint="eastAsia"/>
          <w:sz w:val="28"/>
          <w:szCs w:val="28"/>
        </w:rPr>
        <w:t>10</w:t>
      </w:r>
      <w:r>
        <w:rPr>
          <w:rFonts w:hint="eastAsia"/>
          <w:sz w:val="28"/>
          <w:szCs w:val="28"/>
          <w:lang w:eastAsia="zh-CN"/>
        </w:rPr>
        <w:t>%</w:t>
      </w:r>
      <w:r>
        <w:rPr>
          <w:rFonts w:hint="eastAsia"/>
          <w:sz w:val="28"/>
          <w:szCs w:val="28"/>
        </w:rPr>
        <w:t>，是我国节能减碳的重点领域之一。</w:t>
      </w:r>
    </w:p>
    <w:p w14:paraId="597265C9">
      <w:pPr>
        <w:snapToGrid w:val="0"/>
        <w:spacing w:after="0" w:line="360" w:lineRule="auto"/>
        <w:ind w:firstLine="560" w:firstLineChars="200"/>
        <w:rPr>
          <w:rFonts w:hint="eastAsia"/>
          <w:sz w:val="28"/>
          <w:szCs w:val="28"/>
        </w:rPr>
      </w:pPr>
      <w:r>
        <w:rPr>
          <w:rFonts w:hint="eastAsia"/>
          <w:sz w:val="28"/>
          <w:szCs w:val="28"/>
        </w:rPr>
        <w:t>当前，煤化工企业普遍采用</w:t>
      </w:r>
      <w:r>
        <w:rPr>
          <w:rFonts w:hint="eastAsia"/>
          <w:sz w:val="28"/>
          <w:szCs w:val="28"/>
          <w:lang w:eastAsia="zh-CN"/>
        </w:rPr>
        <w:t>国家发展改革委</w:t>
      </w:r>
      <w:r>
        <w:rPr>
          <w:rFonts w:hint="eastAsia"/>
          <w:sz w:val="28"/>
          <w:szCs w:val="28"/>
        </w:rPr>
        <w:t>发布的《化工生产企业温室气体排放核算方法与报告指南（试行）》及《GB/T 32151.10—2023 碳排放核算与报告要求 第10部分：化工生产企业》进行年度核算，存在核算结果误差大等问题。因此申报单位拟申请编制适合煤化工生产企业实际需求的温室气体监测方法规范，以指导煤</w:t>
      </w:r>
      <w:r>
        <w:rPr>
          <w:rFonts w:hint="eastAsia"/>
          <w:sz w:val="28"/>
          <w:szCs w:val="28"/>
          <w:lang w:eastAsia="zh-CN"/>
        </w:rPr>
        <w:t>化工</w:t>
      </w:r>
      <w:r>
        <w:rPr>
          <w:rFonts w:hint="eastAsia"/>
          <w:sz w:val="28"/>
          <w:szCs w:val="28"/>
        </w:rPr>
        <w:t>生产企业全面科学地得到煤化工生产企业温室气体排放量，助力煤化工生产企业“双碳”</w:t>
      </w:r>
      <w:r>
        <w:rPr>
          <w:rFonts w:hint="eastAsia"/>
          <w:sz w:val="28"/>
          <w:szCs w:val="28"/>
          <w:lang w:val="en-US" w:eastAsia="zh-CN"/>
        </w:rPr>
        <w:t>目标</w:t>
      </w:r>
      <w:r>
        <w:rPr>
          <w:rFonts w:hint="eastAsia"/>
          <w:sz w:val="28"/>
          <w:szCs w:val="28"/>
        </w:rPr>
        <w:t>的实现。</w:t>
      </w:r>
    </w:p>
    <w:p w14:paraId="0F3119DB">
      <w:pPr>
        <w:snapToGrid w:val="0"/>
        <w:spacing w:after="0" w:line="360" w:lineRule="auto"/>
        <w:ind w:firstLine="560" w:firstLineChars="200"/>
        <w:rPr>
          <w:rFonts w:hint="eastAsia"/>
          <w:sz w:val="28"/>
          <w:szCs w:val="28"/>
        </w:rPr>
      </w:pPr>
      <w:r>
        <w:rPr>
          <w:rFonts w:hint="eastAsia"/>
          <w:sz w:val="28"/>
          <w:szCs w:val="28"/>
          <w:lang w:eastAsia="zh-CN"/>
        </w:rPr>
        <w:t>国家发展改革委</w:t>
      </w:r>
      <w:r>
        <w:rPr>
          <w:rFonts w:hint="eastAsia"/>
          <w:sz w:val="28"/>
          <w:szCs w:val="28"/>
        </w:rPr>
        <w:t>先后发布三批共计24个行业的温室气体排放核算方法与报告指南，2016年开始国家先后发布了12个行业的温室气体排放核算与报告的国家标准。目前计量技术规范还未出台与温室气体排放统计核算相关的规范。因此，目前煤化工生产企业领域</w:t>
      </w:r>
      <w:r>
        <w:rPr>
          <w:rFonts w:hint="eastAsia"/>
          <w:sz w:val="28"/>
          <w:szCs w:val="28"/>
          <w:lang w:eastAsia="zh-CN"/>
        </w:rPr>
        <w:t>亟须建立</w:t>
      </w:r>
      <w:r>
        <w:rPr>
          <w:rFonts w:hint="eastAsia"/>
          <w:sz w:val="28"/>
          <w:szCs w:val="28"/>
        </w:rPr>
        <w:t>一套统一的、科学的、规范的，并且与国家温室气排放统计体系相衔接的碳排放数据质量评估方法，支撑建立统一规范的碳排放计量技术体系。</w:t>
      </w:r>
    </w:p>
    <w:p w14:paraId="3828F69B">
      <w:pPr>
        <w:snapToGrid w:val="0"/>
        <w:spacing w:after="0" w:line="360" w:lineRule="auto"/>
        <w:ind w:firstLine="562" w:firstLineChars="200"/>
        <w:rPr>
          <w:b/>
          <w:bCs/>
          <w:sz w:val="28"/>
          <w:szCs w:val="28"/>
        </w:rPr>
      </w:pPr>
      <w:r>
        <w:rPr>
          <w:b/>
          <w:bCs/>
          <w:sz w:val="28"/>
          <w:szCs w:val="28"/>
        </w:rPr>
        <w:t>三、规范制定</w:t>
      </w:r>
      <w:r>
        <w:rPr>
          <w:rFonts w:hint="eastAsia"/>
          <w:b/>
          <w:bCs/>
          <w:sz w:val="28"/>
          <w:szCs w:val="28"/>
        </w:rPr>
        <w:t>过程</w:t>
      </w:r>
    </w:p>
    <w:p w14:paraId="1282E004">
      <w:pPr>
        <w:snapToGrid w:val="0"/>
        <w:spacing w:after="0" w:line="360" w:lineRule="auto"/>
        <w:ind w:firstLine="482"/>
        <w:rPr>
          <w:rFonts w:hint="eastAsia"/>
          <w:sz w:val="28"/>
          <w:szCs w:val="28"/>
        </w:rPr>
      </w:pPr>
      <w:r>
        <w:rPr>
          <w:rFonts w:hint="eastAsia"/>
          <w:sz w:val="28"/>
          <w:szCs w:val="28"/>
          <w:lang w:val="en-US" w:eastAsia="zh-CN"/>
        </w:rPr>
        <w:t xml:space="preserve">1. </w:t>
      </w:r>
      <w:r>
        <w:rPr>
          <w:rFonts w:hint="eastAsia"/>
          <w:sz w:val="28"/>
          <w:szCs w:val="28"/>
        </w:rPr>
        <w:t>2024年5月，《煤化工生产企业温室气体监测方法》正式立项。</w:t>
      </w:r>
    </w:p>
    <w:p w14:paraId="43DDFA9D">
      <w:pPr>
        <w:snapToGrid w:val="0"/>
        <w:spacing w:after="0" w:line="360" w:lineRule="auto"/>
        <w:ind w:firstLine="482"/>
        <w:rPr>
          <w:rFonts w:hint="eastAsia"/>
          <w:sz w:val="28"/>
          <w:szCs w:val="28"/>
        </w:rPr>
      </w:pPr>
      <w:r>
        <w:rPr>
          <w:rFonts w:hint="eastAsia"/>
          <w:sz w:val="28"/>
          <w:szCs w:val="28"/>
        </w:rPr>
        <w:t>2</w:t>
      </w:r>
      <w:r>
        <w:rPr>
          <w:rFonts w:hint="eastAsia"/>
          <w:sz w:val="28"/>
          <w:szCs w:val="28"/>
          <w:lang w:eastAsia="zh-CN"/>
        </w:rPr>
        <w:t>.</w:t>
      </w:r>
      <w:r>
        <w:rPr>
          <w:rFonts w:hint="eastAsia"/>
          <w:sz w:val="28"/>
          <w:szCs w:val="28"/>
          <w:lang w:val="en-US" w:eastAsia="zh-CN"/>
        </w:rPr>
        <w:t xml:space="preserve"> </w:t>
      </w:r>
      <w:r>
        <w:rPr>
          <w:rFonts w:hint="eastAsia"/>
          <w:sz w:val="28"/>
          <w:szCs w:val="28"/>
        </w:rPr>
        <w:t>2024年6月，</w:t>
      </w:r>
      <w:r>
        <w:rPr>
          <w:rFonts w:hint="eastAsia"/>
          <w:sz w:val="28"/>
          <w:szCs w:val="28"/>
          <w:lang w:val="en-US" w:eastAsia="zh-CN"/>
        </w:rPr>
        <w:t>鄂尔多斯市检验检测中心</w:t>
      </w:r>
      <w:r>
        <w:rPr>
          <w:rFonts w:hint="eastAsia"/>
          <w:sz w:val="28"/>
          <w:szCs w:val="28"/>
        </w:rPr>
        <w:t>作为牵头单位正式组建了《煤化工生产企业温室气体监测方法》编制组，</w:t>
      </w:r>
      <w:r>
        <w:rPr>
          <w:rFonts w:hint="eastAsia"/>
          <w:sz w:val="28"/>
          <w:szCs w:val="28"/>
          <w:lang w:val="en-US" w:eastAsia="zh-CN"/>
        </w:rPr>
        <w:t>鄂尔多斯市检验检测中心</w:t>
      </w:r>
      <w:r>
        <w:rPr>
          <w:rFonts w:hint="eastAsia"/>
          <w:sz w:val="28"/>
          <w:szCs w:val="28"/>
        </w:rPr>
        <w:t>、</w:t>
      </w:r>
      <w:r>
        <w:rPr>
          <w:rFonts w:hint="eastAsia"/>
          <w:sz w:val="28"/>
          <w:szCs w:val="28"/>
          <w:lang w:val="en-US" w:eastAsia="zh-CN"/>
        </w:rPr>
        <w:t>中国计量大学</w:t>
      </w:r>
      <w:r>
        <w:rPr>
          <w:rFonts w:hint="eastAsia"/>
          <w:sz w:val="28"/>
          <w:szCs w:val="28"/>
        </w:rPr>
        <w:t>承担具体制定任务。</w:t>
      </w:r>
    </w:p>
    <w:p w14:paraId="4348A949">
      <w:pPr>
        <w:snapToGrid w:val="0"/>
        <w:spacing w:after="0" w:line="360" w:lineRule="auto"/>
        <w:ind w:firstLine="482"/>
        <w:rPr>
          <w:rFonts w:hint="default" w:eastAsia="宋体"/>
          <w:sz w:val="28"/>
          <w:szCs w:val="28"/>
          <w:lang w:val="en-US" w:eastAsia="zh-CN"/>
        </w:rPr>
      </w:pPr>
      <w:r>
        <w:rPr>
          <w:rFonts w:hint="eastAsia"/>
          <w:sz w:val="28"/>
          <w:szCs w:val="28"/>
          <w:lang w:val="en-US" w:eastAsia="zh-CN"/>
        </w:rPr>
        <w:t>3.2024年8月，</w:t>
      </w:r>
      <w:r>
        <w:rPr>
          <w:rFonts w:hint="eastAsia"/>
          <w:sz w:val="28"/>
          <w:szCs w:val="28"/>
        </w:rPr>
        <w:t>组织</w:t>
      </w:r>
      <w:r>
        <w:rPr>
          <w:color w:val="000000" w:themeColor="text1"/>
          <w:sz w:val="28"/>
          <w:szCs w:val="28"/>
          <w14:textFill>
            <w14:solidFill>
              <w14:schemeClr w14:val="tx1"/>
            </w14:solidFill>
          </w14:textFill>
        </w:rPr>
        <w:t>召开</w:t>
      </w:r>
      <w:r>
        <w:rPr>
          <w:sz w:val="28"/>
          <w:szCs w:val="28"/>
        </w:rPr>
        <w:t xml:space="preserve">首次编制组会议，会议就规范包含的内容、主要技术指标等问题进行了讨论，商定了规范起草的主要思路和起草原则，确定了各起草人员的具体工作分工。 </w:t>
      </w:r>
    </w:p>
    <w:p w14:paraId="310CF121">
      <w:pPr>
        <w:snapToGrid w:val="0"/>
        <w:spacing w:after="0" w:line="360" w:lineRule="auto"/>
        <w:ind w:firstLine="482"/>
        <w:rPr>
          <w:rFonts w:hint="eastAsia" w:eastAsia="宋体"/>
          <w:sz w:val="28"/>
          <w:szCs w:val="28"/>
          <w:lang w:eastAsia="zh-CN"/>
        </w:rPr>
      </w:pPr>
      <w:r>
        <w:rPr>
          <w:rFonts w:hint="eastAsia"/>
          <w:sz w:val="28"/>
          <w:szCs w:val="28"/>
          <w:lang w:val="en-US" w:eastAsia="zh-CN"/>
        </w:rPr>
        <w:t>4</w:t>
      </w:r>
      <w:r>
        <w:rPr>
          <w:rFonts w:hint="eastAsia"/>
          <w:sz w:val="28"/>
          <w:szCs w:val="28"/>
        </w:rPr>
        <w:t>.2024年</w:t>
      </w:r>
      <w:r>
        <w:rPr>
          <w:rFonts w:hint="eastAsia"/>
          <w:sz w:val="28"/>
          <w:szCs w:val="28"/>
          <w:lang w:val="en-US" w:eastAsia="zh-CN"/>
        </w:rPr>
        <w:t>9</w:t>
      </w:r>
      <w:r>
        <w:rPr>
          <w:rFonts w:hint="eastAsia"/>
          <w:sz w:val="28"/>
          <w:szCs w:val="28"/>
        </w:rPr>
        <w:t>月</w:t>
      </w:r>
      <w:r>
        <w:rPr>
          <w:rFonts w:hint="eastAsia"/>
          <w:sz w:val="28"/>
          <w:szCs w:val="28"/>
          <w:lang w:eastAsia="zh-CN"/>
        </w:rPr>
        <w:t>—</w:t>
      </w:r>
      <w:r>
        <w:rPr>
          <w:rFonts w:hint="eastAsia"/>
          <w:sz w:val="28"/>
          <w:szCs w:val="28"/>
        </w:rPr>
        <w:t>202</w:t>
      </w:r>
      <w:r>
        <w:rPr>
          <w:rFonts w:hint="eastAsia"/>
          <w:sz w:val="28"/>
          <w:szCs w:val="28"/>
          <w:lang w:val="en-US" w:eastAsia="zh-CN"/>
        </w:rPr>
        <w:t>4</w:t>
      </w:r>
      <w:r>
        <w:rPr>
          <w:rFonts w:hint="eastAsia"/>
          <w:sz w:val="28"/>
          <w:szCs w:val="28"/>
        </w:rPr>
        <w:t>年</w:t>
      </w:r>
      <w:r>
        <w:rPr>
          <w:rFonts w:hint="eastAsia"/>
          <w:sz w:val="28"/>
          <w:szCs w:val="28"/>
          <w:lang w:val="en-US" w:eastAsia="zh-CN"/>
        </w:rPr>
        <w:t>12</w:t>
      </w:r>
      <w:r>
        <w:rPr>
          <w:rFonts w:hint="eastAsia"/>
          <w:sz w:val="28"/>
          <w:szCs w:val="28"/>
        </w:rPr>
        <w:t>月，技术规范</w:t>
      </w:r>
      <w:r>
        <w:rPr>
          <w:rFonts w:hint="eastAsia"/>
          <w:sz w:val="28"/>
          <w:szCs w:val="28"/>
          <w:lang w:val="en-US" w:eastAsia="zh-CN"/>
        </w:rPr>
        <w:t>编制</w:t>
      </w:r>
      <w:r>
        <w:rPr>
          <w:rFonts w:hint="eastAsia"/>
          <w:sz w:val="28"/>
          <w:szCs w:val="28"/>
        </w:rPr>
        <w:t>组先后赴</w:t>
      </w:r>
      <w:r>
        <w:rPr>
          <w:rFonts w:hint="eastAsia"/>
          <w:sz w:val="28"/>
          <w:szCs w:val="28"/>
          <w:lang w:val="en-US" w:eastAsia="zh-CN"/>
        </w:rPr>
        <w:t>5</w:t>
      </w:r>
      <w:r>
        <w:rPr>
          <w:rFonts w:hint="eastAsia"/>
          <w:sz w:val="28"/>
          <w:szCs w:val="28"/>
        </w:rPr>
        <w:t>家典型煤化工生产企业进行实地调研</w:t>
      </w:r>
      <w:r>
        <w:rPr>
          <w:rFonts w:hint="eastAsia"/>
          <w:sz w:val="28"/>
          <w:szCs w:val="28"/>
          <w:lang w:eastAsia="zh-CN"/>
        </w:rPr>
        <w:t>，</w:t>
      </w:r>
      <w:r>
        <w:rPr>
          <w:rFonts w:hint="eastAsia"/>
          <w:sz w:val="28"/>
          <w:szCs w:val="28"/>
          <w:lang w:val="en-US" w:eastAsia="zh-CN"/>
        </w:rPr>
        <w:t>并进行实验数据收集，并</w:t>
      </w:r>
      <w:r>
        <w:rPr>
          <w:rFonts w:hint="eastAsia"/>
          <w:sz w:val="28"/>
          <w:szCs w:val="28"/>
        </w:rPr>
        <w:t>完成《煤化工生产企业温室气体监测方法》草稿撰写工作</w:t>
      </w:r>
      <w:r>
        <w:rPr>
          <w:rFonts w:hint="eastAsia"/>
          <w:sz w:val="28"/>
          <w:szCs w:val="28"/>
          <w:lang w:eastAsia="zh-CN"/>
        </w:rPr>
        <w:t>。</w:t>
      </w:r>
    </w:p>
    <w:p w14:paraId="6DE656B9">
      <w:pPr>
        <w:snapToGrid w:val="0"/>
        <w:spacing w:after="0" w:line="360" w:lineRule="auto"/>
        <w:ind w:firstLine="482"/>
        <w:rPr>
          <w:rFonts w:hint="eastAsia"/>
          <w:sz w:val="28"/>
          <w:szCs w:val="28"/>
        </w:rPr>
      </w:pPr>
      <w:r>
        <w:rPr>
          <w:rFonts w:hint="eastAsia"/>
          <w:sz w:val="28"/>
          <w:szCs w:val="28"/>
        </w:rPr>
        <w:t>4.2025年</w:t>
      </w:r>
      <w:r>
        <w:rPr>
          <w:rFonts w:hint="eastAsia"/>
          <w:sz w:val="28"/>
          <w:szCs w:val="28"/>
          <w:lang w:val="en-US" w:eastAsia="zh-CN"/>
        </w:rPr>
        <w:t>3</w:t>
      </w:r>
      <w:r>
        <w:rPr>
          <w:rFonts w:hint="eastAsia"/>
          <w:sz w:val="28"/>
          <w:szCs w:val="28"/>
        </w:rPr>
        <w:t>月，</w:t>
      </w:r>
      <w:r>
        <w:rPr>
          <w:rFonts w:hint="eastAsia"/>
          <w:sz w:val="28"/>
          <w:szCs w:val="28"/>
          <w:lang w:val="en-US" w:eastAsia="zh-CN"/>
        </w:rPr>
        <w:t>编制</w:t>
      </w:r>
      <w:r>
        <w:rPr>
          <w:rFonts w:hint="eastAsia"/>
          <w:sz w:val="28"/>
          <w:szCs w:val="28"/>
        </w:rPr>
        <w:t>组</w:t>
      </w:r>
      <w:r>
        <w:rPr>
          <w:rFonts w:hint="eastAsia"/>
          <w:sz w:val="28"/>
          <w:szCs w:val="28"/>
          <w:lang w:val="en-US" w:eastAsia="zh-CN"/>
        </w:rPr>
        <w:t>对</w:t>
      </w:r>
      <w:r>
        <w:rPr>
          <w:sz w:val="28"/>
          <w:szCs w:val="28"/>
        </w:rPr>
        <w:t>完成的草稿进行了讨论，进一步明确了规范起草的主要思路和起草原则，同时对应条款中需要完成的实验内容进行了部署。</w:t>
      </w:r>
    </w:p>
    <w:p w14:paraId="3ECF5210">
      <w:pPr>
        <w:snapToGrid w:val="0"/>
        <w:spacing w:after="0" w:line="360" w:lineRule="auto"/>
        <w:ind w:firstLine="482"/>
        <w:rPr>
          <w:rFonts w:hint="eastAsia"/>
          <w:sz w:val="28"/>
          <w:szCs w:val="28"/>
        </w:rPr>
      </w:pPr>
      <w:r>
        <w:rPr>
          <w:rFonts w:hint="eastAsia"/>
          <w:sz w:val="28"/>
          <w:szCs w:val="28"/>
        </w:rPr>
        <w:t>5</w:t>
      </w:r>
      <w:r>
        <w:rPr>
          <w:rFonts w:hint="eastAsia"/>
          <w:sz w:val="28"/>
          <w:szCs w:val="28"/>
          <w:lang w:val="en-US" w:eastAsia="zh-CN"/>
        </w:rPr>
        <w:t>.</w:t>
      </w:r>
      <w:r>
        <w:rPr>
          <w:rFonts w:hint="eastAsia"/>
          <w:sz w:val="28"/>
          <w:szCs w:val="28"/>
        </w:rPr>
        <w:t>2025年</w:t>
      </w:r>
      <w:r>
        <w:rPr>
          <w:rFonts w:hint="eastAsia"/>
          <w:sz w:val="28"/>
          <w:szCs w:val="28"/>
          <w:lang w:val="en-US" w:eastAsia="zh-CN"/>
        </w:rPr>
        <w:t>5</w:t>
      </w:r>
      <w:r>
        <w:rPr>
          <w:rFonts w:hint="eastAsia"/>
          <w:sz w:val="28"/>
          <w:szCs w:val="28"/>
        </w:rPr>
        <w:t>月，</w:t>
      </w:r>
      <w:r>
        <w:rPr>
          <w:rFonts w:hint="eastAsia"/>
          <w:sz w:val="28"/>
          <w:szCs w:val="28"/>
          <w:lang w:val="en-US" w:eastAsia="zh-CN"/>
        </w:rPr>
        <w:t>编制</w:t>
      </w:r>
      <w:r>
        <w:rPr>
          <w:rFonts w:hint="eastAsia"/>
          <w:sz w:val="28"/>
          <w:szCs w:val="28"/>
        </w:rPr>
        <w:t>组向煤化工生产企业征求《煤化工生产企业温室气体监测方法》（征求意见稿）的适用性和可操作性</w:t>
      </w:r>
      <w:r>
        <w:rPr>
          <w:rFonts w:hint="eastAsia"/>
          <w:sz w:val="28"/>
          <w:szCs w:val="28"/>
          <w:lang w:val="en-US" w:eastAsia="zh-CN"/>
        </w:rPr>
        <w:t>的意见</w:t>
      </w:r>
      <w:r>
        <w:rPr>
          <w:rFonts w:hint="eastAsia"/>
          <w:sz w:val="28"/>
          <w:szCs w:val="28"/>
        </w:rPr>
        <w:t>。</w:t>
      </w:r>
    </w:p>
    <w:p w14:paraId="1385A905">
      <w:pPr>
        <w:snapToGrid w:val="0"/>
        <w:spacing w:after="0" w:line="360" w:lineRule="auto"/>
        <w:ind w:firstLine="560" w:firstLineChars="200"/>
        <w:rPr>
          <w:sz w:val="28"/>
          <w:szCs w:val="28"/>
        </w:rPr>
      </w:pPr>
      <w:r>
        <w:rPr>
          <w:rFonts w:hint="eastAsia"/>
          <w:sz w:val="28"/>
          <w:szCs w:val="28"/>
        </w:rPr>
        <w:t>6</w:t>
      </w:r>
      <w:r>
        <w:rPr>
          <w:rFonts w:hint="eastAsia"/>
          <w:sz w:val="28"/>
          <w:szCs w:val="28"/>
          <w:lang w:eastAsia="zh-CN"/>
        </w:rPr>
        <w:t>.</w:t>
      </w:r>
      <w:r>
        <w:rPr>
          <w:rFonts w:hint="eastAsia"/>
          <w:sz w:val="28"/>
          <w:szCs w:val="28"/>
        </w:rPr>
        <w:t>2025年7月，</w:t>
      </w:r>
      <w:r>
        <w:rPr>
          <w:rFonts w:hint="eastAsia"/>
          <w:sz w:val="28"/>
          <w:szCs w:val="28"/>
          <w:lang w:val="en-US" w:eastAsia="zh-CN"/>
        </w:rPr>
        <w:t>编制组</w:t>
      </w:r>
      <w:r>
        <w:rPr>
          <w:rFonts w:hint="eastAsia"/>
          <w:sz w:val="28"/>
          <w:szCs w:val="28"/>
        </w:rPr>
        <w:t>在详细分析了企业所提疑问和意见的基础上，对</w:t>
      </w:r>
      <w:r>
        <w:rPr>
          <w:rFonts w:hint="eastAsia"/>
          <w:sz w:val="28"/>
          <w:szCs w:val="28"/>
          <w:lang w:val="en-US" w:eastAsia="zh-CN"/>
        </w:rPr>
        <w:t>技术</w:t>
      </w:r>
      <w:r>
        <w:rPr>
          <w:rFonts w:hint="eastAsia"/>
          <w:sz w:val="28"/>
          <w:szCs w:val="28"/>
        </w:rPr>
        <w:t>规范</w:t>
      </w:r>
      <w:r>
        <w:rPr>
          <w:rFonts w:hint="eastAsia"/>
          <w:sz w:val="28"/>
          <w:szCs w:val="28"/>
          <w:lang w:val="en-US" w:eastAsia="zh-CN"/>
        </w:rPr>
        <w:t>内容</w:t>
      </w:r>
      <w:r>
        <w:rPr>
          <w:rFonts w:hint="eastAsia"/>
          <w:sz w:val="28"/>
          <w:szCs w:val="28"/>
        </w:rPr>
        <w:t>逐条进行了讨论，</w:t>
      </w:r>
      <w:r>
        <w:rPr>
          <w:rFonts w:hint="eastAsia"/>
          <w:sz w:val="28"/>
          <w:szCs w:val="28"/>
          <w:lang w:val="en-US" w:eastAsia="zh-CN"/>
        </w:rPr>
        <w:t>形成了技术</w:t>
      </w:r>
      <w:r>
        <w:rPr>
          <w:rFonts w:hint="eastAsia"/>
          <w:sz w:val="28"/>
          <w:szCs w:val="28"/>
        </w:rPr>
        <w:t>规范征求意见稿。</w:t>
      </w:r>
    </w:p>
    <w:p w14:paraId="7E1E5E92">
      <w:pPr>
        <w:snapToGrid w:val="0"/>
        <w:spacing w:after="0" w:line="360" w:lineRule="auto"/>
        <w:rPr>
          <w:b/>
          <w:bCs/>
          <w:sz w:val="28"/>
          <w:szCs w:val="28"/>
        </w:rPr>
      </w:pPr>
      <w:r>
        <w:rPr>
          <w:b/>
          <w:bCs/>
          <w:sz w:val="28"/>
          <w:szCs w:val="28"/>
        </w:rPr>
        <w:t>四、编制原则及技术依据</w:t>
      </w:r>
      <w:r>
        <w:rPr>
          <w:rFonts w:hint="eastAsia"/>
          <w:b/>
          <w:bCs/>
          <w:sz w:val="28"/>
          <w:szCs w:val="28"/>
        </w:rPr>
        <w:t xml:space="preserve"> </w:t>
      </w:r>
    </w:p>
    <w:p w14:paraId="6E1EFF39">
      <w:pPr>
        <w:snapToGrid w:val="0"/>
        <w:spacing w:after="0" w:line="360" w:lineRule="auto"/>
        <w:ind w:firstLine="482"/>
        <w:rPr>
          <w:sz w:val="28"/>
          <w:szCs w:val="28"/>
        </w:rPr>
      </w:pPr>
      <w:r>
        <w:rPr>
          <w:rFonts w:hint="eastAsia"/>
          <w:sz w:val="28"/>
          <w:szCs w:val="28"/>
          <w:lang w:eastAsia="zh-CN"/>
        </w:rPr>
        <w:t>1.</w:t>
      </w:r>
      <w:r>
        <w:rPr>
          <w:sz w:val="28"/>
          <w:szCs w:val="28"/>
        </w:rPr>
        <w:t>编制原则</w:t>
      </w:r>
    </w:p>
    <w:p w14:paraId="36321509">
      <w:pPr>
        <w:snapToGrid w:val="0"/>
        <w:spacing w:after="0" w:line="360" w:lineRule="auto"/>
        <w:ind w:firstLine="482"/>
        <w:rPr>
          <w:sz w:val="28"/>
          <w:szCs w:val="28"/>
        </w:rPr>
      </w:pPr>
      <w:r>
        <w:rPr>
          <w:sz w:val="28"/>
          <w:szCs w:val="28"/>
        </w:rPr>
        <w:t>规范</w:t>
      </w:r>
      <w:r>
        <w:rPr>
          <w:rFonts w:hint="eastAsia"/>
          <w:sz w:val="28"/>
          <w:szCs w:val="28"/>
        </w:rPr>
        <w:t>编制</w:t>
      </w:r>
      <w:r>
        <w:rPr>
          <w:sz w:val="28"/>
          <w:szCs w:val="28"/>
        </w:rPr>
        <w:t>组在制定该规范的过程中，按以下原则完成规范的起草工作：</w:t>
      </w:r>
    </w:p>
    <w:p w14:paraId="3A5DC054">
      <w:pPr>
        <w:snapToGrid w:val="0"/>
        <w:spacing w:after="0" w:line="360" w:lineRule="auto"/>
        <w:ind w:firstLine="482"/>
        <w:rPr>
          <w:sz w:val="28"/>
          <w:szCs w:val="28"/>
        </w:rPr>
      </w:pPr>
      <w:r>
        <w:rPr>
          <w:sz w:val="28"/>
          <w:szCs w:val="28"/>
        </w:rPr>
        <w:t>（1）参照国际标准和国家相关法律法规，并尽量与国家标准</w:t>
      </w:r>
      <w:r>
        <w:rPr>
          <w:rFonts w:hint="eastAsia"/>
          <w:sz w:val="28"/>
          <w:szCs w:val="28"/>
        </w:rPr>
        <w:t>和</w:t>
      </w:r>
      <w:r>
        <w:rPr>
          <w:rFonts w:hint="eastAsia"/>
          <w:sz w:val="28"/>
          <w:szCs w:val="28"/>
          <w:lang w:eastAsia="zh-CN"/>
        </w:rPr>
        <w:t>国家发展改革委</w:t>
      </w:r>
      <w:r>
        <w:rPr>
          <w:rFonts w:hint="eastAsia"/>
          <w:sz w:val="28"/>
          <w:szCs w:val="28"/>
        </w:rPr>
        <w:t>发布的指南</w:t>
      </w:r>
      <w:r>
        <w:rPr>
          <w:sz w:val="28"/>
          <w:szCs w:val="28"/>
        </w:rPr>
        <w:t>保持一致，保证规范的先进性和可行性；</w:t>
      </w:r>
    </w:p>
    <w:p w14:paraId="39A829FD">
      <w:pPr>
        <w:snapToGrid w:val="0"/>
        <w:spacing w:after="0" w:line="360" w:lineRule="auto"/>
        <w:ind w:firstLine="482"/>
        <w:rPr>
          <w:sz w:val="28"/>
          <w:szCs w:val="28"/>
        </w:rPr>
      </w:pPr>
      <w:r>
        <w:rPr>
          <w:sz w:val="28"/>
          <w:szCs w:val="28"/>
        </w:rPr>
        <w:t>（2）在</w:t>
      </w:r>
      <w:r>
        <w:rPr>
          <w:rFonts w:hint="eastAsia"/>
          <w:sz w:val="28"/>
          <w:szCs w:val="28"/>
        </w:rPr>
        <w:t>计量方法</w:t>
      </w:r>
      <w:r>
        <w:rPr>
          <w:sz w:val="28"/>
          <w:szCs w:val="28"/>
        </w:rPr>
        <w:t>的选择上，既要采用先进</w:t>
      </w:r>
      <w:r>
        <w:rPr>
          <w:rFonts w:hint="eastAsia"/>
          <w:sz w:val="28"/>
          <w:szCs w:val="28"/>
        </w:rPr>
        <w:t>全面</w:t>
      </w:r>
      <w:r>
        <w:rPr>
          <w:rFonts w:hint="eastAsia"/>
          <w:sz w:val="28"/>
          <w:szCs w:val="28"/>
          <w:lang w:eastAsia="zh-CN"/>
        </w:rPr>
        <w:t>的方法，</w:t>
      </w:r>
      <w:r>
        <w:rPr>
          <w:sz w:val="28"/>
          <w:szCs w:val="28"/>
        </w:rPr>
        <w:t>又要考虑</w:t>
      </w:r>
      <w:r>
        <w:rPr>
          <w:rFonts w:hint="eastAsia"/>
          <w:sz w:val="28"/>
          <w:szCs w:val="28"/>
        </w:rPr>
        <w:t>方法的规范性和可操作性</w:t>
      </w:r>
      <w:r>
        <w:rPr>
          <w:sz w:val="28"/>
          <w:szCs w:val="28"/>
        </w:rPr>
        <w:t>；</w:t>
      </w:r>
    </w:p>
    <w:p w14:paraId="035F8FBA">
      <w:pPr>
        <w:snapToGrid w:val="0"/>
        <w:spacing w:after="0" w:line="360" w:lineRule="auto"/>
        <w:ind w:firstLine="482"/>
        <w:rPr>
          <w:sz w:val="28"/>
          <w:szCs w:val="28"/>
        </w:rPr>
      </w:pPr>
      <w:r>
        <w:rPr>
          <w:sz w:val="28"/>
          <w:szCs w:val="28"/>
        </w:rPr>
        <w:t>（3）在</w:t>
      </w:r>
      <w:r>
        <w:rPr>
          <w:rFonts w:hint="eastAsia"/>
          <w:sz w:val="28"/>
          <w:szCs w:val="28"/>
        </w:rPr>
        <w:t>数据的获取</w:t>
      </w:r>
      <w:r>
        <w:rPr>
          <w:sz w:val="28"/>
          <w:szCs w:val="28"/>
        </w:rPr>
        <w:t>上，既要保证</w:t>
      </w:r>
      <w:r>
        <w:rPr>
          <w:rFonts w:hint="eastAsia"/>
          <w:sz w:val="28"/>
          <w:szCs w:val="28"/>
          <w:lang w:val="en-US" w:eastAsia="zh-CN"/>
        </w:rPr>
        <w:t>煤化工</w:t>
      </w:r>
      <w:r>
        <w:rPr>
          <w:rFonts w:hint="eastAsia"/>
          <w:sz w:val="28"/>
          <w:szCs w:val="28"/>
        </w:rPr>
        <w:t>生产企业碳排放量的准确</w:t>
      </w:r>
      <w:r>
        <w:rPr>
          <w:sz w:val="28"/>
          <w:szCs w:val="28"/>
        </w:rPr>
        <w:t>，又要</w:t>
      </w:r>
      <w:r>
        <w:rPr>
          <w:rFonts w:hint="eastAsia"/>
          <w:sz w:val="28"/>
          <w:szCs w:val="28"/>
          <w:lang w:eastAsia="zh-CN"/>
        </w:rPr>
        <w:t>力求</w:t>
      </w:r>
      <w:r>
        <w:rPr>
          <w:rFonts w:hint="eastAsia"/>
          <w:sz w:val="28"/>
          <w:szCs w:val="28"/>
        </w:rPr>
        <w:t>简明、可操作、格式一致、结果可比</w:t>
      </w:r>
      <w:r>
        <w:rPr>
          <w:sz w:val="28"/>
          <w:szCs w:val="28"/>
        </w:rPr>
        <w:t>。</w:t>
      </w:r>
    </w:p>
    <w:p w14:paraId="04198A9F">
      <w:pPr>
        <w:snapToGrid w:val="0"/>
        <w:spacing w:after="0" w:line="360" w:lineRule="auto"/>
        <w:ind w:firstLine="482"/>
        <w:rPr>
          <w:sz w:val="28"/>
          <w:szCs w:val="28"/>
        </w:rPr>
      </w:pPr>
      <w:r>
        <w:rPr>
          <w:rFonts w:hint="eastAsia"/>
          <w:sz w:val="28"/>
          <w:szCs w:val="28"/>
          <w:lang w:eastAsia="zh-CN"/>
        </w:rPr>
        <w:t>2.</w:t>
      </w:r>
      <w:r>
        <w:rPr>
          <w:sz w:val="28"/>
          <w:szCs w:val="28"/>
        </w:rPr>
        <w:t>技术依据</w:t>
      </w:r>
    </w:p>
    <w:p w14:paraId="62E7A424">
      <w:pPr>
        <w:snapToGrid w:val="0"/>
        <w:spacing w:after="0" w:line="360" w:lineRule="auto"/>
        <w:ind w:firstLine="482"/>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t>规范编制过程中重点参考了以下规范、规程、标准：</w:t>
      </w:r>
    </w:p>
    <w:p w14:paraId="4923CF92">
      <w:pPr>
        <w:snapToGrid w:val="0"/>
        <w:spacing w:after="0" w:line="360" w:lineRule="auto"/>
        <w:ind w:firstLine="482"/>
        <w:rPr>
          <w:rFonts w:hint="eastAsia" w:ascii="Times New Roman" w:hAnsi="Times New Roman" w:eastAsia="宋体" w:cs="Times New Roman"/>
          <w:sz w:val="28"/>
          <w:szCs w:val="28"/>
          <w:lang w:val="en-US" w:eastAsia="zh-CN"/>
        </w:rPr>
      </w:pPr>
      <w:bookmarkStart w:id="0" w:name="_Hlk151216528"/>
      <w:r>
        <w:rPr>
          <w:rFonts w:hint="eastAsia" w:ascii="Times New Roman" w:hAnsi="Times New Roman" w:eastAsia="宋体" w:cs="Times New Roman"/>
          <w:sz w:val="28"/>
          <w:szCs w:val="28"/>
          <w:lang w:val="en-US" w:eastAsia="zh-CN"/>
        </w:rPr>
        <w:t>JJF 1001 通用计量术语及定义</w:t>
      </w:r>
    </w:p>
    <w:p w14:paraId="7DDEEC87">
      <w:pPr>
        <w:snapToGrid w:val="0"/>
        <w:spacing w:after="0" w:line="360" w:lineRule="auto"/>
        <w:ind w:firstLine="482"/>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JJF 1059.1 测量不确定度评定与表示</w:t>
      </w:r>
    </w:p>
    <w:p w14:paraId="6C24E4BC">
      <w:pPr>
        <w:snapToGrid w:val="0"/>
        <w:spacing w:after="0" w:line="360" w:lineRule="auto"/>
        <w:ind w:firstLine="482"/>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JJF 1356 重点用能单位能源计量审查规范</w:t>
      </w:r>
    </w:p>
    <w:p w14:paraId="5E67FD80">
      <w:pPr>
        <w:snapToGrid w:val="0"/>
        <w:spacing w:after="0" w:line="360" w:lineRule="auto"/>
        <w:ind w:firstLine="482"/>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GB/T 32150 工业企业温室气体排放核算和报告通则</w:t>
      </w:r>
    </w:p>
    <w:p w14:paraId="5675056B">
      <w:pPr>
        <w:snapToGrid w:val="0"/>
        <w:spacing w:after="0" w:line="360" w:lineRule="auto"/>
        <w:ind w:firstLine="482"/>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GB/T 32151.10 碳排放核算与报告要求第10部分：化工生产企业</w:t>
      </w:r>
    </w:p>
    <w:p w14:paraId="1A461078">
      <w:pPr>
        <w:snapToGrid w:val="0"/>
        <w:spacing w:after="0" w:line="360" w:lineRule="auto"/>
        <w:ind w:firstLine="482"/>
        <w:rPr>
          <w:sz w:val="28"/>
          <w:szCs w:val="28"/>
        </w:rPr>
      </w:pPr>
      <w:r>
        <w:rPr>
          <w:rFonts w:hint="eastAsia" w:ascii="Times New Roman" w:hAnsi="Times New Roman" w:eastAsia="宋体" w:cs="Times New Roman"/>
          <w:sz w:val="28"/>
          <w:szCs w:val="28"/>
          <w:lang w:val="en-US" w:eastAsia="zh-CN"/>
        </w:rPr>
        <w:t>T/CMA CC199 企业温室气体排放计量器具配备和管理通则</w:t>
      </w:r>
      <w:bookmarkEnd w:id="0"/>
    </w:p>
    <w:p w14:paraId="63DA05A5">
      <w:pPr>
        <w:snapToGrid w:val="0"/>
        <w:spacing w:after="0" w:line="360" w:lineRule="auto"/>
        <w:rPr>
          <w:b/>
          <w:bCs/>
          <w:sz w:val="28"/>
          <w:szCs w:val="28"/>
        </w:rPr>
      </w:pPr>
      <w:r>
        <w:rPr>
          <w:b/>
          <w:bCs/>
          <w:sz w:val="28"/>
          <w:szCs w:val="28"/>
        </w:rPr>
        <w:t>五、主要技术内容</w:t>
      </w:r>
    </w:p>
    <w:p w14:paraId="3E178959">
      <w:pPr>
        <w:snapToGrid w:val="0"/>
        <w:spacing w:after="0" w:line="360" w:lineRule="auto"/>
        <w:ind w:firstLine="482"/>
        <w:rPr>
          <w:sz w:val="28"/>
          <w:szCs w:val="28"/>
        </w:rPr>
      </w:pPr>
      <w:r>
        <w:rPr>
          <w:sz w:val="28"/>
          <w:szCs w:val="28"/>
        </w:rPr>
        <w:t>规范的主要内容包括：</w:t>
      </w:r>
    </w:p>
    <w:p w14:paraId="27FCDF38">
      <w:pPr>
        <w:snapToGrid w:val="0"/>
        <w:spacing w:after="0" w:line="360" w:lineRule="auto"/>
        <w:ind w:firstLine="482"/>
        <w:rPr>
          <w:sz w:val="28"/>
          <w:szCs w:val="28"/>
        </w:rPr>
      </w:pPr>
      <w:r>
        <w:rPr>
          <w:sz w:val="28"/>
          <w:szCs w:val="28"/>
        </w:rPr>
        <w:t>1）范围，规定本规范适用的范围；</w:t>
      </w:r>
    </w:p>
    <w:p w14:paraId="2B0C308D">
      <w:pPr>
        <w:snapToGrid w:val="0"/>
        <w:spacing w:after="0" w:line="360" w:lineRule="auto"/>
        <w:ind w:firstLine="482"/>
        <w:rPr>
          <w:sz w:val="28"/>
          <w:szCs w:val="28"/>
        </w:rPr>
      </w:pPr>
      <w:r>
        <w:rPr>
          <w:sz w:val="28"/>
          <w:szCs w:val="28"/>
        </w:rPr>
        <w:t>2）引用文件，编制本规范所引用的规范、规程、标准；</w:t>
      </w:r>
    </w:p>
    <w:p w14:paraId="0DAF5676">
      <w:pPr>
        <w:snapToGrid w:val="0"/>
        <w:spacing w:after="0" w:line="360" w:lineRule="auto"/>
        <w:ind w:firstLine="482"/>
        <w:rPr>
          <w:sz w:val="28"/>
          <w:szCs w:val="28"/>
        </w:rPr>
      </w:pPr>
      <w:r>
        <w:rPr>
          <w:sz w:val="28"/>
          <w:szCs w:val="28"/>
        </w:rPr>
        <w:t>3）术语</w:t>
      </w:r>
      <w:r>
        <w:rPr>
          <w:rFonts w:hint="eastAsia"/>
          <w:sz w:val="28"/>
          <w:szCs w:val="28"/>
        </w:rPr>
        <w:t>和计量单位</w:t>
      </w:r>
      <w:r>
        <w:rPr>
          <w:sz w:val="28"/>
          <w:szCs w:val="28"/>
        </w:rPr>
        <w:t>，定义本规范所出现的专用术语</w:t>
      </w:r>
      <w:r>
        <w:rPr>
          <w:rFonts w:hint="eastAsia"/>
          <w:sz w:val="28"/>
          <w:szCs w:val="28"/>
        </w:rPr>
        <w:t>和计量单位</w:t>
      </w:r>
      <w:r>
        <w:rPr>
          <w:sz w:val="28"/>
          <w:szCs w:val="28"/>
        </w:rPr>
        <w:t>；</w:t>
      </w:r>
    </w:p>
    <w:p w14:paraId="40F0090E">
      <w:pPr>
        <w:snapToGrid w:val="0"/>
        <w:spacing w:after="0" w:line="360" w:lineRule="auto"/>
        <w:ind w:firstLine="482"/>
        <w:rPr>
          <w:sz w:val="28"/>
          <w:szCs w:val="28"/>
        </w:rPr>
      </w:pPr>
      <w:r>
        <w:rPr>
          <w:rFonts w:hint="eastAsia"/>
          <w:sz w:val="28"/>
          <w:szCs w:val="28"/>
        </w:rPr>
        <w:t>4）计量特性</w:t>
      </w:r>
      <w:r>
        <w:rPr>
          <w:sz w:val="28"/>
          <w:szCs w:val="28"/>
        </w:rPr>
        <w:t>，</w:t>
      </w:r>
      <w:r>
        <w:rPr>
          <w:rFonts w:hint="eastAsia"/>
          <w:sz w:val="28"/>
          <w:szCs w:val="28"/>
        </w:rPr>
        <w:t>叙述本规范的计量参数</w:t>
      </w:r>
      <w:r>
        <w:rPr>
          <w:sz w:val="28"/>
          <w:szCs w:val="28"/>
        </w:rPr>
        <w:t>；</w:t>
      </w:r>
    </w:p>
    <w:p w14:paraId="1A949A0D">
      <w:pPr>
        <w:snapToGrid w:val="0"/>
        <w:spacing w:after="0" w:line="360" w:lineRule="auto"/>
        <w:ind w:firstLine="482"/>
        <w:rPr>
          <w:rFonts w:hint="eastAsia"/>
          <w:sz w:val="28"/>
          <w:szCs w:val="28"/>
        </w:rPr>
      </w:pPr>
      <w:r>
        <w:rPr>
          <w:rFonts w:hint="eastAsia"/>
          <w:sz w:val="28"/>
          <w:szCs w:val="28"/>
        </w:rPr>
        <w:t>5</w:t>
      </w:r>
      <w:r>
        <w:rPr>
          <w:sz w:val="28"/>
          <w:szCs w:val="28"/>
        </w:rPr>
        <w:t>）</w:t>
      </w:r>
      <w:r>
        <w:rPr>
          <w:rFonts w:hint="eastAsia"/>
          <w:sz w:val="28"/>
          <w:szCs w:val="28"/>
        </w:rPr>
        <w:t>计量边界，定义本规范进行碳排放量计量的范围；</w:t>
      </w:r>
    </w:p>
    <w:p w14:paraId="51E6AC81">
      <w:pPr>
        <w:snapToGrid w:val="0"/>
        <w:spacing w:after="0" w:line="360" w:lineRule="auto"/>
        <w:ind w:firstLine="482"/>
        <w:rPr>
          <w:sz w:val="28"/>
          <w:szCs w:val="28"/>
        </w:rPr>
      </w:pPr>
      <w:r>
        <w:rPr>
          <w:rFonts w:hint="eastAsia"/>
          <w:sz w:val="28"/>
          <w:szCs w:val="28"/>
        </w:rPr>
        <w:t>6</w:t>
      </w:r>
      <w:r>
        <w:rPr>
          <w:sz w:val="28"/>
          <w:szCs w:val="28"/>
        </w:rPr>
        <w:t>）</w:t>
      </w:r>
      <w:r>
        <w:rPr>
          <w:rFonts w:hint="eastAsia"/>
          <w:sz w:val="28"/>
          <w:szCs w:val="28"/>
        </w:rPr>
        <w:t>计量方法，温室气体排放量计算，分别列出基于</w:t>
      </w:r>
      <w:r>
        <w:rPr>
          <w:rFonts w:hint="eastAsia"/>
          <w:sz w:val="28"/>
          <w:szCs w:val="28"/>
          <w:lang w:val="en-US" w:eastAsia="zh-CN"/>
        </w:rPr>
        <w:t>核</w:t>
      </w:r>
      <w:r>
        <w:rPr>
          <w:rFonts w:hint="eastAsia"/>
          <w:sz w:val="28"/>
          <w:szCs w:val="28"/>
        </w:rPr>
        <w:t>算和基于</w:t>
      </w:r>
      <w:r>
        <w:rPr>
          <w:rFonts w:hint="eastAsia"/>
          <w:sz w:val="28"/>
          <w:szCs w:val="28"/>
          <w:lang w:val="en-US" w:eastAsia="zh-CN"/>
        </w:rPr>
        <w:t>实测</w:t>
      </w:r>
      <w:r>
        <w:rPr>
          <w:rFonts w:hint="eastAsia"/>
          <w:sz w:val="28"/>
          <w:szCs w:val="28"/>
        </w:rPr>
        <w:t>的方法排放量计算公式</w:t>
      </w:r>
      <w:r>
        <w:rPr>
          <w:sz w:val="28"/>
          <w:szCs w:val="28"/>
        </w:rPr>
        <w:t>；</w:t>
      </w:r>
    </w:p>
    <w:p w14:paraId="1974AB28">
      <w:pPr>
        <w:snapToGrid w:val="0"/>
        <w:spacing w:after="0" w:line="360" w:lineRule="auto"/>
        <w:ind w:firstLine="482"/>
        <w:rPr>
          <w:sz w:val="28"/>
          <w:szCs w:val="28"/>
        </w:rPr>
      </w:pPr>
      <w:r>
        <w:rPr>
          <w:rFonts w:hint="eastAsia"/>
          <w:sz w:val="28"/>
          <w:szCs w:val="28"/>
        </w:rPr>
        <w:t>7</w:t>
      </w:r>
      <w:r>
        <w:rPr>
          <w:sz w:val="28"/>
          <w:szCs w:val="28"/>
        </w:rPr>
        <w:t>）</w:t>
      </w:r>
      <w:r>
        <w:rPr>
          <w:rFonts w:hint="eastAsia"/>
          <w:sz w:val="28"/>
          <w:szCs w:val="28"/>
        </w:rPr>
        <w:t>计量结果的表达</w:t>
      </w:r>
      <w:r>
        <w:rPr>
          <w:sz w:val="28"/>
          <w:szCs w:val="28"/>
        </w:rPr>
        <w:t>，</w:t>
      </w:r>
      <w:r>
        <w:rPr>
          <w:rFonts w:hint="eastAsia"/>
          <w:sz w:val="28"/>
          <w:szCs w:val="28"/>
        </w:rPr>
        <w:t>规定</w:t>
      </w:r>
      <w:r>
        <w:rPr>
          <w:rFonts w:hint="eastAsia"/>
          <w:sz w:val="28"/>
          <w:szCs w:val="28"/>
          <w:lang w:val="en-US" w:eastAsia="zh-CN"/>
        </w:rPr>
        <w:t>煤化工</w:t>
      </w:r>
      <w:r>
        <w:rPr>
          <w:rFonts w:hint="eastAsia"/>
          <w:sz w:val="28"/>
          <w:szCs w:val="28"/>
        </w:rPr>
        <w:t>生产企业排放量报告要求，报告要包含基本信息、源流识别、活动数据、排放因子数据、温室气体排放量、分析与改进等内容；</w:t>
      </w:r>
    </w:p>
    <w:p w14:paraId="2BD6CC4A">
      <w:pPr>
        <w:snapToGrid w:val="0"/>
        <w:spacing w:after="0" w:line="360" w:lineRule="auto"/>
        <w:ind w:firstLine="482"/>
        <w:rPr>
          <w:sz w:val="28"/>
          <w:szCs w:val="28"/>
        </w:rPr>
      </w:pPr>
      <w:r>
        <w:rPr>
          <w:rFonts w:hint="eastAsia"/>
          <w:sz w:val="28"/>
          <w:szCs w:val="28"/>
        </w:rPr>
        <w:t>8</w:t>
      </w:r>
      <w:r>
        <w:rPr>
          <w:sz w:val="28"/>
          <w:szCs w:val="28"/>
        </w:rPr>
        <w:t>）</w:t>
      </w:r>
      <w:r>
        <w:rPr>
          <w:rFonts w:hint="eastAsia"/>
          <w:sz w:val="28"/>
          <w:szCs w:val="28"/>
        </w:rPr>
        <w:t>计量时间间隔，规定计量时间间隔。</w:t>
      </w:r>
    </w:p>
    <w:p w14:paraId="6A67F38B">
      <w:pPr>
        <w:snapToGrid w:val="0"/>
        <w:spacing w:after="0" w:line="360" w:lineRule="auto"/>
        <w:rPr>
          <w:b/>
          <w:bCs/>
          <w:sz w:val="28"/>
          <w:szCs w:val="28"/>
        </w:rPr>
      </w:pPr>
      <w:r>
        <w:rPr>
          <w:b/>
          <w:bCs/>
          <w:sz w:val="28"/>
          <w:szCs w:val="28"/>
        </w:rPr>
        <w:t>六、规范内容要点说明</w:t>
      </w:r>
    </w:p>
    <w:p w14:paraId="30F71255">
      <w:pPr>
        <w:snapToGrid w:val="0"/>
        <w:spacing w:after="0" w:line="360" w:lineRule="auto"/>
        <w:ind w:firstLine="482"/>
        <w:rPr>
          <w:sz w:val="28"/>
          <w:szCs w:val="28"/>
        </w:rPr>
      </w:pPr>
      <w:r>
        <w:rPr>
          <w:rFonts w:hint="eastAsia"/>
          <w:sz w:val="28"/>
          <w:szCs w:val="28"/>
          <w:lang w:eastAsia="zh-CN"/>
        </w:rPr>
        <w:t>1.</w:t>
      </w:r>
      <w:r>
        <w:rPr>
          <w:rFonts w:hint="eastAsia"/>
          <w:sz w:val="28"/>
          <w:szCs w:val="28"/>
        </w:rPr>
        <w:t>本规范适用于</w:t>
      </w:r>
      <w:r>
        <w:rPr>
          <w:rFonts w:hint="eastAsia"/>
          <w:sz w:val="28"/>
          <w:szCs w:val="28"/>
          <w:lang w:val="en-US" w:eastAsia="zh-CN"/>
        </w:rPr>
        <w:t>煤化工</w:t>
      </w:r>
      <w:r>
        <w:rPr>
          <w:rFonts w:hint="eastAsia"/>
          <w:sz w:val="28"/>
          <w:szCs w:val="28"/>
        </w:rPr>
        <w:t>生产企业对温室气体排放的计量。</w:t>
      </w:r>
    </w:p>
    <w:p w14:paraId="15110F18">
      <w:pPr>
        <w:snapToGrid w:val="0"/>
        <w:spacing w:after="0" w:line="360" w:lineRule="auto"/>
        <w:ind w:firstLine="482"/>
        <w:rPr>
          <w:sz w:val="28"/>
          <w:szCs w:val="28"/>
        </w:rPr>
      </w:pPr>
      <w:r>
        <w:rPr>
          <w:rFonts w:hint="eastAsia"/>
          <w:sz w:val="28"/>
          <w:szCs w:val="28"/>
          <w:lang w:eastAsia="zh-CN"/>
        </w:rPr>
        <w:t>2.</w:t>
      </w:r>
      <w:r>
        <w:rPr>
          <w:rFonts w:hint="eastAsia"/>
          <w:sz w:val="28"/>
          <w:szCs w:val="28"/>
        </w:rPr>
        <w:t>本规范提供</w:t>
      </w:r>
      <w:r>
        <w:rPr>
          <w:rFonts w:hint="eastAsia"/>
          <w:sz w:val="28"/>
          <w:szCs w:val="28"/>
          <w:lang w:val="en-US" w:eastAsia="zh-CN"/>
        </w:rPr>
        <w:t>两</w:t>
      </w:r>
      <w:r>
        <w:rPr>
          <w:rFonts w:hint="eastAsia"/>
          <w:sz w:val="28"/>
          <w:szCs w:val="28"/>
        </w:rPr>
        <w:t>种</w:t>
      </w:r>
      <w:r>
        <w:rPr>
          <w:rFonts w:hint="eastAsia"/>
          <w:sz w:val="28"/>
          <w:szCs w:val="28"/>
          <w:lang w:val="en-US" w:eastAsia="zh-CN"/>
        </w:rPr>
        <w:t>监测</w:t>
      </w:r>
      <w:r>
        <w:rPr>
          <w:rFonts w:hint="eastAsia"/>
          <w:sz w:val="28"/>
          <w:szCs w:val="28"/>
        </w:rPr>
        <w:t>方法</w:t>
      </w:r>
      <w:r>
        <w:rPr>
          <w:rFonts w:hint="eastAsia"/>
          <w:sz w:val="28"/>
          <w:szCs w:val="28"/>
          <w:lang w:val="en-US" w:eastAsia="zh-CN"/>
        </w:rPr>
        <w:t>计算煤化工</w:t>
      </w:r>
      <w:r>
        <w:rPr>
          <w:rFonts w:hint="eastAsia"/>
          <w:sz w:val="28"/>
          <w:szCs w:val="28"/>
        </w:rPr>
        <w:t>生产企业温室气体排放量：基于</w:t>
      </w:r>
      <w:r>
        <w:rPr>
          <w:rFonts w:hint="eastAsia"/>
          <w:sz w:val="28"/>
          <w:szCs w:val="28"/>
          <w:lang w:val="en-US" w:eastAsia="zh-CN"/>
        </w:rPr>
        <w:t>核</w:t>
      </w:r>
      <w:r>
        <w:rPr>
          <w:rFonts w:hint="eastAsia"/>
          <w:sz w:val="28"/>
          <w:szCs w:val="28"/>
        </w:rPr>
        <w:t>算的方法，通过测量系统获得的活动数据和实验室分析或</w:t>
      </w:r>
      <w:r>
        <w:rPr>
          <w:rFonts w:hint="eastAsia"/>
          <w:sz w:val="28"/>
          <w:szCs w:val="28"/>
          <w:lang w:val="en-US" w:eastAsia="zh-CN"/>
        </w:rPr>
        <w:t>缺省值</w:t>
      </w:r>
      <w:r>
        <w:rPr>
          <w:rFonts w:hint="eastAsia"/>
          <w:sz w:val="28"/>
          <w:szCs w:val="28"/>
        </w:rPr>
        <w:t>的附加参数确定源流的排放量；基于</w:t>
      </w:r>
      <w:r>
        <w:rPr>
          <w:rFonts w:hint="eastAsia"/>
          <w:sz w:val="28"/>
          <w:szCs w:val="28"/>
          <w:lang w:val="en-US" w:eastAsia="zh-CN"/>
        </w:rPr>
        <w:t>实测</w:t>
      </w:r>
      <w:r>
        <w:rPr>
          <w:rFonts w:hint="eastAsia"/>
          <w:sz w:val="28"/>
          <w:szCs w:val="28"/>
        </w:rPr>
        <w:t>的方法，使用连续排放测量系统（CEMS）测量排放源的排放量。</w:t>
      </w:r>
    </w:p>
    <w:p w14:paraId="0877BF16">
      <w:pPr>
        <w:snapToGrid w:val="0"/>
        <w:spacing w:after="0" w:line="360" w:lineRule="auto"/>
        <w:ind w:firstLine="482"/>
        <w:rPr>
          <w:sz w:val="28"/>
          <w:szCs w:val="28"/>
        </w:rPr>
      </w:pPr>
      <w:r>
        <w:rPr>
          <w:rFonts w:hint="eastAsia"/>
          <w:sz w:val="28"/>
          <w:szCs w:val="28"/>
          <w:lang w:eastAsia="zh-CN"/>
        </w:rPr>
        <w:t>3.</w:t>
      </w:r>
      <w:r>
        <w:rPr>
          <w:rFonts w:hint="eastAsia"/>
          <w:sz w:val="28"/>
          <w:szCs w:val="28"/>
        </w:rPr>
        <w:t>本规范规定了</w:t>
      </w:r>
      <w:r>
        <w:rPr>
          <w:rFonts w:hint="eastAsia"/>
          <w:sz w:val="28"/>
          <w:szCs w:val="28"/>
          <w:lang w:val="en-US" w:eastAsia="zh-CN"/>
        </w:rPr>
        <w:t>碳排放</w:t>
      </w:r>
      <w:r>
        <w:rPr>
          <w:rFonts w:hint="eastAsia"/>
          <w:sz w:val="28"/>
          <w:szCs w:val="28"/>
        </w:rPr>
        <w:t>活动数据和计算因子的监测计量要求、</w:t>
      </w:r>
      <w:r>
        <w:rPr>
          <w:rFonts w:hint="eastAsia"/>
          <w:sz w:val="28"/>
          <w:szCs w:val="28"/>
          <w:lang w:val="en-US" w:eastAsia="zh-CN"/>
        </w:rPr>
        <w:t>有</w:t>
      </w:r>
      <w:r>
        <w:rPr>
          <w:rFonts w:hint="eastAsia"/>
          <w:sz w:val="28"/>
          <w:szCs w:val="28"/>
        </w:rPr>
        <w:t>组织排放</w:t>
      </w:r>
      <w:r>
        <w:rPr>
          <w:rFonts w:hint="eastAsia"/>
          <w:sz w:val="28"/>
          <w:szCs w:val="28"/>
          <w:lang w:val="en-US" w:eastAsia="zh-CN"/>
        </w:rPr>
        <w:t>源</w:t>
      </w:r>
      <w:r>
        <w:rPr>
          <w:rFonts w:hint="eastAsia"/>
          <w:sz w:val="28"/>
          <w:szCs w:val="28"/>
        </w:rPr>
        <w:t>监测计量要求，有力推动了数据质量的进一步提高。</w:t>
      </w:r>
    </w:p>
    <w:p w14:paraId="7D9F40F9">
      <w:pPr>
        <w:snapToGrid w:val="0"/>
        <w:spacing w:after="0" w:line="360" w:lineRule="auto"/>
        <w:ind w:firstLine="482"/>
        <w:rPr>
          <w:rFonts w:hint="eastAsia"/>
          <w:sz w:val="28"/>
          <w:szCs w:val="28"/>
          <w:lang w:val="en-US" w:eastAsia="zh-CN"/>
        </w:rPr>
      </w:pPr>
      <w:r>
        <w:rPr>
          <w:rFonts w:hint="eastAsia"/>
          <w:sz w:val="28"/>
          <w:szCs w:val="28"/>
          <w:lang w:eastAsia="zh-CN"/>
        </w:rPr>
        <w:t>4.</w:t>
      </w:r>
      <w:r>
        <w:rPr>
          <w:rFonts w:hint="eastAsia"/>
          <w:sz w:val="28"/>
          <w:szCs w:val="28"/>
        </w:rPr>
        <w:t>本规范给出了</w:t>
      </w:r>
      <w:r>
        <w:rPr>
          <w:rFonts w:hint="eastAsia"/>
          <w:sz w:val="28"/>
          <w:szCs w:val="28"/>
          <w:lang w:val="en-US" w:eastAsia="zh-CN"/>
        </w:rPr>
        <w:t>煤化工</w:t>
      </w:r>
      <w:r>
        <w:rPr>
          <w:rFonts w:hint="eastAsia"/>
          <w:sz w:val="28"/>
          <w:szCs w:val="28"/>
        </w:rPr>
        <w:t>生产企业温室气体排放</w:t>
      </w:r>
      <w:r>
        <w:rPr>
          <w:rFonts w:hint="eastAsia"/>
          <w:sz w:val="28"/>
          <w:szCs w:val="28"/>
          <w:lang w:val="en-US" w:eastAsia="zh-CN"/>
        </w:rPr>
        <w:t>量核算法和实测法的</w:t>
      </w:r>
      <w:r>
        <w:rPr>
          <w:rFonts w:hint="eastAsia"/>
          <w:sz w:val="28"/>
          <w:szCs w:val="28"/>
        </w:rPr>
        <w:t>计算公式</w:t>
      </w:r>
      <w:r>
        <w:rPr>
          <w:rFonts w:hint="eastAsia"/>
          <w:sz w:val="28"/>
          <w:szCs w:val="28"/>
          <w:lang w:val="en-US" w:eastAsia="zh-CN"/>
        </w:rPr>
        <w:t>和不确定度评估方法。</w:t>
      </w:r>
    </w:p>
    <w:p w14:paraId="618DC7B5">
      <w:pPr>
        <w:snapToGrid w:val="0"/>
        <w:spacing w:after="0" w:line="360" w:lineRule="auto"/>
        <w:ind w:firstLine="482"/>
        <w:rPr>
          <w:rFonts w:hint="eastAsia"/>
          <w:sz w:val="28"/>
          <w:szCs w:val="28"/>
        </w:rPr>
      </w:pPr>
      <w:r>
        <w:rPr>
          <w:rFonts w:hint="eastAsia"/>
          <w:sz w:val="28"/>
          <w:szCs w:val="28"/>
          <w:lang w:eastAsia="zh-CN"/>
        </w:rPr>
        <w:t>5.</w:t>
      </w:r>
      <w:r>
        <w:rPr>
          <w:rFonts w:hint="eastAsia"/>
          <w:sz w:val="28"/>
          <w:szCs w:val="28"/>
        </w:rPr>
        <w:t>本规范给出了企业碳排放量及不确定度评估报告</w:t>
      </w:r>
      <w:r>
        <w:rPr>
          <w:rFonts w:hint="eastAsia"/>
          <w:sz w:val="28"/>
          <w:szCs w:val="28"/>
          <w:lang w:val="en-US" w:eastAsia="zh-CN"/>
        </w:rPr>
        <w:t>的要求和报告模版</w:t>
      </w:r>
      <w:r>
        <w:rPr>
          <w:rFonts w:hint="eastAsia"/>
          <w:sz w:val="28"/>
          <w:szCs w:val="28"/>
        </w:rPr>
        <w:t>。</w:t>
      </w:r>
    </w:p>
    <w:p w14:paraId="22610406">
      <w:pPr>
        <w:snapToGrid w:val="0"/>
        <w:spacing w:after="0" w:line="360" w:lineRule="auto"/>
        <w:ind w:firstLine="482"/>
        <w:rPr>
          <w:rFonts w:hint="default" w:eastAsia="宋体"/>
          <w:sz w:val="28"/>
          <w:szCs w:val="28"/>
          <w:lang w:val="en-US" w:eastAsia="zh-CN"/>
        </w:rPr>
      </w:pPr>
      <w:r>
        <w:rPr>
          <w:rFonts w:hint="eastAsia"/>
          <w:sz w:val="28"/>
          <w:szCs w:val="28"/>
          <w:lang w:val="en-US" w:eastAsia="zh-CN"/>
        </w:rPr>
        <w:t>6.本规范给出煤化工生产企业核算法排放量不确定度评定示例。</w:t>
      </w:r>
    </w:p>
    <w:p w14:paraId="18B0493E">
      <w:pPr>
        <w:snapToGrid w:val="0"/>
        <w:spacing w:after="0" w:line="360" w:lineRule="auto"/>
        <w:ind w:firstLine="482"/>
        <w:rPr>
          <w:rFonts w:hint="eastAsia"/>
          <w:sz w:val="28"/>
          <w:szCs w:val="28"/>
        </w:rPr>
      </w:pPr>
    </w:p>
    <w:sectPr>
      <w:footerReference r:id="rId7" w:type="first"/>
      <w:headerReference r:id="rId4" w:type="default"/>
      <w:footerReference r:id="rId5" w:type="default"/>
      <w:footerReference r:id="rId6" w:type="even"/>
      <w:pgSz w:w="11906" w:h="16838"/>
      <w:pgMar w:top="1361" w:right="1247" w:bottom="1134" w:left="1588" w:header="567" w:footer="397" w:gutter="0"/>
      <w:pgNumType w:start="1"/>
      <w:cols w:space="425" w:num="1"/>
      <w:docGrid w:type="lines" w:linePitch="46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45EA9">
    <w:pPr>
      <w:pStyle w:val="10"/>
      <w:jc w:val="center"/>
    </w:pPr>
    <w:r>
      <w:fldChar w:fldCharType="begin"/>
    </w:r>
    <w:r>
      <w:instrText xml:space="preserve"> PAGE   \* MERGEFORMAT </w:instrText>
    </w:r>
    <w:r>
      <w:fldChar w:fldCharType="separate"/>
    </w:r>
    <w:r>
      <w:rPr>
        <w:lang w:val="zh-CN"/>
      </w:rPr>
      <w:t>1</w:t>
    </w:r>
    <w:r>
      <w:fldChar w:fldCharType="end"/>
    </w:r>
  </w:p>
  <w:p w14:paraId="337053F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AFE1E">
    <w:pPr>
      <w:pStyle w:val="10"/>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5</w:t>
    </w:r>
    <w:r>
      <w:rPr>
        <w:rStyle w:val="14"/>
      </w:rPr>
      <w:fldChar w:fldCharType="end"/>
    </w:r>
  </w:p>
  <w:p w14:paraId="1553A137">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D55E4">
    <w:pPr>
      <w:pStyle w:val="1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89122">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30"/>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105"/>
  <w:drawingGridVerticalSpacing w:val="234"/>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ZDQwYzYyMzc4YmU2ZDRmMzlmMDM2NTY2OWEwZTYifQ=="/>
  </w:docVars>
  <w:rsids>
    <w:rsidRoot w:val="003E7D71"/>
    <w:rsid w:val="00004546"/>
    <w:rsid w:val="000162CE"/>
    <w:rsid w:val="00020BE9"/>
    <w:rsid w:val="00021B5D"/>
    <w:rsid w:val="0002238E"/>
    <w:rsid w:val="000240E4"/>
    <w:rsid w:val="000254B5"/>
    <w:rsid w:val="00026483"/>
    <w:rsid w:val="000331F5"/>
    <w:rsid w:val="000333B2"/>
    <w:rsid w:val="00033DA8"/>
    <w:rsid w:val="00033F48"/>
    <w:rsid w:val="000373CB"/>
    <w:rsid w:val="00046CAC"/>
    <w:rsid w:val="00046EDA"/>
    <w:rsid w:val="00051D0B"/>
    <w:rsid w:val="00052354"/>
    <w:rsid w:val="00052FDC"/>
    <w:rsid w:val="000562B9"/>
    <w:rsid w:val="0005676B"/>
    <w:rsid w:val="00057133"/>
    <w:rsid w:val="00062510"/>
    <w:rsid w:val="00064875"/>
    <w:rsid w:val="00066482"/>
    <w:rsid w:val="000723C6"/>
    <w:rsid w:val="00072788"/>
    <w:rsid w:val="0007389A"/>
    <w:rsid w:val="00075A5F"/>
    <w:rsid w:val="000765DF"/>
    <w:rsid w:val="00077967"/>
    <w:rsid w:val="000779C9"/>
    <w:rsid w:val="00084244"/>
    <w:rsid w:val="00090E1F"/>
    <w:rsid w:val="0009423D"/>
    <w:rsid w:val="00095485"/>
    <w:rsid w:val="00096C58"/>
    <w:rsid w:val="000A6B2C"/>
    <w:rsid w:val="000B1C0C"/>
    <w:rsid w:val="000B25BA"/>
    <w:rsid w:val="000B6048"/>
    <w:rsid w:val="000B7586"/>
    <w:rsid w:val="000C2991"/>
    <w:rsid w:val="000C2F2A"/>
    <w:rsid w:val="000C5A9C"/>
    <w:rsid w:val="000C65ED"/>
    <w:rsid w:val="000C6EAD"/>
    <w:rsid w:val="000D1D06"/>
    <w:rsid w:val="000D21C1"/>
    <w:rsid w:val="000D6BAF"/>
    <w:rsid w:val="000E13CE"/>
    <w:rsid w:val="000E1EEE"/>
    <w:rsid w:val="000E3BD3"/>
    <w:rsid w:val="000E5A0A"/>
    <w:rsid w:val="000E78D4"/>
    <w:rsid w:val="000F0900"/>
    <w:rsid w:val="000F31C7"/>
    <w:rsid w:val="000F3A45"/>
    <w:rsid w:val="00100500"/>
    <w:rsid w:val="00100623"/>
    <w:rsid w:val="00101F8D"/>
    <w:rsid w:val="00104445"/>
    <w:rsid w:val="00104550"/>
    <w:rsid w:val="00106E86"/>
    <w:rsid w:val="0010761E"/>
    <w:rsid w:val="00107961"/>
    <w:rsid w:val="00111DBD"/>
    <w:rsid w:val="0011530A"/>
    <w:rsid w:val="00116548"/>
    <w:rsid w:val="00116A11"/>
    <w:rsid w:val="00121379"/>
    <w:rsid w:val="00124C5B"/>
    <w:rsid w:val="00127671"/>
    <w:rsid w:val="00130A59"/>
    <w:rsid w:val="00130D6B"/>
    <w:rsid w:val="00132757"/>
    <w:rsid w:val="0013303A"/>
    <w:rsid w:val="001333D1"/>
    <w:rsid w:val="0013604E"/>
    <w:rsid w:val="001415B6"/>
    <w:rsid w:val="00141B97"/>
    <w:rsid w:val="00142622"/>
    <w:rsid w:val="001430C5"/>
    <w:rsid w:val="00144373"/>
    <w:rsid w:val="001457D0"/>
    <w:rsid w:val="00146CC0"/>
    <w:rsid w:val="001472DA"/>
    <w:rsid w:val="001478CF"/>
    <w:rsid w:val="00157C36"/>
    <w:rsid w:val="00161155"/>
    <w:rsid w:val="00161DD9"/>
    <w:rsid w:val="00165CFC"/>
    <w:rsid w:val="001661E9"/>
    <w:rsid w:val="00172470"/>
    <w:rsid w:val="00180B6B"/>
    <w:rsid w:val="00183DE9"/>
    <w:rsid w:val="00190C81"/>
    <w:rsid w:val="001929C7"/>
    <w:rsid w:val="001A3363"/>
    <w:rsid w:val="001A671D"/>
    <w:rsid w:val="001A760F"/>
    <w:rsid w:val="001B0645"/>
    <w:rsid w:val="001B1541"/>
    <w:rsid w:val="001B244D"/>
    <w:rsid w:val="001B4099"/>
    <w:rsid w:val="001B5521"/>
    <w:rsid w:val="001B6D36"/>
    <w:rsid w:val="001B7887"/>
    <w:rsid w:val="001B7B7B"/>
    <w:rsid w:val="001B7CD4"/>
    <w:rsid w:val="001C1147"/>
    <w:rsid w:val="001C1BC4"/>
    <w:rsid w:val="001C2881"/>
    <w:rsid w:val="001C4694"/>
    <w:rsid w:val="001D27B8"/>
    <w:rsid w:val="001D6386"/>
    <w:rsid w:val="001D66B5"/>
    <w:rsid w:val="001D7DA4"/>
    <w:rsid w:val="001E0FB2"/>
    <w:rsid w:val="001E30EC"/>
    <w:rsid w:val="001E397D"/>
    <w:rsid w:val="001E410D"/>
    <w:rsid w:val="001F2096"/>
    <w:rsid w:val="001F419B"/>
    <w:rsid w:val="001F4B53"/>
    <w:rsid w:val="001F74F3"/>
    <w:rsid w:val="002016B8"/>
    <w:rsid w:val="0020353E"/>
    <w:rsid w:val="002041C4"/>
    <w:rsid w:val="00204CC6"/>
    <w:rsid w:val="00207B1E"/>
    <w:rsid w:val="002102E4"/>
    <w:rsid w:val="00211C8F"/>
    <w:rsid w:val="002241D4"/>
    <w:rsid w:val="002275C5"/>
    <w:rsid w:val="00227890"/>
    <w:rsid w:val="00232B01"/>
    <w:rsid w:val="00243232"/>
    <w:rsid w:val="00245359"/>
    <w:rsid w:val="0025245B"/>
    <w:rsid w:val="00253A14"/>
    <w:rsid w:val="002543D7"/>
    <w:rsid w:val="00256704"/>
    <w:rsid w:val="00260400"/>
    <w:rsid w:val="0026111F"/>
    <w:rsid w:val="002617F6"/>
    <w:rsid w:val="00264428"/>
    <w:rsid w:val="00266D24"/>
    <w:rsid w:val="00270152"/>
    <w:rsid w:val="002702D6"/>
    <w:rsid w:val="00270572"/>
    <w:rsid w:val="00271914"/>
    <w:rsid w:val="00274334"/>
    <w:rsid w:val="00274DB5"/>
    <w:rsid w:val="002777EC"/>
    <w:rsid w:val="00286740"/>
    <w:rsid w:val="00286D1B"/>
    <w:rsid w:val="002872AF"/>
    <w:rsid w:val="00287A7E"/>
    <w:rsid w:val="00290D67"/>
    <w:rsid w:val="002930DA"/>
    <w:rsid w:val="00297C68"/>
    <w:rsid w:val="002A2FD2"/>
    <w:rsid w:val="002B03A2"/>
    <w:rsid w:val="002B1075"/>
    <w:rsid w:val="002B23BF"/>
    <w:rsid w:val="002B2EEC"/>
    <w:rsid w:val="002B62A5"/>
    <w:rsid w:val="002C0594"/>
    <w:rsid w:val="002C5F52"/>
    <w:rsid w:val="002D1D08"/>
    <w:rsid w:val="002D6B27"/>
    <w:rsid w:val="002D6E6B"/>
    <w:rsid w:val="002D7594"/>
    <w:rsid w:val="002E4098"/>
    <w:rsid w:val="002E4B9D"/>
    <w:rsid w:val="002E5A54"/>
    <w:rsid w:val="002F0230"/>
    <w:rsid w:val="002F4312"/>
    <w:rsid w:val="002F5832"/>
    <w:rsid w:val="002F7087"/>
    <w:rsid w:val="00302243"/>
    <w:rsid w:val="00302DB6"/>
    <w:rsid w:val="003047F0"/>
    <w:rsid w:val="003071AD"/>
    <w:rsid w:val="0030760A"/>
    <w:rsid w:val="00311814"/>
    <w:rsid w:val="00311F23"/>
    <w:rsid w:val="00312628"/>
    <w:rsid w:val="00314159"/>
    <w:rsid w:val="003142FE"/>
    <w:rsid w:val="00315898"/>
    <w:rsid w:val="00320E72"/>
    <w:rsid w:val="00321528"/>
    <w:rsid w:val="00321DD0"/>
    <w:rsid w:val="00324CD5"/>
    <w:rsid w:val="00326C15"/>
    <w:rsid w:val="003319BA"/>
    <w:rsid w:val="003344C4"/>
    <w:rsid w:val="00334780"/>
    <w:rsid w:val="003375A9"/>
    <w:rsid w:val="0033781E"/>
    <w:rsid w:val="00340ED3"/>
    <w:rsid w:val="00341546"/>
    <w:rsid w:val="00341F80"/>
    <w:rsid w:val="00345A50"/>
    <w:rsid w:val="003467E1"/>
    <w:rsid w:val="00346FAA"/>
    <w:rsid w:val="00347B8C"/>
    <w:rsid w:val="003503D5"/>
    <w:rsid w:val="003512AE"/>
    <w:rsid w:val="00353A47"/>
    <w:rsid w:val="00353E4A"/>
    <w:rsid w:val="003617C7"/>
    <w:rsid w:val="00362E62"/>
    <w:rsid w:val="00367AB4"/>
    <w:rsid w:val="0037089D"/>
    <w:rsid w:val="00370A93"/>
    <w:rsid w:val="00371409"/>
    <w:rsid w:val="0037394C"/>
    <w:rsid w:val="0037439D"/>
    <w:rsid w:val="00374404"/>
    <w:rsid w:val="00374CA4"/>
    <w:rsid w:val="0037515B"/>
    <w:rsid w:val="00375392"/>
    <w:rsid w:val="003757FC"/>
    <w:rsid w:val="00375FEF"/>
    <w:rsid w:val="00377BE3"/>
    <w:rsid w:val="00377F13"/>
    <w:rsid w:val="0038642D"/>
    <w:rsid w:val="00391816"/>
    <w:rsid w:val="00392F06"/>
    <w:rsid w:val="003940E3"/>
    <w:rsid w:val="00395879"/>
    <w:rsid w:val="00396A5C"/>
    <w:rsid w:val="00396BB2"/>
    <w:rsid w:val="003A0AE5"/>
    <w:rsid w:val="003A163B"/>
    <w:rsid w:val="003A2352"/>
    <w:rsid w:val="003A2C63"/>
    <w:rsid w:val="003A389E"/>
    <w:rsid w:val="003A39EE"/>
    <w:rsid w:val="003A4B27"/>
    <w:rsid w:val="003A4B69"/>
    <w:rsid w:val="003A5C27"/>
    <w:rsid w:val="003A6272"/>
    <w:rsid w:val="003A6B11"/>
    <w:rsid w:val="003A7FA1"/>
    <w:rsid w:val="003B2147"/>
    <w:rsid w:val="003B32D1"/>
    <w:rsid w:val="003B4546"/>
    <w:rsid w:val="003C1ED6"/>
    <w:rsid w:val="003C4516"/>
    <w:rsid w:val="003C66E8"/>
    <w:rsid w:val="003D2763"/>
    <w:rsid w:val="003D3700"/>
    <w:rsid w:val="003D4DF8"/>
    <w:rsid w:val="003D66CE"/>
    <w:rsid w:val="003D7A1A"/>
    <w:rsid w:val="003E1B1B"/>
    <w:rsid w:val="003E4A47"/>
    <w:rsid w:val="003E719B"/>
    <w:rsid w:val="003E7D71"/>
    <w:rsid w:val="003F02B5"/>
    <w:rsid w:val="003F0931"/>
    <w:rsid w:val="003F0BC9"/>
    <w:rsid w:val="003F128B"/>
    <w:rsid w:val="003F2860"/>
    <w:rsid w:val="003F6776"/>
    <w:rsid w:val="00403740"/>
    <w:rsid w:val="004052E4"/>
    <w:rsid w:val="00406553"/>
    <w:rsid w:val="00406862"/>
    <w:rsid w:val="00410C76"/>
    <w:rsid w:val="00415850"/>
    <w:rsid w:val="00416599"/>
    <w:rsid w:val="00417C72"/>
    <w:rsid w:val="004208F5"/>
    <w:rsid w:val="00422E4B"/>
    <w:rsid w:val="00424943"/>
    <w:rsid w:val="00424A61"/>
    <w:rsid w:val="004328C5"/>
    <w:rsid w:val="00432B2C"/>
    <w:rsid w:val="0043335E"/>
    <w:rsid w:val="0043440B"/>
    <w:rsid w:val="0043624E"/>
    <w:rsid w:val="00446346"/>
    <w:rsid w:val="004509B7"/>
    <w:rsid w:val="00450F88"/>
    <w:rsid w:val="00451A52"/>
    <w:rsid w:val="00452C58"/>
    <w:rsid w:val="00453EED"/>
    <w:rsid w:val="0045545A"/>
    <w:rsid w:val="00455F67"/>
    <w:rsid w:val="004668D6"/>
    <w:rsid w:val="00473DB3"/>
    <w:rsid w:val="00473DF2"/>
    <w:rsid w:val="00475ADC"/>
    <w:rsid w:val="004822DC"/>
    <w:rsid w:val="00482F08"/>
    <w:rsid w:val="004845C4"/>
    <w:rsid w:val="004856A7"/>
    <w:rsid w:val="00486056"/>
    <w:rsid w:val="004916CA"/>
    <w:rsid w:val="0049302E"/>
    <w:rsid w:val="004934F5"/>
    <w:rsid w:val="00496574"/>
    <w:rsid w:val="004968E1"/>
    <w:rsid w:val="0049704F"/>
    <w:rsid w:val="0049787B"/>
    <w:rsid w:val="004A0728"/>
    <w:rsid w:val="004A0EEB"/>
    <w:rsid w:val="004A2F7D"/>
    <w:rsid w:val="004A3326"/>
    <w:rsid w:val="004A39DB"/>
    <w:rsid w:val="004A4028"/>
    <w:rsid w:val="004A7833"/>
    <w:rsid w:val="004B21FC"/>
    <w:rsid w:val="004B296F"/>
    <w:rsid w:val="004B40D1"/>
    <w:rsid w:val="004B466D"/>
    <w:rsid w:val="004C04FB"/>
    <w:rsid w:val="004C0D43"/>
    <w:rsid w:val="004C134B"/>
    <w:rsid w:val="004C2ADA"/>
    <w:rsid w:val="004C7D13"/>
    <w:rsid w:val="004D0C74"/>
    <w:rsid w:val="004D2A37"/>
    <w:rsid w:val="004D315B"/>
    <w:rsid w:val="004D57F5"/>
    <w:rsid w:val="004E2AAA"/>
    <w:rsid w:val="004E30B3"/>
    <w:rsid w:val="004E41BF"/>
    <w:rsid w:val="004E6E8F"/>
    <w:rsid w:val="004E711A"/>
    <w:rsid w:val="004F0FBE"/>
    <w:rsid w:val="004F26B8"/>
    <w:rsid w:val="004F2BFF"/>
    <w:rsid w:val="004F46FC"/>
    <w:rsid w:val="004F6720"/>
    <w:rsid w:val="004F7CBB"/>
    <w:rsid w:val="00501405"/>
    <w:rsid w:val="005023D4"/>
    <w:rsid w:val="005028BB"/>
    <w:rsid w:val="00503FE4"/>
    <w:rsid w:val="0050524F"/>
    <w:rsid w:val="005059EF"/>
    <w:rsid w:val="00506B22"/>
    <w:rsid w:val="00513053"/>
    <w:rsid w:val="00516C2C"/>
    <w:rsid w:val="00517D6E"/>
    <w:rsid w:val="005205D3"/>
    <w:rsid w:val="0052236E"/>
    <w:rsid w:val="00524B97"/>
    <w:rsid w:val="005253B7"/>
    <w:rsid w:val="00525568"/>
    <w:rsid w:val="0053700C"/>
    <w:rsid w:val="005400B4"/>
    <w:rsid w:val="0054150A"/>
    <w:rsid w:val="00542E7C"/>
    <w:rsid w:val="005448B5"/>
    <w:rsid w:val="0054529A"/>
    <w:rsid w:val="005501E4"/>
    <w:rsid w:val="00552180"/>
    <w:rsid w:val="00561ACB"/>
    <w:rsid w:val="00563AEB"/>
    <w:rsid w:val="005644CC"/>
    <w:rsid w:val="0056457D"/>
    <w:rsid w:val="00565F0E"/>
    <w:rsid w:val="00567A23"/>
    <w:rsid w:val="00570EF8"/>
    <w:rsid w:val="005724A6"/>
    <w:rsid w:val="005731D4"/>
    <w:rsid w:val="00575D35"/>
    <w:rsid w:val="00577756"/>
    <w:rsid w:val="00585DA8"/>
    <w:rsid w:val="00587841"/>
    <w:rsid w:val="00587875"/>
    <w:rsid w:val="00592DED"/>
    <w:rsid w:val="0059658B"/>
    <w:rsid w:val="005A6B7A"/>
    <w:rsid w:val="005B013A"/>
    <w:rsid w:val="005B082B"/>
    <w:rsid w:val="005B23B8"/>
    <w:rsid w:val="005B3EC8"/>
    <w:rsid w:val="005B6AB8"/>
    <w:rsid w:val="005B7257"/>
    <w:rsid w:val="005B7CF4"/>
    <w:rsid w:val="005C0DAD"/>
    <w:rsid w:val="005C2361"/>
    <w:rsid w:val="005C4E34"/>
    <w:rsid w:val="005C7EAC"/>
    <w:rsid w:val="005D12C2"/>
    <w:rsid w:val="005D3DF9"/>
    <w:rsid w:val="005D4EED"/>
    <w:rsid w:val="005D60E0"/>
    <w:rsid w:val="005E0A3E"/>
    <w:rsid w:val="005E0B17"/>
    <w:rsid w:val="005E1821"/>
    <w:rsid w:val="005E3C19"/>
    <w:rsid w:val="005E656E"/>
    <w:rsid w:val="005E6AE8"/>
    <w:rsid w:val="005F03C5"/>
    <w:rsid w:val="005F223D"/>
    <w:rsid w:val="005F543C"/>
    <w:rsid w:val="005F6851"/>
    <w:rsid w:val="005F7976"/>
    <w:rsid w:val="00601060"/>
    <w:rsid w:val="006044DF"/>
    <w:rsid w:val="00604CD2"/>
    <w:rsid w:val="00607333"/>
    <w:rsid w:val="00607BB3"/>
    <w:rsid w:val="00610181"/>
    <w:rsid w:val="0061389D"/>
    <w:rsid w:val="006141B6"/>
    <w:rsid w:val="006143D7"/>
    <w:rsid w:val="00614F35"/>
    <w:rsid w:val="006262CE"/>
    <w:rsid w:val="006277B6"/>
    <w:rsid w:val="00632E5A"/>
    <w:rsid w:val="006333E3"/>
    <w:rsid w:val="00635437"/>
    <w:rsid w:val="00641895"/>
    <w:rsid w:val="00646D6B"/>
    <w:rsid w:val="00647680"/>
    <w:rsid w:val="006507D5"/>
    <w:rsid w:val="00650C14"/>
    <w:rsid w:val="00653428"/>
    <w:rsid w:val="00656214"/>
    <w:rsid w:val="006577D7"/>
    <w:rsid w:val="006620A1"/>
    <w:rsid w:val="0066425C"/>
    <w:rsid w:val="00666F40"/>
    <w:rsid w:val="006708A9"/>
    <w:rsid w:val="00671AB8"/>
    <w:rsid w:val="00674797"/>
    <w:rsid w:val="00676F4B"/>
    <w:rsid w:val="00677127"/>
    <w:rsid w:val="00680081"/>
    <w:rsid w:val="006819F8"/>
    <w:rsid w:val="00682180"/>
    <w:rsid w:val="00683061"/>
    <w:rsid w:val="00683142"/>
    <w:rsid w:val="00684D26"/>
    <w:rsid w:val="00692A03"/>
    <w:rsid w:val="00694032"/>
    <w:rsid w:val="006954CF"/>
    <w:rsid w:val="00697A4D"/>
    <w:rsid w:val="006A2077"/>
    <w:rsid w:val="006A6AB2"/>
    <w:rsid w:val="006B1F9C"/>
    <w:rsid w:val="006B3185"/>
    <w:rsid w:val="006B50C8"/>
    <w:rsid w:val="006B6A2B"/>
    <w:rsid w:val="006B7685"/>
    <w:rsid w:val="006C1D45"/>
    <w:rsid w:val="006C1F99"/>
    <w:rsid w:val="006C22C8"/>
    <w:rsid w:val="006C25D6"/>
    <w:rsid w:val="006C325D"/>
    <w:rsid w:val="006C49D6"/>
    <w:rsid w:val="006C55B6"/>
    <w:rsid w:val="006C5E0E"/>
    <w:rsid w:val="006C7017"/>
    <w:rsid w:val="006D0AF2"/>
    <w:rsid w:val="006D121B"/>
    <w:rsid w:val="006D2C19"/>
    <w:rsid w:val="006D55DC"/>
    <w:rsid w:val="006D654B"/>
    <w:rsid w:val="006D7568"/>
    <w:rsid w:val="006D7DA1"/>
    <w:rsid w:val="006E2EB8"/>
    <w:rsid w:val="006E5186"/>
    <w:rsid w:val="006E556E"/>
    <w:rsid w:val="006F00FC"/>
    <w:rsid w:val="006F0D69"/>
    <w:rsid w:val="006F10C6"/>
    <w:rsid w:val="006F5A31"/>
    <w:rsid w:val="006F718B"/>
    <w:rsid w:val="00701F58"/>
    <w:rsid w:val="00702F20"/>
    <w:rsid w:val="00705446"/>
    <w:rsid w:val="0070565C"/>
    <w:rsid w:val="00710EAF"/>
    <w:rsid w:val="0071221E"/>
    <w:rsid w:val="0071274D"/>
    <w:rsid w:val="007142FF"/>
    <w:rsid w:val="00716183"/>
    <w:rsid w:val="007176DC"/>
    <w:rsid w:val="00717E0C"/>
    <w:rsid w:val="0072272B"/>
    <w:rsid w:val="00722E96"/>
    <w:rsid w:val="00726A23"/>
    <w:rsid w:val="0073221D"/>
    <w:rsid w:val="0073567D"/>
    <w:rsid w:val="0074352F"/>
    <w:rsid w:val="00743A85"/>
    <w:rsid w:val="0074664B"/>
    <w:rsid w:val="007545DF"/>
    <w:rsid w:val="0075579A"/>
    <w:rsid w:val="00756682"/>
    <w:rsid w:val="00756E61"/>
    <w:rsid w:val="00757A74"/>
    <w:rsid w:val="00757C2E"/>
    <w:rsid w:val="00760211"/>
    <w:rsid w:val="007618E7"/>
    <w:rsid w:val="00764879"/>
    <w:rsid w:val="00764AE4"/>
    <w:rsid w:val="00765969"/>
    <w:rsid w:val="00767301"/>
    <w:rsid w:val="0076783C"/>
    <w:rsid w:val="00767DCA"/>
    <w:rsid w:val="00771E81"/>
    <w:rsid w:val="00773686"/>
    <w:rsid w:val="0077447A"/>
    <w:rsid w:val="00774986"/>
    <w:rsid w:val="00776CB4"/>
    <w:rsid w:val="007772F2"/>
    <w:rsid w:val="007809DC"/>
    <w:rsid w:val="007816EB"/>
    <w:rsid w:val="00781D19"/>
    <w:rsid w:val="00784B01"/>
    <w:rsid w:val="00786421"/>
    <w:rsid w:val="00791828"/>
    <w:rsid w:val="007936F5"/>
    <w:rsid w:val="007957A5"/>
    <w:rsid w:val="007965E1"/>
    <w:rsid w:val="007A5C5C"/>
    <w:rsid w:val="007A70E9"/>
    <w:rsid w:val="007B1B54"/>
    <w:rsid w:val="007B62D8"/>
    <w:rsid w:val="007C007D"/>
    <w:rsid w:val="007C46E3"/>
    <w:rsid w:val="007C5788"/>
    <w:rsid w:val="007C6CF8"/>
    <w:rsid w:val="007C781B"/>
    <w:rsid w:val="007D1073"/>
    <w:rsid w:val="007D3A9C"/>
    <w:rsid w:val="007D5B8A"/>
    <w:rsid w:val="007E0DEC"/>
    <w:rsid w:val="007F55D8"/>
    <w:rsid w:val="007F79A2"/>
    <w:rsid w:val="00801907"/>
    <w:rsid w:val="00806125"/>
    <w:rsid w:val="0081055C"/>
    <w:rsid w:val="00820F24"/>
    <w:rsid w:val="00822C59"/>
    <w:rsid w:val="00824E5B"/>
    <w:rsid w:val="008263A4"/>
    <w:rsid w:val="00831D85"/>
    <w:rsid w:val="008320BA"/>
    <w:rsid w:val="0083378E"/>
    <w:rsid w:val="008358FC"/>
    <w:rsid w:val="0083669B"/>
    <w:rsid w:val="00837524"/>
    <w:rsid w:val="008410CD"/>
    <w:rsid w:val="00841819"/>
    <w:rsid w:val="00842661"/>
    <w:rsid w:val="00843CE1"/>
    <w:rsid w:val="008475F8"/>
    <w:rsid w:val="00847EE4"/>
    <w:rsid w:val="00851EC1"/>
    <w:rsid w:val="008523C2"/>
    <w:rsid w:val="00852D1A"/>
    <w:rsid w:val="008547AC"/>
    <w:rsid w:val="00857B34"/>
    <w:rsid w:val="00860206"/>
    <w:rsid w:val="00860D1B"/>
    <w:rsid w:val="008640CF"/>
    <w:rsid w:val="00864810"/>
    <w:rsid w:val="00865063"/>
    <w:rsid w:val="00865C34"/>
    <w:rsid w:val="00866B09"/>
    <w:rsid w:val="00866FAB"/>
    <w:rsid w:val="00867C44"/>
    <w:rsid w:val="008701F0"/>
    <w:rsid w:val="008711B9"/>
    <w:rsid w:val="0087177E"/>
    <w:rsid w:val="008720DF"/>
    <w:rsid w:val="00873230"/>
    <w:rsid w:val="00873EC1"/>
    <w:rsid w:val="00873F5E"/>
    <w:rsid w:val="00877877"/>
    <w:rsid w:val="00880B2E"/>
    <w:rsid w:val="0088162C"/>
    <w:rsid w:val="00883A29"/>
    <w:rsid w:val="008857CD"/>
    <w:rsid w:val="008868AB"/>
    <w:rsid w:val="00886D2A"/>
    <w:rsid w:val="00891A82"/>
    <w:rsid w:val="008965DB"/>
    <w:rsid w:val="008A01AE"/>
    <w:rsid w:val="008A2202"/>
    <w:rsid w:val="008A4AE4"/>
    <w:rsid w:val="008A6E37"/>
    <w:rsid w:val="008A7AE2"/>
    <w:rsid w:val="008A7FA8"/>
    <w:rsid w:val="008B1D76"/>
    <w:rsid w:val="008B33AB"/>
    <w:rsid w:val="008B432B"/>
    <w:rsid w:val="008B6BFB"/>
    <w:rsid w:val="008B6ECA"/>
    <w:rsid w:val="008C0BA5"/>
    <w:rsid w:val="008C0FEA"/>
    <w:rsid w:val="008C136A"/>
    <w:rsid w:val="008C3D9B"/>
    <w:rsid w:val="008C5C8F"/>
    <w:rsid w:val="008C655C"/>
    <w:rsid w:val="008C7708"/>
    <w:rsid w:val="008D1F70"/>
    <w:rsid w:val="008D3880"/>
    <w:rsid w:val="008D4368"/>
    <w:rsid w:val="008D6BAD"/>
    <w:rsid w:val="008D6FC7"/>
    <w:rsid w:val="008E075D"/>
    <w:rsid w:val="008E0CD5"/>
    <w:rsid w:val="008E4E4E"/>
    <w:rsid w:val="008E540C"/>
    <w:rsid w:val="008F22EE"/>
    <w:rsid w:val="008F2A89"/>
    <w:rsid w:val="008F2FB2"/>
    <w:rsid w:val="008F3B17"/>
    <w:rsid w:val="008F5D0A"/>
    <w:rsid w:val="008F63F0"/>
    <w:rsid w:val="00900FAE"/>
    <w:rsid w:val="00904915"/>
    <w:rsid w:val="009077D9"/>
    <w:rsid w:val="00910BAE"/>
    <w:rsid w:val="00911692"/>
    <w:rsid w:val="009170A8"/>
    <w:rsid w:val="00917A49"/>
    <w:rsid w:val="00927EE2"/>
    <w:rsid w:val="009316FC"/>
    <w:rsid w:val="0093496E"/>
    <w:rsid w:val="00934B9E"/>
    <w:rsid w:val="00943FCF"/>
    <w:rsid w:val="00950E75"/>
    <w:rsid w:val="0095563F"/>
    <w:rsid w:val="0096126A"/>
    <w:rsid w:val="00962A58"/>
    <w:rsid w:val="00963042"/>
    <w:rsid w:val="00963630"/>
    <w:rsid w:val="009672EA"/>
    <w:rsid w:val="00974E6E"/>
    <w:rsid w:val="009752EA"/>
    <w:rsid w:val="00975C90"/>
    <w:rsid w:val="00975D74"/>
    <w:rsid w:val="009762AD"/>
    <w:rsid w:val="00976A94"/>
    <w:rsid w:val="0098018E"/>
    <w:rsid w:val="009804CA"/>
    <w:rsid w:val="00981998"/>
    <w:rsid w:val="00982D4E"/>
    <w:rsid w:val="009847D2"/>
    <w:rsid w:val="009949FF"/>
    <w:rsid w:val="00994DFE"/>
    <w:rsid w:val="00996F85"/>
    <w:rsid w:val="009A27B3"/>
    <w:rsid w:val="009A339E"/>
    <w:rsid w:val="009A3F1E"/>
    <w:rsid w:val="009A5730"/>
    <w:rsid w:val="009A6764"/>
    <w:rsid w:val="009B0C2A"/>
    <w:rsid w:val="009B15D2"/>
    <w:rsid w:val="009B549A"/>
    <w:rsid w:val="009B58C6"/>
    <w:rsid w:val="009C22A6"/>
    <w:rsid w:val="009C3D08"/>
    <w:rsid w:val="009C5BE3"/>
    <w:rsid w:val="009C618D"/>
    <w:rsid w:val="009C668E"/>
    <w:rsid w:val="009C6B22"/>
    <w:rsid w:val="009C7EC3"/>
    <w:rsid w:val="009D17B6"/>
    <w:rsid w:val="009D486C"/>
    <w:rsid w:val="009D5E40"/>
    <w:rsid w:val="009D6C26"/>
    <w:rsid w:val="009E08EA"/>
    <w:rsid w:val="009E2BCE"/>
    <w:rsid w:val="009E3354"/>
    <w:rsid w:val="009E63AD"/>
    <w:rsid w:val="009E7556"/>
    <w:rsid w:val="009E7E26"/>
    <w:rsid w:val="009F0AA4"/>
    <w:rsid w:val="009F6D24"/>
    <w:rsid w:val="00A11A22"/>
    <w:rsid w:val="00A12F55"/>
    <w:rsid w:val="00A14031"/>
    <w:rsid w:val="00A15A6A"/>
    <w:rsid w:val="00A16231"/>
    <w:rsid w:val="00A2122E"/>
    <w:rsid w:val="00A2348F"/>
    <w:rsid w:val="00A2462B"/>
    <w:rsid w:val="00A26855"/>
    <w:rsid w:val="00A27F4D"/>
    <w:rsid w:val="00A30404"/>
    <w:rsid w:val="00A3096A"/>
    <w:rsid w:val="00A3153A"/>
    <w:rsid w:val="00A40981"/>
    <w:rsid w:val="00A41185"/>
    <w:rsid w:val="00A439D9"/>
    <w:rsid w:val="00A46A27"/>
    <w:rsid w:val="00A46E63"/>
    <w:rsid w:val="00A502ED"/>
    <w:rsid w:val="00A5131E"/>
    <w:rsid w:val="00A51A94"/>
    <w:rsid w:val="00A52A42"/>
    <w:rsid w:val="00A570F3"/>
    <w:rsid w:val="00A579CE"/>
    <w:rsid w:val="00A621D4"/>
    <w:rsid w:val="00A626CE"/>
    <w:rsid w:val="00A64E8F"/>
    <w:rsid w:val="00A6508B"/>
    <w:rsid w:val="00A66C1E"/>
    <w:rsid w:val="00A67083"/>
    <w:rsid w:val="00A67BBB"/>
    <w:rsid w:val="00A71C73"/>
    <w:rsid w:val="00A72801"/>
    <w:rsid w:val="00A73C49"/>
    <w:rsid w:val="00A73C58"/>
    <w:rsid w:val="00A751DE"/>
    <w:rsid w:val="00A75277"/>
    <w:rsid w:val="00A765E7"/>
    <w:rsid w:val="00A77451"/>
    <w:rsid w:val="00A77529"/>
    <w:rsid w:val="00A868B4"/>
    <w:rsid w:val="00A869B5"/>
    <w:rsid w:val="00A901D0"/>
    <w:rsid w:val="00A90B59"/>
    <w:rsid w:val="00A91D80"/>
    <w:rsid w:val="00A92B11"/>
    <w:rsid w:val="00A963BC"/>
    <w:rsid w:val="00A96445"/>
    <w:rsid w:val="00A970FC"/>
    <w:rsid w:val="00A971C9"/>
    <w:rsid w:val="00A9742B"/>
    <w:rsid w:val="00AA0022"/>
    <w:rsid w:val="00AA06AE"/>
    <w:rsid w:val="00AA0AFF"/>
    <w:rsid w:val="00AA3291"/>
    <w:rsid w:val="00AA3699"/>
    <w:rsid w:val="00AA4C30"/>
    <w:rsid w:val="00AA527E"/>
    <w:rsid w:val="00AA6A33"/>
    <w:rsid w:val="00AA7C66"/>
    <w:rsid w:val="00AB38A3"/>
    <w:rsid w:val="00AB38E0"/>
    <w:rsid w:val="00AB5224"/>
    <w:rsid w:val="00AB7F0D"/>
    <w:rsid w:val="00AC2777"/>
    <w:rsid w:val="00AC5448"/>
    <w:rsid w:val="00AC72D0"/>
    <w:rsid w:val="00AD245E"/>
    <w:rsid w:val="00AD3D69"/>
    <w:rsid w:val="00AD53C3"/>
    <w:rsid w:val="00AE01FF"/>
    <w:rsid w:val="00AE0451"/>
    <w:rsid w:val="00AE1FFF"/>
    <w:rsid w:val="00AE3255"/>
    <w:rsid w:val="00AE5D5E"/>
    <w:rsid w:val="00AE6342"/>
    <w:rsid w:val="00AE7F81"/>
    <w:rsid w:val="00AF25D8"/>
    <w:rsid w:val="00AF2F28"/>
    <w:rsid w:val="00AF6C24"/>
    <w:rsid w:val="00AF7F28"/>
    <w:rsid w:val="00B00C8D"/>
    <w:rsid w:val="00B015CC"/>
    <w:rsid w:val="00B04D4B"/>
    <w:rsid w:val="00B065DB"/>
    <w:rsid w:val="00B06E44"/>
    <w:rsid w:val="00B12006"/>
    <w:rsid w:val="00B14BBD"/>
    <w:rsid w:val="00B2061C"/>
    <w:rsid w:val="00B2175D"/>
    <w:rsid w:val="00B2226A"/>
    <w:rsid w:val="00B22BA0"/>
    <w:rsid w:val="00B238AE"/>
    <w:rsid w:val="00B23CFF"/>
    <w:rsid w:val="00B24DB9"/>
    <w:rsid w:val="00B32075"/>
    <w:rsid w:val="00B329EE"/>
    <w:rsid w:val="00B3388C"/>
    <w:rsid w:val="00B361FE"/>
    <w:rsid w:val="00B37876"/>
    <w:rsid w:val="00B41041"/>
    <w:rsid w:val="00B419EE"/>
    <w:rsid w:val="00B420C2"/>
    <w:rsid w:val="00B42101"/>
    <w:rsid w:val="00B537C5"/>
    <w:rsid w:val="00B6110A"/>
    <w:rsid w:val="00B6110F"/>
    <w:rsid w:val="00B645A2"/>
    <w:rsid w:val="00B6521C"/>
    <w:rsid w:val="00B733E9"/>
    <w:rsid w:val="00B82800"/>
    <w:rsid w:val="00B860A5"/>
    <w:rsid w:val="00B87F91"/>
    <w:rsid w:val="00B901F6"/>
    <w:rsid w:val="00B9292C"/>
    <w:rsid w:val="00B94AF5"/>
    <w:rsid w:val="00B95109"/>
    <w:rsid w:val="00B954F2"/>
    <w:rsid w:val="00BA42A7"/>
    <w:rsid w:val="00BA4810"/>
    <w:rsid w:val="00BA4E77"/>
    <w:rsid w:val="00BB0CB6"/>
    <w:rsid w:val="00BB18C8"/>
    <w:rsid w:val="00BB1D59"/>
    <w:rsid w:val="00BB4AE6"/>
    <w:rsid w:val="00BB6252"/>
    <w:rsid w:val="00BB6C3A"/>
    <w:rsid w:val="00BC2AC2"/>
    <w:rsid w:val="00BC2AEE"/>
    <w:rsid w:val="00BC5022"/>
    <w:rsid w:val="00BC5D5A"/>
    <w:rsid w:val="00BC6163"/>
    <w:rsid w:val="00BC7760"/>
    <w:rsid w:val="00BC7A94"/>
    <w:rsid w:val="00BD10FE"/>
    <w:rsid w:val="00BD1DD0"/>
    <w:rsid w:val="00BD303A"/>
    <w:rsid w:val="00BD45FD"/>
    <w:rsid w:val="00BD4709"/>
    <w:rsid w:val="00BD4FC7"/>
    <w:rsid w:val="00BD51DD"/>
    <w:rsid w:val="00BE34F5"/>
    <w:rsid w:val="00BE40AE"/>
    <w:rsid w:val="00BE5962"/>
    <w:rsid w:val="00BF33F0"/>
    <w:rsid w:val="00BF3581"/>
    <w:rsid w:val="00BF35EB"/>
    <w:rsid w:val="00BF37E0"/>
    <w:rsid w:val="00C0241B"/>
    <w:rsid w:val="00C0336F"/>
    <w:rsid w:val="00C045BD"/>
    <w:rsid w:val="00C04AA8"/>
    <w:rsid w:val="00C05FE4"/>
    <w:rsid w:val="00C063FC"/>
    <w:rsid w:val="00C07339"/>
    <w:rsid w:val="00C146D4"/>
    <w:rsid w:val="00C17FC8"/>
    <w:rsid w:val="00C23C14"/>
    <w:rsid w:val="00C254B4"/>
    <w:rsid w:val="00C315B6"/>
    <w:rsid w:val="00C3597F"/>
    <w:rsid w:val="00C418C2"/>
    <w:rsid w:val="00C445E1"/>
    <w:rsid w:val="00C449DF"/>
    <w:rsid w:val="00C47D98"/>
    <w:rsid w:val="00C504B7"/>
    <w:rsid w:val="00C52A91"/>
    <w:rsid w:val="00C54724"/>
    <w:rsid w:val="00C55831"/>
    <w:rsid w:val="00C622D0"/>
    <w:rsid w:val="00C6512B"/>
    <w:rsid w:val="00C67E98"/>
    <w:rsid w:val="00C90D13"/>
    <w:rsid w:val="00C92FA9"/>
    <w:rsid w:val="00C937DB"/>
    <w:rsid w:val="00C945AC"/>
    <w:rsid w:val="00CA3F1E"/>
    <w:rsid w:val="00CB3744"/>
    <w:rsid w:val="00CB6491"/>
    <w:rsid w:val="00CB78AC"/>
    <w:rsid w:val="00CC0AF2"/>
    <w:rsid w:val="00CC1A3A"/>
    <w:rsid w:val="00CC28CA"/>
    <w:rsid w:val="00CC2D79"/>
    <w:rsid w:val="00CD030F"/>
    <w:rsid w:val="00CD192D"/>
    <w:rsid w:val="00CD276A"/>
    <w:rsid w:val="00CD3D1E"/>
    <w:rsid w:val="00CD4135"/>
    <w:rsid w:val="00CF0F0D"/>
    <w:rsid w:val="00CF188E"/>
    <w:rsid w:val="00CF19B5"/>
    <w:rsid w:val="00CF34C6"/>
    <w:rsid w:val="00CF6A0D"/>
    <w:rsid w:val="00D03D6A"/>
    <w:rsid w:val="00D137C0"/>
    <w:rsid w:val="00D14139"/>
    <w:rsid w:val="00D150C6"/>
    <w:rsid w:val="00D15C83"/>
    <w:rsid w:val="00D165D1"/>
    <w:rsid w:val="00D2299D"/>
    <w:rsid w:val="00D22EF2"/>
    <w:rsid w:val="00D24F3E"/>
    <w:rsid w:val="00D25D9D"/>
    <w:rsid w:val="00D25E43"/>
    <w:rsid w:val="00D27656"/>
    <w:rsid w:val="00D2786D"/>
    <w:rsid w:val="00D27C00"/>
    <w:rsid w:val="00D31CEC"/>
    <w:rsid w:val="00D32C04"/>
    <w:rsid w:val="00D356DA"/>
    <w:rsid w:val="00D3644E"/>
    <w:rsid w:val="00D374DF"/>
    <w:rsid w:val="00D37AE5"/>
    <w:rsid w:val="00D4152D"/>
    <w:rsid w:val="00D41AA7"/>
    <w:rsid w:val="00D430FC"/>
    <w:rsid w:val="00D450EF"/>
    <w:rsid w:val="00D4566B"/>
    <w:rsid w:val="00D46C26"/>
    <w:rsid w:val="00D50202"/>
    <w:rsid w:val="00D5194B"/>
    <w:rsid w:val="00D52757"/>
    <w:rsid w:val="00D52B42"/>
    <w:rsid w:val="00D535DA"/>
    <w:rsid w:val="00D6445A"/>
    <w:rsid w:val="00D64FDA"/>
    <w:rsid w:val="00D654C5"/>
    <w:rsid w:val="00D711CE"/>
    <w:rsid w:val="00D7135B"/>
    <w:rsid w:val="00D715EB"/>
    <w:rsid w:val="00D72D80"/>
    <w:rsid w:val="00D73F65"/>
    <w:rsid w:val="00D7411C"/>
    <w:rsid w:val="00D832B3"/>
    <w:rsid w:val="00D83A8F"/>
    <w:rsid w:val="00D906C9"/>
    <w:rsid w:val="00D9137C"/>
    <w:rsid w:val="00D94D39"/>
    <w:rsid w:val="00D94FA0"/>
    <w:rsid w:val="00D95F4B"/>
    <w:rsid w:val="00D97837"/>
    <w:rsid w:val="00DA4EE2"/>
    <w:rsid w:val="00DB0692"/>
    <w:rsid w:val="00DB0F54"/>
    <w:rsid w:val="00DB109F"/>
    <w:rsid w:val="00DB20F7"/>
    <w:rsid w:val="00DB3578"/>
    <w:rsid w:val="00DB362B"/>
    <w:rsid w:val="00DB3F60"/>
    <w:rsid w:val="00DB5709"/>
    <w:rsid w:val="00DC070A"/>
    <w:rsid w:val="00DC0721"/>
    <w:rsid w:val="00DC1EB6"/>
    <w:rsid w:val="00DC2362"/>
    <w:rsid w:val="00DC4CFF"/>
    <w:rsid w:val="00DD0450"/>
    <w:rsid w:val="00DD0BD5"/>
    <w:rsid w:val="00DD2736"/>
    <w:rsid w:val="00DD2A99"/>
    <w:rsid w:val="00DD4C8B"/>
    <w:rsid w:val="00DD4CB9"/>
    <w:rsid w:val="00DD6C45"/>
    <w:rsid w:val="00DD754B"/>
    <w:rsid w:val="00DD7CF1"/>
    <w:rsid w:val="00DE0C17"/>
    <w:rsid w:val="00DE3311"/>
    <w:rsid w:val="00DE704D"/>
    <w:rsid w:val="00DE7B3D"/>
    <w:rsid w:val="00DE7E4A"/>
    <w:rsid w:val="00DF0392"/>
    <w:rsid w:val="00DF155F"/>
    <w:rsid w:val="00DF2521"/>
    <w:rsid w:val="00DF3283"/>
    <w:rsid w:val="00E00BCE"/>
    <w:rsid w:val="00E0121F"/>
    <w:rsid w:val="00E07E86"/>
    <w:rsid w:val="00E10021"/>
    <w:rsid w:val="00E103D5"/>
    <w:rsid w:val="00E13BF4"/>
    <w:rsid w:val="00E145CB"/>
    <w:rsid w:val="00E147DB"/>
    <w:rsid w:val="00E15371"/>
    <w:rsid w:val="00E20856"/>
    <w:rsid w:val="00E21DEA"/>
    <w:rsid w:val="00E22098"/>
    <w:rsid w:val="00E24C4D"/>
    <w:rsid w:val="00E27AB2"/>
    <w:rsid w:val="00E316A0"/>
    <w:rsid w:val="00E33B88"/>
    <w:rsid w:val="00E348BF"/>
    <w:rsid w:val="00E34AAB"/>
    <w:rsid w:val="00E37E7F"/>
    <w:rsid w:val="00E40140"/>
    <w:rsid w:val="00E46472"/>
    <w:rsid w:val="00E47258"/>
    <w:rsid w:val="00E47F3D"/>
    <w:rsid w:val="00E500C9"/>
    <w:rsid w:val="00E50354"/>
    <w:rsid w:val="00E51094"/>
    <w:rsid w:val="00E54497"/>
    <w:rsid w:val="00E55679"/>
    <w:rsid w:val="00E55DAF"/>
    <w:rsid w:val="00E5764E"/>
    <w:rsid w:val="00E57B9C"/>
    <w:rsid w:val="00E600AC"/>
    <w:rsid w:val="00E62DA8"/>
    <w:rsid w:val="00E6367A"/>
    <w:rsid w:val="00E678F8"/>
    <w:rsid w:val="00E7343B"/>
    <w:rsid w:val="00E74518"/>
    <w:rsid w:val="00E74C2B"/>
    <w:rsid w:val="00E75461"/>
    <w:rsid w:val="00E76D59"/>
    <w:rsid w:val="00E77B9F"/>
    <w:rsid w:val="00E81D10"/>
    <w:rsid w:val="00E82D33"/>
    <w:rsid w:val="00E8673B"/>
    <w:rsid w:val="00E87AE4"/>
    <w:rsid w:val="00E925A9"/>
    <w:rsid w:val="00E93AEA"/>
    <w:rsid w:val="00E95FC8"/>
    <w:rsid w:val="00E96951"/>
    <w:rsid w:val="00EA2F23"/>
    <w:rsid w:val="00EA3859"/>
    <w:rsid w:val="00EA47C1"/>
    <w:rsid w:val="00EA48BC"/>
    <w:rsid w:val="00EA50AD"/>
    <w:rsid w:val="00EA558F"/>
    <w:rsid w:val="00EB06AC"/>
    <w:rsid w:val="00EB3598"/>
    <w:rsid w:val="00EB3812"/>
    <w:rsid w:val="00EB6401"/>
    <w:rsid w:val="00EB6603"/>
    <w:rsid w:val="00EC283A"/>
    <w:rsid w:val="00EC302D"/>
    <w:rsid w:val="00EC34A5"/>
    <w:rsid w:val="00EC3C8A"/>
    <w:rsid w:val="00EC4295"/>
    <w:rsid w:val="00EC4DA6"/>
    <w:rsid w:val="00ED15BC"/>
    <w:rsid w:val="00ED2DC6"/>
    <w:rsid w:val="00ED3FEE"/>
    <w:rsid w:val="00ED4618"/>
    <w:rsid w:val="00EE2FC4"/>
    <w:rsid w:val="00EE3A46"/>
    <w:rsid w:val="00EE44BE"/>
    <w:rsid w:val="00EE66BD"/>
    <w:rsid w:val="00EE696F"/>
    <w:rsid w:val="00EE6D8C"/>
    <w:rsid w:val="00EE7833"/>
    <w:rsid w:val="00EF01C9"/>
    <w:rsid w:val="00EF125F"/>
    <w:rsid w:val="00EF38AE"/>
    <w:rsid w:val="00EF45E9"/>
    <w:rsid w:val="00EF54FE"/>
    <w:rsid w:val="00EF77E5"/>
    <w:rsid w:val="00F02571"/>
    <w:rsid w:val="00F04C1E"/>
    <w:rsid w:val="00F04D3D"/>
    <w:rsid w:val="00F052DB"/>
    <w:rsid w:val="00F07510"/>
    <w:rsid w:val="00F07797"/>
    <w:rsid w:val="00F10522"/>
    <w:rsid w:val="00F12B8C"/>
    <w:rsid w:val="00F132A3"/>
    <w:rsid w:val="00F1517C"/>
    <w:rsid w:val="00F16656"/>
    <w:rsid w:val="00F20373"/>
    <w:rsid w:val="00F2226A"/>
    <w:rsid w:val="00F247DC"/>
    <w:rsid w:val="00F24BA2"/>
    <w:rsid w:val="00F30AB2"/>
    <w:rsid w:val="00F30ECE"/>
    <w:rsid w:val="00F31045"/>
    <w:rsid w:val="00F32F56"/>
    <w:rsid w:val="00F37C3F"/>
    <w:rsid w:val="00F40275"/>
    <w:rsid w:val="00F41A83"/>
    <w:rsid w:val="00F427DC"/>
    <w:rsid w:val="00F501E6"/>
    <w:rsid w:val="00F52830"/>
    <w:rsid w:val="00F54BE2"/>
    <w:rsid w:val="00F54DBE"/>
    <w:rsid w:val="00F54FCE"/>
    <w:rsid w:val="00F557EC"/>
    <w:rsid w:val="00F55E52"/>
    <w:rsid w:val="00F70794"/>
    <w:rsid w:val="00F707CE"/>
    <w:rsid w:val="00F714FA"/>
    <w:rsid w:val="00F71E1B"/>
    <w:rsid w:val="00F724A4"/>
    <w:rsid w:val="00F742C4"/>
    <w:rsid w:val="00F76C82"/>
    <w:rsid w:val="00F7731C"/>
    <w:rsid w:val="00F841C5"/>
    <w:rsid w:val="00F841FC"/>
    <w:rsid w:val="00F9275E"/>
    <w:rsid w:val="00F928B8"/>
    <w:rsid w:val="00F978C5"/>
    <w:rsid w:val="00FA2670"/>
    <w:rsid w:val="00FA5412"/>
    <w:rsid w:val="00FA7626"/>
    <w:rsid w:val="00FA7CE7"/>
    <w:rsid w:val="00FC2692"/>
    <w:rsid w:val="00FC2CFB"/>
    <w:rsid w:val="00FC6376"/>
    <w:rsid w:val="00FD11BE"/>
    <w:rsid w:val="00FE18B0"/>
    <w:rsid w:val="00FE5F93"/>
    <w:rsid w:val="00FE7883"/>
    <w:rsid w:val="00FE79C3"/>
    <w:rsid w:val="00FF014E"/>
    <w:rsid w:val="00FF3C50"/>
    <w:rsid w:val="00FF431F"/>
    <w:rsid w:val="00FF7735"/>
    <w:rsid w:val="00FF7F99"/>
    <w:rsid w:val="0CD56DAD"/>
    <w:rsid w:val="0D895FB1"/>
    <w:rsid w:val="0FD961A1"/>
    <w:rsid w:val="10BE733F"/>
    <w:rsid w:val="12C0517B"/>
    <w:rsid w:val="15211C4B"/>
    <w:rsid w:val="15E07722"/>
    <w:rsid w:val="168D3A3C"/>
    <w:rsid w:val="174A0A09"/>
    <w:rsid w:val="1A7B5131"/>
    <w:rsid w:val="1B0F0EC3"/>
    <w:rsid w:val="1D8F1E47"/>
    <w:rsid w:val="1E212E06"/>
    <w:rsid w:val="22D31F7D"/>
    <w:rsid w:val="23A3664D"/>
    <w:rsid w:val="24511801"/>
    <w:rsid w:val="295D4B00"/>
    <w:rsid w:val="2BA2368E"/>
    <w:rsid w:val="2C666A06"/>
    <w:rsid w:val="2DAB0CFE"/>
    <w:rsid w:val="30336FAA"/>
    <w:rsid w:val="30BC3859"/>
    <w:rsid w:val="31C77401"/>
    <w:rsid w:val="3202098B"/>
    <w:rsid w:val="32AC3044"/>
    <w:rsid w:val="33153347"/>
    <w:rsid w:val="33610F90"/>
    <w:rsid w:val="33B57CD6"/>
    <w:rsid w:val="33CB1E80"/>
    <w:rsid w:val="36F61DFA"/>
    <w:rsid w:val="397F500E"/>
    <w:rsid w:val="3A7B403A"/>
    <w:rsid w:val="3B800348"/>
    <w:rsid w:val="3BC96A15"/>
    <w:rsid w:val="3C6460D8"/>
    <w:rsid w:val="3DAB3024"/>
    <w:rsid w:val="3DFD33C3"/>
    <w:rsid w:val="3F14686B"/>
    <w:rsid w:val="408A49C4"/>
    <w:rsid w:val="41DC654E"/>
    <w:rsid w:val="4267663F"/>
    <w:rsid w:val="430B41E9"/>
    <w:rsid w:val="465810C1"/>
    <w:rsid w:val="475D0F17"/>
    <w:rsid w:val="47F866B8"/>
    <w:rsid w:val="48DC785D"/>
    <w:rsid w:val="4AA232CD"/>
    <w:rsid w:val="4C7008AF"/>
    <w:rsid w:val="4D423305"/>
    <w:rsid w:val="4E7E3BAF"/>
    <w:rsid w:val="50830AE8"/>
    <w:rsid w:val="57882E88"/>
    <w:rsid w:val="5BA10AF4"/>
    <w:rsid w:val="5BC82AEE"/>
    <w:rsid w:val="5EFE78C9"/>
    <w:rsid w:val="60D23769"/>
    <w:rsid w:val="661E1587"/>
    <w:rsid w:val="68246BFD"/>
    <w:rsid w:val="6AC4371B"/>
    <w:rsid w:val="6B4C17C5"/>
    <w:rsid w:val="6BAD30E2"/>
    <w:rsid w:val="6C193E11"/>
    <w:rsid w:val="6EE313CD"/>
    <w:rsid w:val="703B0D32"/>
    <w:rsid w:val="705D5BFD"/>
    <w:rsid w:val="728B62CC"/>
    <w:rsid w:val="77324E93"/>
    <w:rsid w:val="79FD4171"/>
    <w:rsid w:val="7DBB1900"/>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8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ind w:left="-178" w:leftChars="-85" w:firstLine="7073" w:firstLineChars="842"/>
      <w:outlineLvl w:val="0"/>
    </w:pPr>
    <w:rPr>
      <w:sz w:val="84"/>
    </w:rPr>
  </w:style>
  <w:style w:type="paragraph" w:styleId="3">
    <w:name w:val="heading 2"/>
    <w:basedOn w:val="1"/>
    <w:next w:val="1"/>
    <w:qFormat/>
    <w:uiPriority w:val="0"/>
    <w:pPr>
      <w:keepNext/>
      <w:ind w:firstLine="7560" w:firstLineChars="900"/>
      <w:outlineLvl w:val="1"/>
    </w:pPr>
    <w:rPr>
      <w:rFonts w:ascii="黑体" w:hAnsi="MS Gothic" w:eastAsia="黑体"/>
      <w:sz w:val="84"/>
    </w:rPr>
  </w:style>
  <w:style w:type="paragraph" w:styleId="4">
    <w:name w:val="heading 3"/>
    <w:basedOn w:val="1"/>
    <w:next w:val="1"/>
    <w:qFormat/>
    <w:uiPriority w:val="0"/>
    <w:pPr>
      <w:keepNext/>
      <w:outlineLvl w:val="2"/>
    </w:pPr>
    <w:rPr>
      <w:rFonts w:ascii="黑体" w:eastAsia="黑体"/>
      <w:b/>
      <w:bCs/>
      <w:sz w:val="36"/>
      <w:u w:val="single"/>
    </w:rPr>
  </w:style>
  <w:style w:type="paragraph" w:styleId="5">
    <w:name w:val="heading 4"/>
    <w:basedOn w:val="1"/>
    <w:next w:val="1"/>
    <w:qFormat/>
    <w:uiPriority w:val="0"/>
    <w:pPr>
      <w:keepNext/>
      <w:framePr w:w="3420" w:h="1860" w:hSpace="180" w:wrap="around" w:vAnchor="text" w:hAnchor="page" w:x="7107" w:y="321"/>
      <w:ind w:firstLine="280" w:firstLineChars="100"/>
      <w:outlineLvl w:val="3"/>
    </w:pPr>
    <w:rPr>
      <w:rFonts w:eastAsia="黑体"/>
      <w:sz w:val="28"/>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8"/>
    <w:qFormat/>
    <w:uiPriority w:val="0"/>
    <w:pPr>
      <w:spacing w:after="120"/>
    </w:pPr>
  </w:style>
  <w:style w:type="paragraph" w:styleId="7">
    <w:name w:val="Body Text Indent"/>
    <w:basedOn w:val="1"/>
    <w:qFormat/>
    <w:uiPriority w:val="0"/>
    <w:pPr>
      <w:ind w:firstLine="480" w:firstLineChars="200"/>
    </w:pPr>
    <w:rPr>
      <w:rFonts w:ascii="黑体" w:eastAsia="黑体"/>
      <w:sz w:val="24"/>
    </w:rPr>
  </w:style>
  <w:style w:type="paragraph" w:styleId="8">
    <w:name w:val="Date"/>
    <w:basedOn w:val="1"/>
    <w:next w:val="1"/>
    <w:qFormat/>
    <w:uiPriority w:val="0"/>
    <w:pPr>
      <w:ind w:left="100" w:leftChars="2500"/>
    </w:pPr>
    <w:rPr>
      <w:rFonts w:ascii="黑体" w:eastAsia="黑体"/>
      <w:sz w:val="24"/>
    </w:rPr>
  </w:style>
  <w:style w:type="paragraph" w:styleId="9">
    <w:name w:val="Body Text Indent 2"/>
    <w:basedOn w:val="1"/>
    <w:link w:val="22"/>
    <w:qFormat/>
    <w:uiPriority w:val="0"/>
    <w:pPr>
      <w:spacing w:after="120" w:line="480" w:lineRule="auto"/>
      <w:ind w:left="420" w:leftChars="200"/>
    </w:pPr>
  </w:style>
  <w:style w:type="paragraph" w:styleId="10">
    <w:name w:val="footer"/>
    <w:basedOn w:val="1"/>
    <w:link w:val="17"/>
    <w:qFormat/>
    <w:uiPriority w:val="99"/>
    <w:pPr>
      <w:tabs>
        <w:tab w:val="center" w:pos="4153"/>
        <w:tab w:val="right" w:pos="8306"/>
      </w:tabs>
      <w:snapToGrid w:val="0"/>
      <w:jc w:val="left"/>
    </w:pPr>
    <w:rPr>
      <w:sz w:val="18"/>
      <w:szCs w:val="18"/>
    </w:rPr>
  </w:style>
  <w:style w:type="paragraph" w:styleId="11">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qFormat/>
    <w:uiPriority w:val="0"/>
  </w:style>
  <w:style w:type="character" w:styleId="15">
    <w:name w:val="line number"/>
    <w:basedOn w:val="13"/>
    <w:qFormat/>
    <w:uiPriority w:val="0"/>
  </w:style>
  <w:style w:type="character" w:customStyle="1" w:styleId="16">
    <w:name w:val="页眉 字符"/>
    <w:link w:val="11"/>
    <w:qFormat/>
    <w:uiPriority w:val="0"/>
    <w:rPr>
      <w:kern w:val="2"/>
      <w:sz w:val="18"/>
      <w:szCs w:val="18"/>
    </w:rPr>
  </w:style>
  <w:style w:type="character" w:customStyle="1" w:styleId="17">
    <w:name w:val="页脚 字符"/>
    <w:link w:val="10"/>
    <w:qFormat/>
    <w:uiPriority w:val="99"/>
    <w:rPr>
      <w:kern w:val="2"/>
      <w:sz w:val="18"/>
      <w:szCs w:val="18"/>
    </w:rPr>
  </w:style>
  <w:style w:type="character" w:customStyle="1" w:styleId="18">
    <w:name w:val="正文文本 字符"/>
    <w:link w:val="6"/>
    <w:qFormat/>
    <w:uiPriority w:val="0"/>
    <w:rPr>
      <w:kern w:val="2"/>
      <w:sz w:val="21"/>
      <w:szCs w:val="24"/>
    </w:rPr>
  </w:style>
  <w:style w:type="paragraph" w:customStyle="1" w:styleId="19">
    <w:name w:val="Char Char"/>
    <w:basedOn w:val="1"/>
    <w:qFormat/>
    <w:uiPriority w:val="0"/>
    <w:pPr>
      <w:widowControl/>
      <w:spacing w:after="160" w:line="240" w:lineRule="exact"/>
      <w:jc w:val="left"/>
    </w:pPr>
    <w:rPr>
      <w:rFonts w:ascii="Verdana" w:hAnsi="Verdana"/>
      <w:kern w:val="0"/>
      <w:sz w:val="20"/>
      <w:szCs w:val="20"/>
      <w:lang w:eastAsia="en-US"/>
    </w:rPr>
  </w:style>
  <w:style w:type="paragraph" w:styleId="20">
    <w:name w:val="List Paragraph"/>
    <w:basedOn w:val="1"/>
    <w:qFormat/>
    <w:uiPriority w:val="99"/>
    <w:pPr>
      <w:ind w:firstLine="420" w:firstLineChars="200"/>
    </w:pPr>
  </w:style>
  <w:style w:type="paragraph" w:customStyle="1" w:styleId="21">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character" w:customStyle="1" w:styleId="22">
    <w:name w:val="正文文本缩进 2 字符"/>
    <w:basedOn w:val="13"/>
    <w:link w:val="9"/>
    <w:qFormat/>
    <w:uiPriority w:val="0"/>
    <w:rPr>
      <w:kern w:val="2"/>
      <w:sz w:val="21"/>
      <w:szCs w:val="24"/>
    </w:rPr>
  </w:style>
  <w:style w:type="paragraph" w:customStyle="1" w:styleId="23">
    <w:name w:val="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4">
    <w:name w:val="段"/>
    <w:link w:val="26"/>
    <w:qFormat/>
    <w:uiPriority w:val="0"/>
    <w:pPr>
      <w:autoSpaceDE w:val="0"/>
      <w:autoSpaceDN w:val="0"/>
      <w:spacing w:after="80"/>
      <w:ind w:firstLine="200" w:firstLineChars="200"/>
      <w:jc w:val="both"/>
    </w:pPr>
    <w:rPr>
      <w:rFonts w:ascii="宋体" w:hAnsi="Times New Roman" w:eastAsia="宋体" w:cs="Times New Roman"/>
      <w:sz w:val="21"/>
      <w:lang w:val="en-US" w:eastAsia="zh-CN" w:bidi="ar-SA"/>
    </w:rPr>
  </w:style>
  <w:style w:type="paragraph" w:customStyle="1" w:styleId="25">
    <w:name w:val="样式 一般正文 + 首行缩进:  2 字符"/>
    <w:basedOn w:val="1"/>
    <w:qFormat/>
    <w:uiPriority w:val="0"/>
    <w:pPr>
      <w:spacing w:line="360" w:lineRule="auto"/>
      <w:ind w:firstLine="480" w:firstLineChars="200"/>
    </w:pPr>
    <w:rPr>
      <w:rFonts w:cs="宋体"/>
      <w:sz w:val="24"/>
      <w:szCs w:val="20"/>
    </w:rPr>
  </w:style>
  <w:style w:type="character" w:customStyle="1" w:styleId="26">
    <w:name w:val="段 Char"/>
    <w:link w:val="24"/>
    <w:qFormat/>
    <w:uiPriority w:val="0"/>
    <w:rPr>
      <w:rFonts w:ascii="宋体"/>
      <w:sz w:val="21"/>
    </w:rPr>
  </w:style>
  <w:style w:type="paragraph" w:customStyle="1" w:styleId="27">
    <w:name w:val="MTDisplayEquation"/>
    <w:basedOn w:val="1"/>
    <w:next w:val="1"/>
    <w:link w:val="28"/>
    <w:uiPriority w:val="0"/>
    <w:pPr>
      <w:tabs>
        <w:tab w:val="center" w:pos="4540"/>
        <w:tab w:val="right" w:pos="9080"/>
      </w:tabs>
      <w:autoSpaceDE w:val="0"/>
      <w:autoSpaceDN w:val="0"/>
      <w:adjustRightInd w:val="0"/>
      <w:snapToGrid w:val="0"/>
      <w:spacing w:after="0" w:line="360" w:lineRule="auto"/>
      <w:ind w:firstLine="480" w:firstLineChars="200"/>
    </w:pPr>
    <w:rPr>
      <w:kern w:val="0"/>
      <w:sz w:val="24"/>
    </w:rPr>
  </w:style>
  <w:style w:type="character" w:customStyle="1" w:styleId="28">
    <w:name w:val="MTDisplayEquation 字符"/>
    <w:basedOn w:val="13"/>
    <w:link w:val="27"/>
    <w:qFormat/>
    <w:uiPriority w:val="0"/>
    <w:rPr>
      <w:sz w:val="24"/>
      <w:szCs w:val="24"/>
    </w:rPr>
  </w:style>
  <w:style w:type="paragraph" w:customStyle="1" w:styleId="29">
    <w:name w:val="修订1"/>
    <w:hidden/>
    <w:semiHidden/>
    <w:uiPriority w:val="99"/>
    <w:rPr>
      <w:rFonts w:ascii="Times New Roman" w:hAnsi="Times New Roman" w:eastAsia="宋体" w:cs="Times New Roman"/>
      <w:kern w:val="2"/>
      <w:sz w:val="21"/>
      <w:szCs w:val="24"/>
      <w:lang w:val="en-US" w:eastAsia="zh-CN" w:bidi="ar-SA"/>
    </w:rPr>
  </w:style>
  <w:style w:type="paragraph" w:customStyle="1" w:styleId="30">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1">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32">
    <w:name w:val="a规范正文-小四号宋"/>
    <w:basedOn w:val="1"/>
    <w:qFormat/>
    <w:uiPriority w:val="0"/>
    <w:pPr>
      <w:widowControl/>
      <w:spacing w:line="360" w:lineRule="exact"/>
      <w:ind w:firstLine="48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64EFF-9656-4864-9A24-FAA2012A0464}">
  <ds:schemaRefs/>
</ds:datastoreItem>
</file>

<file path=docProps/app.xml><?xml version="1.0" encoding="utf-8"?>
<Properties xmlns="http://schemas.openxmlformats.org/officeDocument/2006/extended-properties" xmlns:vt="http://schemas.openxmlformats.org/officeDocument/2006/docPropsVTypes">
  <Template>Normal.dotm</Template>
  <Company>SIMT</Company>
  <Pages>4</Pages>
  <Words>2705</Words>
  <Characters>2910</Characters>
  <Lines>21</Lines>
  <Paragraphs>6</Paragraphs>
  <TotalTime>10</TotalTime>
  <ScaleCrop>false</ScaleCrop>
  <LinksUpToDate>false</LinksUpToDate>
  <CharactersWithSpaces>2968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2020-01-08T08:14:00Z</dcterms:created>
  <dc:creator>YT</dc:creator>
  <cp:lastModifiedBy>王柏辉</cp:lastModifiedBy>
  <cp:lastPrinted>2015-03-11T06:23:00Z</cp:lastPrinted>
  <dcterms:modified xsi:type="dcterms:W3CDTF">2025-08-21T14:39:31Z</dcterms:modified>
  <cp:revision>737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2052-12.1.0.19770</vt:lpwstr>
  </property>
  <property fmtid="{D5CDD505-2E9C-101B-9397-08002B2CF9AE}" pid="4" name="ICV">
    <vt:lpwstr>7BCE1FCCD872405E9974829F43AD945E_13</vt:lpwstr>
  </property>
  <property fmtid="{D5CDD505-2E9C-101B-9397-08002B2CF9AE}" pid="5" name="KSOTemplateDocerSaveRecord">
    <vt:lpwstr>eyJoZGlkIjoiMzEwNTM5NzYwMDRjMzkwZTVkZjY2ODkwMGIxNGU0OTUiLCJ1c2VySWQiOiIxNTE5MDI4MDE4In0=</vt:lpwstr>
  </property>
</Properties>
</file>