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64588" w14:paraId="2C885987" w14:textId="77777777">
        <w:tc>
          <w:tcPr>
            <w:tcW w:w="509" w:type="dxa"/>
          </w:tcPr>
          <w:p w14:paraId="37D44F94" w14:textId="77777777" w:rsidR="00564588"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6FDAAA5" w14:textId="77777777" w:rsidR="00564588"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35.040 </w:t>
            </w:r>
            <w:r>
              <w:rPr>
                <w:rFonts w:ascii="黑体" w:eastAsia="黑体" w:hAnsi="黑体"/>
                <w:sz w:val="21"/>
                <w:szCs w:val="21"/>
              </w:rPr>
              <w:t>     </w:t>
            </w:r>
            <w:r>
              <w:rPr>
                <w:rFonts w:ascii="黑体" w:eastAsia="黑体" w:hAnsi="黑体"/>
                <w:sz w:val="21"/>
                <w:szCs w:val="21"/>
              </w:rPr>
              <w:fldChar w:fldCharType="end"/>
            </w:r>
            <w:bookmarkEnd w:id="0"/>
          </w:p>
        </w:tc>
      </w:tr>
      <w:tr w:rsidR="00564588" w14:paraId="707B508E" w14:textId="77777777">
        <w:tc>
          <w:tcPr>
            <w:tcW w:w="509" w:type="dxa"/>
          </w:tcPr>
          <w:p w14:paraId="05DF64DE" w14:textId="77777777" w:rsidR="00564588"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64588" w14:paraId="709AD2A4" w14:textId="77777777">
              <w:trPr>
                <w:trHeight w:hRule="exact" w:val="1021"/>
              </w:trPr>
              <w:tc>
                <w:tcPr>
                  <w:tcW w:w="9242" w:type="dxa"/>
                  <w:vAlign w:val="center"/>
                </w:tcPr>
                <w:p w14:paraId="662D3D70" w14:textId="77777777" w:rsidR="00564588" w:rsidRDefault="00000000" w:rsidP="00604DDA">
                  <w:pPr>
                    <w:pStyle w:val="afffff4"/>
                    <w:framePr w:w="0" w:hRule="auto" w:wrap="auto" w:hAnchor="text" w:xAlign="left" w:yAlign="inline" w:anchorLock="0"/>
                    <w:ind w:left="420" w:right="624"/>
                    <w:rPr>
                      <w:rFonts w:ascii="宋体" w:hAnsi="宋体" w:hint="eastAsia"/>
                      <w:sz w:val="28"/>
                      <w:szCs w:val="28"/>
                    </w:rPr>
                  </w:pPr>
                  <w:r>
                    <w:rPr>
                      <w:noProof/>
                    </w:rPr>
                    <w:drawing>
                      <wp:inline distT="0" distB="0" distL="0" distR="0" wp14:anchorId="4D45F5AC" wp14:editId="0FEEB02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2E8E538" wp14:editId="4BAE646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w:t>
                  </w:r>
                  <w:r>
                    <w:fldChar w:fldCharType="end"/>
                  </w:r>
                  <w:bookmarkEnd w:id="1"/>
                </w:p>
              </w:tc>
            </w:tr>
          </w:tbl>
          <w:p w14:paraId="7E8FDF6D" w14:textId="77777777" w:rsidR="00564588"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L70</w:t>
            </w:r>
            <w:r>
              <w:rPr>
                <w:rFonts w:ascii="黑体" w:eastAsia="黑体" w:hAnsi="黑体"/>
                <w:sz w:val="21"/>
                <w:szCs w:val="21"/>
              </w:rPr>
              <w:t>     </w:t>
            </w:r>
            <w:r>
              <w:rPr>
                <w:rFonts w:ascii="黑体" w:eastAsia="黑体" w:hAnsi="黑体"/>
                <w:sz w:val="21"/>
                <w:szCs w:val="21"/>
              </w:rPr>
              <w:fldChar w:fldCharType="end"/>
            </w:r>
            <w:bookmarkEnd w:id="2"/>
          </w:p>
        </w:tc>
      </w:tr>
    </w:tbl>
    <w:bookmarkStart w:id="3" w:name="_Hlk26473981"/>
    <w:p w14:paraId="45CE5072" w14:textId="77777777" w:rsidR="00564588"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中国计量协会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6F0FECE" w14:textId="77777777" w:rsidR="00564588" w:rsidRDefault="00000000">
      <w:pPr>
        <w:pStyle w:val="affffffffff7"/>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JD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rPr>
        <w:t>5</w:t>
      </w:r>
      <w:r>
        <w:fldChar w:fldCharType="end"/>
      </w:r>
      <w:bookmarkEnd w:id="7"/>
    </w:p>
    <w:p w14:paraId="366BF310" w14:textId="77777777" w:rsidR="00564588"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6587890" w14:textId="77777777" w:rsidR="0056458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C4E425E" wp14:editId="6154FB8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B161EA7" w14:textId="77777777" w:rsidR="00564588" w:rsidRDefault="00564588">
      <w:pPr>
        <w:pStyle w:val="afffff5"/>
        <w:framePr w:w="9639" w:h="6976" w:hRule="exact" w:hSpace="0" w:vSpace="0" w:wrap="around" w:hAnchor="page" w:y="6408"/>
        <w:jc w:val="center"/>
        <w:rPr>
          <w:rFonts w:ascii="黑体" w:eastAsia="黑体" w:hAnsi="黑体" w:hint="eastAsia"/>
          <w:b w:val="0"/>
          <w:bCs w:val="0"/>
          <w:w w:val="100"/>
        </w:rPr>
      </w:pPr>
    </w:p>
    <w:p w14:paraId="4AA2CD8D" w14:textId="77777777" w:rsidR="00564588"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生命健康领域危害物标准参考数据</w:t>
      </w:r>
    </w:p>
    <w:p w14:paraId="62B46ED1" w14:textId="77777777" w:rsidR="00564588" w:rsidRDefault="00000000">
      <w:pPr>
        <w:pStyle w:val="affffffffff9"/>
        <w:framePr w:h="6974" w:hRule="exact" w:wrap="around" w:x="1419" w:anchorLock="1"/>
        <w:rPr>
          <w:rFonts w:hint="eastAsia"/>
        </w:rPr>
      </w:pPr>
      <w:r>
        <w:rPr>
          <w:rFonts w:hint="eastAsia"/>
        </w:rPr>
        <w:t>评估规范</w:t>
      </w:r>
      <w:r>
        <w:fldChar w:fldCharType="end"/>
      </w:r>
      <w:bookmarkEnd w:id="9"/>
    </w:p>
    <w:p w14:paraId="3F0C248A" w14:textId="77777777" w:rsidR="00564588" w:rsidRDefault="00564588">
      <w:pPr>
        <w:framePr w:w="9639" w:h="6974" w:hRule="exact" w:wrap="around" w:vAnchor="page" w:hAnchor="page" w:x="1419" w:y="6408" w:anchorLock="1"/>
        <w:ind w:left="-1418"/>
      </w:pPr>
    </w:p>
    <w:p w14:paraId="4FE28917" w14:textId="77777777" w:rsidR="00564588"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The Specification for Evaluation of Reference Data on Hazard Standards </w:t>
      </w:r>
    </w:p>
    <w:p w14:paraId="40B211B8" w14:textId="77777777" w:rsidR="00564588"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t>in the Field of Life and Health</w:t>
      </w:r>
      <w:r>
        <w:rPr>
          <w:rFonts w:eastAsia="黑体"/>
          <w:szCs w:val="28"/>
        </w:rPr>
        <w:fldChar w:fldCharType="end"/>
      </w:r>
      <w:bookmarkEnd w:id="10"/>
    </w:p>
    <w:p w14:paraId="0A5E9BEF" w14:textId="77777777" w:rsidR="00564588" w:rsidRDefault="00564588">
      <w:pPr>
        <w:framePr w:w="9639" w:h="6974" w:hRule="exact" w:wrap="around" w:vAnchor="page" w:hAnchor="page" w:x="1419" w:y="6408" w:anchorLock="1"/>
        <w:spacing w:line="760" w:lineRule="exact"/>
        <w:ind w:left="-1418"/>
      </w:pPr>
    </w:p>
    <w:p w14:paraId="6A90DC5D" w14:textId="77777777" w:rsidR="00564588" w:rsidRDefault="00564588">
      <w:pPr>
        <w:pStyle w:val="afffffffd"/>
        <w:framePr w:w="9639" w:h="6974" w:hRule="exact" w:wrap="around" w:vAnchor="page" w:hAnchor="page" w:x="1419" w:y="6408" w:anchorLock="1"/>
        <w:textAlignment w:val="bottom"/>
        <w:rPr>
          <w:rFonts w:eastAsia="黑体"/>
          <w:szCs w:val="28"/>
        </w:rPr>
      </w:pPr>
    </w:p>
    <w:p w14:paraId="5262D2FF" w14:textId="77777777" w:rsidR="00564588"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4455A1A" w14:textId="77777777" w:rsidR="00564588"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39E6CA3" w14:textId="77777777" w:rsidR="00564588"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FBA9735" w14:textId="77777777" w:rsidR="00564588"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447BEF8" w14:textId="77777777" w:rsidR="00564588"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F760D75" w14:textId="77777777" w:rsidR="00564588"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w:t>
      </w:r>
      <w:r>
        <w:rPr>
          <w:rFonts w:hAnsi="黑体"/>
          <w:w w:val="100"/>
          <w:sz w:val="28"/>
        </w:rPr>
        <w:t xml:space="preserve"> 国 计 量 协 会</w:t>
      </w:r>
      <w:r>
        <w:rPr>
          <w:rFonts w:hAnsi="黑体"/>
          <w:w w:val="100"/>
          <w:sz w:val="28"/>
        </w:rPr>
        <w:fldChar w:fldCharType="end"/>
      </w:r>
      <w:bookmarkEnd w:id="2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3EEF016B" w14:textId="77777777" w:rsidR="00564588" w:rsidRDefault="00000000">
      <w:pPr>
        <w:rPr>
          <w:rFonts w:ascii="宋体" w:hAnsi="宋体" w:hint="eastAsia"/>
          <w:sz w:val="28"/>
          <w:szCs w:val="28"/>
        </w:rPr>
        <w:sectPr w:rsidR="00564588">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4420266" wp14:editId="4362B7C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2163D62" w14:textId="77777777" w:rsidR="00564588" w:rsidRDefault="00000000">
      <w:pPr>
        <w:pStyle w:val="afffffff"/>
        <w:spacing w:after="360"/>
      </w:pPr>
      <w:bookmarkStart w:id="21" w:name="BookMark1"/>
      <w:bookmarkStart w:id="22" w:name="_Toc133940595"/>
      <w:r>
        <w:rPr>
          <w:rFonts w:hint="eastAsia"/>
          <w:spacing w:val="320"/>
        </w:rPr>
        <w:lastRenderedPageBreak/>
        <w:t>目</w:t>
      </w:r>
      <w:r>
        <w:rPr>
          <w:rFonts w:hint="eastAsia"/>
        </w:rPr>
        <w:t>次</w:t>
      </w:r>
    </w:p>
    <w:p w14:paraId="5A3DDECC" w14:textId="77777777" w:rsidR="00564588" w:rsidRDefault="00000000">
      <w:pPr>
        <w:pStyle w:val="TOC1"/>
        <w:tabs>
          <w:tab w:val="right" w:leader="dot" w:pos="9354"/>
        </w:tabs>
      </w:pPr>
      <w:r>
        <w:fldChar w:fldCharType="begin"/>
      </w:r>
      <w:r>
        <w:instrText xml:space="preserve"> TOC \o "1-1" \h \t "标准文件_一级条标题,2,标准文件_附录一级条标题,2," </w:instrText>
      </w:r>
      <w:r>
        <w:fldChar w:fldCharType="separate"/>
      </w:r>
      <w:hyperlink w:anchor="_Toc8712" w:history="1">
        <w:r>
          <w:rPr>
            <w:spacing w:val="320"/>
          </w:rPr>
          <w:t>前</w:t>
        </w:r>
        <w:r>
          <w:t>言</w:t>
        </w:r>
        <w:r>
          <w:tab/>
        </w:r>
        <w:r>
          <w:fldChar w:fldCharType="begin"/>
        </w:r>
        <w:r>
          <w:instrText xml:space="preserve"> PAGEREF _Toc8712 \h </w:instrText>
        </w:r>
        <w:r>
          <w:fldChar w:fldCharType="separate"/>
        </w:r>
        <w:r>
          <w:t>III</w:t>
        </w:r>
        <w:r>
          <w:fldChar w:fldCharType="end"/>
        </w:r>
      </w:hyperlink>
    </w:p>
    <w:p w14:paraId="12991E3D" w14:textId="77777777" w:rsidR="00564588" w:rsidRDefault="00000000">
      <w:pPr>
        <w:pStyle w:val="TOC1"/>
        <w:tabs>
          <w:tab w:val="right" w:leader="dot" w:pos="9354"/>
        </w:tabs>
      </w:pPr>
      <w:hyperlink w:anchor="_Toc20339" w:history="1">
        <w:r>
          <w:rPr>
            <w:rFonts w:ascii="黑体" w:eastAsia="黑体" w:hint="eastAsia"/>
          </w:rPr>
          <w:t xml:space="preserve">1 </w:t>
        </w:r>
        <w:r>
          <w:rPr>
            <w:rFonts w:hint="eastAsia"/>
          </w:rPr>
          <w:t>范围</w:t>
        </w:r>
        <w:r>
          <w:tab/>
        </w:r>
        <w:r>
          <w:fldChar w:fldCharType="begin"/>
        </w:r>
        <w:r>
          <w:instrText xml:space="preserve"> PAGEREF _Toc20339 \h </w:instrText>
        </w:r>
        <w:r>
          <w:fldChar w:fldCharType="separate"/>
        </w:r>
        <w:r>
          <w:t>4</w:t>
        </w:r>
        <w:r>
          <w:fldChar w:fldCharType="end"/>
        </w:r>
      </w:hyperlink>
    </w:p>
    <w:p w14:paraId="1729D3BE" w14:textId="77777777" w:rsidR="00564588" w:rsidRDefault="00000000">
      <w:pPr>
        <w:pStyle w:val="TOC1"/>
        <w:tabs>
          <w:tab w:val="right" w:leader="dot" w:pos="9354"/>
        </w:tabs>
      </w:pPr>
      <w:hyperlink w:anchor="_Toc4908" w:history="1">
        <w:r>
          <w:rPr>
            <w:rFonts w:ascii="黑体" w:eastAsia="黑体" w:hint="eastAsia"/>
          </w:rPr>
          <w:t xml:space="preserve">2 </w:t>
        </w:r>
        <w:r>
          <w:rPr>
            <w:rFonts w:hint="eastAsia"/>
          </w:rPr>
          <w:t>规范性引用文件</w:t>
        </w:r>
        <w:r>
          <w:tab/>
        </w:r>
        <w:r>
          <w:fldChar w:fldCharType="begin"/>
        </w:r>
        <w:r>
          <w:instrText xml:space="preserve"> PAGEREF _Toc4908 \h </w:instrText>
        </w:r>
        <w:r>
          <w:fldChar w:fldCharType="separate"/>
        </w:r>
        <w:r>
          <w:t>4</w:t>
        </w:r>
        <w:r>
          <w:fldChar w:fldCharType="end"/>
        </w:r>
      </w:hyperlink>
    </w:p>
    <w:p w14:paraId="3AACE1BC" w14:textId="77777777" w:rsidR="00564588" w:rsidRDefault="00000000">
      <w:pPr>
        <w:pStyle w:val="TOC1"/>
        <w:tabs>
          <w:tab w:val="right" w:leader="dot" w:pos="9354"/>
        </w:tabs>
      </w:pPr>
      <w:hyperlink w:anchor="_Toc16830" w:history="1">
        <w:r>
          <w:rPr>
            <w:rFonts w:ascii="黑体" w:eastAsia="黑体" w:hint="eastAsia"/>
          </w:rPr>
          <w:t xml:space="preserve">3 </w:t>
        </w:r>
        <w:r>
          <w:rPr>
            <w:rFonts w:hint="eastAsia"/>
          </w:rPr>
          <w:t>术语和定义</w:t>
        </w:r>
        <w:r>
          <w:tab/>
        </w:r>
        <w:r>
          <w:fldChar w:fldCharType="begin"/>
        </w:r>
        <w:r>
          <w:instrText xml:space="preserve"> PAGEREF _Toc16830 \h </w:instrText>
        </w:r>
        <w:r>
          <w:fldChar w:fldCharType="separate"/>
        </w:r>
        <w:r>
          <w:t>4</w:t>
        </w:r>
        <w:r>
          <w:fldChar w:fldCharType="end"/>
        </w:r>
      </w:hyperlink>
    </w:p>
    <w:p w14:paraId="155CCE9A" w14:textId="77777777" w:rsidR="00564588" w:rsidRDefault="00000000">
      <w:pPr>
        <w:pStyle w:val="TOC2"/>
        <w:tabs>
          <w:tab w:val="clear" w:pos="9344"/>
          <w:tab w:val="right" w:leader="dot" w:pos="9354"/>
        </w:tabs>
      </w:pPr>
      <w:hyperlink w:anchor="_Toc28609" w:history="1">
        <w:r>
          <w:rPr>
            <w:rFonts w:ascii="黑体" w:eastAsia="黑体" w:hAnsi="Times New Roman" w:hint="eastAsia"/>
            <w:kern w:val="0"/>
            <w14:scene3d>
              <w14:camera w14:prst="orthographicFront"/>
              <w14:lightRig w14:rig="threePt" w14:dir="t">
                <w14:rot w14:lat="0" w14:lon="0" w14:rev="0"/>
              </w14:lightRig>
            </w14:scene3d>
          </w:rPr>
          <w:t xml:space="preserve">3.1 </w:t>
        </w:r>
        <w:r>
          <w:rPr>
            <w:rFonts w:hint="eastAsia"/>
          </w:rPr>
          <w:t>数据</w:t>
        </w:r>
        <w:r>
          <w:tab/>
        </w:r>
        <w:r>
          <w:fldChar w:fldCharType="begin"/>
        </w:r>
        <w:r>
          <w:instrText xml:space="preserve"> PAGEREF _Toc28609 \h </w:instrText>
        </w:r>
        <w:r>
          <w:fldChar w:fldCharType="separate"/>
        </w:r>
        <w:r>
          <w:t>4</w:t>
        </w:r>
        <w:r>
          <w:fldChar w:fldCharType="end"/>
        </w:r>
      </w:hyperlink>
    </w:p>
    <w:p w14:paraId="246EB39A" w14:textId="77777777" w:rsidR="00564588" w:rsidRDefault="00000000">
      <w:pPr>
        <w:pStyle w:val="TOC2"/>
        <w:tabs>
          <w:tab w:val="clear" w:pos="9344"/>
          <w:tab w:val="right" w:leader="dot" w:pos="9354"/>
        </w:tabs>
      </w:pPr>
      <w:hyperlink w:anchor="_Toc958" w:history="1">
        <w:r>
          <w:rPr>
            <w:rFonts w:ascii="黑体" w:eastAsia="黑体" w:hAnsi="Times New Roman" w:hint="eastAsia"/>
            <w:kern w:val="0"/>
            <w14:scene3d>
              <w14:camera w14:prst="orthographicFront"/>
              <w14:lightRig w14:rig="threePt" w14:dir="t">
                <w14:rot w14:lat="0" w14:lon="0" w14:rev="0"/>
              </w14:lightRig>
            </w14:scene3d>
          </w:rPr>
          <w:t xml:space="preserve">3.2 </w:t>
        </w:r>
        <w:r>
          <w:rPr>
            <w:rFonts w:hint="eastAsia"/>
          </w:rPr>
          <w:t>参考数据</w:t>
        </w:r>
        <w:r>
          <w:tab/>
        </w:r>
        <w:r>
          <w:fldChar w:fldCharType="begin"/>
        </w:r>
        <w:r>
          <w:instrText xml:space="preserve"> PAGEREF _Toc958 \h </w:instrText>
        </w:r>
        <w:r>
          <w:fldChar w:fldCharType="separate"/>
        </w:r>
        <w:r>
          <w:t>4</w:t>
        </w:r>
        <w:r>
          <w:fldChar w:fldCharType="end"/>
        </w:r>
      </w:hyperlink>
    </w:p>
    <w:p w14:paraId="45ECE3A0" w14:textId="77777777" w:rsidR="00564588" w:rsidRDefault="00000000">
      <w:pPr>
        <w:pStyle w:val="TOC2"/>
        <w:tabs>
          <w:tab w:val="clear" w:pos="9344"/>
          <w:tab w:val="right" w:leader="dot" w:pos="9354"/>
        </w:tabs>
      </w:pPr>
      <w:hyperlink w:anchor="_Toc19497" w:history="1">
        <w:r>
          <w:rPr>
            <w:rFonts w:ascii="黑体" w:eastAsia="黑体" w:hAnsi="Times New Roman" w:hint="eastAsia"/>
            <w:kern w:val="0"/>
            <w14:scene3d>
              <w14:camera w14:prst="orthographicFront"/>
              <w14:lightRig w14:rig="threePt" w14:dir="t">
                <w14:rot w14:lat="0" w14:lon="0" w14:rev="0"/>
              </w14:lightRig>
            </w14:scene3d>
          </w:rPr>
          <w:t xml:space="preserve">3.3 </w:t>
        </w:r>
        <w:r>
          <w:rPr>
            <w:rFonts w:hint="eastAsia"/>
          </w:rPr>
          <w:t>标准参考数据</w:t>
        </w:r>
        <w:r>
          <w:tab/>
        </w:r>
        <w:r>
          <w:fldChar w:fldCharType="begin"/>
        </w:r>
        <w:r>
          <w:instrText xml:space="preserve"> PAGEREF _Toc19497 \h </w:instrText>
        </w:r>
        <w:r>
          <w:fldChar w:fldCharType="separate"/>
        </w:r>
        <w:r>
          <w:t>4</w:t>
        </w:r>
        <w:r>
          <w:fldChar w:fldCharType="end"/>
        </w:r>
      </w:hyperlink>
    </w:p>
    <w:p w14:paraId="2BE5524F" w14:textId="77777777" w:rsidR="00564588" w:rsidRDefault="00000000">
      <w:pPr>
        <w:pStyle w:val="TOC2"/>
        <w:tabs>
          <w:tab w:val="clear" w:pos="9344"/>
          <w:tab w:val="right" w:leader="dot" w:pos="9354"/>
        </w:tabs>
      </w:pPr>
      <w:hyperlink w:anchor="_Toc2677" w:history="1">
        <w:r>
          <w:rPr>
            <w:rFonts w:ascii="黑体" w:eastAsia="黑体" w:hAnsi="Times New Roman" w:hint="eastAsia"/>
            <w:kern w:val="0"/>
            <w14:scene3d>
              <w14:camera w14:prst="orthographicFront"/>
              <w14:lightRig w14:rig="threePt" w14:dir="t">
                <w14:rot w14:lat="0" w14:lon="0" w14:rev="0"/>
              </w14:lightRig>
            </w14:scene3d>
          </w:rPr>
          <w:t xml:space="preserve">3.4 </w:t>
        </w:r>
        <w:r>
          <w:rPr>
            <w:rFonts w:hint="eastAsia"/>
          </w:rPr>
          <w:t>准确性</w:t>
        </w:r>
        <w:r>
          <w:tab/>
        </w:r>
        <w:r>
          <w:fldChar w:fldCharType="begin"/>
        </w:r>
        <w:r>
          <w:instrText xml:space="preserve"> PAGEREF _Toc2677 \h </w:instrText>
        </w:r>
        <w:r>
          <w:fldChar w:fldCharType="separate"/>
        </w:r>
        <w:r>
          <w:t>4</w:t>
        </w:r>
        <w:r>
          <w:fldChar w:fldCharType="end"/>
        </w:r>
      </w:hyperlink>
    </w:p>
    <w:p w14:paraId="17936ABB" w14:textId="77777777" w:rsidR="00564588" w:rsidRDefault="00000000">
      <w:pPr>
        <w:pStyle w:val="TOC1"/>
        <w:tabs>
          <w:tab w:val="right" w:leader="dot" w:pos="9354"/>
        </w:tabs>
      </w:pPr>
      <w:hyperlink w:anchor="_Toc23262" w:history="1">
        <w:r>
          <w:rPr>
            <w:rFonts w:ascii="黑体" w:eastAsia="黑体" w:hint="eastAsia"/>
          </w:rPr>
          <w:t xml:space="preserve">4 </w:t>
        </w:r>
        <w:r>
          <w:rPr>
            <w:rFonts w:hint="eastAsia"/>
          </w:rPr>
          <w:t>生命健康领域危害物标准参考数据要求</w:t>
        </w:r>
        <w:r>
          <w:tab/>
        </w:r>
        <w:r>
          <w:fldChar w:fldCharType="begin"/>
        </w:r>
        <w:r>
          <w:instrText xml:space="preserve"> PAGEREF _Toc23262 \h </w:instrText>
        </w:r>
        <w:r>
          <w:fldChar w:fldCharType="separate"/>
        </w:r>
        <w:r>
          <w:t>4</w:t>
        </w:r>
        <w:r>
          <w:fldChar w:fldCharType="end"/>
        </w:r>
      </w:hyperlink>
    </w:p>
    <w:p w14:paraId="0D724D19" w14:textId="77777777" w:rsidR="00564588" w:rsidRDefault="00000000">
      <w:pPr>
        <w:pStyle w:val="TOC2"/>
        <w:tabs>
          <w:tab w:val="clear" w:pos="9344"/>
          <w:tab w:val="right" w:leader="dot" w:pos="9354"/>
        </w:tabs>
      </w:pPr>
      <w:hyperlink w:anchor="_Toc4588" w:history="1">
        <w:r>
          <w:rPr>
            <w:rFonts w:ascii="黑体" w:eastAsia="黑体" w:hAnsi="Times New Roman" w:hint="eastAsia"/>
            <w:kern w:val="0"/>
            <w14:scene3d>
              <w14:camera w14:prst="orthographicFront"/>
              <w14:lightRig w14:rig="threePt" w14:dir="t">
                <w14:rot w14:lat="0" w14:lon="0" w14:rev="0"/>
              </w14:lightRig>
            </w14:scene3d>
          </w:rPr>
          <w:t xml:space="preserve">4.1 </w:t>
        </w:r>
        <w:r>
          <w:rPr>
            <w:rFonts w:hint="eastAsia"/>
          </w:rPr>
          <w:t>数据类型要求</w:t>
        </w:r>
        <w:r>
          <w:tab/>
        </w:r>
        <w:r>
          <w:fldChar w:fldCharType="begin"/>
        </w:r>
        <w:r>
          <w:instrText xml:space="preserve"> PAGEREF _Toc4588 \h </w:instrText>
        </w:r>
        <w:r>
          <w:fldChar w:fldCharType="separate"/>
        </w:r>
        <w:r>
          <w:t>4</w:t>
        </w:r>
        <w:r>
          <w:fldChar w:fldCharType="end"/>
        </w:r>
      </w:hyperlink>
    </w:p>
    <w:p w14:paraId="75045E4B" w14:textId="77777777" w:rsidR="00564588" w:rsidRDefault="00000000">
      <w:pPr>
        <w:pStyle w:val="TOC2"/>
        <w:tabs>
          <w:tab w:val="clear" w:pos="9344"/>
          <w:tab w:val="right" w:leader="dot" w:pos="9354"/>
        </w:tabs>
      </w:pPr>
      <w:hyperlink w:anchor="_Toc21843" w:history="1">
        <w:r>
          <w:rPr>
            <w:rFonts w:ascii="黑体" w:eastAsia="黑体" w:hAnsi="Times New Roman" w:hint="eastAsia"/>
            <w:kern w:val="0"/>
            <w14:scene3d>
              <w14:camera w14:prst="orthographicFront"/>
              <w14:lightRig w14:rig="threePt" w14:dir="t">
                <w14:rot w14:lat="0" w14:lon="0" w14:rev="0"/>
              </w14:lightRig>
            </w14:scene3d>
          </w:rPr>
          <w:t xml:space="preserve">4.2 </w:t>
        </w:r>
        <w:r>
          <w:rPr>
            <w:rFonts w:hint="eastAsia"/>
          </w:rPr>
          <w:t>数据格式要求</w:t>
        </w:r>
        <w:r>
          <w:tab/>
        </w:r>
        <w:r>
          <w:fldChar w:fldCharType="begin"/>
        </w:r>
        <w:r>
          <w:instrText xml:space="preserve"> PAGEREF _Toc21843 \h </w:instrText>
        </w:r>
        <w:r>
          <w:fldChar w:fldCharType="separate"/>
        </w:r>
        <w:r>
          <w:t>5</w:t>
        </w:r>
        <w:r>
          <w:fldChar w:fldCharType="end"/>
        </w:r>
      </w:hyperlink>
    </w:p>
    <w:p w14:paraId="43A25583" w14:textId="77777777" w:rsidR="00564588" w:rsidRDefault="00000000">
      <w:pPr>
        <w:pStyle w:val="TOC2"/>
        <w:tabs>
          <w:tab w:val="clear" w:pos="9344"/>
          <w:tab w:val="right" w:leader="dot" w:pos="9354"/>
        </w:tabs>
      </w:pPr>
      <w:hyperlink w:anchor="_Toc27925" w:history="1">
        <w:r>
          <w:rPr>
            <w:rFonts w:ascii="黑体" w:eastAsia="黑体" w:hAnsi="Times New Roman" w:hint="eastAsia"/>
            <w:kern w:val="0"/>
            <w14:scene3d>
              <w14:camera w14:prst="orthographicFront"/>
              <w14:lightRig w14:rig="threePt" w14:dir="t">
                <w14:rot w14:lat="0" w14:lon="0" w14:rev="0"/>
              </w14:lightRig>
            </w14:scene3d>
          </w:rPr>
          <w:t xml:space="preserve">4.3 </w:t>
        </w:r>
        <w:r>
          <w:rPr>
            <w:rFonts w:hint="eastAsia"/>
          </w:rPr>
          <w:t>数据标识要求</w:t>
        </w:r>
        <w:r>
          <w:tab/>
        </w:r>
        <w:r>
          <w:fldChar w:fldCharType="begin"/>
        </w:r>
        <w:r>
          <w:instrText xml:space="preserve"> PAGEREF _Toc27925 \h </w:instrText>
        </w:r>
        <w:r>
          <w:fldChar w:fldCharType="separate"/>
        </w:r>
        <w:r>
          <w:t>5</w:t>
        </w:r>
        <w:r>
          <w:fldChar w:fldCharType="end"/>
        </w:r>
      </w:hyperlink>
    </w:p>
    <w:p w14:paraId="45B75C94" w14:textId="77777777" w:rsidR="00564588" w:rsidRDefault="00000000">
      <w:pPr>
        <w:pStyle w:val="TOC1"/>
        <w:tabs>
          <w:tab w:val="right" w:leader="dot" w:pos="9354"/>
        </w:tabs>
      </w:pPr>
      <w:hyperlink w:anchor="_Toc27867" w:history="1">
        <w:r>
          <w:rPr>
            <w:rFonts w:ascii="黑体" w:eastAsia="黑体" w:hint="eastAsia"/>
          </w:rPr>
          <w:t xml:space="preserve">5 </w:t>
        </w:r>
        <w:r>
          <w:rPr>
            <w:rFonts w:hint="eastAsia"/>
          </w:rPr>
          <w:t>生命健康领域危害物标准参考数据元数据模型要求</w:t>
        </w:r>
        <w:r>
          <w:tab/>
        </w:r>
        <w:r>
          <w:fldChar w:fldCharType="begin"/>
        </w:r>
        <w:r>
          <w:instrText xml:space="preserve"> PAGEREF _Toc27867 \h </w:instrText>
        </w:r>
        <w:r>
          <w:fldChar w:fldCharType="separate"/>
        </w:r>
        <w:r>
          <w:t>5</w:t>
        </w:r>
        <w:r>
          <w:fldChar w:fldCharType="end"/>
        </w:r>
      </w:hyperlink>
    </w:p>
    <w:p w14:paraId="26677960" w14:textId="77777777" w:rsidR="00564588" w:rsidRDefault="00000000">
      <w:pPr>
        <w:pStyle w:val="TOC2"/>
        <w:tabs>
          <w:tab w:val="clear" w:pos="9344"/>
          <w:tab w:val="right" w:leader="dot" w:pos="9354"/>
        </w:tabs>
      </w:pPr>
      <w:hyperlink w:anchor="_Toc4501"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元数据数据模型构成</w:t>
        </w:r>
        <w:r>
          <w:tab/>
        </w:r>
        <w:r>
          <w:fldChar w:fldCharType="begin"/>
        </w:r>
        <w:r>
          <w:instrText xml:space="preserve"> PAGEREF _Toc4501 \h </w:instrText>
        </w:r>
        <w:r>
          <w:fldChar w:fldCharType="separate"/>
        </w:r>
        <w:r>
          <w:t>5</w:t>
        </w:r>
        <w:r>
          <w:fldChar w:fldCharType="end"/>
        </w:r>
      </w:hyperlink>
    </w:p>
    <w:p w14:paraId="6AA82905" w14:textId="77777777" w:rsidR="00564588" w:rsidRDefault="00000000">
      <w:pPr>
        <w:pStyle w:val="TOC1"/>
        <w:tabs>
          <w:tab w:val="right" w:leader="dot" w:pos="9354"/>
        </w:tabs>
      </w:pPr>
      <w:hyperlink w:anchor="_Toc2999" w:history="1">
        <w:r>
          <w:rPr>
            <w:rFonts w:hAnsi="宋体" w:hint="eastAsia"/>
          </w:rPr>
          <w:t>5.1.1 化学元数据模型</w:t>
        </w:r>
        <w:r>
          <w:tab/>
        </w:r>
        <w:r>
          <w:fldChar w:fldCharType="begin"/>
        </w:r>
        <w:r>
          <w:instrText xml:space="preserve"> PAGEREF _Toc2999 \h </w:instrText>
        </w:r>
        <w:r>
          <w:fldChar w:fldCharType="separate"/>
        </w:r>
        <w:r>
          <w:t>5</w:t>
        </w:r>
        <w:r>
          <w:fldChar w:fldCharType="end"/>
        </w:r>
      </w:hyperlink>
    </w:p>
    <w:p w14:paraId="503A9A27" w14:textId="77777777" w:rsidR="00564588" w:rsidRDefault="00000000">
      <w:pPr>
        <w:pStyle w:val="TOC1"/>
        <w:tabs>
          <w:tab w:val="right" w:leader="dot" w:pos="9354"/>
        </w:tabs>
      </w:pPr>
      <w:hyperlink w:anchor="_Toc9997" w:history="1">
        <w:r>
          <w:rPr>
            <w:rFonts w:hAnsi="宋体" w:hint="eastAsia"/>
          </w:rPr>
          <w:t>5.1.2 物理元数据模型</w:t>
        </w:r>
        <w:r>
          <w:tab/>
        </w:r>
        <w:r>
          <w:fldChar w:fldCharType="begin"/>
        </w:r>
        <w:r>
          <w:instrText xml:space="preserve"> PAGEREF _Toc9997 \h </w:instrText>
        </w:r>
        <w:r>
          <w:fldChar w:fldCharType="separate"/>
        </w:r>
        <w:r>
          <w:t>6</w:t>
        </w:r>
        <w:r>
          <w:fldChar w:fldCharType="end"/>
        </w:r>
      </w:hyperlink>
    </w:p>
    <w:p w14:paraId="7338B53D" w14:textId="77777777" w:rsidR="00564588" w:rsidRDefault="00000000">
      <w:pPr>
        <w:pStyle w:val="TOC1"/>
        <w:tabs>
          <w:tab w:val="right" w:leader="dot" w:pos="9354"/>
        </w:tabs>
      </w:pPr>
      <w:hyperlink w:anchor="_Toc12228" w:history="1">
        <w:r>
          <w:rPr>
            <w:rFonts w:hAnsi="宋体" w:hint="eastAsia"/>
          </w:rPr>
          <w:t>5.1.3 安全元数据模型</w:t>
        </w:r>
        <w:r>
          <w:tab/>
        </w:r>
        <w:r>
          <w:fldChar w:fldCharType="begin"/>
        </w:r>
        <w:r>
          <w:instrText xml:space="preserve"> PAGEREF _Toc12228 \h </w:instrText>
        </w:r>
        <w:r>
          <w:fldChar w:fldCharType="separate"/>
        </w:r>
        <w:r>
          <w:t>6</w:t>
        </w:r>
        <w:r>
          <w:fldChar w:fldCharType="end"/>
        </w:r>
      </w:hyperlink>
    </w:p>
    <w:p w14:paraId="618DD4A7" w14:textId="77777777" w:rsidR="00564588" w:rsidRDefault="00000000">
      <w:pPr>
        <w:pStyle w:val="TOC1"/>
        <w:tabs>
          <w:tab w:val="right" w:leader="dot" w:pos="9354"/>
        </w:tabs>
      </w:pPr>
      <w:hyperlink w:anchor="_Toc23975" w:history="1">
        <w:r>
          <w:rPr>
            <w:rFonts w:hAnsi="宋体" w:hint="eastAsia"/>
          </w:rPr>
          <w:t>5.1.4 气相色谱实验条件元数据模型</w:t>
        </w:r>
        <w:r>
          <w:tab/>
        </w:r>
        <w:r>
          <w:fldChar w:fldCharType="begin"/>
        </w:r>
        <w:r>
          <w:instrText xml:space="preserve"> PAGEREF _Toc23975 \h </w:instrText>
        </w:r>
        <w:r>
          <w:fldChar w:fldCharType="separate"/>
        </w:r>
        <w:r>
          <w:t>6</w:t>
        </w:r>
        <w:r>
          <w:fldChar w:fldCharType="end"/>
        </w:r>
      </w:hyperlink>
    </w:p>
    <w:p w14:paraId="1923EF4D" w14:textId="77777777" w:rsidR="00564588" w:rsidRDefault="00000000">
      <w:pPr>
        <w:pStyle w:val="TOC1"/>
        <w:tabs>
          <w:tab w:val="right" w:leader="dot" w:pos="9354"/>
        </w:tabs>
      </w:pPr>
      <w:hyperlink w:anchor="_Toc13145" w:history="1">
        <w:r>
          <w:rPr>
            <w:rFonts w:hAnsi="宋体" w:hint="eastAsia"/>
          </w:rPr>
          <w:t>5.1.5 液相色谱实验条件元数据模型</w:t>
        </w:r>
        <w:r>
          <w:tab/>
        </w:r>
        <w:r>
          <w:fldChar w:fldCharType="begin"/>
        </w:r>
        <w:r>
          <w:instrText xml:space="preserve"> PAGEREF _Toc13145 \h </w:instrText>
        </w:r>
        <w:r>
          <w:fldChar w:fldCharType="separate"/>
        </w:r>
        <w:r>
          <w:t>7</w:t>
        </w:r>
        <w:r>
          <w:fldChar w:fldCharType="end"/>
        </w:r>
      </w:hyperlink>
    </w:p>
    <w:p w14:paraId="12A00E47" w14:textId="77777777" w:rsidR="00564588" w:rsidRDefault="00000000">
      <w:pPr>
        <w:pStyle w:val="TOC1"/>
        <w:tabs>
          <w:tab w:val="right" w:leader="dot" w:pos="9354"/>
        </w:tabs>
      </w:pPr>
      <w:hyperlink w:anchor="_Toc11747" w:history="1">
        <w:r>
          <w:rPr>
            <w:rFonts w:hAnsi="宋体" w:hint="eastAsia"/>
          </w:rPr>
          <w:t>5.1.6 色谱实验结果元数据模型</w:t>
        </w:r>
        <w:r>
          <w:tab/>
        </w:r>
        <w:r>
          <w:fldChar w:fldCharType="begin"/>
        </w:r>
        <w:r>
          <w:instrText xml:space="preserve"> PAGEREF _Toc11747 \h </w:instrText>
        </w:r>
        <w:r>
          <w:fldChar w:fldCharType="separate"/>
        </w:r>
        <w:r>
          <w:t>7</w:t>
        </w:r>
        <w:r>
          <w:fldChar w:fldCharType="end"/>
        </w:r>
      </w:hyperlink>
    </w:p>
    <w:p w14:paraId="21508134" w14:textId="77777777" w:rsidR="00564588" w:rsidRDefault="00000000">
      <w:pPr>
        <w:pStyle w:val="TOC1"/>
        <w:tabs>
          <w:tab w:val="right" w:leader="dot" w:pos="9354"/>
        </w:tabs>
      </w:pPr>
      <w:hyperlink w:anchor="_Toc15957" w:history="1">
        <w:r>
          <w:rPr>
            <w:rFonts w:hAnsi="宋体" w:hint="eastAsia"/>
          </w:rPr>
          <w:t>5.1.7 质谱实验条件元数据模型</w:t>
        </w:r>
        <w:r>
          <w:tab/>
        </w:r>
        <w:r>
          <w:fldChar w:fldCharType="begin"/>
        </w:r>
        <w:r>
          <w:instrText xml:space="preserve"> PAGEREF _Toc15957 \h </w:instrText>
        </w:r>
        <w:r>
          <w:fldChar w:fldCharType="separate"/>
        </w:r>
        <w:r>
          <w:t>7</w:t>
        </w:r>
        <w:r>
          <w:fldChar w:fldCharType="end"/>
        </w:r>
      </w:hyperlink>
    </w:p>
    <w:p w14:paraId="28795F57" w14:textId="77777777" w:rsidR="00564588" w:rsidRDefault="00000000">
      <w:pPr>
        <w:pStyle w:val="TOC1"/>
        <w:tabs>
          <w:tab w:val="right" w:leader="dot" w:pos="9354"/>
        </w:tabs>
      </w:pPr>
      <w:hyperlink w:anchor="_Toc29693" w:history="1">
        <w:r>
          <w:rPr>
            <w:rFonts w:hAnsi="宋体" w:hint="eastAsia"/>
          </w:rPr>
          <w:t>5.1.8 质谱实验结果元数据模型</w:t>
        </w:r>
        <w:r>
          <w:tab/>
        </w:r>
        <w:r>
          <w:fldChar w:fldCharType="begin"/>
        </w:r>
        <w:r>
          <w:instrText xml:space="preserve"> PAGEREF _Toc29693 \h </w:instrText>
        </w:r>
        <w:r>
          <w:fldChar w:fldCharType="separate"/>
        </w:r>
        <w:r>
          <w:t>8</w:t>
        </w:r>
        <w:r>
          <w:fldChar w:fldCharType="end"/>
        </w:r>
      </w:hyperlink>
    </w:p>
    <w:p w14:paraId="534B4FF7" w14:textId="77777777" w:rsidR="00564588" w:rsidRDefault="00000000">
      <w:pPr>
        <w:pStyle w:val="TOC2"/>
        <w:tabs>
          <w:tab w:val="clear" w:pos="9344"/>
          <w:tab w:val="right" w:leader="dot" w:pos="9354"/>
        </w:tabs>
      </w:pPr>
      <w:hyperlink w:anchor="_Toc10358" w:history="1">
        <w:r>
          <w:rPr>
            <w:rFonts w:hint="eastAsia"/>
          </w:rPr>
          <w:t>5.2 元数据模型要素的属性要求</w:t>
        </w:r>
        <w:r>
          <w:tab/>
        </w:r>
        <w:r>
          <w:fldChar w:fldCharType="begin"/>
        </w:r>
        <w:r>
          <w:instrText xml:space="preserve"> PAGEREF _Toc10358 \h </w:instrText>
        </w:r>
        <w:r>
          <w:fldChar w:fldCharType="separate"/>
        </w:r>
        <w:r>
          <w:t>8</w:t>
        </w:r>
        <w:r>
          <w:fldChar w:fldCharType="end"/>
        </w:r>
      </w:hyperlink>
    </w:p>
    <w:p w14:paraId="0B479BE3" w14:textId="77777777" w:rsidR="00564588" w:rsidRDefault="00000000">
      <w:pPr>
        <w:pStyle w:val="TOC1"/>
        <w:tabs>
          <w:tab w:val="right" w:leader="dot" w:pos="9354"/>
        </w:tabs>
      </w:pPr>
      <w:hyperlink w:anchor="_Toc11115" w:history="1">
        <w:r>
          <w:rPr>
            <w:rFonts w:hint="eastAsia"/>
          </w:rPr>
          <w:t>6 生命健康领域危害物标准参考数据评估指标体系</w:t>
        </w:r>
        <w:r>
          <w:tab/>
        </w:r>
        <w:r>
          <w:fldChar w:fldCharType="begin"/>
        </w:r>
        <w:r>
          <w:instrText xml:space="preserve"> PAGEREF _Toc11115 \h </w:instrText>
        </w:r>
        <w:r>
          <w:fldChar w:fldCharType="separate"/>
        </w:r>
        <w:r>
          <w:t>8</w:t>
        </w:r>
        <w:r>
          <w:fldChar w:fldCharType="end"/>
        </w:r>
      </w:hyperlink>
    </w:p>
    <w:p w14:paraId="55340F2F" w14:textId="77777777" w:rsidR="00564588" w:rsidRDefault="00000000">
      <w:pPr>
        <w:pStyle w:val="TOC2"/>
        <w:tabs>
          <w:tab w:val="clear" w:pos="9344"/>
          <w:tab w:val="right" w:leader="dot" w:pos="9354"/>
        </w:tabs>
      </w:pPr>
      <w:hyperlink w:anchor="_Toc8033" w:history="1">
        <w:r>
          <w:rPr>
            <w:rFonts w:hint="eastAsia"/>
          </w:rPr>
          <w:t>6.1 严格评价指标</w:t>
        </w:r>
        <w:r>
          <w:tab/>
        </w:r>
        <w:r>
          <w:fldChar w:fldCharType="begin"/>
        </w:r>
        <w:r>
          <w:instrText xml:space="preserve"> PAGEREF _Toc8033 \h </w:instrText>
        </w:r>
        <w:r>
          <w:fldChar w:fldCharType="separate"/>
        </w:r>
        <w:r>
          <w:t>8</w:t>
        </w:r>
        <w:r>
          <w:fldChar w:fldCharType="end"/>
        </w:r>
      </w:hyperlink>
    </w:p>
    <w:p w14:paraId="49374EFF" w14:textId="77777777" w:rsidR="00564588" w:rsidRDefault="00000000">
      <w:pPr>
        <w:pStyle w:val="TOC2"/>
        <w:tabs>
          <w:tab w:val="clear" w:pos="9344"/>
          <w:tab w:val="right" w:leader="dot" w:pos="9354"/>
        </w:tabs>
      </w:pPr>
      <w:hyperlink w:anchor="_Toc29492" w:history="1">
        <w:r>
          <w:rPr>
            <w:rFonts w:hint="eastAsia"/>
          </w:rPr>
          <w:t>6.2 准确核验指标</w:t>
        </w:r>
        <w:r>
          <w:tab/>
        </w:r>
        <w:r>
          <w:fldChar w:fldCharType="begin"/>
        </w:r>
        <w:r>
          <w:instrText xml:space="preserve"> PAGEREF _Toc29492 \h </w:instrText>
        </w:r>
        <w:r>
          <w:fldChar w:fldCharType="separate"/>
        </w:r>
        <w:r>
          <w:t>9</w:t>
        </w:r>
        <w:r>
          <w:fldChar w:fldCharType="end"/>
        </w:r>
      </w:hyperlink>
    </w:p>
    <w:p w14:paraId="69DE6D11" w14:textId="77777777" w:rsidR="00564588" w:rsidRDefault="00000000">
      <w:pPr>
        <w:pStyle w:val="TOC2"/>
        <w:tabs>
          <w:tab w:val="clear" w:pos="9344"/>
          <w:tab w:val="right" w:leader="dot" w:pos="9354"/>
        </w:tabs>
      </w:pPr>
      <w:hyperlink w:anchor="_Toc13836" w:history="1">
        <w:r>
          <w:rPr>
            <w:rFonts w:hint="eastAsia"/>
          </w:rPr>
          <w:t>6.3 相关性指标</w:t>
        </w:r>
        <w:r>
          <w:tab/>
        </w:r>
        <w:r>
          <w:fldChar w:fldCharType="begin"/>
        </w:r>
        <w:r>
          <w:instrText xml:space="preserve"> PAGEREF _Toc13836 \h </w:instrText>
        </w:r>
        <w:r>
          <w:fldChar w:fldCharType="separate"/>
        </w:r>
        <w:r>
          <w:t>9</w:t>
        </w:r>
        <w:r>
          <w:fldChar w:fldCharType="end"/>
        </w:r>
      </w:hyperlink>
    </w:p>
    <w:p w14:paraId="150B1C9D" w14:textId="77777777" w:rsidR="00564588" w:rsidRDefault="00000000">
      <w:pPr>
        <w:pStyle w:val="TOC2"/>
        <w:tabs>
          <w:tab w:val="clear" w:pos="9344"/>
          <w:tab w:val="right" w:leader="dot" w:pos="9354"/>
        </w:tabs>
      </w:pPr>
      <w:hyperlink w:anchor="_Toc2620" w:history="1">
        <w:r>
          <w:rPr>
            <w:rFonts w:hint="eastAsia"/>
          </w:rPr>
          <w:t>6.4 指标计算方法</w:t>
        </w:r>
        <w:r>
          <w:tab/>
        </w:r>
        <w:r>
          <w:fldChar w:fldCharType="begin"/>
        </w:r>
        <w:r>
          <w:instrText xml:space="preserve"> PAGEREF _Toc2620 \h </w:instrText>
        </w:r>
        <w:r>
          <w:fldChar w:fldCharType="separate"/>
        </w:r>
        <w:r>
          <w:t>10</w:t>
        </w:r>
        <w:r>
          <w:fldChar w:fldCharType="end"/>
        </w:r>
      </w:hyperlink>
    </w:p>
    <w:p w14:paraId="66557B0A" w14:textId="77777777" w:rsidR="00564588" w:rsidRDefault="00000000">
      <w:pPr>
        <w:pStyle w:val="TOC1"/>
        <w:tabs>
          <w:tab w:val="right" w:leader="dot" w:pos="9354"/>
        </w:tabs>
      </w:pPr>
      <w:hyperlink w:anchor="_Toc28784" w:history="1">
        <w:r>
          <w:rPr>
            <w:rFonts w:hAnsi="宋体" w:hint="eastAsia"/>
          </w:rPr>
          <w:t>6.4.1 缺失率</w:t>
        </w:r>
        <w:r>
          <w:tab/>
        </w:r>
        <w:r>
          <w:fldChar w:fldCharType="begin"/>
        </w:r>
        <w:r>
          <w:instrText xml:space="preserve"> PAGEREF _Toc28784 \h </w:instrText>
        </w:r>
        <w:r>
          <w:fldChar w:fldCharType="separate"/>
        </w:r>
        <w:r>
          <w:t>10</w:t>
        </w:r>
        <w:r>
          <w:fldChar w:fldCharType="end"/>
        </w:r>
      </w:hyperlink>
    </w:p>
    <w:p w14:paraId="785E1DD3" w14:textId="77777777" w:rsidR="00564588" w:rsidRDefault="00000000">
      <w:pPr>
        <w:pStyle w:val="TOC1"/>
        <w:tabs>
          <w:tab w:val="right" w:leader="dot" w:pos="9354"/>
        </w:tabs>
      </w:pPr>
      <w:hyperlink w:anchor="_Toc10938" w:history="1">
        <w:r>
          <w:rPr>
            <w:rFonts w:hAnsi="宋体" w:hint="eastAsia"/>
          </w:rPr>
          <w:t>6.4.2 覆盖率</w:t>
        </w:r>
        <w:r>
          <w:tab/>
        </w:r>
        <w:r>
          <w:fldChar w:fldCharType="begin"/>
        </w:r>
        <w:r>
          <w:instrText xml:space="preserve"> PAGEREF _Toc10938 \h </w:instrText>
        </w:r>
        <w:r>
          <w:fldChar w:fldCharType="separate"/>
        </w:r>
        <w:r>
          <w:t>10</w:t>
        </w:r>
        <w:r>
          <w:fldChar w:fldCharType="end"/>
        </w:r>
      </w:hyperlink>
    </w:p>
    <w:p w14:paraId="4DAB16C5" w14:textId="77777777" w:rsidR="00564588" w:rsidRDefault="00000000">
      <w:pPr>
        <w:pStyle w:val="TOC1"/>
        <w:tabs>
          <w:tab w:val="right" w:leader="dot" w:pos="9354"/>
        </w:tabs>
      </w:pPr>
      <w:hyperlink w:anchor="_Toc13725" w:history="1">
        <w:r>
          <w:rPr>
            <w:rFonts w:hAnsi="宋体" w:hint="eastAsia"/>
          </w:rPr>
          <w:t>6.4.3 采纳率</w:t>
        </w:r>
        <w:r>
          <w:tab/>
        </w:r>
        <w:r>
          <w:fldChar w:fldCharType="begin"/>
        </w:r>
        <w:r>
          <w:instrText xml:space="preserve"> PAGEREF _Toc13725 \h </w:instrText>
        </w:r>
        <w:r>
          <w:fldChar w:fldCharType="separate"/>
        </w:r>
        <w:r>
          <w:t>10</w:t>
        </w:r>
        <w:r>
          <w:fldChar w:fldCharType="end"/>
        </w:r>
      </w:hyperlink>
    </w:p>
    <w:p w14:paraId="37956BCB" w14:textId="77777777" w:rsidR="00564588" w:rsidRDefault="00000000">
      <w:pPr>
        <w:pStyle w:val="TOC1"/>
        <w:tabs>
          <w:tab w:val="right" w:leader="dot" w:pos="9354"/>
        </w:tabs>
      </w:pPr>
      <w:hyperlink w:anchor="_Toc9828" w:history="1">
        <w:r>
          <w:rPr>
            <w:rFonts w:hAnsi="宋体" w:hint="eastAsia"/>
          </w:rPr>
          <w:t>6.4.4 一致性差异</w:t>
        </w:r>
        <w:r>
          <w:tab/>
        </w:r>
        <w:r>
          <w:fldChar w:fldCharType="begin"/>
        </w:r>
        <w:r>
          <w:instrText xml:space="preserve"> PAGEREF _Toc9828 \h </w:instrText>
        </w:r>
        <w:r>
          <w:fldChar w:fldCharType="separate"/>
        </w:r>
        <w:r>
          <w:t>10</w:t>
        </w:r>
        <w:r>
          <w:fldChar w:fldCharType="end"/>
        </w:r>
      </w:hyperlink>
    </w:p>
    <w:p w14:paraId="7A55179F" w14:textId="77777777" w:rsidR="00564588" w:rsidRDefault="00000000">
      <w:pPr>
        <w:pStyle w:val="TOC1"/>
        <w:tabs>
          <w:tab w:val="right" w:leader="dot" w:pos="9354"/>
        </w:tabs>
      </w:pPr>
      <w:hyperlink w:anchor="_Toc9132" w:history="1">
        <w:r>
          <w:rPr>
            <w:rFonts w:hAnsi="宋体" w:hint="eastAsia"/>
          </w:rPr>
          <w:t>6.4.5 更新年限</w:t>
        </w:r>
        <w:r>
          <w:tab/>
        </w:r>
        <w:r>
          <w:fldChar w:fldCharType="begin"/>
        </w:r>
        <w:r>
          <w:instrText xml:space="preserve"> PAGEREF _Toc9132 \h </w:instrText>
        </w:r>
        <w:r>
          <w:fldChar w:fldCharType="separate"/>
        </w:r>
        <w:r>
          <w:t>10</w:t>
        </w:r>
        <w:r>
          <w:fldChar w:fldCharType="end"/>
        </w:r>
      </w:hyperlink>
    </w:p>
    <w:p w14:paraId="2D78168A" w14:textId="77777777" w:rsidR="00564588" w:rsidRDefault="00000000">
      <w:pPr>
        <w:pStyle w:val="TOC1"/>
        <w:tabs>
          <w:tab w:val="right" w:leader="dot" w:pos="9354"/>
        </w:tabs>
      </w:pPr>
      <w:hyperlink w:anchor="_Toc28967" w:history="1">
        <w:r>
          <w:rPr>
            <w:rFonts w:hint="eastAsia"/>
          </w:rPr>
          <w:t>7 生命健康领域危害物质标准参考数据评估流程</w:t>
        </w:r>
        <w:r>
          <w:tab/>
        </w:r>
        <w:r>
          <w:fldChar w:fldCharType="begin"/>
        </w:r>
        <w:r>
          <w:instrText xml:space="preserve"> PAGEREF _Toc28967 \h </w:instrText>
        </w:r>
        <w:r>
          <w:fldChar w:fldCharType="separate"/>
        </w:r>
        <w:r>
          <w:t>10</w:t>
        </w:r>
        <w:r>
          <w:fldChar w:fldCharType="end"/>
        </w:r>
      </w:hyperlink>
    </w:p>
    <w:p w14:paraId="730575A2" w14:textId="77777777" w:rsidR="00564588" w:rsidRDefault="00000000">
      <w:pPr>
        <w:pStyle w:val="TOC2"/>
        <w:tabs>
          <w:tab w:val="clear" w:pos="9344"/>
          <w:tab w:val="right" w:leader="dot" w:pos="9354"/>
        </w:tabs>
      </w:pPr>
      <w:hyperlink w:anchor="_Toc23599" w:history="1">
        <w:r>
          <w:rPr>
            <w:rFonts w:hint="eastAsia"/>
          </w:rPr>
          <w:t>7.1 具体评估流程</w:t>
        </w:r>
        <w:r>
          <w:tab/>
        </w:r>
        <w:r>
          <w:fldChar w:fldCharType="begin"/>
        </w:r>
        <w:r>
          <w:instrText xml:space="preserve"> PAGEREF _Toc23599 \h </w:instrText>
        </w:r>
        <w:r>
          <w:fldChar w:fldCharType="separate"/>
        </w:r>
        <w:r>
          <w:t>10</w:t>
        </w:r>
        <w:r>
          <w:fldChar w:fldCharType="end"/>
        </w:r>
      </w:hyperlink>
    </w:p>
    <w:p w14:paraId="337ECF53" w14:textId="77777777" w:rsidR="00564588" w:rsidRDefault="00000000">
      <w:pPr>
        <w:pStyle w:val="TOC1"/>
        <w:tabs>
          <w:tab w:val="right" w:leader="dot" w:pos="9354"/>
        </w:tabs>
      </w:pPr>
      <w:hyperlink w:anchor="_Toc30299" w:history="1">
        <w:r>
          <w:rPr>
            <w:rFonts w:hAnsi="宋体" w:hint="eastAsia"/>
          </w:rPr>
          <w:t>7.1.2 形式审查员评审流程</w:t>
        </w:r>
        <w:r>
          <w:tab/>
        </w:r>
        <w:r>
          <w:fldChar w:fldCharType="begin"/>
        </w:r>
        <w:r>
          <w:instrText xml:space="preserve"> PAGEREF _Toc30299 \h </w:instrText>
        </w:r>
        <w:r>
          <w:fldChar w:fldCharType="separate"/>
        </w:r>
        <w:r>
          <w:t>11</w:t>
        </w:r>
        <w:r>
          <w:fldChar w:fldCharType="end"/>
        </w:r>
      </w:hyperlink>
    </w:p>
    <w:p w14:paraId="22E46637" w14:textId="77777777" w:rsidR="00564588" w:rsidRDefault="00000000">
      <w:pPr>
        <w:pStyle w:val="TOC1"/>
        <w:tabs>
          <w:tab w:val="right" w:leader="dot" w:pos="9354"/>
        </w:tabs>
      </w:pPr>
      <w:hyperlink w:anchor="_Toc21758" w:history="1">
        <w:r>
          <w:rPr>
            <w:rFonts w:hAnsi="宋体" w:hint="eastAsia"/>
          </w:rPr>
          <w:t>7.1.3 技术委员会评审流程</w:t>
        </w:r>
        <w:r>
          <w:tab/>
        </w:r>
        <w:r>
          <w:fldChar w:fldCharType="begin"/>
        </w:r>
        <w:r>
          <w:instrText xml:space="preserve"> PAGEREF _Toc21758 \h </w:instrText>
        </w:r>
        <w:r>
          <w:fldChar w:fldCharType="separate"/>
        </w:r>
        <w:r>
          <w:t>12</w:t>
        </w:r>
        <w:r>
          <w:fldChar w:fldCharType="end"/>
        </w:r>
      </w:hyperlink>
    </w:p>
    <w:p w14:paraId="2F321543" w14:textId="77777777" w:rsidR="00564588" w:rsidRDefault="00000000">
      <w:pPr>
        <w:pStyle w:val="TOC1"/>
        <w:tabs>
          <w:tab w:val="right" w:leader="dot" w:pos="9354"/>
        </w:tabs>
      </w:pPr>
      <w:hyperlink w:anchor="_Toc13521" w:history="1">
        <w:r>
          <w:rPr>
            <w:rFonts w:hAnsi="宋体" w:hint="eastAsia"/>
          </w:rPr>
          <w:t>7.1.4 指导委员会评审流程</w:t>
        </w:r>
        <w:r>
          <w:tab/>
        </w:r>
        <w:r>
          <w:fldChar w:fldCharType="begin"/>
        </w:r>
        <w:r>
          <w:instrText xml:space="preserve"> PAGEREF _Toc13521 \h </w:instrText>
        </w:r>
        <w:r>
          <w:fldChar w:fldCharType="separate"/>
        </w:r>
        <w:r>
          <w:t>12</w:t>
        </w:r>
        <w:r>
          <w:fldChar w:fldCharType="end"/>
        </w:r>
      </w:hyperlink>
    </w:p>
    <w:p w14:paraId="2F66778B" w14:textId="77777777" w:rsidR="00564588" w:rsidRDefault="00000000">
      <w:pPr>
        <w:pStyle w:val="TOC2"/>
        <w:tabs>
          <w:tab w:val="clear" w:pos="9344"/>
          <w:tab w:val="right" w:leader="dot" w:pos="9354"/>
        </w:tabs>
      </w:pPr>
      <w:hyperlink w:anchor="_Toc22679" w:history="1">
        <w:r>
          <w:t xml:space="preserve">7.2 </w:t>
        </w:r>
        <w:r>
          <w:rPr>
            <w:rFonts w:hint="eastAsia"/>
          </w:rPr>
          <w:t>评估流程组织</w:t>
        </w:r>
        <w:r>
          <w:tab/>
        </w:r>
        <w:r>
          <w:fldChar w:fldCharType="begin"/>
        </w:r>
        <w:r>
          <w:instrText xml:space="preserve"> PAGEREF _Toc22679 \h </w:instrText>
        </w:r>
        <w:r>
          <w:fldChar w:fldCharType="separate"/>
        </w:r>
        <w:r>
          <w:t>13</w:t>
        </w:r>
        <w:r>
          <w:fldChar w:fldCharType="end"/>
        </w:r>
      </w:hyperlink>
    </w:p>
    <w:p w14:paraId="0904DEEC" w14:textId="77777777" w:rsidR="00564588" w:rsidRDefault="00000000">
      <w:pPr>
        <w:pStyle w:val="TOC1"/>
        <w:tabs>
          <w:tab w:val="right" w:leader="dot" w:pos="9354"/>
        </w:tabs>
      </w:pPr>
      <w:hyperlink w:anchor="_Toc16438" w:history="1">
        <w:r>
          <w:rPr>
            <w:rFonts w:hint="eastAsia"/>
          </w:rPr>
          <w:t>8. 生命健康领域危害物标准参考数据评估复查要求</w:t>
        </w:r>
        <w:r>
          <w:tab/>
        </w:r>
        <w:r>
          <w:fldChar w:fldCharType="begin"/>
        </w:r>
        <w:r>
          <w:instrText xml:space="preserve"> PAGEREF _Toc16438 \h </w:instrText>
        </w:r>
        <w:r>
          <w:fldChar w:fldCharType="separate"/>
        </w:r>
        <w:r>
          <w:t>13</w:t>
        </w:r>
        <w:r>
          <w:fldChar w:fldCharType="end"/>
        </w:r>
      </w:hyperlink>
    </w:p>
    <w:p w14:paraId="1AE8CBE5" w14:textId="77777777" w:rsidR="00564588" w:rsidRDefault="00000000">
      <w:pPr>
        <w:pStyle w:val="TOC2"/>
        <w:tabs>
          <w:tab w:val="clear" w:pos="9344"/>
          <w:tab w:val="right" w:leader="dot" w:pos="9354"/>
        </w:tabs>
      </w:pPr>
      <w:hyperlink w:anchor="_Toc31348" w:history="1">
        <w:r>
          <w:t xml:space="preserve">8.1 </w:t>
        </w:r>
        <w:r>
          <w:rPr>
            <w:rFonts w:hint="eastAsia"/>
          </w:rPr>
          <w:t>定期复查</w:t>
        </w:r>
        <w:r>
          <w:tab/>
        </w:r>
        <w:r>
          <w:fldChar w:fldCharType="begin"/>
        </w:r>
        <w:r>
          <w:instrText xml:space="preserve"> PAGEREF _Toc31348 \h </w:instrText>
        </w:r>
        <w:r>
          <w:fldChar w:fldCharType="separate"/>
        </w:r>
        <w:r>
          <w:t>13</w:t>
        </w:r>
        <w:r>
          <w:fldChar w:fldCharType="end"/>
        </w:r>
      </w:hyperlink>
    </w:p>
    <w:p w14:paraId="6FE2C098" w14:textId="77777777" w:rsidR="00564588" w:rsidRDefault="00000000">
      <w:pPr>
        <w:pStyle w:val="TOC2"/>
        <w:tabs>
          <w:tab w:val="clear" w:pos="9344"/>
          <w:tab w:val="right" w:leader="dot" w:pos="9354"/>
        </w:tabs>
      </w:pPr>
      <w:hyperlink w:anchor="_Toc31386" w:history="1">
        <w:r>
          <w:t xml:space="preserve">8.2 </w:t>
        </w:r>
        <w:r>
          <w:rPr>
            <w:rFonts w:hint="eastAsia"/>
          </w:rPr>
          <w:t>变化项复查</w:t>
        </w:r>
        <w:r>
          <w:tab/>
        </w:r>
        <w:r>
          <w:fldChar w:fldCharType="begin"/>
        </w:r>
        <w:r>
          <w:instrText xml:space="preserve"> PAGEREF _Toc31386 \h </w:instrText>
        </w:r>
        <w:r>
          <w:fldChar w:fldCharType="separate"/>
        </w:r>
        <w:r>
          <w:t>13</w:t>
        </w:r>
        <w:r>
          <w:fldChar w:fldCharType="end"/>
        </w:r>
      </w:hyperlink>
    </w:p>
    <w:p w14:paraId="69036E18" w14:textId="77777777" w:rsidR="00564588" w:rsidRDefault="00000000">
      <w:pPr>
        <w:pStyle w:val="TOC2"/>
        <w:tabs>
          <w:tab w:val="clear" w:pos="9344"/>
          <w:tab w:val="right" w:leader="dot" w:pos="9354"/>
        </w:tabs>
      </w:pPr>
      <w:hyperlink w:anchor="_Toc9975" w:history="1">
        <w:r>
          <w:t xml:space="preserve">8.3 </w:t>
        </w:r>
        <w:r>
          <w:rPr>
            <w:rFonts w:hint="eastAsia"/>
          </w:rPr>
          <w:t>变化项复查</w:t>
        </w:r>
        <w:r>
          <w:tab/>
        </w:r>
        <w:r>
          <w:fldChar w:fldCharType="begin"/>
        </w:r>
        <w:r>
          <w:instrText xml:space="preserve"> PAGEREF _Toc9975 \h </w:instrText>
        </w:r>
        <w:r>
          <w:fldChar w:fldCharType="separate"/>
        </w:r>
        <w:r>
          <w:t>14</w:t>
        </w:r>
        <w:r>
          <w:fldChar w:fldCharType="end"/>
        </w:r>
      </w:hyperlink>
    </w:p>
    <w:p w14:paraId="43A377B2" w14:textId="77777777" w:rsidR="00564588" w:rsidRDefault="00000000">
      <w:pPr>
        <w:pStyle w:val="TOC2"/>
        <w:tabs>
          <w:tab w:val="clear" w:pos="9344"/>
          <w:tab w:val="right" w:leader="dot" w:pos="9354"/>
        </w:tabs>
      </w:pPr>
      <w:hyperlink w:anchor="_Toc12061" w:history="1">
        <w:r>
          <w:t xml:space="preserve">8.4 </w:t>
        </w:r>
        <w:r>
          <w:rPr>
            <w:rFonts w:hint="eastAsia"/>
          </w:rPr>
          <w:t>复查结果处理</w:t>
        </w:r>
        <w:r>
          <w:tab/>
        </w:r>
        <w:r>
          <w:fldChar w:fldCharType="begin"/>
        </w:r>
        <w:r>
          <w:instrText xml:space="preserve"> PAGEREF _Toc12061 \h </w:instrText>
        </w:r>
        <w:r>
          <w:fldChar w:fldCharType="separate"/>
        </w:r>
        <w:r>
          <w:t>14</w:t>
        </w:r>
        <w:r>
          <w:fldChar w:fldCharType="end"/>
        </w:r>
      </w:hyperlink>
    </w:p>
    <w:p w14:paraId="7133AD7F" w14:textId="77777777" w:rsidR="00564588" w:rsidRDefault="00000000">
      <w:pPr>
        <w:pStyle w:val="TOC2"/>
        <w:tabs>
          <w:tab w:val="clear" w:pos="9344"/>
          <w:tab w:val="right" w:leader="dot" w:pos="9354"/>
        </w:tabs>
      </w:pPr>
      <w:hyperlink w:anchor="_Toc29670" w:history="1">
        <w:r>
          <w:t xml:space="preserve">8.5 </w:t>
        </w:r>
        <w:r>
          <w:rPr>
            <w:rFonts w:hint="eastAsia"/>
          </w:rPr>
          <w:t>复查资料管理</w:t>
        </w:r>
        <w:r>
          <w:tab/>
        </w:r>
        <w:r>
          <w:fldChar w:fldCharType="begin"/>
        </w:r>
        <w:r>
          <w:instrText xml:space="preserve"> PAGEREF _Toc29670 \h </w:instrText>
        </w:r>
        <w:r>
          <w:fldChar w:fldCharType="separate"/>
        </w:r>
        <w:r>
          <w:t>14</w:t>
        </w:r>
        <w:r>
          <w:fldChar w:fldCharType="end"/>
        </w:r>
      </w:hyperlink>
    </w:p>
    <w:p w14:paraId="6693C610" w14:textId="77777777" w:rsidR="00564588" w:rsidRDefault="00000000">
      <w:pPr>
        <w:pStyle w:val="TOC1"/>
        <w:tabs>
          <w:tab w:val="right" w:leader="dot" w:pos="9354"/>
        </w:tabs>
      </w:pPr>
      <w:hyperlink w:anchor="_Toc16141" w:history="1">
        <w:r>
          <w:rPr>
            <w:rFonts w:hint="eastAsia"/>
            <w:spacing w:val="100"/>
          </w:rPr>
          <w:t xml:space="preserve">附录A </w:t>
        </w:r>
        <w:r>
          <w:t xml:space="preserve"> </w:t>
        </w:r>
        <w:r>
          <w:rPr>
            <w:rFonts w:hint="eastAsia"/>
          </w:rPr>
          <w:t>（规范性）</w:t>
        </w:r>
        <w:r>
          <w:t xml:space="preserve"> </w:t>
        </w:r>
        <w:r>
          <w:rPr>
            <w:rFonts w:hint="eastAsia"/>
          </w:rPr>
          <w:t>评估指标计算示例</w:t>
        </w:r>
        <w:r>
          <w:tab/>
        </w:r>
        <w:r>
          <w:fldChar w:fldCharType="begin"/>
        </w:r>
        <w:r>
          <w:instrText xml:space="preserve"> PAGEREF _Toc16141 \h </w:instrText>
        </w:r>
        <w:r>
          <w:fldChar w:fldCharType="separate"/>
        </w:r>
        <w:r>
          <w:t>15</w:t>
        </w:r>
        <w:r>
          <w:fldChar w:fldCharType="end"/>
        </w:r>
      </w:hyperlink>
    </w:p>
    <w:p w14:paraId="4E22476D" w14:textId="77777777" w:rsidR="00564588" w:rsidRDefault="00000000">
      <w:pPr>
        <w:pStyle w:val="TOC2"/>
        <w:tabs>
          <w:tab w:val="clear" w:pos="9344"/>
          <w:tab w:val="right" w:leader="dot" w:pos="9354"/>
        </w:tabs>
      </w:pPr>
      <w:hyperlink w:anchor="_Toc15750" w:history="1">
        <w:r>
          <w:rPr>
            <w:rFonts w:hint="eastAsia"/>
          </w:rPr>
          <w:t>A.1 示例背景</w:t>
        </w:r>
        <w:r>
          <w:tab/>
        </w:r>
        <w:r>
          <w:fldChar w:fldCharType="begin"/>
        </w:r>
        <w:r>
          <w:instrText xml:space="preserve"> PAGEREF _Toc15750 \h </w:instrText>
        </w:r>
        <w:r>
          <w:fldChar w:fldCharType="separate"/>
        </w:r>
        <w:r>
          <w:t>15</w:t>
        </w:r>
        <w:r>
          <w:fldChar w:fldCharType="end"/>
        </w:r>
      </w:hyperlink>
    </w:p>
    <w:p w14:paraId="141B04DB" w14:textId="77777777" w:rsidR="00564588" w:rsidRDefault="00000000">
      <w:pPr>
        <w:pStyle w:val="TOC2"/>
        <w:tabs>
          <w:tab w:val="clear" w:pos="9344"/>
          <w:tab w:val="right" w:leader="dot" w:pos="9354"/>
        </w:tabs>
      </w:pPr>
      <w:hyperlink w:anchor="_Toc23807" w:history="1">
        <w:r>
          <w:rPr>
            <w:rFonts w:hint="eastAsia"/>
          </w:rPr>
          <w:t>A.2 严格性评价</w:t>
        </w:r>
        <w:r>
          <w:tab/>
        </w:r>
        <w:r>
          <w:fldChar w:fldCharType="begin"/>
        </w:r>
        <w:r>
          <w:instrText xml:space="preserve"> PAGEREF _Toc23807 \h </w:instrText>
        </w:r>
        <w:r>
          <w:fldChar w:fldCharType="separate"/>
        </w:r>
        <w:r>
          <w:t>15</w:t>
        </w:r>
        <w:r>
          <w:fldChar w:fldCharType="end"/>
        </w:r>
      </w:hyperlink>
    </w:p>
    <w:p w14:paraId="6B95FA61" w14:textId="77777777" w:rsidR="00564588" w:rsidRDefault="00000000">
      <w:pPr>
        <w:pStyle w:val="TOC2"/>
        <w:tabs>
          <w:tab w:val="clear" w:pos="9344"/>
          <w:tab w:val="right" w:leader="dot" w:pos="9354"/>
        </w:tabs>
      </w:pPr>
      <w:hyperlink w:anchor="_Toc15833" w:history="1">
        <w:r>
          <w:rPr>
            <w:rFonts w:hint="eastAsia"/>
          </w:rPr>
          <w:t>A.3 准确性评价</w:t>
        </w:r>
        <w:r>
          <w:tab/>
        </w:r>
        <w:r>
          <w:fldChar w:fldCharType="begin"/>
        </w:r>
        <w:r>
          <w:instrText xml:space="preserve"> PAGEREF _Toc15833 \h </w:instrText>
        </w:r>
        <w:r>
          <w:fldChar w:fldCharType="separate"/>
        </w:r>
        <w:r>
          <w:t>15</w:t>
        </w:r>
        <w:r>
          <w:fldChar w:fldCharType="end"/>
        </w:r>
      </w:hyperlink>
    </w:p>
    <w:p w14:paraId="73B35D9C" w14:textId="77777777" w:rsidR="00564588" w:rsidRDefault="00000000">
      <w:pPr>
        <w:pStyle w:val="TOC2"/>
        <w:tabs>
          <w:tab w:val="clear" w:pos="9344"/>
          <w:tab w:val="right" w:leader="dot" w:pos="9354"/>
        </w:tabs>
      </w:pPr>
      <w:hyperlink w:anchor="_Toc28074" w:history="1">
        <w:r>
          <w:rPr>
            <w:rFonts w:hint="eastAsia"/>
          </w:rPr>
          <w:t>A.4 相关性评价</w:t>
        </w:r>
        <w:r>
          <w:tab/>
        </w:r>
        <w:r>
          <w:fldChar w:fldCharType="begin"/>
        </w:r>
        <w:r>
          <w:instrText xml:space="preserve"> PAGEREF _Toc28074 \h </w:instrText>
        </w:r>
        <w:r>
          <w:fldChar w:fldCharType="separate"/>
        </w:r>
        <w:r>
          <w:t>15</w:t>
        </w:r>
        <w:r>
          <w:fldChar w:fldCharType="end"/>
        </w:r>
      </w:hyperlink>
    </w:p>
    <w:p w14:paraId="431B2BF9" w14:textId="77777777" w:rsidR="00564588" w:rsidRDefault="00000000">
      <w:pPr>
        <w:pStyle w:val="TOC2"/>
        <w:tabs>
          <w:tab w:val="clear" w:pos="9344"/>
          <w:tab w:val="right" w:leader="dot" w:pos="9354"/>
        </w:tabs>
      </w:pPr>
      <w:hyperlink w:anchor="_Toc30351" w:history="1">
        <w:r>
          <w:rPr>
            <w:rFonts w:hint="eastAsia"/>
          </w:rPr>
          <w:t>A.5 总体评价</w:t>
        </w:r>
        <w:r>
          <w:tab/>
        </w:r>
        <w:r>
          <w:fldChar w:fldCharType="begin"/>
        </w:r>
        <w:r>
          <w:instrText xml:space="preserve"> PAGEREF _Toc30351 \h </w:instrText>
        </w:r>
        <w:r>
          <w:fldChar w:fldCharType="separate"/>
        </w:r>
        <w:r>
          <w:t>15</w:t>
        </w:r>
        <w:r>
          <w:fldChar w:fldCharType="end"/>
        </w:r>
      </w:hyperlink>
    </w:p>
    <w:p w14:paraId="0472C481" w14:textId="77777777" w:rsidR="00564588" w:rsidRDefault="00000000">
      <w:pPr>
        <w:pStyle w:val="TOC1"/>
        <w:tabs>
          <w:tab w:val="right" w:leader="dot" w:pos="9354"/>
        </w:tabs>
      </w:pPr>
      <w:hyperlink w:anchor="_Toc9348" w:history="1">
        <w:r>
          <w:rPr>
            <w:rFonts w:hint="eastAsia"/>
            <w:spacing w:val="100"/>
          </w:rPr>
          <w:t xml:space="preserve">附录B </w:t>
        </w:r>
        <w:r>
          <w:t xml:space="preserve"> </w:t>
        </w:r>
        <w:r>
          <w:rPr>
            <w:rFonts w:hint="eastAsia"/>
          </w:rPr>
          <w:t>（规范性）</w:t>
        </w:r>
        <w:r>
          <w:t xml:space="preserve"> </w:t>
        </w:r>
        <w:r>
          <w:rPr>
            <w:rFonts w:hint="eastAsia"/>
          </w:rPr>
          <w:t>生命健康领域标准参考数据审查表格式</w:t>
        </w:r>
        <w:r>
          <w:tab/>
        </w:r>
        <w:r>
          <w:fldChar w:fldCharType="begin"/>
        </w:r>
        <w:r>
          <w:instrText xml:space="preserve"> PAGEREF _Toc9348 \h </w:instrText>
        </w:r>
        <w:r>
          <w:fldChar w:fldCharType="separate"/>
        </w:r>
        <w:r>
          <w:t>16</w:t>
        </w:r>
        <w:r>
          <w:fldChar w:fldCharType="end"/>
        </w:r>
      </w:hyperlink>
    </w:p>
    <w:p w14:paraId="41E9428F" w14:textId="77777777" w:rsidR="00564588" w:rsidRDefault="00000000">
      <w:pPr>
        <w:pStyle w:val="TOC1"/>
        <w:tabs>
          <w:tab w:val="right" w:leader="dot" w:pos="9354"/>
        </w:tabs>
      </w:pPr>
      <w:hyperlink w:anchor="_Toc19363" w:history="1">
        <w:r>
          <w:rPr>
            <w:rFonts w:hint="eastAsia"/>
            <w:spacing w:val="100"/>
          </w:rPr>
          <w:t xml:space="preserve">附录C </w:t>
        </w:r>
        <w:r>
          <w:t xml:space="preserve"> </w:t>
        </w:r>
        <w:r>
          <w:rPr>
            <w:rFonts w:hint="eastAsia"/>
          </w:rPr>
          <w:t>（规范性）</w:t>
        </w:r>
        <w:r>
          <w:t xml:space="preserve"> </w:t>
        </w:r>
        <w:r>
          <w:rPr>
            <w:rFonts w:hint="eastAsia"/>
          </w:rPr>
          <w:t>评估流程参考示例</w:t>
        </w:r>
        <w:r>
          <w:tab/>
        </w:r>
        <w:r>
          <w:fldChar w:fldCharType="begin"/>
        </w:r>
        <w:r>
          <w:instrText xml:space="preserve"> PAGEREF _Toc19363 \h </w:instrText>
        </w:r>
        <w:r>
          <w:fldChar w:fldCharType="separate"/>
        </w:r>
        <w:r>
          <w:t>19</w:t>
        </w:r>
        <w:r>
          <w:fldChar w:fldCharType="end"/>
        </w:r>
      </w:hyperlink>
    </w:p>
    <w:p w14:paraId="2CAB3C8B" w14:textId="77777777" w:rsidR="00564588" w:rsidRDefault="00000000">
      <w:pPr>
        <w:pStyle w:val="TOC1"/>
        <w:tabs>
          <w:tab w:val="right" w:leader="dot" w:pos="9354"/>
        </w:tabs>
      </w:pPr>
      <w:hyperlink w:anchor="_Toc25213" w:history="1">
        <w:r>
          <w:rPr>
            <w:rFonts w:hint="eastAsia"/>
          </w:rPr>
          <w:t>参  考  文  献</w:t>
        </w:r>
        <w:r>
          <w:t xml:space="preserve"> </w:t>
        </w:r>
        <w:r>
          <w:tab/>
        </w:r>
        <w:r>
          <w:fldChar w:fldCharType="begin"/>
        </w:r>
        <w:r>
          <w:instrText xml:space="preserve"> PAGEREF _Toc25213 \h </w:instrText>
        </w:r>
        <w:r>
          <w:fldChar w:fldCharType="separate"/>
        </w:r>
        <w:r>
          <w:t>20</w:t>
        </w:r>
        <w:r>
          <w:fldChar w:fldCharType="end"/>
        </w:r>
      </w:hyperlink>
    </w:p>
    <w:p w14:paraId="403E7D1C" w14:textId="77777777" w:rsidR="00564588" w:rsidRDefault="00000000">
      <w:pPr>
        <w:pStyle w:val="afffffff"/>
        <w:spacing w:after="360"/>
        <w:sectPr w:rsidR="00564588">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38526221" w14:textId="77777777" w:rsidR="00564588" w:rsidRDefault="00000000">
      <w:pPr>
        <w:pStyle w:val="a6"/>
        <w:numPr>
          <w:ilvl w:val="0"/>
          <w:numId w:val="0"/>
        </w:numPr>
        <w:spacing w:before="900" w:after="360"/>
        <w:ind w:left="425"/>
      </w:pPr>
      <w:bookmarkStart w:id="23" w:name="_Toc8712"/>
      <w:bookmarkStart w:id="24" w:name="BookMark2"/>
      <w:bookmarkEnd w:id="21"/>
      <w:r>
        <w:rPr>
          <w:spacing w:val="320"/>
        </w:rPr>
        <w:lastRenderedPageBreak/>
        <w:t>前</w:t>
      </w:r>
      <w:r>
        <w:t>言</w:t>
      </w:r>
      <w:bookmarkEnd w:id="22"/>
      <w:bookmarkEnd w:id="23"/>
    </w:p>
    <w:p w14:paraId="4B8B665A" w14:textId="77777777" w:rsidR="00564588" w:rsidRDefault="00000000">
      <w:pPr>
        <w:pStyle w:val="afffffa"/>
        <w:ind w:firstLine="420"/>
      </w:pPr>
      <w:r>
        <w:rPr>
          <w:rFonts w:hint="eastAsia"/>
        </w:rPr>
        <w:t>本文件按照GB/T 1.1—2020《标准化工作导则第1部分：标准化文件的结构和起草规则》的规定起草。</w:t>
      </w:r>
    </w:p>
    <w:p w14:paraId="3DE266C8" w14:textId="77777777" w:rsidR="00564588" w:rsidRDefault="00000000">
      <w:pPr>
        <w:pStyle w:val="afffffa"/>
        <w:ind w:firstLine="420"/>
      </w:pPr>
      <w:r>
        <w:t>请注意本文件的某些内容可能涉及专利。本文件的发布机构不承担识别专利的责任。</w:t>
      </w:r>
    </w:p>
    <w:p w14:paraId="318DE990" w14:textId="77777777" w:rsidR="00564588" w:rsidRDefault="00000000">
      <w:pPr>
        <w:pStyle w:val="afffffa"/>
        <w:ind w:firstLine="420"/>
      </w:pPr>
      <w:r>
        <w:t>本文件由中国计量协会提出。</w:t>
      </w:r>
    </w:p>
    <w:p w14:paraId="2C460A29" w14:textId="77777777" w:rsidR="00564588" w:rsidRDefault="00000000">
      <w:pPr>
        <w:pStyle w:val="afffffa"/>
        <w:ind w:firstLine="420"/>
      </w:pPr>
      <w:r>
        <w:t>本文件</w:t>
      </w:r>
      <w:r>
        <w:rPr>
          <w:rFonts w:hint="eastAsia"/>
        </w:rPr>
        <w:t>由中国计量协会智库工作委员会</w:t>
      </w:r>
      <w:r>
        <w:t>归口。</w:t>
      </w:r>
    </w:p>
    <w:p w14:paraId="1600A05D" w14:textId="4F75B79C" w:rsidR="00564588" w:rsidRDefault="00000000">
      <w:pPr>
        <w:pStyle w:val="afffffa"/>
        <w:ind w:firstLine="420"/>
      </w:pPr>
      <w:r>
        <w:t>本文件起草单位：</w:t>
      </w:r>
    </w:p>
    <w:p w14:paraId="3114BE9E" w14:textId="77777777" w:rsidR="00564588" w:rsidRDefault="00000000">
      <w:pPr>
        <w:pStyle w:val="afffffa"/>
        <w:ind w:firstLine="420"/>
      </w:pPr>
      <w:r>
        <w:t xml:space="preserve"> </w:t>
      </w:r>
    </w:p>
    <w:p w14:paraId="03E17B09" w14:textId="0030F8C2" w:rsidR="00564588" w:rsidRDefault="00000000">
      <w:pPr>
        <w:pStyle w:val="afffffa"/>
        <w:ind w:firstLine="420"/>
      </w:pPr>
      <w:r>
        <w:t>本文件主要起草人：</w:t>
      </w:r>
    </w:p>
    <w:p w14:paraId="7C39AE41" w14:textId="77777777" w:rsidR="00564588" w:rsidRDefault="00564588">
      <w:pPr>
        <w:pStyle w:val="afffffa"/>
        <w:ind w:firstLine="420"/>
      </w:pPr>
    </w:p>
    <w:p w14:paraId="4BDEF756" w14:textId="77777777" w:rsidR="00564588" w:rsidRDefault="00564588">
      <w:pPr>
        <w:pStyle w:val="afffffa"/>
        <w:ind w:firstLine="420"/>
        <w:sectPr w:rsidR="00564588">
          <w:pgSz w:w="11906" w:h="16838"/>
          <w:pgMar w:top="1928" w:right="1134" w:bottom="1134" w:left="1134" w:header="1418" w:footer="1134" w:gutter="284"/>
          <w:pgNumType w:fmt="upperRoman"/>
          <w:cols w:space="425"/>
          <w:formProt w:val="0"/>
          <w:docGrid w:linePitch="312"/>
        </w:sectPr>
      </w:pPr>
    </w:p>
    <w:p w14:paraId="43C384AB" w14:textId="77777777" w:rsidR="00564588" w:rsidRDefault="00564588">
      <w:pPr>
        <w:spacing w:line="20" w:lineRule="exact"/>
        <w:jc w:val="center"/>
        <w:rPr>
          <w:rFonts w:ascii="黑体" w:eastAsia="黑体" w:hAnsi="黑体" w:hint="eastAsia"/>
          <w:sz w:val="32"/>
          <w:szCs w:val="32"/>
        </w:rPr>
      </w:pPr>
      <w:bookmarkStart w:id="25" w:name="BookMark4"/>
      <w:bookmarkEnd w:id="24"/>
    </w:p>
    <w:p w14:paraId="3EC57993" w14:textId="77777777" w:rsidR="00564588" w:rsidRDefault="00564588">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C1ADB6D256DE44448A115F09195C9D55"/>
        </w:placeholder>
      </w:sdtPr>
      <w:sdtContent>
        <w:p w14:paraId="38D5D3FF" w14:textId="77777777" w:rsidR="00564588" w:rsidRDefault="00000000">
          <w:pPr>
            <w:pStyle w:val="afffffffffd"/>
            <w:spacing w:beforeLines="1" w:before="2" w:afterLines="220" w:after="528"/>
            <w:rPr>
              <w:rFonts w:hint="eastAsia"/>
            </w:rPr>
          </w:pPr>
          <w:r>
            <w:rPr>
              <w:rFonts w:hint="eastAsia"/>
            </w:rPr>
            <w:t>生命健康领域危害物标准参考数据评估规范</w:t>
          </w:r>
        </w:p>
      </w:sdtContent>
    </w:sdt>
    <w:p w14:paraId="7E329E12" w14:textId="77777777" w:rsidR="00564588" w:rsidRDefault="00000000">
      <w:pPr>
        <w:pStyle w:val="affc"/>
        <w:spacing w:before="240" w:after="240"/>
      </w:pPr>
      <w:bookmarkStart w:id="27" w:name="_Toc26718930"/>
      <w:bookmarkStart w:id="28" w:name="_Toc26986530"/>
      <w:bookmarkStart w:id="29" w:name="_Toc17233325"/>
      <w:bookmarkStart w:id="30" w:name="_Toc133697510"/>
      <w:bookmarkStart w:id="31" w:name="_Toc133693505"/>
      <w:bookmarkStart w:id="32" w:name="_Toc24884211"/>
      <w:bookmarkStart w:id="33" w:name="_Toc24884218"/>
      <w:bookmarkStart w:id="34" w:name="_Toc133692271"/>
      <w:bookmarkStart w:id="35" w:name="_Toc26648465"/>
      <w:bookmarkStart w:id="36" w:name="_Toc17233333"/>
      <w:bookmarkStart w:id="37" w:name="_Toc133940596"/>
      <w:bookmarkStart w:id="38" w:name="_Toc26986771"/>
      <w:bookmarkStart w:id="39" w:name="_Toc97192964"/>
      <w:bookmarkStart w:id="40" w:name="_Toc20339"/>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6E720D5" w14:textId="77777777" w:rsidR="00564588" w:rsidRDefault="00000000">
      <w:pPr>
        <w:pStyle w:val="afffffa"/>
        <w:spacing w:line="360" w:lineRule="auto"/>
        <w:ind w:firstLine="420"/>
      </w:pPr>
      <w:bookmarkStart w:id="41" w:name="_Toc17233334"/>
      <w:bookmarkStart w:id="42" w:name="_Toc24884219"/>
      <w:bookmarkStart w:id="43" w:name="_Toc17233326"/>
      <w:bookmarkStart w:id="44" w:name="_Toc24884212"/>
      <w:bookmarkStart w:id="45" w:name="_Toc26648466"/>
      <w:r>
        <w:rPr>
          <w:rFonts w:cs="宋体" w:hint="eastAsia"/>
        </w:rPr>
        <w:t>本标准规定了环境污染物、农药等生命健康领域危害物标准参考数据的评估指标体系及流程，适用于适用于环境污染物、农药等生命健康领域危害物的理化性质、毒理学、检测测量及暴露剂量等标准参考数据的评估。其他领域</w:t>
      </w:r>
      <w:r>
        <w:rPr>
          <w:rFonts w:hint="eastAsia"/>
        </w:rPr>
        <w:t>具有类似性质的危害物的标准参考数据评估</w:t>
      </w:r>
      <w:r>
        <w:rPr>
          <w:rFonts w:cs="宋体" w:hint="eastAsia"/>
        </w:rPr>
        <w:t>可参考本文件</w:t>
      </w:r>
      <w:r>
        <w:rPr>
          <w:rFonts w:hint="eastAsia"/>
        </w:rPr>
        <w:t>。</w:t>
      </w:r>
    </w:p>
    <w:p w14:paraId="1BE374CE" w14:textId="77777777" w:rsidR="00564588" w:rsidRDefault="00000000">
      <w:pPr>
        <w:pStyle w:val="affc"/>
        <w:spacing w:before="240" w:after="240" w:line="360" w:lineRule="auto"/>
      </w:pPr>
      <w:bookmarkStart w:id="46" w:name="_Toc26986531"/>
      <w:bookmarkStart w:id="47" w:name="_Toc97192965"/>
      <w:bookmarkStart w:id="48" w:name="_Toc133940597"/>
      <w:bookmarkStart w:id="49" w:name="_Toc133692272"/>
      <w:bookmarkStart w:id="50" w:name="_Toc133697511"/>
      <w:bookmarkStart w:id="51" w:name="_Toc133693506"/>
      <w:bookmarkStart w:id="52" w:name="_Toc26718931"/>
      <w:bookmarkStart w:id="53" w:name="_Toc26986772"/>
      <w:bookmarkStart w:id="54" w:name="_Toc4908"/>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7201308D17C4E07BF5FB762598EE3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004CC32" w14:textId="77777777" w:rsidR="00564588" w:rsidRDefault="00000000">
          <w:pPr>
            <w:pStyle w:val="afffffa"/>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1A46F8" w14:textId="77777777" w:rsidR="00564588" w:rsidRDefault="00000000">
      <w:pPr>
        <w:pStyle w:val="afffffa"/>
        <w:spacing w:line="360" w:lineRule="auto"/>
        <w:ind w:firstLine="420"/>
      </w:pPr>
      <w:r>
        <w:rPr>
          <w:rFonts w:hint="eastAsia"/>
        </w:rPr>
        <w:t>本规范引用下列文件：</w:t>
      </w:r>
    </w:p>
    <w:p w14:paraId="322189C3" w14:textId="77777777" w:rsidR="00564588" w:rsidRDefault="00000000">
      <w:pPr>
        <w:pStyle w:val="afffffa"/>
        <w:spacing w:line="360" w:lineRule="auto"/>
        <w:ind w:firstLine="420"/>
      </w:pPr>
      <w:r>
        <w:rPr>
          <w:rFonts w:hint="eastAsia"/>
        </w:rPr>
        <w:t>GB/T 36344-2018 信息技术 数据质量评价指标</w:t>
      </w:r>
    </w:p>
    <w:p w14:paraId="4BAED43B" w14:textId="77777777" w:rsidR="00564588" w:rsidRDefault="00000000">
      <w:pPr>
        <w:pStyle w:val="afffffa"/>
        <w:spacing w:line="360" w:lineRule="auto"/>
        <w:ind w:firstLine="420"/>
      </w:pPr>
      <w:r>
        <w:rPr>
          <w:rFonts w:hint="eastAsia"/>
        </w:rPr>
        <w:t>ISO/IEC GUIDE 99:2007 国际计量学词汇——基础通用的概念和相关术语（International vocabulary of metrology-Basic and general concepts and associated terms (VIM)）</w:t>
      </w:r>
    </w:p>
    <w:p w14:paraId="0D10C5D6" w14:textId="77777777" w:rsidR="00564588" w:rsidRDefault="00000000">
      <w:pPr>
        <w:pStyle w:val="afffffa"/>
        <w:spacing w:line="360" w:lineRule="auto"/>
        <w:ind w:firstLine="420"/>
      </w:pPr>
      <w:r>
        <w:rPr>
          <w:rFonts w:hint="eastAsia"/>
        </w:rPr>
        <w:t>JJF 1001-2011 通用计量术语及定义</w:t>
      </w:r>
    </w:p>
    <w:p w14:paraId="57825385" w14:textId="77777777" w:rsidR="00564588" w:rsidRDefault="00000000">
      <w:pPr>
        <w:pStyle w:val="affc"/>
        <w:spacing w:before="240" w:after="240" w:line="360" w:lineRule="auto"/>
        <w:rPr>
          <w:b/>
        </w:rPr>
      </w:pPr>
      <w:bookmarkStart w:id="55" w:name="_Toc16830"/>
      <w:r>
        <w:rPr>
          <w:rFonts w:hint="eastAsia"/>
        </w:rPr>
        <w:t>术语和定义</w:t>
      </w:r>
      <w:bookmarkEnd w:id="55"/>
    </w:p>
    <w:p w14:paraId="3DCAF8AC" w14:textId="77777777" w:rsidR="00564588" w:rsidRDefault="00000000">
      <w:pPr>
        <w:pStyle w:val="afffffa"/>
        <w:spacing w:line="360" w:lineRule="auto"/>
        <w:ind w:firstLine="420"/>
      </w:pPr>
      <w:r>
        <w:rPr>
          <w:rFonts w:hint="eastAsia"/>
        </w:rPr>
        <w:t>下列术语适用于本规范。</w:t>
      </w:r>
    </w:p>
    <w:p w14:paraId="2EB2B2C8" w14:textId="77777777" w:rsidR="00564588" w:rsidRDefault="00000000">
      <w:pPr>
        <w:pStyle w:val="affd"/>
        <w:spacing w:before="120" w:after="120" w:line="360" w:lineRule="auto"/>
      </w:pPr>
      <w:bookmarkStart w:id="56" w:name="_Toc28609"/>
      <w:r>
        <w:rPr>
          <w:rFonts w:hint="eastAsia"/>
        </w:rPr>
        <w:t>数据</w:t>
      </w:r>
      <w:bookmarkEnd w:id="56"/>
    </w:p>
    <w:p w14:paraId="18816366" w14:textId="77777777" w:rsidR="00564588" w:rsidRDefault="00000000">
      <w:pPr>
        <w:pStyle w:val="afffffa"/>
        <w:spacing w:line="360" w:lineRule="auto"/>
        <w:ind w:firstLine="420"/>
      </w:pPr>
      <w:r>
        <w:rPr>
          <w:rFonts w:hint="eastAsia"/>
        </w:rPr>
        <w:t>是指任何以电子或者其他方式对信息的记录。</w:t>
      </w:r>
    </w:p>
    <w:p w14:paraId="36CEF122" w14:textId="77777777" w:rsidR="00564588" w:rsidRDefault="00000000">
      <w:pPr>
        <w:pStyle w:val="affd"/>
        <w:spacing w:before="120" w:after="120" w:line="360" w:lineRule="auto"/>
      </w:pPr>
      <w:bookmarkStart w:id="57" w:name="_Toc958"/>
      <w:r>
        <w:rPr>
          <w:rFonts w:hint="eastAsia"/>
        </w:rPr>
        <w:t>参考数据</w:t>
      </w:r>
      <w:bookmarkEnd w:id="57"/>
    </w:p>
    <w:p w14:paraId="3C057E38" w14:textId="77777777" w:rsidR="00564588" w:rsidRDefault="00000000">
      <w:pPr>
        <w:pStyle w:val="afffffa"/>
        <w:spacing w:line="360" w:lineRule="auto"/>
        <w:ind w:firstLine="420"/>
      </w:pPr>
      <w:r>
        <w:rPr>
          <w:rFonts w:hint="eastAsia"/>
        </w:rPr>
        <w:t>由鉴别过的来源获得，并经严格评价和准确性验证的，与现象、物体或物质特性有关的数据，或与已知化合物成分或结构系统有关的数据。</w:t>
      </w:r>
    </w:p>
    <w:p w14:paraId="39C7EE28" w14:textId="77777777" w:rsidR="00564588" w:rsidRDefault="00000000">
      <w:pPr>
        <w:pStyle w:val="afffffa"/>
        <w:spacing w:line="360" w:lineRule="auto"/>
        <w:ind w:firstLine="400"/>
        <w:rPr>
          <w:i/>
          <w:iCs/>
          <w:sz w:val="20"/>
          <w:szCs w:val="18"/>
        </w:rPr>
      </w:pPr>
      <w:r>
        <w:rPr>
          <w:rFonts w:hint="eastAsia"/>
          <w:i/>
          <w:iCs/>
          <w:sz w:val="20"/>
          <w:szCs w:val="18"/>
        </w:rPr>
        <w:t>注：在定义中，准确性包含如测量准确性和标称特性值的准确性。</w:t>
      </w:r>
    </w:p>
    <w:p w14:paraId="460836C5" w14:textId="77777777" w:rsidR="00564588" w:rsidRDefault="00000000">
      <w:pPr>
        <w:pStyle w:val="affd"/>
        <w:spacing w:before="120" w:after="120" w:line="360" w:lineRule="auto"/>
      </w:pPr>
      <w:bookmarkStart w:id="58" w:name="_Toc19497"/>
      <w:r>
        <w:rPr>
          <w:rFonts w:hint="eastAsia"/>
        </w:rPr>
        <w:t>标准参考数据</w:t>
      </w:r>
      <w:bookmarkEnd w:id="58"/>
    </w:p>
    <w:p w14:paraId="4429ECEC" w14:textId="77777777" w:rsidR="00564588" w:rsidRDefault="00000000">
      <w:pPr>
        <w:pStyle w:val="afffffa"/>
        <w:spacing w:line="360" w:lineRule="auto"/>
        <w:ind w:firstLine="420"/>
      </w:pPr>
      <w:r>
        <w:rPr>
          <w:rFonts w:hint="eastAsia"/>
        </w:rPr>
        <w:t>由公认的权威机构发布的参考数据，包括软件、算法、模型、音视频、指纹等数字数据。</w:t>
      </w:r>
    </w:p>
    <w:p w14:paraId="1772ECE8" w14:textId="77777777" w:rsidR="00564588" w:rsidRDefault="00000000">
      <w:pPr>
        <w:pStyle w:val="afffffa"/>
        <w:spacing w:line="360" w:lineRule="auto"/>
        <w:ind w:firstLine="400"/>
      </w:pPr>
      <w:r>
        <w:rPr>
          <w:rFonts w:hint="eastAsia"/>
          <w:i/>
          <w:iCs/>
          <w:sz w:val="20"/>
          <w:szCs w:val="18"/>
        </w:rPr>
        <w:t>例 1：国际科学联合会科学技术数据委员会（ICSU CODATA）作为法规评定和发布的基本物理常量的值。</w:t>
      </w:r>
    </w:p>
    <w:p w14:paraId="2EF74B96" w14:textId="77777777" w:rsidR="00564588" w:rsidRDefault="00000000">
      <w:pPr>
        <w:pStyle w:val="affd"/>
        <w:spacing w:before="120" w:after="120" w:line="360" w:lineRule="auto"/>
      </w:pPr>
      <w:bookmarkStart w:id="59" w:name="_Toc2677"/>
      <w:r>
        <w:rPr>
          <w:rFonts w:hint="eastAsia"/>
        </w:rPr>
        <w:t>准确性</w:t>
      </w:r>
      <w:bookmarkEnd w:id="59"/>
    </w:p>
    <w:p w14:paraId="601B8205" w14:textId="77777777" w:rsidR="00564588" w:rsidRDefault="00000000">
      <w:pPr>
        <w:pStyle w:val="afffffa"/>
        <w:spacing w:line="360" w:lineRule="auto"/>
        <w:ind w:firstLine="420"/>
      </w:pPr>
      <w:r>
        <w:rPr>
          <w:rFonts w:hint="eastAsia"/>
        </w:rPr>
        <w:lastRenderedPageBreak/>
        <w:t>数据准确表示其所描述的真实实体（实际对象）真实值的程度。在特定的使用周境中，数据具有正确地表示一个概念或事件的相关属性真实值的属性的程度。</w:t>
      </w:r>
    </w:p>
    <w:p w14:paraId="1A57F36D" w14:textId="77777777" w:rsidR="00564588" w:rsidRDefault="00564588">
      <w:pPr>
        <w:pStyle w:val="afffffa"/>
        <w:ind w:firstLine="420"/>
      </w:pPr>
    </w:p>
    <w:p w14:paraId="3B226EDF" w14:textId="77777777" w:rsidR="00564588" w:rsidRDefault="00000000">
      <w:pPr>
        <w:pStyle w:val="affc"/>
        <w:spacing w:before="240" w:after="240"/>
      </w:pPr>
      <w:bookmarkStart w:id="60" w:name="_Toc23262"/>
      <w:r>
        <w:rPr>
          <w:rFonts w:hint="eastAsia"/>
        </w:rPr>
        <w:t>生命健康领域危害物标准参考数据要求</w:t>
      </w:r>
      <w:bookmarkEnd w:id="60"/>
    </w:p>
    <w:p w14:paraId="3304256C" w14:textId="77777777" w:rsidR="00564588" w:rsidRDefault="00000000">
      <w:pPr>
        <w:pStyle w:val="affd"/>
        <w:spacing w:before="120" w:after="120"/>
      </w:pPr>
      <w:bookmarkStart w:id="61" w:name="_Toc133940600"/>
      <w:bookmarkStart w:id="62" w:name="_Toc4588"/>
      <w:r>
        <w:rPr>
          <w:rFonts w:hint="eastAsia"/>
        </w:rPr>
        <w:t>数据类型要求</w:t>
      </w:r>
      <w:bookmarkEnd w:id="61"/>
      <w:bookmarkEnd w:id="62"/>
    </w:p>
    <w:p w14:paraId="411C73DB" w14:textId="77777777" w:rsidR="00564588" w:rsidRDefault="00000000">
      <w:pPr>
        <w:pStyle w:val="afffffa"/>
        <w:spacing w:line="360" w:lineRule="auto"/>
        <w:ind w:firstLine="420"/>
      </w:pPr>
      <w:r>
        <w:rPr>
          <w:rFonts w:hint="eastAsia"/>
        </w:rPr>
        <w:t>生命健康领域危害物质标准参考数据应由核心实验数据和用于描述核心实验数据相关属性的元数据构成。其中，核心实验数据包括但不限于：</w:t>
      </w:r>
    </w:p>
    <w:p w14:paraId="7B95674E" w14:textId="77777777" w:rsidR="00564588" w:rsidRDefault="00000000">
      <w:pPr>
        <w:pStyle w:val="afffffa"/>
        <w:spacing w:line="360" w:lineRule="auto"/>
        <w:ind w:firstLine="420"/>
      </w:pPr>
      <w:r>
        <w:rPr>
          <w:rFonts w:hint="eastAsia"/>
        </w:rPr>
        <w:t xml:space="preserve">（1）原始谱图等实验数据： </w:t>
      </w:r>
    </w:p>
    <w:p w14:paraId="2DA917DE" w14:textId="77777777" w:rsidR="00564588" w:rsidRDefault="00000000">
      <w:pPr>
        <w:pStyle w:val="afffffa"/>
        <w:spacing w:line="360" w:lineRule="auto"/>
        <w:ind w:firstLine="420"/>
      </w:pPr>
      <w:r>
        <w:rPr>
          <w:rFonts w:hint="eastAsia"/>
        </w:rPr>
        <w:t>色谱实验数据：包含保留时间（RT）、峰面积、基线噪声，格式需为开放标准（如mzML、mzXML）；</w:t>
      </w:r>
    </w:p>
    <w:p w14:paraId="4B05754B" w14:textId="77777777" w:rsidR="00564588" w:rsidRDefault="00000000">
      <w:pPr>
        <w:pStyle w:val="afffffa"/>
        <w:spacing w:line="360" w:lineRule="auto"/>
        <w:ind w:firstLine="420"/>
      </w:pPr>
      <w:r>
        <w:rPr>
          <w:rFonts w:hint="eastAsia"/>
        </w:rPr>
        <w:t>质谱实验数据：包含全扫描（Full Scan）及目标扫描（MRM/SIM）的质荷比（m/z）、离子丰度、同位素分布模式，需包含原始二进制数据及转换后的可读格式（如TIC、EIC）。</w:t>
      </w:r>
    </w:p>
    <w:p w14:paraId="2B718953" w14:textId="77777777" w:rsidR="00564588" w:rsidRDefault="00000000">
      <w:pPr>
        <w:pStyle w:val="afffffa"/>
        <w:spacing w:line="360" w:lineRule="auto"/>
        <w:ind w:firstLine="420"/>
      </w:pPr>
      <w:r>
        <w:rPr>
          <w:rFonts w:hint="eastAsia"/>
        </w:rPr>
        <w:t>（2）定量与定性数据：</w:t>
      </w:r>
    </w:p>
    <w:p w14:paraId="3DAE0F24" w14:textId="77777777" w:rsidR="00564588" w:rsidRDefault="00000000">
      <w:pPr>
        <w:pStyle w:val="afffffa"/>
        <w:spacing w:line="360" w:lineRule="auto"/>
        <w:ind w:firstLine="420"/>
      </w:pPr>
      <w:r>
        <w:rPr>
          <w:rFonts w:hint="eastAsia"/>
        </w:rPr>
        <w:t>化合物标识：基于精确质量数或碎片离子匹配的定性结论（如母离子→子离子跃迁）；</w:t>
      </w:r>
    </w:p>
    <w:p w14:paraId="5987B7AF" w14:textId="77777777" w:rsidR="00564588" w:rsidRDefault="00000000">
      <w:pPr>
        <w:pStyle w:val="afffffa"/>
        <w:spacing w:line="360" w:lineRule="auto"/>
        <w:ind w:firstLine="420"/>
      </w:pPr>
      <w:r>
        <w:rPr>
          <w:rFonts w:hint="eastAsia"/>
        </w:rPr>
        <w:t>浓度数据：内标法/外标法的校准曲线方程、检出限（LOD）、定量限（LOQ）及置信区间等参数。</w:t>
      </w:r>
    </w:p>
    <w:p w14:paraId="469EAC16" w14:textId="77777777" w:rsidR="00564588" w:rsidRDefault="00000000">
      <w:pPr>
        <w:pStyle w:val="afffffa"/>
        <w:spacing w:line="360" w:lineRule="auto"/>
        <w:ind w:firstLine="420"/>
      </w:pPr>
      <w:r>
        <w:rPr>
          <w:rFonts w:hint="eastAsia"/>
        </w:rPr>
        <w:t>仪器参数元数据包括但不限于：</w:t>
      </w:r>
    </w:p>
    <w:p w14:paraId="503C96F7" w14:textId="77777777" w:rsidR="00564588" w:rsidRDefault="00000000">
      <w:pPr>
        <w:pStyle w:val="afffffa"/>
        <w:spacing w:line="360" w:lineRule="auto"/>
        <w:ind w:firstLine="420"/>
      </w:pPr>
      <w:r>
        <w:rPr>
          <w:rFonts w:hint="eastAsia"/>
        </w:rPr>
        <w:t xml:space="preserve">色谱仪器测量条件元数据：​ </w:t>
      </w:r>
    </w:p>
    <w:p w14:paraId="3F786CCE" w14:textId="77777777" w:rsidR="00564588" w:rsidRDefault="00000000">
      <w:pPr>
        <w:pStyle w:val="afffffa"/>
        <w:spacing w:line="360" w:lineRule="auto"/>
        <w:ind w:firstLine="420"/>
      </w:pPr>
      <w:r>
        <w:rPr>
          <w:rFonts w:hint="eastAsia"/>
        </w:rPr>
        <w:t>液相色谱测量条件元数据：流动相组成、流速、柱温、进样体积等参数；</w:t>
      </w:r>
    </w:p>
    <w:p w14:paraId="09F2E3F8" w14:textId="77777777" w:rsidR="00564588" w:rsidRDefault="00000000">
      <w:pPr>
        <w:pStyle w:val="afffffa"/>
        <w:spacing w:line="360" w:lineRule="auto"/>
        <w:ind w:firstLine="420"/>
      </w:pPr>
      <w:r>
        <w:rPr>
          <w:rFonts w:hint="eastAsia"/>
        </w:rPr>
        <w:t>色谱柱测量条件元数据：填料类型、粒径、柱长/内径等参数；</w:t>
      </w:r>
    </w:p>
    <w:p w14:paraId="46205F5C" w14:textId="77777777" w:rsidR="00564588" w:rsidRDefault="00000000">
      <w:pPr>
        <w:pStyle w:val="afffffa"/>
        <w:spacing w:line="360" w:lineRule="auto"/>
        <w:ind w:firstLine="420"/>
      </w:pPr>
      <w:r>
        <w:rPr>
          <w:rFonts w:hint="eastAsia"/>
        </w:rPr>
        <w:t>（2）质谱仪器测量条件元数据：</w:t>
      </w:r>
    </w:p>
    <w:p w14:paraId="62F72416" w14:textId="77777777" w:rsidR="00564588" w:rsidRDefault="00000000">
      <w:pPr>
        <w:pStyle w:val="afffffa"/>
        <w:spacing w:line="360" w:lineRule="auto"/>
        <w:ind w:firstLine="420"/>
      </w:pPr>
      <w:r>
        <w:rPr>
          <w:rFonts w:hint="eastAsia"/>
        </w:rPr>
        <w:t>离子源测量条件元数据：类型（ESI/APCI）、喷雾电压（±3–5 kV）、雾化气温度（150–400℃）；</w:t>
      </w:r>
    </w:p>
    <w:p w14:paraId="3E304DC3" w14:textId="77777777" w:rsidR="00564588" w:rsidRDefault="00000000">
      <w:pPr>
        <w:pStyle w:val="afffffa"/>
        <w:spacing w:line="360" w:lineRule="auto"/>
        <w:ind w:firstLine="420"/>
      </w:pPr>
      <w:r>
        <w:rPr>
          <w:rFonts w:hint="eastAsia"/>
        </w:rPr>
        <w:t xml:space="preserve">质量分析器测量条件元数据：分辨率设置（单位/高分辨）、扫描模式（全扫描/MRM）、碰撞能量（10–40 eV）。 </w:t>
      </w:r>
    </w:p>
    <w:p w14:paraId="5E240FA6" w14:textId="77777777" w:rsidR="00564588" w:rsidRDefault="00000000">
      <w:pPr>
        <w:pStyle w:val="affd"/>
        <w:spacing w:before="120" w:after="120"/>
        <w:rPr>
          <w:b/>
        </w:rPr>
      </w:pPr>
      <w:bookmarkStart w:id="63" w:name="_Toc21843"/>
      <w:r>
        <w:rPr>
          <w:rFonts w:hint="eastAsia"/>
        </w:rPr>
        <w:t>数据格式要求</w:t>
      </w:r>
      <w:bookmarkEnd w:id="63"/>
      <w:r>
        <w:t xml:space="preserve"> </w:t>
      </w:r>
    </w:p>
    <w:p w14:paraId="28793D08" w14:textId="77777777" w:rsidR="00564588" w:rsidRDefault="00000000">
      <w:pPr>
        <w:pStyle w:val="afffffa"/>
        <w:spacing w:line="360" w:lineRule="auto"/>
        <w:ind w:firstLine="420"/>
      </w:pPr>
      <w:r>
        <w:rPr>
          <w:rFonts w:hint="eastAsia"/>
        </w:rPr>
        <w:t>原始数据格式应为可处理的开放格式（如mzML用于质谱，ANDI/MS用于色谱），避免厂商封闭格式。</w:t>
      </w:r>
    </w:p>
    <w:p w14:paraId="4E271AB2" w14:textId="77777777" w:rsidR="00564588" w:rsidRDefault="00000000">
      <w:pPr>
        <w:pStyle w:val="afffffa"/>
        <w:spacing w:line="360" w:lineRule="auto"/>
        <w:ind w:firstLine="420"/>
      </w:pPr>
      <w:r>
        <w:rPr>
          <w:rFonts w:hint="eastAsia"/>
        </w:rPr>
        <w:t>结果数据格式应为</w:t>
      </w:r>
      <w:r>
        <w:t>CSV</w:t>
      </w:r>
      <w:r>
        <w:rPr>
          <w:rFonts w:hint="eastAsia"/>
        </w:rPr>
        <w:t>、</w:t>
      </w:r>
      <w:r>
        <w:t>JSON</w:t>
      </w:r>
      <w:r>
        <w:rPr>
          <w:rFonts w:hint="eastAsia"/>
        </w:rPr>
        <w:t>等结构化格式</w:t>
      </w:r>
      <w:r>
        <w:t>，包含</w:t>
      </w:r>
      <w:r>
        <w:rPr>
          <w:rFonts w:hint="eastAsia"/>
        </w:rPr>
        <w:t>危害物离子的质荷比、强度、</w:t>
      </w:r>
      <w:r>
        <w:t>化合物ID, 保留时间(min), 定量离子(m/z), 浓度(ng/mL), RSD(%), 仪器序列号</w:t>
      </w:r>
      <w:r>
        <w:rPr>
          <w:rFonts w:hint="eastAsia"/>
        </w:rPr>
        <w:t>等信息。</w:t>
      </w:r>
    </w:p>
    <w:p w14:paraId="4D3800BF" w14:textId="77777777" w:rsidR="00564588" w:rsidRDefault="00000000">
      <w:pPr>
        <w:pStyle w:val="afffffa"/>
        <w:spacing w:line="360" w:lineRule="auto"/>
        <w:ind w:firstLine="420"/>
      </w:pPr>
      <w:r>
        <w:rPr>
          <w:rFonts w:hint="eastAsia"/>
        </w:rPr>
        <w:t>元数据应为</w:t>
      </w:r>
      <w:r>
        <w:t>CSV</w:t>
      </w:r>
      <w:r>
        <w:rPr>
          <w:rFonts w:hint="eastAsia"/>
        </w:rPr>
        <w:t>、</w:t>
      </w:r>
      <w:r>
        <w:t>JSON</w:t>
      </w:r>
      <w:r>
        <w:rPr>
          <w:rFonts w:hint="eastAsia"/>
        </w:rPr>
        <w:t>等结构化格式，内部数据格式建议</w:t>
      </w:r>
      <w:r>
        <w:t>采用JSON-LD或XML</w:t>
      </w:r>
      <w:r>
        <w:rPr>
          <w:rFonts w:hint="eastAsia"/>
        </w:rPr>
        <w:t>等标准格式</w:t>
      </w:r>
      <w:r>
        <w:t>封装</w:t>
      </w:r>
      <w:r>
        <w:rPr>
          <w:rFonts w:hint="eastAsia"/>
        </w:rPr>
        <w:t>。</w:t>
      </w:r>
    </w:p>
    <w:p w14:paraId="7881704E" w14:textId="77777777" w:rsidR="00564588" w:rsidRDefault="00564588">
      <w:pPr>
        <w:pStyle w:val="afffffa"/>
        <w:ind w:firstLine="420"/>
      </w:pPr>
    </w:p>
    <w:p w14:paraId="18BE6722" w14:textId="77777777" w:rsidR="00564588" w:rsidRDefault="00000000">
      <w:pPr>
        <w:pStyle w:val="affd"/>
        <w:spacing w:before="120" w:after="120"/>
        <w:rPr>
          <w:b/>
        </w:rPr>
      </w:pPr>
      <w:bookmarkStart w:id="64" w:name="_Toc27925"/>
      <w:r>
        <w:rPr>
          <w:rFonts w:hint="eastAsia"/>
        </w:rPr>
        <w:t>数据标识要求</w:t>
      </w:r>
      <w:bookmarkEnd w:id="64"/>
      <w:r>
        <w:t xml:space="preserve"> </w:t>
      </w:r>
    </w:p>
    <w:p w14:paraId="5B87547F" w14:textId="77777777" w:rsidR="00564588" w:rsidRDefault="00000000">
      <w:pPr>
        <w:pStyle w:val="afffffa"/>
        <w:spacing w:line="360" w:lineRule="auto"/>
        <w:ind w:firstLine="420"/>
      </w:pPr>
      <w:r>
        <w:rPr>
          <w:rFonts w:hint="eastAsia"/>
        </w:rPr>
        <w:t>应为</w:t>
      </w:r>
      <w:r>
        <w:t>每个数据集分配唯一DOI，并标注采集时间、分析批次及软件版本（如MassHunter v10.0）</w:t>
      </w:r>
      <w:r>
        <w:rPr>
          <w:rFonts w:hint="eastAsia"/>
        </w:rPr>
        <w:t>等信息，危害物数据标识可包括但不限于：</w:t>
      </w:r>
      <w:r>
        <w:rPr>
          <w:rFonts w:ascii="Times New Roman"/>
        </w:rPr>
        <w:t>​​</w:t>
      </w:r>
    </w:p>
    <w:p w14:paraId="71C18179" w14:textId="77777777" w:rsidR="00564588" w:rsidRDefault="00000000">
      <w:pPr>
        <w:pStyle w:val="afffffa"/>
        <w:spacing w:line="360" w:lineRule="auto"/>
        <w:ind w:firstLine="420"/>
      </w:pPr>
      <w:r>
        <w:rPr>
          <w:rFonts w:hint="eastAsia"/>
        </w:rPr>
        <w:t>化学标识符</w:t>
      </w:r>
      <w:r>
        <w:rPr>
          <w:rFonts w:hAnsi="宋体" w:cs="宋体" w:hint="eastAsia"/>
        </w:rPr>
        <w:t>：</w:t>
      </w:r>
      <w:r>
        <w:t>CAS</w:t>
      </w:r>
      <w:r>
        <w:rPr>
          <w:rFonts w:hint="eastAsia"/>
        </w:rPr>
        <w:t>号、</w:t>
      </w:r>
      <w:r>
        <w:t>InChIKey</w:t>
      </w:r>
      <w:r>
        <w:rPr>
          <w:rFonts w:hint="eastAsia"/>
        </w:rPr>
        <w:t>、</w:t>
      </w:r>
      <w:r>
        <w:t>GHS</w:t>
      </w:r>
      <w:r>
        <w:rPr>
          <w:rFonts w:hint="eastAsia"/>
        </w:rPr>
        <w:t>危险类别（如致癌物</w:t>
      </w:r>
      <w:r>
        <w:t>1A</w:t>
      </w:r>
      <w:r>
        <w:rPr>
          <w:rFonts w:hint="eastAsia"/>
        </w:rPr>
        <w:t>）</w:t>
      </w:r>
    </w:p>
    <w:p w14:paraId="2790EA08" w14:textId="77777777" w:rsidR="00564588" w:rsidRDefault="00000000">
      <w:pPr>
        <w:pStyle w:val="afffffa"/>
        <w:spacing w:line="360" w:lineRule="auto"/>
        <w:ind w:firstLine="420"/>
      </w:pPr>
      <w:r>
        <w:rPr>
          <w:rFonts w:hint="eastAsia"/>
        </w:rPr>
        <w:lastRenderedPageBreak/>
        <w:t>生物危害标识</w:t>
      </w:r>
      <w:r>
        <w:rPr>
          <w:rFonts w:hAnsi="宋体" w:cs="宋体" w:hint="eastAsia"/>
        </w:rPr>
        <w:t>：</w:t>
      </w:r>
      <w:r>
        <w:t>WHO</w:t>
      </w:r>
      <w:r>
        <w:rPr>
          <w:rFonts w:hint="eastAsia"/>
        </w:rPr>
        <w:t>分类（</w:t>
      </w:r>
      <w:r>
        <w:t>A</w:t>
      </w:r>
      <w:r>
        <w:rPr>
          <w:rFonts w:hint="eastAsia"/>
        </w:rPr>
        <w:t>类：</w:t>
      </w:r>
      <w:r>
        <w:t>UN2814/B</w:t>
      </w:r>
      <w:r>
        <w:rPr>
          <w:rFonts w:hint="eastAsia"/>
        </w:rPr>
        <w:t>类：</w:t>
      </w:r>
      <w:r>
        <w:t>UN3373</w:t>
      </w:r>
      <w:r>
        <w:rPr>
          <w:rFonts w:hint="eastAsia"/>
        </w:rPr>
        <w:t>）及生物安全等级（</w:t>
      </w:r>
      <w:r>
        <w:t>BSL-2/3</w:t>
      </w:r>
      <w:r>
        <w:rPr>
          <w:rFonts w:hint="eastAsia"/>
        </w:rPr>
        <w:t>）</w:t>
      </w:r>
    </w:p>
    <w:p w14:paraId="7D6EFE1C" w14:textId="77777777" w:rsidR="00564588" w:rsidRDefault="00000000">
      <w:pPr>
        <w:pStyle w:val="afffffa"/>
        <w:spacing w:line="360" w:lineRule="auto"/>
        <w:ind w:firstLine="420"/>
      </w:pPr>
      <w:r>
        <w:rPr>
          <w:rFonts w:hint="eastAsia"/>
        </w:rPr>
        <w:t>电子标签</w:t>
      </w:r>
      <w:r>
        <w:rPr>
          <w:rFonts w:hAnsi="宋体" w:cs="宋体" w:hint="eastAsia"/>
        </w:rPr>
        <w:t>：嵌入</w:t>
      </w:r>
      <w:r>
        <w:t>QR</w:t>
      </w:r>
      <w:r>
        <w:rPr>
          <w:rFonts w:hint="eastAsia"/>
        </w:rPr>
        <w:t>码链接至完整元数据包。</w:t>
      </w:r>
    </w:p>
    <w:p w14:paraId="261763C5" w14:textId="77777777" w:rsidR="00564588" w:rsidRDefault="00000000">
      <w:pPr>
        <w:pStyle w:val="affc"/>
        <w:spacing w:before="240" w:after="240"/>
      </w:pPr>
      <w:bookmarkStart w:id="65" w:name="_Toc131629319"/>
      <w:bookmarkStart w:id="66" w:name="_Toc133693509"/>
      <w:bookmarkStart w:id="67" w:name="_Toc133697514"/>
      <w:bookmarkStart w:id="68" w:name="_Toc133940602"/>
      <w:bookmarkStart w:id="69" w:name="_Toc27867"/>
      <w:r>
        <w:rPr>
          <w:rFonts w:hint="eastAsia"/>
        </w:rPr>
        <w:t>生命健康领域危害物标准参考数据元数据模型要求</w:t>
      </w:r>
      <w:bookmarkEnd w:id="65"/>
      <w:bookmarkEnd w:id="66"/>
      <w:bookmarkEnd w:id="67"/>
      <w:bookmarkEnd w:id="68"/>
      <w:bookmarkEnd w:id="69"/>
    </w:p>
    <w:p w14:paraId="6A5B501C" w14:textId="77777777" w:rsidR="00564588" w:rsidRDefault="00000000">
      <w:pPr>
        <w:pStyle w:val="afffffa"/>
        <w:ind w:firstLine="420"/>
      </w:pPr>
      <w:r>
        <w:rPr>
          <w:rFonts w:hint="eastAsia"/>
        </w:rPr>
        <w:t>生命健康领域危害物标准参考数据元数据模型主要描述生命健康领域危害物标准参考数据的物理、化学、安全以及质谱、色谱测量实验条件等元数据信息。</w:t>
      </w:r>
    </w:p>
    <w:p w14:paraId="4C1D3051" w14:textId="77777777" w:rsidR="00564588" w:rsidRDefault="00000000">
      <w:pPr>
        <w:pStyle w:val="affd"/>
        <w:spacing w:before="120" w:after="120"/>
      </w:pPr>
      <w:bookmarkStart w:id="70" w:name="_Toc4501"/>
      <w:r>
        <w:rPr>
          <w:rFonts w:hint="eastAsia"/>
        </w:rPr>
        <w:t>元数据数据模型构成</w:t>
      </w:r>
      <w:bookmarkEnd w:id="70"/>
    </w:p>
    <w:p w14:paraId="16D36DB8"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1" w:name="_Toc2999"/>
      <w:bookmarkStart w:id="72" w:name="_Toc133940604"/>
      <w:bookmarkStart w:id="73" w:name="_Toc131629321"/>
      <w:r>
        <w:rPr>
          <w:rFonts w:ascii="宋体" w:eastAsia="宋体" w:hAnsi="宋体" w:hint="eastAsia"/>
          <w:sz w:val="21"/>
          <w:szCs w:val="21"/>
        </w:rPr>
        <w:t>5.1.1 化学元数据模型</w:t>
      </w:r>
      <w:bookmarkEnd w:id="71"/>
    </w:p>
    <w:tbl>
      <w:tblPr>
        <w:tblW w:w="8558" w:type="dxa"/>
        <w:jc w:val="center"/>
        <w:tblLook w:val="04A0" w:firstRow="1" w:lastRow="0" w:firstColumn="1" w:lastColumn="0" w:noHBand="0" w:noVBand="1"/>
      </w:tblPr>
      <w:tblGrid>
        <w:gridCol w:w="2746"/>
        <w:gridCol w:w="2466"/>
        <w:gridCol w:w="3346"/>
      </w:tblGrid>
      <w:tr w:rsidR="00564588" w14:paraId="262BEB6E"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4824DA99" w14:textId="77777777" w:rsidR="00564588" w:rsidRDefault="00000000">
            <w:pPr>
              <w:pStyle w:val="afffffa"/>
              <w:ind w:firstLine="422"/>
              <w:rPr>
                <w:rFonts w:hAnsi="黑体" w:hint="eastAsia"/>
                <w:b/>
                <w:szCs w:val="21"/>
              </w:rPr>
            </w:pPr>
            <w:r>
              <w:rPr>
                <w:rFonts w:hAnsi="黑体" w:hint="eastAsia"/>
                <w:b/>
                <w:szCs w:val="21"/>
              </w:rPr>
              <w:t>元数据选项</w:t>
            </w:r>
          </w:p>
        </w:tc>
        <w:tc>
          <w:tcPr>
            <w:tcW w:w="2466" w:type="dxa"/>
            <w:tcBorders>
              <w:top w:val="single" w:sz="4" w:space="0" w:color="000000"/>
              <w:left w:val="single" w:sz="4" w:space="0" w:color="000000"/>
              <w:bottom w:val="single" w:sz="4" w:space="0" w:color="000000"/>
              <w:right w:val="single" w:sz="4" w:space="0" w:color="000000"/>
            </w:tcBorders>
            <w:vAlign w:val="center"/>
          </w:tcPr>
          <w:p w14:paraId="48E3069C" w14:textId="77777777" w:rsidR="00564588" w:rsidRDefault="00000000">
            <w:pPr>
              <w:pStyle w:val="afffffa"/>
              <w:ind w:firstLine="422"/>
              <w:rPr>
                <w:rFonts w:hAnsi="黑体" w:hint="eastAsia"/>
                <w:b/>
                <w:szCs w:val="21"/>
              </w:rPr>
            </w:pPr>
            <w:r>
              <w:rPr>
                <w:rFonts w:hAnsi="黑体" w:hint="eastAsia"/>
                <w:b/>
                <w:szCs w:val="21"/>
              </w:rPr>
              <w:t>选项类型</w:t>
            </w:r>
          </w:p>
        </w:tc>
        <w:tc>
          <w:tcPr>
            <w:tcW w:w="3346" w:type="dxa"/>
            <w:tcBorders>
              <w:top w:val="single" w:sz="4" w:space="0" w:color="000000"/>
              <w:left w:val="single" w:sz="4" w:space="0" w:color="000000"/>
              <w:bottom w:val="single" w:sz="4" w:space="0" w:color="000000"/>
              <w:right w:val="single" w:sz="4" w:space="0" w:color="000000"/>
            </w:tcBorders>
            <w:vAlign w:val="center"/>
          </w:tcPr>
          <w:p w14:paraId="48815F25" w14:textId="77777777" w:rsidR="00564588" w:rsidRDefault="00000000">
            <w:pPr>
              <w:pStyle w:val="afffffa"/>
              <w:ind w:firstLine="422"/>
              <w:rPr>
                <w:rFonts w:hAnsi="黑体" w:hint="eastAsia"/>
                <w:b/>
                <w:szCs w:val="21"/>
              </w:rPr>
            </w:pPr>
            <w:r>
              <w:rPr>
                <w:rFonts w:hAnsi="黑体" w:hint="eastAsia"/>
                <w:b/>
                <w:szCs w:val="21"/>
              </w:rPr>
              <w:t>示例数据</w:t>
            </w:r>
          </w:p>
        </w:tc>
      </w:tr>
      <w:tr w:rsidR="00564588" w14:paraId="78081ED8"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7DF39E65" w14:textId="77777777" w:rsidR="00564588" w:rsidRDefault="00000000">
            <w:pPr>
              <w:pStyle w:val="afffffa"/>
              <w:ind w:firstLine="420"/>
              <w:rPr>
                <w:rFonts w:hAnsi="黑体" w:hint="eastAsia"/>
                <w:bCs/>
                <w:szCs w:val="21"/>
              </w:rPr>
            </w:pPr>
            <w:r>
              <w:rPr>
                <w:rFonts w:hAnsi="黑体" w:hint="eastAsia"/>
                <w:bCs/>
                <w:szCs w:val="21"/>
              </w:rPr>
              <w:t>IUPAC Name</w:t>
            </w:r>
          </w:p>
        </w:tc>
        <w:tc>
          <w:tcPr>
            <w:tcW w:w="2466" w:type="dxa"/>
            <w:tcBorders>
              <w:top w:val="single" w:sz="4" w:space="0" w:color="000000"/>
              <w:left w:val="single" w:sz="4" w:space="0" w:color="000000"/>
              <w:bottom w:val="single" w:sz="4" w:space="0" w:color="000000"/>
              <w:right w:val="single" w:sz="4" w:space="0" w:color="000000"/>
            </w:tcBorders>
            <w:vAlign w:val="center"/>
          </w:tcPr>
          <w:p w14:paraId="061074D1"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405E2D99" w14:textId="77777777" w:rsidR="00564588" w:rsidRDefault="00564588">
            <w:pPr>
              <w:pStyle w:val="afffffa"/>
              <w:ind w:firstLine="422"/>
              <w:rPr>
                <w:rFonts w:hAnsi="黑体" w:hint="eastAsia"/>
                <w:b/>
                <w:szCs w:val="21"/>
              </w:rPr>
            </w:pPr>
          </w:p>
        </w:tc>
      </w:tr>
      <w:tr w:rsidR="00564588" w14:paraId="2A96FA03"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6A94439F" w14:textId="77777777" w:rsidR="00564588" w:rsidRDefault="00000000">
            <w:pPr>
              <w:pStyle w:val="afffffa"/>
              <w:ind w:firstLine="420"/>
              <w:rPr>
                <w:rFonts w:hAnsi="黑体" w:hint="eastAsia"/>
                <w:bCs/>
                <w:szCs w:val="21"/>
              </w:rPr>
            </w:pPr>
            <w:r>
              <w:rPr>
                <w:rFonts w:hAnsi="黑体" w:hint="eastAsia"/>
                <w:bCs/>
                <w:szCs w:val="21"/>
              </w:rPr>
              <w:t>create date</w:t>
            </w:r>
          </w:p>
        </w:tc>
        <w:tc>
          <w:tcPr>
            <w:tcW w:w="2466" w:type="dxa"/>
            <w:tcBorders>
              <w:top w:val="single" w:sz="4" w:space="0" w:color="000000"/>
              <w:left w:val="single" w:sz="4" w:space="0" w:color="000000"/>
              <w:bottom w:val="single" w:sz="4" w:space="0" w:color="000000"/>
              <w:right w:val="single" w:sz="4" w:space="0" w:color="000000"/>
            </w:tcBorders>
            <w:vAlign w:val="center"/>
          </w:tcPr>
          <w:p w14:paraId="54F30E0A"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0B6E8953" w14:textId="77777777" w:rsidR="00564588" w:rsidRDefault="00564588">
            <w:pPr>
              <w:pStyle w:val="afffffa"/>
              <w:ind w:firstLine="422"/>
              <w:rPr>
                <w:rFonts w:hAnsi="黑体" w:hint="eastAsia"/>
                <w:b/>
                <w:szCs w:val="21"/>
              </w:rPr>
            </w:pPr>
          </w:p>
        </w:tc>
      </w:tr>
      <w:tr w:rsidR="00564588" w14:paraId="1B870E9F"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7D021C27" w14:textId="77777777" w:rsidR="00564588" w:rsidRDefault="00000000">
            <w:pPr>
              <w:pStyle w:val="afffffa"/>
              <w:ind w:firstLine="420"/>
              <w:rPr>
                <w:rFonts w:hAnsi="黑体" w:hint="eastAsia"/>
                <w:bCs/>
                <w:szCs w:val="21"/>
              </w:rPr>
            </w:pPr>
            <w:r>
              <w:rPr>
                <w:rFonts w:hAnsi="黑体" w:hint="eastAsia"/>
                <w:bCs/>
                <w:szCs w:val="21"/>
              </w:rPr>
              <w:t>modify date</w:t>
            </w:r>
          </w:p>
        </w:tc>
        <w:tc>
          <w:tcPr>
            <w:tcW w:w="2466" w:type="dxa"/>
            <w:tcBorders>
              <w:top w:val="single" w:sz="4" w:space="0" w:color="000000"/>
              <w:left w:val="single" w:sz="4" w:space="0" w:color="000000"/>
              <w:bottom w:val="single" w:sz="4" w:space="0" w:color="000000"/>
              <w:right w:val="single" w:sz="4" w:space="0" w:color="000000"/>
            </w:tcBorders>
            <w:vAlign w:val="center"/>
          </w:tcPr>
          <w:p w14:paraId="54FF06EB"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56B93DDC" w14:textId="77777777" w:rsidR="00564588" w:rsidRDefault="00564588">
            <w:pPr>
              <w:pStyle w:val="afffffa"/>
              <w:ind w:firstLine="422"/>
              <w:rPr>
                <w:rFonts w:hAnsi="黑体" w:hint="eastAsia"/>
                <w:b/>
                <w:szCs w:val="21"/>
              </w:rPr>
            </w:pPr>
          </w:p>
        </w:tc>
      </w:tr>
      <w:tr w:rsidR="00564588" w14:paraId="46CA6DAE"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27489A3E" w14:textId="77777777" w:rsidR="00564588" w:rsidRDefault="00000000">
            <w:pPr>
              <w:pStyle w:val="afffffa"/>
              <w:ind w:firstLine="420"/>
              <w:rPr>
                <w:rFonts w:hAnsi="黑体" w:hint="eastAsia"/>
                <w:bCs/>
                <w:szCs w:val="21"/>
              </w:rPr>
            </w:pPr>
            <w:r>
              <w:rPr>
                <w:rFonts w:hAnsi="黑体" w:hint="eastAsia"/>
                <w:bCs/>
                <w:szCs w:val="21"/>
              </w:rPr>
              <w:t>中文名称</w:t>
            </w:r>
          </w:p>
        </w:tc>
        <w:tc>
          <w:tcPr>
            <w:tcW w:w="2466" w:type="dxa"/>
            <w:tcBorders>
              <w:top w:val="single" w:sz="4" w:space="0" w:color="000000"/>
              <w:left w:val="single" w:sz="4" w:space="0" w:color="000000"/>
              <w:bottom w:val="single" w:sz="4" w:space="0" w:color="000000"/>
              <w:right w:val="single" w:sz="4" w:space="0" w:color="000000"/>
            </w:tcBorders>
            <w:vAlign w:val="center"/>
          </w:tcPr>
          <w:p w14:paraId="27520402"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10707F25" w14:textId="77777777" w:rsidR="00564588" w:rsidRDefault="00564588">
            <w:pPr>
              <w:pStyle w:val="afffffa"/>
              <w:ind w:firstLine="422"/>
              <w:rPr>
                <w:rFonts w:hAnsi="黑体" w:hint="eastAsia"/>
                <w:b/>
                <w:szCs w:val="21"/>
              </w:rPr>
            </w:pPr>
          </w:p>
        </w:tc>
      </w:tr>
      <w:tr w:rsidR="00564588" w14:paraId="2477E17D"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5EDE91BD" w14:textId="77777777" w:rsidR="00564588" w:rsidRDefault="00000000">
            <w:pPr>
              <w:pStyle w:val="afffffa"/>
              <w:ind w:firstLine="420"/>
              <w:rPr>
                <w:rFonts w:hAnsi="黑体" w:hint="eastAsia"/>
                <w:bCs/>
                <w:szCs w:val="21"/>
              </w:rPr>
            </w:pPr>
            <w:r>
              <w:rPr>
                <w:rFonts w:hAnsi="黑体" w:hint="eastAsia"/>
                <w:bCs/>
                <w:szCs w:val="21"/>
              </w:rPr>
              <w:t>中文同义词（别名）</w:t>
            </w:r>
          </w:p>
        </w:tc>
        <w:tc>
          <w:tcPr>
            <w:tcW w:w="2466" w:type="dxa"/>
            <w:tcBorders>
              <w:top w:val="single" w:sz="4" w:space="0" w:color="000000"/>
              <w:left w:val="single" w:sz="4" w:space="0" w:color="000000"/>
              <w:bottom w:val="single" w:sz="4" w:space="0" w:color="000000"/>
              <w:right w:val="single" w:sz="4" w:space="0" w:color="000000"/>
            </w:tcBorders>
            <w:vAlign w:val="center"/>
          </w:tcPr>
          <w:p w14:paraId="1B89DE39" w14:textId="77777777" w:rsidR="00564588" w:rsidRDefault="00000000">
            <w:pPr>
              <w:pStyle w:val="afffffa"/>
              <w:ind w:firstLine="420"/>
              <w:rPr>
                <w:rFonts w:hAnsi="黑体" w:hint="eastAsia"/>
                <w:bCs/>
                <w:szCs w:val="21"/>
              </w:rPr>
            </w:pPr>
            <w:r>
              <w:rPr>
                <w:rFonts w:hAnsi="黑体" w:hint="eastAsia"/>
                <w:bCs/>
                <w:szCs w:val="21"/>
              </w:rPr>
              <w:t>可选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131EED07" w14:textId="77777777" w:rsidR="00564588" w:rsidRDefault="00564588">
            <w:pPr>
              <w:pStyle w:val="afffffa"/>
              <w:ind w:firstLine="422"/>
              <w:rPr>
                <w:rFonts w:hAnsi="黑体" w:hint="eastAsia"/>
                <w:b/>
                <w:szCs w:val="21"/>
              </w:rPr>
            </w:pPr>
          </w:p>
        </w:tc>
      </w:tr>
      <w:tr w:rsidR="00564588" w14:paraId="269C8F7A"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261237E0" w14:textId="77777777" w:rsidR="00564588" w:rsidRDefault="00000000">
            <w:pPr>
              <w:pStyle w:val="afffffa"/>
              <w:ind w:firstLine="420"/>
              <w:rPr>
                <w:rFonts w:hAnsi="黑体" w:hint="eastAsia"/>
                <w:bCs/>
                <w:szCs w:val="21"/>
              </w:rPr>
            </w:pPr>
            <w:r>
              <w:rPr>
                <w:rFonts w:hAnsi="黑体" w:hint="eastAsia"/>
                <w:bCs/>
                <w:szCs w:val="21"/>
              </w:rPr>
              <w:t>英文名称</w:t>
            </w:r>
          </w:p>
        </w:tc>
        <w:tc>
          <w:tcPr>
            <w:tcW w:w="2466" w:type="dxa"/>
            <w:tcBorders>
              <w:top w:val="single" w:sz="4" w:space="0" w:color="000000"/>
              <w:left w:val="single" w:sz="4" w:space="0" w:color="000000"/>
              <w:bottom w:val="single" w:sz="4" w:space="0" w:color="000000"/>
              <w:right w:val="single" w:sz="4" w:space="0" w:color="000000"/>
            </w:tcBorders>
            <w:vAlign w:val="center"/>
          </w:tcPr>
          <w:p w14:paraId="23F66072"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3DDEC79C" w14:textId="77777777" w:rsidR="00564588" w:rsidRDefault="00564588">
            <w:pPr>
              <w:pStyle w:val="afffffa"/>
              <w:ind w:firstLine="422"/>
              <w:rPr>
                <w:rFonts w:hAnsi="黑体" w:hint="eastAsia"/>
                <w:b/>
                <w:szCs w:val="21"/>
              </w:rPr>
            </w:pPr>
          </w:p>
        </w:tc>
      </w:tr>
      <w:tr w:rsidR="00564588" w14:paraId="4B44E7B9"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5F39130F" w14:textId="77777777" w:rsidR="00564588" w:rsidRDefault="00000000">
            <w:pPr>
              <w:pStyle w:val="afffffa"/>
              <w:ind w:firstLine="420"/>
              <w:rPr>
                <w:rFonts w:hAnsi="黑体" w:hint="eastAsia"/>
                <w:bCs/>
                <w:szCs w:val="21"/>
              </w:rPr>
            </w:pPr>
            <w:r>
              <w:rPr>
                <w:rFonts w:hAnsi="黑体" w:hint="eastAsia"/>
                <w:bCs/>
                <w:szCs w:val="21"/>
              </w:rPr>
              <w:t>英文同义词（别名）</w:t>
            </w:r>
          </w:p>
        </w:tc>
        <w:tc>
          <w:tcPr>
            <w:tcW w:w="2466" w:type="dxa"/>
            <w:tcBorders>
              <w:top w:val="single" w:sz="4" w:space="0" w:color="000000"/>
              <w:left w:val="single" w:sz="4" w:space="0" w:color="000000"/>
              <w:bottom w:val="single" w:sz="4" w:space="0" w:color="000000"/>
              <w:right w:val="single" w:sz="4" w:space="0" w:color="000000"/>
            </w:tcBorders>
            <w:vAlign w:val="center"/>
          </w:tcPr>
          <w:p w14:paraId="2B9D1B30" w14:textId="77777777" w:rsidR="00564588" w:rsidRDefault="00000000">
            <w:pPr>
              <w:pStyle w:val="afffffa"/>
              <w:ind w:firstLine="420"/>
              <w:rPr>
                <w:rFonts w:hAnsi="黑体" w:hint="eastAsia"/>
                <w:bCs/>
                <w:szCs w:val="21"/>
              </w:rPr>
            </w:pPr>
            <w:r>
              <w:rPr>
                <w:rFonts w:hAnsi="黑体" w:hint="eastAsia"/>
                <w:bCs/>
                <w:szCs w:val="21"/>
              </w:rPr>
              <w:t>可选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4528DA20" w14:textId="77777777" w:rsidR="00564588" w:rsidRDefault="00564588">
            <w:pPr>
              <w:pStyle w:val="afffffa"/>
              <w:ind w:firstLine="422"/>
              <w:rPr>
                <w:rFonts w:hAnsi="黑体" w:hint="eastAsia"/>
                <w:b/>
                <w:szCs w:val="21"/>
              </w:rPr>
            </w:pPr>
          </w:p>
        </w:tc>
      </w:tr>
      <w:tr w:rsidR="00564588" w14:paraId="36EFA6EC"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2D7A85D7" w14:textId="77777777" w:rsidR="00564588" w:rsidRDefault="00000000">
            <w:pPr>
              <w:pStyle w:val="afffffa"/>
              <w:ind w:firstLine="420"/>
              <w:rPr>
                <w:rFonts w:hAnsi="黑体" w:hint="eastAsia"/>
                <w:bCs/>
                <w:szCs w:val="21"/>
              </w:rPr>
            </w:pPr>
            <w:r>
              <w:rPr>
                <w:rFonts w:hAnsi="黑体" w:hint="eastAsia"/>
                <w:bCs/>
                <w:szCs w:val="21"/>
              </w:rPr>
              <w:t>描述</w:t>
            </w:r>
          </w:p>
        </w:tc>
        <w:tc>
          <w:tcPr>
            <w:tcW w:w="2466" w:type="dxa"/>
            <w:tcBorders>
              <w:top w:val="single" w:sz="4" w:space="0" w:color="000000"/>
              <w:left w:val="single" w:sz="4" w:space="0" w:color="000000"/>
              <w:bottom w:val="single" w:sz="4" w:space="0" w:color="000000"/>
              <w:right w:val="single" w:sz="4" w:space="0" w:color="000000"/>
            </w:tcBorders>
            <w:vAlign w:val="center"/>
          </w:tcPr>
          <w:p w14:paraId="506D5695"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0D9F64EE" w14:textId="77777777" w:rsidR="00564588" w:rsidRDefault="00564588">
            <w:pPr>
              <w:pStyle w:val="afffffa"/>
              <w:ind w:firstLine="422"/>
              <w:rPr>
                <w:rFonts w:hAnsi="黑体" w:hint="eastAsia"/>
                <w:b/>
                <w:szCs w:val="21"/>
              </w:rPr>
            </w:pPr>
          </w:p>
        </w:tc>
      </w:tr>
      <w:tr w:rsidR="00564588" w14:paraId="52407864"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22E388DF" w14:textId="77777777" w:rsidR="00564588" w:rsidRDefault="00000000">
            <w:pPr>
              <w:pStyle w:val="afffffa"/>
              <w:ind w:firstLine="420"/>
              <w:rPr>
                <w:rFonts w:hAnsi="黑体" w:hint="eastAsia"/>
                <w:bCs/>
                <w:szCs w:val="21"/>
              </w:rPr>
            </w:pPr>
            <w:r>
              <w:rPr>
                <w:rFonts w:hAnsi="黑体" w:hint="eastAsia"/>
                <w:bCs/>
                <w:szCs w:val="21"/>
              </w:rPr>
              <w:t>分子式</w:t>
            </w:r>
          </w:p>
        </w:tc>
        <w:tc>
          <w:tcPr>
            <w:tcW w:w="2466" w:type="dxa"/>
            <w:tcBorders>
              <w:top w:val="single" w:sz="4" w:space="0" w:color="000000"/>
              <w:left w:val="single" w:sz="4" w:space="0" w:color="000000"/>
              <w:bottom w:val="single" w:sz="4" w:space="0" w:color="000000"/>
              <w:right w:val="single" w:sz="4" w:space="0" w:color="000000"/>
            </w:tcBorders>
            <w:vAlign w:val="center"/>
          </w:tcPr>
          <w:p w14:paraId="0E06A463"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2FDD277B" w14:textId="77777777" w:rsidR="00564588" w:rsidRDefault="00564588">
            <w:pPr>
              <w:pStyle w:val="afffffa"/>
              <w:ind w:firstLine="422"/>
              <w:rPr>
                <w:rFonts w:hAnsi="黑体" w:hint="eastAsia"/>
                <w:b/>
                <w:szCs w:val="21"/>
              </w:rPr>
            </w:pPr>
          </w:p>
        </w:tc>
      </w:tr>
      <w:tr w:rsidR="00564588" w14:paraId="28043815"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0E5784F3" w14:textId="77777777" w:rsidR="00564588" w:rsidRDefault="00000000">
            <w:pPr>
              <w:pStyle w:val="afffffa"/>
              <w:ind w:firstLine="420"/>
              <w:rPr>
                <w:rFonts w:hAnsi="黑体" w:hint="eastAsia"/>
                <w:bCs/>
                <w:szCs w:val="21"/>
              </w:rPr>
            </w:pPr>
            <w:r>
              <w:rPr>
                <w:rFonts w:hAnsi="黑体" w:hint="eastAsia"/>
                <w:bCs/>
                <w:szCs w:val="21"/>
              </w:rPr>
              <w:t>分子量</w:t>
            </w:r>
          </w:p>
        </w:tc>
        <w:tc>
          <w:tcPr>
            <w:tcW w:w="2466" w:type="dxa"/>
            <w:tcBorders>
              <w:top w:val="single" w:sz="4" w:space="0" w:color="000000"/>
              <w:left w:val="single" w:sz="4" w:space="0" w:color="000000"/>
              <w:bottom w:val="single" w:sz="4" w:space="0" w:color="000000"/>
              <w:right w:val="single" w:sz="4" w:space="0" w:color="000000"/>
            </w:tcBorders>
            <w:vAlign w:val="center"/>
          </w:tcPr>
          <w:p w14:paraId="4E9411FA"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21828A66" w14:textId="77777777" w:rsidR="00564588" w:rsidRDefault="00564588">
            <w:pPr>
              <w:pStyle w:val="afffffa"/>
              <w:ind w:firstLine="422"/>
              <w:rPr>
                <w:rFonts w:hAnsi="黑体" w:hint="eastAsia"/>
                <w:b/>
                <w:szCs w:val="21"/>
              </w:rPr>
            </w:pPr>
          </w:p>
        </w:tc>
      </w:tr>
      <w:tr w:rsidR="00564588" w14:paraId="1D38D48F"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44E84CFA" w14:textId="77777777" w:rsidR="00564588" w:rsidRDefault="00000000">
            <w:pPr>
              <w:pStyle w:val="afffffa"/>
              <w:ind w:firstLine="420"/>
              <w:rPr>
                <w:rFonts w:hAnsi="黑体" w:hint="eastAsia"/>
                <w:bCs/>
                <w:szCs w:val="21"/>
              </w:rPr>
            </w:pPr>
            <w:r>
              <w:rPr>
                <w:rFonts w:hAnsi="黑体" w:hint="eastAsia"/>
                <w:bCs/>
                <w:szCs w:val="21"/>
              </w:rPr>
              <w:t>精确质量数</w:t>
            </w:r>
          </w:p>
        </w:tc>
        <w:tc>
          <w:tcPr>
            <w:tcW w:w="2466" w:type="dxa"/>
            <w:tcBorders>
              <w:top w:val="single" w:sz="4" w:space="0" w:color="000000"/>
              <w:left w:val="single" w:sz="4" w:space="0" w:color="000000"/>
              <w:bottom w:val="single" w:sz="4" w:space="0" w:color="000000"/>
              <w:right w:val="single" w:sz="4" w:space="0" w:color="000000"/>
            </w:tcBorders>
            <w:vAlign w:val="center"/>
          </w:tcPr>
          <w:p w14:paraId="1EDDFA60" w14:textId="77777777" w:rsidR="00564588" w:rsidRDefault="00000000">
            <w:pPr>
              <w:pStyle w:val="afffffa"/>
              <w:ind w:firstLine="420"/>
              <w:rPr>
                <w:rFonts w:hAnsi="黑体" w:hint="eastAsia"/>
                <w:bCs/>
                <w:szCs w:val="21"/>
              </w:rPr>
            </w:pPr>
            <w:r>
              <w:rPr>
                <w:rFonts w:hAnsi="黑体" w:hint="eastAsia"/>
                <w:bCs/>
                <w:szCs w:val="21"/>
              </w:rPr>
              <w:t>必选</w:t>
            </w:r>
          </w:p>
        </w:tc>
        <w:tc>
          <w:tcPr>
            <w:tcW w:w="3346" w:type="dxa"/>
            <w:tcBorders>
              <w:top w:val="single" w:sz="4" w:space="0" w:color="000000"/>
              <w:left w:val="single" w:sz="4" w:space="0" w:color="000000"/>
              <w:bottom w:val="single" w:sz="4" w:space="0" w:color="000000"/>
              <w:right w:val="single" w:sz="4" w:space="0" w:color="000000"/>
            </w:tcBorders>
            <w:vAlign w:val="center"/>
          </w:tcPr>
          <w:p w14:paraId="44DAE966" w14:textId="77777777" w:rsidR="00564588" w:rsidRDefault="00564588">
            <w:pPr>
              <w:pStyle w:val="afffffa"/>
              <w:ind w:firstLine="422"/>
              <w:rPr>
                <w:rFonts w:hAnsi="黑体" w:hint="eastAsia"/>
                <w:b/>
                <w:szCs w:val="21"/>
              </w:rPr>
            </w:pPr>
          </w:p>
        </w:tc>
      </w:tr>
      <w:tr w:rsidR="00564588" w14:paraId="1B6AD105"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283F3802" w14:textId="77777777" w:rsidR="00564588" w:rsidRDefault="00000000">
            <w:pPr>
              <w:pStyle w:val="afffffa"/>
              <w:ind w:firstLine="420"/>
              <w:rPr>
                <w:rFonts w:hAnsi="黑体" w:hint="eastAsia"/>
                <w:bCs/>
                <w:szCs w:val="21"/>
              </w:rPr>
            </w:pPr>
            <w:r>
              <w:rPr>
                <w:rFonts w:hAnsi="黑体" w:hint="eastAsia"/>
                <w:bCs/>
                <w:szCs w:val="21"/>
              </w:rPr>
              <w:t>CAS</w:t>
            </w:r>
          </w:p>
        </w:tc>
        <w:tc>
          <w:tcPr>
            <w:tcW w:w="2466" w:type="dxa"/>
            <w:tcBorders>
              <w:top w:val="single" w:sz="4" w:space="0" w:color="000000"/>
              <w:left w:val="single" w:sz="4" w:space="0" w:color="000000"/>
              <w:bottom w:val="single" w:sz="4" w:space="0" w:color="000000"/>
              <w:right w:val="single" w:sz="4" w:space="0" w:color="000000"/>
            </w:tcBorders>
            <w:vAlign w:val="center"/>
          </w:tcPr>
          <w:p w14:paraId="1C547833"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93FD56" w14:textId="77777777" w:rsidR="00564588" w:rsidRDefault="00564588">
            <w:pPr>
              <w:pStyle w:val="afffffa"/>
              <w:ind w:firstLine="422"/>
              <w:rPr>
                <w:rFonts w:hAnsi="黑体" w:hint="eastAsia"/>
                <w:b/>
                <w:szCs w:val="21"/>
              </w:rPr>
            </w:pPr>
          </w:p>
        </w:tc>
      </w:tr>
      <w:tr w:rsidR="00564588" w14:paraId="06602706"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6BE15B32" w14:textId="77777777" w:rsidR="00564588" w:rsidRDefault="00000000">
            <w:pPr>
              <w:pStyle w:val="afffffa"/>
              <w:ind w:firstLine="420"/>
              <w:rPr>
                <w:rFonts w:hAnsi="黑体" w:hint="eastAsia"/>
                <w:bCs/>
                <w:szCs w:val="21"/>
              </w:rPr>
            </w:pPr>
            <w:r>
              <w:rPr>
                <w:rFonts w:hAnsi="黑体" w:hint="eastAsia"/>
                <w:bCs/>
                <w:szCs w:val="21"/>
              </w:rPr>
              <w:t>其他标识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7477B6"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216658" w14:textId="77777777" w:rsidR="00564588" w:rsidRDefault="00564588">
            <w:pPr>
              <w:pStyle w:val="afffffa"/>
              <w:ind w:firstLine="422"/>
              <w:rPr>
                <w:rFonts w:hAnsi="黑体" w:hint="eastAsia"/>
                <w:b/>
                <w:szCs w:val="21"/>
              </w:rPr>
            </w:pPr>
          </w:p>
        </w:tc>
      </w:tr>
      <w:tr w:rsidR="00564588" w14:paraId="0FDF7002"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31C5B7C5" w14:textId="77777777" w:rsidR="00564588" w:rsidRDefault="00000000">
            <w:pPr>
              <w:pStyle w:val="afffffa"/>
              <w:ind w:firstLine="420"/>
              <w:rPr>
                <w:rFonts w:hAnsi="黑体" w:hint="eastAsia"/>
                <w:bCs/>
                <w:szCs w:val="21"/>
              </w:rPr>
            </w:pPr>
            <w:r>
              <w:rPr>
                <w:rFonts w:hAnsi="黑体" w:hint="eastAsia"/>
                <w:bCs/>
                <w:szCs w:val="21"/>
              </w:rPr>
              <w:t>InChi</w:t>
            </w:r>
          </w:p>
        </w:tc>
        <w:tc>
          <w:tcPr>
            <w:tcW w:w="2466" w:type="dxa"/>
            <w:tcBorders>
              <w:top w:val="single" w:sz="4" w:space="0" w:color="000000"/>
              <w:left w:val="single" w:sz="4" w:space="0" w:color="000000"/>
              <w:bottom w:val="single" w:sz="4" w:space="0" w:color="000000"/>
              <w:right w:val="single" w:sz="4" w:space="0" w:color="000000"/>
            </w:tcBorders>
            <w:vAlign w:val="center"/>
          </w:tcPr>
          <w:p w14:paraId="0927C8F3"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54D796" w14:textId="77777777" w:rsidR="00564588" w:rsidRDefault="00564588">
            <w:pPr>
              <w:pStyle w:val="afffffa"/>
              <w:ind w:firstLine="422"/>
              <w:rPr>
                <w:rFonts w:hAnsi="黑体" w:hint="eastAsia"/>
                <w:b/>
                <w:szCs w:val="21"/>
              </w:rPr>
            </w:pPr>
          </w:p>
        </w:tc>
      </w:tr>
      <w:tr w:rsidR="00564588" w14:paraId="4450F86A"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09D8C064" w14:textId="77777777" w:rsidR="00564588" w:rsidRDefault="00000000">
            <w:pPr>
              <w:pStyle w:val="afffffa"/>
              <w:ind w:firstLine="420"/>
              <w:rPr>
                <w:rFonts w:hAnsi="黑体" w:hint="eastAsia"/>
                <w:bCs/>
                <w:szCs w:val="21"/>
              </w:rPr>
            </w:pPr>
            <w:r>
              <w:rPr>
                <w:rFonts w:hAnsi="黑体" w:hint="eastAsia"/>
                <w:bCs/>
                <w:szCs w:val="21"/>
              </w:rPr>
              <w:t>InChiKey</w:t>
            </w:r>
          </w:p>
        </w:tc>
        <w:tc>
          <w:tcPr>
            <w:tcW w:w="2466" w:type="dxa"/>
            <w:tcBorders>
              <w:top w:val="single" w:sz="4" w:space="0" w:color="000000"/>
              <w:left w:val="single" w:sz="4" w:space="0" w:color="000000"/>
              <w:bottom w:val="single" w:sz="4" w:space="0" w:color="000000"/>
              <w:right w:val="single" w:sz="4" w:space="0" w:color="000000"/>
            </w:tcBorders>
            <w:vAlign w:val="center"/>
          </w:tcPr>
          <w:p w14:paraId="5B5970A0"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42A217" w14:textId="77777777" w:rsidR="00564588" w:rsidRDefault="00564588">
            <w:pPr>
              <w:pStyle w:val="afffffa"/>
              <w:ind w:firstLine="422"/>
              <w:rPr>
                <w:rFonts w:hAnsi="黑体" w:hint="eastAsia"/>
                <w:b/>
                <w:szCs w:val="21"/>
              </w:rPr>
            </w:pPr>
          </w:p>
        </w:tc>
      </w:tr>
      <w:tr w:rsidR="00564588" w14:paraId="4A5654CE"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7156CCDA" w14:textId="77777777" w:rsidR="00564588" w:rsidRDefault="00000000">
            <w:pPr>
              <w:pStyle w:val="afffffa"/>
              <w:ind w:firstLine="420"/>
              <w:rPr>
                <w:rFonts w:hAnsi="黑体" w:hint="eastAsia"/>
                <w:bCs/>
                <w:szCs w:val="21"/>
              </w:rPr>
            </w:pPr>
            <w:r>
              <w:rPr>
                <w:rFonts w:hAnsi="黑体" w:hint="eastAsia"/>
                <w:bCs/>
                <w:szCs w:val="21"/>
              </w:rPr>
              <w:t>类别</w:t>
            </w:r>
          </w:p>
        </w:tc>
        <w:tc>
          <w:tcPr>
            <w:tcW w:w="2466" w:type="dxa"/>
            <w:tcBorders>
              <w:top w:val="single" w:sz="4" w:space="0" w:color="000000"/>
              <w:left w:val="single" w:sz="4" w:space="0" w:color="000000"/>
              <w:bottom w:val="single" w:sz="4" w:space="0" w:color="000000"/>
              <w:right w:val="single" w:sz="4" w:space="0" w:color="000000"/>
            </w:tcBorders>
            <w:vAlign w:val="center"/>
          </w:tcPr>
          <w:p w14:paraId="29FDB8F0" w14:textId="77777777" w:rsidR="00564588" w:rsidRDefault="00000000">
            <w:pPr>
              <w:pStyle w:val="afffffa"/>
              <w:ind w:firstLine="420"/>
              <w:rPr>
                <w:rFonts w:hAnsi="黑体" w:hint="eastAsia"/>
                <w:bCs/>
                <w:szCs w:val="21"/>
              </w:rPr>
            </w:pPr>
            <w:r>
              <w:rPr>
                <w:rFonts w:hAnsi="黑体" w:hint="eastAsia"/>
                <w:bCs/>
                <w:szCs w:val="21"/>
              </w:rPr>
              <w:t>可选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AC9ED7" w14:textId="77777777" w:rsidR="00564588" w:rsidRDefault="00564588">
            <w:pPr>
              <w:pStyle w:val="afffffa"/>
              <w:ind w:firstLine="422"/>
              <w:rPr>
                <w:rFonts w:hAnsi="黑体" w:hint="eastAsia"/>
                <w:b/>
                <w:szCs w:val="21"/>
              </w:rPr>
            </w:pPr>
          </w:p>
        </w:tc>
      </w:tr>
      <w:tr w:rsidR="00564588" w14:paraId="1DC40936"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6D002D3D" w14:textId="77777777" w:rsidR="00564588" w:rsidRDefault="00000000">
            <w:pPr>
              <w:pStyle w:val="afffffa"/>
              <w:ind w:firstLine="420"/>
              <w:rPr>
                <w:rFonts w:hAnsi="黑体" w:hint="eastAsia"/>
                <w:bCs/>
                <w:szCs w:val="21"/>
              </w:rPr>
            </w:pPr>
            <w:r>
              <w:rPr>
                <w:rFonts w:hAnsi="黑体" w:hint="eastAsia"/>
                <w:bCs/>
                <w:szCs w:val="21"/>
              </w:rPr>
              <w:t>SMILES</w:t>
            </w:r>
          </w:p>
        </w:tc>
        <w:tc>
          <w:tcPr>
            <w:tcW w:w="2466" w:type="dxa"/>
            <w:tcBorders>
              <w:top w:val="single" w:sz="4" w:space="0" w:color="000000"/>
              <w:left w:val="single" w:sz="4" w:space="0" w:color="000000"/>
              <w:bottom w:val="single" w:sz="4" w:space="0" w:color="000000"/>
              <w:right w:val="single" w:sz="4" w:space="0" w:color="000000"/>
            </w:tcBorders>
            <w:vAlign w:val="center"/>
          </w:tcPr>
          <w:p w14:paraId="3AD46529"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39B43C" w14:textId="77777777" w:rsidR="00564588" w:rsidRDefault="00564588">
            <w:pPr>
              <w:pStyle w:val="afffffa"/>
              <w:ind w:firstLine="422"/>
              <w:rPr>
                <w:rFonts w:hAnsi="黑体" w:hint="eastAsia"/>
                <w:b/>
                <w:szCs w:val="21"/>
              </w:rPr>
            </w:pPr>
          </w:p>
        </w:tc>
      </w:tr>
      <w:tr w:rsidR="00564588" w14:paraId="21C9E2B2" w14:textId="77777777">
        <w:trPr>
          <w:trHeight w:val="270"/>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04A224EE" w14:textId="77777777" w:rsidR="00564588" w:rsidRDefault="00000000">
            <w:pPr>
              <w:pStyle w:val="afffffa"/>
              <w:ind w:firstLine="420"/>
              <w:rPr>
                <w:rFonts w:hAnsi="黑体" w:hint="eastAsia"/>
                <w:bCs/>
                <w:szCs w:val="21"/>
              </w:rPr>
            </w:pPr>
            <w:r>
              <w:rPr>
                <w:rFonts w:hAnsi="黑体" w:hint="eastAsia"/>
                <w:bCs/>
                <w:szCs w:val="21"/>
              </w:rPr>
              <w:t>分子结构图</w:t>
            </w:r>
          </w:p>
        </w:tc>
        <w:tc>
          <w:tcPr>
            <w:tcW w:w="2466" w:type="dxa"/>
            <w:tcBorders>
              <w:top w:val="single" w:sz="4" w:space="0" w:color="000000"/>
              <w:left w:val="single" w:sz="4" w:space="0" w:color="000000"/>
              <w:bottom w:val="single" w:sz="4" w:space="0" w:color="000000"/>
              <w:right w:val="single" w:sz="4" w:space="0" w:color="000000"/>
            </w:tcBorders>
            <w:vAlign w:val="center"/>
          </w:tcPr>
          <w:p w14:paraId="5B6F61F0" w14:textId="77777777" w:rsidR="00564588" w:rsidRDefault="00000000">
            <w:pPr>
              <w:pStyle w:val="afffffa"/>
              <w:ind w:firstLine="420"/>
              <w:rPr>
                <w:rFonts w:hAnsi="黑体" w:hint="eastAsia"/>
                <w:bCs/>
                <w:szCs w:val="21"/>
              </w:rPr>
            </w:pPr>
            <w:r>
              <w:rPr>
                <w:rFonts w:hAnsi="黑体" w:hint="eastAsia"/>
                <w:bCs/>
                <w:szCs w:val="21"/>
              </w:rPr>
              <w:t>可选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0D2178" w14:textId="77777777" w:rsidR="00564588" w:rsidRDefault="00564588">
            <w:pPr>
              <w:pStyle w:val="afffffa"/>
              <w:ind w:firstLine="422"/>
              <w:rPr>
                <w:rFonts w:hAnsi="黑体" w:hint="eastAsia"/>
                <w:b/>
                <w:szCs w:val="21"/>
              </w:rPr>
            </w:pPr>
          </w:p>
        </w:tc>
      </w:tr>
      <w:tr w:rsidR="00564588" w14:paraId="757A5364" w14:textId="77777777">
        <w:trPr>
          <w:trHeight w:val="279"/>
          <w:jc w:val="center"/>
        </w:trPr>
        <w:tc>
          <w:tcPr>
            <w:tcW w:w="2746" w:type="dxa"/>
            <w:tcBorders>
              <w:top w:val="single" w:sz="4" w:space="0" w:color="000000"/>
              <w:left w:val="single" w:sz="4" w:space="0" w:color="000000"/>
              <w:bottom w:val="single" w:sz="4" w:space="0" w:color="000000"/>
              <w:right w:val="single" w:sz="4" w:space="0" w:color="000000"/>
            </w:tcBorders>
            <w:vAlign w:val="center"/>
          </w:tcPr>
          <w:p w14:paraId="590A81EE" w14:textId="77777777" w:rsidR="00564588" w:rsidRDefault="00000000">
            <w:pPr>
              <w:pStyle w:val="afffffa"/>
              <w:ind w:firstLine="420"/>
              <w:rPr>
                <w:rFonts w:hAnsi="黑体" w:hint="eastAsia"/>
                <w:bCs/>
                <w:szCs w:val="21"/>
              </w:rPr>
            </w:pPr>
            <w:r>
              <w:rPr>
                <w:rFonts w:hAnsi="黑体" w:hint="eastAsia"/>
                <w:bCs/>
                <w:szCs w:val="21"/>
              </w:rPr>
              <w:t>计算属性</w:t>
            </w:r>
          </w:p>
        </w:tc>
        <w:tc>
          <w:tcPr>
            <w:tcW w:w="2466" w:type="dxa"/>
            <w:tcBorders>
              <w:top w:val="single" w:sz="4" w:space="0" w:color="000000"/>
              <w:left w:val="single" w:sz="4" w:space="0" w:color="000000"/>
              <w:bottom w:val="single" w:sz="4" w:space="0" w:color="000000"/>
              <w:right w:val="single" w:sz="4" w:space="0" w:color="000000"/>
            </w:tcBorders>
            <w:vAlign w:val="center"/>
          </w:tcPr>
          <w:p w14:paraId="03277B4E" w14:textId="77777777" w:rsidR="00564588" w:rsidRDefault="00000000">
            <w:pPr>
              <w:pStyle w:val="afffffa"/>
              <w:ind w:firstLine="420"/>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B20BC5" w14:textId="77777777" w:rsidR="00564588" w:rsidRDefault="00564588">
            <w:pPr>
              <w:pStyle w:val="afffffa"/>
              <w:ind w:firstLine="422"/>
              <w:rPr>
                <w:rFonts w:hAnsi="黑体" w:hint="eastAsia"/>
                <w:b/>
                <w:szCs w:val="21"/>
              </w:rPr>
            </w:pPr>
          </w:p>
        </w:tc>
      </w:tr>
    </w:tbl>
    <w:p w14:paraId="70DE1777" w14:textId="77777777" w:rsidR="00564588" w:rsidRDefault="00564588">
      <w:pPr>
        <w:pStyle w:val="afffffa"/>
        <w:ind w:firstLine="422"/>
        <w:rPr>
          <w:rFonts w:hAnsi="黑体" w:hint="eastAsia"/>
          <w:b/>
          <w:szCs w:val="21"/>
        </w:rPr>
      </w:pPr>
    </w:p>
    <w:p w14:paraId="13371F0D"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4" w:name="_Toc9997"/>
      <w:r>
        <w:rPr>
          <w:rFonts w:ascii="宋体" w:eastAsia="宋体" w:hAnsi="宋体" w:hint="eastAsia"/>
          <w:sz w:val="21"/>
          <w:szCs w:val="21"/>
        </w:rPr>
        <w:t>5.1.2 物理元数据模型</w:t>
      </w:r>
      <w:bookmarkEnd w:id="74"/>
    </w:p>
    <w:tbl>
      <w:tblPr>
        <w:tblW w:w="8958" w:type="dxa"/>
        <w:tblInd w:w="96" w:type="dxa"/>
        <w:tblLook w:val="04A0" w:firstRow="1" w:lastRow="0" w:firstColumn="1" w:lastColumn="0" w:noHBand="0" w:noVBand="1"/>
      </w:tblPr>
      <w:tblGrid>
        <w:gridCol w:w="2874"/>
        <w:gridCol w:w="2582"/>
        <w:gridCol w:w="3502"/>
      </w:tblGrid>
      <w:tr w:rsidR="00564588" w14:paraId="33C8A4EA"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44AF0213"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582" w:type="dxa"/>
            <w:tcBorders>
              <w:top w:val="single" w:sz="4" w:space="0" w:color="000000"/>
              <w:left w:val="single" w:sz="4" w:space="0" w:color="000000"/>
              <w:bottom w:val="single" w:sz="4" w:space="0" w:color="000000"/>
              <w:right w:val="single" w:sz="4" w:space="0" w:color="000000"/>
            </w:tcBorders>
            <w:vAlign w:val="center"/>
          </w:tcPr>
          <w:p w14:paraId="08EF7044"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502" w:type="dxa"/>
            <w:tcBorders>
              <w:top w:val="single" w:sz="4" w:space="0" w:color="000000"/>
              <w:left w:val="single" w:sz="4" w:space="0" w:color="000000"/>
              <w:bottom w:val="single" w:sz="4" w:space="0" w:color="000000"/>
              <w:right w:val="single" w:sz="4" w:space="0" w:color="000000"/>
            </w:tcBorders>
            <w:vAlign w:val="center"/>
          </w:tcPr>
          <w:p w14:paraId="64B2A09D"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13144E10"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336B84D8" w14:textId="77777777" w:rsidR="00564588" w:rsidRDefault="00000000">
            <w:pPr>
              <w:pStyle w:val="afffffa"/>
              <w:ind w:firstLine="420"/>
              <w:jc w:val="center"/>
              <w:rPr>
                <w:rFonts w:hAnsi="黑体" w:hint="eastAsia"/>
                <w:bCs/>
                <w:szCs w:val="21"/>
              </w:rPr>
            </w:pPr>
            <w:r>
              <w:rPr>
                <w:rFonts w:hAnsi="黑体" w:hint="eastAsia"/>
                <w:bCs/>
                <w:szCs w:val="21"/>
              </w:rPr>
              <w:t>颜色</w:t>
            </w:r>
          </w:p>
        </w:tc>
        <w:tc>
          <w:tcPr>
            <w:tcW w:w="2582" w:type="dxa"/>
            <w:tcBorders>
              <w:top w:val="single" w:sz="4" w:space="0" w:color="000000"/>
              <w:left w:val="single" w:sz="4" w:space="0" w:color="000000"/>
              <w:bottom w:val="single" w:sz="4" w:space="0" w:color="000000"/>
              <w:right w:val="single" w:sz="4" w:space="0" w:color="000000"/>
            </w:tcBorders>
            <w:vAlign w:val="center"/>
          </w:tcPr>
          <w:p w14:paraId="3ED41228"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68C97181" w14:textId="77777777" w:rsidR="00564588" w:rsidRDefault="00564588">
            <w:pPr>
              <w:pStyle w:val="afffffa"/>
              <w:ind w:firstLine="420"/>
              <w:jc w:val="center"/>
              <w:rPr>
                <w:rFonts w:hAnsi="黑体" w:hint="eastAsia"/>
                <w:bCs/>
                <w:szCs w:val="21"/>
              </w:rPr>
            </w:pPr>
          </w:p>
        </w:tc>
      </w:tr>
      <w:tr w:rsidR="00564588" w14:paraId="604C960E"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0D037A62" w14:textId="77777777" w:rsidR="00564588" w:rsidRDefault="00000000">
            <w:pPr>
              <w:pStyle w:val="afffffa"/>
              <w:ind w:firstLine="420"/>
              <w:jc w:val="center"/>
              <w:rPr>
                <w:rFonts w:hAnsi="黑体" w:hint="eastAsia"/>
                <w:bCs/>
                <w:szCs w:val="21"/>
              </w:rPr>
            </w:pPr>
            <w:r>
              <w:rPr>
                <w:rFonts w:hAnsi="黑体" w:hint="eastAsia"/>
                <w:bCs/>
                <w:szCs w:val="21"/>
              </w:rPr>
              <w:t>常温下的状态</w:t>
            </w:r>
          </w:p>
        </w:tc>
        <w:tc>
          <w:tcPr>
            <w:tcW w:w="2582" w:type="dxa"/>
            <w:tcBorders>
              <w:top w:val="single" w:sz="4" w:space="0" w:color="000000"/>
              <w:left w:val="single" w:sz="4" w:space="0" w:color="000000"/>
              <w:bottom w:val="single" w:sz="4" w:space="0" w:color="000000"/>
              <w:right w:val="single" w:sz="4" w:space="0" w:color="000000"/>
            </w:tcBorders>
            <w:vAlign w:val="center"/>
          </w:tcPr>
          <w:p w14:paraId="597AA86A"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519BC7CB" w14:textId="77777777" w:rsidR="00564588" w:rsidRDefault="00564588">
            <w:pPr>
              <w:pStyle w:val="afffffa"/>
              <w:ind w:firstLine="420"/>
              <w:jc w:val="center"/>
              <w:rPr>
                <w:rFonts w:hAnsi="黑体" w:hint="eastAsia"/>
                <w:bCs/>
                <w:szCs w:val="21"/>
              </w:rPr>
            </w:pPr>
          </w:p>
        </w:tc>
      </w:tr>
      <w:tr w:rsidR="00564588" w14:paraId="5EA5DCD6"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752572B8" w14:textId="77777777" w:rsidR="00564588" w:rsidRDefault="00000000">
            <w:pPr>
              <w:pStyle w:val="afffffa"/>
              <w:ind w:firstLine="420"/>
              <w:jc w:val="center"/>
              <w:rPr>
                <w:rFonts w:hAnsi="黑体" w:hint="eastAsia"/>
                <w:bCs/>
                <w:szCs w:val="21"/>
              </w:rPr>
            </w:pPr>
            <w:r>
              <w:rPr>
                <w:rFonts w:hAnsi="黑体" w:hint="eastAsia"/>
                <w:bCs/>
                <w:szCs w:val="21"/>
              </w:rPr>
              <w:t>气味</w:t>
            </w:r>
          </w:p>
        </w:tc>
        <w:tc>
          <w:tcPr>
            <w:tcW w:w="2582" w:type="dxa"/>
            <w:tcBorders>
              <w:top w:val="single" w:sz="4" w:space="0" w:color="000000"/>
              <w:left w:val="single" w:sz="4" w:space="0" w:color="000000"/>
              <w:bottom w:val="single" w:sz="4" w:space="0" w:color="000000"/>
              <w:right w:val="single" w:sz="4" w:space="0" w:color="000000"/>
            </w:tcBorders>
            <w:vAlign w:val="center"/>
          </w:tcPr>
          <w:p w14:paraId="38AF02AB"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2D061D7C" w14:textId="77777777" w:rsidR="00564588" w:rsidRDefault="00564588">
            <w:pPr>
              <w:pStyle w:val="afffffa"/>
              <w:ind w:firstLine="420"/>
              <w:jc w:val="center"/>
              <w:rPr>
                <w:rFonts w:hAnsi="黑体" w:hint="eastAsia"/>
                <w:bCs/>
                <w:szCs w:val="21"/>
              </w:rPr>
            </w:pPr>
          </w:p>
        </w:tc>
      </w:tr>
      <w:tr w:rsidR="00564588" w14:paraId="09A04FD1"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1C15DFD3" w14:textId="77777777" w:rsidR="00564588" w:rsidRDefault="00000000">
            <w:pPr>
              <w:pStyle w:val="afffffa"/>
              <w:ind w:firstLine="420"/>
              <w:jc w:val="center"/>
              <w:rPr>
                <w:rFonts w:hAnsi="黑体" w:hint="eastAsia"/>
                <w:bCs/>
                <w:szCs w:val="21"/>
              </w:rPr>
            </w:pPr>
            <w:r>
              <w:rPr>
                <w:rFonts w:hAnsi="黑体" w:hint="eastAsia"/>
                <w:bCs/>
                <w:szCs w:val="21"/>
              </w:rPr>
              <w:t>味道</w:t>
            </w:r>
          </w:p>
        </w:tc>
        <w:tc>
          <w:tcPr>
            <w:tcW w:w="2582" w:type="dxa"/>
            <w:tcBorders>
              <w:top w:val="single" w:sz="4" w:space="0" w:color="000000"/>
              <w:left w:val="single" w:sz="4" w:space="0" w:color="000000"/>
              <w:bottom w:val="single" w:sz="4" w:space="0" w:color="000000"/>
              <w:right w:val="single" w:sz="4" w:space="0" w:color="000000"/>
            </w:tcBorders>
            <w:vAlign w:val="center"/>
          </w:tcPr>
          <w:p w14:paraId="0E387294"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269051D6" w14:textId="77777777" w:rsidR="00564588" w:rsidRDefault="00564588">
            <w:pPr>
              <w:pStyle w:val="afffffa"/>
              <w:ind w:firstLine="420"/>
              <w:jc w:val="center"/>
              <w:rPr>
                <w:rFonts w:hAnsi="黑体" w:hint="eastAsia"/>
                <w:bCs/>
                <w:szCs w:val="21"/>
              </w:rPr>
            </w:pPr>
          </w:p>
        </w:tc>
      </w:tr>
      <w:tr w:rsidR="00564588" w14:paraId="4D7E252B"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6622CCEE" w14:textId="77777777" w:rsidR="00564588" w:rsidRDefault="00000000">
            <w:pPr>
              <w:pStyle w:val="afffffa"/>
              <w:ind w:firstLine="420"/>
              <w:jc w:val="center"/>
              <w:rPr>
                <w:rFonts w:hAnsi="黑体" w:hint="eastAsia"/>
                <w:bCs/>
                <w:szCs w:val="21"/>
              </w:rPr>
            </w:pPr>
            <w:r>
              <w:rPr>
                <w:rFonts w:hAnsi="黑体" w:hint="eastAsia"/>
                <w:bCs/>
                <w:szCs w:val="21"/>
              </w:rPr>
              <w:t>密度</w:t>
            </w:r>
          </w:p>
        </w:tc>
        <w:tc>
          <w:tcPr>
            <w:tcW w:w="2582" w:type="dxa"/>
            <w:tcBorders>
              <w:top w:val="single" w:sz="4" w:space="0" w:color="000000"/>
              <w:left w:val="single" w:sz="4" w:space="0" w:color="000000"/>
              <w:bottom w:val="single" w:sz="4" w:space="0" w:color="000000"/>
              <w:right w:val="single" w:sz="4" w:space="0" w:color="000000"/>
            </w:tcBorders>
            <w:vAlign w:val="center"/>
          </w:tcPr>
          <w:p w14:paraId="601CB5A7"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4871B6C9" w14:textId="77777777" w:rsidR="00564588" w:rsidRDefault="00564588">
            <w:pPr>
              <w:pStyle w:val="afffffa"/>
              <w:ind w:firstLine="420"/>
              <w:jc w:val="center"/>
              <w:rPr>
                <w:rFonts w:hAnsi="黑体" w:hint="eastAsia"/>
                <w:bCs/>
                <w:szCs w:val="21"/>
              </w:rPr>
            </w:pPr>
          </w:p>
        </w:tc>
      </w:tr>
      <w:tr w:rsidR="00564588" w14:paraId="7AF82BC8"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7B64CEE4" w14:textId="77777777" w:rsidR="00564588" w:rsidRDefault="00000000">
            <w:pPr>
              <w:pStyle w:val="afffffa"/>
              <w:ind w:firstLine="420"/>
              <w:jc w:val="center"/>
              <w:rPr>
                <w:rFonts w:hAnsi="黑体" w:hint="eastAsia"/>
                <w:bCs/>
                <w:szCs w:val="21"/>
              </w:rPr>
            </w:pPr>
            <w:r>
              <w:rPr>
                <w:rFonts w:hAnsi="黑体" w:hint="eastAsia"/>
                <w:bCs/>
                <w:szCs w:val="21"/>
              </w:rPr>
              <w:t>硬度</w:t>
            </w:r>
          </w:p>
        </w:tc>
        <w:tc>
          <w:tcPr>
            <w:tcW w:w="2582" w:type="dxa"/>
            <w:tcBorders>
              <w:top w:val="single" w:sz="4" w:space="0" w:color="000000"/>
              <w:left w:val="single" w:sz="4" w:space="0" w:color="000000"/>
              <w:bottom w:val="single" w:sz="4" w:space="0" w:color="000000"/>
              <w:right w:val="single" w:sz="4" w:space="0" w:color="000000"/>
            </w:tcBorders>
            <w:vAlign w:val="center"/>
          </w:tcPr>
          <w:p w14:paraId="6561ECB9"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78C3649F" w14:textId="77777777" w:rsidR="00564588" w:rsidRDefault="00564588">
            <w:pPr>
              <w:pStyle w:val="afffffa"/>
              <w:ind w:firstLine="420"/>
              <w:jc w:val="center"/>
              <w:rPr>
                <w:rFonts w:hAnsi="黑体" w:hint="eastAsia"/>
                <w:bCs/>
                <w:szCs w:val="21"/>
              </w:rPr>
            </w:pPr>
          </w:p>
        </w:tc>
      </w:tr>
      <w:tr w:rsidR="00564588" w14:paraId="464B4277"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1DB499F5" w14:textId="77777777" w:rsidR="00564588" w:rsidRDefault="00000000">
            <w:pPr>
              <w:pStyle w:val="afffffa"/>
              <w:ind w:firstLine="420"/>
              <w:jc w:val="center"/>
              <w:rPr>
                <w:rFonts w:hAnsi="黑体" w:hint="eastAsia"/>
                <w:bCs/>
                <w:szCs w:val="21"/>
              </w:rPr>
            </w:pPr>
            <w:r>
              <w:rPr>
                <w:rFonts w:hAnsi="黑体" w:hint="eastAsia"/>
                <w:bCs/>
                <w:szCs w:val="21"/>
              </w:rPr>
              <w:t>阈值点（固、液、气）</w:t>
            </w:r>
          </w:p>
        </w:tc>
        <w:tc>
          <w:tcPr>
            <w:tcW w:w="2582" w:type="dxa"/>
            <w:tcBorders>
              <w:top w:val="single" w:sz="4" w:space="0" w:color="000000"/>
              <w:left w:val="single" w:sz="4" w:space="0" w:color="000000"/>
              <w:bottom w:val="single" w:sz="4" w:space="0" w:color="000000"/>
              <w:right w:val="single" w:sz="4" w:space="0" w:color="000000"/>
            </w:tcBorders>
            <w:vAlign w:val="center"/>
          </w:tcPr>
          <w:p w14:paraId="3483210C"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2597A96B" w14:textId="77777777" w:rsidR="00564588" w:rsidRDefault="00564588">
            <w:pPr>
              <w:pStyle w:val="afffffa"/>
              <w:ind w:firstLine="420"/>
              <w:jc w:val="center"/>
              <w:rPr>
                <w:rFonts w:hAnsi="黑体" w:hint="eastAsia"/>
                <w:bCs/>
                <w:szCs w:val="21"/>
              </w:rPr>
            </w:pPr>
          </w:p>
        </w:tc>
      </w:tr>
      <w:tr w:rsidR="00564588" w14:paraId="5F693074" w14:textId="77777777">
        <w:trPr>
          <w:trHeight w:val="281"/>
        </w:trPr>
        <w:tc>
          <w:tcPr>
            <w:tcW w:w="2874" w:type="dxa"/>
            <w:tcBorders>
              <w:top w:val="single" w:sz="4" w:space="0" w:color="000000"/>
              <w:left w:val="single" w:sz="4" w:space="0" w:color="000000"/>
              <w:bottom w:val="single" w:sz="4" w:space="0" w:color="000000"/>
              <w:right w:val="single" w:sz="4" w:space="0" w:color="000000"/>
            </w:tcBorders>
            <w:vAlign w:val="center"/>
          </w:tcPr>
          <w:p w14:paraId="5041ABD7" w14:textId="77777777" w:rsidR="00564588" w:rsidRDefault="00000000">
            <w:pPr>
              <w:pStyle w:val="afffffa"/>
              <w:ind w:firstLine="420"/>
              <w:jc w:val="center"/>
              <w:rPr>
                <w:rFonts w:hAnsi="黑体" w:hint="eastAsia"/>
                <w:bCs/>
                <w:szCs w:val="21"/>
              </w:rPr>
            </w:pPr>
            <w:r>
              <w:rPr>
                <w:rFonts w:hAnsi="黑体" w:hint="eastAsia"/>
                <w:bCs/>
                <w:szCs w:val="21"/>
              </w:rPr>
              <w:t>导电性</w:t>
            </w:r>
          </w:p>
        </w:tc>
        <w:tc>
          <w:tcPr>
            <w:tcW w:w="2582" w:type="dxa"/>
            <w:tcBorders>
              <w:top w:val="single" w:sz="4" w:space="0" w:color="000000"/>
              <w:left w:val="single" w:sz="4" w:space="0" w:color="000000"/>
              <w:bottom w:val="single" w:sz="4" w:space="0" w:color="000000"/>
              <w:right w:val="single" w:sz="4" w:space="0" w:color="000000"/>
            </w:tcBorders>
            <w:vAlign w:val="center"/>
          </w:tcPr>
          <w:p w14:paraId="026A446E"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41CFE3F6" w14:textId="77777777" w:rsidR="00564588" w:rsidRDefault="00564588">
            <w:pPr>
              <w:pStyle w:val="afffffa"/>
              <w:ind w:firstLine="420"/>
              <w:jc w:val="center"/>
              <w:rPr>
                <w:rFonts w:hAnsi="黑体" w:hint="eastAsia"/>
                <w:bCs/>
                <w:szCs w:val="21"/>
              </w:rPr>
            </w:pPr>
          </w:p>
        </w:tc>
      </w:tr>
      <w:tr w:rsidR="00564588" w14:paraId="6B47C649" w14:textId="77777777">
        <w:trPr>
          <w:trHeight w:val="289"/>
        </w:trPr>
        <w:tc>
          <w:tcPr>
            <w:tcW w:w="2874" w:type="dxa"/>
            <w:tcBorders>
              <w:top w:val="single" w:sz="4" w:space="0" w:color="000000"/>
              <w:left w:val="single" w:sz="4" w:space="0" w:color="000000"/>
              <w:bottom w:val="single" w:sz="4" w:space="0" w:color="000000"/>
              <w:right w:val="single" w:sz="4" w:space="0" w:color="000000"/>
            </w:tcBorders>
            <w:vAlign w:val="center"/>
          </w:tcPr>
          <w:p w14:paraId="6174CC0C" w14:textId="77777777" w:rsidR="00564588" w:rsidRDefault="00000000">
            <w:pPr>
              <w:pStyle w:val="afffffa"/>
              <w:ind w:firstLine="420"/>
              <w:jc w:val="center"/>
              <w:rPr>
                <w:rFonts w:hAnsi="黑体" w:hint="eastAsia"/>
                <w:bCs/>
                <w:szCs w:val="21"/>
              </w:rPr>
            </w:pPr>
            <w:r>
              <w:rPr>
                <w:rFonts w:hAnsi="黑体" w:hint="eastAsia"/>
                <w:bCs/>
                <w:szCs w:val="21"/>
              </w:rPr>
              <w:t>导热性</w:t>
            </w:r>
          </w:p>
        </w:tc>
        <w:tc>
          <w:tcPr>
            <w:tcW w:w="2582" w:type="dxa"/>
            <w:tcBorders>
              <w:top w:val="single" w:sz="4" w:space="0" w:color="000000"/>
              <w:left w:val="single" w:sz="4" w:space="0" w:color="000000"/>
              <w:bottom w:val="single" w:sz="4" w:space="0" w:color="000000"/>
              <w:right w:val="single" w:sz="4" w:space="0" w:color="000000"/>
            </w:tcBorders>
            <w:vAlign w:val="center"/>
          </w:tcPr>
          <w:p w14:paraId="58C4D681"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02" w:type="dxa"/>
            <w:tcBorders>
              <w:top w:val="single" w:sz="4" w:space="0" w:color="000000"/>
              <w:left w:val="single" w:sz="4" w:space="0" w:color="000000"/>
              <w:bottom w:val="single" w:sz="4" w:space="0" w:color="000000"/>
              <w:right w:val="single" w:sz="4" w:space="0" w:color="000000"/>
            </w:tcBorders>
            <w:vAlign w:val="center"/>
          </w:tcPr>
          <w:p w14:paraId="1265ED28" w14:textId="77777777" w:rsidR="00564588" w:rsidRDefault="00564588">
            <w:pPr>
              <w:pStyle w:val="afffffa"/>
              <w:ind w:firstLine="420"/>
              <w:jc w:val="center"/>
              <w:rPr>
                <w:rFonts w:hAnsi="黑体" w:hint="eastAsia"/>
                <w:bCs/>
                <w:szCs w:val="21"/>
              </w:rPr>
            </w:pPr>
          </w:p>
        </w:tc>
      </w:tr>
    </w:tbl>
    <w:p w14:paraId="3B8EC58C" w14:textId="77777777" w:rsidR="00564588" w:rsidRDefault="00564588">
      <w:pPr>
        <w:pStyle w:val="afffffa"/>
        <w:ind w:firstLine="422"/>
        <w:rPr>
          <w:rFonts w:hAnsi="黑体" w:hint="eastAsia"/>
          <w:b/>
          <w:szCs w:val="21"/>
        </w:rPr>
      </w:pPr>
    </w:p>
    <w:p w14:paraId="6F3D5C68" w14:textId="77777777" w:rsidR="00564588" w:rsidRDefault="00564588">
      <w:pPr>
        <w:pStyle w:val="afffffa"/>
        <w:ind w:firstLine="422"/>
        <w:rPr>
          <w:rFonts w:hAnsi="黑体" w:hint="eastAsia"/>
          <w:b/>
          <w:szCs w:val="21"/>
        </w:rPr>
      </w:pPr>
    </w:p>
    <w:p w14:paraId="200EE5BD"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5" w:name="_Toc12228"/>
      <w:r>
        <w:rPr>
          <w:rFonts w:ascii="宋体" w:eastAsia="宋体" w:hAnsi="宋体" w:hint="eastAsia"/>
          <w:sz w:val="21"/>
          <w:szCs w:val="21"/>
        </w:rPr>
        <w:t>5.1.3 安全元数据模型</w:t>
      </w:r>
      <w:bookmarkEnd w:id="75"/>
    </w:p>
    <w:tbl>
      <w:tblPr>
        <w:tblW w:w="8919" w:type="dxa"/>
        <w:tblInd w:w="96" w:type="dxa"/>
        <w:tblLook w:val="04A0" w:firstRow="1" w:lastRow="0" w:firstColumn="1" w:lastColumn="0" w:noHBand="0" w:noVBand="1"/>
      </w:tblPr>
      <w:tblGrid>
        <w:gridCol w:w="2862"/>
        <w:gridCol w:w="2570"/>
        <w:gridCol w:w="3487"/>
      </w:tblGrid>
      <w:tr w:rsidR="00564588" w14:paraId="77A28777" w14:textId="77777777">
        <w:trPr>
          <w:trHeight w:val="284"/>
        </w:trPr>
        <w:tc>
          <w:tcPr>
            <w:tcW w:w="2862" w:type="dxa"/>
            <w:tcBorders>
              <w:top w:val="single" w:sz="4" w:space="0" w:color="000000"/>
              <w:left w:val="single" w:sz="4" w:space="0" w:color="000000"/>
              <w:bottom w:val="single" w:sz="4" w:space="0" w:color="000000"/>
              <w:right w:val="single" w:sz="4" w:space="0" w:color="000000"/>
            </w:tcBorders>
            <w:vAlign w:val="center"/>
          </w:tcPr>
          <w:p w14:paraId="7690431F" w14:textId="77777777" w:rsidR="00564588" w:rsidRDefault="00000000">
            <w:pPr>
              <w:pStyle w:val="afffffa"/>
              <w:ind w:firstLine="422"/>
              <w:jc w:val="center"/>
              <w:rPr>
                <w:rFonts w:hAnsi="黑体" w:hint="eastAsia"/>
                <w:b/>
                <w:szCs w:val="21"/>
              </w:rPr>
            </w:pPr>
            <w:r>
              <w:rPr>
                <w:rFonts w:hAnsi="黑体" w:hint="eastAsia"/>
                <w:b/>
                <w:szCs w:val="21"/>
              </w:rPr>
              <w:lastRenderedPageBreak/>
              <w:t>元数据选项</w:t>
            </w:r>
          </w:p>
        </w:tc>
        <w:tc>
          <w:tcPr>
            <w:tcW w:w="2570" w:type="dxa"/>
            <w:tcBorders>
              <w:top w:val="single" w:sz="4" w:space="0" w:color="000000"/>
              <w:left w:val="single" w:sz="4" w:space="0" w:color="000000"/>
              <w:bottom w:val="single" w:sz="4" w:space="0" w:color="000000"/>
              <w:right w:val="single" w:sz="4" w:space="0" w:color="000000"/>
            </w:tcBorders>
            <w:vAlign w:val="center"/>
          </w:tcPr>
          <w:p w14:paraId="176BF6B3"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487" w:type="dxa"/>
            <w:tcBorders>
              <w:top w:val="single" w:sz="4" w:space="0" w:color="000000"/>
              <w:left w:val="single" w:sz="4" w:space="0" w:color="000000"/>
              <w:bottom w:val="single" w:sz="4" w:space="0" w:color="000000"/>
              <w:right w:val="single" w:sz="4" w:space="0" w:color="000000"/>
            </w:tcBorders>
            <w:vAlign w:val="center"/>
          </w:tcPr>
          <w:p w14:paraId="23E3DD03"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2A2783AE" w14:textId="77777777">
        <w:trPr>
          <w:trHeight w:val="284"/>
        </w:trPr>
        <w:tc>
          <w:tcPr>
            <w:tcW w:w="2862" w:type="dxa"/>
            <w:tcBorders>
              <w:top w:val="single" w:sz="4" w:space="0" w:color="000000"/>
              <w:left w:val="single" w:sz="4" w:space="0" w:color="000000"/>
              <w:bottom w:val="single" w:sz="4" w:space="0" w:color="000000"/>
              <w:right w:val="single" w:sz="4" w:space="0" w:color="000000"/>
            </w:tcBorders>
            <w:vAlign w:val="center"/>
          </w:tcPr>
          <w:p w14:paraId="3133D618" w14:textId="77777777" w:rsidR="00564588" w:rsidRDefault="00000000">
            <w:pPr>
              <w:pStyle w:val="afffffa"/>
              <w:ind w:firstLine="420"/>
              <w:jc w:val="center"/>
              <w:rPr>
                <w:rFonts w:hAnsi="黑体" w:hint="eastAsia"/>
                <w:bCs/>
                <w:szCs w:val="21"/>
              </w:rPr>
            </w:pPr>
            <w:r>
              <w:rPr>
                <w:rFonts w:hAnsi="黑体" w:hint="eastAsia"/>
                <w:bCs/>
                <w:szCs w:val="21"/>
              </w:rPr>
              <w:t>危险品标志</w:t>
            </w:r>
          </w:p>
        </w:tc>
        <w:tc>
          <w:tcPr>
            <w:tcW w:w="2570" w:type="dxa"/>
            <w:tcBorders>
              <w:top w:val="single" w:sz="4" w:space="0" w:color="000000"/>
              <w:left w:val="single" w:sz="4" w:space="0" w:color="000000"/>
              <w:bottom w:val="single" w:sz="4" w:space="0" w:color="000000"/>
              <w:right w:val="single" w:sz="4" w:space="0" w:color="000000"/>
            </w:tcBorders>
            <w:vAlign w:val="center"/>
          </w:tcPr>
          <w:p w14:paraId="2CA925EB"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487" w:type="dxa"/>
            <w:tcBorders>
              <w:top w:val="single" w:sz="4" w:space="0" w:color="000000"/>
              <w:left w:val="single" w:sz="4" w:space="0" w:color="000000"/>
              <w:bottom w:val="single" w:sz="4" w:space="0" w:color="000000"/>
              <w:right w:val="single" w:sz="4" w:space="0" w:color="000000"/>
            </w:tcBorders>
            <w:vAlign w:val="center"/>
          </w:tcPr>
          <w:p w14:paraId="702081FC" w14:textId="77777777" w:rsidR="00564588" w:rsidRDefault="00564588">
            <w:pPr>
              <w:pStyle w:val="afffffa"/>
              <w:ind w:firstLine="422"/>
              <w:jc w:val="center"/>
              <w:rPr>
                <w:rFonts w:hAnsi="黑体" w:hint="eastAsia"/>
                <w:b/>
                <w:szCs w:val="21"/>
              </w:rPr>
            </w:pPr>
          </w:p>
        </w:tc>
      </w:tr>
      <w:tr w:rsidR="00564588" w14:paraId="6BE1B07A" w14:textId="77777777">
        <w:trPr>
          <w:trHeight w:val="284"/>
        </w:trPr>
        <w:tc>
          <w:tcPr>
            <w:tcW w:w="2862" w:type="dxa"/>
            <w:tcBorders>
              <w:top w:val="single" w:sz="4" w:space="0" w:color="000000"/>
              <w:left w:val="single" w:sz="4" w:space="0" w:color="000000"/>
              <w:bottom w:val="single" w:sz="4" w:space="0" w:color="000000"/>
              <w:right w:val="single" w:sz="4" w:space="0" w:color="000000"/>
            </w:tcBorders>
            <w:vAlign w:val="center"/>
          </w:tcPr>
          <w:p w14:paraId="48F369AD" w14:textId="77777777" w:rsidR="00564588" w:rsidRDefault="00000000">
            <w:pPr>
              <w:pStyle w:val="afffffa"/>
              <w:ind w:firstLine="420"/>
              <w:jc w:val="center"/>
              <w:rPr>
                <w:rFonts w:hAnsi="黑体" w:hint="eastAsia"/>
                <w:bCs/>
                <w:szCs w:val="21"/>
              </w:rPr>
            </w:pPr>
            <w:r>
              <w:rPr>
                <w:rFonts w:hAnsi="黑体" w:hint="eastAsia"/>
                <w:bCs/>
                <w:szCs w:val="21"/>
              </w:rPr>
              <w:t>GHS危险类别</w:t>
            </w:r>
          </w:p>
        </w:tc>
        <w:tc>
          <w:tcPr>
            <w:tcW w:w="2570" w:type="dxa"/>
            <w:tcBorders>
              <w:top w:val="single" w:sz="4" w:space="0" w:color="000000"/>
              <w:left w:val="single" w:sz="4" w:space="0" w:color="000000"/>
              <w:bottom w:val="single" w:sz="4" w:space="0" w:color="000000"/>
              <w:right w:val="single" w:sz="4" w:space="0" w:color="000000"/>
            </w:tcBorders>
            <w:vAlign w:val="center"/>
          </w:tcPr>
          <w:p w14:paraId="3D29E5EB"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487" w:type="dxa"/>
            <w:tcBorders>
              <w:top w:val="single" w:sz="4" w:space="0" w:color="000000"/>
              <w:left w:val="single" w:sz="4" w:space="0" w:color="000000"/>
              <w:bottom w:val="single" w:sz="4" w:space="0" w:color="000000"/>
              <w:right w:val="single" w:sz="4" w:space="0" w:color="000000"/>
            </w:tcBorders>
            <w:vAlign w:val="center"/>
          </w:tcPr>
          <w:p w14:paraId="0B663A92" w14:textId="77777777" w:rsidR="00564588" w:rsidRDefault="00564588">
            <w:pPr>
              <w:pStyle w:val="afffffa"/>
              <w:ind w:firstLine="422"/>
              <w:jc w:val="center"/>
              <w:rPr>
                <w:rFonts w:hAnsi="黑体" w:hint="eastAsia"/>
                <w:b/>
                <w:szCs w:val="21"/>
              </w:rPr>
            </w:pPr>
          </w:p>
        </w:tc>
      </w:tr>
      <w:tr w:rsidR="00564588" w14:paraId="4FE2AA6E" w14:textId="77777777">
        <w:trPr>
          <w:trHeight w:val="284"/>
        </w:trPr>
        <w:tc>
          <w:tcPr>
            <w:tcW w:w="2862" w:type="dxa"/>
            <w:tcBorders>
              <w:top w:val="single" w:sz="4" w:space="0" w:color="000000"/>
              <w:left w:val="single" w:sz="4" w:space="0" w:color="000000"/>
              <w:bottom w:val="single" w:sz="4" w:space="0" w:color="000000"/>
              <w:right w:val="single" w:sz="4" w:space="0" w:color="000000"/>
            </w:tcBorders>
            <w:vAlign w:val="center"/>
          </w:tcPr>
          <w:p w14:paraId="4C3C366D" w14:textId="77777777" w:rsidR="00564588" w:rsidRDefault="00000000">
            <w:pPr>
              <w:pStyle w:val="afffffa"/>
              <w:ind w:firstLine="420"/>
              <w:jc w:val="center"/>
              <w:rPr>
                <w:rFonts w:hAnsi="黑体" w:hint="eastAsia"/>
                <w:bCs/>
                <w:szCs w:val="21"/>
              </w:rPr>
            </w:pPr>
            <w:r>
              <w:rPr>
                <w:rFonts w:hAnsi="黑体" w:hint="eastAsia"/>
                <w:bCs/>
                <w:szCs w:val="21"/>
              </w:rPr>
              <w:t>​操作防护</w:t>
            </w:r>
          </w:p>
        </w:tc>
        <w:tc>
          <w:tcPr>
            <w:tcW w:w="2570" w:type="dxa"/>
            <w:tcBorders>
              <w:top w:val="single" w:sz="4" w:space="0" w:color="000000"/>
              <w:left w:val="single" w:sz="4" w:space="0" w:color="000000"/>
              <w:bottom w:val="single" w:sz="4" w:space="0" w:color="000000"/>
              <w:right w:val="single" w:sz="4" w:space="0" w:color="000000"/>
            </w:tcBorders>
            <w:vAlign w:val="center"/>
          </w:tcPr>
          <w:p w14:paraId="3D00C20C"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487" w:type="dxa"/>
            <w:tcBorders>
              <w:top w:val="single" w:sz="4" w:space="0" w:color="000000"/>
              <w:left w:val="single" w:sz="4" w:space="0" w:color="000000"/>
              <w:bottom w:val="single" w:sz="4" w:space="0" w:color="000000"/>
              <w:right w:val="single" w:sz="4" w:space="0" w:color="000000"/>
            </w:tcBorders>
            <w:vAlign w:val="center"/>
          </w:tcPr>
          <w:p w14:paraId="61212704" w14:textId="77777777" w:rsidR="00564588" w:rsidRDefault="00564588">
            <w:pPr>
              <w:pStyle w:val="afffffa"/>
              <w:ind w:firstLine="422"/>
              <w:jc w:val="center"/>
              <w:rPr>
                <w:rFonts w:hAnsi="黑体" w:hint="eastAsia"/>
                <w:b/>
                <w:szCs w:val="21"/>
              </w:rPr>
            </w:pPr>
          </w:p>
        </w:tc>
      </w:tr>
      <w:tr w:rsidR="00564588" w14:paraId="2EB000B5" w14:textId="77777777">
        <w:trPr>
          <w:trHeight w:val="293"/>
        </w:trPr>
        <w:tc>
          <w:tcPr>
            <w:tcW w:w="2862" w:type="dxa"/>
            <w:tcBorders>
              <w:top w:val="single" w:sz="4" w:space="0" w:color="000000"/>
              <w:left w:val="single" w:sz="4" w:space="0" w:color="000000"/>
              <w:bottom w:val="single" w:sz="4" w:space="0" w:color="000000"/>
              <w:right w:val="single" w:sz="4" w:space="0" w:color="000000"/>
            </w:tcBorders>
            <w:vAlign w:val="center"/>
          </w:tcPr>
          <w:p w14:paraId="45B11FF8" w14:textId="77777777" w:rsidR="00564588" w:rsidRDefault="00000000">
            <w:pPr>
              <w:pStyle w:val="afffffa"/>
              <w:ind w:firstLine="420"/>
              <w:jc w:val="center"/>
              <w:rPr>
                <w:rFonts w:hAnsi="黑体" w:hint="eastAsia"/>
                <w:bCs/>
                <w:szCs w:val="21"/>
              </w:rPr>
            </w:pPr>
            <w:r>
              <w:rPr>
                <w:rFonts w:hAnsi="黑体" w:hint="eastAsia"/>
                <w:bCs/>
                <w:szCs w:val="21"/>
              </w:rPr>
              <w:t>危险性说明</w:t>
            </w:r>
          </w:p>
        </w:tc>
        <w:tc>
          <w:tcPr>
            <w:tcW w:w="2570" w:type="dxa"/>
            <w:tcBorders>
              <w:top w:val="single" w:sz="4" w:space="0" w:color="000000"/>
              <w:left w:val="single" w:sz="4" w:space="0" w:color="000000"/>
              <w:bottom w:val="single" w:sz="4" w:space="0" w:color="000000"/>
              <w:right w:val="single" w:sz="4" w:space="0" w:color="000000"/>
            </w:tcBorders>
            <w:vAlign w:val="center"/>
          </w:tcPr>
          <w:p w14:paraId="3724370D"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487" w:type="dxa"/>
            <w:tcBorders>
              <w:top w:val="single" w:sz="4" w:space="0" w:color="000000"/>
              <w:left w:val="single" w:sz="4" w:space="0" w:color="000000"/>
              <w:bottom w:val="single" w:sz="4" w:space="0" w:color="000000"/>
              <w:right w:val="single" w:sz="4" w:space="0" w:color="000000"/>
            </w:tcBorders>
            <w:vAlign w:val="center"/>
          </w:tcPr>
          <w:p w14:paraId="0360ABEB" w14:textId="77777777" w:rsidR="00564588" w:rsidRDefault="00564588">
            <w:pPr>
              <w:pStyle w:val="afffffa"/>
              <w:ind w:firstLine="422"/>
              <w:jc w:val="center"/>
              <w:rPr>
                <w:rFonts w:hAnsi="黑体" w:hint="eastAsia"/>
                <w:b/>
                <w:szCs w:val="21"/>
              </w:rPr>
            </w:pPr>
          </w:p>
        </w:tc>
      </w:tr>
    </w:tbl>
    <w:p w14:paraId="3117EB48" w14:textId="77777777" w:rsidR="00564588" w:rsidRDefault="00564588">
      <w:pPr>
        <w:pStyle w:val="afffffa"/>
        <w:ind w:firstLine="422"/>
        <w:rPr>
          <w:rFonts w:hAnsi="黑体" w:hint="eastAsia"/>
          <w:b/>
          <w:szCs w:val="21"/>
        </w:rPr>
      </w:pPr>
    </w:p>
    <w:p w14:paraId="7DAA0697" w14:textId="77777777" w:rsidR="00564588" w:rsidRDefault="00564588">
      <w:pPr>
        <w:pStyle w:val="afffffa"/>
        <w:ind w:firstLine="422"/>
        <w:rPr>
          <w:rFonts w:hAnsi="黑体" w:hint="eastAsia"/>
          <w:b/>
          <w:szCs w:val="21"/>
        </w:rPr>
      </w:pPr>
    </w:p>
    <w:p w14:paraId="7ECBBC19"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6" w:name="_Toc23975"/>
      <w:r>
        <w:rPr>
          <w:rFonts w:ascii="宋体" w:eastAsia="宋体" w:hAnsi="宋体" w:hint="eastAsia"/>
          <w:sz w:val="21"/>
          <w:szCs w:val="21"/>
        </w:rPr>
        <w:t>5.1.4 气相色谱实验条件元数据模型</w:t>
      </w:r>
      <w:bookmarkEnd w:id="76"/>
    </w:p>
    <w:tbl>
      <w:tblPr>
        <w:tblW w:w="9058" w:type="dxa"/>
        <w:tblInd w:w="96" w:type="dxa"/>
        <w:tblLook w:val="04A0" w:firstRow="1" w:lastRow="0" w:firstColumn="1" w:lastColumn="0" w:noHBand="0" w:noVBand="1"/>
      </w:tblPr>
      <w:tblGrid>
        <w:gridCol w:w="2906"/>
        <w:gridCol w:w="2610"/>
        <w:gridCol w:w="3542"/>
      </w:tblGrid>
      <w:tr w:rsidR="00564588" w14:paraId="5E5194E2"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68FC04FD"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610" w:type="dxa"/>
            <w:tcBorders>
              <w:top w:val="single" w:sz="4" w:space="0" w:color="000000"/>
              <w:left w:val="single" w:sz="4" w:space="0" w:color="000000"/>
              <w:bottom w:val="single" w:sz="4" w:space="0" w:color="000000"/>
              <w:right w:val="single" w:sz="4" w:space="0" w:color="000000"/>
            </w:tcBorders>
            <w:vAlign w:val="center"/>
          </w:tcPr>
          <w:p w14:paraId="27584C22"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542" w:type="dxa"/>
            <w:tcBorders>
              <w:top w:val="single" w:sz="4" w:space="0" w:color="000000"/>
              <w:left w:val="single" w:sz="4" w:space="0" w:color="000000"/>
              <w:bottom w:val="single" w:sz="4" w:space="0" w:color="000000"/>
              <w:right w:val="single" w:sz="4" w:space="0" w:color="000000"/>
            </w:tcBorders>
            <w:vAlign w:val="center"/>
          </w:tcPr>
          <w:p w14:paraId="016D6F40"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559DED47"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7AC98980" w14:textId="77777777" w:rsidR="00564588" w:rsidRDefault="00000000">
            <w:pPr>
              <w:pStyle w:val="afffffa"/>
              <w:ind w:firstLine="420"/>
              <w:jc w:val="center"/>
              <w:rPr>
                <w:rFonts w:hAnsi="黑体" w:hint="eastAsia"/>
                <w:bCs/>
                <w:szCs w:val="21"/>
              </w:rPr>
            </w:pPr>
            <w:r>
              <w:rPr>
                <w:rFonts w:hAnsi="黑体" w:hint="eastAsia"/>
                <w:bCs/>
                <w:szCs w:val="21"/>
              </w:rPr>
              <w:t>仪器型号名称</w:t>
            </w:r>
          </w:p>
        </w:tc>
        <w:tc>
          <w:tcPr>
            <w:tcW w:w="2610" w:type="dxa"/>
            <w:tcBorders>
              <w:top w:val="single" w:sz="4" w:space="0" w:color="000000"/>
              <w:left w:val="single" w:sz="4" w:space="0" w:color="000000"/>
              <w:bottom w:val="single" w:sz="4" w:space="0" w:color="000000"/>
              <w:right w:val="single" w:sz="4" w:space="0" w:color="000000"/>
            </w:tcBorders>
            <w:vAlign w:val="center"/>
          </w:tcPr>
          <w:p w14:paraId="20ACF248"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25D77486" w14:textId="77777777" w:rsidR="00564588" w:rsidRDefault="00564588">
            <w:pPr>
              <w:pStyle w:val="afffffa"/>
              <w:ind w:firstLine="420"/>
              <w:jc w:val="center"/>
              <w:rPr>
                <w:rFonts w:hAnsi="黑体" w:hint="eastAsia"/>
                <w:bCs/>
                <w:szCs w:val="21"/>
              </w:rPr>
            </w:pPr>
          </w:p>
        </w:tc>
      </w:tr>
      <w:tr w:rsidR="00564588" w14:paraId="4CB2D1E3"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26A4AA44" w14:textId="77777777" w:rsidR="00564588" w:rsidRDefault="00000000">
            <w:pPr>
              <w:pStyle w:val="afffffa"/>
              <w:ind w:firstLine="420"/>
              <w:jc w:val="center"/>
              <w:rPr>
                <w:rFonts w:hAnsi="黑体" w:hint="eastAsia"/>
                <w:bCs/>
                <w:szCs w:val="21"/>
              </w:rPr>
            </w:pPr>
            <w:r>
              <w:rPr>
                <w:rFonts w:hAnsi="黑体" w:hint="eastAsia"/>
                <w:bCs/>
                <w:szCs w:val="21"/>
              </w:rPr>
              <w:t>色谱柱型号（名称、参数）</w:t>
            </w:r>
          </w:p>
        </w:tc>
        <w:tc>
          <w:tcPr>
            <w:tcW w:w="2610" w:type="dxa"/>
            <w:tcBorders>
              <w:top w:val="single" w:sz="4" w:space="0" w:color="000000"/>
              <w:left w:val="single" w:sz="4" w:space="0" w:color="000000"/>
              <w:bottom w:val="single" w:sz="4" w:space="0" w:color="000000"/>
              <w:right w:val="single" w:sz="4" w:space="0" w:color="000000"/>
            </w:tcBorders>
            <w:vAlign w:val="center"/>
          </w:tcPr>
          <w:p w14:paraId="1624B4A5"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1932CB6D" w14:textId="77777777" w:rsidR="00564588" w:rsidRDefault="00564588">
            <w:pPr>
              <w:pStyle w:val="afffffa"/>
              <w:ind w:firstLine="420"/>
              <w:jc w:val="center"/>
              <w:rPr>
                <w:rFonts w:hAnsi="黑体" w:hint="eastAsia"/>
                <w:bCs/>
                <w:szCs w:val="21"/>
              </w:rPr>
            </w:pPr>
          </w:p>
        </w:tc>
      </w:tr>
      <w:tr w:rsidR="00564588" w14:paraId="64F7978D"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032AE1A3" w14:textId="77777777" w:rsidR="00564588" w:rsidRDefault="00000000">
            <w:pPr>
              <w:pStyle w:val="afffffa"/>
              <w:ind w:firstLine="420"/>
              <w:jc w:val="center"/>
              <w:rPr>
                <w:rFonts w:hAnsi="黑体" w:hint="eastAsia"/>
                <w:bCs/>
                <w:szCs w:val="21"/>
              </w:rPr>
            </w:pPr>
            <w:r>
              <w:rPr>
                <w:rFonts w:hAnsi="黑体" w:hint="eastAsia"/>
                <w:bCs/>
                <w:szCs w:val="21"/>
              </w:rPr>
              <w:t>升温程序</w:t>
            </w:r>
          </w:p>
        </w:tc>
        <w:tc>
          <w:tcPr>
            <w:tcW w:w="2610" w:type="dxa"/>
            <w:tcBorders>
              <w:top w:val="single" w:sz="4" w:space="0" w:color="000000"/>
              <w:left w:val="single" w:sz="4" w:space="0" w:color="000000"/>
              <w:bottom w:val="single" w:sz="4" w:space="0" w:color="000000"/>
              <w:right w:val="single" w:sz="4" w:space="0" w:color="000000"/>
            </w:tcBorders>
            <w:vAlign w:val="center"/>
          </w:tcPr>
          <w:p w14:paraId="1F1EDA79"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7DB00688" w14:textId="77777777" w:rsidR="00564588" w:rsidRDefault="00564588">
            <w:pPr>
              <w:pStyle w:val="afffffa"/>
              <w:ind w:firstLine="420"/>
              <w:jc w:val="center"/>
              <w:rPr>
                <w:rFonts w:hAnsi="黑体" w:hint="eastAsia"/>
                <w:bCs/>
                <w:szCs w:val="21"/>
              </w:rPr>
            </w:pPr>
          </w:p>
        </w:tc>
      </w:tr>
      <w:tr w:rsidR="00564588" w14:paraId="4C9DCE60"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097DD7B7" w14:textId="77777777" w:rsidR="00564588" w:rsidRDefault="00000000">
            <w:pPr>
              <w:pStyle w:val="afffffa"/>
              <w:ind w:firstLine="420"/>
              <w:jc w:val="center"/>
              <w:rPr>
                <w:rFonts w:hAnsi="黑体" w:hint="eastAsia"/>
                <w:bCs/>
                <w:szCs w:val="21"/>
              </w:rPr>
            </w:pPr>
            <w:r>
              <w:rPr>
                <w:rFonts w:hAnsi="黑体" w:hint="eastAsia"/>
                <w:bCs/>
                <w:szCs w:val="21"/>
              </w:rPr>
              <w:t>载气类型</w:t>
            </w:r>
          </w:p>
        </w:tc>
        <w:tc>
          <w:tcPr>
            <w:tcW w:w="2610" w:type="dxa"/>
            <w:tcBorders>
              <w:top w:val="single" w:sz="4" w:space="0" w:color="000000"/>
              <w:left w:val="single" w:sz="4" w:space="0" w:color="000000"/>
              <w:bottom w:val="single" w:sz="4" w:space="0" w:color="000000"/>
              <w:right w:val="single" w:sz="4" w:space="0" w:color="000000"/>
            </w:tcBorders>
            <w:vAlign w:val="center"/>
          </w:tcPr>
          <w:p w14:paraId="3BC932A4"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30A88908" w14:textId="77777777" w:rsidR="00564588" w:rsidRDefault="00564588">
            <w:pPr>
              <w:pStyle w:val="afffffa"/>
              <w:ind w:firstLine="420"/>
              <w:jc w:val="center"/>
              <w:rPr>
                <w:rFonts w:hAnsi="黑体" w:hint="eastAsia"/>
                <w:bCs/>
                <w:szCs w:val="21"/>
              </w:rPr>
            </w:pPr>
          </w:p>
        </w:tc>
      </w:tr>
      <w:tr w:rsidR="00564588" w14:paraId="01AA8908"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5D0303E0" w14:textId="77777777" w:rsidR="00564588" w:rsidRDefault="00000000">
            <w:pPr>
              <w:pStyle w:val="afffffa"/>
              <w:ind w:firstLine="420"/>
              <w:jc w:val="center"/>
              <w:rPr>
                <w:rFonts w:hAnsi="黑体" w:hint="eastAsia"/>
                <w:bCs/>
                <w:szCs w:val="21"/>
              </w:rPr>
            </w:pPr>
            <w:r>
              <w:rPr>
                <w:rFonts w:hAnsi="黑体" w:hint="eastAsia"/>
                <w:bCs/>
                <w:szCs w:val="21"/>
              </w:rPr>
              <w:t>流速</w:t>
            </w:r>
          </w:p>
        </w:tc>
        <w:tc>
          <w:tcPr>
            <w:tcW w:w="2610" w:type="dxa"/>
            <w:tcBorders>
              <w:top w:val="single" w:sz="4" w:space="0" w:color="000000"/>
              <w:left w:val="single" w:sz="4" w:space="0" w:color="000000"/>
              <w:bottom w:val="single" w:sz="4" w:space="0" w:color="000000"/>
              <w:right w:val="single" w:sz="4" w:space="0" w:color="000000"/>
            </w:tcBorders>
            <w:vAlign w:val="center"/>
          </w:tcPr>
          <w:p w14:paraId="57B8A1C2"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61227334" w14:textId="77777777" w:rsidR="00564588" w:rsidRDefault="00564588">
            <w:pPr>
              <w:pStyle w:val="afffffa"/>
              <w:ind w:firstLine="420"/>
              <w:jc w:val="center"/>
              <w:rPr>
                <w:rFonts w:hAnsi="黑体" w:hint="eastAsia"/>
                <w:bCs/>
                <w:szCs w:val="21"/>
              </w:rPr>
            </w:pPr>
          </w:p>
        </w:tc>
      </w:tr>
      <w:tr w:rsidR="00564588" w14:paraId="0DC98D15"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0657A40B" w14:textId="77777777" w:rsidR="00564588" w:rsidRDefault="00000000">
            <w:pPr>
              <w:pStyle w:val="afffffa"/>
              <w:ind w:firstLine="420"/>
              <w:jc w:val="center"/>
              <w:rPr>
                <w:rFonts w:hAnsi="黑体" w:hint="eastAsia"/>
                <w:bCs/>
                <w:szCs w:val="21"/>
              </w:rPr>
            </w:pPr>
            <w:r>
              <w:rPr>
                <w:rFonts w:hAnsi="黑体" w:hint="eastAsia"/>
                <w:bCs/>
                <w:szCs w:val="21"/>
              </w:rPr>
              <w:t>进样口温度</w:t>
            </w:r>
          </w:p>
        </w:tc>
        <w:tc>
          <w:tcPr>
            <w:tcW w:w="2610" w:type="dxa"/>
            <w:tcBorders>
              <w:top w:val="single" w:sz="4" w:space="0" w:color="000000"/>
              <w:left w:val="single" w:sz="4" w:space="0" w:color="000000"/>
              <w:bottom w:val="single" w:sz="4" w:space="0" w:color="000000"/>
              <w:right w:val="single" w:sz="4" w:space="0" w:color="000000"/>
            </w:tcBorders>
            <w:vAlign w:val="center"/>
          </w:tcPr>
          <w:p w14:paraId="6B3CECF3"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1B5B0488" w14:textId="77777777" w:rsidR="00564588" w:rsidRDefault="00564588">
            <w:pPr>
              <w:pStyle w:val="afffffa"/>
              <w:ind w:firstLine="420"/>
              <w:jc w:val="center"/>
              <w:rPr>
                <w:rFonts w:hAnsi="黑体" w:hint="eastAsia"/>
                <w:bCs/>
                <w:szCs w:val="21"/>
              </w:rPr>
            </w:pPr>
          </w:p>
        </w:tc>
      </w:tr>
      <w:tr w:rsidR="00564588" w14:paraId="285F19DF" w14:textId="77777777">
        <w:trPr>
          <w:trHeight w:val="323"/>
        </w:trPr>
        <w:tc>
          <w:tcPr>
            <w:tcW w:w="2906" w:type="dxa"/>
            <w:tcBorders>
              <w:top w:val="single" w:sz="4" w:space="0" w:color="000000"/>
              <w:left w:val="single" w:sz="4" w:space="0" w:color="000000"/>
              <w:bottom w:val="single" w:sz="4" w:space="0" w:color="000000"/>
              <w:right w:val="single" w:sz="4" w:space="0" w:color="000000"/>
            </w:tcBorders>
            <w:vAlign w:val="center"/>
          </w:tcPr>
          <w:p w14:paraId="08361089" w14:textId="77777777" w:rsidR="00564588" w:rsidRDefault="00000000">
            <w:pPr>
              <w:pStyle w:val="afffffa"/>
              <w:ind w:firstLine="420"/>
              <w:jc w:val="center"/>
              <w:rPr>
                <w:rFonts w:hAnsi="黑体" w:hint="eastAsia"/>
                <w:bCs/>
                <w:szCs w:val="21"/>
              </w:rPr>
            </w:pPr>
            <w:r>
              <w:rPr>
                <w:rFonts w:hAnsi="黑体" w:hint="eastAsia"/>
                <w:bCs/>
                <w:szCs w:val="21"/>
              </w:rPr>
              <w:t>进样量（进样体积、模式）</w:t>
            </w:r>
          </w:p>
        </w:tc>
        <w:tc>
          <w:tcPr>
            <w:tcW w:w="2610" w:type="dxa"/>
            <w:tcBorders>
              <w:top w:val="single" w:sz="4" w:space="0" w:color="000000"/>
              <w:left w:val="single" w:sz="4" w:space="0" w:color="000000"/>
              <w:bottom w:val="single" w:sz="4" w:space="0" w:color="000000"/>
              <w:right w:val="single" w:sz="4" w:space="0" w:color="000000"/>
            </w:tcBorders>
            <w:vAlign w:val="center"/>
          </w:tcPr>
          <w:p w14:paraId="1D250A33"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42" w:type="dxa"/>
            <w:tcBorders>
              <w:top w:val="single" w:sz="4" w:space="0" w:color="000000"/>
              <w:left w:val="single" w:sz="4" w:space="0" w:color="000000"/>
              <w:bottom w:val="single" w:sz="4" w:space="0" w:color="000000"/>
              <w:right w:val="single" w:sz="4" w:space="0" w:color="000000"/>
            </w:tcBorders>
            <w:vAlign w:val="center"/>
          </w:tcPr>
          <w:p w14:paraId="3105035F" w14:textId="77777777" w:rsidR="00564588" w:rsidRDefault="00564588">
            <w:pPr>
              <w:pStyle w:val="afffffa"/>
              <w:ind w:firstLine="420"/>
              <w:jc w:val="center"/>
              <w:rPr>
                <w:rFonts w:hAnsi="黑体" w:hint="eastAsia"/>
                <w:bCs/>
                <w:szCs w:val="21"/>
              </w:rPr>
            </w:pPr>
          </w:p>
        </w:tc>
      </w:tr>
      <w:tr w:rsidR="00564588" w14:paraId="6E2CCF3C" w14:textId="77777777">
        <w:trPr>
          <w:trHeight w:val="301"/>
        </w:trPr>
        <w:tc>
          <w:tcPr>
            <w:tcW w:w="2906" w:type="dxa"/>
            <w:tcBorders>
              <w:top w:val="single" w:sz="4" w:space="0" w:color="000000"/>
              <w:left w:val="single" w:sz="4" w:space="0" w:color="000000"/>
              <w:bottom w:val="single" w:sz="4" w:space="0" w:color="000000"/>
              <w:right w:val="single" w:sz="4" w:space="0" w:color="000000"/>
            </w:tcBorders>
            <w:vAlign w:val="center"/>
          </w:tcPr>
          <w:p w14:paraId="637048FD" w14:textId="77777777" w:rsidR="00564588" w:rsidRDefault="00000000">
            <w:pPr>
              <w:pStyle w:val="afffffa"/>
              <w:ind w:firstLine="420"/>
              <w:jc w:val="center"/>
              <w:rPr>
                <w:rFonts w:hAnsi="黑体" w:hint="eastAsia"/>
                <w:bCs/>
                <w:szCs w:val="21"/>
              </w:rPr>
            </w:pPr>
            <w:r>
              <w:rPr>
                <w:rFonts w:hAnsi="黑体" w:hint="eastAsia"/>
                <w:bCs/>
                <w:szCs w:val="21"/>
              </w:rPr>
              <w:t>检测器类型</w:t>
            </w:r>
          </w:p>
        </w:tc>
        <w:tc>
          <w:tcPr>
            <w:tcW w:w="2610" w:type="dxa"/>
            <w:tcBorders>
              <w:top w:val="single" w:sz="4" w:space="0" w:color="000000"/>
              <w:left w:val="single" w:sz="4" w:space="0" w:color="000000"/>
              <w:bottom w:val="single" w:sz="4" w:space="0" w:color="000000"/>
              <w:right w:val="single" w:sz="4" w:space="0" w:color="000000"/>
            </w:tcBorders>
            <w:vAlign w:val="center"/>
          </w:tcPr>
          <w:p w14:paraId="65AD0EF7"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23F9A4" w14:textId="77777777" w:rsidR="00564588" w:rsidRDefault="00564588">
            <w:pPr>
              <w:pStyle w:val="afffffa"/>
              <w:ind w:firstLine="420"/>
              <w:jc w:val="center"/>
              <w:rPr>
                <w:rFonts w:hAnsi="黑体" w:hint="eastAsia"/>
                <w:bCs/>
                <w:szCs w:val="21"/>
              </w:rPr>
            </w:pPr>
          </w:p>
        </w:tc>
      </w:tr>
      <w:tr w:rsidR="00564588" w14:paraId="68A7AA5F" w14:textId="77777777">
        <w:trPr>
          <w:trHeight w:val="333"/>
        </w:trPr>
        <w:tc>
          <w:tcPr>
            <w:tcW w:w="2906" w:type="dxa"/>
            <w:tcBorders>
              <w:top w:val="single" w:sz="4" w:space="0" w:color="000000"/>
              <w:left w:val="single" w:sz="4" w:space="0" w:color="000000"/>
              <w:bottom w:val="single" w:sz="4" w:space="0" w:color="000000"/>
              <w:right w:val="single" w:sz="4" w:space="0" w:color="000000"/>
            </w:tcBorders>
            <w:vAlign w:val="center"/>
          </w:tcPr>
          <w:p w14:paraId="481715A6" w14:textId="77777777" w:rsidR="00564588" w:rsidRDefault="00000000">
            <w:pPr>
              <w:pStyle w:val="afffffa"/>
              <w:ind w:firstLine="420"/>
              <w:jc w:val="center"/>
              <w:rPr>
                <w:rFonts w:hAnsi="黑体" w:hint="eastAsia"/>
                <w:bCs/>
                <w:szCs w:val="21"/>
              </w:rPr>
            </w:pPr>
            <w:r>
              <w:rPr>
                <w:rFonts w:hAnsi="黑体" w:hint="eastAsia"/>
                <w:bCs/>
                <w:szCs w:val="21"/>
              </w:rPr>
              <w:t>采集窗口</w:t>
            </w:r>
          </w:p>
        </w:tc>
        <w:tc>
          <w:tcPr>
            <w:tcW w:w="2610" w:type="dxa"/>
            <w:tcBorders>
              <w:top w:val="single" w:sz="4" w:space="0" w:color="000000"/>
              <w:left w:val="single" w:sz="4" w:space="0" w:color="000000"/>
              <w:bottom w:val="single" w:sz="4" w:space="0" w:color="000000"/>
              <w:right w:val="single" w:sz="4" w:space="0" w:color="000000"/>
            </w:tcBorders>
            <w:vAlign w:val="center"/>
          </w:tcPr>
          <w:p w14:paraId="38A66E07"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D7CB85" w14:textId="77777777" w:rsidR="00564588" w:rsidRDefault="00564588">
            <w:pPr>
              <w:pStyle w:val="afffffa"/>
              <w:ind w:firstLine="420"/>
              <w:jc w:val="center"/>
              <w:rPr>
                <w:rFonts w:hAnsi="黑体" w:hint="eastAsia"/>
                <w:bCs/>
                <w:szCs w:val="21"/>
              </w:rPr>
            </w:pPr>
          </w:p>
        </w:tc>
      </w:tr>
    </w:tbl>
    <w:p w14:paraId="033FDE6D" w14:textId="77777777" w:rsidR="00564588" w:rsidRDefault="00564588">
      <w:pPr>
        <w:pStyle w:val="afffffa"/>
        <w:ind w:firstLine="422"/>
        <w:rPr>
          <w:rFonts w:hAnsi="黑体" w:hint="eastAsia"/>
          <w:b/>
          <w:szCs w:val="21"/>
        </w:rPr>
      </w:pPr>
    </w:p>
    <w:p w14:paraId="44449BE4" w14:textId="77777777" w:rsidR="00564588" w:rsidRDefault="00564588">
      <w:pPr>
        <w:pStyle w:val="afffffa"/>
        <w:ind w:firstLine="422"/>
        <w:rPr>
          <w:rFonts w:hAnsi="黑体" w:hint="eastAsia"/>
          <w:b/>
          <w:szCs w:val="21"/>
        </w:rPr>
      </w:pPr>
    </w:p>
    <w:p w14:paraId="171D5EB0"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7" w:name="_Toc13145"/>
      <w:r>
        <w:rPr>
          <w:rFonts w:ascii="宋体" w:eastAsia="宋体" w:hAnsi="宋体" w:hint="eastAsia"/>
          <w:sz w:val="21"/>
          <w:szCs w:val="21"/>
        </w:rPr>
        <w:t>5.1.5 液相色谱实验条件元数据模型</w:t>
      </w:r>
      <w:bookmarkEnd w:id="77"/>
    </w:p>
    <w:tbl>
      <w:tblPr>
        <w:tblW w:w="9019" w:type="dxa"/>
        <w:tblInd w:w="96" w:type="dxa"/>
        <w:tblLook w:val="04A0" w:firstRow="1" w:lastRow="0" w:firstColumn="1" w:lastColumn="0" w:noHBand="0" w:noVBand="1"/>
      </w:tblPr>
      <w:tblGrid>
        <w:gridCol w:w="2894"/>
        <w:gridCol w:w="2599"/>
        <w:gridCol w:w="3526"/>
      </w:tblGrid>
      <w:tr w:rsidR="00564588" w14:paraId="61AF43CB"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5CC63CC9"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599" w:type="dxa"/>
            <w:tcBorders>
              <w:top w:val="single" w:sz="4" w:space="0" w:color="000000"/>
              <w:left w:val="single" w:sz="4" w:space="0" w:color="000000"/>
              <w:bottom w:val="single" w:sz="4" w:space="0" w:color="000000"/>
              <w:right w:val="single" w:sz="4" w:space="0" w:color="000000"/>
            </w:tcBorders>
            <w:vAlign w:val="center"/>
          </w:tcPr>
          <w:p w14:paraId="3C16C35C"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526" w:type="dxa"/>
            <w:tcBorders>
              <w:top w:val="single" w:sz="4" w:space="0" w:color="000000"/>
              <w:left w:val="single" w:sz="4" w:space="0" w:color="000000"/>
              <w:bottom w:val="single" w:sz="4" w:space="0" w:color="000000"/>
              <w:right w:val="single" w:sz="4" w:space="0" w:color="000000"/>
            </w:tcBorders>
            <w:vAlign w:val="center"/>
          </w:tcPr>
          <w:p w14:paraId="5051802E"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02ABFECB"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1BC8AFD8" w14:textId="77777777" w:rsidR="00564588" w:rsidRDefault="00000000">
            <w:pPr>
              <w:pStyle w:val="afffffa"/>
              <w:ind w:firstLine="420"/>
              <w:jc w:val="center"/>
              <w:rPr>
                <w:rFonts w:hAnsi="黑体" w:hint="eastAsia"/>
                <w:bCs/>
                <w:szCs w:val="21"/>
              </w:rPr>
            </w:pPr>
            <w:r>
              <w:rPr>
                <w:rFonts w:hAnsi="黑体" w:hint="eastAsia"/>
                <w:bCs/>
                <w:szCs w:val="21"/>
              </w:rPr>
              <w:t>仪器型号名称</w:t>
            </w:r>
          </w:p>
        </w:tc>
        <w:tc>
          <w:tcPr>
            <w:tcW w:w="2599" w:type="dxa"/>
            <w:tcBorders>
              <w:top w:val="single" w:sz="4" w:space="0" w:color="000000"/>
              <w:left w:val="single" w:sz="4" w:space="0" w:color="000000"/>
              <w:bottom w:val="single" w:sz="4" w:space="0" w:color="000000"/>
              <w:right w:val="single" w:sz="4" w:space="0" w:color="000000"/>
            </w:tcBorders>
            <w:vAlign w:val="center"/>
          </w:tcPr>
          <w:p w14:paraId="7D0EB6ED"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388C8A8C" w14:textId="77777777" w:rsidR="00564588" w:rsidRDefault="00564588">
            <w:pPr>
              <w:pStyle w:val="afffffa"/>
              <w:ind w:firstLine="420"/>
              <w:jc w:val="center"/>
              <w:rPr>
                <w:rFonts w:hAnsi="黑体" w:hint="eastAsia"/>
                <w:bCs/>
                <w:szCs w:val="21"/>
              </w:rPr>
            </w:pPr>
          </w:p>
        </w:tc>
      </w:tr>
      <w:tr w:rsidR="00564588" w14:paraId="4628100F"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1B5A74BC" w14:textId="77777777" w:rsidR="00564588" w:rsidRDefault="00000000">
            <w:pPr>
              <w:pStyle w:val="afffffa"/>
              <w:ind w:firstLine="420"/>
              <w:jc w:val="center"/>
              <w:rPr>
                <w:rFonts w:hAnsi="黑体" w:hint="eastAsia"/>
                <w:bCs/>
                <w:szCs w:val="21"/>
              </w:rPr>
            </w:pPr>
            <w:r>
              <w:rPr>
                <w:rFonts w:hAnsi="黑体" w:hint="eastAsia"/>
                <w:bCs/>
                <w:szCs w:val="21"/>
              </w:rPr>
              <w:t>色谱柱信息（名称、参数）</w:t>
            </w:r>
          </w:p>
        </w:tc>
        <w:tc>
          <w:tcPr>
            <w:tcW w:w="2599" w:type="dxa"/>
            <w:tcBorders>
              <w:top w:val="single" w:sz="4" w:space="0" w:color="000000"/>
              <w:left w:val="single" w:sz="4" w:space="0" w:color="000000"/>
              <w:bottom w:val="single" w:sz="4" w:space="0" w:color="000000"/>
              <w:right w:val="single" w:sz="4" w:space="0" w:color="000000"/>
            </w:tcBorders>
            <w:vAlign w:val="center"/>
          </w:tcPr>
          <w:p w14:paraId="783D129C"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59FFD1FF" w14:textId="77777777" w:rsidR="00564588" w:rsidRDefault="00564588">
            <w:pPr>
              <w:pStyle w:val="afffffa"/>
              <w:ind w:firstLine="420"/>
              <w:jc w:val="center"/>
              <w:rPr>
                <w:rFonts w:hAnsi="黑体" w:hint="eastAsia"/>
                <w:bCs/>
                <w:szCs w:val="21"/>
              </w:rPr>
            </w:pPr>
          </w:p>
        </w:tc>
      </w:tr>
      <w:tr w:rsidR="00564588" w14:paraId="4606F8CF"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09FCE2EC" w14:textId="77777777" w:rsidR="00564588" w:rsidRDefault="00000000">
            <w:pPr>
              <w:pStyle w:val="afffffa"/>
              <w:ind w:firstLine="420"/>
              <w:jc w:val="center"/>
              <w:rPr>
                <w:rFonts w:hAnsi="黑体" w:hint="eastAsia"/>
                <w:bCs/>
                <w:szCs w:val="21"/>
              </w:rPr>
            </w:pPr>
            <w:r>
              <w:rPr>
                <w:rFonts w:hAnsi="黑体" w:hint="eastAsia"/>
                <w:bCs/>
                <w:szCs w:val="21"/>
              </w:rPr>
              <w:t>流动相（洗脱液）构成</w:t>
            </w:r>
          </w:p>
        </w:tc>
        <w:tc>
          <w:tcPr>
            <w:tcW w:w="2599" w:type="dxa"/>
            <w:tcBorders>
              <w:top w:val="single" w:sz="4" w:space="0" w:color="000000"/>
              <w:left w:val="single" w:sz="4" w:space="0" w:color="000000"/>
              <w:bottom w:val="single" w:sz="4" w:space="0" w:color="000000"/>
              <w:right w:val="single" w:sz="4" w:space="0" w:color="000000"/>
            </w:tcBorders>
            <w:vAlign w:val="center"/>
          </w:tcPr>
          <w:p w14:paraId="459A388C"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48783145" w14:textId="77777777" w:rsidR="00564588" w:rsidRDefault="00564588">
            <w:pPr>
              <w:pStyle w:val="afffffa"/>
              <w:ind w:firstLine="420"/>
              <w:jc w:val="center"/>
              <w:rPr>
                <w:rFonts w:hAnsi="黑体" w:hint="eastAsia"/>
                <w:bCs/>
                <w:szCs w:val="21"/>
              </w:rPr>
            </w:pPr>
          </w:p>
        </w:tc>
      </w:tr>
      <w:tr w:rsidR="00564588" w14:paraId="4A78BC03"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148407C0" w14:textId="77777777" w:rsidR="00564588" w:rsidRDefault="00000000">
            <w:pPr>
              <w:pStyle w:val="afffffa"/>
              <w:ind w:firstLine="420"/>
              <w:jc w:val="center"/>
              <w:rPr>
                <w:rFonts w:hAnsi="黑体" w:hint="eastAsia"/>
                <w:bCs/>
                <w:szCs w:val="21"/>
              </w:rPr>
            </w:pPr>
            <w:r>
              <w:rPr>
                <w:rFonts w:hAnsi="黑体" w:hint="eastAsia"/>
                <w:bCs/>
                <w:szCs w:val="21"/>
              </w:rPr>
              <w:t>流动相梯度信息</w:t>
            </w:r>
          </w:p>
        </w:tc>
        <w:tc>
          <w:tcPr>
            <w:tcW w:w="2599" w:type="dxa"/>
            <w:vMerge w:val="restart"/>
            <w:tcBorders>
              <w:top w:val="single" w:sz="4" w:space="0" w:color="000000"/>
              <w:left w:val="single" w:sz="4" w:space="0" w:color="000000"/>
              <w:bottom w:val="single" w:sz="4" w:space="0" w:color="000000"/>
              <w:right w:val="single" w:sz="4" w:space="0" w:color="000000"/>
            </w:tcBorders>
            <w:vAlign w:val="center"/>
          </w:tcPr>
          <w:p w14:paraId="282A0F77"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vMerge w:val="restart"/>
            <w:tcBorders>
              <w:top w:val="single" w:sz="4" w:space="0" w:color="000000"/>
              <w:left w:val="single" w:sz="4" w:space="0" w:color="000000"/>
              <w:bottom w:val="single" w:sz="4" w:space="0" w:color="000000"/>
              <w:right w:val="single" w:sz="4" w:space="0" w:color="000000"/>
            </w:tcBorders>
            <w:vAlign w:val="center"/>
          </w:tcPr>
          <w:p w14:paraId="70A02357" w14:textId="77777777" w:rsidR="00564588" w:rsidRDefault="00564588">
            <w:pPr>
              <w:pStyle w:val="afffffa"/>
              <w:ind w:firstLine="420"/>
              <w:jc w:val="center"/>
              <w:rPr>
                <w:rFonts w:hAnsi="黑体" w:hint="eastAsia"/>
                <w:bCs/>
                <w:szCs w:val="21"/>
              </w:rPr>
            </w:pPr>
          </w:p>
        </w:tc>
      </w:tr>
      <w:tr w:rsidR="00564588" w14:paraId="46F37948" w14:textId="77777777">
        <w:trPr>
          <w:trHeight w:val="294"/>
        </w:trPr>
        <w:tc>
          <w:tcPr>
            <w:tcW w:w="0" w:type="auto"/>
            <w:tcBorders>
              <w:top w:val="single" w:sz="4" w:space="0" w:color="000000"/>
              <w:left w:val="single" w:sz="4" w:space="0" w:color="000000"/>
              <w:bottom w:val="single" w:sz="4" w:space="0" w:color="000000"/>
              <w:right w:val="single" w:sz="4" w:space="0" w:color="000000"/>
            </w:tcBorders>
            <w:noWrap/>
            <w:vAlign w:val="center"/>
          </w:tcPr>
          <w:p w14:paraId="14D19F3A" w14:textId="77777777" w:rsidR="00564588" w:rsidRDefault="00564588">
            <w:pPr>
              <w:pStyle w:val="afffffa"/>
              <w:ind w:firstLine="420"/>
              <w:jc w:val="center"/>
              <w:rPr>
                <w:rFonts w:hAnsi="黑体" w:hint="eastAsia"/>
                <w:bCs/>
                <w:szCs w:val="21"/>
              </w:rPr>
            </w:pPr>
          </w:p>
        </w:tc>
        <w:tc>
          <w:tcPr>
            <w:tcW w:w="2599" w:type="dxa"/>
            <w:vMerge/>
            <w:tcBorders>
              <w:top w:val="single" w:sz="4" w:space="0" w:color="000000"/>
              <w:left w:val="single" w:sz="4" w:space="0" w:color="000000"/>
              <w:bottom w:val="single" w:sz="4" w:space="0" w:color="000000"/>
              <w:right w:val="single" w:sz="4" w:space="0" w:color="000000"/>
            </w:tcBorders>
            <w:vAlign w:val="center"/>
          </w:tcPr>
          <w:p w14:paraId="48D62945" w14:textId="77777777" w:rsidR="00564588" w:rsidRDefault="00564588">
            <w:pPr>
              <w:pStyle w:val="afffffa"/>
              <w:ind w:firstLine="420"/>
              <w:jc w:val="center"/>
              <w:rPr>
                <w:rFonts w:hAnsi="黑体" w:hint="eastAsia"/>
                <w:bCs/>
                <w:szCs w:val="21"/>
              </w:rPr>
            </w:pPr>
          </w:p>
        </w:tc>
        <w:tc>
          <w:tcPr>
            <w:tcW w:w="3526" w:type="dxa"/>
            <w:vMerge/>
            <w:tcBorders>
              <w:top w:val="single" w:sz="4" w:space="0" w:color="000000"/>
              <w:left w:val="single" w:sz="4" w:space="0" w:color="000000"/>
              <w:bottom w:val="single" w:sz="4" w:space="0" w:color="000000"/>
              <w:right w:val="single" w:sz="4" w:space="0" w:color="000000"/>
            </w:tcBorders>
            <w:vAlign w:val="center"/>
          </w:tcPr>
          <w:p w14:paraId="5AFA148E" w14:textId="77777777" w:rsidR="00564588" w:rsidRDefault="00564588">
            <w:pPr>
              <w:pStyle w:val="afffffa"/>
              <w:ind w:firstLine="420"/>
              <w:jc w:val="center"/>
              <w:rPr>
                <w:rFonts w:hAnsi="黑体" w:hint="eastAsia"/>
                <w:bCs/>
                <w:szCs w:val="21"/>
              </w:rPr>
            </w:pPr>
          </w:p>
        </w:tc>
      </w:tr>
      <w:tr w:rsidR="00564588" w14:paraId="7377E878" w14:textId="77777777">
        <w:trPr>
          <w:trHeight w:val="579"/>
        </w:trPr>
        <w:tc>
          <w:tcPr>
            <w:tcW w:w="2894" w:type="dxa"/>
            <w:tcBorders>
              <w:top w:val="single" w:sz="4" w:space="0" w:color="000000"/>
              <w:left w:val="single" w:sz="4" w:space="0" w:color="000000"/>
              <w:bottom w:val="single" w:sz="4" w:space="0" w:color="000000"/>
              <w:right w:val="single" w:sz="4" w:space="0" w:color="000000"/>
            </w:tcBorders>
            <w:vAlign w:val="center"/>
          </w:tcPr>
          <w:p w14:paraId="05809601" w14:textId="77777777" w:rsidR="00564588" w:rsidRDefault="00000000">
            <w:pPr>
              <w:pStyle w:val="afffffa"/>
              <w:ind w:firstLine="420"/>
              <w:jc w:val="center"/>
              <w:rPr>
                <w:rFonts w:hAnsi="黑体" w:hint="eastAsia"/>
                <w:bCs/>
                <w:szCs w:val="21"/>
              </w:rPr>
            </w:pPr>
            <w:r>
              <w:rPr>
                <w:rFonts w:hAnsi="黑体" w:hint="eastAsia"/>
                <w:bCs/>
                <w:szCs w:val="21"/>
              </w:rPr>
              <w:t>（流动相时间点 &amp; 洗脱液比例）</w:t>
            </w:r>
          </w:p>
        </w:tc>
        <w:tc>
          <w:tcPr>
            <w:tcW w:w="2599" w:type="dxa"/>
            <w:vMerge/>
            <w:tcBorders>
              <w:top w:val="single" w:sz="4" w:space="0" w:color="000000"/>
              <w:left w:val="single" w:sz="4" w:space="0" w:color="000000"/>
              <w:bottom w:val="single" w:sz="4" w:space="0" w:color="000000"/>
              <w:right w:val="single" w:sz="4" w:space="0" w:color="000000"/>
            </w:tcBorders>
            <w:vAlign w:val="center"/>
          </w:tcPr>
          <w:p w14:paraId="3107457C" w14:textId="77777777" w:rsidR="00564588" w:rsidRDefault="00564588">
            <w:pPr>
              <w:pStyle w:val="afffffa"/>
              <w:ind w:firstLine="420"/>
              <w:jc w:val="center"/>
              <w:rPr>
                <w:rFonts w:hAnsi="黑体" w:hint="eastAsia"/>
                <w:bCs/>
                <w:szCs w:val="21"/>
              </w:rPr>
            </w:pPr>
          </w:p>
        </w:tc>
        <w:tc>
          <w:tcPr>
            <w:tcW w:w="3526" w:type="dxa"/>
            <w:vMerge/>
            <w:tcBorders>
              <w:top w:val="single" w:sz="4" w:space="0" w:color="000000"/>
              <w:left w:val="single" w:sz="4" w:space="0" w:color="000000"/>
              <w:bottom w:val="single" w:sz="4" w:space="0" w:color="000000"/>
              <w:right w:val="single" w:sz="4" w:space="0" w:color="000000"/>
            </w:tcBorders>
            <w:vAlign w:val="center"/>
          </w:tcPr>
          <w:p w14:paraId="7F016475" w14:textId="77777777" w:rsidR="00564588" w:rsidRDefault="00564588">
            <w:pPr>
              <w:pStyle w:val="afffffa"/>
              <w:ind w:firstLine="420"/>
              <w:jc w:val="center"/>
              <w:rPr>
                <w:rFonts w:hAnsi="黑体" w:hint="eastAsia"/>
                <w:bCs/>
                <w:szCs w:val="21"/>
              </w:rPr>
            </w:pPr>
          </w:p>
        </w:tc>
      </w:tr>
      <w:tr w:rsidR="00564588" w14:paraId="0706D04B"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5A1E291F" w14:textId="77777777" w:rsidR="00564588" w:rsidRDefault="00000000">
            <w:pPr>
              <w:pStyle w:val="afffffa"/>
              <w:ind w:firstLine="420"/>
              <w:jc w:val="center"/>
              <w:rPr>
                <w:rFonts w:hAnsi="黑体" w:hint="eastAsia"/>
                <w:bCs/>
                <w:szCs w:val="21"/>
              </w:rPr>
            </w:pPr>
            <w:r>
              <w:rPr>
                <w:rFonts w:hAnsi="黑体" w:hint="eastAsia"/>
                <w:bCs/>
                <w:szCs w:val="21"/>
              </w:rPr>
              <w:t>流动相流速</w:t>
            </w:r>
          </w:p>
        </w:tc>
        <w:tc>
          <w:tcPr>
            <w:tcW w:w="2599" w:type="dxa"/>
            <w:tcBorders>
              <w:top w:val="single" w:sz="4" w:space="0" w:color="000000"/>
              <w:left w:val="single" w:sz="4" w:space="0" w:color="000000"/>
              <w:bottom w:val="single" w:sz="4" w:space="0" w:color="000000"/>
              <w:right w:val="single" w:sz="4" w:space="0" w:color="000000"/>
            </w:tcBorders>
            <w:vAlign w:val="center"/>
          </w:tcPr>
          <w:p w14:paraId="521C68E5"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26F102D8" w14:textId="77777777" w:rsidR="00564588" w:rsidRDefault="00564588">
            <w:pPr>
              <w:pStyle w:val="afffffa"/>
              <w:ind w:firstLine="420"/>
              <w:jc w:val="center"/>
              <w:rPr>
                <w:rFonts w:hAnsi="黑体" w:hint="eastAsia"/>
                <w:bCs/>
                <w:szCs w:val="21"/>
              </w:rPr>
            </w:pPr>
          </w:p>
        </w:tc>
      </w:tr>
      <w:tr w:rsidR="00564588" w14:paraId="409FF8AC"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2B718D16" w14:textId="77777777" w:rsidR="00564588" w:rsidRDefault="00000000">
            <w:pPr>
              <w:pStyle w:val="afffffa"/>
              <w:ind w:firstLine="420"/>
              <w:jc w:val="center"/>
              <w:rPr>
                <w:rFonts w:hAnsi="黑体" w:hint="eastAsia"/>
                <w:bCs/>
                <w:szCs w:val="21"/>
              </w:rPr>
            </w:pPr>
            <w:r>
              <w:rPr>
                <w:rFonts w:hAnsi="黑体" w:hint="eastAsia"/>
                <w:bCs/>
                <w:szCs w:val="21"/>
              </w:rPr>
              <w:t>流动相温度</w:t>
            </w:r>
          </w:p>
        </w:tc>
        <w:tc>
          <w:tcPr>
            <w:tcW w:w="2599" w:type="dxa"/>
            <w:tcBorders>
              <w:top w:val="single" w:sz="4" w:space="0" w:color="000000"/>
              <w:left w:val="single" w:sz="4" w:space="0" w:color="000000"/>
              <w:bottom w:val="single" w:sz="4" w:space="0" w:color="000000"/>
              <w:right w:val="single" w:sz="4" w:space="0" w:color="000000"/>
            </w:tcBorders>
            <w:vAlign w:val="center"/>
          </w:tcPr>
          <w:p w14:paraId="3E3E558A"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78647316" w14:textId="77777777" w:rsidR="00564588" w:rsidRDefault="00564588">
            <w:pPr>
              <w:pStyle w:val="afffffa"/>
              <w:ind w:firstLine="420"/>
              <w:jc w:val="center"/>
              <w:rPr>
                <w:rFonts w:hAnsi="黑体" w:hint="eastAsia"/>
                <w:bCs/>
                <w:szCs w:val="21"/>
              </w:rPr>
            </w:pPr>
          </w:p>
        </w:tc>
      </w:tr>
      <w:tr w:rsidR="00564588" w14:paraId="52DF9818" w14:textId="77777777">
        <w:trPr>
          <w:trHeight w:val="294"/>
        </w:trPr>
        <w:tc>
          <w:tcPr>
            <w:tcW w:w="2894" w:type="dxa"/>
            <w:tcBorders>
              <w:top w:val="single" w:sz="4" w:space="0" w:color="000000"/>
              <w:left w:val="single" w:sz="4" w:space="0" w:color="000000"/>
              <w:bottom w:val="single" w:sz="4" w:space="0" w:color="000000"/>
              <w:right w:val="single" w:sz="4" w:space="0" w:color="000000"/>
            </w:tcBorders>
            <w:vAlign w:val="center"/>
          </w:tcPr>
          <w:p w14:paraId="5413A4B1" w14:textId="77777777" w:rsidR="00564588" w:rsidRDefault="00000000">
            <w:pPr>
              <w:pStyle w:val="afffffa"/>
              <w:ind w:firstLine="420"/>
              <w:jc w:val="center"/>
              <w:rPr>
                <w:rFonts w:hAnsi="黑体" w:hint="eastAsia"/>
                <w:bCs/>
                <w:szCs w:val="21"/>
              </w:rPr>
            </w:pPr>
            <w:r>
              <w:rPr>
                <w:rFonts w:hAnsi="黑体" w:hint="eastAsia"/>
                <w:bCs/>
                <w:szCs w:val="21"/>
              </w:rPr>
              <w:t>流动相进样量</w:t>
            </w:r>
          </w:p>
        </w:tc>
        <w:tc>
          <w:tcPr>
            <w:tcW w:w="2599" w:type="dxa"/>
            <w:tcBorders>
              <w:top w:val="single" w:sz="4" w:space="0" w:color="000000"/>
              <w:left w:val="single" w:sz="4" w:space="0" w:color="000000"/>
              <w:bottom w:val="single" w:sz="4" w:space="0" w:color="000000"/>
              <w:right w:val="single" w:sz="4" w:space="0" w:color="000000"/>
            </w:tcBorders>
            <w:vAlign w:val="center"/>
          </w:tcPr>
          <w:p w14:paraId="10A1FBB6"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26" w:type="dxa"/>
            <w:tcBorders>
              <w:top w:val="single" w:sz="4" w:space="0" w:color="000000"/>
              <w:left w:val="single" w:sz="4" w:space="0" w:color="000000"/>
              <w:bottom w:val="single" w:sz="4" w:space="0" w:color="000000"/>
              <w:right w:val="single" w:sz="4" w:space="0" w:color="000000"/>
            </w:tcBorders>
            <w:vAlign w:val="center"/>
          </w:tcPr>
          <w:p w14:paraId="31422DB0" w14:textId="77777777" w:rsidR="00564588" w:rsidRDefault="00564588">
            <w:pPr>
              <w:pStyle w:val="afffffa"/>
              <w:ind w:firstLine="420"/>
              <w:jc w:val="center"/>
              <w:rPr>
                <w:rFonts w:hAnsi="黑体" w:hint="eastAsia"/>
                <w:bCs/>
                <w:szCs w:val="21"/>
              </w:rPr>
            </w:pPr>
          </w:p>
        </w:tc>
      </w:tr>
      <w:tr w:rsidR="00564588" w14:paraId="77E4EF6F" w14:textId="77777777">
        <w:trPr>
          <w:trHeight w:val="304"/>
        </w:trPr>
        <w:tc>
          <w:tcPr>
            <w:tcW w:w="2894" w:type="dxa"/>
            <w:tcBorders>
              <w:top w:val="single" w:sz="4" w:space="0" w:color="000000"/>
              <w:left w:val="single" w:sz="4" w:space="0" w:color="000000"/>
              <w:bottom w:val="single" w:sz="4" w:space="0" w:color="000000"/>
              <w:right w:val="single" w:sz="4" w:space="0" w:color="000000"/>
            </w:tcBorders>
            <w:vAlign w:val="center"/>
          </w:tcPr>
          <w:p w14:paraId="66DAC4C8" w14:textId="77777777" w:rsidR="00564588" w:rsidRDefault="00000000">
            <w:pPr>
              <w:pStyle w:val="afffffa"/>
              <w:ind w:firstLine="420"/>
              <w:jc w:val="center"/>
              <w:rPr>
                <w:rFonts w:hAnsi="黑体" w:hint="eastAsia"/>
                <w:bCs/>
                <w:szCs w:val="21"/>
              </w:rPr>
            </w:pPr>
            <w:r>
              <w:rPr>
                <w:rFonts w:hAnsi="黑体" w:hint="eastAsia"/>
                <w:bCs/>
                <w:szCs w:val="21"/>
              </w:rPr>
              <w:t>采集窗口</w:t>
            </w:r>
          </w:p>
        </w:tc>
        <w:tc>
          <w:tcPr>
            <w:tcW w:w="2599" w:type="dxa"/>
            <w:tcBorders>
              <w:top w:val="single" w:sz="4" w:space="0" w:color="000000"/>
              <w:left w:val="single" w:sz="4" w:space="0" w:color="000000"/>
              <w:bottom w:val="single" w:sz="4" w:space="0" w:color="000000"/>
              <w:right w:val="single" w:sz="4" w:space="0" w:color="000000"/>
            </w:tcBorders>
            <w:vAlign w:val="center"/>
          </w:tcPr>
          <w:p w14:paraId="71BC145B"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65CFE2" w14:textId="77777777" w:rsidR="00564588" w:rsidRDefault="00564588">
            <w:pPr>
              <w:pStyle w:val="afffffa"/>
              <w:ind w:firstLine="420"/>
              <w:jc w:val="center"/>
              <w:rPr>
                <w:rFonts w:hAnsi="黑体" w:hint="eastAsia"/>
                <w:bCs/>
                <w:szCs w:val="21"/>
              </w:rPr>
            </w:pPr>
          </w:p>
        </w:tc>
      </w:tr>
    </w:tbl>
    <w:p w14:paraId="24C26977" w14:textId="77777777" w:rsidR="00564588" w:rsidRDefault="00564588">
      <w:pPr>
        <w:pStyle w:val="afffffa"/>
        <w:ind w:firstLine="422"/>
        <w:rPr>
          <w:rFonts w:hAnsi="黑体" w:hint="eastAsia"/>
          <w:b/>
          <w:szCs w:val="21"/>
        </w:rPr>
      </w:pPr>
    </w:p>
    <w:p w14:paraId="5154C2AF" w14:textId="77777777" w:rsidR="00564588" w:rsidRDefault="00564588">
      <w:pPr>
        <w:pStyle w:val="afffffa"/>
        <w:ind w:firstLine="422"/>
        <w:rPr>
          <w:rFonts w:hAnsi="黑体" w:hint="eastAsia"/>
          <w:b/>
          <w:szCs w:val="21"/>
        </w:rPr>
      </w:pPr>
    </w:p>
    <w:p w14:paraId="3BBDA637"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8" w:name="_Toc11747"/>
      <w:r>
        <w:rPr>
          <w:rFonts w:ascii="宋体" w:eastAsia="宋体" w:hAnsi="宋体" w:hint="eastAsia"/>
          <w:sz w:val="21"/>
          <w:szCs w:val="21"/>
        </w:rPr>
        <w:t>5.1.6 色谱实验结果元数据模型</w:t>
      </w:r>
      <w:bookmarkEnd w:id="78"/>
    </w:p>
    <w:tbl>
      <w:tblPr>
        <w:tblW w:w="9139" w:type="dxa"/>
        <w:tblInd w:w="96" w:type="dxa"/>
        <w:tblLook w:val="04A0" w:firstRow="1" w:lastRow="0" w:firstColumn="1" w:lastColumn="0" w:noHBand="0" w:noVBand="1"/>
      </w:tblPr>
      <w:tblGrid>
        <w:gridCol w:w="3276"/>
        <w:gridCol w:w="2290"/>
        <w:gridCol w:w="3573"/>
      </w:tblGrid>
      <w:tr w:rsidR="00564588" w14:paraId="0E30DF61" w14:textId="77777777">
        <w:trPr>
          <w:trHeight w:val="272"/>
        </w:trPr>
        <w:tc>
          <w:tcPr>
            <w:tcW w:w="3276" w:type="dxa"/>
            <w:tcBorders>
              <w:top w:val="single" w:sz="4" w:space="0" w:color="000000"/>
              <w:left w:val="single" w:sz="4" w:space="0" w:color="000000"/>
              <w:bottom w:val="single" w:sz="4" w:space="0" w:color="000000"/>
              <w:right w:val="single" w:sz="4" w:space="0" w:color="000000"/>
            </w:tcBorders>
            <w:vAlign w:val="center"/>
          </w:tcPr>
          <w:p w14:paraId="759E625F"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290" w:type="dxa"/>
            <w:tcBorders>
              <w:top w:val="single" w:sz="4" w:space="0" w:color="000000"/>
              <w:left w:val="single" w:sz="4" w:space="0" w:color="000000"/>
              <w:bottom w:val="single" w:sz="4" w:space="0" w:color="000000"/>
              <w:right w:val="single" w:sz="4" w:space="0" w:color="000000"/>
            </w:tcBorders>
            <w:vAlign w:val="center"/>
          </w:tcPr>
          <w:p w14:paraId="5830C0E9"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573" w:type="dxa"/>
            <w:tcBorders>
              <w:top w:val="single" w:sz="4" w:space="0" w:color="000000"/>
              <w:left w:val="single" w:sz="4" w:space="0" w:color="000000"/>
              <w:bottom w:val="single" w:sz="4" w:space="0" w:color="000000"/>
              <w:right w:val="single" w:sz="4" w:space="0" w:color="000000"/>
            </w:tcBorders>
            <w:vAlign w:val="center"/>
          </w:tcPr>
          <w:p w14:paraId="616581C9"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6F89432B" w14:textId="77777777">
        <w:trPr>
          <w:trHeight w:val="272"/>
        </w:trPr>
        <w:tc>
          <w:tcPr>
            <w:tcW w:w="3276" w:type="dxa"/>
            <w:tcBorders>
              <w:top w:val="single" w:sz="4" w:space="0" w:color="000000"/>
              <w:left w:val="single" w:sz="4" w:space="0" w:color="000000"/>
              <w:bottom w:val="single" w:sz="4" w:space="0" w:color="000000"/>
              <w:right w:val="single" w:sz="4" w:space="0" w:color="000000"/>
            </w:tcBorders>
            <w:vAlign w:val="center"/>
          </w:tcPr>
          <w:p w14:paraId="03F63A2C" w14:textId="77777777" w:rsidR="00564588" w:rsidRDefault="00000000">
            <w:pPr>
              <w:pStyle w:val="afffffa"/>
              <w:ind w:firstLine="420"/>
              <w:jc w:val="center"/>
              <w:rPr>
                <w:rFonts w:hAnsi="黑体" w:hint="eastAsia"/>
                <w:bCs/>
                <w:szCs w:val="21"/>
              </w:rPr>
            </w:pPr>
            <w:r>
              <w:rPr>
                <w:rFonts w:hAnsi="黑体" w:hint="eastAsia"/>
                <w:bCs/>
                <w:szCs w:val="21"/>
              </w:rPr>
              <w:t>分离结果（分离出的化合物）</w:t>
            </w:r>
          </w:p>
        </w:tc>
        <w:tc>
          <w:tcPr>
            <w:tcW w:w="2290" w:type="dxa"/>
            <w:tcBorders>
              <w:top w:val="single" w:sz="4" w:space="0" w:color="000000"/>
              <w:left w:val="single" w:sz="4" w:space="0" w:color="000000"/>
              <w:bottom w:val="single" w:sz="4" w:space="0" w:color="000000"/>
              <w:right w:val="single" w:sz="4" w:space="0" w:color="000000"/>
            </w:tcBorders>
            <w:vAlign w:val="center"/>
          </w:tcPr>
          <w:p w14:paraId="18226ABA"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6512A5" w14:textId="77777777" w:rsidR="00564588" w:rsidRDefault="00564588">
            <w:pPr>
              <w:pStyle w:val="afffffa"/>
              <w:ind w:firstLine="420"/>
              <w:jc w:val="center"/>
              <w:rPr>
                <w:rFonts w:hAnsi="黑体" w:hint="eastAsia"/>
                <w:bCs/>
                <w:szCs w:val="21"/>
              </w:rPr>
            </w:pPr>
          </w:p>
        </w:tc>
      </w:tr>
      <w:tr w:rsidR="00564588" w14:paraId="17A6CE47" w14:textId="77777777">
        <w:trPr>
          <w:trHeight w:val="272"/>
        </w:trPr>
        <w:tc>
          <w:tcPr>
            <w:tcW w:w="3276" w:type="dxa"/>
            <w:tcBorders>
              <w:top w:val="single" w:sz="4" w:space="0" w:color="000000"/>
              <w:left w:val="single" w:sz="4" w:space="0" w:color="000000"/>
              <w:bottom w:val="single" w:sz="4" w:space="0" w:color="000000"/>
              <w:right w:val="single" w:sz="4" w:space="0" w:color="000000"/>
            </w:tcBorders>
            <w:vAlign w:val="center"/>
          </w:tcPr>
          <w:p w14:paraId="7FE2B2F1" w14:textId="77777777" w:rsidR="00564588" w:rsidRDefault="00000000">
            <w:pPr>
              <w:pStyle w:val="afffffa"/>
              <w:ind w:firstLine="420"/>
              <w:jc w:val="center"/>
              <w:rPr>
                <w:rFonts w:hAnsi="黑体" w:hint="eastAsia"/>
                <w:bCs/>
                <w:szCs w:val="21"/>
              </w:rPr>
            </w:pPr>
            <w:r>
              <w:rPr>
                <w:rFonts w:hAnsi="黑体" w:hint="eastAsia"/>
                <w:bCs/>
                <w:szCs w:val="21"/>
              </w:rPr>
              <w:t>保留时间列表</w:t>
            </w:r>
          </w:p>
        </w:tc>
        <w:tc>
          <w:tcPr>
            <w:tcW w:w="2290" w:type="dxa"/>
            <w:tcBorders>
              <w:top w:val="single" w:sz="4" w:space="0" w:color="000000"/>
              <w:left w:val="single" w:sz="4" w:space="0" w:color="000000"/>
              <w:bottom w:val="single" w:sz="4" w:space="0" w:color="000000"/>
              <w:right w:val="single" w:sz="4" w:space="0" w:color="000000"/>
            </w:tcBorders>
            <w:vAlign w:val="center"/>
          </w:tcPr>
          <w:p w14:paraId="36F7BE2A"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73" w:type="dxa"/>
            <w:tcBorders>
              <w:top w:val="single" w:sz="4" w:space="0" w:color="000000"/>
              <w:left w:val="single" w:sz="4" w:space="0" w:color="000000"/>
              <w:bottom w:val="single" w:sz="4" w:space="0" w:color="000000"/>
              <w:right w:val="single" w:sz="4" w:space="0" w:color="000000"/>
            </w:tcBorders>
            <w:vAlign w:val="center"/>
          </w:tcPr>
          <w:p w14:paraId="5947196A" w14:textId="77777777" w:rsidR="00564588" w:rsidRDefault="00564588">
            <w:pPr>
              <w:pStyle w:val="afffffa"/>
              <w:ind w:firstLine="420"/>
              <w:jc w:val="center"/>
              <w:rPr>
                <w:rFonts w:hAnsi="黑体" w:hint="eastAsia"/>
                <w:bCs/>
                <w:szCs w:val="21"/>
              </w:rPr>
            </w:pPr>
          </w:p>
        </w:tc>
      </w:tr>
      <w:tr w:rsidR="00564588" w14:paraId="2D9D893B" w14:textId="77777777">
        <w:trPr>
          <w:trHeight w:val="272"/>
        </w:trPr>
        <w:tc>
          <w:tcPr>
            <w:tcW w:w="3276" w:type="dxa"/>
            <w:tcBorders>
              <w:top w:val="single" w:sz="4" w:space="0" w:color="000000"/>
              <w:left w:val="single" w:sz="4" w:space="0" w:color="000000"/>
              <w:bottom w:val="single" w:sz="4" w:space="0" w:color="000000"/>
              <w:right w:val="single" w:sz="4" w:space="0" w:color="000000"/>
            </w:tcBorders>
            <w:vAlign w:val="center"/>
          </w:tcPr>
          <w:p w14:paraId="75443A4E" w14:textId="77777777" w:rsidR="00564588" w:rsidRDefault="00000000">
            <w:pPr>
              <w:pStyle w:val="afffffa"/>
              <w:ind w:firstLine="420"/>
              <w:jc w:val="center"/>
              <w:rPr>
                <w:rFonts w:hAnsi="黑体" w:hint="eastAsia"/>
                <w:bCs/>
                <w:szCs w:val="21"/>
              </w:rPr>
            </w:pPr>
            <w:r>
              <w:rPr>
                <w:rFonts w:hAnsi="黑体" w:hint="eastAsia"/>
                <w:bCs/>
                <w:szCs w:val="21"/>
              </w:rPr>
              <w:t>峰面积列表</w:t>
            </w:r>
          </w:p>
        </w:tc>
        <w:tc>
          <w:tcPr>
            <w:tcW w:w="2290" w:type="dxa"/>
            <w:tcBorders>
              <w:top w:val="single" w:sz="4" w:space="0" w:color="000000"/>
              <w:left w:val="single" w:sz="4" w:space="0" w:color="000000"/>
              <w:bottom w:val="single" w:sz="4" w:space="0" w:color="000000"/>
              <w:right w:val="single" w:sz="4" w:space="0" w:color="000000"/>
            </w:tcBorders>
            <w:vAlign w:val="center"/>
          </w:tcPr>
          <w:p w14:paraId="557DAB3C"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1F0206" w14:textId="77777777" w:rsidR="00564588" w:rsidRDefault="00564588">
            <w:pPr>
              <w:pStyle w:val="afffffa"/>
              <w:ind w:firstLine="420"/>
              <w:jc w:val="center"/>
              <w:rPr>
                <w:rFonts w:hAnsi="黑体" w:hint="eastAsia"/>
                <w:bCs/>
                <w:szCs w:val="21"/>
              </w:rPr>
            </w:pPr>
          </w:p>
        </w:tc>
      </w:tr>
      <w:tr w:rsidR="00564588" w14:paraId="36A7B7C3" w14:textId="77777777">
        <w:trPr>
          <w:trHeight w:val="281"/>
        </w:trPr>
        <w:tc>
          <w:tcPr>
            <w:tcW w:w="3276" w:type="dxa"/>
            <w:tcBorders>
              <w:top w:val="single" w:sz="4" w:space="0" w:color="000000"/>
              <w:left w:val="single" w:sz="4" w:space="0" w:color="000000"/>
              <w:bottom w:val="single" w:sz="4" w:space="0" w:color="000000"/>
              <w:right w:val="single" w:sz="4" w:space="0" w:color="000000"/>
            </w:tcBorders>
            <w:vAlign w:val="center"/>
          </w:tcPr>
          <w:p w14:paraId="0FA6693D" w14:textId="77777777" w:rsidR="00564588" w:rsidRDefault="00000000">
            <w:pPr>
              <w:pStyle w:val="afffffa"/>
              <w:ind w:firstLine="420"/>
              <w:jc w:val="center"/>
              <w:rPr>
                <w:rFonts w:hAnsi="黑体" w:hint="eastAsia"/>
                <w:bCs/>
                <w:szCs w:val="21"/>
              </w:rPr>
            </w:pPr>
            <w:r>
              <w:rPr>
                <w:rFonts w:hAnsi="黑体" w:hint="eastAsia"/>
                <w:bCs/>
                <w:szCs w:val="21"/>
              </w:rPr>
              <w:lastRenderedPageBreak/>
              <w:t>峰高列表</w:t>
            </w:r>
          </w:p>
        </w:tc>
        <w:tc>
          <w:tcPr>
            <w:tcW w:w="2290" w:type="dxa"/>
            <w:tcBorders>
              <w:top w:val="single" w:sz="4" w:space="0" w:color="000000"/>
              <w:left w:val="single" w:sz="4" w:space="0" w:color="000000"/>
              <w:bottom w:val="single" w:sz="4" w:space="0" w:color="000000"/>
              <w:right w:val="single" w:sz="4" w:space="0" w:color="000000"/>
            </w:tcBorders>
            <w:vAlign w:val="center"/>
          </w:tcPr>
          <w:p w14:paraId="7E20039A"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371EDC" w14:textId="77777777" w:rsidR="00564588" w:rsidRDefault="00564588">
            <w:pPr>
              <w:pStyle w:val="afffffa"/>
              <w:ind w:firstLine="420"/>
              <w:jc w:val="center"/>
              <w:rPr>
                <w:rFonts w:hAnsi="黑体" w:hint="eastAsia"/>
                <w:bCs/>
                <w:szCs w:val="21"/>
              </w:rPr>
            </w:pPr>
          </w:p>
        </w:tc>
      </w:tr>
    </w:tbl>
    <w:p w14:paraId="5B418583" w14:textId="77777777" w:rsidR="00564588" w:rsidRDefault="00564588">
      <w:pPr>
        <w:pStyle w:val="afffffa"/>
        <w:ind w:firstLine="422"/>
        <w:rPr>
          <w:rFonts w:hAnsi="黑体" w:hint="eastAsia"/>
          <w:b/>
          <w:szCs w:val="21"/>
        </w:rPr>
      </w:pPr>
    </w:p>
    <w:p w14:paraId="7BABCBFA" w14:textId="77777777" w:rsidR="00564588" w:rsidRDefault="00564588">
      <w:pPr>
        <w:pStyle w:val="afffffa"/>
        <w:ind w:firstLine="422"/>
        <w:rPr>
          <w:rFonts w:hAnsi="黑体" w:hint="eastAsia"/>
          <w:b/>
          <w:szCs w:val="21"/>
        </w:rPr>
      </w:pPr>
    </w:p>
    <w:p w14:paraId="08BD2A6A"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79" w:name="_Toc15957"/>
      <w:r>
        <w:rPr>
          <w:rFonts w:ascii="宋体" w:eastAsia="宋体" w:hAnsi="宋体" w:hint="eastAsia"/>
          <w:sz w:val="21"/>
          <w:szCs w:val="21"/>
        </w:rPr>
        <w:t>5.1.7 质谱实验条件元数据模型</w:t>
      </w:r>
      <w:bookmarkEnd w:id="79"/>
    </w:p>
    <w:tbl>
      <w:tblPr>
        <w:tblW w:w="9259" w:type="dxa"/>
        <w:tblInd w:w="96" w:type="dxa"/>
        <w:tblLook w:val="04A0" w:firstRow="1" w:lastRow="0" w:firstColumn="1" w:lastColumn="0" w:noHBand="0" w:noVBand="1"/>
      </w:tblPr>
      <w:tblGrid>
        <w:gridCol w:w="2971"/>
        <w:gridCol w:w="2668"/>
        <w:gridCol w:w="3620"/>
      </w:tblGrid>
      <w:tr w:rsidR="00564588" w14:paraId="33E76D67"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5C10C9E5"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668" w:type="dxa"/>
            <w:tcBorders>
              <w:top w:val="single" w:sz="4" w:space="0" w:color="000000"/>
              <w:left w:val="single" w:sz="4" w:space="0" w:color="000000"/>
              <w:bottom w:val="single" w:sz="4" w:space="0" w:color="000000"/>
              <w:right w:val="single" w:sz="4" w:space="0" w:color="000000"/>
            </w:tcBorders>
            <w:vAlign w:val="center"/>
          </w:tcPr>
          <w:p w14:paraId="0B1E4889"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620" w:type="dxa"/>
            <w:tcBorders>
              <w:top w:val="single" w:sz="4" w:space="0" w:color="000000"/>
              <w:left w:val="single" w:sz="4" w:space="0" w:color="000000"/>
              <w:bottom w:val="single" w:sz="4" w:space="0" w:color="000000"/>
              <w:right w:val="single" w:sz="4" w:space="0" w:color="000000"/>
            </w:tcBorders>
            <w:vAlign w:val="center"/>
          </w:tcPr>
          <w:p w14:paraId="23D16A4A"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5475AB89"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505CDE0F" w14:textId="77777777" w:rsidR="00564588" w:rsidRDefault="00000000">
            <w:pPr>
              <w:pStyle w:val="afffffa"/>
              <w:ind w:firstLine="420"/>
              <w:jc w:val="center"/>
              <w:rPr>
                <w:rFonts w:hAnsi="黑体" w:hint="eastAsia"/>
                <w:bCs/>
                <w:szCs w:val="21"/>
              </w:rPr>
            </w:pPr>
            <w:r>
              <w:rPr>
                <w:rFonts w:hAnsi="黑体" w:hint="eastAsia"/>
                <w:bCs/>
                <w:szCs w:val="21"/>
              </w:rPr>
              <w:t>离子源类型</w:t>
            </w:r>
          </w:p>
        </w:tc>
        <w:tc>
          <w:tcPr>
            <w:tcW w:w="2668" w:type="dxa"/>
            <w:tcBorders>
              <w:top w:val="single" w:sz="4" w:space="0" w:color="000000"/>
              <w:left w:val="single" w:sz="4" w:space="0" w:color="000000"/>
              <w:bottom w:val="single" w:sz="4" w:space="0" w:color="000000"/>
              <w:right w:val="single" w:sz="4" w:space="0" w:color="000000"/>
            </w:tcBorders>
            <w:vAlign w:val="center"/>
          </w:tcPr>
          <w:p w14:paraId="15BFD6E5"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620" w:type="dxa"/>
            <w:tcBorders>
              <w:top w:val="single" w:sz="4" w:space="0" w:color="000000"/>
              <w:left w:val="single" w:sz="4" w:space="0" w:color="000000"/>
              <w:bottom w:val="single" w:sz="4" w:space="0" w:color="000000"/>
              <w:right w:val="single" w:sz="4" w:space="0" w:color="000000"/>
            </w:tcBorders>
            <w:vAlign w:val="center"/>
          </w:tcPr>
          <w:p w14:paraId="7BA3C2D0" w14:textId="77777777" w:rsidR="00564588" w:rsidRDefault="00564588">
            <w:pPr>
              <w:pStyle w:val="afffffa"/>
              <w:ind w:firstLine="420"/>
              <w:jc w:val="center"/>
              <w:rPr>
                <w:rFonts w:hAnsi="黑体" w:hint="eastAsia"/>
                <w:bCs/>
                <w:szCs w:val="21"/>
              </w:rPr>
            </w:pPr>
          </w:p>
        </w:tc>
      </w:tr>
      <w:tr w:rsidR="00564588" w14:paraId="62F34720"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414277EB" w14:textId="77777777" w:rsidR="00564588" w:rsidRDefault="00000000">
            <w:pPr>
              <w:pStyle w:val="afffffa"/>
              <w:ind w:firstLine="420"/>
              <w:jc w:val="center"/>
              <w:rPr>
                <w:rFonts w:hAnsi="黑体" w:hint="eastAsia"/>
                <w:bCs/>
                <w:szCs w:val="21"/>
              </w:rPr>
            </w:pPr>
            <w:r>
              <w:rPr>
                <w:rFonts w:hAnsi="黑体" w:hint="eastAsia"/>
                <w:bCs/>
                <w:szCs w:val="21"/>
              </w:rPr>
              <w:t>离子源能量</w:t>
            </w:r>
          </w:p>
        </w:tc>
        <w:tc>
          <w:tcPr>
            <w:tcW w:w="2668" w:type="dxa"/>
            <w:tcBorders>
              <w:top w:val="single" w:sz="4" w:space="0" w:color="000000"/>
              <w:left w:val="single" w:sz="4" w:space="0" w:color="000000"/>
              <w:bottom w:val="single" w:sz="4" w:space="0" w:color="000000"/>
              <w:right w:val="single" w:sz="4" w:space="0" w:color="000000"/>
            </w:tcBorders>
            <w:vAlign w:val="center"/>
          </w:tcPr>
          <w:p w14:paraId="2DFF4159"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620" w:type="dxa"/>
            <w:tcBorders>
              <w:top w:val="single" w:sz="4" w:space="0" w:color="000000"/>
              <w:left w:val="single" w:sz="4" w:space="0" w:color="000000"/>
              <w:bottom w:val="single" w:sz="4" w:space="0" w:color="000000"/>
              <w:right w:val="single" w:sz="4" w:space="0" w:color="000000"/>
            </w:tcBorders>
            <w:vAlign w:val="center"/>
          </w:tcPr>
          <w:p w14:paraId="347AB80B" w14:textId="77777777" w:rsidR="00564588" w:rsidRDefault="00564588">
            <w:pPr>
              <w:pStyle w:val="afffffa"/>
              <w:ind w:firstLine="420"/>
              <w:jc w:val="center"/>
              <w:rPr>
                <w:rFonts w:hAnsi="黑体" w:hint="eastAsia"/>
                <w:bCs/>
                <w:szCs w:val="21"/>
              </w:rPr>
            </w:pPr>
          </w:p>
        </w:tc>
      </w:tr>
      <w:tr w:rsidR="00564588" w14:paraId="00FA8320"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29FC7B41" w14:textId="77777777" w:rsidR="00564588" w:rsidRDefault="00000000">
            <w:pPr>
              <w:pStyle w:val="afffffa"/>
              <w:ind w:firstLine="420"/>
              <w:jc w:val="center"/>
              <w:rPr>
                <w:rFonts w:hAnsi="黑体" w:hint="eastAsia"/>
                <w:bCs/>
                <w:szCs w:val="21"/>
              </w:rPr>
            </w:pPr>
            <w:r>
              <w:rPr>
                <w:rFonts w:hAnsi="黑体" w:hint="eastAsia"/>
                <w:bCs/>
                <w:szCs w:val="21"/>
              </w:rPr>
              <w:t>离子源温度</w:t>
            </w:r>
          </w:p>
        </w:tc>
        <w:tc>
          <w:tcPr>
            <w:tcW w:w="2668" w:type="dxa"/>
            <w:tcBorders>
              <w:top w:val="single" w:sz="4" w:space="0" w:color="000000"/>
              <w:left w:val="single" w:sz="4" w:space="0" w:color="000000"/>
              <w:bottom w:val="single" w:sz="4" w:space="0" w:color="000000"/>
              <w:right w:val="single" w:sz="4" w:space="0" w:color="000000"/>
            </w:tcBorders>
            <w:vAlign w:val="center"/>
          </w:tcPr>
          <w:p w14:paraId="56114447"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75458F" w14:textId="77777777" w:rsidR="00564588" w:rsidRDefault="00564588">
            <w:pPr>
              <w:pStyle w:val="afffffa"/>
              <w:ind w:firstLine="420"/>
              <w:jc w:val="center"/>
              <w:rPr>
                <w:rFonts w:hAnsi="黑体" w:hint="eastAsia"/>
                <w:bCs/>
                <w:szCs w:val="21"/>
              </w:rPr>
            </w:pPr>
          </w:p>
        </w:tc>
      </w:tr>
      <w:tr w:rsidR="00564588" w14:paraId="3764A13F"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258525FD" w14:textId="77777777" w:rsidR="00564588" w:rsidRDefault="00000000">
            <w:pPr>
              <w:pStyle w:val="afffffa"/>
              <w:ind w:firstLine="420"/>
              <w:jc w:val="center"/>
              <w:rPr>
                <w:rFonts w:hAnsi="黑体" w:hint="eastAsia"/>
                <w:bCs/>
                <w:szCs w:val="21"/>
              </w:rPr>
            </w:pPr>
            <w:r>
              <w:rPr>
                <w:rFonts w:hAnsi="黑体" w:hint="eastAsia"/>
                <w:bCs/>
                <w:szCs w:val="21"/>
              </w:rPr>
              <w:t>质量分析器类型</w:t>
            </w:r>
          </w:p>
        </w:tc>
        <w:tc>
          <w:tcPr>
            <w:tcW w:w="2668" w:type="dxa"/>
            <w:tcBorders>
              <w:top w:val="single" w:sz="4" w:space="0" w:color="000000"/>
              <w:left w:val="single" w:sz="4" w:space="0" w:color="000000"/>
              <w:bottom w:val="single" w:sz="4" w:space="0" w:color="000000"/>
              <w:right w:val="single" w:sz="4" w:space="0" w:color="000000"/>
            </w:tcBorders>
            <w:vAlign w:val="center"/>
          </w:tcPr>
          <w:p w14:paraId="000F19B5"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620" w:type="dxa"/>
            <w:tcBorders>
              <w:top w:val="single" w:sz="4" w:space="0" w:color="000000"/>
              <w:left w:val="single" w:sz="4" w:space="0" w:color="000000"/>
              <w:bottom w:val="single" w:sz="4" w:space="0" w:color="000000"/>
              <w:right w:val="single" w:sz="4" w:space="0" w:color="000000"/>
            </w:tcBorders>
            <w:vAlign w:val="center"/>
          </w:tcPr>
          <w:p w14:paraId="5E59D59C" w14:textId="77777777" w:rsidR="00564588" w:rsidRDefault="00564588">
            <w:pPr>
              <w:pStyle w:val="afffffa"/>
              <w:ind w:firstLine="420"/>
              <w:jc w:val="center"/>
              <w:rPr>
                <w:rFonts w:hAnsi="黑体" w:hint="eastAsia"/>
                <w:bCs/>
                <w:szCs w:val="21"/>
              </w:rPr>
            </w:pPr>
          </w:p>
        </w:tc>
      </w:tr>
      <w:tr w:rsidR="00564588" w14:paraId="62E08261"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2A8AB60B" w14:textId="77777777" w:rsidR="00564588" w:rsidRDefault="00000000">
            <w:pPr>
              <w:pStyle w:val="afffffa"/>
              <w:ind w:firstLine="420"/>
              <w:jc w:val="center"/>
              <w:rPr>
                <w:rFonts w:hAnsi="黑体" w:hint="eastAsia"/>
                <w:bCs/>
                <w:szCs w:val="21"/>
              </w:rPr>
            </w:pPr>
            <w:r>
              <w:rPr>
                <w:rFonts w:hAnsi="黑体" w:hint="eastAsia"/>
                <w:bCs/>
                <w:szCs w:val="21"/>
              </w:rPr>
              <w:t>质量分辨率</w:t>
            </w:r>
          </w:p>
        </w:tc>
        <w:tc>
          <w:tcPr>
            <w:tcW w:w="2668" w:type="dxa"/>
            <w:tcBorders>
              <w:top w:val="single" w:sz="4" w:space="0" w:color="000000"/>
              <w:left w:val="single" w:sz="4" w:space="0" w:color="000000"/>
              <w:bottom w:val="single" w:sz="4" w:space="0" w:color="000000"/>
              <w:right w:val="single" w:sz="4" w:space="0" w:color="000000"/>
            </w:tcBorders>
            <w:vAlign w:val="center"/>
          </w:tcPr>
          <w:p w14:paraId="26769AC4"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1C11B8" w14:textId="77777777" w:rsidR="00564588" w:rsidRDefault="00564588">
            <w:pPr>
              <w:pStyle w:val="afffffa"/>
              <w:ind w:firstLine="420"/>
              <w:jc w:val="center"/>
              <w:rPr>
                <w:rFonts w:hAnsi="黑体" w:hint="eastAsia"/>
                <w:bCs/>
                <w:szCs w:val="21"/>
              </w:rPr>
            </w:pPr>
          </w:p>
        </w:tc>
      </w:tr>
      <w:tr w:rsidR="00564588" w14:paraId="1F818BD0"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59F6A877" w14:textId="77777777" w:rsidR="00564588" w:rsidRDefault="00000000">
            <w:pPr>
              <w:pStyle w:val="afffffa"/>
              <w:ind w:firstLine="420"/>
              <w:jc w:val="center"/>
              <w:rPr>
                <w:rFonts w:hAnsi="黑体" w:hint="eastAsia"/>
                <w:bCs/>
                <w:szCs w:val="21"/>
              </w:rPr>
            </w:pPr>
            <w:r>
              <w:rPr>
                <w:rFonts w:hAnsi="黑体" w:hint="eastAsia"/>
                <w:bCs/>
                <w:szCs w:val="21"/>
              </w:rPr>
              <w:t>质量精度</w:t>
            </w:r>
          </w:p>
        </w:tc>
        <w:tc>
          <w:tcPr>
            <w:tcW w:w="2668" w:type="dxa"/>
            <w:tcBorders>
              <w:top w:val="single" w:sz="4" w:space="0" w:color="000000"/>
              <w:left w:val="single" w:sz="4" w:space="0" w:color="000000"/>
              <w:bottom w:val="single" w:sz="4" w:space="0" w:color="000000"/>
              <w:right w:val="single" w:sz="4" w:space="0" w:color="000000"/>
            </w:tcBorders>
            <w:vAlign w:val="center"/>
          </w:tcPr>
          <w:p w14:paraId="66A9C647"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2884F6" w14:textId="77777777" w:rsidR="00564588" w:rsidRDefault="00564588">
            <w:pPr>
              <w:pStyle w:val="afffffa"/>
              <w:ind w:firstLine="420"/>
              <w:jc w:val="center"/>
              <w:rPr>
                <w:rFonts w:hAnsi="黑体" w:hint="eastAsia"/>
                <w:bCs/>
                <w:szCs w:val="21"/>
              </w:rPr>
            </w:pPr>
          </w:p>
        </w:tc>
      </w:tr>
      <w:tr w:rsidR="00564588" w14:paraId="24F2E85C"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47DD781D" w14:textId="77777777" w:rsidR="00564588" w:rsidRDefault="00000000">
            <w:pPr>
              <w:pStyle w:val="afffffa"/>
              <w:ind w:firstLine="420"/>
              <w:jc w:val="center"/>
              <w:rPr>
                <w:rFonts w:hAnsi="黑体" w:hint="eastAsia"/>
                <w:bCs/>
                <w:szCs w:val="21"/>
              </w:rPr>
            </w:pPr>
            <w:r>
              <w:rPr>
                <w:rFonts w:hAnsi="黑体" w:hint="eastAsia"/>
                <w:bCs/>
                <w:szCs w:val="21"/>
              </w:rPr>
              <w:t>mz</w:t>
            </w:r>
          </w:p>
        </w:tc>
        <w:tc>
          <w:tcPr>
            <w:tcW w:w="2668" w:type="dxa"/>
            <w:tcBorders>
              <w:top w:val="single" w:sz="4" w:space="0" w:color="000000"/>
              <w:left w:val="single" w:sz="4" w:space="0" w:color="000000"/>
              <w:bottom w:val="single" w:sz="4" w:space="0" w:color="000000"/>
              <w:right w:val="single" w:sz="4" w:space="0" w:color="000000"/>
            </w:tcBorders>
            <w:vAlign w:val="center"/>
          </w:tcPr>
          <w:p w14:paraId="1655CA4D"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3EB6AC" w14:textId="77777777" w:rsidR="00564588" w:rsidRDefault="00564588">
            <w:pPr>
              <w:pStyle w:val="afffffa"/>
              <w:ind w:firstLine="420"/>
              <w:jc w:val="center"/>
              <w:rPr>
                <w:rFonts w:hAnsi="黑体" w:hint="eastAsia"/>
                <w:bCs/>
                <w:szCs w:val="21"/>
              </w:rPr>
            </w:pPr>
          </w:p>
        </w:tc>
      </w:tr>
      <w:tr w:rsidR="00564588" w14:paraId="376D0B78" w14:textId="77777777">
        <w:trPr>
          <w:trHeight w:val="288"/>
        </w:trPr>
        <w:tc>
          <w:tcPr>
            <w:tcW w:w="2971" w:type="dxa"/>
            <w:tcBorders>
              <w:top w:val="single" w:sz="4" w:space="0" w:color="000000"/>
              <w:left w:val="single" w:sz="4" w:space="0" w:color="000000"/>
              <w:bottom w:val="single" w:sz="4" w:space="0" w:color="000000"/>
              <w:right w:val="single" w:sz="4" w:space="0" w:color="000000"/>
            </w:tcBorders>
            <w:vAlign w:val="center"/>
          </w:tcPr>
          <w:p w14:paraId="15C8DF46" w14:textId="77777777" w:rsidR="00564588" w:rsidRDefault="00000000">
            <w:pPr>
              <w:pStyle w:val="afffffa"/>
              <w:ind w:firstLine="420"/>
              <w:jc w:val="center"/>
              <w:rPr>
                <w:rFonts w:hAnsi="黑体" w:hint="eastAsia"/>
                <w:bCs/>
                <w:szCs w:val="21"/>
              </w:rPr>
            </w:pPr>
            <w:r>
              <w:rPr>
                <w:rFonts w:hAnsi="黑体" w:hint="eastAsia"/>
                <w:bCs/>
                <w:szCs w:val="21"/>
              </w:rPr>
              <w:t>相对丰度</w:t>
            </w:r>
          </w:p>
        </w:tc>
        <w:tc>
          <w:tcPr>
            <w:tcW w:w="2668" w:type="dxa"/>
            <w:tcBorders>
              <w:top w:val="single" w:sz="4" w:space="0" w:color="000000"/>
              <w:left w:val="single" w:sz="4" w:space="0" w:color="000000"/>
              <w:bottom w:val="single" w:sz="4" w:space="0" w:color="000000"/>
              <w:right w:val="single" w:sz="4" w:space="0" w:color="000000"/>
            </w:tcBorders>
            <w:vAlign w:val="center"/>
          </w:tcPr>
          <w:p w14:paraId="562A4FB4"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620" w:type="dxa"/>
            <w:tcBorders>
              <w:top w:val="single" w:sz="4" w:space="0" w:color="000000"/>
              <w:left w:val="single" w:sz="4" w:space="0" w:color="000000"/>
              <w:bottom w:val="single" w:sz="4" w:space="0" w:color="000000"/>
              <w:right w:val="single" w:sz="4" w:space="0" w:color="000000"/>
            </w:tcBorders>
            <w:vAlign w:val="center"/>
          </w:tcPr>
          <w:p w14:paraId="30408CF9" w14:textId="77777777" w:rsidR="00564588" w:rsidRDefault="00564588">
            <w:pPr>
              <w:pStyle w:val="afffffa"/>
              <w:ind w:firstLine="420"/>
              <w:jc w:val="center"/>
              <w:rPr>
                <w:rFonts w:hAnsi="黑体" w:hint="eastAsia"/>
                <w:bCs/>
                <w:szCs w:val="21"/>
              </w:rPr>
            </w:pPr>
          </w:p>
        </w:tc>
      </w:tr>
      <w:tr w:rsidR="00564588" w14:paraId="16BED2F3" w14:textId="77777777">
        <w:trPr>
          <w:trHeight w:val="297"/>
        </w:trPr>
        <w:tc>
          <w:tcPr>
            <w:tcW w:w="2971" w:type="dxa"/>
            <w:tcBorders>
              <w:top w:val="single" w:sz="4" w:space="0" w:color="000000"/>
              <w:left w:val="single" w:sz="4" w:space="0" w:color="000000"/>
              <w:bottom w:val="single" w:sz="4" w:space="0" w:color="000000"/>
              <w:right w:val="single" w:sz="4" w:space="0" w:color="000000"/>
            </w:tcBorders>
            <w:vAlign w:val="center"/>
          </w:tcPr>
          <w:p w14:paraId="6D5DBA5B" w14:textId="77777777" w:rsidR="00564588" w:rsidRDefault="00000000">
            <w:pPr>
              <w:pStyle w:val="afffffa"/>
              <w:ind w:firstLine="420"/>
              <w:jc w:val="center"/>
              <w:rPr>
                <w:rFonts w:hAnsi="黑体" w:hint="eastAsia"/>
                <w:bCs/>
                <w:szCs w:val="21"/>
              </w:rPr>
            </w:pPr>
            <w:r>
              <w:rPr>
                <w:rFonts w:hAnsi="黑体" w:hint="eastAsia"/>
                <w:bCs/>
                <w:szCs w:val="21"/>
              </w:rPr>
              <w:t>碎片分子式</w:t>
            </w:r>
          </w:p>
        </w:tc>
        <w:tc>
          <w:tcPr>
            <w:tcW w:w="2668" w:type="dxa"/>
            <w:tcBorders>
              <w:top w:val="single" w:sz="4" w:space="0" w:color="000000"/>
              <w:left w:val="single" w:sz="4" w:space="0" w:color="000000"/>
              <w:bottom w:val="single" w:sz="4" w:space="0" w:color="000000"/>
              <w:right w:val="single" w:sz="4" w:space="0" w:color="000000"/>
            </w:tcBorders>
            <w:vAlign w:val="center"/>
          </w:tcPr>
          <w:p w14:paraId="3FC32500"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620" w:type="dxa"/>
            <w:tcBorders>
              <w:top w:val="single" w:sz="4" w:space="0" w:color="000000"/>
              <w:left w:val="single" w:sz="4" w:space="0" w:color="000000"/>
              <w:bottom w:val="single" w:sz="4" w:space="0" w:color="000000"/>
              <w:right w:val="single" w:sz="4" w:space="0" w:color="000000"/>
            </w:tcBorders>
            <w:vAlign w:val="center"/>
          </w:tcPr>
          <w:p w14:paraId="3C6F593A" w14:textId="77777777" w:rsidR="00564588" w:rsidRDefault="00564588">
            <w:pPr>
              <w:pStyle w:val="afffffa"/>
              <w:ind w:firstLine="420"/>
              <w:jc w:val="center"/>
              <w:rPr>
                <w:rFonts w:hAnsi="黑体" w:hint="eastAsia"/>
                <w:bCs/>
                <w:szCs w:val="21"/>
              </w:rPr>
            </w:pPr>
          </w:p>
        </w:tc>
      </w:tr>
    </w:tbl>
    <w:p w14:paraId="31AF75B1" w14:textId="77777777" w:rsidR="00564588" w:rsidRDefault="00564588">
      <w:pPr>
        <w:pStyle w:val="afffffa"/>
        <w:ind w:firstLine="422"/>
        <w:rPr>
          <w:rFonts w:hAnsi="黑体" w:hint="eastAsia"/>
          <w:b/>
          <w:szCs w:val="21"/>
        </w:rPr>
      </w:pPr>
    </w:p>
    <w:p w14:paraId="3342D0BB" w14:textId="77777777" w:rsidR="00564588" w:rsidRDefault="00564588">
      <w:pPr>
        <w:pStyle w:val="afffffa"/>
        <w:ind w:firstLine="422"/>
        <w:rPr>
          <w:rFonts w:hAnsi="黑体" w:hint="eastAsia"/>
          <w:b/>
          <w:szCs w:val="21"/>
        </w:rPr>
      </w:pPr>
    </w:p>
    <w:p w14:paraId="254E7013"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80" w:name="_Toc29693"/>
      <w:r>
        <w:rPr>
          <w:rFonts w:ascii="宋体" w:eastAsia="宋体" w:hAnsi="宋体" w:hint="eastAsia"/>
          <w:sz w:val="21"/>
          <w:szCs w:val="21"/>
        </w:rPr>
        <w:t>5.1.8 质谱实验结果元数据模型</w:t>
      </w:r>
      <w:bookmarkEnd w:id="80"/>
    </w:p>
    <w:tbl>
      <w:tblPr>
        <w:tblW w:w="9159" w:type="dxa"/>
        <w:tblInd w:w="96" w:type="dxa"/>
        <w:tblLook w:val="04A0" w:firstRow="1" w:lastRow="0" w:firstColumn="1" w:lastColumn="0" w:noHBand="0" w:noVBand="1"/>
      </w:tblPr>
      <w:tblGrid>
        <w:gridCol w:w="2939"/>
        <w:gridCol w:w="2639"/>
        <w:gridCol w:w="3581"/>
      </w:tblGrid>
      <w:tr w:rsidR="00564588" w14:paraId="2A9996D3" w14:textId="77777777">
        <w:trPr>
          <w:trHeight w:val="295"/>
        </w:trPr>
        <w:tc>
          <w:tcPr>
            <w:tcW w:w="2939" w:type="dxa"/>
            <w:tcBorders>
              <w:top w:val="single" w:sz="4" w:space="0" w:color="000000"/>
              <w:left w:val="single" w:sz="4" w:space="0" w:color="000000"/>
              <w:bottom w:val="single" w:sz="4" w:space="0" w:color="000000"/>
              <w:right w:val="single" w:sz="4" w:space="0" w:color="000000"/>
            </w:tcBorders>
            <w:vAlign w:val="center"/>
          </w:tcPr>
          <w:p w14:paraId="4D2E5015" w14:textId="77777777" w:rsidR="00564588" w:rsidRDefault="00000000">
            <w:pPr>
              <w:pStyle w:val="afffffa"/>
              <w:ind w:firstLine="422"/>
              <w:jc w:val="center"/>
              <w:rPr>
                <w:rFonts w:hAnsi="黑体" w:hint="eastAsia"/>
                <w:b/>
                <w:szCs w:val="21"/>
              </w:rPr>
            </w:pPr>
            <w:r>
              <w:rPr>
                <w:rFonts w:hAnsi="黑体" w:hint="eastAsia"/>
                <w:b/>
                <w:szCs w:val="21"/>
              </w:rPr>
              <w:t>元数据选项</w:t>
            </w:r>
          </w:p>
        </w:tc>
        <w:tc>
          <w:tcPr>
            <w:tcW w:w="2639" w:type="dxa"/>
            <w:tcBorders>
              <w:top w:val="single" w:sz="4" w:space="0" w:color="000000"/>
              <w:left w:val="single" w:sz="4" w:space="0" w:color="000000"/>
              <w:bottom w:val="single" w:sz="4" w:space="0" w:color="000000"/>
              <w:right w:val="single" w:sz="4" w:space="0" w:color="000000"/>
            </w:tcBorders>
            <w:vAlign w:val="center"/>
          </w:tcPr>
          <w:p w14:paraId="04C324E7" w14:textId="77777777" w:rsidR="00564588" w:rsidRDefault="00000000">
            <w:pPr>
              <w:pStyle w:val="afffffa"/>
              <w:ind w:firstLine="422"/>
              <w:jc w:val="center"/>
              <w:rPr>
                <w:rFonts w:hAnsi="黑体" w:hint="eastAsia"/>
                <w:b/>
                <w:szCs w:val="21"/>
              </w:rPr>
            </w:pPr>
            <w:r>
              <w:rPr>
                <w:rFonts w:hAnsi="黑体" w:hint="eastAsia"/>
                <w:b/>
                <w:szCs w:val="21"/>
              </w:rPr>
              <w:t>选项类型</w:t>
            </w:r>
          </w:p>
        </w:tc>
        <w:tc>
          <w:tcPr>
            <w:tcW w:w="3581" w:type="dxa"/>
            <w:tcBorders>
              <w:top w:val="single" w:sz="4" w:space="0" w:color="000000"/>
              <w:left w:val="single" w:sz="4" w:space="0" w:color="000000"/>
              <w:bottom w:val="single" w:sz="4" w:space="0" w:color="000000"/>
              <w:right w:val="single" w:sz="4" w:space="0" w:color="000000"/>
            </w:tcBorders>
            <w:vAlign w:val="center"/>
          </w:tcPr>
          <w:p w14:paraId="4D6B5B47" w14:textId="77777777" w:rsidR="00564588" w:rsidRDefault="00000000">
            <w:pPr>
              <w:pStyle w:val="afffffa"/>
              <w:ind w:firstLine="422"/>
              <w:jc w:val="center"/>
              <w:rPr>
                <w:rFonts w:hAnsi="黑体" w:hint="eastAsia"/>
                <w:b/>
                <w:szCs w:val="21"/>
              </w:rPr>
            </w:pPr>
            <w:r>
              <w:rPr>
                <w:rFonts w:hAnsi="黑体" w:hint="eastAsia"/>
                <w:b/>
                <w:szCs w:val="21"/>
              </w:rPr>
              <w:t>示例数据</w:t>
            </w:r>
          </w:p>
        </w:tc>
      </w:tr>
      <w:tr w:rsidR="00564588" w14:paraId="49F7B724" w14:textId="77777777">
        <w:trPr>
          <w:trHeight w:val="295"/>
        </w:trPr>
        <w:tc>
          <w:tcPr>
            <w:tcW w:w="2939" w:type="dxa"/>
            <w:tcBorders>
              <w:top w:val="single" w:sz="4" w:space="0" w:color="000000"/>
              <w:left w:val="single" w:sz="4" w:space="0" w:color="000000"/>
              <w:bottom w:val="single" w:sz="4" w:space="0" w:color="000000"/>
              <w:right w:val="single" w:sz="4" w:space="0" w:color="000000"/>
            </w:tcBorders>
            <w:vAlign w:val="center"/>
          </w:tcPr>
          <w:p w14:paraId="613BE2EF" w14:textId="77777777" w:rsidR="00564588" w:rsidRDefault="00000000">
            <w:pPr>
              <w:pStyle w:val="afffffa"/>
              <w:ind w:firstLine="420"/>
              <w:jc w:val="center"/>
              <w:rPr>
                <w:rFonts w:hAnsi="黑体" w:hint="eastAsia"/>
                <w:bCs/>
                <w:szCs w:val="21"/>
              </w:rPr>
            </w:pPr>
            <w:r>
              <w:rPr>
                <w:rFonts w:hAnsi="黑体" w:hint="eastAsia"/>
                <w:bCs/>
                <w:szCs w:val="21"/>
              </w:rPr>
              <w:t>母离子mz</w:t>
            </w:r>
          </w:p>
        </w:tc>
        <w:tc>
          <w:tcPr>
            <w:tcW w:w="2639" w:type="dxa"/>
            <w:tcBorders>
              <w:top w:val="single" w:sz="4" w:space="0" w:color="000000"/>
              <w:left w:val="single" w:sz="4" w:space="0" w:color="000000"/>
              <w:bottom w:val="single" w:sz="4" w:space="0" w:color="000000"/>
              <w:right w:val="single" w:sz="4" w:space="0" w:color="000000"/>
            </w:tcBorders>
            <w:vAlign w:val="center"/>
          </w:tcPr>
          <w:p w14:paraId="517DD333"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81" w:type="dxa"/>
            <w:tcBorders>
              <w:top w:val="single" w:sz="4" w:space="0" w:color="000000"/>
              <w:left w:val="single" w:sz="4" w:space="0" w:color="000000"/>
              <w:bottom w:val="single" w:sz="4" w:space="0" w:color="000000"/>
              <w:right w:val="single" w:sz="4" w:space="0" w:color="000000"/>
            </w:tcBorders>
            <w:vAlign w:val="center"/>
          </w:tcPr>
          <w:p w14:paraId="631C2657" w14:textId="77777777" w:rsidR="00564588" w:rsidRDefault="00564588">
            <w:pPr>
              <w:pStyle w:val="afffffa"/>
              <w:ind w:firstLine="422"/>
              <w:jc w:val="center"/>
              <w:rPr>
                <w:rFonts w:hAnsi="黑体" w:hint="eastAsia"/>
                <w:b/>
                <w:szCs w:val="21"/>
              </w:rPr>
            </w:pPr>
          </w:p>
        </w:tc>
      </w:tr>
      <w:tr w:rsidR="00564588" w14:paraId="3AF0FAD0" w14:textId="77777777">
        <w:trPr>
          <w:trHeight w:val="295"/>
        </w:trPr>
        <w:tc>
          <w:tcPr>
            <w:tcW w:w="2939" w:type="dxa"/>
            <w:tcBorders>
              <w:top w:val="single" w:sz="4" w:space="0" w:color="000000"/>
              <w:left w:val="single" w:sz="4" w:space="0" w:color="000000"/>
              <w:bottom w:val="single" w:sz="4" w:space="0" w:color="000000"/>
              <w:right w:val="single" w:sz="4" w:space="0" w:color="000000"/>
            </w:tcBorders>
            <w:vAlign w:val="center"/>
          </w:tcPr>
          <w:p w14:paraId="3F39AA42" w14:textId="77777777" w:rsidR="00564588" w:rsidRDefault="00000000">
            <w:pPr>
              <w:pStyle w:val="afffffa"/>
              <w:ind w:firstLine="420"/>
              <w:jc w:val="center"/>
              <w:rPr>
                <w:rFonts w:hAnsi="黑体" w:hint="eastAsia"/>
                <w:bCs/>
                <w:szCs w:val="21"/>
              </w:rPr>
            </w:pPr>
            <w:r>
              <w:rPr>
                <w:rFonts w:hAnsi="黑体" w:hint="eastAsia"/>
                <w:bCs/>
                <w:szCs w:val="21"/>
              </w:rPr>
              <w:t>碎裂方式</w:t>
            </w:r>
          </w:p>
        </w:tc>
        <w:tc>
          <w:tcPr>
            <w:tcW w:w="2639" w:type="dxa"/>
            <w:tcBorders>
              <w:top w:val="single" w:sz="4" w:space="0" w:color="000000"/>
              <w:left w:val="single" w:sz="4" w:space="0" w:color="000000"/>
              <w:bottom w:val="single" w:sz="4" w:space="0" w:color="000000"/>
              <w:right w:val="single" w:sz="4" w:space="0" w:color="000000"/>
            </w:tcBorders>
            <w:vAlign w:val="center"/>
          </w:tcPr>
          <w:p w14:paraId="22457913"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81" w:type="dxa"/>
            <w:tcBorders>
              <w:top w:val="single" w:sz="4" w:space="0" w:color="000000"/>
              <w:left w:val="single" w:sz="4" w:space="0" w:color="000000"/>
              <w:bottom w:val="single" w:sz="4" w:space="0" w:color="000000"/>
              <w:right w:val="single" w:sz="4" w:space="0" w:color="000000"/>
            </w:tcBorders>
            <w:vAlign w:val="center"/>
          </w:tcPr>
          <w:p w14:paraId="5E42923C" w14:textId="77777777" w:rsidR="00564588" w:rsidRDefault="00564588">
            <w:pPr>
              <w:pStyle w:val="afffffa"/>
              <w:ind w:firstLine="422"/>
              <w:jc w:val="center"/>
              <w:rPr>
                <w:rFonts w:hAnsi="黑体" w:hint="eastAsia"/>
                <w:b/>
                <w:szCs w:val="21"/>
              </w:rPr>
            </w:pPr>
          </w:p>
        </w:tc>
      </w:tr>
      <w:tr w:rsidR="00564588" w14:paraId="2ABFC5C2" w14:textId="77777777">
        <w:trPr>
          <w:trHeight w:val="295"/>
        </w:trPr>
        <w:tc>
          <w:tcPr>
            <w:tcW w:w="2939" w:type="dxa"/>
            <w:tcBorders>
              <w:top w:val="single" w:sz="4" w:space="0" w:color="000000"/>
              <w:left w:val="single" w:sz="4" w:space="0" w:color="000000"/>
              <w:bottom w:val="single" w:sz="4" w:space="0" w:color="000000"/>
              <w:right w:val="single" w:sz="4" w:space="0" w:color="000000"/>
            </w:tcBorders>
            <w:vAlign w:val="center"/>
          </w:tcPr>
          <w:p w14:paraId="49D2D06F" w14:textId="77777777" w:rsidR="00564588" w:rsidRDefault="00000000">
            <w:pPr>
              <w:pStyle w:val="afffffa"/>
              <w:ind w:firstLine="420"/>
              <w:jc w:val="center"/>
              <w:rPr>
                <w:rFonts w:hAnsi="黑体" w:hint="eastAsia"/>
                <w:bCs/>
                <w:szCs w:val="21"/>
              </w:rPr>
            </w:pPr>
            <w:r>
              <w:rPr>
                <w:rFonts w:hAnsi="黑体" w:hint="eastAsia"/>
                <w:bCs/>
                <w:szCs w:val="21"/>
              </w:rPr>
              <w:t>碎裂能量</w:t>
            </w:r>
          </w:p>
        </w:tc>
        <w:tc>
          <w:tcPr>
            <w:tcW w:w="2639" w:type="dxa"/>
            <w:tcBorders>
              <w:top w:val="single" w:sz="4" w:space="0" w:color="000000"/>
              <w:left w:val="single" w:sz="4" w:space="0" w:color="000000"/>
              <w:bottom w:val="single" w:sz="4" w:space="0" w:color="000000"/>
              <w:right w:val="single" w:sz="4" w:space="0" w:color="000000"/>
            </w:tcBorders>
            <w:vAlign w:val="center"/>
          </w:tcPr>
          <w:p w14:paraId="3793081E" w14:textId="77777777" w:rsidR="00564588" w:rsidRDefault="00000000">
            <w:pPr>
              <w:pStyle w:val="afffffa"/>
              <w:ind w:firstLine="420"/>
              <w:jc w:val="center"/>
              <w:rPr>
                <w:rFonts w:hAnsi="黑体" w:hint="eastAsia"/>
                <w:bCs/>
                <w:szCs w:val="21"/>
              </w:rPr>
            </w:pPr>
            <w:r>
              <w:rPr>
                <w:rFonts w:hAnsi="黑体" w:hint="eastAsia"/>
                <w:bCs/>
                <w:szCs w:val="21"/>
              </w:rPr>
              <w:t>必选</w:t>
            </w:r>
          </w:p>
        </w:tc>
        <w:tc>
          <w:tcPr>
            <w:tcW w:w="3581" w:type="dxa"/>
            <w:tcBorders>
              <w:top w:val="single" w:sz="4" w:space="0" w:color="000000"/>
              <w:left w:val="single" w:sz="4" w:space="0" w:color="000000"/>
              <w:bottom w:val="single" w:sz="4" w:space="0" w:color="000000"/>
              <w:right w:val="single" w:sz="4" w:space="0" w:color="000000"/>
            </w:tcBorders>
            <w:vAlign w:val="center"/>
          </w:tcPr>
          <w:p w14:paraId="1EAB3FEA" w14:textId="77777777" w:rsidR="00564588" w:rsidRDefault="00564588">
            <w:pPr>
              <w:pStyle w:val="afffffa"/>
              <w:ind w:firstLine="422"/>
              <w:jc w:val="center"/>
              <w:rPr>
                <w:rFonts w:hAnsi="黑体" w:hint="eastAsia"/>
                <w:b/>
                <w:szCs w:val="21"/>
              </w:rPr>
            </w:pPr>
          </w:p>
        </w:tc>
      </w:tr>
      <w:tr w:rsidR="00564588" w14:paraId="6682D001" w14:textId="77777777">
        <w:trPr>
          <w:trHeight w:val="295"/>
        </w:trPr>
        <w:tc>
          <w:tcPr>
            <w:tcW w:w="2939" w:type="dxa"/>
            <w:tcBorders>
              <w:top w:val="single" w:sz="4" w:space="0" w:color="000000"/>
              <w:left w:val="single" w:sz="4" w:space="0" w:color="000000"/>
              <w:bottom w:val="single" w:sz="4" w:space="0" w:color="000000"/>
              <w:right w:val="single" w:sz="4" w:space="0" w:color="000000"/>
            </w:tcBorders>
            <w:vAlign w:val="center"/>
          </w:tcPr>
          <w:p w14:paraId="1A125D79" w14:textId="77777777" w:rsidR="00564588" w:rsidRDefault="00000000">
            <w:pPr>
              <w:pStyle w:val="afffffa"/>
              <w:ind w:firstLine="420"/>
              <w:jc w:val="center"/>
              <w:rPr>
                <w:rFonts w:hAnsi="黑体" w:hint="eastAsia"/>
                <w:bCs/>
                <w:szCs w:val="21"/>
              </w:rPr>
            </w:pPr>
            <w:r>
              <w:rPr>
                <w:rFonts w:hAnsi="黑体" w:hint="eastAsia"/>
                <w:bCs/>
                <w:szCs w:val="21"/>
              </w:rPr>
              <w:t>碎裂分子式</w:t>
            </w:r>
          </w:p>
        </w:tc>
        <w:tc>
          <w:tcPr>
            <w:tcW w:w="2639" w:type="dxa"/>
            <w:tcBorders>
              <w:top w:val="single" w:sz="4" w:space="0" w:color="000000"/>
              <w:left w:val="single" w:sz="4" w:space="0" w:color="000000"/>
              <w:bottom w:val="single" w:sz="4" w:space="0" w:color="000000"/>
              <w:right w:val="single" w:sz="4" w:space="0" w:color="000000"/>
            </w:tcBorders>
            <w:vAlign w:val="center"/>
          </w:tcPr>
          <w:p w14:paraId="4D98B510"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81" w:type="dxa"/>
            <w:tcBorders>
              <w:top w:val="single" w:sz="4" w:space="0" w:color="000000"/>
              <w:left w:val="single" w:sz="4" w:space="0" w:color="000000"/>
              <w:bottom w:val="single" w:sz="4" w:space="0" w:color="000000"/>
              <w:right w:val="single" w:sz="4" w:space="0" w:color="000000"/>
            </w:tcBorders>
            <w:vAlign w:val="center"/>
          </w:tcPr>
          <w:p w14:paraId="7666F2F0" w14:textId="77777777" w:rsidR="00564588" w:rsidRDefault="00564588">
            <w:pPr>
              <w:pStyle w:val="afffffa"/>
              <w:ind w:firstLine="422"/>
              <w:jc w:val="center"/>
              <w:rPr>
                <w:rFonts w:hAnsi="黑体" w:hint="eastAsia"/>
                <w:b/>
                <w:szCs w:val="21"/>
              </w:rPr>
            </w:pPr>
          </w:p>
        </w:tc>
      </w:tr>
      <w:tr w:rsidR="00564588" w14:paraId="39E6AFEF" w14:textId="77777777">
        <w:trPr>
          <w:trHeight w:val="304"/>
        </w:trPr>
        <w:tc>
          <w:tcPr>
            <w:tcW w:w="2939" w:type="dxa"/>
            <w:tcBorders>
              <w:top w:val="single" w:sz="4" w:space="0" w:color="000000"/>
              <w:left w:val="single" w:sz="4" w:space="0" w:color="000000"/>
              <w:bottom w:val="single" w:sz="4" w:space="0" w:color="000000"/>
              <w:right w:val="single" w:sz="4" w:space="0" w:color="000000"/>
            </w:tcBorders>
            <w:vAlign w:val="center"/>
          </w:tcPr>
          <w:p w14:paraId="4372A914" w14:textId="77777777" w:rsidR="00564588" w:rsidRDefault="00000000">
            <w:pPr>
              <w:pStyle w:val="afffffa"/>
              <w:ind w:firstLine="420"/>
              <w:jc w:val="center"/>
              <w:rPr>
                <w:rFonts w:hAnsi="黑体" w:hint="eastAsia"/>
                <w:bCs/>
                <w:szCs w:val="21"/>
              </w:rPr>
            </w:pPr>
            <w:r>
              <w:rPr>
                <w:rFonts w:hAnsi="黑体" w:hint="eastAsia"/>
                <w:bCs/>
                <w:szCs w:val="21"/>
              </w:rPr>
              <w:t>相对丰度</w:t>
            </w:r>
          </w:p>
        </w:tc>
        <w:tc>
          <w:tcPr>
            <w:tcW w:w="2639" w:type="dxa"/>
            <w:tcBorders>
              <w:top w:val="single" w:sz="4" w:space="0" w:color="000000"/>
              <w:left w:val="single" w:sz="4" w:space="0" w:color="000000"/>
              <w:bottom w:val="single" w:sz="4" w:space="0" w:color="000000"/>
              <w:right w:val="single" w:sz="4" w:space="0" w:color="000000"/>
            </w:tcBorders>
            <w:vAlign w:val="center"/>
          </w:tcPr>
          <w:p w14:paraId="20CD41A1" w14:textId="77777777" w:rsidR="00564588" w:rsidRDefault="00000000">
            <w:pPr>
              <w:pStyle w:val="afffffa"/>
              <w:ind w:firstLine="420"/>
              <w:jc w:val="center"/>
              <w:rPr>
                <w:rFonts w:hAnsi="黑体" w:hint="eastAsia"/>
                <w:bCs/>
                <w:szCs w:val="21"/>
              </w:rPr>
            </w:pPr>
            <w:r>
              <w:rPr>
                <w:rFonts w:hAnsi="黑体" w:hint="eastAsia"/>
                <w:bCs/>
                <w:szCs w:val="21"/>
              </w:rPr>
              <w:t>可选</w:t>
            </w:r>
          </w:p>
        </w:tc>
        <w:tc>
          <w:tcPr>
            <w:tcW w:w="3581" w:type="dxa"/>
            <w:tcBorders>
              <w:top w:val="single" w:sz="4" w:space="0" w:color="000000"/>
              <w:left w:val="single" w:sz="4" w:space="0" w:color="000000"/>
              <w:bottom w:val="single" w:sz="4" w:space="0" w:color="000000"/>
              <w:right w:val="single" w:sz="4" w:space="0" w:color="000000"/>
            </w:tcBorders>
            <w:vAlign w:val="center"/>
          </w:tcPr>
          <w:p w14:paraId="7D5B7D66" w14:textId="77777777" w:rsidR="00564588" w:rsidRDefault="00564588">
            <w:pPr>
              <w:pStyle w:val="afffffa"/>
              <w:ind w:firstLine="422"/>
              <w:jc w:val="center"/>
              <w:rPr>
                <w:rFonts w:hAnsi="黑体" w:hint="eastAsia"/>
                <w:b/>
                <w:szCs w:val="21"/>
              </w:rPr>
            </w:pPr>
          </w:p>
        </w:tc>
      </w:tr>
    </w:tbl>
    <w:p w14:paraId="61F843A8" w14:textId="77777777" w:rsidR="00564588" w:rsidRDefault="00564588">
      <w:pPr>
        <w:pStyle w:val="afffffa"/>
        <w:ind w:firstLineChars="0" w:firstLine="0"/>
        <w:rPr>
          <w:rFonts w:hAnsi="黑体" w:hint="eastAsia"/>
          <w:b/>
          <w:szCs w:val="21"/>
        </w:rPr>
      </w:pPr>
    </w:p>
    <w:p w14:paraId="0C486A16" w14:textId="77777777" w:rsidR="00564588" w:rsidRDefault="00564588">
      <w:pPr>
        <w:pStyle w:val="afffffa"/>
        <w:ind w:firstLine="422"/>
        <w:rPr>
          <w:rFonts w:hAnsi="黑体" w:hint="eastAsia"/>
          <w:b/>
          <w:szCs w:val="21"/>
        </w:rPr>
      </w:pPr>
    </w:p>
    <w:p w14:paraId="511A909A" w14:textId="77777777" w:rsidR="00564588" w:rsidRDefault="00000000">
      <w:pPr>
        <w:pStyle w:val="affd"/>
        <w:numPr>
          <w:ilvl w:val="2"/>
          <w:numId w:val="0"/>
        </w:numPr>
        <w:spacing w:before="120" w:after="120"/>
        <w:rPr>
          <w:rFonts w:hAnsi="黑体" w:hint="eastAsia"/>
          <w:b/>
          <w:szCs w:val="21"/>
        </w:rPr>
      </w:pPr>
      <w:bookmarkStart w:id="81" w:name="_Toc10358"/>
      <w:bookmarkEnd w:id="72"/>
      <w:bookmarkEnd w:id="73"/>
      <w:r>
        <w:rPr>
          <w:rFonts w:hint="eastAsia"/>
        </w:rPr>
        <w:t>5.2 元数据模型要素的属性要求</w:t>
      </w:r>
      <w:bookmarkEnd w:id="81"/>
    </w:p>
    <w:p w14:paraId="032A5025" w14:textId="77777777" w:rsidR="00564588" w:rsidRDefault="00000000">
      <w:pPr>
        <w:pStyle w:val="afffffa"/>
        <w:ind w:firstLine="420"/>
      </w:pPr>
      <w:r>
        <w:rPr>
          <w:rFonts w:hint="eastAsia"/>
        </w:rPr>
        <w:t>元数据模型要素要满足可扩展性要求，其中的量化类型的要素，如母离子mz、母离子精确分子量等以数值类型表示，描述性的要素，以标准类型如JSON等类型表示。</w:t>
      </w:r>
    </w:p>
    <w:p w14:paraId="09515A03" w14:textId="77777777" w:rsidR="00564588" w:rsidRDefault="00564588">
      <w:pPr>
        <w:pStyle w:val="afffffa"/>
        <w:ind w:firstLine="420"/>
      </w:pPr>
    </w:p>
    <w:p w14:paraId="10F6CBE9" w14:textId="77777777" w:rsidR="00564588" w:rsidRDefault="00000000">
      <w:pPr>
        <w:pStyle w:val="affc"/>
        <w:numPr>
          <w:ilvl w:val="1"/>
          <w:numId w:val="0"/>
        </w:numPr>
        <w:spacing w:before="240" w:after="240"/>
      </w:pPr>
      <w:bookmarkStart w:id="82" w:name="_Toc11115"/>
      <w:r>
        <w:rPr>
          <w:rFonts w:hint="eastAsia"/>
        </w:rPr>
        <w:t>6 生命健康领域危害物标准参考数据评估指标体系</w:t>
      </w:r>
      <w:bookmarkEnd w:id="82"/>
    </w:p>
    <w:p w14:paraId="66F95132" w14:textId="77777777" w:rsidR="00564588" w:rsidRDefault="00000000">
      <w:pPr>
        <w:pStyle w:val="afffffa"/>
        <w:ind w:firstLine="420"/>
      </w:pPr>
      <w:r>
        <w:rPr>
          <w:rFonts w:hint="eastAsia"/>
        </w:rPr>
        <w:t>本体系从严格性、准确性和相关性三个维度，评价危害物质标准参考数据集在来源追溯、方法规范、质量控制、验证强度及场景适用性方面的符合程度。各指标采用 1～5 级分级：1 级表示最低符合程度，5 级表示最高符合程度。等级换算与综合规则见 6.4。</w:t>
      </w:r>
    </w:p>
    <w:p w14:paraId="05ACD887" w14:textId="77777777" w:rsidR="00564588" w:rsidRDefault="00000000">
      <w:pPr>
        <w:pStyle w:val="affd"/>
        <w:numPr>
          <w:ilvl w:val="2"/>
          <w:numId w:val="0"/>
        </w:numPr>
        <w:spacing w:before="120" w:after="120"/>
      </w:pPr>
      <w:bookmarkStart w:id="83" w:name="_Toc8033"/>
      <w:r>
        <w:rPr>
          <w:rFonts w:hint="eastAsia"/>
        </w:rPr>
        <w:t>6.1 严格评价指标</w:t>
      </w:r>
      <w:bookmarkEnd w:id="83"/>
    </w:p>
    <w:p w14:paraId="52FB574F" w14:textId="77777777" w:rsidR="00564588" w:rsidRDefault="00000000">
      <w:pPr>
        <w:pStyle w:val="afffffa"/>
        <w:ind w:firstLine="420"/>
        <w:rPr>
          <w:szCs w:val="21"/>
        </w:rPr>
      </w:pPr>
      <w:r>
        <w:rPr>
          <w:rFonts w:hAnsi="宋体" w:hint="eastAsia"/>
        </w:rPr>
        <w:t>严格性指标反映数据集在来源可追溯性、方法规范性、元数据完整性和版本治理等方面的系统化和透明度。</w:t>
      </w:r>
    </w:p>
    <w:p w14:paraId="0F51483F" w14:textId="77777777" w:rsidR="00564588" w:rsidRDefault="00000000">
      <w:pPr>
        <w:pStyle w:val="afffffa"/>
        <w:ind w:firstLineChars="0" w:firstLine="0"/>
      </w:pPr>
      <w:r>
        <w:rPr>
          <w:rFonts w:hAnsi="宋体" w:hint="eastAsia"/>
        </w:rPr>
        <w:t>6.1.1 数据源标识完整性</w:t>
      </w:r>
    </w:p>
    <w:p w14:paraId="3C4D447F" w14:textId="77777777" w:rsidR="00564588" w:rsidRDefault="00000000">
      <w:pPr>
        <w:pStyle w:val="afffffa"/>
        <w:ind w:firstLine="420"/>
      </w:pPr>
      <w:r>
        <w:rPr>
          <w:rFonts w:hAnsi="宋体" w:hint="eastAsia"/>
        </w:rPr>
        <w:t>数据集应标注可溯源来源标识（如文献</w:t>
      </w:r>
      <w:r>
        <w:rPr>
          <w:rFonts w:hint="eastAsia"/>
        </w:rPr>
        <w:t xml:space="preserve"> </w:t>
      </w:r>
      <w:r>
        <w:rPr>
          <w:rFonts w:hAnsi="宋体" w:hint="eastAsia"/>
        </w:rPr>
        <w:t>DOI、数据库 ID、检测报告编号），关键字段（如 CAS RN、InChIKey）不得缺失。</w:t>
      </w:r>
    </w:p>
    <w:p w14:paraId="7B498B08" w14:textId="77777777" w:rsidR="00564588" w:rsidRDefault="00000000">
      <w:pPr>
        <w:pStyle w:val="afffffa"/>
        <w:ind w:firstLine="420"/>
      </w:pPr>
      <w:r>
        <w:rPr>
          <w:rFonts w:hAnsi="宋体" w:hint="eastAsia"/>
        </w:rPr>
        <w:t>5级：来源标识缺失率≤1%，关键字段完整。</w:t>
      </w:r>
    </w:p>
    <w:p w14:paraId="4F67BC60" w14:textId="77777777" w:rsidR="00564588" w:rsidRDefault="00000000">
      <w:pPr>
        <w:pStyle w:val="afffffa"/>
        <w:ind w:firstLine="420"/>
      </w:pPr>
      <w:r>
        <w:rPr>
          <w:rFonts w:hAnsi="宋体" w:hint="eastAsia"/>
        </w:rPr>
        <w:t>4级：缺失率≤3%，关键字段覆盖率≥98%。</w:t>
      </w:r>
    </w:p>
    <w:p w14:paraId="59B27C20" w14:textId="77777777" w:rsidR="00564588" w:rsidRDefault="00000000">
      <w:pPr>
        <w:pStyle w:val="afffffa"/>
        <w:ind w:firstLine="420"/>
      </w:pPr>
      <w:r>
        <w:rPr>
          <w:rFonts w:hAnsi="宋体" w:hint="eastAsia"/>
        </w:rPr>
        <w:t>3级：缺失率≤5%，关键字段覆盖率≥95%。</w:t>
      </w:r>
    </w:p>
    <w:p w14:paraId="2F50BBE1" w14:textId="77777777" w:rsidR="00564588" w:rsidRDefault="00000000">
      <w:pPr>
        <w:pStyle w:val="afffffa"/>
        <w:ind w:firstLine="420"/>
      </w:pPr>
      <w:r>
        <w:rPr>
          <w:rFonts w:hAnsi="宋体" w:hint="eastAsia"/>
        </w:rPr>
        <w:t>2级：缺失率≤10%，关键字段覆盖率≥90%。</w:t>
      </w:r>
    </w:p>
    <w:p w14:paraId="474481ED" w14:textId="77777777" w:rsidR="00564588" w:rsidRDefault="00000000">
      <w:pPr>
        <w:pStyle w:val="afffffa"/>
        <w:ind w:firstLine="420"/>
      </w:pPr>
      <w:r>
        <w:rPr>
          <w:rFonts w:hAnsi="宋体" w:hint="eastAsia"/>
        </w:rPr>
        <w:lastRenderedPageBreak/>
        <w:t>1级：缺失率＞10%或关键字段严重缺失。</w:t>
      </w:r>
    </w:p>
    <w:p w14:paraId="2A393D1C" w14:textId="77777777" w:rsidR="00564588" w:rsidRDefault="00000000">
      <w:pPr>
        <w:pStyle w:val="afffffa"/>
        <w:ind w:firstLineChars="0" w:firstLine="0"/>
      </w:pPr>
      <w:r>
        <w:rPr>
          <w:rFonts w:hAnsi="宋体" w:hint="eastAsia"/>
        </w:rPr>
        <w:t>6.1.2 方法学文档完备性</w:t>
      </w:r>
    </w:p>
    <w:p w14:paraId="70EA371B" w14:textId="77777777" w:rsidR="00564588" w:rsidRDefault="00000000">
      <w:pPr>
        <w:pStyle w:val="afffffa"/>
        <w:ind w:firstLine="420"/>
      </w:pPr>
      <w:r>
        <w:rPr>
          <w:rFonts w:hAnsi="宋体" w:hint="eastAsia"/>
        </w:rPr>
        <w:t>数据集应提供统一方法文件，覆盖主要采集与处理流程；非标准方法应单独说明并提供验证参数。</w:t>
      </w:r>
    </w:p>
    <w:p w14:paraId="64510224" w14:textId="77777777" w:rsidR="00564588" w:rsidRDefault="00000000">
      <w:pPr>
        <w:pStyle w:val="afffffa"/>
        <w:ind w:firstLine="420"/>
      </w:pPr>
      <w:r>
        <w:rPr>
          <w:rFonts w:hAnsi="宋体" w:hint="eastAsia"/>
        </w:rPr>
        <w:t>5级：覆盖率≥95%，方法与国际标准映射及时，验证参数完整。</w:t>
      </w:r>
    </w:p>
    <w:p w14:paraId="12CBF852" w14:textId="77777777" w:rsidR="00564588" w:rsidRDefault="00000000">
      <w:pPr>
        <w:pStyle w:val="afffffa"/>
        <w:ind w:firstLine="420"/>
      </w:pPr>
      <w:r>
        <w:rPr>
          <w:rFonts w:hAnsi="宋体" w:hint="eastAsia"/>
        </w:rPr>
        <w:t>4级：覆盖率90%～94%，方法映射滞后≤12个月，关键验证参数基本完整。</w:t>
      </w:r>
    </w:p>
    <w:p w14:paraId="36022214" w14:textId="77777777" w:rsidR="00564588" w:rsidRDefault="00000000">
      <w:pPr>
        <w:pStyle w:val="afffffa"/>
        <w:ind w:firstLine="420"/>
      </w:pPr>
      <w:r>
        <w:rPr>
          <w:rFonts w:hAnsi="宋体" w:hint="eastAsia"/>
        </w:rPr>
        <w:t>3级：覆盖率80%～89%，方法映射滞后≤18个月，部分验证参数缺失。</w:t>
      </w:r>
    </w:p>
    <w:p w14:paraId="0AE22D44" w14:textId="77777777" w:rsidR="00564588" w:rsidRDefault="00000000">
      <w:pPr>
        <w:pStyle w:val="afffffa"/>
        <w:ind w:firstLine="420"/>
      </w:pPr>
      <w:r>
        <w:rPr>
          <w:rFonts w:hAnsi="宋体" w:hint="eastAsia"/>
        </w:rPr>
        <w:t>2级：覆盖率60%～79%，方法映射滞后≤24个月。</w:t>
      </w:r>
    </w:p>
    <w:p w14:paraId="21EF2E92" w14:textId="77777777" w:rsidR="00564588" w:rsidRDefault="00000000">
      <w:pPr>
        <w:pStyle w:val="afffffa"/>
        <w:ind w:firstLine="420"/>
      </w:pPr>
      <w:r>
        <w:rPr>
          <w:rFonts w:hAnsi="宋体" w:hint="eastAsia"/>
        </w:rPr>
        <w:t>1级：覆盖率＜60%或缺乏统一方法文件。</w:t>
      </w:r>
    </w:p>
    <w:p w14:paraId="6FDA5899" w14:textId="77777777" w:rsidR="00564588" w:rsidRDefault="00000000">
      <w:pPr>
        <w:pStyle w:val="afffffa"/>
        <w:ind w:firstLineChars="0" w:firstLine="0"/>
      </w:pPr>
      <w:r>
        <w:rPr>
          <w:rFonts w:hAnsi="宋体" w:hint="eastAsia"/>
        </w:rPr>
        <w:t>6.1.3 元数据字段填充率</w:t>
      </w:r>
    </w:p>
    <w:p w14:paraId="2685E350" w14:textId="77777777" w:rsidR="00564588" w:rsidRDefault="00000000">
      <w:pPr>
        <w:pStyle w:val="afffffa"/>
        <w:ind w:firstLine="420"/>
      </w:pPr>
      <w:r>
        <w:rPr>
          <w:rFonts w:hAnsi="宋体" w:hint="eastAsia"/>
        </w:rPr>
        <w:t>数据集应完整提供核心元数据（如单位、LOD/LOQ、不确定度），并合理填充非核心字段。</w:t>
      </w:r>
    </w:p>
    <w:p w14:paraId="796E461B" w14:textId="77777777" w:rsidR="00564588" w:rsidRDefault="00000000">
      <w:pPr>
        <w:pStyle w:val="afffffa"/>
        <w:ind w:firstLine="420"/>
      </w:pPr>
      <w:r>
        <w:rPr>
          <w:rFonts w:hAnsi="宋体" w:hint="eastAsia"/>
        </w:rPr>
        <w:t>5级：核心字段100%完整，非核心缺失率≤5%。</w:t>
      </w:r>
    </w:p>
    <w:p w14:paraId="1684760B" w14:textId="77777777" w:rsidR="00564588" w:rsidRDefault="00000000">
      <w:pPr>
        <w:pStyle w:val="afffffa"/>
        <w:ind w:firstLine="420"/>
      </w:pPr>
      <w:r>
        <w:rPr>
          <w:rFonts w:hAnsi="宋体" w:hint="eastAsia"/>
        </w:rPr>
        <w:t>4级：核心字段完整，非核心缺失率≤10%。</w:t>
      </w:r>
    </w:p>
    <w:p w14:paraId="72B13DC3" w14:textId="77777777" w:rsidR="00564588" w:rsidRDefault="00000000">
      <w:pPr>
        <w:pStyle w:val="afffffa"/>
        <w:ind w:firstLine="420"/>
      </w:pPr>
      <w:r>
        <w:rPr>
          <w:rFonts w:hAnsi="宋体" w:hint="eastAsia"/>
        </w:rPr>
        <w:t>3级：核心字段填充率≥98%，非核心缺失率≤20%。</w:t>
      </w:r>
    </w:p>
    <w:p w14:paraId="149B63C5" w14:textId="77777777" w:rsidR="00564588" w:rsidRDefault="00000000">
      <w:pPr>
        <w:pStyle w:val="afffffa"/>
        <w:ind w:firstLine="420"/>
      </w:pPr>
      <w:r>
        <w:rPr>
          <w:rFonts w:hAnsi="宋体" w:hint="eastAsia"/>
        </w:rPr>
        <w:t>2级：核心字段填充率≥95%，非核心缺失率≤30%。</w:t>
      </w:r>
    </w:p>
    <w:p w14:paraId="284F2ED8" w14:textId="77777777" w:rsidR="00564588" w:rsidRDefault="00000000">
      <w:pPr>
        <w:pStyle w:val="afffffa"/>
        <w:ind w:firstLine="420"/>
      </w:pPr>
      <w:r>
        <w:rPr>
          <w:rFonts w:hAnsi="宋体" w:hint="eastAsia"/>
        </w:rPr>
        <w:t>1级：核心字段填充率＜95%。</w:t>
      </w:r>
    </w:p>
    <w:p w14:paraId="00C4E9BE" w14:textId="77777777" w:rsidR="00564588" w:rsidRDefault="00000000">
      <w:pPr>
        <w:pStyle w:val="afffffa"/>
        <w:ind w:firstLineChars="0" w:firstLine="0"/>
      </w:pPr>
      <w:r>
        <w:rPr>
          <w:rFonts w:hAnsi="宋体" w:hint="eastAsia"/>
        </w:rPr>
        <w:t>6.1.4 版本与更新管理</w:t>
      </w:r>
    </w:p>
    <w:p w14:paraId="1D47C643" w14:textId="77777777" w:rsidR="00564588" w:rsidRDefault="00000000">
      <w:pPr>
        <w:pStyle w:val="afffffa"/>
        <w:ind w:firstLine="420"/>
      </w:pPr>
      <w:r>
        <w:rPr>
          <w:rFonts w:hAnsi="宋体" w:hint="eastAsia"/>
        </w:rPr>
        <w:t>数据集应具备版本号规则、更新日志和错误修正机制，并存档历史版本。</w:t>
      </w:r>
    </w:p>
    <w:p w14:paraId="658DC092" w14:textId="77777777" w:rsidR="00564588" w:rsidRDefault="00000000">
      <w:pPr>
        <w:pStyle w:val="afffffa"/>
        <w:ind w:firstLine="420"/>
      </w:pPr>
      <w:r>
        <w:rPr>
          <w:rFonts w:hAnsi="宋体" w:hint="eastAsia"/>
        </w:rPr>
        <w:t>5级：修正周期≤30日，存档期≥3年，日志完整公开。</w:t>
      </w:r>
    </w:p>
    <w:p w14:paraId="0A218A48" w14:textId="77777777" w:rsidR="00564588" w:rsidRDefault="00000000">
      <w:pPr>
        <w:pStyle w:val="afffffa"/>
        <w:ind w:firstLine="420"/>
      </w:pPr>
      <w:r>
        <w:rPr>
          <w:rFonts w:hAnsi="宋体" w:hint="eastAsia"/>
        </w:rPr>
        <w:t>4级：修正周期≤45日，存档期≥2年。</w:t>
      </w:r>
    </w:p>
    <w:p w14:paraId="43C290DF" w14:textId="77777777" w:rsidR="00564588" w:rsidRDefault="00000000">
      <w:pPr>
        <w:pStyle w:val="afffffa"/>
        <w:ind w:firstLine="420"/>
      </w:pPr>
      <w:r>
        <w:rPr>
          <w:rFonts w:hAnsi="宋体" w:hint="eastAsia"/>
        </w:rPr>
        <w:t>3级：修正周期≤60日，有存档记录。</w:t>
      </w:r>
    </w:p>
    <w:p w14:paraId="1A3C9501" w14:textId="77777777" w:rsidR="00564588" w:rsidRDefault="00000000">
      <w:pPr>
        <w:pStyle w:val="afffffa"/>
        <w:ind w:firstLine="420"/>
      </w:pPr>
      <w:r>
        <w:rPr>
          <w:rFonts w:hAnsi="宋体" w:hint="eastAsia"/>
        </w:rPr>
        <w:t>2级：仅有版本号或日志不全。</w:t>
      </w:r>
    </w:p>
    <w:p w14:paraId="212D009C" w14:textId="77777777" w:rsidR="00564588" w:rsidRDefault="00000000">
      <w:pPr>
        <w:pStyle w:val="afffffa"/>
        <w:ind w:firstLine="420"/>
      </w:pPr>
      <w:r>
        <w:rPr>
          <w:rFonts w:hAnsi="宋体" w:hint="eastAsia"/>
        </w:rPr>
        <w:t>1级：无版本管理。</w:t>
      </w:r>
    </w:p>
    <w:p w14:paraId="567D31D1" w14:textId="77777777" w:rsidR="00564588" w:rsidRDefault="00000000">
      <w:pPr>
        <w:pStyle w:val="afffffa"/>
        <w:ind w:firstLineChars="0" w:firstLine="0"/>
      </w:pPr>
      <w:r>
        <w:rPr>
          <w:rFonts w:hAnsi="宋体" w:hint="eastAsia"/>
        </w:rPr>
        <w:t>6.1.5 严格性综合判定</w:t>
      </w:r>
    </w:p>
    <w:p w14:paraId="1BED1444" w14:textId="77777777" w:rsidR="00564588" w:rsidRDefault="00000000">
      <w:pPr>
        <w:pStyle w:val="afffffa"/>
        <w:ind w:firstLine="420"/>
      </w:pPr>
      <w:r>
        <w:rPr>
          <w:rFonts w:hAnsi="宋体" w:hint="eastAsia"/>
        </w:rPr>
        <w:t>严格性综合得分</w:t>
      </w:r>
      <w:r>
        <w:rPr>
          <w:rFonts w:hint="eastAsia"/>
        </w:rPr>
        <w:t xml:space="preserve"> </w:t>
      </w:r>
      <w:r>
        <w:rPr>
          <w:rFonts w:hAnsi="宋体" w:hint="eastAsia"/>
        </w:rPr>
        <w:t>= 0.30×（6.1.1）+0.25×（6.1.2）+0.35×（6.1.3）+0.10×（6.1.4）。</w:t>
      </w:r>
    </w:p>
    <w:p w14:paraId="712F3969" w14:textId="77777777" w:rsidR="00564588" w:rsidRDefault="00564588">
      <w:pPr>
        <w:pStyle w:val="afffffa"/>
        <w:ind w:firstLineChars="95" w:firstLine="199"/>
      </w:pPr>
    </w:p>
    <w:p w14:paraId="3BBA60A3" w14:textId="77777777" w:rsidR="00564588" w:rsidRDefault="00000000">
      <w:pPr>
        <w:pStyle w:val="affd"/>
        <w:numPr>
          <w:ilvl w:val="2"/>
          <w:numId w:val="0"/>
        </w:numPr>
        <w:spacing w:before="120" w:after="120"/>
      </w:pPr>
      <w:bookmarkStart w:id="84" w:name="_Toc29492"/>
      <w:bookmarkStart w:id="85" w:name="_Toc133693511"/>
      <w:bookmarkStart w:id="86" w:name="_Toc133697516"/>
      <w:bookmarkStart w:id="87" w:name="_Toc131629323"/>
      <w:r>
        <w:rPr>
          <w:rFonts w:hint="eastAsia"/>
        </w:rPr>
        <w:t>6.2 准确核验指标</w:t>
      </w:r>
      <w:bookmarkEnd w:id="84"/>
    </w:p>
    <w:bookmarkEnd w:id="85"/>
    <w:bookmarkEnd w:id="86"/>
    <w:bookmarkEnd w:id="87"/>
    <w:p w14:paraId="781A31D7" w14:textId="77777777" w:rsidR="00564588" w:rsidRDefault="00000000">
      <w:pPr>
        <w:pStyle w:val="afffffa"/>
        <w:ind w:firstLine="420"/>
        <w:rPr>
          <w:szCs w:val="21"/>
        </w:rPr>
      </w:pPr>
      <w:r>
        <w:rPr>
          <w:rFonts w:hAnsi="宋体" w:hint="eastAsia"/>
        </w:rPr>
        <w:t>准确性指标反映数据集的验证强度、与权威来源的一致性及错误修正能力。</w:t>
      </w:r>
    </w:p>
    <w:p w14:paraId="1FF70323" w14:textId="77777777" w:rsidR="00564588" w:rsidRDefault="00000000">
      <w:pPr>
        <w:pStyle w:val="afffffa"/>
        <w:ind w:firstLineChars="0" w:firstLine="0"/>
      </w:pPr>
      <w:r>
        <w:rPr>
          <w:rFonts w:hAnsi="宋体" w:hint="eastAsia"/>
        </w:rPr>
        <w:t>6.2.1 内部验证覆盖率</w:t>
      </w:r>
    </w:p>
    <w:p w14:paraId="62401D45" w14:textId="77777777" w:rsidR="00564588" w:rsidRDefault="00000000">
      <w:pPr>
        <w:pStyle w:val="afffffa"/>
        <w:ind w:firstLine="420"/>
      </w:pPr>
      <w:r>
        <w:rPr>
          <w:rFonts w:hAnsi="宋体" w:hint="eastAsia"/>
        </w:rPr>
        <w:t>应对关键字段和非关键字段进行分层验证。</w:t>
      </w:r>
    </w:p>
    <w:p w14:paraId="50AFCBD0" w14:textId="77777777" w:rsidR="00564588" w:rsidRDefault="00000000">
      <w:pPr>
        <w:pStyle w:val="afffffa"/>
        <w:ind w:firstLine="420"/>
      </w:pPr>
      <w:r>
        <w:rPr>
          <w:rFonts w:hAnsi="宋体" w:hint="eastAsia"/>
        </w:rPr>
        <w:t>5级：关键字段覆盖率≥95%，非关键≥90%。</w:t>
      </w:r>
    </w:p>
    <w:p w14:paraId="032ACC0C" w14:textId="77777777" w:rsidR="00564588" w:rsidRDefault="00000000">
      <w:pPr>
        <w:pStyle w:val="afffffa"/>
        <w:ind w:firstLine="420"/>
      </w:pPr>
      <w:r>
        <w:rPr>
          <w:rFonts w:hAnsi="宋体" w:hint="eastAsia"/>
        </w:rPr>
        <w:t>4级：关键≥90%，非关键≥85%。</w:t>
      </w:r>
    </w:p>
    <w:p w14:paraId="1BE2A7E7" w14:textId="77777777" w:rsidR="00564588" w:rsidRDefault="00000000">
      <w:pPr>
        <w:pStyle w:val="afffffa"/>
        <w:ind w:firstLine="420"/>
      </w:pPr>
      <w:r>
        <w:rPr>
          <w:rFonts w:hAnsi="宋体" w:hint="eastAsia"/>
        </w:rPr>
        <w:t>3级：关键≥85%，非关键≥80%。</w:t>
      </w:r>
    </w:p>
    <w:p w14:paraId="614FFD98" w14:textId="77777777" w:rsidR="00564588" w:rsidRDefault="00000000">
      <w:pPr>
        <w:pStyle w:val="afffffa"/>
        <w:ind w:firstLine="420"/>
      </w:pPr>
      <w:r>
        <w:rPr>
          <w:rFonts w:hAnsi="宋体" w:hint="eastAsia"/>
        </w:rPr>
        <w:t>2级：关键≥70%，非关键≥70%。</w:t>
      </w:r>
    </w:p>
    <w:p w14:paraId="54C0954C" w14:textId="77777777" w:rsidR="00564588" w:rsidRDefault="00000000">
      <w:pPr>
        <w:pStyle w:val="afffffa"/>
        <w:ind w:firstLine="420"/>
      </w:pPr>
      <w:r>
        <w:rPr>
          <w:rFonts w:hAnsi="宋体" w:hint="eastAsia"/>
        </w:rPr>
        <w:t>1级：关键＜70%或缺少验证机制。</w:t>
      </w:r>
    </w:p>
    <w:p w14:paraId="7B2C5FB8" w14:textId="77777777" w:rsidR="00564588" w:rsidRDefault="00000000">
      <w:pPr>
        <w:pStyle w:val="afffffa"/>
        <w:ind w:firstLineChars="0" w:firstLine="0"/>
      </w:pPr>
      <w:r>
        <w:rPr>
          <w:rFonts w:hAnsi="宋体" w:hint="eastAsia"/>
        </w:rPr>
        <w:t>6.2.2 外部权威一致性</w:t>
      </w:r>
    </w:p>
    <w:p w14:paraId="7061113F" w14:textId="77777777" w:rsidR="00564588" w:rsidRDefault="00000000">
      <w:pPr>
        <w:pStyle w:val="afffffa"/>
        <w:ind w:firstLine="420"/>
      </w:pPr>
      <w:r>
        <w:rPr>
          <w:rFonts w:hAnsi="宋体" w:hint="eastAsia"/>
        </w:rPr>
        <w:t>数据应与权威来源（如</w:t>
      </w:r>
      <w:r>
        <w:rPr>
          <w:rFonts w:hint="eastAsia"/>
        </w:rPr>
        <w:t xml:space="preserve"> </w:t>
      </w:r>
      <w:r>
        <w:rPr>
          <w:rFonts w:hAnsi="宋体" w:hint="eastAsia"/>
        </w:rPr>
        <w:t>WHO、IARC、EPA、国家数据库）进行对照。</w:t>
      </w:r>
    </w:p>
    <w:p w14:paraId="56DFA462" w14:textId="77777777" w:rsidR="00564588" w:rsidRDefault="00000000">
      <w:pPr>
        <w:pStyle w:val="afffffa"/>
        <w:ind w:firstLine="420"/>
      </w:pPr>
      <w:r>
        <w:rPr>
          <w:rFonts w:hAnsi="宋体" w:hint="eastAsia"/>
        </w:rPr>
        <w:t>5级：权威采纳率≥80%，其余数据差异≤±10%或分类一致。</w:t>
      </w:r>
    </w:p>
    <w:p w14:paraId="5CB21F3D" w14:textId="77777777" w:rsidR="00564588" w:rsidRDefault="00000000">
      <w:pPr>
        <w:pStyle w:val="afffffa"/>
        <w:ind w:firstLine="420"/>
      </w:pPr>
      <w:r>
        <w:rPr>
          <w:rFonts w:hAnsi="宋体" w:hint="eastAsia"/>
        </w:rPr>
        <w:t>4级：采纳率70%～79%，差异≤±15%。</w:t>
      </w:r>
    </w:p>
    <w:p w14:paraId="3865469F" w14:textId="77777777" w:rsidR="00564588" w:rsidRDefault="00000000">
      <w:pPr>
        <w:pStyle w:val="afffffa"/>
        <w:ind w:firstLine="420"/>
      </w:pPr>
      <w:r>
        <w:rPr>
          <w:rFonts w:hAnsi="宋体" w:hint="eastAsia"/>
        </w:rPr>
        <w:t>3级：采纳率60%～69%，差异≤±20%。</w:t>
      </w:r>
    </w:p>
    <w:p w14:paraId="205304FA" w14:textId="77777777" w:rsidR="00564588" w:rsidRDefault="00000000">
      <w:pPr>
        <w:pStyle w:val="afffffa"/>
        <w:ind w:firstLine="420"/>
      </w:pPr>
      <w:r>
        <w:rPr>
          <w:rFonts w:hAnsi="宋体" w:hint="eastAsia"/>
        </w:rPr>
        <w:t>2级：采纳率40%～59%，差异≤±30%。</w:t>
      </w:r>
    </w:p>
    <w:p w14:paraId="2BF29BAD" w14:textId="77777777" w:rsidR="00564588" w:rsidRDefault="00000000">
      <w:pPr>
        <w:pStyle w:val="afffffa"/>
        <w:ind w:firstLine="420"/>
      </w:pPr>
      <w:r>
        <w:rPr>
          <w:rFonts w:hAnsi="宋体" w:hint="eastAsia"/>
        </w:rPr>
        <w:t>1级：采纳率＜40%或差异＞±30%。</w:t>
      </w:r>
    </w:p>
    <w:p w14:paraId="154AFFD0" w14:textId="77777777" w:rsidR="00564588" w:rsidRDefault="00000000">
      <w:pPr>
        <w:pStyle w:val="afffffa"/>
        <w:ind w:firstLineChars="0" w:firstLine="0"/>
      </w:pPr>
      <w:r>
        <w:rPr>
          <w:rFonts w:hAnsi="宋体" w:hint="eastAsia"/>
        </w:rPr>
        <w:t>6.2.3 错误修正时效性</w:t>
      </w:r>
    </w:p>
    <w:p w14:paraId="7944785F" w14:textId="77777777" w:rsidR="00564588" w:rsidRDefault="00000000">
      <w:pPr>
        <w:pStyle w:val="afffffa"/>
        <w:ind w:firstLine="420"/>
      </w:pPr>
      <w:r>
        <w:rPr>
          <w:rFonts w:hAnsi="宋体" w:hint="eastAsia"/>
        </w:rPr>
        <w:t>应设立用户反馈与错误修正机制，并保证追溯。</w:t>
      </w:r>
    </w:p>
    <w:p w14:paraId="52CABBFD" w14:textId="77777777" w:rsidR="00564588" w:rsidRDefault="00000000">
      <w:pPr>
        <w:pStyle w:val="afffffa"/>
        <w:ind w:firstLine="420"/>
      </w:pPr>
      <w:r>
        <w:rPr>
          <w:rFonts w:hAnsi="宋体" w:hint="eastAsia"/>
        </w:rPr>
        <w:t>5级：修正周期≤30日，关键字段重大更新≤90日，历史记录≥3年。</w:t>
      </w:r>
    </w:p>
    <w:p w14:paraId="469AACE8" w14:textId="77777777" w:rsidR="00564588" w:rsidRDefault="00000000">
      <w:pPr>
        <w:pStyle w:val="afffffa"/>
        <w:ind w:firstLine="420"/>
      </w:pPr>
      <w:r>
        <w:rPr>
          <w:rFonts w:hAnsi="宋体" w:hint="eastAsia"/>
        </w:rPr>
        <w:t>4级：修正周期≤45日。</w:t>
      </w:r>
    </w:p>
    <w:p w14:paraId="36E80B83" w14:textId="77777777" w:rsidR="00564588" w:rsidRDefault="00000000">
      <w:pPr>
        <w:pStyle w:val="afffffa"/>
        <w:ind w:firstLine="420"/>
      </w:pPr>
      <w:r>
        <w:rPr>
          <w:rFonts w:hAnsi="宋体" w:hint="eastAsia"/>
        </w:rPr>
        <w:t>3级：修正周期≤60日。</w:t>
      </w:r>
    </w:p>
    <w:p w14:paraId="7F0E6226" w14:textId="77777777" w:rsidR="00564588" w:rsidRDefault="00000000">
      <w:pPr>
        <w:pStyle w:val="afffffa"/>
        <w:ind w:firstLine="420"/>
      </w:pPr>
      <w:r>
        <w:rPr>
          <w:rFonts w:hAnsi="宋体" w:hint="eastAsia"/>
        </w:rPr>
        <w:t>2级：有修正但无时限或记录不全。</w:t>
      </w:r>
    </w:p>
    <w:p w14:paraId="65D84988" w14:textId="77777777" w:rsidR="00564588" w:rsidRDefault="00000000">
      <w:pPr>
        <w:pStyle w:val="afffffa"/>
        <w:ind w:firstLine="420"/>
      </w:pPr>
      <w:r>
        <w:rPr>
          <w:rFonts w:hAnsi="宋体" w:hint="eastAsia"/>
        </w:rPr>
        <w:t>1级：缺乏修正机制。</w:t>
      </w:r>
    </w:p>
    <w:p w14:paraId="3589DED1" w14:textId="77777777" w:rsidR="00564588" w:rsidRDefault="00000000">
      <w:pPr>
        <w:pStyle w:val="afffffa"/>
        <w:ind w:firstLineChars="0" w:firstLine="0"/>
      </w:pPr>
      <w:r>
        <w:rPr>
          <w:rFonts w:hAnsi="宋体" w:hint="eastAsia"/>
        </w:rPr>
        <w:lastRenderedPageBreak/>
        <w:t>6.2.4 准确性综合判定</w:t>
      </w:r>
    </w:p>
    <w:p w14:paraId="0535CDCC" w14:textId="77777777" w:rsidR="00564588" w:rsidRDefault="00000000">
      <w:pPr>
        <w:pStyle w:val="afffffa"/>
        <w:ind w:firstLine="420"/>
      </w:pPr>
      <w:r>
        <w:rPr>
          <w:rFonts w:hAnsi="宋体" w:hint="eastAsia"/>
        </w:rPr>
        <w:t>准确性综合得分</w:t>
      </w:r>
      <w:r>
        <w:rPr>
          <w:rFonts w:hint="eastAsia"/>
        </w:rPr>
        <w:t xml:space="preserve"> </w:t>
      </w:r>
      <w:r>
        <w:rPr>
          <w:rFonts w:hAnsi="宋体" w:hint="eastAsia"/>
        </w:rPr>
        <w:t>= 0.40×（6.2.1）+0.40×（6.2.2）+0.20×（6.2.3）。</w:t>
      </w:r>
    </w:p>
    <w:p w14:paraId="7C24C4BA" w14:textId="77777777" w:rsidR="00564588" w:rsidRDefault="00564588">
      <w:pPr>
        <w:pStyle w:val="afffffa"/>
        <w:ind w:firstLine="420"/>
        <w:rPr>
          <w:rFonts w:asciiTheme="minorEastAsia" w:eastAsiaTheme="minorEastAsia" w:hAnsiTheme="minorEastAsia" w:hint="eastAsia"/>
          <w:szCs w:val="21"/>
        </w:rPr>
      </w:pPr>
    </w:p>
    <w:p w14:paraId="299C0790" w14:textId="77777777" w:rsidR="00564588" w:rsidRDefault="00000000">
      <w:pPr>
        <w:pStyle w:val="affd"/>
        <w:numPr>
          <w:ilvl w:val="2"/>
          <w:numId w:val="0"/>
        </w:numPr>
        <w:spacing w:before="120" w:after="120"/>
        <w:rPr>
          <w:b/>
          <w:shd w:val="clear" w:color="auto" w:fill="FFFF00"/>
        </w:rPr>
      </w:pPr>
      <w:bookmarkStart w:id="88" w:name="_Toc13836"/>
      <w:bookmarkStart w:id="89" w:name="_Toc131629328"/>
      <w:r>
        <w:rPr>
          <w:rFonts w:hint="eastAsia"/>
        </w:rPr>
        <w:t>6.3 相关性指标</w:t>
      </w:r>
      <w:bookmarkEnd w:id="88"/>
    </w:p>
    <w:bookmarkEnd w:id="89"/>
    <w:p w14:paraId="61DAD9AE" w14:textId="77777777" w:rsidR="00564588" w:rsidRDefault="00000000">
      <w:pPr>
        <w:pStyle w:val="afffffa"/>
        <w:ind w:firstLine="420"/>
        <w:rPr>
          <w:szCs w:val="21"/>
        </w:rPr>
      </w:pPr>
      <w:r>
        <w:rPr>
          <w:rFonts w:hAnsi="宋体" w:hint="eastAsia"/>
        </w:rPr>
        <w:t>相关性指标反映数据集与声明应用场景的匹配程度。</w:t>
      </w:r>
    </w:p>
    <w:p w14:paraId="23DDD529" w14:textId="77777777" w:rsidR="00564588" w:rsidRDefault="00000000">
      <w:pPr>
        <w:pStyle w:val="afffffa"/>
        <w:ind w:firstLineChars="0" w:firstLine="0"/>
      </w:pPr>
      <w:r>
        <w:rPr>
          <w:rFonts w:hAnsi="宋体" w:hint="eastAsia"/>
        </w:rPr>
        <w:t>6.3.1 场景覆盖明确性</w:t>
      </w:r>
    </w:p>
    <w:p w14:paraId="10473D6B" w14:textId="77777777" w:rsidR="00564588" w:rsidRDefault="00000000">
      <w:pPr>
        <w:pStyle w:val="afffffa"/>
        <w:ind w:firstLine="420"/>
      </w:pPr>
      <w:r>
        <w:rPr>
          <w:rFonts w:hAnsi="宋体" w:hint="eastAsia"/>
        </w:rPr>
        <w:t>数据集应明确应用场景的适用对象、危害类型和决策用途。</w:t>
      </w:r>
    </w:p>
    <w:p w14:paraId="180BFC34" w14:textId="77777777" w:rsidR="00564588" w:rsidRDefault="00000000">
      <w:pPr>
        <w:pStyle w:val="afffffa"/>
        <w:ind w:firstLine="420"/>
      </w:pPr>
      <w:r>
        <w:rPr>
          <w:rFonts w:hAnsi="宋体" w:hint="eastAsia"/>
        </w:rPr>
        <w:t>5级：场景边界清晰，覆盖≥3个子场景并有使用限制。</w:t>
      </w:r>
    </w:p>
    <w:p w14:paraId="1ED71190" w14:textId="77777777" w:rsidR="00564588" w:rsidRDefault="00000000">
      <w:pPr>
        <w:pStyle w:val="afffffa"/>
        <w:ind w:firstLine="420"/>
      </w:pPr>
      <w:r>
        <w:rPr>
          <w:rFonts w:hAnsi="宋体" w:hint="eastAsia"/>
        </w:rPr>
        <w:t>4级：覆盖≥2个子场景。</w:t>
      </w:r>
    </w:p>
    <w:p w14:paraId="3BC97D68" w14:textId="77777777" w:rsidR="00564588" w:rsidRDefault="00000000">
      <w:pPr>
        <w:pStyle w:val="afffffa"/>
        <w:ind w:firstLine="420"/>
      </w:pPr>
      <w:r>
        <w:rPr>
          <w:rFonts w:hAnsi="宋体" w:hint="eastAsia"/>
        </w:rPr>
        <w:t>3级：覆盖1个子场景，描述完整。</w:t>
      </w:r>
    </w:p>
    <w:p w14:paraId="3BDCCC2F" w14:textId="77777777" w:rsidR="00564588" w:rsidRDefault="00000000">
      <w:pPr>
        <w:pStyle w:val="afffffa"/>
        <w:ind w:firstLine="420"/>
      </w:pPr>
      <w:r>
        <w:rPr>
          <w:rFonts w:hAnsi="宋体" w:hint="eastAsia"/>
        </w:rPr>
        <w:t>2级：场景表述笼统或缺少要素。</w:t>
      </w:r>
    </w:p>
    <w:p w14:paraId="2091F2E7" w14:textId="77777777" w:rsidR="00564588" w:rsidRDefault="00000000">
      <w:pPr>
        <w:pStyle w:val="afffffa"/>
        <w:ind w:firstLine="420"/>
      </w:pPr>
      <w:r>
        <w:rPr>
          <w:rFonts w:hAnsi="宋体" w:hint="eastAsia"/>
        </w:rPr>
        <w:t>1级：未说明应用场景。</w:t>
      </w:r>
    </w:p>
    <w:p w14:paraId="1A205ADE" w14:textId="77777777" w:rsidR="00564588" w:rsidRDefault="00000000">
      <w:pPr>
        <w:pStyle w:val="afffffa"/>
        <w:ind w:firstLineChars="0" w:firstLine="0"/>
      </w:pPr>
      <w:r>
        <w:rPr>
          <w:rFonts w:hAnsi="宋体" w:hint="eastAsia"/>
        </w:rPr>
        <w:t>6.3.2 核心属性完备度</w:t>
      </w:r>
    </w:p>
    <w:p w14:paraId="664AAD0B" w14:textId="77777777" w:rsidR="00564588" w:rsidRDefault="00000000">
      <w:pPr>
        <w:pStyle w:val="afffffa"/>
        <w:ind w:firstLine="420"/>
      </w:pPr>
      <w:r>
        <w:rPr>
          <w:rFonts w:hAnsi="宋体" w:hint="eastAsia"/>
        </w:rPr>
        <w:t>应依据国际指南建立核心参数集，并随标准更新动态调整。</w:t>
      </w:r>
    </w:p>
    <w:p w14:paraId="59DD7A40" w14:textId="77777777" w:rsidR="00564588" w:rsidRDefault="00000000">
      <w:pPr>
        <w:pStyle w:val="afffffa"/>
        <w:ind w:firstLine="420"/>
      </w:pPr>
      <w:r>
        <w:rPr>
          <w:rFonts w:hAnsi="宋体" w:hint="eastAsia"/>
        </w:rPr>
        <w:t>5级：全部场景核心参数完整，并同步更新。</w:t>
      </w:r>
    </w:p>
    <w:p w14:paraId="20A7E1BD" w14:textId="77777777" w:rsidR="00564588" w:rsidRDefault="00000000">
      <w:pPr>
        <w:pStyle w:val="afffffa"/>
        <w:ind w:firstLine="420"/>
      </w:pPr>
      <w:r>
        <w:rPr>
          <w:rFonts w:hAnsi="宋体" w:hint="eastAsia"/>
        </w:rPr>
        <w:t>4级：单场景缺少≤1项核心参数。</w:t>
      </w:r>
    </w:p>
    <w:p w14:paraId="638BC622" w14:textId="77777777" w:rsidR="00564588" w:rsidRDefault="00000000">
      <w:pPr>
        <w:pStyle w:val="afffffa"/>
        <w:ind w:firstLine="420"/>
      </w:pPr>
      <w:r>
        <w:rPr>
          <w:rFonts w:hAnsi="宋体" w:hint="eastAsia"/>
        </w:rPr>
        <w:t>3级：单场景缺少≤2项核心参数。</w:t>
      </w:r>
    </w:p>
    <w:p w14:paraId="043CE238" w14:textId="77777777" w:rsidR="00564588" w:rsidRDefault="00000000">
      <w:pPr>
        <w:pStyle w:val="afffffa"/>
        <w:ind w:firstLine="420"/>
      </w:pPr>
      <w:r>
        <w:rPr>
          <w:rFonts w:hAnsi="宋体" w:hint="eastAsia"/>
        </w:rPr>
        <w:t>2级：单场景缺少≥3项核心参数。</w:t>
      </w:r>
    </w:p>
    <w:p w14:paraId="2EBF25FB" w14:textId="77777777" w:rsidR="00564588" w:rsidRDefault="00000000">
      <w:pPr>
        <w:pStyle w:val="afffffa"/>
        <w:ind w:firstLine="420"/>
      </w:pPr>
      <w:r>
        <w:rPr>
          <w:rFonts w:hAnsi="宋体" w:hint="eastAsia"/>
        </w:rPr>
        <w:t>1级：未建立核心参数集。</w:t>
      </w:r>
    </w:p>
    <w:p w14:paraId="7620EB64" w14:textId="77777777" w:rsidR="00564588" w:rsidRDefault="00000000">
      <w:pPr>
        <w:pStyle w:val="afffffa"/>
        <w:ind w:firstLineChars="0" w:firstLine="0"/>
      </w:pPr>
      <w:r>
        <w:rPr>
          <w:rFonts w:hAnsi="宋体" w:hint="eastAsia"/>
        </w:rPr>
        <w:t>6.3.3 时空有效性</w:t>
      </w:r>
    </w:p>
    <w:p w14:paraId="67F35A08" w14:textId="77777777" w:rsidR="00564588" w:rsidRDefault="00000000">
      <w:pPr>
        <w:pStyle w:val="afffffa"/>
        <w:ind w:firstLine="420"/>
      </w:pPr>
      <w:r>
        <w:rPr>
          <w:rFonts w:hAnsi="宋体" w:hint="eastAsia"/>
        </w:rPr>
        <w:t>数据应具有时效性和地域适用性。</w:t>
      </w:r>
    </w:p>
    <w:p w14:paraId="7DD1C4BC" w14:textId="77777777" w:rsidR="00564588" w:rsidRDefault="00000000">
      <w:pPr>
        <w:pStyle w:val="afffffa"/>
        <w:ind w:firstLine="420"/>
      </w:pPr>
      <w:r>
        <w:rPr>
          <w:rFonts w:hAnsi="宋体" w:hint="eastAsia"/>
        </w:rPr>
        <w:t>5级：更新≤3年，超限比例≤5%，地域覆盖充分。</w:t>
      </w:r>
    </w:p>
    <w:p w14:paraId="73756CB6" w14:textId="77777777" w:rsidR="00564588" w:rsidRDefault="00000000">
      <w:pPr>
        <w:pStyle w:val="afffffa"/>
        <w:ind w:firstLine="420"/>
      </w:pPr>
      <w:r>
        <w:rPr>
          <w:rFonts w:hAnsi="宋体" w:hint="eastAsia"/>
        </w:rPr>
        <w:t>4级：更新≤5年，超限≤10%。</w:t>
      </w:r>
    </w:p>
    <w:p w14:paraId="7AD86B3D" w14:textId="77777777" w:rsidR="00564588" w:rsidRDefault="00000000">
      <w:pPr>
        <w:pStyle w:val="afffffa"/>
        <w:ind w:firstLine="420"/>
      </w:pPr>
      <w:r>
        <w:rPr>
          <w:rFonts w:hAnsi="宋体" w:hint="eastAsia"/>
        </w:rPr>
        <w:t>3级：更新≤7年，超限≤20%。</w:t>
      </w:r>
    </w:p>
    <w:p w14:paraId="5B96FD5E" w14:textId="77777777" w:rsidR="00564588" w:rsidRDefault="00000000">
      <w:pPr>
        <w:pStyle w:val="afffffa"/>
        <w:ind w:firstLine="420"/>
      </w:pPr>
      <w:r>
        <w:rPr>
          <w:rFonts w:hAnsi="宋体" w:hint="eastAsia"/>
        </w:rPr>
        <w:t>2级：更新≤10年，超限≤30%。</w:t>
      </w:r>
    </w:p>
    <w:p w14:paraId="4A82E2E1" w14:textId="77777777" w:rsidR="00564588" w:rsidRDefault="00000000">
      <w:pPr>
        <w:pStyle w:val="afffffa"/>
        <w:ind w:firstLine="420"/>
      </w:pPr>
      <w:r>
        <w:rPr>
          <w:rFonts w:hAnsi="宋体" w:hint="eastAsia"/>
        </w:rPr>
        <w:t>1级：普遍过期或失配严重。</w:t>
      </w:r>
    </w:p>
    <w:p w14:paraId="1A46A283" w14:textId="77777777" w:rsidR="00564588" w:rsidRDefault="00000000">
      <w:pPr>
        <w:pStyle w:val="afffffa"/>
        <w:ind w:firstLineChars="0" w:firstLine="0"/>
      </w:pPr>
      <w:r>
        <w:rPr>
          <w:rFonts w:hAnsi="宋体" w:hint="eastAsia"/>
        </w:rPr>
        <w:t>6.3.4 相关性综合判定</w:t>
      </w:r>
    </w:p>
    <w:p w14:paraId="22D54E17" w14:textId="77777777" w:rsidR="00564588" w:rsidRDefault="00000000">
      <w:pPr>
        <w:pStyle w:val="afffffa"/>
        <w:ind w:firstLine="420"/>
      </w:pPr>
      <w:r>
        <w:rPr>
          <w:rFonts w:hAnsi="宋体" w:hint="eastAsia"/>
        </w:rPr>
        <w:t>相关性综合得分</w:t>
      </w:r>
      <w:r>
        <w:rPr>
          <w:rFonts w:hint="eastAsia"/>
        </w:rPr>
        <w:t xml:space="preserve"> </w:t>
      </w:r>
      <w:r>
        <w:rPr>
          <w:rFonts w:hAnsi="宋体" w:hint="eastAsia"/>
        </w:rPr>
        <w:t>= 0.30×（6.3.1）+0.50×（6.3.2）+0.20×（6.3.3）。</w:t>
      </w:r>
    </w:p>
    <w:p w14:paraId="6C217B4E" w14:textId="77777777" w:rsidR="00564588" w:rsidRDefault="00000000">
      <w:pPr>
        <w:pStyle w:val="afffffa"/>
        <w:ind w:firstLine="420"/>
      </w:pPr>
      <w:r>
        <w:rPr>
          <w:rFonts w:hint="eastAsia"/>
        </w:rPr>
        <w:t>等级—分值换算：</w:t>
      </w:r>
    </w:p>
    <w:p w14:paraId="5B844CF4" w14:textId="77777777" w:rsidR="00564588" w:rsidRDefault="00000000">
      <w:pPr>
        <w:pStyle w:val="afffffa"/>
        <w:ind w:firstLine="420"/>
      </w:pPr>
      <w:r>
        <w:rPr>
          <w:rFonts w:hint="eastAsia"/>
        </w:rPr>
        <w:t>5级 = 90～100 分</w:t>
      </w:r>
    </w:p>
    <w:p w14:paraId="7D8922F3" w14:textId="77777777" w:rsidR="00564588" w:rsidRDefault="00000000">
      <w:pPr>
        <w:pStyle w:val="afffffa"/>
        <w:ind w:firstLine="420"/>
      </w:pPr>
      <w:r>
        <w:rPr>
          <w:rFonts w:hint="eastAsia"/>
        </w:rPr>
        <w:t>4级 = 80～89 分</w:t>
      </w:r>
    </w:p>
    <w:p w14:paraId="110EBD37" w14:textId="77777777" w:rsidR="00564588" w:rsidRDefault="00000000">
      <w:pPr>
        <w:pStyle w:val="afffffa"/>
        <w:ind w:firstLine="420"/>
      </w:pPr>
      <w:r>
        <w:rPr>
          <w:rFonts w:hint="eastAsia"/>
        </w:rPr>
        <w:t>3级 = 60～79 分</w:t>
      </w:r>
    </w:p>
    <w:p w14:paraId="7D7DA10C" w14:textId="77777777" w:rsidR="00564588" w:rsidRDefault="00000000">
      <w:pPr>
        <w:pStyle w:val="afffffa"/>
        <w:ind w:firstLine="420"/>
      </w:pPr>
      <w:r>
        <w:rPr>
          <w:rFonts w:hint="eastAsia"/>
        </w:rPr>
        <w:t>2级 = 40～59 分</w:t>
      </w:r>
    </w:p>
    <w:p w14:paraId="579840CB" w14:textId="77777777" w:rsidR="00564588" w:rsidRDefault="00000000">
      <w:pPr>
        <w:pStyle w:val="afffffa"/>
        <w:ind w:firstLine="420"/>
      </w:pPr>
      <w:r>
        <w:rPr>
          <w:rFonts w:hint="eastAsia"/>
        </w:rPr>
        <w:t>1级 ＜ 40 分</w:t>
      </w:r>
    </w:p>
    <w:p w14:paraId="06FA9A45" w14:textId="77777777" w:rsidR="00564588" w:rsidRDefault="00000000">
      <w:pPr>
        <w:pStyle w:val="afffffa"/>
        <w:ind w:firstLine="420"/>
      </w:pPr>
      <w:r>
        <w:rPr>
          <w:rFonts w:hint="eastAsia"/>
        </w:rPr>
        <w:t>单项评分：各三级条目的 1～5 级换算为百分制分值。</w:t>
      </w:r>
    </w:p>
    <w:p w14:paraId="56FCF978" w14:textId="77777777" w:rsidR="00564588" w:rsidRDefault="00000000">
      <w:pPr>
        <w:pStyle w:val="afffffa"/>
        <w:ind w:firstLine="420"/>
      </w:pPr>
      <w:r>
        <w:rPr>
          <w:rFonts w:hint="eastAsia"/>
        </w:rPr>
        <w:t>维度综合评分：按 6.1.5、6.2.4、6.3.4 的加权公式计算。</w:t>
      </w:r>
    </w:p>
    <w:p w14:paraId="41FB5778" w14:textId="77777777" w:rsidR="00564588" w:rsidRDefault="00000000">
      <w:pPr>
        <w:pStyle w:val="afffffa"/>
        <w:ind w:firstLine="420"/>
      </w:pPr>
      <w:r>
        <w:rPr>
          <w:rFonts w:hint="eastAsia"/>
        </w:rPr>
        <w:t>总体评价：各维度得分可按应用需求设定权重（推荐：严格性 0.30、准确性 0.40、相关性 0.30），加权求和并换算为最终等级。</w:t>
      </w:r>
    </w:p>
    <w:p w14:paraId="62577F7E" w14:textId="77777777" w:rsidR="00564588" w:rsidRDefault="00000000">
      <w:pPr>
        <w:pStyle w:val="affd"/>
        <w:numPr>
          <w:ilvl w:val="2"/>
          <w:numId w:val="0"/>
        </w:numPr>
        <w:spacing w:before="120" w:after="120"/>
      </w:pPr>
      <w:bookmarkStart w:id="90" w:name="_Toc2620"/>
      <w:r>
        <w:rPr>
          <w:rFonts w:hint="eastAsia"/>
        </w:rPr>
        <w:t>6.4 指标计算方法</w:t>
      </w:r>
      <w:bookmarkEnd w:id="90"/>
    </w:p>
    <w:p w14:paraId="51C2EA00"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1" w:name="_Toc28784"/>
      <w:r>
        <w:rPr>
          <w:rFonts w:ascii="宋体" w:eastAsia="宋体" w:hAnsi="宋体" w:hint="eastAsia"/>
          <w:sz w:val="21"/>
          <w:szCs w:val="21"/>
        </w:rPr>
        <w:t>6.4.1 缺失率</w:t>
      </w:r>
      <w:bookmarkEnd w:id="91"/>
    </w:p>
    <w:p w14:paraId="3D97EB0D" w14:textId="77777777" w:rsidR="00564588" w:rsidRDefault="00000000">
      <w:pPr>
        <w:pStyle w:val="afffffa"/>
        <w:ind w:firstLine="420"/>
      </w:pPr>
      <w:r>
        <w:rPr>
          <w:rFonts w:hint="eastAsia"/>
        </w:rPr>
        <w:t>缺失率(%) = 缺失条目数 / 总记录条目数 × 100</w:t>
      </w:r>
    </w:p>
    <w:p w14:paraId="08211E87"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2" w:name="_Toc10938"/>
      <w:r>
        <w:rPr>
          <w:rFonts w:ascii="宋体" w:eastAsia="宋体" w:hAnsi="宋体" w:hint="eastAsia"/>
          <w:sz w:val="21"/>
          <w:szCs w:val="21"/>
        </w:rPr>
        <w:t>6.4.2 覆盖率</w:t>
      </w:r>
      <w:bookmarkEnd w:id="92"/>
    </w:p>
    <w:p w14:paraId="799CDB7C" w14:textId="77777777" w:rsidR="00564588" w:rsidRDefault="00000000">
      <w:pPr>
        <w:pStyle w:val="afffffa"/>
        <w:ind w:firstLine="420"/>
      </w:pPr>
      <w:r>
        <w:rPr>
          <w:rFonts w:hint="eastAsia"/>
        </w:rPr>
        <w:t>覆盖率(%) = 已提供条目数 / 应提供条目数 × 100</w:t>
      </w:r>
    </w:p>
    <w:p w14:paraId="119D17F7"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3" w:name="_Toc13725"/>
      <w:r>
        <w:rPr>
          <w:rFonts w:ascii="宋体" w:eastAsia="宋体" w:hAnsi="宋体" w:hint="eastAsia"/>
          <w:sz w:val="21"/>
          <w:szCs w:val="21"/>
        </w:rPr>
        <w:t>6.4.3 采纳率</w:t>
      </w:r>
      <w:bookmarkEnd w:id="93"/>
    </w:p>
    <w:p w14:paraId="52AD1235" w14:textId="77777777" w:rsidR="00564588" w:rsidRDefault="00000000">
      <w:pPr>
        <w:pStyle w:val="afffffa"/>
        <w:ind w:firstLine="420"/>
      </w:pPr>
      <w:r>
        <w:rPr>
          <w:rFonts w:hint="eastAsia"/>
        </w:rPr>
        <w:t>采纳率(%) = 采纳条目数 / 总数据条目数 × 100</w:t>
      </w:r>
    </w:p>
    <w:p w14:paraId="54A04CED" w14:textId="77777777" w:rsidR="00564588" w:rsidRDefault="00000000">
      <w:pPr>
        <w:pStyle w:val="afffffa"/>
        <w:ind w:firstLine="420"/>
      </w:pPr>
      <w:r>
        <w:rPr>
          <w:rFonts w:hint="eastAsia"/>
        </w:rPr>
        <w:t>其中，采纳条目数为被 WHO、IARC、EPA 等权威机构采纳或引用的数据条目数。</w:t>
      </w:r>
    </w:p>
    <w:p w14:paraId="24B3F97D"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4" w:name="_Toc9828"/>
      <w:r>
        <w:rPr>
          <w:rFonts w:ascii="宋体" w:eastAsia="宋体" w:hAnsi="宋体" w:hint="eastAsia"/>
          <w:sz w:val="21"/>
          <w:szCs w:val="21"/>
        </w:rPr>
        <w:lastRenderedPageBreak/>
        <w:t>6.4.4 一致性差异</w:t>
      </w:r>
      <w:bookmarkEnd w:id="94"/>
    </w:p>
    <w:p w14:paraId="2776FEA3" w14:textId="77777777" w:rsidR="00564588" w:rsidRDefault="00000000">
      <w:pPr>
        <w:pStyle w:val="afffffa"/>
        <w:ind w:firstLine="420"/>
      </w:pPr>
      <w:r>
        <w:rPr>
          <w:rFonts w:hint="eastAsia"/>
        </w:rPr>
        <w:t>数值型参数：相对偏差(%) = |记录的数值 – 权威来源对应的数值| / 权威来源对应的数值 × 100</w:t>
      </w:r>
    </w:p>
    <w:p w14:paraId="1B137EF8" w14:textId="77777777" w:rsidR="00564588" w:rsidRDefault="00000000">
      <w:pPr>
        <w:pStyle w:val="afffffa"/>
        <w:ind w:firstLine="420"/>
      </w:pPr>
      <w:r>
        <w:rPr>
          <w:rFonts w:hint="eastAsia"/>
        </w:rPr>
        <w:t>分类参数：以一致/不一致计。</w:t>
      </w:r>
    </w:p>
    <w:p w14:paraId="55FABC12"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5" w:name="_Toc9132"/>
      <w:r>
        <w:rPr>
          <w:rFonts w:ascii="宋体" w:eastAsia="宋体" w:hAnsi="宋体" w:hint="eastAsia"/>
          <w:sz w:val="21"/>
          <w:szCs w:val="21"/>
        </w:rPr>
        <w:t>6.4.5 更新年限</w:t>
      </w:r>
      <w:bookmarkEnd w:id="95"/>
    </w:p>
    <w:p w14:paraId="0F0DDF6D" w14:textId="77777777" w:rsidR="00564588" w:rsidRDefault="00000000">
      <w:pPr>
        <w:pStyle w:val="afffffa"/>
        <w:ind w:firstLine="420"/>
      </w:pPr>
      <w:r>
        <w:rPr>
          <w:rFonts w:hint="eastAsia"/>
        </w:rPr>
        <w:t>更新年限(年) = (评估日期 - 更新日期) / 365</w:t>
      </w:r>
    </w:p>
    <w:p w14:paraId="224106C1" w14:textId="77777777" w:rsidR="00564588" w:rsidRDefault="00564588">
      <w:pPr>
        <w:pStyle w:val="afffffa"/>
        <w:ind w:firstLine="420"/>
      </w:pPr>
    </w:p>
    <w:p w14:paraId="33ACEFC2" w14:textId="77777777" w:rsidR="00564588" w:rsidRDefault="00564588">
      <w:pPr>
        <w:pStyle w:val="afffffa"/>
        <w:ind w:firstLine="420"/>
      </w:pPr>
    </w:p>
    <w:p w14:paraId="0C76B08F" w14:textId="77777777" w:rsidR="00564588" w:rsidRDefault="00000000">
      <w:pPr>
        <w:pStyle w:val="affc"/>
        <w:numPr>
          <w:ilvl w:val="1"/>
          <w:numId w:val="0"/>
        </w:numPr>
        <w:spacing w:before="240" w:after="240"/>
        <w:rPr>
          <w:b/>
        </w:rPr>
      </w:pPr>
      <w:bookmarkStart w:id="96" w:name="_Toc28967"/>
      <w:r>
        <w:rPr>
          <w:rFonts w:hint="eastAsia"/>
        </w:rPr>
        <w:t>7 生命健康领域危害物质标准参考数据评估流程</w:t>
      </w:r>
      <w:bookmarkEnd w:id="96"/>
    </w:p>
    <w:p w14:paraId="40601193" w14:textId="77777777" w:rsidR="00564588" w:rsidRDefault="00000000">
      <w:pPr>
        <w:pStyle w:val="affd"/>
        <w:numPr>
          <w:ilvl w:val="2"/>
          <w:numId w:val="0"/>
        </w:numPr>
        <w:spacing w:before="120" w:after="120"/>
      </w:pPr>
      <w:bookmarkStart w:id="97" w:name="_Toc23599"/>
      <w:r>
        <w:rPr>
          <w:rFonts w:hint="eastAsia"/>
        </w:rPr>
        <w:t>7.1 具体评估流程</w:t>
      </w:r>
      <w:bookmarkEnd w:id="97"/>
    </w:p>
    <w:p w14:paraId="408F1403" w14:textId="77777777" w:rsidR="00564588" w:rsidRDefault="00000000">
      <w:pPr>
        <w:pStyle w:val="afffffa"/>
        <w:spacing w:line="360" w:lineRule="auto"/>
        <w:ind w:firstLine="420"/>
      </w:pPr>
      <w:r>
        <w:rPr>
          <w:rFonts w:hint="eastAsia"/>
        </w:rPr>
        <w:t>首先由申请人向标准参考数据评审机构提交相关资料，申请资料清单可参考附录B附表1，形式审查员收到申请人提交的资料后，首先进行受理该申请并进行形式审查，形式审查不通过将无法进行下一步评审。形式审查通过后将由形式审查员依据申请数据所属专业领域分配到技术委员会中的生命健康安全领域相关专业组，由专业组专家进行技术专家评审，评审内容包括严格评价、准确性验证、相关性评审、数字数据评审等内容，通过评审后生成评审报告并进行评审资料备案，通过后的备案资料将提交指导委员会进行评审，指导委员会将验证技术委员会提交的评审资料，并对申请数据的严格评价、准确性验证、相关性、数字数据等再次进行评审和核验，通过指导委员会评审后的数据将提交到标准参考数据评审机构，由标准参考数据评审机构批准后认证为正式的生命健康领域危害物质标准参考数据。如图1所示。</w:t>
      </w:r>
    </w:p>
    <w:p w14:paraId="4BFF883D" w14:textId="77777777" w:rsidR="00564588" w:rsidRDefault="00000000">
      <w:pPr>
        <w:pStyle w:val="afffffa"/>
        <w:spacing w:line="360" w:lineRule="auto"/>
        <w:ind w:firstLineChars="0" w:firstLine="0"/>
        <w:jc w:val="center"/>
      </w:pPr>
      <w:r>
        <w:rPr>
          <w:rFonts w:hint="eastAsia"/>
          <w:noProof/>
        </w:rPr>
        <w:drawing>
          <wp:inline distT="0" distB="0" distL="0" distR="0" wp14:anchorId="3D322EE1" wp14:editId="493D4DCC">
            <wp:extent cx="4841240" cy="3330575"/>
            <wp:effectExtent l="0" t="0" r="5080" b="6985"/>
            <wp:docPr id="20791904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9045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41240" cy="3330575"/>
                    </a:xfrm>
                    <a:prstGeom prst="rect">
                      <a:avLst/>
                    </a:prstGeom>
                    <a:noFill/>
                    <a:ln>
                      <a:noFill/>
                    </a:ln>
                  </pic:spPr>
                </pic:pic>
              </a:graphicData>
            </a:graphic>
          </wp:inline>
        </w:drawing>
      </w:r>
    </w:p>
    <w:p w14:paraId="251A5B23" w14:textId="77777777" w:rsidR="00564588" w:rsidRDefault="00000000">
      <w:pPr>
        <w:pStyle w:val="afffffa"/>
        <w:spacing w:line="360" w:lineRule="auto"/>
        <w:ind w:firstLineChars="0" w:firstLine="0"/>
        <w:jc w:val="center"/>
      </w:pPr>
      <w:r>
        <w:rPr>
          <w:rFonts w:hint="eastAsia"/>
        </w:rPr>
        <w:t>图1 生命健康领域危害物标准参考数据评审流程图</w:t>
      </w:r>
    </w:p>
    <w:p w14:paraId="7F27126C" w14:textId="77777777" w:rsidR="00564588" w:rsidRDefault="00000000">
      <w:pPr>
        <w:pStyle w:val="afffffa"/>
        <w:spacing w:line="360" w:lineRule="auto"/>
        <w:ind w:firstLine="420"/>
      </w:pPr>
      <w:r>
        <w:rPr>
          <w:rFonts w:hint="eastAsia"/>
        </w:rPr>
        <w:t xml:space="preserve"> </w:t>
      </w:r>
    </w:p>
    <w:p w14:paraId="18FAA8BB"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8" w:name="_Toc30299"/>
      <w:r>
        <w:rPr>
          <w:rFonts w:ascii="宋体" w:eastAsia="宋体" w:hAnsi="宋体" w:hint="eastAsia"/>
          <w:sz w:val="21"/>
          <w:szCs w:val="21"/>
        </w:rPr>
        <w:lastRenderedPageBreak/>
        <w:t>7.1.2 形式审查员评审流程</w:t>
      </w:r>
      <w:bookmarkEnd w:id="98"/>
    </w:p>
    <w:p w14:paraId="6327CC32" w14:textId="77777777" w:rsidR="00564588" w:rsidRDefault="00000000">
      <w:pPr>
        <w:pStyle w:val="afffffa"/>
        <w:spacing w:line="360" w:lineRule="auto"/>
        <w:ind w:firstLine="420"/>
      </w:pPr>
      <w:r>
        <w:rPr>
          <w:rFonts w:hint="eastAsia"/>
        </w:rPr>
        <w:t>形式审查员进行资料受理与数据清单审查流程如图 2 所示。审查清单包括：数据来源鉴别、数据类型、数据有效性、数据格式、可读性、证明文件资料、数据标识、数据文档资料、数据分类等，审查资料清单详细内容见附录B中表2《形式审查清单》。形式审查员收到申请人提交的资料后，首先受理该申请并进行形式审查，通过后将由形式审查员依据申请数 据所属专业领域分配到技术委员会中的对应专业组，如质谱专业组、化学专业组、色谱专业组等，由专业组专家进行评审。</w:t>
      </w:r>
    </w:p>
    <w:p w14:paraId="08D19832" w14:textId="77777777" w:rsidR="00564588" w:rsidRDefault="00000000">
      <w:pPr>
        <w:pStyle w:val="afffffa"/>
        <w:spacing w:line="360" w:lineRule="auto"/>
        <w:ind w:firstLineChars="0" w:firstLine="0"/>
        <w:jc w:val="center"/>
      </w:pPr>
      <w:r>
        <w:rPr>
          <w:rFonts w:hint="eastAsia"/>
          <w:noProof/>
        </w:rPr>
        <w:drawing>
          <wp:inline distT="0" distB="0" distL="0" distR="0" wp14:anchorId="4FDE5FB4" wp14:editId="210A5901">
            <wp:extent cx="3946525" cy="2593340"/>
            <wp:effectExtent l="0" t="0" r="635" b="12700"/>
            <wp:docPr id="21357874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87439"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46525" cy="2593340"/>
                    </a:xfrm>
                    <a:prstGeom prst="rect">
                      <a:avLst/>
                    </a:prstGeom>
                    <a:noFill/>
                    <a:ln>
                      <a:noFill/>
                    </a:ln>
                  </pic:spPr>
                </pic:pic>
              </a:graphicData>
            </a:graphic>
          </wp:inline>
        </w:drawing>
      </w:r>
    </w:p>
    <w:p w14:paraId="6BC87D92" w14:textId="77777777" w:rsidR="00564588" w:rsidRDefault="00000000">
      <w:pPr>
        <w:pStyle w:val="afffffa"/>
        <w:spacing w:line="360" w:lineRule="auto"/>
        <w:ind w:firstLineChars="0" w:firstLine="0"/>
        <w:jc w:val="center"/>
      </w:pPr>
      <w:r>
        <w:rPr>
          <w:rFonts w:hint="eastAsia"/>
        </w:rPr>
        <w:t>图2 形式审查员审查流程</w:t>
      </w:r>
    </w:p>
    <w:p w14:paraId="058627DA"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99" w:name="_Toc21758"/>
      <w:r>
        <w:rPr>
          <w:rFonts w:ascii="宋体" w:eastAsia="宋体" w:hAnsi="宋体" w:hint="eastAsia"/>
          <w:sz w:val="21"/>
          <w:szCs w:val="21"/>
        </w:rPr>
        <w:t>7.1.3 技术委员会评审流程</w:t>
      </w:r>
      <w:bookmarkEnd w:id="99"/>
    </w:p>
    <w:p w14:paraId="06B3998F" w14:textId="77777777" w:rsidR="00564588" w:rsidRDefault="00000000">
      <w:pPr>
        <w:pStyle w:val="afffffa"/>
        <w:spacing w:line="360" w:lineRule="auto"/>
        <w:ind w:firstLine="420"/>
      </w:pPr>
      <w:r>
        <w:rPr>
          <w:rFonts w:hint="eastAsia"/>
        </w:rPr>
        <w:t>技术委员会评审流程如图 3 所示，由对应专业组专家进行技术专家评审，评审内容包括严格评价、准确性验证、相关性评审、 数字数据评审等内容，评审内容详细列表查看附录B中表2：技 术委员会评审检查清单，通过评审后生成评审报告并进行评审资料备案，通过后的备案资料将提交指导委员会。</w:t>
      </w:r>
    </w:p>
    <w:p w14:paraId="3316C1BE" w14:textId="77777777" w:rsidR="00564588" w:rsidRDefault="00000000">
      <w:pPr>
        <w:pStyle w:val="afffffa"/>
        <w:spacing w:line="360" w:lineRule="auto"/>
        <w:ind w:firstLineChars="0" w:firstLine="0"/>
        <w:jc w:val="center"/>
      </w:pPr>
      <w:r>
        <w:rPr>
          <w:rFonts w:hint="eastAsia"/>
          <w:noProof/>
        </w:rPr>
        <w:drawing>
          <wp:inline distT="0" distB="0" distL="0" distR="0" wp14:anchorId="25054253" wp14:editId="55CE1E27">
            <wp:extent cx="4665980" cy="2632075"/>
            <wp:effectExtent l="0" t="0" r="12700" b="4445"/>
            <wp:docPr id="12665363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36369"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5980" cy="2632075"/>
                    </a:xfrm>
                    <a:prstGeom prst="rect">
                      <a:avLst/>
                    </a:prstGeom>
                    <a:noFill/>
                    <a:ln>
                      <a:noFill/>
                    </a:ln>
                  </pic:spPr>
                </pic:pic>
              </a:graphicData>
            </a:graphic>
          </wp:inline>
        </w:drawing>
      </w:r>
    </w:p>
    <w:p w14:paraId="0B1351BF" w14:textId="77777777" w:rsidR="00564588" w:rsidRDefault="00000000">
      <w:pPr>
        <w:pStyle w:val="afffffa"/>
        <w:spacing w:line="360" w:lineRule="auto"/>
        <w:ind w:firstLineChars="0" w:firstLine="0"/>
        <w:jc w:val="center"/>
      </w:pPr>
      <w:r>
        <w:rPr>
          <w:rFonts w:hint="eastAsia"/>
        </w:rPr>
        <w:t>图3 技术委员会评审流程</w:t>
      </w:r>
    </w:p>
    <w:p w14:paraId="7F33B6F1" w14:textId="77777777" w:rsidR="00564588" w:rsidRDefault="00000000">
      <w:pPr>
        <w:pStyle w:val="affb"/>
        <w:spacing w:before="0" w:after="0" w:line="360" w:lineRule="auto"/>
        <w:ind w:firstLineChars="200" w:firstLine="420"/>
        <w:jc w:val="both"/>
        <w:rPr>
          <w:rFonts w:ascii="宋体" w:eastAsia="宋体" w:hAnsi="宋体" w:hint="eastAsia"/>
          <w:sz w:val="21"/>
          <w:szCs w:val="21"/>
        </w:rPr>
      </w:pPr>
      <w:bookmarkStart w:id="100" w:name="_Toc13521"/>
      <w:r>
        <w:rPr>
          <w:rFonts w:ascii="宋体" w:eastAsia="宋体" w:hAnsi="宋体" w:hint="eastAsia"/>
          <w:sz w:val="21"/>
          <w:szCs w:val="21"/>
        </w:rPr>
        <w:lastRenderedPageBreak/>
        <w:t>7.1.4 指导委员会评审流程</w:t>
      </w:r>
      <w:bookmarkEnd w:id="100"/>
    </w:p>
    <w:p w14:paraId="7DFE4258" w14:textId="77777777" w:rsidR="00564588" w:rsidRDefault="00000000">
      <w:pPr>
        <w:pStyle w:val="afffffa"/>
        <w:spacing w:line="360" w:lineRule="auto"/>
        <w:ind w:firstLine="420"/>
      </w:pPr>
      <w:r>
        <w:rPr>
          <w:rFonts w:hint="eastAsia"/>
        </w:rPr>
        <w:t xml:space="preserve">指导委员会评审流程按图4 所示，由指导委员会验证技术委员会提交的评审资料，并依据附录B附表2对申请数据的严格评价、准确性验证、相关性、数字数据等再次进行评审和核验，通过指导委员会评审后的数据将提交到标准参考数据评审机构，由标准参考数据评审机构批准后认证为标准参考数据。 </w:t>
      </w:r>
    </w:p>
    <w:p w14:paraId="1E44217B" w14:textId="77777777" w:rsidR="00564588" w:rsidRDefault="00000000">
      <w:pPr>
        <w:pStyle w:val="afffffa"/>
        <w:spacing w:line="360" w:lineRule="auto"/>
        <w:ind w:firstLineChars="0" w:firstLine="0"/>
        <w:jc w:val="center"/>
      </w:pPr>
      <w:r>
        <w:rPr>
          <w:rFonts w:hint="eastAsia"/>
          <w:noProof/>
        </w:rPr>
        <w:drawing>
          <wp:inline distT="0" distB="0" distL="0" distR="0" wp14:anchorId="5F679A41" wp14:editId="24959285">
            <wp:extent cx="4402455" cy="2801620"/>
            <wp:effectExtent l="0" t="0" r="1905" b="2540"/>
            <wp:docPr id="14916806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8069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02455" cy="2801620"/>
                    </a:xfrm>
                    <a:prstGeom prst="rect">
                      <a:avLst/>
                    </a:prstGeom>
                    <a:noFill/>
                    <a:ln>
                      <a:noFill/>
                    </a:ln>
                  </pic:spPr>
                </pic:pic>
              </a:graphicData>
            </a:graphic>
          </wp:inline>
        </w:drawing>
      </w:r>
    </w:p>
    <w:p w14:paraId="36C53ABC" w14:textId="77777777" w:rsidR="00564588" w:rsidRDefault="00000000">
      <w:pPr>
        <w:pStyle w:val="afffffa"/>
        <w:spacing w:line="360" w:lineRule="auto"/>
        <w:ind w:firstLineChars="0" w:firstLine="0"/>
        <w:jc w:val="center"/>
      </w:pPr>
      <w:r>
        <w:rPr>
          <w:rFonts w:hint="eastAsia"/>
        </w:rPr>
        <w:t>图4 指导委员会评审流程</w:t>
      </w:r>
    </w:p>
    <w:p w14:paraId="476B09F9" w14:textId="77777777" w:rsidR="00564588" w:rsidRDefault="00564588">
      <w:pPr>
        <w:pStyle w:val="afffffa"/>
        <w:ind w:firstLine="420"/>
        <w:rPr>
          <w:rFonts w:asciiTheme="minorEastAsia" w:eastAsiaTheme="minorEastAsia" w:hAnsiTheme="minorEastAsia" w:hint="eastAsia"/>
          <w:szCs w:val="21"/>
        </w:rPr>
      </w:pPr>
    </w:p>
    <w:p w14:paraId="706A80D4" w14:textId="77777777" w:rsidR="00564588" w:rsidRDefault="00000000">
      <w:pPr>
        <w:pStyle w:val="affd"/>
        <w:numPr>
          <w:ilvl w:val="1"/>
          <w:numId w:val="32"/>
        </w:numPr>
        <w:spacing w:before="120" w:after="120"/>
      </w:pPr>
      <w:r>
        <w:rPr>
          <w:rFonts w:hint="eastAsia"/>
        </w:rPr>
        <w:t xml:space="preserve"> </w:t>
      </w:r>
      <w:bookmarkStart w:id="101" w:name="_Toc22679"/>
      <w:r>
        <w:rPr>
          <w:rFonts w:hint="eastAsia"/>
        </w:rPr>
        <w:t>评估流程组织</w:t>
      </w:r>
      <w:bookmarkEnd w:id="101"/>
    </w:p>
    <w:p w14:paraId="40DD2A05" w14:textId="77777777" w:rsidR="00564588" w:rsidRDefault="00000000">
      <w:pPr>
        <w:pStyle w:val="afffffa"/>
        <w:spacing w:line="360" w:lineRule="auto"/>
        <w:ind w:firstLine="420"/>
      </w:pPr>
      <w:r>
        <w:rPr>
          <w:rFonts w:hint="eastAsia"/>
        </w:rPr>
        <w:t xml:space="preserve">评估流程由标准参考数据评审机构统一组织标准参考数据的评审。评审流程中各环节评审结果的判定原则： </w:t>
      </w:r>
    </w:p>
    <w:p w14:paraId="7FA1D5F5" w14:textId="77777777" w:rsidR="00564588" w:rsidRDefault="00000000">
      <w:pPr>
        <w:pStyle w:val="afffffa"/>
        <w:spacing w:line="360" w:lineRule="auto"/>
        <w:ind w:firstLine="420"/>
      </w:pPr>
      <w:r>
        <w:rPr>
          <w:rFonts w:hint="eastAsia"/>
        </w:rPr>
        <w:t>1)标准参考数据来源鉴别不做是否通过判定，只认定来源是否有效；</w:t>
      </w:r>
    </w:p>
    <w:p w14:paraId="7E9A1787" w14:textId="77777777" w:rsidR="00564588" w:rsidRDefault="00000000">
      <w:pPr>
        <w:pStyle w:val="afffffa"/>
        <w:spacing w:line="360" w:lineRule="auto"/>
        <w:ind w:firstLine="420"/>
      </w:pPr>
      <w:r>
        <w:rPr>
          <w:rFonts w:hint="eastAsia"/>
        </w:rPr>
        <w:t xml:space="preserve">2)溯源性符合溯源、期间核查其一即可 </w:t>
      </w:r>
    </w:p>
    <w:p w14:paraId="78859C3D" w14:textId="77777777" w:rsidR="00564588" w:rsidRDefault="00000000">
      <w:pPr>
        <w:pStyle w:val="afffffa"/>
        <w:spacing w:line="360" w:lineRule="auto"/>
        <w:ind w:firstLine="420"/>
      </w:pPr>
      <w:r>
        <w:rPr>
          <w:rFonts w:hint="eastAsia"/>
        </w:rPr>
        <w:t xml:space="preserve"> 通过评审的数据由标准参考数据评审机构批准成为标准参考数据，并由标准参考数据评审机构制作《标准参考数据证书》，统一规定编号，列入相应的参考数据目录，并注册数字对象唯一标识 符（Digital Object Unique Identifier-DOI）。</w:t>
      </w:r>
    </w:p>
    <w:p w14:paraId="38C7B64A" w14:textId="77777777" w:rsidR="00564588" w:rsidRDefault="00000000">
      <w:pPr>
        <w:pStyle w:val="afffffa"/>
        <w:spacing w:line="360" w:lineRule="auto"/>
        <w:ind w:firstLine="420"/>
      </w:pPr>
      <w:r>
        <w:rPr>
          <w:rFonts w:hint="eastAsia"/>
        </w:rPr>
        <w:t xml:space="preserve"> 标准参考数据证书应标明证书有效期，数据所有者应在到期前的规定时间内申请复查，复查通过更换新有效期的《标准参考数据证书》。标准参考数据发生变化时，数据所有者应申请复查，复查 通过更换新《标准参考数据证书》。</w:t>
      </w:r>
    </w:p>
    <w:p w14:paraId="60A8FE89" w14:textId="77777777" w:rsidR="00564588" w:rsidRDefault="00000000">
      <w:pPr>
        <w:pStyle w:val="affc"/>
        <w:numPr>
          <w:ilvl w:val="0"/>
          <w:numId w:val="0"/>
        </w:numPr>
        <w:spacing w:before="240" w:after="240"/>
      </w:pPr>
      <w:bookmarkStart w:id="102" w:name="_Toc16438"/>
      <w:r>
        <w:rPr>
          <w:rFonts w:hint="eastAsia"/>
        </w:rPr>
        <w:t>8. 生命健康领域危害物标准参考数据评估复查要求</w:t>
      </w:r>
      <w:bookmarkEnd w:id="102"/>
    </w:p>
    <w:p w14:paraId="4E39BCD0" w14:textId="77777777" w:rsidR="00564588" w:rsidRDefault="00000000">
      <w:pPr>
        <w:pStyle w:val="affd"/>
        <w:numPr>
          <w:ilvl w:val="1"/>
          <w:numId w:val="33"/>
        </w:numPr>
        <w:spacing w:before="120" w:after="120" w:line="360" w:lineRule="auto"/>
      </w:pPr>
      <w:r>
        <w:rPr>
          <w:rFonts w:hint="eastAsia"/>
        </w:rPr>
        <w:t xml:space="preserve"> </w:t>
      </w:r>
      <w:bookmarkStart w:id="103" w:name="_Toc31348"/>
      <w:r>
        <w:rPr>
          <w:rFonts w:hint="eastAsia"/>
        </w:rPr>
        <w:t>定期复查</w:t>
      </w:r>
      <w:bookmarkEnd w:id="103"/>
    </w:p>
    <w:p w14:paraId="180D58BF" w14:textId="77777777" w:rsidR="00564588" w:rsidRDefault="00000000">
      <w:pPr>
        <w:pStyle w:val="afffffa"/>
        <w:spacing w:line="360" w:lineRule="auto"/>
        <w:ind w:firstLine="420"/>
        <w:rPr>
          <w:rFonts w:hAnsi="宋体" w:hint="eastAsia"/>
          <w:szCs w:val="21"/>
        </w:rPr>
      </w:pPr>
      <w:r>
        <w:rPr>
          <w:rFonts w:hAnsi="宋体" w:hint="eastAsia"/>
          <w:szCs w:val="21"/>
        </w:rPr>
        <w:lastRenderedPageBreak/>
        <w:t>复查工作由</w:t>
      </w:r>
      <w:r>
        <w:rPr>
          <w:rFonts w:hint="eastAsia"/>
        </w:rPr>
        <w:t>标准参考数据评审机构</w:t>
      </w:r>
      <w:r>
        <w:rPr>
          <w:rFonts w:hAnsi="宋体" w:hint="eastAsia"/>
          <w:szCs w:val="21"/>
        </w:rPr>
        <w:t>统一组织，其流程应遵循本标准第7章“评估流程”的规定，包括形式审查、技术委员会评审、指导委员会评审及管理办公室批准。技术委员会与指导委员会应依据附录中的评审检查清单（参见附录</w:t>
      </w:r>
      <w:bookmarkStart w:id="104" w:name="_Hlk206618678"/>
      <w:r>
        <w:rPr>
          <w:rFonts w:hAnsi="宋体" w:hint="eastAsia"/>
          <w:szCs w:val="21"/>
        </w:rPr>
        <w:t>B附</w:t>
      </w:r>
      <w:bookmarkEnd w:id="104"/>
      <w:r>
        <w:rPr>
          <w:rFonts w:hAnsi="宋体" w:hint="eastAsia"/>
          <w:szCs w:val="21"/>
        </w:rPr>
        <w:t>表1、附表2）对复查数据进行严格评审。</w:t>
      </w:r>
    </w:p>
    <w:p w14:paraId="5312616A" w14:textId="77777777" w:rsidR="00564588" w:rsidRDefault="00000000">
      <w:pPr>
        <w:pStyle w:val="affd"/>
        <w:numPr>
          <w:ilvl w:val="1"/>
          <w:numId w:val="33"/>
        </w:numPr>
        <w:spacing w:before="120" w:after="120" w:line="360" w:lineRule="auto"/>
      </w:pPr>
      <w:r>
        <w:rPr>
          <w:rFonts w:hint="eastAsia"/>
        </w:rPr>
        <w:t xml:space="preserve"> </w:t>
      </w:r>
      <w:bookmarkStart w:id="105" w:name="_Toc31386"/>
      <w:r>
        <w:rPr>
          <w:rFonts w:hint="eastAsia"/>
        </w:rPr>
        <w:t>变化项复查</w:t>
      </w:r>
      <w:bookmarkEnd w:id="105"/>
    </w:p>
    <w:p w14:paraId="03300B09" w14:textId="77777777" w:rsidR="00564588" w:rsidRDefault="00000000">
      <w:pPr>
        <w:pStyle w:val="afffffa"/>
        <w:spacing w:line="360" w:lineRule="auto"/>
        <w:ind w:firstLine="420"/>
      </w:pPr>
      <w:r>
        <w:rPr>
          <w:rFonts w:hint="eastAsia"/>
        </w:rPr>
        <w:t>标准参考数据证书的有效期为2年。数据所有者应于证书有效期届满前规定时间，向标准参考数据管理机构提交复查申请。逾期未申请复查或复查未通过的，其标准参考数据资格自动终止。</w:t>
      </w:r>
    </w:p>
    <w:p w14:paraId="6523FE7B" w14:textId="77777777" w:rsidR="00564588" w:rsidRDefault="00000000">
      <w:pPr>
        <w:pStyle w:val="afffffa"/>
        <w:spacing w:line="360" w:lineRule="auto"/>
        <w:ind w:firstLine="420"/>
      </w:pPr>
      <w:r>
        <w:rPr>
          <w:rFonts w:hint="eastAsia"/>
        </w:rPr>
        <w:t>定期复查应重点评估数据的可靠性与准确性，确保其在有效期内未因技术进步、环境变化或新证据出现而失效。</w:t>
      </w:r>
    </w:p>
    <w:p w14:paraId="30E6A6F4" w14:textId="77777777" w:rsidR="00564588" w:rsidRDefault="00000000">
      <w:pPr>
        <w:pStyle w:val="affd"/>
        <w:numPr>
          <w:ilvl w:val="1"/>
          <w:numId w:val="33"/>
        </w:numPr>
        <w:spacing w:before="120" w:after="120" w:line="360" w:lineRule="auto"/>
      </w:pPr>
      <w:r>
        <w:rPr>
          <w:rFonts w:hint="eastAsia"/>
        </w:rPr>
        <w:t xml:space="preserve"> </w:t>
      </w:r>
      <w:bookmarkStart w:id="106" w:name="_Toc9975"/>
      <w:r>
        <w:rPr>
          <w:rFonts w:hint="eastAsia"/>
        </w:rPr>
        <w:t>变化项复查</w:t>
      </w:r>
      <w:bookmarkEnd w:id="106"/>
    </w:p>
    <w:p w14:paraId="1B9FA932" w14:textId="77777777" w:rsidR="00564588" w:rsidRDefault="00000000">
      <w:pPr>
        <w:pStyle w:val="afffffa"/>
        <w:spacing w:line="360" w:lineRule="auto"/>
        <w:ind w:firstLine="420"/>
      </w:pPr>
      <w:r>
        <w:rPr>
          <w:rFonts w:hint="eastAsia"/>
        </w:rPr>
        <w:t>当标准参考数据的任何内容发生变更，包括但不限于理化性质更新、毒理学结论修订、检测方法升级、暴露参数调整或元数据标识变动时，数据所有者应立即申请变化项复查。</w:t>
      </w:r>
    </w:p>
    <w:p w14:paraId="572AB2BD" w14:textId="77777777" w:rsidR="00564588" w:rsidRDefault="00000000">
      <w:pPr>
        <w:pStyle w:val="afffffa"/>
        <w:spacing w:line="360" w:lineRule="auto"/>
        <w:ind w:firstLine="420"/>
      </w:pPr>
      <w:r>
        <w:rPr>
          <w:rFonts w:hint="eastAsia"/>
        </w:rPr>
        <w:t>变化项复查需针对变更部分提交详细说明及验证材料，并重新接受第7章规定的完整评估流程。若变更涉及核心计量特性或毒理学结论，需额外提供溯源证明、比对报告或第三方验证文件。复查通过后，换发新的《标准参考数据证书》，有效期自批准之日起重新计算。</w:t>
      </w:r>
    </w:p>
    <w:p w14:paraId="1C17D2C1" w14:textId="77777777" w:rsidR="00564588" w:rsidRDefault="00000000">
      <w:pPr>
        <w:pStyle w:val="affd"/>
        <w:numPr>
          <w:ilvl w:val="1"/>
          <w:numId w:val="33"/>
        </w:numPr>
        <w:spacing w:before="120" w:after="120" w:line="360" w:lineRule="auto"/>
      </w:pPr>
      <w:r>
        <w:rPr>
          <w:rFonts w:hint="eastAsia"/>
        </w:rPr>
        <w:t xml:space="preserve"> </w:t>
      </w:r>
      <w:bookmarkStart w:id="107" w:name="_Toc12061"/>
      <w:r>
        <w:rPr>
          <w:rFonts w:hint="eastAsia"/>
        </w:rPr>
        <w:t>复查结果处理</w:t>
      </w:r>
      <w:bookmarkEnd w:id="107"/>
    </w:p>
    <w:p w14:paraId="58FD04A3" w14:textId="77777777" w:rsidR="00564588" w:rsidRDefault="00000000">
      <w:pPr>
        <w:pStyle w:val="afffffa"/>
        <w:numPr>
          <w:ilvl w:val="0"/>
          <w:numId w:val="34"/>
        </w:numPr>
        <w:spacing w:line="360" w:lineRule="auto"/>
        <w:ind w:left="0" w:firstLine="420"/>
      </w:pPr>
      <w:r>
        <w:rPr>
          <w:rFonts w:hint="eastAsia"/>
        </w:rPr>
        <w:t>复查通过的，由标准参考数据管理机构换发新证书，并更新标准参考数据注册信息。</w:t>
      </w:r>
    </w:p>
    <w:p w14:paraId="7DA7C8D6" w14:textId="77777777" w:rsidR="00564588" w:rsidRDefault="00000000">
      <w:pPr>
        <w:pStyle w:val="afffffa"/>
        <w:numPr>
          <w:ilvl w:val="0"/>
          <w:numId w:val="34"/>
        </w:numPr>
        <w:spacing w:line="360" w:lineRule="auto"/>
        <w:ind w:left="0" w:firstLine="420"/>
      </w:pPr>
      <w:r>
        <w:rPr>
          <w:rFonts w:hint="eastAsia"/>
        </w:rPr>
        <w:t>复查未通过的，标准参考数据管理机构应出具书面说明。数据可依据机构相关标准参考数据管理办法降级为参考数据处理。</w:t>
      </w:r>
    </w:p>
    <w:p w14:paraId="28D0C1F7" w14:textId="77777777" w:rsidR="00564588" w:rsidRDefault="00000000">
      <w:pPr>
        <w:pStyle w:val="afffffa"/>
        <w:numPr>
          <w:ilvl w:val="0"/>
          <w:numId w:val="34"/>
        </w:numPr>
        <w:spacing w:line="360" w:lineRule="auto"/>
        <w:ind w:left="0" w:firstLine="420"/>
      </w:pPr>
      <w:r>
        <w:rPr>
          <w:rFonts w:hint="eastAsia"/>
        </w:rPr>
        <w:t>降级后的参考数据若需再次申请成为标准参考数据，应按首次评估流程重新申报。</w:t>
      </w:r>
    </w:p>
    <w:p w14:paraId="6BADDCE5" w14:textId="77777777" w:rsidR="00564588" w:rsidRDefault="00000000">
      <w:pPr>
        <w:pStyle w:val="affd"/>
        <w:numPr>
          <w:ilvl w:val="1"/>
          <w:numId w:val="33"/>
        </w:numPr>
        <w:spacing w:before="120" w:after="120" w:line="360" w:lineRule="auto"/>
      </w:pPr>
      <w:r>
        <w:rPr>
          <w:rFonts w:hint="eastAsia"/>
        </w:rPr>
        <w:t xml:space="preserve"> </w:t>
      </w:r>
      <w:bookmarkStart w:id="108" w:name="_Toc29670"/>
      <w:r>
        <w:rPr>
          <w:rFonts w:hint="eastAsia"/>
        </w:rPr>
        <w:t>复查资料管理</w:t>
      </w:r>
      <w:bookmarkEnd w:id="108"/>
    </w:p>
    <w:p w14:paraId="080037ED" w14:textId="77777777" w:rsidR="00564588" w:rsidRDefault="00000000">
      <w:pPr>
        <w:pStyle w:val="afffffa"/>
        <w:spacing w:line="360" w:lineRule="auto"/>
        <w:ind w:firstLine="420"/>
        <w:rPr>
          <w:rFonts w:hAnsi="宋体" w:cs="宋体" w:hint="eastAsia"/>
          <w:color w:val="000000"/>
          <w:sz w:val="24"/>
          <w:szCs w:val="24"/>
        </w:rPr>
      </w:pPr>
      <w:r>
        <w:rPr>
          <w:rFonts w:hint="eastAsia"/>
        </w:rPr>
        <w:t>所有复查申请材料、评审记录、批准文件及证书副本应由管理办公室统一归档，长期保存，并确保其可追溯性。复查结果应填写《标准参考数据复查结果表》（参见附录B附表3）。</w:t>
      </w:r>
      <w:bookmarkStart w:id="109" w:name="BookMark5"/>
      <w:bookmarkEnd w:id="25"/>
    </w:p>
    <w:p w14:paraId="0B6E46F5" w14:textId="77777777" w:rsidR="00564588" w:rsidRDefault="00564588">
      <w:pPr>
        <w:shd w:val="clear" w:color="auto" w:fill="FFFFFF"/>
        <w:adjustRightInd/>
        <w:rPr>
          <w:rFonts w:ascii="Times New Roman" w:hAnsi="Times New Roman"/>
          <w:sz w:val="32"/>
          <w:szCs w:val="32"/>
        </w:rPr>
        <w:sectPr w:rsidR="00564588">
          <w:pgSz w:w="11906" w:h="16838"/>
          <w:pgMar w:top="1928" w:right="1134" w:bottom="1134" w:left="1134" w:header="1418" w:footer="1134" w:gutter="284"/>
          <w:cols w:space="425"/>
          <w:formProt w:val="0"/>
          <w:docGrid w:linePitch="312"/>
        </w:sectPr>
      </w:pPr>
    </w:p>
    <w:p w14:paraId="20A4DFE6" w14:textId="77777777" w:rsidR="00564588" w:rsidRDefault="00564588">
      <w:pPr>
        <w:shd w:val="clear" w:color="auto" w:fill="FFFFFF"/>
        <w:adjustRightInd/>
        <w:rPr>
          <w:rFonts w:ascii="Times New Roman" w:hAnsi="Times New Roman"/>
          <w:sz w:val="32"/>
          <w:szCs w:val="32"/>
        </w:rPr>
      </w:pPr>
    </w:p>
    <w:p w14:paraId="702E4B8D" w14:textId="77777777" w:rsidR="00564588" w:rsidRDefault="00000000">
      <w:pPr>
        <w:pStyle w:val="aff3"/>
        <w:spacing w:after="120"/>
      </w:pPr>
      <w:bookmarkStart w:id="110" w:name="_Toc16141"/>
      <w:r>
        <w:br/>
      </w:r>
      <w:r>
        <w:rPr>
          <w:rFonts w:hint="eastAsia"/>
        </w:rPr>
        <w:t>（规范性）</w:t>
      </w:r>
      <w:r>
        <w:br/>
      </w:r>
      <w:r>
        <w:rPr>
          <w:rFonts w:hint="eastAsia"/>
        </w:rPr>
        <w:t>评估指标计算示例</w:t>
      </w:r>
      <w:bookmarkEnd w:id="110"/>
    </w:p>
    <w:p w14:paraId="3B1547A0" w14:textId="77777777" w:rsidR="00564588" w:rsidRDefault="00000000">
      <w:pPr>
        <w:pStyle w:val="affd"/>
        <w:numPr>
          <w:ilvl w:val="0"/>
          <w:numId w:val="0"/>
        </w:numPr>
        <w:spacing w:before="120" w:after="120"/>
        <w:rPr>
          <w:rFonts w:ascii="宋体"/>
        </w:rPr>
      </w:pPr>
      <w:bookmarkStart w:id="111" w:name="_Toc15750"/>
      <w:r>
        <w:rPr>
          <w:rFonts w:ascii="宋体" w:hint="eastAsia"/>
        </w:rPr>
        <w:t xml:space="preserve">A.1 </w:t>
      </w:r>
      <w:r>
        <w:rPr>
          <w:rFonts w:ascii="宋体" w:hint="eastAsia"/>
        </w:rPr>
        <w:t>示例</w:t>
      </w:r>
      <w:r>
        <w:rPr>
          <w:rFonts w:hint="eastAsia"/>
        </w:rPr>
        <w:t>背景</w:t>
      </w:r>
      <w:bookmarkEnd w:id="111"/>
    </w:p>
    <w:p w14:paraId="3A699214" w14:textId="77777777" w:rsidR="00564588" w:rsidRDefault="00000000">
      <w:pPr>
        <w:pStyle w:val="afffffa"/>
        <w:ind w:firstLine="420"/>
      </w:pPr>
      <w:r>
        <w:rPr>
          <w:rFonts w:hint="eastAsia"/>
        </w:rPr>
        <w:t>某危害物质数据集包含 100 条记录，拟评价其严格性、准确性和相关性。</w:t>
      </w:r>
    </w:p>
    <w:p w14:paraId="7F15D1A5" w14:textId="77777777" w:rsidR="00564588" w:rsidRDefault="00000000">
      <w:pPr>
        <w:pStyle w:val="affd"/>
        <w:numPr>
          <w:ilvl w:val="0"/>
          <w:numId w:val="0"/>
        </w:numPr>
        <w:spacing w:before="120" w:after="120"/>
        <w:rPr>
          <w:rFonts w:ascii="宋体"/>
        </w:rPr>
      </w:pPr>
      <w:bookmarkStart w:id="112" w:name="_Toc23807"/>
      <w:r>
        <w:rPr>
          <w:rFonts w:ascii="宋体" w:hint="eastAsia"/>
        </w:rPr>
        <w:t xml:space="preserve">A.2 </w:t>
      </w:r>
      <w:r>
        <w:rPr>
          <w:rFonts w:ascii="宋体" w:hint="eastAsia"/>
        </w:rPr>
        <w:t>严格性评价</w:t>
      </w:r>
      <w:bookmarkEnd w:id="112"/>
    </w:p>
    <w:p w14:paraId="0318929E" w14:textId="77777777" w:rsidR="00564588" w:rsidRDefault="00000000">
      <w:pPr>
        <w:pStyle w:val="afffffa"/>
        <w:ind w:firstLine="420"/>
      </w:pPr>
      <w:r>
        <w:rPr>
          <w:rFonts w:hint="eastAsia"/>
        </w:rPr>
        <w:t>a) 数据源标识完整性：共有 4 条记录缺失 DOI 或检测报告编号。</w:t>
      </w:r>
    </w:p>
    <w:p w14:paraId="60BD6B9F" w14:textId="77777777" w:rsidR="00564588" w:rsidRDefault="00000000">
      <w:pPr>
        <w:pStyle w:val="afffffa"/>
        <w:ind w:firstLine="420"/>
      </w:pPr>
      <w:r>
        <w:rPr>
          <w:rFonts w:hint="eastAsia"/>
        </w:rPr>
        <w:t>缺失率 = 4 / 100 × 100 = 4%。</w:t>
      </w:r>
    </w:p>
    <w:p w14:paraId="5DD6A3C1" w14:textId="77777777" w:rsidR="00564588" w:rsidRDefault="00000000">
      <w:pPr>
        <w:pStyle w:val="afffffa"/>
        <w:ind w:firstLine="420"/>
      </w:pPr>
      <w:r>
        <w:rPr>
          <w:rFonts w:hint="eastAsia"/>
        </w:rPr>
        <w:t>依据 6.1.1，对应 3 级（缺失率≤5%，关键字段覆盖率≥95%）。</w:t>
      </w:r>
    </w:p>
    <w:p w14:paraId="0E5510A9" w14:textId="77777777" w:rsidR="00564588" w:rsidRDefault="00000000">
      <w:pPr>
        <w:pStyle w:val="afffffa"/>
        <w:ind w:firstLine="420"/>
      </w:pPr>
      <w:r>
        <w:rPr>
          <w:rFonts w:hint="eastAsia"/>
        </w:rPr>
        <w:t>b) 方法学文档完备性：数据集中 88 条记录有标准化方法说明，方法映射滞后 10 个月。</w:t>
      </w:r>
    </w:p>
    <w:p w14:paraId="706CEC4C" w14:textId="77777777" w:rsidR="00564588" w:rsidRDefault="00000000">
      <w:pPr>
        <w:pStyle w:val="afffffa"/>
        <w:ind w:firstLine="420"/>
      </w:pPr>
      <w:r>
        <w:rPr>
          <w:rFonts w:hint="eastAsia"/>
        </w:rPr>
        <w:t>覆盖率 = 88 / 100 × 100 = 88%。</w:t>
      </w:r>
    </w:p>
    <w:p w14:paraId="1DB215B3" w14:textId="77777777" w:rsidR="00564588" w:rsidRDefault="00000000">
      <w:pPr>
        <w:pStyle w:val="afffffa"/>
        <w:ind w:firstLine="420"/>
      </w:pPr>
      <w:r>
        <w:rPr>
          <w:rFonts w:hint="eastAsia"/>
        </w:rPr>
        <w:t>对应 3 级（覆盖率 80%～89%，滞后≤18 个月）。</w:t>
      </w:r>
    </w:p>
    <w:p w14:paraId="53F731B1" w14:textId="77777777" w:rsidR="00564588" w:rsidRDefault="00000000">
      <w:pPr>
        <w:pStyle w:val="afffffa"/>
        <w:ind w:firstLine="420"/>
      </w:pPr>
      <w:r>
        <w:rPr>
          <w:rFonts w:hint="eastAsia"/>
        </w:rPr>
        <w:t>c) 元数据字段填充率：核心字段全部填充，非核心字段缺失率 12%。</w:t>
      </w:r>
    </w:p>
    <w:p w14:paraId="4D3A3FF2" w14:textId="77777777" w:rsidR="00564588" w:rsidRDefault="00000000">
      <w:pPr>
        <w:pStyle w:val="afffffa"/>
        <w:ind w:firstLine="420"/>
      </w:pPr>
      <w:r>
        <w:rPr>
          <w:rFonts w:hint="eastAsia"/>
        </w:rPr>
        <w:t>对应 4 级（核心字段完整，非核心缺失率≤20%）。</w:t>
      </w:r>
    </w:p>
    <w:p w14:paraId="4EB40F4A" w14:textId="77777777" w:rsidR="00564588" w:rsidRDefault="00000000">
      <w:pPr>
        <w:pStyle w:val="afffffa"/>
        <w:ind w:firstLine="420"/>
      </w:pPr>
      <w:r>
        <w:rPr>
          <w:rFonts w:hint="eastAsia"/>
        </w:rPr>
        <w:t>d) 版本与更新管理：设有版本号和更新日志，修正周期 40 日，存档 2 年。</w:t>
      </w:r>
    </w:p>
    <w:p w14:paraId="6CBB64B2" w14:textId="77777777" w:rsidR="00564588" w:rsidRDefault="00000000">
      <w:pPr>
        <w:pStyle w:val="afffffa"/>
        <w:ind w:firstLine="420"/>
      </w:pPr>
      <w:r>
        <w:rPr>
          <w:rFonts w:hint="eastAsia"/>
        </w:rPr>
        <w:t>对应 4 级（修正周期≤45 日，存档期≥2 年）。</w:t>
      </w:r>
    </w:p>
    <w:p w14:paraId="6C12E032" w14:textId="77777777" w:rsidR="00564588" w:rsidRDefault="00000000">
      <w:pPr>
        <w:pStyle w:val="afffffa"/>
        <w:ind w:firstLine="420"/>
      </w:pPr>
      <w:r>
        <w:rPr>
          <w:rFonts w:hint="eastAsia"/>
        </w:rPr>
        <w:t>严格性综合得分 = 0.30×3 + 0.25×3 + 0.35×4 + 0.10×4 = 3.55 ≈ 3 级。</w:t>
      </w:r>
    </w:p>
    <w:p w14:paraId="2B2FCEC8" w14:textId="77777777" w:rsidR="00564588" w:rsidRDefault="00000000">
      <w:pPr>
        <w:pStyle w:val="affd"/>
        <w:numPr>
          <w:ilvl w:val="0"/>
          <w:numId w:val="0"/>
        </w:numPr>
        <w:spacing w:before="120" w:after="120"/>
        <w:rPr>
          <w:rFonts w:ascii="宋体"/>
        </w:rPr>
      </w:pPr>
      <w:bookmarkStart w:id="113" w:name="_Toc15833"/>
      <w:r>
        <w:rPr>
          <w:rFonts w:ascii="宋体" w:hint="eastAsia"/>
        </w:rPr>
        <w:t xml:space="preserve">A.3 </w:t>
      </w:r>
      <w:r>
        <w:rPr>
          <w:rFonts w:ascii="宋体" w:hint="eastAsia"/>
        </w:rPr>
        <w:t>准确性评价</w:t>
      </w:r>
      <w:bookmarkEnd w:id="113"/>
    </w:p>
    <w:p w14:paraId="641CA8CB" w14:textId="77777777" w:rsidR="00564588" w:rsidRDefault="00000000">
      <w:pPr>
        <w:pStyle w:val="afffffa"/>
        <w:ind w:firstLine="420"/>
      </w:pPr>
      <w:r>
        <w:rPr>
          <w:rFonts w:hint="eastAsia"/>
        </w:rPr>
        <w:t>a) 内部验证覆盖率：关键字段验证覆盖率 92%，非关键 87%。</w:t>
      </w:r>
    </w:p>
    <w:p w14:paraId="3A84614B" w14:textId="77777777" w:rsidR="00564588" w:rsidRDefault="00000000">
      <w:pPr>
        <w:pStyle w:val="afffffa"/>
        <w:ind w:firstLine="420"/>
      </w:pPr>
      <w:r>
        <w:rPr>
          <w:rFonts w:hint="eastAsia"/>
        </w:rPr>
        <w:t>对应 4 级。</w:t>
      </w:r>
    </w:p>
    <w:p w14:paraId="03954328" w14:textId="77777777" w:rsidR="00564588" w:rsidRDefault="00000000">
      <w:pPr>
        <w:pStyle w:val="afffffa"/>
        <w:ind w:firstLine="420"/>
      </w:pPr>
      <w:r>
        <w:rPr>
          <w:rFonts w:hint="eastAsia"/>
        </w:rPr>
        <w:t>b) 外部权威一致性：共 70 条数据被 WHO 或 EPA 引用，采纳率 = 70/100×100 = 70%；其余数据与权威值差异 ≤ 12%。</w:t>
      </w:r>
    </w:p>
    <w:p w14:paraId="103DFEE5" w14:textId="77777777" w:rsidR="00564588" w:rsidRDefault="00000000">
      <w:pPr>
        <w:pStyle w:val="afffffa"/>
        <w:ind w:firstLine="420"/>
      </w:pPr>
      <w:r>
        <w:rPr>
          <w:rFonts w:hint="eastAsia"/>
        </w:rPr>
        <w:t>对应 4 级（采纳率 70%～79%，差异≤±15%）。</w:t>
      </w:r>
    </w:p>
    <w:p w14:paraId="356854DC" w14:textId="77777777" w:rsidR="00564588" w:rsidRDefault="00000000">
      <w:pPr>
        <w:pStyle w:val="afffffa"/>
        <w:ind w:firstLine="420"/>
      </w:pPr>
      <w:r>
        <w:rPr>
          <w:rFonts w:hint="eastAsia"/>
        </w:rPr>
        <w:t>c) 错误修正时效性：修正周期 50 日。</w:t>
      </w:r>
    </w:p>
    <w:p w14:paraId="7E8C4233" w14:textId="77777777" w:rsidR="00564588" w:rsidRDefault="00000000">
      <w:pPr>
        <w:pStyle w:val="afffffa"/>
        <w:ind w:firstLine="420"/>
      </w:pPr>
      <w:r>
        <w:rPr>
          <w:rFonts w:hint="eastAsia"/>
        </w:rPr>
        <w:t>对应 3 级。</w:t>
      </w:r>
    </w:p>
    <w:p w14:paraId="65D4AD44" w14:textId="77777777" w:rsidR="00564588" w:rsidRDefault="00000000">
      <w:pPr>
        <w:pStyle w:val="afffffa"/>
        <w:ind w:firstLine="420"/>
      </w:pPr>
      <w:r>
        <w:rPr>
          <w:rFonts w:hint="eastAsia"/>
        </w:rPr>
        <w:t>准确性综合得分 = 0.40×4 + 0.40×4 + 0.20×3 = 3.8 ≈ 4 级。</w:t>
      </w:r>
    </w:p>
    <w:p w14:paraId="2B07E498" w14:textId="77777777" w:rsidR="00564588" w:rsidRDefault="00000000">
      <w:pPr>
        <w:pStyle w:val="affd"/>
        <w:numPr>
          <w:ilvl w:val="0"/>
          <w:numId w:val="0"/>
        </w:numPr>
        <w:spacing w:before="120" w:after="120"/>
        <w:rPr>
          <w:rFonts w:ascii="宋体"/>
        </w:rPr>
      </w:pPr>
      <w:bookmarkStart w:id="114" w:name="_Toc28074"/>
      <w:r>
        <w:rPr>
          <w:rFonts w:ascii="宋体" w:hint="eastAsia"/>
        </w:rPr>
        <w:t xml:space="preserve">A.4 </w:t>
      </w:r>
      <w:r>
        <w:rPr>
          <w:rFonts w:ascii="宋体" w:hint="eastAsia"/>
        </w:rPr>
        <w:t>相关性评价</w:t>
      </w:r>
      <w:bookmarkEnd w:id="114"/>
    </w:p>
    <w:p w14:paraId="68D95B5B" w14:textId="77777777" w:rsidR="00564588" w:rsidRDefault="00000000">
      <w:pPr>
        <w:pStyle w:val="afffffa"/>
        <w:ind w:firstLine="420"/>
      </w:pPr>
      <w:r>
        <w:rPr>
          <w:rFonts w:hint="eastAsia"/>
        </w:rPr>
        <w:t>a) 场景覆盖明确性：数据集声明 2 个核心应用场景。</w:t>
      </w:r>
    </w:p>
    <w:p w14:paraId="75929E7A" w14:textId="77777777" w:rsidR="00564588" w:rsidRDefault="00000000">
      <w:pPr>
        <w:pStyle w:val="afffffa"/>
        <w:ind w:firstLine="420"/>
      </w:pPr>
      <w:r>
        <w:rPr>
          <w:rFonts w:hint="eastAsia"/>
        </w:rPr>
        <w:t>对应 4 级。</w:t>
      </w:r>
    </w:p>
    <w:p w14:paraId="14D6A828" w14:textId="77777777" w:rsidR="00564588" w:rsidRDefault="00000000">
      <w:pPr>
        <w:pStyle w:val="afffffa"/>
        <w:ind w:firstLine="420"/>
      </w:pPr>
      <w:r>
        <w:rPr>
          <w:rFonts w:hint="eastAsia"/>
        </w:rPr>
        <w:t>b) 核心属性完备度：在“急性毒性评估”场景中缺少 1 项核心参数，在“致癌风险评估”场景中完整。</w:t>
      </w:r>
    </w:p>
    <w:p w14:paraId="09FDC77F" w14:textId="77777777" w:rsidR="00564588" w:rsidRDefault="00000000">
      <w:pPr>
        <w:pStyle w:val="afffffa"/>
        <w:ind w:firstLine="420"/>
      </w:pPr>
      <w:r>
        <w:rPr>
          <w:rFonts w:hint="eastAsia"/>
        </w:rPr>
        <w:t>对应 4 级（单场景缺少≤1 项）。</w:t>
      </w:r>
    </w:p>
    <w:p w14:paraId="67DB191E" w14:textId="77777777" w:rsidR="00564588" w:rsidRDefault="00000000">
      <w:pPr>
        <w:pStyle w:val="afffffa"/>
        <w:ind w:firstLine="420"/>
      </w:pPr>
      <w:r>
        <w:rPr>
          <w:rFonts w:hint="eastAsia"/>
        </w:rPr>
        <w:t>c) 时空有效性：数据最新更新时间为 4 年前，超限比例 8%。</w:t>
      </w:r>
    </w:p>
    <w:p w14:paraId="5B5F86C3" w14:textId="77777777" w:rsidR="00564588" w:rsidRDefault="00000000">
      <w:pPr>
        <w:pStyle w:val="afffffa"/>
        <w:ind w:firstLine="420"/>
      </w:pPr>
      <w:r>
        <w:rPr>
          <w:rFonts w:hint="eastAsia"/>
        </w:rPr>
        <w:t>对应 4 级（更新≤5 年，超限≤10%）。</w:t>
      </w:r>
    </w:p>
    <w:p w14:paraId="7AC1D222" w14:textId="77777777" w:rsidR="00564588" w:rsidRDefault="00000000">
      <w:pPr>
        <w:pStyle w:val="afffffa"/>
        <w:ind w:firstLine="420"/>
      </w:pPr>
      <w:r>
        <w:rPr>
          <w:rFonts w:hint="eastAsia"/>
        </w:rPr>
        <w:t>相关性综合得分 = 0.30×4 + 0.50×4 + 0.20×4 = 4.0 = 4 级。</w:t>
      </w:r>
    </w:p>
    <w:p w14:paraId="78A766BF" w14:textId="77777777" w:rsidR="00564588" w:rsidRDefault="00000000">
      <w:pPr>
        <w:pStyle w:val="affd"/>
        <w:numPr>
          <w:ilvl w:val="0"/>
          <w:numId w:val="0"/>
        </w:numPr>
        <w:spacing w:before="120" w:after="120"/>
        <w:rPr>
          <w:rFonts w:ascii="宋体"/>
        </w:rPr>
      </w:pPr>
      <w:bookmarkStart w:id="115" w:name="_Toc30351"/>
      <w:r>
        <w:rPr>
          <w:rFonts w:ascii="宋体" w:hint="eastAsia"/>
        </w:rPr>
        <w:t xml:space="preserve">A.5 </w:t>
      </w:r>
      <w:r>
        <w:rPr>
          <w:rFonts w:ascii="宋体" w:hint="eastAsia"/>
        </w:rPr>
        <w:t>总体评价</w:t>
      </w:r>
      <w:bookmarkEnd w:id="115"/>
    </w:p>
    <w:p w14:paraId="491DAC17" w14:textId="77777777" w:rsidR="00564588" w:rsidRDefault="00000000">
      <w:pPr>
        <w:pStyle w:val="afffffa"/>
        <w:ind w:firstLine="420"/>
      </w:pPr>
      <w:r>
        <w:rPr>
          <w:rFonts w:hint="eastAsia"/>
        </w:rPr>
        <w:t>严格性得分 = 3 级 → 换算 70 分</w:t>
      </w:r>
    </w:p>
    <w:p w14:paraId="125FCE31" w14:textId="77777777" w:rsidR="00564588" w:rsidRDefault="00000000">
      <w:pPr>
        <w:pStyle w:val="afffffa"/>
        <w:ind w:firstLine="420"/>
      </w:pPr>
      <w:r>
        <w:rPr>
          <w:rFonts w:hint="eastAsia"/>
        </w:rPr>
        <w:t>准确性得分 = 4 级 → 换算 85 分</w:t>
      </w:r>
    </w:p>
    <w:p w14:paraId="0075ED7E" w14:textId="77777777" w:rsidR="00564588" w:rsidRDefault="00000000">
      <w:pPr>
        <w:pStyle w:val="afffffa"/>
        <w:ind w:firstLine="420"/>
      </w:pPr>
      <w:r>
        <w:rPr>
          <w:rFonts w:hint="eastAsia"/>
        </w:rPr>
        <w:t>相关性得分 = 4 级 → 换算 85 分</w:t>
      </w:r>
    </w:p>
    <w:p w14:paraId="4724BD62" w14:textId="77777777" w:rsidR="00564588" w:rsidRDefault="00000000">
      <w:pPr>
        <w:pStyle w:val="afffffa"/>
        <w:ind w:firstLine="420"/>
      </w:pPr>
      <w:r>
        <w:rPr>
          <w:rFonts w:hint="eastAsia"/>
        </w:rPr>
        <w:t>综合总分 = 0.30×70 + 0.40×85 + 0.30×85 = 80.5 分</w:t>
      </w:r>
    </w:p>
    <w:p w14:paraId="678244CC" w14:textId="77777777" w:rsidR="00564588" w:rsidRDefault="00000000">
      <w:pPr>
        <w:pStyle w:val="afffffa"/>
        <w:ind w:firstLine="420"/>
        <w:rPr>
          <w:rFonts w:ascii="Times New Roman"/>
          <w:sz w:val="32"/>
          <w:szCs w:val="32"/>
        </w:rPr>
      </w:pPr>
      <w:r>
        <w:rPr>
          <w:rFonts w:hint="eastAsia"/>
        </w:rPr>
        <w:t>最终等级：4 级（80～89 分）。</w:t>
      </w:r>
    </w:p>
    <w:p w14:paraId="0B963681" w14:textId="77777777" w:rsidR="00564588" w:rsidRDefault="00000000">
      <w:pPr>
        <w:widowControl/>
        <w:adjustRightInd/>
        <w:spacing w:line="240" w:lineRule="auto"/>
        <w:jc w:val="left"/>
        <w:rPr>
          <w:rFonts w:ascii="Times New Roman" w:hAnsi="Times New Roman"/>
          <w:sz w:val="32"/>
          <w:szCs w:val="32"/>
        </w:rPr>
      </w:pPr>
      <w:r>
        <w:rPr>
          <w:rFonts w:ascii="Times New Roman" w:hAnsi="Times New Roman"/>
          <w:sz w:val="32"/>
          <w:szCs w:val="32"/>
        </w:rPr>
        <w:lastRenderedPageBreak/>
        <w:br w:type="page"/>
      </w:r>
    </w:p>
    <w:p w14:paraId="1CB5B806" w14:textId="77777777" w:rsidR="00564588" w:rsidRDefault="00564588">
      <w:pPr>
        <w:shd w:val="clear" w:color="auto" w:fill="FFFFFF"/>
        <w:adjustRightInd/>
        <w:rPr>
          <w:rFonts w:ascii="Times New Roman" w:hAnsi="Times New Roman"/>
          <w:sz w:val="32"/>
          <w:szCs w:val="32"/>
        </w:rPr>
      </w:pPr>
    </w:p>
    <w:p w14:paraId="02618AC3" w14:textId="77777777" w:rsidR="00564588" w:rsidRDefault="00000000">
      <w:pPr>
        <w:pStyle w:val="aff3"/>
        <w:spacing w:after="120"/>
      </w:pPr>
      <w:bookmarkStart w:id="116" w:name="_Toc9348"/>
      <w:bookmarkStart w:id="117" w:name="_Hlk206618883"/>
      <w:r>
        <w:br/>
      </w:r>
      <w:bookmarkStart w:id="118" w:name="_Toc133940625"/>
      <w:r>
        <w:rPr>
          <w:rFonts w:hint="eastAsia"/>
        </w:rPr>
        <w:t>（规范性）</w:t>
      </w:r>
      <w:r>
        <w:br/>
      </w:r>
      <w:bookmarkEnd w:id="118"/>
      <w:r>
        <w:rPr>
          <w:rFonts w:hint="eastAsia"/>
        </w:rPr>
        <w:t>生命健康领域标准参考数据审查表格式</w:t>
      </w:r>
      <w:bookmarkEnd w:id="116"/>
    </w:p>
    <w:bookmarkEnd w:id="117"/>
    <w:p w14:paraId="73150060" w14:textId="77777777" w:rsidR="00564588" w:rsidRDefault="00564588">
      <w:pPr>
        <w:shd w:val="clear" w:color="auto" w:fill="FFFFFF"/>
        <w:adjustRightInd/>
        <w:rPr>
          <w:rFonts w:ascii="Times New Roman" w:hAnsi="Times New Roman"/>
          <w:sz w:val="32"/>
          <w:szCs w:val="32"/>
        </w:rPr>
      </w:pPr>
    </w:p>
    <w:p w14:paraId="07BC6329" w14:textId="77777777" w:rsidR="00564588" w:rsidRDefault="00000000">
      <w:pPr>
        <w:shd w:val="clear" w:color="auto" w:fill="FFFFFF"/>
        <w:adjustRightInd/>
        <w:rPr>
          <w:rFonts w:ascii="Times New Roman" w:hAnsi="Times New Roman"/>
        </w:rPr>
      </w:pPr>
      <w:r>
        <w:rPr>
          <w:rFonts w:ascii="Times New Roman" w:hAnsi="Times New Roman" w:hint="eastAsia"/>
        </w:rPr>
        <w:t>附表</w:t>
      </w:r>
      <w:r>
        <w:rPr>
          <w:rFonts w:ascii="Times New Roman" w:hAnsi="Times New Roman" w:hint="eastAsia"/>
        </w:rPr>
        <w:t>1</w:t>
      </w:r>
      <w:r>
        <w:rPr>
          <w:rFonts w:ascii="Times New Roman" w:hAnsi="Times New Roman" w:hint="eastAsia"/>
        </w:rPr>
        <w:t>：形式审查清单</w:t>
      </w:r>
    </w:p>
    <w:tbl>
      <w:tblPr>
        <w:tblW w:w="8659" w:type="dxa"/>
        <w:tblInd w:w="96" w:type="dxa"/>
        <w:tblLook w:val="04A0" w:firstRow="1" w:lastRow="0" w:firstColumn="1" w:lastColumn="0" w:noHBand="0" w:noVBand="1"/>
      </w:tblPr>
      <w:tblGrid>
        <w:gridCol w:w="1868"/>
        <w:gridCol w:w="3087"/>
        <w:gridCol w:w="3704"/>
      </w:tblGrid>
      <w:tr w:rsidR="00564588" w14:paraId="07EF93DA"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6134BEE2" w14:textId="77777777" w:rsidR="00564588" w:rsidRDefault="00000000">
            <w:pPr>
              <w:shd w:val="clear" w:color="auto" w:fill="FFFFFF"/>
              <w:adjustRightInd/>
              <w:rPr>
                <w:rFonts w:ascii="Times New Roman" w:hAnsi="Times New Roman"/>
              </w:rPr>
            </w:pPr>
            <w:r>
              <w:rPr>
                <w:rFonts w:ascii="Times New Roman" w:hAnsi="Times New Roman" w:hint="eastAsia"/>
              </w:rPr>
              <w:t>1</w:t>
            </w:r>
          </w:p>
        </w:tc>
        <w:tc>
          <w:tcPr>
            <w:tcW w:w="3087" w:type="dxa"/>
            <w:tcBorders>
              <w:top w:val="single" w:sz="4" w:space="0" w:color="000000"/>
              <w:left w:val="single" w:sz="4" w:space="0" w:color="000000"/>
              <w:bottom w:val="single" w:sz="4" w:space="0" w:color="000000"/>
              <w:right w:val="single" w:sz="4" w:space="0" w:color="000000"/>
            </w:tcBorders>
            <w:vAlign w:val="center"/>
          </w:tcPr>
          <w:p w14:paraId="3F8BDDA3" w14:textId="77777777" w:rsidR="00564588" w:rsidRDefault="00000000">
            <w:pPr>
              <w:shd w:val="clear" w:color="auto" w:fill="FFFFFF"/>
              <w:adjustRightInd/>
              <w:rPr>
                <w:rFonts w:ascii="Times New Roman" w:hAnsi="Times New Roman"/>
              </w:rPr>
            </w:pPr>
            <w:r>
              <w:rPr>
                <w:rFonts w:ascii="Times New Roman" w:hAnsi="Times New Roman" w:hint="eastAsia"/>
              </w:rPr>
              <w:t>数据来源鉴别</w:t>
            </w:r>
          </w:p>
        </w:tc>
        <w:tc>
          <w:tcPr>
            <w:tcW w:w="3704" w:type="dxa"/>
            <w:tcBorders>
              <w:top w:val="single" w:sz="4" w:space="0" w:color="000000"/>
              <w:left w:val="single" w:sz="4" w:space="0" w:color="000000"/>
              <w:bottom w:val="single" w:sz="4" w:space="0" w:color="000000"/>
              <w:right w:val="single" w:sz="4" w:space="0" w:color="000000"/>
            </w:tcBorders>
            <w:vAlign w:val="center"/>
          </w:tcPr>
          <w:p w14:paraId="73C28184" w14:textId="77777777" w:rsidR="00564588" w:rsidRDefault="00000000">
            <w:pPr>
              <w:shd w:val="clear" w:color="auto" w:fill="FFFFFF"/>
              <w:adjustRightInd/>
              <w:rPr>
                <w:rFonts w:ascii="Times New Roman" w:hAnsi="Times New Roman"/>
              </w:rPr>
            </w:pPr>
            <w:r>
              <w:rPr>
                <w:rFonts w:ascii="Times New Roman" w:hAnsi="Times New Roman" w:hint="eastAsia"/>
              </w:rPr>
              <w:t xml:space="preserve">1. </w:t>
            </w:r>
            <w:r>
              <w:rPr>
                <w:rFonts w:ascii="Times New Roman" w:hAnsi="Times New Roman" w:hint="eastAsia"/>
              </w:rPr>
              <w:t>资源标识（</w:t>
            </w:r>
            <w:r>
              <w:rPr>
                <w:rFonts w:ascii="Times New Roman" w:hAnsi="Times New Roman" w:hint="eastAsia"/>
              </w:rPr>
              <w:t>GB</w:t>
            </w:r>
            <w:r>
              <w:rPr>
                <w:rFonts w:ascii="Times New Roman" w:hAnsi="Times New Roman" w:hint="eastAsia"/>
              </w:rPr>
              <w:t>、</w:t>
            </w:r>
            <w:r>
              <w:rPr>
                <w:rFonts w:ascii="Times New Roman" w:hAnsi="Times New Roman" w:hint="eastAsia"/>
              </w:rPr>
              <w:t>GJB</w:t>
            </w:r>
            <w:r>
              <w:rPr>
                <w:rFonts w:ascii="Times New Roman" w:hAnsi="Times New Roman" w:hint="eastAsia"/>
              </w:rPr>
              <w:t>、</w:t>
            </w:r>
            <w:r>
              <w:rPr>
                <w:rFonts w:ascii="Times New Roman" w:hAnsi="Times New Roman" w:hint="eastAsia"/>
              </w:rPr>
              <w:t>JJG</w:t>
            </w:r>
            <w:r>
              <w:rPr>
                <w:rFonts w:ascii="Times New Roman" w:hAnsi="Times New Roman" w:hint="eastAsia"/>
              </w:rPr>
              <w:t>、</w:t>
            </w:r>
            <w:r>
              <w:rPr>
                <w:rFonts w:ascii="Times New Roman" w:hAnsi="Times New Roman" w:hint="eastAsia"/>
              </w:rPr>
              <w:t>JJF</w:t>
            </w:r>
            <w:r>
              <w:rPr>
                <w:rFonts w:ascii="Times New Roman" w:hAnsi="Times New Roman" w:hint="eastAsia"/>
              </w:rPr>
              <w:t>、</w:t>
            </w:r>
            <w:r>
              <w:rPr>
                <w:rFonts w:ascii="Times New Roman" w:hAnsi="Times New Roman" w:hint="eastAsia"/>
              </w:rPr>
              <w:t>DOI</w:t>
            </w:r>
            <w:r>
              <w:rPr>
                <w:rFonts w:ascii="Times New Roman" w:hAnsi="Times New Roman" w:hint="eastAsia"/>
              </w:rPr>
              <w:t>、</w:t>
            </w:r>
            <w:r>
              <w:rPr>
                <w:rFonts w:ascii="Times New Roman" w:hAnsi="Times New Roman" w:hint="eastAsia"/>
              </w:rPr>
              <w:t>ISBN</w:t>
            </w:r>
            <w:r>
              <w:rPr>
                <w:rFonts w:ascii="Times New Roman" w:hAnsi="Times New Roman" w:hint="eastAsia"/>
              </w:rPr>
              <w:t>、</w:t>
            </w:r>
            <w:r>
              <w:rPr>
                <w:rFonts w:ascii="Times New Roman" w:hAnsi="Times New Roman" w:hint="eastAsia"/>
              </w:rPr>
              <w:t>ORCID</w:t>
            </w:r>
            <w:r>
              <w:rPr>
                <w:rFonts w:ascii="Times New Roman" w:hAnsi="Times New Roman" w:hint="eastAsia"/>
              </w:rPr>
              <w:t>）、</w:t>
            </w:r>
            <w:r>
              <w:rPr>
                <w:rFonts w:ascii="Times New Roman" w:hAnsi="Times New Roman" w:hint="eastAsia"/>
              </w:rPr>
              <w:br/>
              <w:t xml:space="preserve">2. </w:t>
            </w:r>
            <w:r>
              <w:rPr>
                <w:rFonts w:ascii="Times New Roman" w:hAnsi="Times New Roman" w:hint="eastAsia"/>
              </w:rPr>
              <w:t>资格证书（计量证书、</w:t>
            </w:r>
            <w:r>
              <w:rPr>
                <w:rFonts w:ascii="Times New Roman" w:hAnsi="Times New Roman" w:hint="eastAsia"/>
              </w:rPr>
              <w:t xml:space="preserve">CNAS </w:t>
            </w:r>
            <w:r>
              <w:rPr>
                <w:rFonts w:ascii="Times New Roman" w:hAnsi="Times New Roman" w:hint="eastAsia"/>
              </w:rPr>
              <w:t>测试证书、其他证书）</w:t>
            </w:r>
          </w:p>
        </w:tc>
      </w:tr>
      <w:tr w:rsidR="00564588" w14:paraId="044AE632"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0D07BF15" w14:textId="77777777" w:rsidR="00564588" w:rsidRDefault="00000000">
            <w:pPr>
              <w:shd w:val="clear" w:color="auto" w:fill="FFFFFF"/>
              <w:adjustRightInd/>
              <w:rPr>
                <w:rFonts w:ascii="Times New Roman" w:hAnsi="Times New Roman"/>
              </w:rPr>
            </w:pPr>
            <w:r>
              <w:rPr>
                <w:rFonts w:ascii="Times New Roman" w:hAnsi="Times New Roman" w:hint="eastAsia"/>
              </w:rPr>
              <w:t>2</w:t>
            </w:r>
          </w:p>
        </w:tc>
        <w:tc>
          <w:tcPr>
            <w:tcW w:w="3087" w:type="dxa"/>
            <w:tcBorders>
              <w:top w:val="single" w:sz="4" w:space="0" w:color="000000"/>
              <w:left w:val="single" w:sz="4" w:space="0" w:color="000000"/>
              <w:bottom w:val="single" w:sz="4" w:space="0" w:color="000000"/>
              <w:right w:val="single" w:sz="4" w:space="0" w:color="000000"/>
            </w:tcBorders>
            <w:vAlign w:val="center"/>
          </w:tcPr>
          <w:p w14:paraId="7D3A3489" w14:textId="77777777" w:rsidR="00564588" w:rsidRDefault="00000000">
            <w:pPr>
              <w:shd w:val="clear" w:color="auto" w:fill="FFFFFF"/>
              <w:adjustRightInd/>
              <w:rPr>
                <w:rFonts w:ascii="Times New Roman" w:hAnsi="Times New Roman"/>
              </w:rPr>
            </w:pPr>
            <w:r>
              <w:rPr>
                <w:rFonts w:ascii="Times New Roman" w:hAnsi="Times New Roman" w:hint="eastAsia"/>
              </w:rPr>
              <w:t>数据类型</w:t>
            </w:r>
          </w:p>
        </w:tc>
        <w:tc>
          <w:tcPr>
            <w:tcW w:w="3704" w:type="dxa"/>
            <w:tcBorders>
              <w:top w:val="single" w:sz="4" w:space="0" w:color="000000"/>
              <w:left w:val="single" w:sz="4" w:space="0" w:color="000000"/>
              <w:bottom w:val="single" w:sz="4" w:space="0" w:color="000000"/>
              <w:right w:val="single" w:sz="4" w:space="0" w:color="000000"/>
            </w:tcBorders>
            <w:vAlign w:val="center"/>
          </w:tcPr>
          <w:p w14:paraId="3CFE568B" w14:textId="77777777" w:rsidR="00564588" w:rsidRDefault="00000000">
            <w:pPr>
              <w:shd w:val="clear" w:color="auto" w:fill="FFFFFF"/>
              <w:adjustRightInd/>
              <w:rPr>
                <w:rFonts w:ascii="Times New Roman" w:hAnsi="Times New Roman"/>
              </w:rPr>
            </w:pPr>
            <w:r>
              <w:rPr>
                <w:rFonts w:ascii="Times New Roman" w:hAnsi="Times New Roman" w:hint="eastAsia"/>
              </w:rPr>
              <w:t>文本、数字、日期等，并检查数据类型正确</w:t>
            </w:r>
          </w:p>
        </w:tc>
      </w:tr>
      <w:tr w:rsidR="00564588" w14:paraId="6CD0DEA6"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486DBB85" w14:textId="77777777" w:rsidR="00564588" w:rsidRDefault="00000000">
            <w:pPr>
              <w:shd w:val="clear" w:color="auto" w:fill="FFFFFF"/>
              <w:adjustRightInd/>
              <w:rPr>
                <w:rFonts w:ascii="Times New Roman" w:hAnsi="Times New Roman"/>
              </w:rPr>
            </w:pPr>
            <w:r>
              <w:rPr>
                <w:rFonts w:ascii="Times New Roman" w:hAnsi="Times New Roman" w:hint="eastAsia"/>
              </w:rPr>
              <w:t>3</w:t>
            </w:r>
          </w:p>
        </w:tc>
        <w:tc>
          <w:tcPr>
            <w:tcW w:w="3087" w:type="dxa"/>
            <w:tcBorders>
              <w:top w:val="single" w:sz="4" w:space="0" w:color="000000"/>
              <w:left w:val="single" w:sz="4" w:space="0" w:color="000000"/>
              <w:bottom w:val="single" w:sz="4" w:space="0" w:color="000000"/>
              <w:right w:val="single" w:sz="4" w:space="0" w:color="000000"/>
            </w:tcBorders>
            <w:vAlign w:val="center"/>
          </w:tcPr>
          <w:p w14:paraId="34BFAF5D" w14:textId="77777777" w:rsidR="00564588" w:rsidRDefault="00000000">
            <w:pPr>
              <w:shd w:val="clear" w:color="auto" w:fill="FFFFFF"/>
              <w:adjustRightInd/>
              <w:rPr>
                <w:rFonts w:ascii="Times New Roman" w:hAnsi="Times New Roman"/>
              </w:rPr>
            </w:pPr>
            <w:r>
              <w:rPr>
                <w:rFonts w:ascii="Times New Roman" w:hAnsi="Times New Roman" w:hint="eastAsia"/>
              </w:rPr>
              <w:t>数据有效性</w:t>
            </w:r>
          </w:p>
        </w:tc>
        <w:tc>
          <w:tcPr>
            <w:tcW w:w="3704" w:type="dxa"/>
            <w:tcBorders>
              <w:top w:val="single" w:sz="4" w:space="0" w:color="000000"/>
              <w:left w:val="single" w:sz="4" w:space="0" w:color="000000"/>
              <w:bottom w:val="single" w:sz="4" w:space="0" w:color="000000"/>
              <w:right w:val="single" w:sz="4" w:space="0" w:color="000000"/>
            </w:tcBorders>
            <w:vAlign w:val="center"/>
          </w:tcPr>
          <w:p w14:paraId="38B758A7" w14:textId="77777777" w:rsidR="00564588" w:rsidRDefault="00000000">
            <w:pPr>
              <w:shd w:val="clear" w:color="auto" w:fill="FFFFFF"/>
              <w:adjustRightInd/>
              <w:rPr>
                <w:rFonts w:ascii="Times New Roman" w:hAnsi="Times New Roman"/>
              </w:rPr>
            </w:pPr>
            <w:r>
              <w:rPr>
                <w:rFonts w:ascii="Times New Roman" w:hAnsi="Times New Roman" w:hint="eastAsia"/>
              </w:rPr>
              <w:t>数据的有效性，即数据是否符合特定的标准、规则或约束；数据的小数位数或有效数字位数符合规定</w:t>
            </w:r>
          </w:p>
        </w:tc>
      </w:tr>
      <w:tr w:rsidR="00564588" w14:paraId="1EB65B17"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23FA7A4C" w14:textId="77777777" w:rsidR="00564588" w:rsidRDefault="00000000">
            <w:pPr>
              <w:shd w:val="clear" w:color="auto" w:fill="FFFFFF"/>
              <w:adjustRightInd/>
              <w:rPr>
                <w:rFonts w:ascii="Times New Roman" w:hAnsi="Times New Roman"/>
              </w:rPr>
            </w:pPr>
            <w:r>
              <w:rPr>
                <w:rFonts w:ascii="Times New Roman" w:hAnsi="Times New Roman" w:hint="eastAsia"/>
              </w:rPr>
              <w:t>4</w:t>
            </w:r>
          </w:p>
        </w:tc>
        <w:tc>
          <w:tcPr>
            <w:tcW w:w="3087" w:type="dxa"/>
            <w:tcBorders>
              <w:top w:val="single" w:sz="4" w:space="0" w:color="000000"/>
              <w:left w:val="single" w:sz="4" w:space="0" w:color="000000"/>
              <w:bottom w:val="single" w:sz="4" w:space="0" w:color="000000"/>
              <w:right w:val="single" w:sz="4" w:space="0" w:color="000000"/>
            </w:tcBorders>
            <w:vAlign w:val="center"/>
          </w:tcPr>
          <w:p w14:paraId="5B326FFA" w14:textId="77777777" w:rsidR="00564588" w:rsidRDefault="00000000">
            <w:pPr>
              <w:shd w:val="clear" w:color="auto" w:fill="FFFFFF"/>
              <w:adjustRightInd/>
              <w:rPr>
                <w:rFonts w:ascii="Times New Roman" w:hAnsi="Times New Roman"/>
              </w:rPr>
            </w:pPr>
            <w:r>
              <w:rPr>
                <w:rFonts w:ascii="Times New Roman" w:hAnsi="Times New Roman" w:hint="eastAsia"/>
              </w:rPr>
              <w:t>数据格式</w:t>
            </w:r>
          </w:p>
        </w:tc>
        <w:tc>
          <w:tcPr>
            <w:tcW w:w="3704" w:type="dxa"/>
            <w:tcBorders>
              <w:top w:val="single" w:sz="4" w:space="0" w:color="000000"/>
              <w:left w:val="single" w:sz="4" w:space="0" w:color="000000"/>
              <w:bottom w:val="single" w:sz="4" w:space="0" w:color="000000"/>
              <w:right w:val="single" w:sz="4" w:space="0" w:color="000000"/>
            </w:tcBorders>
            <w:vAlign w:val="center"/>
          </w:tcPr>
          <w:p w14:paraId="38FEB6C4" w14:textId="77777777" w:rsidR="00564588" w:rsidRDefault="00000000">
            <w:pPr>
              <w:shd w:val="clear" w:color="auto" w:fill="FFFFFF"/>
              <w:adjustRightInd/>
              <w:rPr>
                <w:rFonts w:ascii="Times New Roman" w:hAnsi="Times New Roman"/>
              </w:rPr>
            </w:pPr>
            <w:r>
              <w:rPr>
                <w:rFonts w:ascii="Times New Roman" w:hAnsi="Times New Roman" w:hint="eastAsia"/>
              </w:rPr>
              <w:t>检查数据格式，确保符合指定标准；数据完整，是否缺少任何必要字段或信息；数据不超出规定的长度范围</w:t>
            </w:r>
          </w:p>
        </w:tc>
      </w:tr>
      <w:tr w:rsidR="00564588" w14:paraId="650439C1"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54D14BAF" w14:textId="77777777" w:rsidR="00564588" w:rsidRDefault="00000000">
            <w:pPr>
              <w:shd w:val="clear" w:color="auto" w:fill="FFFFFF"/>
              <w:adjustRightInd/>
              <w:rPr>
                <w:rFonts w:ascii="Times New Roman" w:hAnsi="Times New Roman"/>
              </w:rPr>
            </w:pPr>
            <w:r>
              <w:rPr>
                <w:rFonts w:ascii="Times New Roman" w:hAnsi="Times New Roman" w:hint="eastAsia"/>
              </w:rPr>
              <w:t>5</w:t>
            </w:r>
          </w:p>
        </w:tc>
        <w:tc>
          <w:tcPr>
            <w:tcW w:w="3087" w:type="dxa"/>
            <w:tcBorders>
              <w:top w:val="single" w:sz="4" w:space="0" w:color="000000"/>
              <w:left w:val="single" w:sz="4" w:space="0" w:color="000000"/>
              <w:bottom w:val="single" w:sz="4" w:space="0" w:color="000000"/>
              <w:right w:val="single" w:sz="4" w:space="0" w:color="000000"/>
            </w:tcBorders>
            <w:vAlign w:val="center"/>
          </w:tcPr>
          <w:p w14:paraId="7C51599A" w14:textId="77777777" w:rsidR="00564588" w:rsidRDefault="00000000">
            <w:pPr>
              <w:shd w:val="clear" w:color="auto" w:fill="FFFFFF"/>
              <w:adjustRightInd/>
              <w:rPr>
                <w:rFonts w:ascii="Times New Roman" w:hAnsi="Times New Roman"/>
              </w:rPr>
            </w:pPr>
            <w:r>
              <w:rPr>
                <w:rFonts w:ascii="Times New Roman" w:hAnsi="Times New Roman" w:hint="eastAsia"/>
              </w:rPr>
              <w:t>可读性</w:t>
            </w:r>
          </w:p>
        </w:tc>
        <w:tc>
          <w:tcPr>
            <w:tcW w:w="3704" w:type="dxa"/>
            <w:tcBorders>
              <w:top w:val="single" w:sz="4" w:space="0" w:color="000000"/>
              <w:left w:val="single" w:sz="4" w:space="0" w:color="000000"/>
              <w:bottom w:val="single" w:sz="4" w:space="0" w:color="000000"/>
              <w:right w:val="single" w:sz="4" w:space="0" w:color="000000"/>
            </w:tcBorders>
            <w:vAlign w:val="center"/>
          </w:tcPr>
          <w:p w14:paraId="57E771C3" w14:textId="77777777" w:rsidR="00564588" w:rsidRDefault="00000000">
            <w:pPr>
              <w:shd w:val="clear" w:color="auto" w:fill="FFFFFF"/>
              <w:adjustRightInd/>
              <w:rPr>
                <w:rFonts w:ascii="Times New Roman" w:hAnsi="Times New Roman"/>
              </w:rPr>
            </w:pPr>
            <w:r>
              <w:rPr>
                <w:rFonts w:ascii="Times New Roman" w:hAnsi="Times New Roman" w:hint="eastAsia"/>
              </w:rPr>
              <w:t>评估数据是否易读，是否有良好的格式和清晰的标记；命名规范，命名符合规定且具有一致性；数据根据规定的字段进行正确排序；数据的取值范围符合规定段进行正确排序；数据的取值范围符合规定</w:t>
            </w:r>
          </w:p>
        </w:tc>
      </w:tr>
      <w:tr w:rsidR="00564588" w14:paraId="60D8D208"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6E287AE0" w14:textId="77777777" w:rsidR="00564588" w:rsidRDefault="00000000">
            <w:pPr>
              <w:shd w:val="clear" w:color="auto" w:fill="FFFFFF"/>
              <w:adjustRightInd/>
              <w:rPr>
                <w:rFonts w:ascii="Times New Roman" w:hAnsi="Times New Roman"/>
              </w:rPr>
            </w:pPr>
            <w:r>
              <w:rPr>
                <w:rFonts w:ascii="Times New Roman" w:hAnsi="Times New Roman" w:hint="eastAsia"/>
              </w:rPr>
              <w:t>6</w:t>
            </w:r>
          </w:p>
        </w:tc>
        <w:tc>
          <w:tcPr>
            <w:tcW w:w="3087" w:type="dxa"/>
            <w:tcBorders>
              <w:top w:val="single" w:sz="4" w:space="0" w:color="000000"/>
              <w:left w:val="single" w:sz="4" w:space="0" w:color="000000"/>
              <w:bottom w:val="single" w:sz="4" w:space="0" w:color="000000"/>
              <w:right w:val="single" w:sz="4" w:space="0" w:color="000000"/>
            </w:tcBorders>
            <w:vAlign w:val="center"/>
          </w:tcPr>
          <w:p w14:paraId="21FED472" w14:textId="77777777" w:rsidR="00564588" w:rsidRDefault="00000000">
            <w:pPr>
              <w:shd w:val="clear" w:color="auto" w:fill="FFFFFF"/>
              <w:adjustRightInd/>
              <w:rPr>
                <w:rFonts w:ascii="Times New Roman" w:hAnsi="Times New Roman"/>
              </w:rPr>
            </w:pPr>
            <w:r>
              <w:rPr>
                <w:rFonts w:ascii="Times New Roman" w:hAnsi="Times New Roman" w:hint="eastAsia"/>
              </w:rPr>
              <w:t>证明文件资料</w:t>
            </w:r>
          </w:p>
        </w:tc>
        <w:tc>
          <w:tcPr>
            <w:tcW w:w="3704" w:type="dxa"/>
            <w:tcBorders>
              <w:top w:val="single" w:sz="4" w:space="0" w:color="000000"/>
              <w:left w:val="single" w:sz="4" w:space="0" w:color="000000"/>
              <w:bottom w:val="single" w:sz="4" w:space="0" w:color="000000"/>
              <w:right w:val="single" w:sz="4" w:space="0" w:color="000000"/>
            </w:tcBorders>
            <w:vAlign w:val="center"/>
          </w:tcPr>
          <w:p w14:paraId="4828D0A3" w14:textId="77777777" w:rsidR="00564588" w:rsidRDefault="00000000">
            <w:pPr>
              <w:shd w:val="clear" w:color="auto" w:fill="FFFFFF"/>
              <w:adjustRightInd/>
              <w:rPr>
                <w:rFonts w:ascii="Times New Roman" w:hAnsi="Times New Roman"/>
              </w:rPr>
            </w:pPr>
            <w:r>
              <w:rPr>
                <w:rFonts w:ascii="Times New Roman" w:hAnsi="Times New Roman" w:hint="eastAsia"/>
              </w:rPr>
              <w:t>证明数据正确测量方法的专家评审意见书、相关证明文件、或者国标文件、</w:t>
            </w:r>
            <w:r>
              <w:rPr>
                <w:rFonts w:ascii="Times New Roman" w:hAnsi="Times New Roman" w:hint="eastAsia"/>
              </w:rPr>
              <w:t xml:space="preserve">JJF </w:t>
            </w:r>
            <w:r>
              <w:rPr>
                <w:rFonts w:ascii="Times New Roman" w:hAnsi="Times New Roman" w:hint="eastAsia"/>
              </w:rPr>
              <w:t>等认定了数据准确性、不确定度的证明</w:t>
            </w:r>
          </w:p>
        </w:tc>
      </w:tr>
      <w:tr w:rsidR="00564588" w14:paraId="6C8FE525"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78FE6E6B" w14:textId="77777777" w:rsidR="00564588" w:rsidRDefault="00000000">
            <w:pPr>
              <w:shd w:val="clear" w:color="auto" w:fill="FFFFFF"/>
              <w:adjustRightInd/>
              <w:rPr>
                <w:rFonts w:ascii="Times New Roman" w:hAnsi="Times New Roman"/>
              </w:rPr>
            </w:pPr>
            <w:r>
              <w:rPr>
                <w:rFonts w:ascii="Times New Roman" w:hAnsi="Times New Roman" w:hint="eastAsia"/>
              </w:rPr>
              <w:t>7</w:t>
            </w:r>
          </w:p>
        </w:tc>
        <w:tc>
          <w:tcPr>
            <w:tcW w:w="3087" w:type="dxa"/>
            <w:tcBorders>
              <w:top w:val="single" w:sz="4" w:space="0" w:color="000000"/>
              <w:left w:val="single" w:sz="4" w:space="0" w:color="000000"/>
              <w:bottom w:val="single" w:sz="4" w:space="0" w:color="000000"/>
              <w:right w:val="single" w:sz="4" w:space="0" w:color="000000"/>
            </w:tcBorders>
            <w:vAlign w:val="center"/>
          </w:tcPr>
          <w:p w14:paraId="53DF0631" w14:textId="77777777" w:rsidR="00564588" w:rsidRDefault="00000000">
            <w:pPr>
              <w:shd w:val="clear" w:color="auto" w:fill="FFFFFF"/>
              <w:adjustRightInd/>
              <w:rPr>
                <w:rFonts w:ascii="Times New Roman" w:hAnsi="Times New Roman"/>
              </w:rPr>
            </w:pPr>
            <w:r>
              <w:rPr>
                <w:rFonts w:ascii="Times New Roman" w:hAnsi="Times New Roman" w:hint="eastAsia"/>
              </w:rPr>
              <w:t>数据标识</w:t>
            </w:r>
          </w:p>
        </w:tc>
        <w:tc>
          <w:tcPr>
            <w:tcW w:w="3704" w:type="dxa"/>
            <w:tcBorders>
              <w:top w:val="single" w:sz="4" w:space="0" w:color="000000"/>
              <w:left w:val="single" w:sz="4" w:space="0" w:color="000000"/>
              <w:bottom w:val="single" w:sz="4" w:space="0" w:color="000000"/>
              <w:right w:val="single" w:sz="4" w:space="0" w:color="000000"/>
            </w:tcBorders>
            <w:vAlign w:val="center"/>
          </w:tcPr>
          <w:p w14:paraId="2DFD6171" w14:textId="77777777" w:rsidR="00564588" w:rsidRDefault="00000000">
            <w:pPr>
              <w:shd w:val="clear" w:color="auto" w:fill="FFFFFF"/>
              <w:adjustRightInd/>
              <w:rPr>
                <w:rFonts w:ascii="Times New Roman" w:hAnsi="Times New Roman"/>
              </w:rPr>
            </w:pPr>
            <w:r>
              <w:rPr>
                <w:rFonts w:ascii="Times New Roman" w:hAnsi="Times New Roman" w:hint="eastAsia"/>
              </w:rPr>
              <w:t>检查数据是否有独特的标识符，以便跟踪和识别</w:t>
            </w:r>
          </w:p>
        </w:tc>
      </w:tr>
      <w:tr w:rsidR="00564588" w14:paraId="607E9F7B"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6756A603" w14:textId="77777777" w:rsidR="00564588" w:rsidRDefault="00000000">
            <w:pPr>
              <w:shd w:val="clear" w:color="auto" w:fill="FFFFFF"/>
              <w:adjustRightInd/>
              <w:rPr>
                <w:rFonts w:ascii="Times New Roman" w:hAnsi="Times New Roman"/>
              </w:rPr>
            </w:pPr>
            <w:r>
              <w:rPr>
                <w:rFonts w:ascii="Times New Roman" w:hAnsi="Times New Roman" w:hint="eastAsia"/>
              </w:rPr>
              <w:t>8</w:t>
            </w:r>
          </w:p>
        </w:tc>
        <w:tc>
          <w:tcPr>
            <w:tcW w:w="3087" w:type="dxa"/>
            <w:tcBorders>
              <w:top w:val="single" w:sz="4" w:space="0" w:color="000000"/>
              <w:left w:val="single" w:sz="4" w:space="0" w:color="000000"/>
              <w:bottom w:val="single" w:sz="4" w:space="0" w:color="000000"/>
              <w:right w:val="single" w:sz="4" w:space="0" w:color="000000"/>
            </w:tcBorders>
            <w:vAlign w:val="center"/>
          </w:tcPr>
          <w:p w14:paraId="022BBEC0" w14:textId="77777777" w:rsidR="00564588" w:rsidRDefault="00000000">
            <w:pPr>
              <w:shd w:val="clear" w:color="auto" w:fill="FFFFFF"/>
              <w:adjustRightInd/>
              <w:rPr>
                <w:rFonts w:ascii="Times New Roman" w:hAnsi="Times New Roman"/>
              </w:rPr>
            </w:pPr>
            <w:r>
              <w:rPr>
                <w:rFonts w:ascii="Times New Roman" w:hAnsi="Times New Roman" w:hint="eastAsia"/>
              </w:rPr>
              <w:t>数据文档资料</w:t>
            </w:r>
          </w:p>
        </w:tc>
        <w:tc>
          <w:tcPr>
            <w:tcW w:w="3704" w:type="dxa"/>
            <w:tcBorders>
              <w:top w:val="single" w:sz="4" w:space="0" w:color="000000"/>
              <w:left w:val="single" w:sz="4" w:space="0" w:color="000000"/>
              <w:bottom w:val="single" w:sz="4" w:space="0" w:color="000000"/>
              <w:right w:val="single" w:sz="4" w:space="0" w:color="000000"/>
            </w:tcBorders>
            <w:vAlign w:val="center"/>
          </w:tcPr>
          <w:p w14:paraId="63417050" w14:textId="77777777" w:rsidR="00564588" w:rsidRDefault="00000000">
            <w:pPr>
              <w:shd w:val="clear" w:color="auto" w:fill="FFFFFF"/>
              <w:adjustRightInd/>
              <w:rPr>
                <w:rFonts w:ascii="Times New Roman" w:hAnsi="Times New Roman"/>
              </w:rPr>
            </w:pPr>
            <w:r>
              <w:rPr>
                <w:rFonts w:ascii="Times New Roman" w:hAnsi="Times New Roman" w:hint="eastAsia"/>
              </w:rPr>
              <w:t>审查数据的相关文档，包括数据定义、数据字典</w:t>
            </w:r>
          </w:p>
        </w:tc>
      </w:tr>
      <w:tr w:rsidR="00564588" w14:paraId="3ADF81A5" w14:textId="77777777">
        <w:trPr>
          <w:trHeight w:val="90"/>
        </w:trPr>
        <w:tc>
          <w:tcPr>
            <w:tcW w:w="1868" w:type="dxa"/>
            <w:tcBorders>
              <w:top w:val="single" w:sz="4" w:space="0" w:color="000000"/>
              <w:left w:val="single" w:sz="4" w:space="0" w:color="000000"/>
              <w:bottom w:val="single" w:sz="4" w:space="0" w:color="000000"/>
              <w:right w:val="single" w:sz="4" w:space="0" w:color="000000"/>
            </w:tcBorders>
            <w:vAlign w:val="center"/>
          </w:tcPr>
          <w:p w14:paraId="74B90A2C" w14:textId="77777777" w:rsidR="00564588" w:rsidRDefault="00000000">
            <w:pPr>
              <w:shd w:val="clear" w:color="auto" w:fill="FFFFFF"/>
              <w:adjustRightInd/>
              <w:rPr>
                <w:rFonts w:ascii="Times New Roman" w:hAnsi="Times New Roman"/>
              </w:rPr>
            </w:pPr>
            <w:r>
              <w:rPr>
                <w:rFonts w:ascii="Times New Roman" w:hAnsi="Times New Roman" w:hint="eastAsia"/>
              </w:rPr>
              <w:lastRenderedPageBreak/>
              <w:t>9</w:t>
            </w:r>
          </w:p>
        </w:tc>
        <w:tc>
          <w:tcPr>
            <w:tcW w:w="3087" w:type="dxa"/>
            <w:tcBorders>
              <w:top w:val="single" w:sz="4" w:space="0" w:color="000000"/>
              <w:left w:val="single" w:sz="4" w:space="0" w:color="000000"/>
              <w:bottom w:val="single" w:sz="4" w:space="0" w:color="000000"/>
              <w:right w:val="single" w:sz="4" w:space="0" w:color="000000"/>
            </w:tcBorders>
            <w:vAlign w:val="center"/>
          </w:tcPr>
          <w:p w14:paraId="79C827AD" w14:textId="77777777" w:rsidR="00564588" w:rsidRDefault="00000000">
            <w:pPr>
              <w:shd w:val="clear" w:color="auto" w:fill="FFFFFF"/>
              <w:adjustRightInd/>
              <w:rPr>
                <w:rFonts w:ascii="Times New Roman" w:hAnsi="Times New Roman"/>
              </w:rPr>
            </w:pPr>
            <w:r>
              <w:rPr>
                <w:rFonts w:ascii="Times New Roman" w:hAnsi="Times New Roman" w:hint="eastAsia"/>
              </w:rPr>
              <w:t>数据分类</w:t>
            </w:r>
          </w:p>
        </w:tc>
        <w:tc>
          <w:tcPr>
            <w:tcW w:w="3704" w:type="dxa"/>
            <w:tcBorders>
              <w:top w:val="single" w:sz="4" w:space="0" w:color="000000"/>
              <w:left w:val="single" w:sz="4" w:space="0" w:color="000000"/>
              <w:bottom w:val="single" w:sz="4" w:space="0" w:color="000000"/>
              <w:right w:val="single" w:sz="4" w:space="0" w:color="000000"/>
            </w:tcBorders>
            <w:vAlign w:val="center"/>
          </w:tcPr>
          <w:p w14:paraId="0EA7150E" w14:textId="77777777" w:rsidR="00564588" w:rsidRDefault="00000000">
            <w:pPr>
              <w:shd w:val="clear" w:color="auto" w:fill="FFFFFF"/>
              <w:adjustRightInd/>
              <w:rPr>
                <w:rFonts w:ascii="Times New Roman" w:hAnsi="Times New Roman"/>
              </w:rPr>
            </w:pPr>
            <w:r>
              <w:rPr>
                <w:rFonts w:ascii="Times New Roman" w:hAnsi="Times New Roman" w:hint="eastAsia"/>
              </w:rPr>
              <w:t>数据是否根据正确的分类标准进行分类</w:t>
            </w:r>
          </w:p>
        </w:tc>
      </w:tr>
    </w:tbl>
    <w:p w14:paraId="2B7D5C54" w14:textId="77777777" w:rsidR="00564588" w:rsidRDefault="00564588">
      <w:pPr>
        <w:shd w:val="clear" w:color="auto" w:fill="FFFFFF"/>
        <w:adjustRightInd/>
        <w:rPr>
          <w:rFonts w:ascii="Times New Roman" w:hAnsi="Times New Roman"/>
        </w:rPr>
      </w:pPr>
    </w:p>
    <w:p w14:paraId="034BBDA3" w14:textId="77777777" w:rsidR="00564588" w:rsidRDefault="00564588">
      <w:pPr>
        <w:shd w:val="clear" w:color="auto" w:fill="FFFFFF"/>
        <w:adjustRightInd/>
        <w:rPr>
          <w:rFonts w:ascii="Times New Roman" w:hAnsi="Times New Roman"/>
        </w:rPr>
      </w:pPr>
    </w:p>
    <w:p w14:paraId="0BB6D5C2" w14:textId="77777777" w:rsidR="00564588" w:rsidRDefault="00000000">
      <w:pPr>
        <w:shd w:val="clear" w:color="auto" w:fill="FFFFFF"/>
        <w:adjustRightInd/>
        <w:rPr>
          <w:rFonts w:ascii="Times New Roman" w:hAnsi="Times New Roman"/>
        </w:rPr>
      </w:pPr>
      <w:r>
        <w:rPr>
          <w:rFonts w:ascii="Times New Roman" w:hAnsi="Times New Roman" w:hint="eastAsia"/>
        </w:rPr>
        <w:t>附表</w:t>
      </w:r>
      <w:r>
        <w:rPr>
          <w:rFonts w:ascii="Times New Roman" w:hAnsi="Times New Roman" w:hint="eastAsia"/>
        </w:rPr>
        <w:t>2</w:t>
      </w:r>
      <w:r>
        <w:rPr>
          <w:rFonts w:ascii="Times New Roman" w:hAnsi="Times New Roman" w:hint="eastAsia"/>
        </w:rPr>
        <w:t>：技术委员会评审检查清单</w:t>
      </w:r>
    </w:p>
    <w:tbl>
      <w:tblPr>
        <w:tblW w:w="8879" w:type="dxa"/>
        <w:tblInd w:w="96" w:type="dxa"/>
        <w:tblLook w:val="04A0" w:firstRow="1" w:lastRow="0" w:firstColumn="1" w:lastColumn="0" w:noHBand="0" w:noVBand="1"/>
      </w:tblPr>
      <w:tblGrid>
        <w:gridCol w:w="1916"/>
        <w:gridCol w:w="3165"/>
        <w:gridCol w:w="3798"/>
      </w:tblGrid>
      <w:tr w:rsidR="00564588" w14:paraId="3E24DF34" w14:textId="77777777">
        <w:trPr>
          <w:trHeight w:val="341"/>
        </w:trPr>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00332828" w14:textId="77777777" w:rsidR="00564588" w:rsidRDefault="00000000">
            <w:pPr>
              <w:shd w:val="clear" w:color="auto" w:fill="FFFFFF"/>
              <w:adjustRightInd/>
              <w:rPr>
                <w:rFonts w:ascii="Times New Roman" w:hAnsi="Times New Roman"/>
              </w:rPr>
            </w:pPr>
            <w:r>
              <w:rPr>
                <w:rFonts w:ascii="Times New Roman" w:hAnsi="Times New Roman"/>
              </w:rPr>
              <w:t>1</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tcPr>
          <w:p w14:paraId="4598453D" w14:textId="77777777" w:rsidR="00564588" w:rsidRDefault="00000000">
            <w:pPr>
              <w:shd w:val="clear" w:color="auto" w:fill="FFFFFF"/>
              <w:adjustRightInd/>
              <w:rPr>
                <w:rFonts w:ascii="Times New Roman" w:hAnsi="Times New Roman"/>
              </w:rPr>
            </w:pPr>
            <w:r>
              <w:rPr>
                <w:rFonts w:ascii="Times New Roman" w:hAnsi="Times New Roman"/>
              </w:rPr>
              <w:t>严格评价</w:t>
            </w:r>
          </w:p>
        </w:tc>
        <w:tc>
          <w:tcPr>
            <w:tcW w:w="3798" w:type="dxa"/>
            <w:tcBorders>
              <w:top w:val="single" w:sz="4" w:space="0" w:color="000000"/>
              <w:left w:val="single" w:sz="4" w:space="0" w:color="000000"/>
              <w:bottom w:val="single" w:sz="4" w:space="0" w:color="000000"/>
              <w:right w:val="single" w:sz="4" w:space="0" w:color="000000"/>
            </w:tcBorders>
            <w:vAlign w:val="center"/>
          </w:tcPr>
          <w:p w14:paraId="7DA50104" w14:textId="77777777" w:rsidR="00564588" w:rsidRDefault="00000000">
            <w:pPr>
              <w:shd w:val="clear" w:color="auto" w:fill="FFFFFF"/>
              <w:adjustRightInd/>
              <w:rPr>
                <w:rFonts w:ascii="Times New Roman" w:hAnsi="Times New Roman"/>
              </w:rPr>
            </w:pPr>
            <w:r>
              <w:rPr>
                <w:rFonts w:ascii="Times New Roman" w:hAnsi="Times New Roman"/>
              </w:rPr>
              <w:t>(</w:t>
            </w:r>
            <w:r>
              <w:rPr>
                <w:rFonts w:ascii="Times New Roman" w:hAnsi="Times New Roman"/>
              </w:rPr>
              <w:t>标准性</w:t>
            </w:r>
            <w:r>
              <w:rPr>
                <w:rFonts w:ascii="Times New Roman" w:hAnsi="Times New Roman"/>
              </w:rPr>
              <w:t>)</w:t>
            </w:r>
          </w:p>
        </w:tc>
      </w:tr>
      <w:tr w:rsidR="00564588" w14:paraId="10B093C4"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2793A555"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663A86BE"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6E501132" w14:textId="77777777" w:rsidR="00564588" w:rsidRDefault="00000000">
            <w:pPr>
              <w:shd w:val="clear" w:color="auto" w:fill="FFFFFF"/>
              <w:adjustRightInd/>
              <w:rPr>
                <w:rFonts w:ascii="Times New Roman" w:hAnsi="Times New Roman"/>
              </w:rPr>
            </w:pPr>
            <w:r>
              <w:rPr>
                <w:rFonts w:ascii="Times New Roman" w:hAnsi="Times New Roman"/>
              </w:rPr>
              <w:t>一致性</w:t>
            </w:r>
          </w:p>
        </w:tc>
      </w:tr>
      <w:tr w:rsidR="00564588" w14:paraId="185A0736"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61218F8E"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5F8D341E"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47155491" w14:textId="77777777" w:rsidR="00564588" w:rsidRDefault="00000000">
            <w:pPr>
              <w:shd w:val="clear" w:color="auto" w:fill="FFFFFF"/>
              <w:adjustRightInd/>
              <w:rPr>
                <w:rFonts w:ascii="Times New Roman" w:hAnsi="Times New Roman"/>
              </w:rPr>
            </w:pPr>
            <w:r>
              <w:rPr>
                <w:rFonts w:ascii="Times New Roman" w:hAnsi="Times New Roman"/>
              </w:rPr>
              <w:t>完整性</w:t>
            </w:r>
          </w:p>
        </w:tc>
      </w:tr>
      <w:tr w:rsidR="00564588" w14:paraId="791D1839"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50D34F80"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559DB3C5"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1E067757" w14:textId="77777777" w:rsidR="00564588" w:rsidRDefault="00000000">
            <w:pPr>
              <w:shd w:val="clear" w:color="auto" w:fill="FFFFFF"/>
              <w:adjustRightInd/>
              <w:rPr>
                <w:rFonts w:ascii="Times New Roman" w:hAnsi="Times New Roman"/>
              </w:rPr>
            </w:pPr>
            <w:r>
              <w:rPr>
                <w:rFonts w:ascii="Times New Roman" w:hAnsi="Times New Roman"/>
              </w:rPr>
              <w:t>实用性</w:t>
            </w:r>
          </w:p>
        </w:tc>
      </w:tr>
      <w:tr w:rsidR="00564588" w14:paraId="37BD7DE7"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6C3737D1"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1D654989"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51C2C2F1" w14:textId="77777777" w:rsidR="00564588" w:rsidRDefault="00000000">
            <w:pPr>
              <w:shd w:val="clear" w:color="auto" w:fill="FFFFFF"/>
              <w:adjustRightInd/>
              <w:rPr>
                <w:rFonts w:ascii="Times New Roman" w:hAnsi="Times New Roman"/>
              </w:rPr>
            </w:pPr>
            <w:r>
              <w:rPr>
                <w:rFonts w:ascii="Times New Roman" w:hAnsi="Times New Roman"/>
              </w:rPr>
              <w:t>可靠性</w:t>
            </w:r>
          </w:p>
        </w:tc>
      </w:tr>
      <w:tr w:rsidR="00564588" w14:paraId="6C099C09" w14:textId="77777777">
        <w:trPr>
          <w:trHeight w:val="400"/>
        </w:trPr>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7B93E566" w14:textId="77777777" w:rsidR="00564588" w:rsidRDefault="00000000">
            <w:pPr>
              <w:shd w:val="clear" w:color="auto" w:fill="FFFFFF"/>
              <w:adjustRightInd/>
              <w:rPr>
                <w:rFonts w:ascii="Times New Roman" w:hAnsi="Times New Roman"/>
              </w:rPr>
            </w:pPr>
            <w:r>
              <w:rPr>
                <w:rFonts w:ascii="Times New Roman" w:hAnsi="Times New Roman"/>
              </w:rPr>
              <w:t>2</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tcPr>
          <w:p w14:paraId="73D47C21" w14:textId="77777777" w:rsidR="00564588" w:rsidRDefault="00000000">
            <w:pPr>
              <w:shd w:val="clear" w:color="auto" w:fill="FFFFFF"/>
              <w:adjustRightInd/>
              <w:rPr>
                <w:rFonts w:ascii="Times New Roman" w:hAnsi="Times New Roman"/>
              </w:rPr>
            </w:pPr>
            <w:r>
              <w:rPr>
                <w:rFonts w:ascii="Times New Roman" w:hAnsi="Times New Roman"/>
              </w:rPr>
              <w:t>准确性验证（计量性）</w:t>
            </w:r>
          </w:p>
        </w:tc>
        <w:tc>
          <w:tcPr>
            <w:tcW w:w="3798" w:type="dxa"/>
            <w:vMerge w:val="restart"/>
            <w:tcBorders>
              <w:top w:val="single" w:sz="4" w:space="0" w:color="000000"/>
              <w:left w:val="single" w:sz="4" w:space="0" w:color="000000"/>
              <w:bottom w:val="single" w:sz="4" w:space="0" w:color="000000"/>
              <w:right w:val="single" w:sz="4" w:space="0" w:color="000000"/>
            </w:tcBorders>
            <w:vAlign w:val="center"/>
          </w:tcPr>
          <w:p w14:paraId="39AAE46A" w14:textId="77777777" w:rsidR="00564588" w:rsidRDefault="00000000">
            <w:pPr>
              <w:shd w:val="clear" w:color="auto" w:fill="FFFFFF"/>
              <w:adjustRightInd/>
              <w:rPr>
                <w:rFonts w:ascii="Times New Roman" w:hAnsi="Times New Roman"/>
              </w:rPr>
            </w:pPr>
            <w:r>
              <w:rPr>
                <w:rFonts w:ascii="Times New Roman" w:hAnsi="Times New Roman"/>
              </w:rPr>
              <w:t>准确性：</w:t>
            </w:r>
            <w:r>
              <w:rPr>
                <w:rFonts w:ascii="Times New Roman" w:hAnsi="Times New Roman"/>
              </w:rPr>
              <w:br/>
              <w:t>1.</w:t>
            </w:r>
            <w:r>
              <w:rPr>
                <w:rFonts w:ascii="Times New Roman" w:hAnsi="Times New Roman"/>
              </w:rPr>
              <w:t>数据句法准确性</w:t>
            </w:r>
            <w:r>
              <w:rPr>
                <w:rFonts w:ascii="Times New Roman" w:hAnsi="Times New Roman"/>
              </w:rPr>
              <w:br/>
              <w:t>2.</w:t>
            </w:r>
            <w:r>
              <w:rPr>
                <w:rFonts w:ascii="Times New Roman" w:hAnsi="Times New Roman"/>
              </w:rPr>
              <w:t>数据语义准确性</w:t>
            </w:r>
            <w:r>
              <w:rPr>
                <w:rFonts w:ascii="Times New Roman" w:hAnsi="Times New Roman"/>
              </w:rPr>
              <w:br/>
              <w:t>3.</w:t>
            </w:r>
            <w:r>
              <w:rPr>
                <w:rFonts w:ascii="Times New Roman" w:hAnsi="Times New Roman"/>
              </w:rPr>
              <w:t>数据准确性保证</w:t>
            </w:r>
            <w:r>
              <w:rPr>
                <w:rFonts w:ascii="Times New Roman" w:hAnsi="Times New Roman"/>
              </w:rPr>
              <w:br/>
              <w:t>4.</w:t>
            </w:r>
            <w:r>
              <w:rPr>
                <w:rFonts w:ascii="Times New Roman" w:hAnsi="Times New Roman"/>
              </w:rPr>
              <w:t>数据集不准确性风险</w:t>
            </w:r>
            <w:r>
              <w:rPr>
                <w:rFonts w:ascii="Times New Roman" w:hAnsi="Times New Roman"/>
              </w:rPr>
              <w:br/>
              <w:t>5.</w:t>
            </w:r>
            <w:r>
              <w:rPr>
                <w:rFonts w:ascii="Times New Roman" w:hAnsi="Times New Roman"/>
              </w:rPr>
              <w:t>数据模型准确性（不确定度）</w:t>
            </w:r>
            <w:r>
              <w:rPr>
                <w:rFonts w:ascii="Times New Roman" w:hAnsi="Times New Roman"/>
              </w:rPr>
              <w:br/>
              <w:t>6.</w:t>
            </w:r>
            <w:r>
              <w:rPr>
                <w:rFonts w:ascii="Times New Roman" w:hAnsi="Times New Roman"/>
              </w:rPr>
              <w:t>元数据准确性</w:t>
            </w:r>
            <w:r>
              <w:rPr>
                <w:rFonts w:ascii="Times New Roman" w:hAnsi="Times New Roman"/>
              </w:rPr>
              <w:br/>
              <w:t>7.</w:t>
            </w:r>
            <w:r>
              <w:rPr>
                <w:rFonts w:ascii="Times New Roman" w:hAnsi="Times New Roman"/>
              </w:rPr>
              <w:t>数据范围准确性</w:t>
            </w:r>
          </w:p>
        </w:tc>
      </w:tr>
      <w:tr w:rsidR="00564588" w14:paraId="236707B4"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47B3E3D4"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5B381ED8"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130434B7" w14:textId="77777777" w:rsidR="00564588" w:rsidRDefault="00564588">
            <w:pPr>
              <w:shd w:val="clear" w:color="auto" w:fill="FFFFFF"/>
              <w:adjustRightInd/>
              <w:rPr>
                <w:rFonts w:ascii="Times New Roman" w:hAnsi="Times New Roman"/>
              </w:rPr>
            </w:pPr>
          </w:p>
        </w:tc>
      </w:tr>
      <w:tr w:rsidR="00564588" w14:paraId="36902D51"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429F5936"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762E37C4"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661E6186" w14:textId="77777777" w:rsidR="00564588" w:rsidRDefault="00564588">
            <w:pPr>
              <w:shd w:val="clear" w:color="auto" w:fill="FFFFFF"/>
              <w:adjustRightInd/>
              <w:rPr>
                <w:rFonts w:ascii="Times New Roman" w:hAnsi="Times New Roman"/>
              </w:rPr>
            </w:pPr>
          </w:p>
        </w:tc>
      </w:tr>
      <w:tr w:rsidR="00564588" w14:paraId="77BE8A22"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54275BE2"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04FCD6AE"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72C48210" w14:textId="77777777" w:rsidR="00564588" w:rsidRDefault="00564588">
            <w:pPr>
              <w:shd w:val="clear" w:color="auto" w:fill="FFFFFF"/>
              <w:adjustRightInd/>
              <w:rPr>
                <w:rFonts w:ascii="Times New Roman" w:hAnsi="Times New Roman"/>
              </w:rPr>
            </w:pPr>
          </w:p>
        </w:tc>
      </w:tr>
      <w:tr w:rsidR="00564588" w14:paraId="59F3A04F"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63C630F6"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45513BE3"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58734A3B" w14:textId="77777777" w:rsidR="00564588" w:rsidRDefault="00564588">
            <w:pPr>
              <w:shd w:val="clear" w:color="auto" w:fill="FFFFFF"/>
              <w:adjustRightInd/>
              <w:rPr>
                <w:rFonts w:ascii="Times New Roman" w:hAnsi="Times New Roman"/>
              </w:rPr>
            </w:pPr>
          </w:p>
        </w:tc>
      </w:tr>
      <w:tr w:rsidR="00564588" w14:paraId="2D85F700"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7259DF99"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7CE3D5CF"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4B8E4F53" w14:textId="77777777" w:rsidR="00564588" w:rsidRDefault="00564588">
            <w:pPr>
              <w:shd w:val="clear" w:color="auto" w:fill="FFFFFF"/>
              <w:adjustRightInd/>
              <w:rPr>
                <w:rFonts w:ascii="Times New Roman" w:hAnsi="Times New Roman"/>
              </w:rPr>
            </w:pPr>
          </w:p>
        </w:tc>
      </w:tr>
      <w:tr w:rsidR="00564588" w14:paraId="0FFEBE8C" w14:textId="77777777">
        <w:trPr>
          <w:trHeight w:val="400"/>
        </w:trPr>
        <w:tc>
          <w:tcPr>
            <w:tcW w:w="1916" w:type="dxa"/>
            <w:vMerge/>
            <w:tcBorders>
              <w:top w:val="single" w:sz="4" w:space="0" w:color="000000"/>
              <w:left w:val="single" w:sz="4" w:space="0" w:color="000000"/>
              <w:bottom w:val="single" w:sz="4" w:space="0" w:color="000000"/>
              <w:right w:val="single" w:sz="4" w:space="0" w:color="000000"/>
            </w:tcBorders>
            <w:vAlign w:val="center"/>
          </w:tcPr>
          <w:p w14:paraId="0761784C"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41509F0D"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4CF28C57" w14:textId="77777777" w:rsidR="00564588" w:rsidRDefault="00564588">
            <w:pPr>
              <w:shd w:val="clear" w:color="auto" w:fill="FFFFFF"/>
              <w:adjustRightInd/>
              <w:rPr>
                <w:rFonts w:ascii="Times New Roman" w:hAnsi="Times New Roman"/>
              </w:rPr>
            </w:pPr>
          </w:p>
        </w:tc>
      </w:tr>
      <w:tr w:rsidR="00564588" w14:paraId="360B6057" w14:textId="77777777">
        <w:trPr>
          <w:trHeight w:val="793"/>
        </w:trPr>
        <w:tc>
          <w:tcPr>
            <w:tcW w:w="1916" w:type="dxa"/>
            <w:vMerge/>
            <w:tcBorders>
              <w:top w:val="single" w:sz="4" w:space="0" w:color="000000"/>
              <w:left w:val="single" w:sz="4" w:space="0" w:color="000000"/>
              <w:bottom w:val="single" w:sz="4" w:space="0" w:color="000000"/>
              <w:right w:val="single" w:sz="4" w:space="0" w:color="000000"/>
            </w:tcBorders>
            <w:vAlign w:val="center"/>
          </w:tcPr>
          <w:p w14:paraId="3AE0CBA3"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5CF110B1" w14:textId="77777777" w:rsidR="00564588" w:rsidRDefault="00564588">
            <w:pPr>
              <w:shd w:val="clear" w:color="auto" w:fill="FFFFFF"/>
              <w:adjustRightInd/>
              <w:rPr>
                <w:rFonts w:ascii="Times New Roman" w:hAnsi="Times New Roman"/>
              </w:rPr>
            </w:pPr>
          </w:p>
        </w:tc>
        <w:tc>
          <w:tcPr>
            <w:tcW w:w="3798" w:type="dxa"/>
            <w:vMerge/>
            <w:tcBorders>
              <w:top w:val="single" w:sz="4" w:space="0" w:color="000000"/>
              <w:left w:val="single" w:sz="4" w:space="0" w:color="000000"/>
              <w:bottom w:val="single" w:sz="4" w:space="0" w:color="000000"/>
              <w:right w:val="single" w:sz="4" w:space="0" w:color="000000"/>
            </w:tcBorders>
            <w:vAlign w:val="center"/>
          </w:tcPr>
          <w:p w14:paraId="271A4665" w14:textId="77777777" w:rsidR="00564588" w:rsidRDefault="00564588">
            <w:pPr>
              <w:shd w:val="clear" w:color="auto" w:fill="FFFFFF"/>
              <w:adjustRightInd/>
              <w:rPr>
                <w:rFonts w:ascii="Times New Roman" w:hAnsi="Times New Roman"/>
              </w:rPr>
            </w:pPr>
          </w:p>
        </w:tc>
      </w:tr>
      <w:tr w:rsidR="00564588" w14:paraId="2713756B"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6D7BC6AA"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40815886"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3D2DF4C1" w14:textId="77777777" w:rsidR="00564588" w:rsidRDefault="00000000">
            <w:pPr>
              <w:shd w:val="clear" w:color="auto" w:fill="FFFFFF"/>
              <w:adjustRightInd/>
              <w:rPr>
                <w:rFonts w:ascii="Times New Roman" w:hAnsi="Times New Roman"/>
              </w:rPr>
            </w:pPr>
            <w:r>
              <w:rPr>
                <w:rFonts w:ascii="Times New Roman" w:hAnsi="Times New Roman"/>
              </w:rPr>
              <w:t>溯源性</w:t>
            </w:r>
          </w:p>
        </w:tc>
      </w:tr>
      <w:tr w:rsidR="00564588" w14:paraId="656FB25B"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308C5387"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126D2ABA"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010CDC65" w14:textId="77777777" w:rsidR="00564588" w:rsidRDefault="00000000">
            <w:pPr>
              <w:shd w:val="clear" w:color="auto" w:fill="FFFFFF"/>
              <w:adjustRightInd/>
              <w:rPr>
                <w:rFonts w:ascii="Times New Roman" w:hAnsi="Times New Roman"/>
              </w:rPr>
            </w:pPr>
            <w:r>
              <w:rPr>
                <w:rFonts w:ascii="Times New Roman" w:hAnsi="Times New Roman"/>
              </w:rPr>
              <w:t>重复性（稳定性、复现性）</w:t>
            </w:r>
          </w:p>
        </w:tc>
      </w:tr>
      <w:tr w:rsidR="00564588" w14:paraId="3C14E738" w14:textId="77777777">
        <w:trPr>
          <w:trHeight w:val="341"/>
        </w:trPr>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091A3896" w14:textId="77777777" w:rsidR="00564588" w:rsidRDefault="00000000">
            <w:pPr>
              <w:shd w:val="clear" w:color="auto" w:fill="FFFFFF"/>
              <w:adjustRightInd/>
              <w:rPr>
                <w:rFonts w:ascii="Times New Roman" w:hAnsi="Times New Roman"/>
              </w:rPr>
            </w:pPr>
            <w:r>
              <w:rPr>
                <w:rFonts w:ascii="Times New Roman" w:hAnsi="Times New Roman"/>
              </w:rPr>
              <w:t>3</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tcPr>
          <w:p w14:paraId="4DF9842B" w14:textId="77777777" w:rsidR="00564588" w:rsidRDefault="00000000">
            <w:pPr>
              <w:shd w:val="clear" w:color="auto" w:fill="FFFFFF"/>
              <w:adjustRightInd/>
              <w:rPr>
                <w:rFonts w:ascii="Times New Roman" w:hAnsi="Times New Roman"/>
              </w:rPr>
            </w:pPr>
            <w:r>
              <w:rPr>
                <w:rFonts w:ascii="Times New Roman" w:hAnsi="Times New Roman"/>
              </w:rPr>
              <w:t>与现象、物体或物质特性的相关性</w:t>
            </w:r>
          </w:p>
        </w:tc>
        <w:tc>
          <w:tcPr>
            <w:tcW w:w="3798" w:type="dxa"/>
            <w:tcBorders>
              <w:top w:val="single" w:sz="4" w:space="0" w:color="000000"/>
              <w:left w:val="single" w:sz="4" w:space="0" w:color="000000"/>
              <w:bottom w:val="single" w:sz="4" w:space="0" w:color="000000"/>
              <w:right w:val="single" w:sz="4" w:space="0" w:color="000000"/>
            </w:tcBorders>
            <w:vAlign w:val="center"/>
          </w:tcPr>
          <w:p w14:paraId="78504FDE" w14:textId="77777777" w:rsidR="00564588" w:rsidRDefault="00000000">
            <w:pPr>
              <w:shd w:val="clear" w:color="auto" w:fill="FFFFFF"/>
              <w:adjustRightInd/>
              <w:rPr>
                <w:rFonts w:ascii="Times New Roman" w:hAnsi="Times New Roman"/>
              </w:rPr>
            </w:pPr>
            <w:r>
              <w:rPr>
                <w:rFonts w:ascii="Times New Roman" w:hAnsi="Times New Roman"/>
              </w:rPr>
              <w:t>现象目录</w:t>
            </w:r>
          </w:p>
        </w:tc>
      </w:tr>
      <w:tr w:rsidR="00564588" w14:paraId="393CE9F6"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08F714A8"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09E0252F"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76FF3FBB" w14:textId="77777777" w:rsidR="00564588" w:rsidRDefault="00000000">
            <w:pPr>
              <w:shd w:val="clear" w:color="auto" w:fill="FFFFFF"/>
              <w:adjustRightInd/>
              <w:rPr>
                <w:rFonts w:ascii="Times New Roman" w:hAnsi="Times New Roman"/>
              </w:rPr>
            </w:pPr>
            <w:r>
              <w:rPr>
                <w:rFonts w:ascii="Times New Roman" w:hAnsi="Times New Roman"/>
              </w:rPr>
              <w:t>物体特性目录</w:t>
            </w:r>
          </w:p>
        </w:tc>
      </w:tr>
      <w:tr w:rsidR="00564588" w14:paraId="2A435A7B" w14:textId="77777777">
        <w:trPr>
          <w:trHeight w:val="341"/>
        </w:trPr>
        <w:tc>
          <w:tcPr>
            <w:tcW w:w="1916" w:type="dxa"/>
            <w:vMerge/>
            <w:tcBorders>
              <w:top w:val="single" w:sz="4" w:space="0" w:color="000000"/>
              <w:left w:val="single" w:sz="4" w:space="0" w:color="000000"/>
              <w:bottom w:val="single" w:sz="4" w:space="0" w:color="000000"/>
              <w:right w:val="single" w:sz="4" w:space="0" w:color="000000"/>
            </w:tcBorders>
            <w:vAlign w:val="center"/>
          </w:tcPr>
          <w:p w14:paraId="70E8541C" w14:textId="77777777" w:rsidR="00564588" w:rsidRDefault="00564588">
            <w:pPr>
              <w:shd w:val="clear" w:color="auto" w:fill="FFFFFF"/>
              <w:adjustRightInd/>
              <w:rPr>
                <w:rFonts w:ascii="Times New Roman" w:hAnsi="Times New Roman"/>
              </w:rPr>
            </w:pPr>
          </w:p>
        </w:tc>
        <w:tc>
          <w:tcPr>
            <w:tcW w:w="3165" w:type="dxa"/>
            <w:vMerge/>
            <w:tcBorders>
              <w:top w:val="single" w:sz="4" w:space="0" w:color="000000"/>
              <w:left w:val="single" w:sz="4" w:space="0" w:color="000000"/>
              <w:bottom w:val="single" w:sz="4" w:space="0" w:color="000000"/>
              <w:right w:val="single" w:sz="4" w:space="0" w:color="000000"/>
            </w:tcBorders>
            <w:vAlign w:val="center"/>
          </w:tcPr>
          <w:p w14:paraId="1BEFBCE5" w14:textId="77777777" w:rsidR="00564588" w:rsidRDefault="00564588">
            <w:pPr>
              <w:shd w:val="clear" w:color="auto" w:fill="FFFFFF"/>
              <w:adjustRightInd/>
              <w:rPr>
                <w:rFonts w:ascii="Times New Roman" w:hAnsi="Times New Roman"/>
              </w:rPr>
            </w:pPr>
          </w:p>
        </w:tc>
        <w:tc>
          <w:tcPr>
            <w:tcW w:w="3798" w:type="dxa"/>
            <w:tcBorders>
              <w:top w:val="single" w:sz="4" w:space="0" w:color="000000"/>
              <w:left w:val="single" w:sz="4" w:space="0" w:color="000000"/>
              <w:bottom w:val="single" w:sz="4" w:space="0" w:color="000000"/>
              <w:right w:val="single" w:sz="4" w:space="0" w:color="000000"/>
            </w:tcBorders>
            <w:vAlign w:val="center"/>
          </w:tcPr>
          <w:p w14:paraId="572E6772" w14:textId="77777777" w:rsidR="00564588" w:rsidRDefault="00000000">
            <w:pPr>
              <w:shd w:val="clear" w:color="auto" w:fill="FFFFFF"/>
              <w:adjustRightInd/>
              <w:rPr>
                <w:rFonts w:ascii="Times New Roman" w:hAnsi="Times New Roman"/>
              </w:rPr>
            </w:pPr>
            <w:r>
              <w:rPr>
                <w:rFonts w:ascii="Times New Roman" w:hAnsi="Times New Roman"/>
              </w:rPr>
              <w:t>物质特性目录</w:t>
            </w:r>
          </w:p>
        </w:tc>
      </w:tr>
      <w:tr w:rsidR="00564588" w14:paraId="4F23AADF" w14:textId="77777777">
        <w:trPr>
          <w:trHeight w:val="341"/>
        </w:trPr>
        <w:tc>
          <w:tcPr>
            <w:tcW w:w="1916" w:type="dxa"/>
            <w:tcBorders>
              <w:top w:val="single" w:sz="4" w:space="0" w:color="000000"/>
              <w:left w:val="single" w:sz="4" w:space="0" w:color="000000"/>
              <w:bottom w:val="single" w:sz="4" w:space="0" w:color="000000"/>
              <w:right w:val="single" w:sz="4" w:space="0" w:color="000000"/>
            </w:tcBorders>
            <w:vAlign w:val="center"/>
          </w:tcPr>
          <w:p w14:paraId="74F2E0E5" w14:textId="77777777" w:rsidR="00564588" w:rsidRDefault="00000000">
            <w:pPr>
              <w:shd w:val="clear" w:color="auto" w:fill="FFFFFF"/>
              <w:adjustRightInd/>
              <w:rPr>
                <w:rFonts w:ascii="Times New Roman" w:hAnsi="Times New Roman"/>
              </w:rPr>
            </w:pPr>
            <w:r>
              <w:rPr>
                <w:rFonts w:ascii="Times New Roman" w:hAnsi="Times New Roman"/>
              </w:rPr>
              <w:t>4</w:t>
            </w:r>
          </w:p>
        </w:tc>
        <w:tc>
          <w:tcPr>
            <w:tcW w:w="3165" w:type="dxa"/>
            <w:tcBorders>
              <w:top w:val="single" w:sz="4" w:space="0" w:color="000000"/>
              <w:left w:val="single" w:sz="4" w:space="0" w:color="000000"/>
              <w:bottom w:val="single" w:sz="4" w:space="0" w:color="000000"/>
              <w:right w:val="single" w:sz="4" w:space="0" w:color="000000"/>
            </w:tcBorders>
            <w:vAlign w:val="center"/>
          </w:tcPr>
          <w:p w14:paraId="24AAA495" w14:textId="77777777" w:rsidR="00564588" w:rsidRDefault="00000000">
            <w:pPr>
              <w:shd w:val="clear" w:color="auto" w:fill="FFFFFF"/>
              <w:adjustRightInd/>
              <w:rPr>
                <w:rFonts w:ascii="Times New Roman" w:hAnsi="Times New Roman"/>
              </w:rPr>
            </w:pPr>
            <w:r>
              <w:rPr>
                <w:rFonts w:ascii="Times New Roman" w:hAnsi="Times New Roman"/>
              </w:rPr>
              <w:t>与已知化合物成分的相关性</w:t>
            </w:r>
          </w:p>
        </w:tc>
        <w:tc>
          <w:tcPr>
            <w:tcW w:w="3798" w:type="dxa"/>
            <w:tcBorders>
              <w:top w:val="single" w:sz="4" w:space="0" w:color="000000"/>
              <w:left w:val="single" w:sz="4" w:space="0" w:color="000000"/>
              <w:bottom w:val="single" w:sz="4" w:space="0" w:color="000000"/>
              <w:right w:val="single" w:sz="4" w:space="0" w:color="000000"/>
            </w:tcBorders>
            <w:vAlign w:val="center"/>
          </w:tcPr>
          <w:p w14:paraId="4178B77A" w14:textId="77777777" w:rsidR="00564588" w:rsidRDefault="00000000">
            <w:pPr>
              <w:shd w:val="clear" w:color="auto" w:fill="FFFFFF"/>
              <w:adjustRightInd/>
              <w:rPr>
                <w:rFonts w:ascii="Times New Roman" w:hAnsi="Times New Roman"/>
              </w:rPr>
            </w:pPr>
            <w:r>
              <w:rPr>
                <w:rFonts w:ascii="Times New Roman" w:hAnsi="Times New Roman"/>
              </w:rPr>
              <w:t>已知化合物成分目录</w:t>
            </w:r>
          </w:p>
        </w:tc>
      </w:tr>
      <w:tr w:rsidR="00564588" w14:paraId="5F3D10B2" w14:textId="77777777">
        <w:trPr>
          <w:trHeight w:val="681"/>
        </w:trPr>
        <w:tc>
          <w:tcPr>
            <w:tcW w:w="1916" w:type="dxa"/>
            <w:tcBorders>
              <w:top w:val="single" w:sz="4" w:space="0" w:color="000000"/>
              <w:left w:val="single" w:sz="4" w:space="0" w:color="000000"/>
              <w:bottom w:val="single" w:sz="4" w:space="0" w:color="000000"/>
              <w:right w:val="single" w:sz="4" w:space="0" w:color="000000"/>
            </w:tcBorders>
            <w:vAlign w:val="center"/>
          </w:tcPr>
          <w:p w14:paraId="265F07E7" w14:textId="77777777" w:rsidR="00564588" w:rsidRDefault="00000000">
            <w:pPr>
              <w:shd w:val="clear" w:color="auto" w:fill="FFFFFF"/>
              <w:adjustRightInd/>
              <w:rPr>
                <w:rFonts w:ascii="Times New Roman" w:hAnsi="Times New Roman"/>
              </w:rPr>
            </w:pPr>
            <w:r>
              <w:rPr>
                <w:rFonts w:ascii="Times New Roman" w:hAnsi="Times New Roman"/>
              </w:rPr>
              <w:t>5</w:t>
            </w:r>
          </w:p>
        </w:tc>
        <w:tc>
          <w:tcPr>
            <w:tcW w:w="3165" w:type="dxa"/>
            <w:tcBorders>
              <w:top w:val="single" w:sz="4" w:space="0" w:color="000000"/>
              <w:left w:val="single" w:sz="4" w:space="0" w:color="000000"/>
              <w:bottom w:val="single" w:sz="4" w:space="0" w:color="000000"/>
              <w:right w:val="single" w:sz="4" w:space="0" w:color="000000"/>
            </w:tcBorders>
            <w:vAlign w:val="center"/>
          </w:tcPr>
          <w:p w14:paraId="26BEE90F" w14:textId="77777777" w:rsidR="00564588" w:rsidRDefault="00000000">
            <w:pPr>
              <w:shd w:val="clear" w:color="auto" w:fill="FFFFFF"/>
              <w:adjustRightInd/>
              <w:rPr>
                <w:rFonts w:ascii="Times New Roman" w:hAnsi="Times New Roman"/>
              </w:rPr>
            </w:pPr>
            <w:r>
              <w:rPr>
                <w:rFonts w:ascii="Times New Roman" w:hAnsi="Times New Roman"/>
              </w:rPr>
              <w:t>数字数据</w:t>
            </w:r>
          </w:p>
        </w:tc>
        <w:tc>
          <w:tcPr>
            <w:tcW w:w="3798" w:type="dxa"/>
            <w:tcBorders>
              <w:top w:val="single" w:sz="4" w:space="0" w:color="000000"/>
              <w:left w:val="single" w:sz="4" w:space="0" w:color="000000"/>
              <w:bottom w:val="single" w:sz="4" w:space="0" w:color="000000"/>
              <w:right w:val="single" w:sz="4" w:space="0" w:color="000000"/>
            </w:tcBorders>
            <w:vAlign w:val="center"/>
          </w:tcPr>
          <w:p w14:paraId="04FFAA83" w14:textId="77777777" w:rsidR="00564588" w:rsidRDefault="00000000">
            <w:pPr>
              <w:shd w:val="clear" w:color="auto" w:fill="FFFFFF"/>
              <w:adjustRightInd/>
              <w:rPr>
                <w:rFonts w:ascii="Times New Roman" w:hAnsi="Times New Roman"/>
              </w:rPr>
            </w:pPr>
            <w:r>
              <w:rPr>
                <w:rFonts w:ascii="Times New Roman" w:hAnsi="Times New Roman"/>
              </w:rPr>
              <w:t>包括软件、算法、模型、音视频、指纹等</w:t>
            </w:r>
          </w:p>
        </w:tc>
      </w:tr>
    </w:tbl>
    <w:p w14:paraId="44B663D7" w14:textId="77777777" w:rsidR="00564588" w:rsidRDefault="00564588">
      <w:pPr>
        <w:shd w:val="clear" w:color="auto" w:fill="FFFFFF"/>
        <w:adjustRightInd/>
        <w:rPr>
          <w:rFonts w:ascii="Times New Roman" w:hAnsi="Times New Roman"/>
        </w:rPr>
      </w:pPr>
    </w:p>
    <w:p w14:paraId="24210D84" w14:textId="77777777" w:rsidR="00564588" w:rsidRDefault="00564588">
      <w:pPr>
        <w:shd w:val="clear" w:color="auto" w:fill="FFFFFF"/>
        <w:adjustRightInd/>
        <w:rPr>
          <w:rFonts w:ascii="Times New Roman" w:hAnsi="Times New Roman"/>
        </w:rPr>
      </w:pPr>
    </w:p>
    <w:p w14:paraId="231055B3" w14:textId="77777777" w:rsidR="00564588" w:rsidRDefault="00000000">
      <w:pPr>
        <w:shd w:val="clear" w:color="auto" w:fill="FFFFFF"/>
        <w:adjustRightInd/>
        <w:rPr>
          <w:rFonts w:ascii="Times New Roman" w:hAnsi="Times New Roman"/>
        </w:rPr>
      </w:pPr>
      <w:r>
        <w:rPr>
          <w:rFonts w:ascii="Times New Roman" w:hAnsi="Times New Roman" w:hint="eastAsia"/>
        </w:rPr>
        <w:t>附表</w:t>
      </w:r>
      <w:r>
        <w:rPr>
          <w:rFonts w:ascii="Times New Roman" w:hAnsi="Times New Roman" w:hint="eastAsia"/>
        </w:rPr>
        <w:t>3</w:t>
      </w:r>
      <w:r>
        <w:rPr>
          <w:rFonts w:ascii="Times New Roman" w:hAnsi="Times New Roman" w:hint="eastAsia"/>
        </w:rPr>
        <w:t>：指导委员会评定检查清单</w:t>
      </w:r>
    </w:p>
    <w:p w14:paraId="44B47836" w14:textId="77777777" w:rsidR="00564588" w:rsidRDefault="00564588">
      <w:pPr>
        <w:shd w:val="clear" w:color="auto" w:fill="FFFFFF"/>
        <w:adjustRightInd/>
        <w:rPr>
          <w:rFonts w:ascii="Times New Roman" w:hAnsi="Times New Roman"/>
        </w:rPr>
      </w:pPr>
    </w:p>
    <w:tbl>
      <w:tblPr>
        <w:tblW w:w="9865" w:type="dxa"/>
        <w:tblInd w:w="96" w:type="dxa"/>
        <w:tblLook w:val="04A0" w:firstRow="1" w:lastRow="0" w:firstColumn="1" w:lastColumn="0" w:noHBand="0" w:noVBand="1"/>
      </w:tblPr>
      <w:tblGrid>
        <w:gridCol w:w="1680"/>
        <w:gridCol w:w="2775"/>
        <w:gridCol w:w="3329"/>
        <w:gridCol w:w="2087"/>
      </w:tblGrid>
      <w:tr w:rsidR="00564588" w14:paraId="2024CB92" w14:textId="77777777">
        <w:trPr>
          <w:trHeight w:val="288"/>
        </w:trPr>
        <w:tc>
          <w:tcPr>
            <w:tcW w:w="1680" w:type="dxa"/>
            <w:tcBorders>
              <w:top w:val="single" w:sz="4" w:space="0" w:color="000000"/>
              <w:left w:val="single" w:sz="4" w:space="0" w:color="000000"/>
              <w:bottom w:val="single" w:sz="4" w:space="0" w:color="000000"/>
              <w:right w:val="single" w:sz="4" w:space="0" w:color="000000"/>
            </w:tcBorders>
            <w:noWrap/>
            <w:vAlign w:val="center"/>
          </w:tcPr>
          <w:p w14:paraId="5A7494B2" w14:textId="77777777" w:rsidR="00564588" w:rsidRDefault="00000000">
            <w:pPr>
              <w:shd w:val="clear" w:color="auto" w:fill="FFFFFF"/>
              <w:adjustRightInd/>
              <w:rPr>
                <w:rFonts w:ascii="Times New Roman" w:hAnsi="Times New Roman"/>
              </w:rPr>
            </w:pPr>
            <w:r>
              <w:rPr>
                <w:rFonts w:ascii="Times New Roman" w:hAnsi="Times New Roman"/>
              </w:rPr>
              <w:t>数据申请者</w:t>
            </w:r>
          </w:p>
        </w:tc>
        <w:tc>
          <w:tcPr>
            <w:tcW w:w="2775" w:type="dxa"/>
            <w:tcBorders>
              <w:top w:val="single" w:sz="4" w:space="0" w:color="000000"/>
              <w:left w:val="single" w:sz="4" w:space="0" w:color="000000"/>
              <w:bottom w:val="single" w:sz="4" w:space="0" w:color="000000"/>
              <w:right w:val="single" w:sz="4" w:space="0" w:color="000000"/>
            </w:tcBorders>
            <w:noWrap/>
            <w:vAlign w:val="center"/>
          </w:tcPr>
          <w:p w14:paraId="45794BC7" w14:textId="77777777" w:rsidR="00564588" w:rsidRDefault="00564588">
            <w:pPr>
              <w:shd w:val="clear" w:color="auto" w:fill="FFFFFF"/>
              <w:adjustRightInd/>
              <w:rPr>
                <w:rFonts w:ascii="Times New Roman" w:hAnsi="Times New Roman"/>
              </w:rPr>
            </w:pPr>
          </w:p>
        </w:tc>
        <w:tc>
          <w:tcPr>
            <w:tcW w:w="3329" w:type="dxa"/>
            <w:tcBorders>
              <w:top w:val="single" w:sz="4" w:space="0" w:color="000000"/>
              <w:left w:val="single" w:sz="4" w:space="0" w:color="000000"/>
              <w:bottom w:val="single" w:sz="4" w:space="0" w:color="000000"/>
              <w:right w:val="single" w:sz="4" w:space="0" w:color="000000"/>
            </w:tcBorders>
            <w:noWrap/>
            <w:vAlign w:val="center"/>
          </w:tcPr>
          <w:p w14:paraId="595CE656" w14:textId="77777777" w:rsidR="00564588" w:rsidRDefault="00000000">
            <w:pPr>
              <w:shd w:val="clear" w:color="auto" w:fill="FFFFFF"/>
              <w:adjustRightInd/>
              <w:rPr>
                <w:rFonts w:ascii="Times New Roman" w:hAnsi="Times New Roman"/>
              </w:rPr>
            </w:pPr>
            <w:r>
              <w:rPr>
                <w:rFonts w:ascii="Times New Roman" w:hAnsi="Times New Roman"/>
              </w:rPr>
              <w:t>申请者联系人</w:t>
            </w:r>
          </w:p>
        </w:tc>
        <w:tc>
          <w:tcPr>
            <w:tcW w:w="2087" w:type="dxa"/>
            <w:tcBorders>
              <w:top w:val="single" w:sz="4" w:space="0" w:color="000000"/>
              <w:left w:val="single" w:sz="4" w:space="0" w:color="000000"/>
              <w:bottom w:val="single" w:sz="4" w:space="0" w:color="000000"/>
              <w:right w:val="single" w:sz="4" w:space="0" w:color="000000"/>
            </w:tcBorders>
            <w:noWrap/>
            <w:vAlign w:val="center"/>
          </w:tcPr>
          <w:p w14:paraId="5BFD514D" w14:textId="77777777" w:rsidR="00564588" w:rsidRDefault="00564588">
            <w:pPr>
              <w:shd w:val="clear" w:color="auto" w:fill="FFFFFF"/>
              <w:adjustRightInd/>
              <w:rPr>
                <w:rFonts w:ascii="Times New Roman" w:hAnsi="Times New Roman"/>
              </w:rPr>
            </w:pPr>
          </w:p>
        </w:tc>
      </w:tr>
      <w:tr w:rsidR="00564588" w14:paraId="1A3979DC"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3EA2564A" w14:textId="77777777" w:rsidR="00564588" w:rsidRDefault="00000000">
            <w:pPr>
              <w:shd w:val="clear" w:color="auto" w:fill="FFFFFF"/>
              <w:adjustRightInd/>
              <w:rPr>
                <w:rFonts w:ascii="Times New Roman" w:hAnsi="Times New Roman"/>
              </w:rPr>
            </w:pPr>
            <w:r>
              <w:rPr>
                <w:rFonts w:ascii="Times New Roman" w:hAnsi="Times New Roman"/>
              </w:rPr>
              <w:t>申请者地址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D51BD6"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99E178" w14:textId="77777777" w:rsidR="00564588" w:rsidRDefault="00000000">
            <w:pPr>
              <w:shd w:val="clear" w:color="auto" w:fill="FFFFFF"/>
              <w:adjustRightInd/>
              <w:rPr>
                <w:rFonts w:ascii="Times New Roman" w:hAnsi="Times New Roman"/>
              </w:rPr>
            </w:pPr>
            <w:r>
              <w:rPr>
                <w:rFonts w:ascii="Times New Roman" w:hAnsi="Times New Roman"/>
              </w:rPr>
              <w:t>申请者联系方式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6B94D4" w14:textId="77777777" w:rsidR="00564588" w:rsidRDefault="00564588">
            <w:pPr>
              <w:shd w:val="clear" w:color="auto" w:fill="FFFFFF"/>
              <w:adjustRightInd/>
              <w:rPr>
                <w:rFonts w:ascii="Times New Roman" w:hAnsi="Times New Roman"/>
              </w:rPr>
            </w:pPr>
          </w:p>
        </w:tc>
      </w:tr>
      <w:tr w:rsidR="00564588" w14:paraId="67918A07"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2A04B587" w14:textId="77777777" w:rsidR="00564588" w:rsidRDefault="00000000">
            <w:pPr>
              <w:shd w:val="clear" w:color="auto" w:fill="FFFFFF"/>
              <w:adjustRightInd/>
              <w:rPr>
                <w:rFonts w:ascii="Times New Roman" w:hAnsi="Times New Roman"/>
              </w:rPr>
            </w:pPr>
            <w:r>
              <w:rPr>
                <w:rFonts w:ascii="Times New Roman" w:hAnsi="Times New Roman"/>
              </w:rPr>
              <w:lastRenderedPageBreak/>
              <w:t>数据所有者</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B4D643"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8C7020" w14:textId="77777777" w:rsidR="00564588" w:rsidRDefault="00000000">
            <w:pPr>
              <w:shd w:val="clear" w:color="auto" w:fill="FFFFFF"/>
              <w:adjustRightInd/>
              <w:rPr>
                <w:rFonts w:ascii="Times New Roman" w:hAnsi="Times New Roman"/>
              </w:rPr>
            </w:pPr>
            <w:r>
              <w:rPr>
                <w:rFonts w:ascii="Times New Roman" w:hAnsi="Times New Roman"/>
              </w:rPr>
              <w:t>所有者联系人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B666C5" w14:textId="77777777" w:rsidR="00564588" w:rsidRDefault="00564588">
            <w:pPr>
              <w:shd w:val="clear" w:color="auto" w:fill="FFFFFF"/>
              <w:adjustRightInd/>
              <w:rPr>
                <w:rFonts w:ascii="Times New Roman" w:hAnsi="Times New Roman"/>
              </w:rPr>
            </w:pPr>
          </w:p>
        </w:tc>
      </w:tr>
      <w:tr w:rsidR="00564588" w14:paraId="589E749F"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55690F0D" w14:textId="77777777" w:rsidR="00564588" w:rsidRDefault="00000000">
            <w:pPr>
              <w:shd w:val="clear" w:color="auto" w:fill="FFFFFF"/>
              <w:adjustRightInd/>
              <w:rPr>
                <w:rFonts w:ascii="Times New Roman" w:hAnsi="Times New Roman"/>
              </w:rPr>
            </w:pPr>
            <w:r>
              <w:rPr>
                <w:rFonts w:ascii="Times New Roman" w:hAnsi="Times New Roman"/>
              </w:rPr>
              <w:t>所有者地址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733DC4"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154C16" w14:textId="77777777" w:rsidR="00564588" w:rsidRDefault="00000000">
            <w:pPr>
              <w:shd w:val="clear" w:color="auto" w:fill="FFFFFF"/>
              <w:adjustRightInd/>
              <w:rPr>
                <w:rFonts w:ascii="Times New Roman" w:hAnsi="Times New Roman"/>
              </w:rPr>
            </w:pPr>
            <w:r>
              <w:rPr>
                <w:rFonts w:ascii="Times New Roman" w:hAnsi="Times New Roman"/>
              </w:rPr>
              <w:t>所有者联系方式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14D790" w14:textId="77777777" w:rsidR="00564588" w:rsidRDefault="00564588">
            <w:pPr>
              <w:shd w:val="clear" w:color="auto" w:fill="FFFFFF"/>
              <w:adjustRightInd/>
              <w:rPr>
                <w:rFonts w:ascii="Times New Roman" w:hAnsi="Times New Roman"/>
              </w:rPr>
            </w:pPr>
          </w:p>
        </w:tc>
      </w:tr>
      <w:tr w:rsidR="00564588" w14:paraId="76E7F5BE"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51ECD246" w14:textId="77777777" w:rsidR="00564588" w:rsidRDefault="00000000">
            <w:pPr>
              <w:shd w:val="clear" w:color="auto" w:fill="FFFFFF"/>
              <w:adjustRightInd/>
              <w:rPr>
                <w:rFonts w:ascii="Times New Roman" w:hAnsi="Times New Roman"/>
              </w:rPr>
            </w:pPr>
            <w:r>
              <w:rPr>
                <w:rFonts w:ascii="Times New Roman" w:hAnsi="Times New Roman"/>
              </w:rPr>
              <w:t>申请编号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4BB175"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E389CE" w14:textId="77777777" w:rsidR="00564588" w:rsidRDefault="00000000">
            <w:pPr>
              <w:shd w:val="clear" w:color="auto" w:fill="FFFFFF"/>
              <w:adjustRightInd/>
              <w:rPr>
                <w:rFonts w:ascii="Times New Roman" w:hAnsi="Times New Roman"/>
              </w:rPr>
            </w:pPr>
            <w:r>
              <w:rPr>
                <w:rFonts w:ascii="Times New Roman" w:hAnsi="Times New Roman"/>
              </w:rPr>
              <w:t>申请日期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2A7570" w14:textId="77777777" w:rsidR="00564588" w:rsidRDefault="00564588">
            <w:pPr>
              <w:shd w:val="clear" w:color="auto" w:fill="FFFFFF"/>
              <w:adjustRightInd/>
              <w:rPr>
                <w:rFonts w:ascii="Times New Roman" w:hAnsi="Times New Roman"/>
              </w:rPr>
            </w:pPr>
          </w:p>
        </w:tc>
      </w:tr>
      <w:tr w:rsidR="00564588" w14:paraId="10589D5B"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3BCB72BC" w14:textId="77777777" w:rsidR="00564588" w:rsidRDefault="00000000">
            <w:pPr>
              <w:shd w:val="clear" w:color="auto" w:fill="FFFFFF"/>
              <w:adjustRightInd/>
              <w:rPr>
                <w:rFonts w:ascii="Times New Roman" w:hAnsi="Times New Roman"/>
              </w:rPr>
            </w:pPr>
            <w:r>
              <w:rPr>
                <w:rFonts w:ascii="Times New Roman" w:hAnsi="Times New Roman"/>
              </w:rPr>
              <w:t>数据名称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FD61C1"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9BD938" w14:textId="77777777" w:rsidR="00564588" w:rsidRDefault="00000000">
            <w:pPr>
              <w:shd w:val="clear" w:color="auto" w:fill="FFFFFF"/>
              <w:adjustRightInd/>
              <w:rPr>
                <w:rFonts w:ascii="Times New Roman" w:hAnsi="Times New Roman"/>
              </w:rPr>
            </w:pPr>
            <w:r>
              <w:rPr>
                <w:rFonts w:ascii="Times New Roman" w:hAnsi="Times New Roman"/>
              </w:rPr>
              <w:t>数据文件格式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E9045A" w14:textId="77777777" w:rsidR="00564588" w:rsidRDefault="00564588">
            <w:pPr>
              <w:shd w:val="clear" w:color="auto" w:fill="FFFFFF"/>
              <w:adjustRightInd/>
              <w:rPr>
                <w:rFonts w:ascii="Times New Roman" w:hAnsi="Times New Roman"/>
              </w:rPr>
            </w:pPr>
          </w:p>
        </w:tc>
      </w:tr>
      <w:tr w:rsidR="00564588" w14:paraId="1D8A7941"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3299696D" w14:textId="77777777" w:rsidR="00564588" w:rsidRDefault="00000000">
            <w:pPr>
              <w:shd w:val="clear" w:color="auto" w:fill="FFFFFF"/>
              <w:adjustRightInd/>
              <w:rPr>
                <w:rFonts w:ascii="Times New Roman" w:hAnsi="Times New Roman"/>
              </w:rPr>
            </w:pPr>
            <w:r>
              <w:rPr>
                <w:rFonts w:ascii="Times New Roman" w:hAnsi="Times New Roman"/>
              </w:rPr>
              <w:t>数据量大小</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6E4B5F"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4E4E03" w14:textId="77777777" w:rsidR="00564588" w:rsidRDefault="00000000">
            <w:pPr>
              <w:shd w:val="clear" w:color="auto" w:fill="FFFFFF"/>
              <w:adjustRightInd/>
              <w:rPr>
                <w:rFonts w:ascii="Times New Roman" w:hAnsi="Times New Roman"/>
              </w:rPr>
            </w:pPr>
            <w:r>
              <w:rPr>
                <w:rFonts w:ascii="Times New Roman" w:hAnsi="Times New Roman"/>
              </w:rPr>
              <w:t>数据记录条数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137C0C" w14:textId="77777777" w:rsidR="00564588" w:rsidRDefault="00564588">
            <w:pPr>
              <w:shd w:val="clear" w:color="auto" w:fill="FFFFFF"/>
              <w:adjustRightInd/>
              <w:rPr>
                <w:rFonts w:ascii="Times New Roman" w:hAnsi="Times New Roman"/>
              </w:rPr>
            </w:pPr>
          </w:p>
        </w:tc>
      </w:tr>
      <w:tr w:rsidR="00564588" w14:paraId="283ACF72"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645A827D" w14:textId="77777777" w:rsidR="00564588" w:rsidRDefault="00000000">
            <w:pPr>
              <w:shd w:val="clear" w:color="auto" w:fill="FFFFFF"/>
              <w:adjustRightInd/>
              <w:rPr>
                <w:rFonts w:ascii="Times New Roman" w:hAnsi="Times New Roman"/>
              </w:rPr>
            </w:pPr>
            <w:r>
              <w:rPr>
                <w:rFonts w:ascii="Times New Roman" w:hAnsi="Times New Roman"/>
              </w:rPr>
              <w:t>数据领域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4CD803"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07ECCA" w14:textId="77777777" w:rsidR="00564588" w:rsidRDefault="00000000">
            <w:pPr>
              <w:shd w:val="clear" w:color="auto" w:fill="FFFFFF"/>
              <w:adjustRightInd/>
              <w:rPr>
                <w:rFonts w:ascii="Times New Roman" w:hAnsi="Times New Roman"/>
              </w:rPr>
            </w:pPr>
            <w:r>
              <w:rPr>
                <w:rFonts w:ascii="Times New Roman" w:hAnsi="Times New Roman"/>
              </w:rPr>
              <w:t>数据专业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13EB68" w14:textId="77777777" w:rsidR="00564588" w:rsidRDefault="00564588">
            <w:pPr>
              <w:shd w:val="clear" w:color="auto" w:fill="FFFFFF"/>
              <w:adjustRightInd/>
              <w:rPr>
                <w:rFonts w:ascii="Times New Roman" w:hAnsi="Times New Roman"/>
              </w:rPr>
            </w:pPr>
          </w:p>
        </w:tc>
      </w:tr>
      <w:tr w:rsidR="00564588" w14:paraId="5733B783" w14:textId="77777777">
        <w:trPr>
          <w:trHeight w:val="28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73351A02" w14:textId="77777777" w:rsidR="00564588" w:rsidRDefault="00000000">
            <w:pPr>
              <w:shd w:val="clear" w:color="auto" w:fill="FFFFFF"/>
              <w:adjustRightInd/>
              <w:rPr>
                <w:rFonts w:ascii="Times New Roman" w:hAnsi="Times New Roman"/>
              </w:rPr>
            </w:pPr>
            <w:r>
              <w:rPr>
                <w:rFonts w:ascii="Times New Roman" w:hAnsi="Times New Roman"/>
              </w:rPr>
              <w:t>提交资料符合性</w:t>
            </w:r>
          </w:p>
        </w:tc>
      </w:tr>
      <w:tr w:rsidR="00564588" w14:paraId="29425342"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7613EEEF" w14:textId="77777777" w:rsidR="00564588" w:rsidRDefault="00000000">
            <w:pPr>
              <w:shd w:val="clear" w:color="auto" w:fill="FFFFFF"/>
              <w:adjustRightInd/>
              <w:rPr>
                <w:rFonts w:ascii="Times New Roman" w:hAnsi="Times New Roman"/>
              </w:rPr>
            </w:pPr>
            <w:r>
              <w:rPr>
                <w:rFonts w:ascii="Times New Roman" w:hAnsi="Times New Roman"/>
              </w:rPr>
              <w:t>资料编号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C23890" w14:textId="77777777" w:rsidR="00564588" w:rsidRDefault="00000000">
            <w:pPr>
              <w:shd w:val="clear" w:color="auto" w:fill="FFFFFF"/>
              <w:adjustRightInd/>
              <w:rPr>
                <w:rFonts w:ascii="Times New Roman" w:hAnsi="Times New Roman"/>
              </w:rPr>
            </w:pPr>
            <w:r>
              <w:rPr>
                <w:rFonts w:ascii="Times New Roman" w:hAnsi="Times New Roman"/>
              </w:rPr>
              <w:t>资料名称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00E253" w14:textId="77777777" w:rsidR="00564588" w:rsidRDefault="00000000">
            <w:pPr>
              <w:shd w:val="clear" w:color="auto" w:fill="FFFFFF"/>
              <w:adjustRightInd/>
              <w:rPr>
                <w:rFonts w:ascii="Times New Roman" w:hAnsi="Times New Roman"/>
              </w:rPr>
            </w:pPr>
            <w:r>
              <w:rPr>
                <w:rFonts w:ascii="Times New Roman" w:hAnsi="Times New Roman"/>
              </w:rPr>
              <w:t>是否认定为来源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F7674A" w14:textId="77777777" w:rsidR="00564588" w:rsidRDefault="00000000">
            <w:pPr>
              <w:shd w:val="clear" w:color="auto" w:fill="FFFFFF"/>
              <w:adjustRightInd/>
              <w:rPr>
                <w:rFonts w:ascii="Times New Roman" w:hAnsi="Times New Roman"/>
              </w:rPr>
            </w:pPr>
            <w:r>
              <w:rPr>
                <w:rFonts w:ascii="Times New Roman" w:hAnsi="Times New Roman"/>
              </w:rPr>
              <w:t>理由或备注</w:t>
            </w:r>
          </w:p>
        </w:tc>
      </w:tr>
      <w:tr w:rsidR="00564588" w14:paraId="26C132D9"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7080C87D"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98687C"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ED274D"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098F09" w14:textId="77777777" w:rsidR="00564588" w:rsidRDefault="00564588">
            <w:pPr>
              <w:shd w:val="clear" w:color="auto" w:fill="FFFFFF"/>
              <w:adjustRightInd/>
              <w:rPr>
                <w:rFonts w:ascii="Times New Roman" w:hAnsi="Times New Roman"/>
              </w:rPr>
            </w:pPr>
          </w:p>
        </w:tc>
      </w:tr>
      <w:tr w:rsidR="00564588" w14:paraId="2D193B06"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5CC87BDB"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447646"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7A1C9D"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A8B449" w14:textId="77777777" w:rsidR="00564588" w:rsidRDefault="00564588">
            <w:pPr>
              <w:shd w:val="clear" w:color="auto" w:fill="FFFFFF"/>
              <w:adjustRightInd/>
              <w:rPr>
                <w:rFonts w:ascii="Times New Roman" w:hAnsi="Times New Roman"/>
              </w:rPr>
            </w:pPr>
          </w:p>
        </w:tc>
      </w:tr>
      <w:tr w:rsidR="00564588" w14:paraId="04F3C6A2" w14:textId="77777777">
        <w:trPr>
          <w:trHeight w:val="28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3BFA1B3D" w14:textId="77777777" w:rsidR="00564588" w:rsidRDefault="00000000">
            <w:pPr>
              <w:shd w:val="clear" w:color="auto" w:fill="FFFFFF"/>
              <w:adjustRightInd/>
              <w:rPr>
                <w:rFonts w:ascii="Times New Roman" w:hAnsi="Times New Roman"/>
              </w:rPr>
            </w:pPr>
            <w:r>
              <w:rPr>
                <w:rFonts w:ascii="Times New Roman" w:hAnsi="Times New Roman"/>
              </w:rPr>
              <w:t>技术委员会评审结果</w:t>
            </w:r>
            <w:r>
              <w:rPr>
                <w:rFonts w:ascii="Times New Roman" w:hAnsi="Times New Roman"/>
              </w:rPr>
              <w:t xml:space="preserve"> </w:t>
            </w:r>
            <w:r>
              <w:rPr>
                <w:rFonts w:ascii="Times New Roman" w:hAnsi="Times New Roman"/>
              </w:rPr>
              <w:t>日期：</w:t>
            </w:r>
          </w:p>
        </w:tc>
      </w:tr>
      <w:tr w:rsidR="00564588" w14:paraId="49A886F5"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1717F5AB" w14:textId="77777777" w:rsidR="00564588" w:rsidRDefault="00000000">
            <w:pPr>
              <w:shd w:val="clear" w:color="auto" w:fill="FFFFFF"/>
              <w:adjustRightInd/>
              <w:rPr>
                <w:rFonts w:ascii="Times New Roman" w:hAnsi="Times New Roman"/>
              </w:rPr>
            </w:pPr>
            <w:r>
              <w:rPr>
                <w:rFonts w:ascii="Times New Roman" w:hAnsi="Times New Roman"/>
              </w:rPr>
              <w:t>评审项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38592C" w14:textId="77777777" w:rsidR="00564588" w:rsidRDefault="00000000">
            <w:pPr>
              <w:shd w:val="clear" w:color="auto" w:fill="FFFFFF"/>
              <w:adjustRightInd/>
              <w:rPr>
                <w:rFonts w:ascii="Times New Roman" w:hAnsi="Times New Roman"/>
              </w:rPr>
            </w:pPr>
            <w:r>
              <w:rPr>
                <w:rFonts w:ascii="Times New Roman" w:hAnsi="Times New Roman"/>
              </w:rPr>
              <w:t>数据内容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C19B5D" w14:textId="77777777" w:rsidR="00564588" w:rsidRDefault="00000000">
            <w:pPr>
              <w:shd w:val="clear" w:color="auto" w:fill="FFFFFF"/>
              <w:adjustRightInd/>
              <w:rPr>
                <w:rFonts w:ascii="Times New Roman" w:hAnsi="Times New Roman"/>
              </w:rPr>
            </w:pPr>
            <w:r>
              <w:rPr>
                <w:rFonts w:ascii="Times New Roman" w:hAnsi="Times New Roman"/>
              </w:rPr>
              <w:t>是否通过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722956" w14:textId="77777777" w:rsidR="00564588" w:rsidRDefault="00000000">
            <w:pPr>
              <w:shd w:val="clear" w:color="auto" w:fill="FFFFFF"/>
              <w:adjustRightInd/>
              <w:rPr>
                <w:rFonts w:ascii="Times New Roman" w:hAnsi="Times New Roman"/>
              </w:rPr>
            </w:pPr>
            <w:r>
              <w:rPr>
                <w:rFonts w:ascii="Times New Roman" w:hAnsi="Times New Roman"/>
              </w:rPr>
              <w:t>理由或备注</w:t>
            </w:r>
          </w:p>
        </w:tc>
      </w:tr>
      <w:tr w:rsidR="00564588" w14:paraId="042CD265"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614E401D" w14:textId="77777777" w:rsidR="00564588" w:rsidRDefault="00000000">
            <w:pPr>
              <w:shd w:val="clear" w:color="auto" w:fill="FFFFFF"/>
              <w:adjustRightInd/>
              <w:rPr>
                <w:rFonts w:ascii="Times New Roman" w:hAnsi="Times New Roman"/>
              </w:rPr>
            </w:pPr>
            <w:r>
              <w:rPr>
                <w:rFonts w:ascii="Times New Roman" w:hAnsi="Times New Roman"/>
              </w:rPr>
              <w:t>5.2 1)</w:t>
            </w:r>
            <w:r>
              <w:rPr>
                <w:rFonts w:ascii="Times New Roman" w:hAnsi="Times New Roman"/>
              </w:rPr>
              <w:t>完整性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FE93F2"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7E649B"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E68945" w14:textId="77777777" w:rsidR="00564588" w:rsidRDefault="00564588">
            <w:pPr>
              <w:shd w:val="clear" w:color="auto" w:fill="FFFFFF"/>
              <w:adjustRightInd/>
              <w:rPr>
                <w:rFonts w:ascii="Times New Roman" w:hAnsi="Times New Roman"/>
              </w:rPr>
            </w:pPr>
          </w:p>
        </w:tc>
      </w:tr>
      <w:tr w:rsidR="00564588" w14:paraId="38AA57A6"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46901441" w14:textId="77777777" w:rsidR="00564588" w:rsidRDefault="00000000">
            <w:pPr>
              <w:shd w:val="clear" w:color="auto" w:fill="FFFFFF"/>
              <w:adjustRightInd/>
              <w:rPr>
                <w:rFonts w:ascii="Times New Roman" w:hAnsi="Times New Roman"/>
              </w:rPr>
            </w:pPr>
            <w:r>
              <w:rPr>
                <w:rFonts w:ascii="Times New Roman" w:hAnsi="Times New Roman"/>
              </w:rPr>
              <w:t>5.2 2)</w:t>
            </w:r>
            <w:r>
              <w:rPr>
                <w:rFonts w:ascii="Times New Roman" w:hAnsi="Times New Roman"/>
              </w:rPr>
              <w:t>一致性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65EEDA"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88E54F"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D1BF71" w14:textId="77777777" w:rsidR="00564588" w:rsidRDefault="00564588">
            <w:pPr>
              <w:shd w:val="clear" w:color="auto" w:fill="FFFFFF"/>
              <w:adjustRightInd/>
              <w:rPr>
                <w:rFonts w:ascii="Times New Roman" w:hAnsi="Times New Roman"/>
              </w:rPr>
            </w:pPr>
          </w:p>
        </w:tc>
      </w:tr>
      <w:tr w:rsidR="00564588" w14:paraId="30C50EA4"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79F15B96" w14:textId="77777777" w:rsidR="00564588" w:rsidRDefault="00000000">
            <w:pPr>
              <w:shd w:val="clear" w:color="auto" w:fill="FFFFFF"/>
              <w:adjustRightInd/>
              <w:rPr>
                <w:rFonts w:ascii="Times New Roman" w:hAnsi="Times New Roman"/>
              </w:rPr>
            </w:pPr>
            <w:r>
              <w:rPr>
                <w:rFonts w:ascii="Times New Roman" w:hAnsi="Times New Roman"/>
              </w:rPr>
              <w:t>5.2 3)</w:t>
            </w:r>
            <w:r>
              <w:rPr>
                <w:rFonts w:ascii="Times New Roman" w:hAnsi="Times New Roman"/>
              </w:rPr>
              <w:t>实用性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5372FE"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6F4A86"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8ABEC3" w14:textId="77777777" w:rsidR="00564588" w:rsidRDefault="00564588">
            <w:pPr>
              <w:shd w:val="clear" w:color="auto" w:fill="FFFFFF"/>
              <w:adjustRightInd/>
              <w:rPr>
                <w:rFonts w:ascii="Times New Roman" w:hAnsi="Times New Roman"/>
              </w:rPr>
            </w:pPr>
          </w:p>
        </w:tc>
      </w:tr>
      <w:tr w:rsidR="00564588" w14:paraId="50B090A0"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12CF6E37" w14:textId="77777777" w:rsidR="00564588" w:rsidRDefault="00000000">
            <w:pPr>
              <w:shd w:val="clear" w:color="auto" w:fill="FFFFFF"/>
              <w:adjustRightInd/>
              <w:rPr>
                <w:rFonts w:ascii="Times New Roman" w:hAnsi="Times New Roman"/>
              </w:rPr>
            </w:pPr>
            <w:r>
              <w:rPr>
                <w:rFonts w:ascii="Times New Roman" w:hAnsi="Times New Roman"/>
              </w:rPr>
              <w:t>5.2 4)</w:t>
            </w:r>
            <w:r>
              <w:rPr>
                <w:rFonts w:ascii="Times New Roman" w:hAnsi="Times New Roman"/>
              </w:rPr>
              <w:t>可靠性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C3F625"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C6ABD5"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BABB50" w14:textId="77777777" w:rsidR="00564588" w:rsidRDefault="00564588">
            <w:pPr>
              <w:shd w:val="clear" w:color="auto" w:fill="FFFFFF"/>
              <w:adjustRightInd/>
              <w:rPr>
                <w:rFonts w:ascii="Times New Roman" w:hAnsi="Times New Roman"/>
              </w:rPr>
            </w:pPr>
          </w:p>
        </w:tc>
      </w:tr>
      <w:tr w:rsidR="00564588" w14:paraId="6CDB2BA1"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20A93C8C" w14:textId="77777777" w:rsidR="00564588" w:rsidRDefault="00000000">
            <w:pPr>
              <w:shd w:val="clear" w:color="auto" w:fill="FFFFFF"/>
              <w:adjustRightInd/>
              <w:rPr>
                <w:rFonts w:ascii="Times New Roman" w:hAnsi="Times New Roman"/>
              </w:rPr>
            </w:pPr>
            <w:r>
              <w:rPr>
                <w:rFonts w:ascii="Times New Roman" w:hAnsi="Times New Roman"/>
              </w:rPr>
              <w:t>5.3 1</w:t>
            </w:r>
            <w:r>
              <w:rPr>
                <w:rFonts w:ascii="Times New Roman" w:hAnsi="Times New Roman"/>
              </w:rPr>
              <w:t>）准确性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8478FD" w14:textId="77777777" w:rsidR="00564588" w:rsidRDefault="00000000">
            <w:pPr>
              <w:shd w:val="clear" w:color="auto" w:fill="FFFFFF"/>
              <w:adjustRightInd/>
              <w:rPr>
                <w:rFonts w:ascii="Times New Roman" w:hAnsi="Times New Roman"/>
              </w:rPr>
            </w:pPr>
            <w:r>
              <w:rPr>
                <w:rFonts w:ascii="Times New Roman" w:hAnsi="Times New Roman"/>
              </w:rPr>
              <w:t>① ② ③ ④ ⑤</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22493E"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60A65D" w14:textId="77777777" w:rsidR="00564588" w:rsidRDefault="00564588">
            <w:pPr>
              <w:shd w:val="clear" w:color="auto" w:fill="FFFFFF"/>
              <w:adjustRightInd/>
              <w:rPr>
                <w:rFonts w:ascii="Times New Roman" w:hAnsi="Times New Roman"/>
              </w:rPr>
            </w:pPr>
          </w:p>
        </w:tc>
      </w:tr>
      <w:tr w:rsidR="00564588" w14:paraId="3E3E6C5A"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2F25A445" w14:textId="77777777" w:rsidR="00564588" w:rsidRDefault="00000000">
            <w:pPr>
              <w:shd w:val="clear" w:color="auto" w:fill="FFFFFF"/>
              <w:adjustRightInd/>
              <w:rPr>
                <w:rFonts w:ascii="Times New Roman" w:hAnsi="Times New Roman"/>
              </w:rPr>
            </w:pPr>
            <w:r>
              <w:rPr>
                <w:rFonts w:ascii="Times New Roman" w:hAnsi="Times New Roman"/>
              </w:rPr>
              <w:t>5.3 2</w:t>
            </w:r>
            <w:r>
              <w:rPr>
                <w:rFonts w:ascii="Times New Roman" w:hAnsi="Times New Roman"/>
              </w:rPr>
              <w:t>）溯源性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1BAA61"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6437BD"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BB01BC" w14:textId="77777777" w:rsidR="00564588" w:rsidRDefault="00564588">
            <w:pPr>
              <w:shd w:val="clear" w:color="auto" w:fill="FFFFFF"/>
              <w:adjustRightInd/>
              <w:rPr>
                <w:rFonts w:ascii="Times New Roman" w:hAnsi="Times New Roman"/>
              </w:rPr>
            </w:pPr>
          </w:p>
        </w:tc>
      </w:tr>
      <w:tr w:rsidR="00564588" w14:paraId="5BD795E6"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7BCF977A" w14:textId="77777777" w:rsidR="00564588" w:rsidRDefault="00000000">
            <w:pPr>
              <w:shd w:val="clear" w:color="auto" w:fill="FFFFFF"/>
              <w:adjustRightInd/>
              <w:rPr>
                <w:rFonts w:ascii="Times New Roman" w:hAnsi="Times New Roman"/>
              </w:rPr>
            </w:pPr>
            <w:r>
              <w:rPr>
                <w:rFonts w:ascii="Times New Roman" w:hAnsi="Times New Roman"/>
              </w:rPr>
              <w:t>5.3 2</w:t>
            </w:r>
            <w:r>
              <w:rPr>
                <w:rFonts w:ascii="Times New Roman" w:hAnsi="Times New Roman"/>
              </w:rPr>
              <w:t>）重复性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F31AE7"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5C0C3A"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4DCDA8" w14:textId="77777777" w:rsidR="00564588" w:rsidRDefault="00564588">
            <w:pPr>
              <w:shd w:val="clear" w:color="auto" w:fill="FFFFFF"/>
              <w:adjustRightInd/>
              <w:rPr>
                <w:rFonts w:ascii="Times New Roman" w:hAnsi="Times New Roman"/>
              </w:rPr>
            </w:pPr>
          </w:p>
        </w:tc>
      </w:tr>
      <w:tr w:rsidR="00564588" w14:paraId="5A6BA830"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789E79BC" w14:textId="77777777" w:rsidR="00564588" w:rsidRDefault="00000000">
            <w:pPr>
              <w:shd w:val="clear" w:color="auto" w:fill="FFFFFF"/>
              <w:adjustRightInd/>
              <w:rPr>
                <w:rFonts w:ascii="Times New Roman" w:hAnsi="Times New Roman"/>
              </w:rPr>
            </w:pPr>
            <w:r>
              <w:rPr>
                <w:rFonts w:ascii="Times New Roman" w:hAnsi="Times New Roman"/>
              </w:rPr>
              <w:t xml:space="preserve">5.4 </w:t>
            </w:r>
            <w:r>
              <w:rPr>
                <w:rFonts w:ascii="Times New Roman" w:hAnsi="Times New Roman"/>
              </w:rPr>
              <w:t>相关性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B111B0"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007877"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1A1385" w14:textId="77777777" w:rsidR="00564588" w:rsidRDefault="00564588">
            <w:pPr>
              <w:shd w:val="clear" w:color="auto" w:fill="FFFFFF"/>
              <w:adjustRightInd/>
              <w:rPr>
                <w:rFonts w:ascii="Times New Roman" w:hAnsi="Times New Roman"/>
              </w:rPr>
            </w:pPr>
          </w:p>
        </w:tc>
      </w:tr>
      <w:tr w:rsidR="00564588" w14:paraId="3BF52373" w14:textId="77777777">
        <w:trPr>
          <w:trHeight w:val="28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6F200F3A" w14:textId="77777777" w:rsidR="00564588" w:rsidRDefault="00000000">
            <w:pPr>
              <w:shd w:val="clear" w:color="auto" w:fill="FFFFFF"/>
              <w:adjustRightInd/>
              <w:rPr>
                <w:rFonts w:ascii="Times New Roman" w:hAnsi="Times New Roman"/>
              </w:rPr>
            </w:pPr>
            <w:r>
              <w:rPr>
                <w:rFonts w:ascii="Times New Roman" w:hAnsi="Times New Roman"/>
              </w:rPr>
              <w:t>指导委员会评审结果</w:t>
            </w:r>
            <w:r>
              <w:rPr>
                <w:rFonts w:ascii="Times New Roman" w:hAnsi="Times New Roman"/>
              </w:rPr>
              <w:t xml:space="preserve"> </w:t>
            </w:r>
            <w:r>
              <w:rPr>
                <w:rFonts w:ascii="Times New Roman" w:hAnsi="Times New Roman"/>
              </w:rPr>
              <w:t>日期：</w:t>
            </w:r>
          </w:p>
        </w:tc>
      </w:tr>
      <w:tr w:rsidR="00564588" w14:paraId="27E5D4CA"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465DC486" w14:textId="77777777" w:rsidR="00564588" w:rsidRDefault="00000000">
            <w:pPr>
              <w:shd w:val="clear" w:color="auto" w:fill="FFFFFF"/>
              <w:adjustRightInd/>
              <w:rPr>
                <w:rFonts w:ascii="Times New Roman" w:hAnsi="Times New Roman"/>
              </w:rPr>
            </w:pPr>
            <w:r>
              <w:rPr>
                <w:rFonts w:ascii="Times New Roman" w:hAnsi="Times New Roman"/>
              </w:rPr>
              <w:t>评审项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49290A" w14:textId="77777777" w:rsidR="00564588" w:rsidRDefault="00000000">
            <w:pPr>
              <w:shd w:val="clear" w:color="auto" w:fill="FFFFFF"/>
              <w:adjustRightInd/>
              <w:rPr>
                <w:rFonts w:ascii="Times New Roman" w:hAnsi="Times New Roman"/>
              </w:rPr>
            </w:pPr>
            <w:r>
              <w:rPr>
                <w:rFonts w:ascii="Times New Roman" w:hAnsi="Times New Roman"/>
              </w:rPr>
              <w:t>是否通过</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FB82EBD" w14:textId="77777777" w:rsidR="00564588" w:rsidRDefault="00000000">
            <w:pPr>
              <w:shd w:val="clear" w:color="auto" w:fill="FFFFFF"/>
              <w:adjustRightInd/>
              <w:rPr>
                <w:rFonts w:ascii="Times New Roman" w:hAnsi="Times New Roman"/>
              </w:rPr>
            </w:pPr>
            <w:r>
              <w:rPr>
                <w:rFonts w:ascii="Times New Roman" w:hAnsi="Times New Roman"/>
              </w:rPr>
              <w:t>理由或备注</w:t>
            </w:r>
          </w:p>
        </w:tc>
      </w:tr>
      <w:tr w:rsidR="00564588" w14:paraId="516AD1A0"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372111D7"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B63163"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9152FF"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29C4AD" w14:textId="77777777" w:rsidR="00564588" w:rsidRDefault="00564588">
            <w:pPr>
              <w:shd w:val="clear" w:color="auto" w:fill="FFFFFF"/>
              <w:adjustRightInd/>
              <w:rPr>
                <w:rFonts w:ascii="Times New Roman" w:hAnsi="Times New Roman"/>
              </w:rPr>
            </w:pPr>
          </w:p>
        </w:tc>
      </w:tr>
      <w:tr w:rsidR="00564588" w14:paraId="287CA4FB" w14:textId="77777777">
        <w:trPr>
          <w:trHeight w:val="28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09F8CA7C" w14:textId="77777777" w:rsidR="00564588" w:rsidRDefault="00000000">
            <w:pPr>
              <w:shd w:val="clear" w:color="auto" w:fill="FFFFFF"/>
              <w:adjustRightInd/>
              <w:rPr>
                <w:rFonts w:ascii="Times New Roman" w:hAnsi="Times New Roman"/>
              </w:rPr>
            </w:pPr>
            <w:r>
              <w:rPr>
                <w:rFonts w:ascii="Times New Roman" w:hAnsi="Times New Roman"/>
              </w:rPr>
              <w:t>标准参考数据评审机构评审结果</w:t>
            </w:r>
          </w:p>
        </w:tc>
      </w:tr>
      <w:tr w:rsidR="00564588" w14:paraId="0FF92ECB"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50D1F1EC" w14:textId="77777777" w:rsidR="00564588" w:rsidRDefault="00000000">
            <w:pPr>
              <w:shd w:val="clear" w:color="auto" w:fill="FFFFFF"/>
              <w:adjustRightInd/>
              <w:rPr>
                <w:rFonts w:ascii="Times New Roman" w:hAnsi="Times New Roman"/>
              </w:rPr>
            </w:pPr>
            <w:r>
              <w:rPr>
                <w:rFonts w:ascii="Times New Roman" w:hAnsi="Times New Roman"/>
              </w:rPr>
              <w:t>是否通过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3AC22E" w14:textId="77777777" w:rsidR="00564588" w:rsidRDefault="00000000">
            <w:pPr>
              <w:shd w:val="clear" w:color="auto" w:fill="FFFFFF"/>
              <w:adjustRightInd/>
              <w:rPr>
                <w:rFonts w:ascii="Times New Roman" w:hAnsi="Times New Roman"/>
              </w:rPr>
            </w:pPr>
            <w:r>
              <w:rPr>
                <w:rFonts w:ascii="Times New Roman" w:hAnsi="Times New Roman"/>
              </w:rPr>
              <w:t>证书号</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6381136" w14:textId="77777777" w:rsidR="00564588" w:rsidRDefault="00000000">
            <w:pPr>
              <w:shd w:val="clear" w:color="auto" w:fill="FFFFFF"/>
              <w:adjustRightInd/>
              <w:rPr>
                <w:rFonts w:ascii="Times New Roman" w:hAnsi="Times New Roman"/>
              </w:rPr>
            </w:pPr>
            <w:r>
              <w:rPr>
                <w:rFonts w:ascii="Times New Roman" w:hAnsi="Times New Roman"/>
              </w:rPr>
              <w:t>理由或备注</w:t>
            </w:r>
          </w:p>
        </w:tc>
      </w:tr>
      <w:tr w:rsidR="00564588" w14:paraId="28F60CED"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6584E3FB"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2B03E7"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418817"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0EA5A9" w14:textId="77777777" w:rsidR="00564588" w:rsidRDefault="00564588">
            <w:pPr>
              <w:shd w:val="clear" w:color="auto" w:fill="FFFFFF"/>
              <w:adjustRightInd/>
              <w:rPr>
                <w:rFonts w:ascii="Times New Roman" w:hAnsi="Times New Roman"/>
              </w:rPr>
            </w:pPr>
          </w:p>
        </w:tc>
      </w:tr>
      <w:tr w:rsidR="00564588" w14:paraId="6C9F093D" w14:textId="77777777">
        <w:trPr>
          <w:trHeight w:val="288"/>
        </w:trPr>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025AB359" w14:textId="77777777" w:rsidR="00564588" w:rsidRDefault="00000000">
            <w:pPr>
              <w:shd w:val="clear" w:color="auto" w:fill="FFFFFF"/>
              <w:adjustRightInd/>
              <w:rPr>
                <w:rFonts w:ascii="Times New Roman" w:hAnsi="Times New Roman"/>
              </w:rPr>
            </w:pPr>
            <w:r>
              <w:rPr>
                <w:rFonts w:ascii="Times New Roman" w:hAnsi="Times New Roman"/>
              </w:rPr>
              <w:t>附件目录</w:t>
            </w:r>
          </w:p>
        </w:tc>
      </w:tr>
      <w:tr w:rsidR="00564588" w14:paraId="585054DC"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2C3253F0" w14:textId="77777777" w:rsidR="00564588" w:rsidRDefault="00000000">
            <w:pPr>
              <w:shd w:val="clear" w:color="auto" w:fill="FFFFFF"/>
              <w:adjustRightInd/>
              <w:rPr>
                <w:rFonts w:ascii="Times New Roman" w:hAnsi="Times New Roman"/>
              </w:rPr>
            </w:pPr>
            <w:r>
              <w:rPr>
                <w:rFonts w:ascii="Times New Roman" w:hAnsi="Times New Roman"/>
              </w:rPr>
              <w:t>附件编号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CAE273" w14:textId="77777777" w:rsidR="00564588" w:rsidRDefault="00000000">
            <w:pPr>
              <w:shd w:val="clear" w:color="auto" w:fill="FFFFFF"/>
              <w:adjustRightInd/>
              <w:rPr>
                <w:rFonts w:ascii="Times New Roman" w:hAnsi="Times New Roman"/>
              </w:rPr>
            </w:pPr>
            <w:r>
              <w:rPr>
                <w:rFonts w:ascii="Times New Roman" w:hAnsi="Times New Roman"/>
              </w:rPr>
              <w:t>附件名称与格式</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F5E1B75" w14:textId="77777777" w:rsidR="00564588" w:rsidRDefault="00000000">
            <w:pPr>
              <w:shd w:val="clear" w:color="auto" w:fill="FFFFFF"/>
              <w:adjustRightInd/>
              <w:rPr>
                <w:rFonts w:ascii="Times New Roman" w:hAnsi="Times New Roman"/>
              </w:rPr>
            </w:pPr>
            <w:r>
              <w:rPr>
                <w:rFonts w:ascii="Times New Roman" w:hAnsi="Times New Roman"/>
              </w:rPr>
              <w:t>保存路径</w:t>
            </w:r>
          </w:p>
        </w:tc>
      </w:tr>
      <w:tr w:rsidR="00564588" w14:paraId="799EFC7E"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1CD4516B"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443304"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65DC53"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C214A6" w14:textId="77777777" w:rsidR="00564588" w:rsidRDefault="00564588">
            <w:pPr>
              <w:shd w:val="clear" w:color="auto" w:fill="FFFFFF"/>
              <w:adjustRightInd/>
              <w:rPr>
                <w:rFonts w:ascii="Times New Roman" w:hAnsi="Times New Roman"/>
              </w:rPr>
            </w:pPr>
          </w:p>
        </w:tc>
      </w:tr>
      <w:tr w:rsidR="00564588" w14:paraId="218CA952" w14:textId="77777777">
        <w:trPr>
          <w:trHeight w:val="288"/>
        </w:trPr>
        <w:tc>
          <w:tcPr>
            <w:tcW w:w="0" w:type="auto"/>
            <w:tcBorders>
              <w:top w:val="single" w:sz="4" w:space="0" w:color="000000"/>
              <w:left w:val="single" w:sz="4" w:space="0" w:color="000000"/>
              <w:bottom w:val="single" w:sz="4" w:space="0" w:color="000000"/>
              <w:right w:val="single" w:sz="4" w:space="0" w:color="000000"/>
            </w:tcBorders>
            <w:noWrap/>
            <w:vAlign w:val="center"/>
          </w:tcPr>
          <w:p w14:paraId="634965F5"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D94F55"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535DC" w14:textId="77777777" w:rsidR="00564588" w:rsidRDefault="00564588">
            <w:pPr>
              <w:shd w:val="clear" w:color="auto" w:fill="FFFFFF"/>
              <w:adjustRightInd/>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B02BCA" w14:textId="77777777" w:rsidR="00564588" w:rsidRDefault="00564588">
            <w:pPr>
              <w:shd w:val="clear" w:color="auto" w:fill="FFFFFF"/>
              <w:adjustRightInd/>
              <w:rPr>
                <w:rFonts w:ascii="Times New Roman" w:hAnsi="Times New Roman"/>
              </w:rPr>
            </w:pPr>
          </w:p>
        </w:tc>
      </w:tr>
    </w:tbl>
    <w:p w14:paraId="2C486676" w14:textId="77777777" w:rsidR="00564588" w:rsidRDefault="00564588">
      <w:pPr>
        <w:shd w:val="clear" w:color="auto" w:fill="FFFFFF"/>
        <w:adjustRightInd/>
        <w:rPr>
          <w:rFonts w:ascii="Times New Roman" w:hAnsi="Times New Roman"/>
        </w:rPr>
        <w:sectPr w:rsidR="00564588">
          <w:pgSz w:w="11906" w:h="16838"/>
          <w:pgMar w:top="1928" w:right="1134" w:bottom="1134" w:left="1134" w:header="1418" w:footer="1134" w:gutter="284"/>
          <w:cols w:space="425"/>
          <w:formProt w:val="0"/>
          <w:docGrid w:linePitch="312"/>
        </w:sectPr>
      </w:pPr>
    </w:p>
    <w:p w14:paraId="708F9521" w14:textId="77777777" w:rsidR="00564588" w:rsidRDefault="00564588">
      <w:pPr>
        <w:pStyle w:val="af8"/>
        <w:rPr>
          <w:rFonts w:hint="eastAsia"/>
          <w:vanish w:val="0"/>
        </w:rPr>
      </w:pPr>
    </w:p>
    <w:p w14:paraId="4F591224" w14:textId="77777777" w:rsidR="00564588" w:rsidRDefault="00564588">
      <w:pPr>
        <w:pStyle w:val="afe"/>
        <w:rPr>
          <w:vanish w:val="0"/>
        </w:rPr>
      </w:pPr>
    </w:p>
    <w:p w14:paraId="2719D25C" w14:textId="77777777" w:rsidR="00564588" w:rsidRDefault="00000000">
      <w:pPr>
        <w:pStyle w:val="aff3"/>
        <w:spacing w:after="120"/>
      </w:pPr>
      <w:bookmarkStart w:id="119" w:name="_Toc19363"/>
      <w:r>
        <w:br/>
      </w:r>
      <w:bookmarkStart w:id="120" w:name="_Toc133940626"/>
      <w:r>
        <w:rPr>
          <w:rFonts w:hint="eastAsia"/>
        </w:rPr>
        <w:t>（规范性）</w:t>
      </w:r>
      <w:r>
        <w:br/>
      </w:r>
      <w:bookmarkEnd w:id="120"/>
      <w:r>
        <w:rPr>
          <w:rFonts w:hint="eastAsia"/>
        </w:rPr>
        <w:t>评估流程参考示例</w:t>
      </w:r>
      <w:bookmarkEnd w:id="119"/>
    </w:p>
    <w:p w14:paraId="24A7E0C0" w14:textId="77777777" w:rsidR="00564588" w:rsidRDefault="00000000">
      <w:pPr>
        <w:shd w:val="clear" w:color="auto" w:fill="FFFFFF"/>
        <w:spacing w:line="360" w:lineRule="auto"/>
        <w:rPr>
          <w:rFonts w:ascii="宋体" w:hAnsi="Times New Roman"/>
          <w:b/>
          <w:bCs/>
          <w:kern w:val="0"/>
        </w:rPr>
      </w:pPr>
      <w:r>
        <w:rPr>
          <w:rFonts w:ascii="宋体" w:hAnsi="宋体" w:hint="eastAsia"/>
          <w:b/>
          <w:bCs/>
          <w:kern w:val="0"/>
        </w:rPr>
        <w:t>审查全流程示例</w:t>
      </w:r>
    </w:p>
    <w:p w14:paraId="5765EA9C" w14:textId="77777777" w:rsidR="00564588" w:rsidRDefault="00000000">
      <w:pPr>
        <w:shd w:val="clear" w:color="auto" w:fill="FFFFFF"/>
        <w:spacing w:line="360" w:lineRule="auto"/>
        <w:ind w:firstLineChars="200" w:firstLine="420"/>
        <w:rPr>
          <w:rFonts w:ascii="宋体" w:hAnsi="Times New Roman"/>
          <w:kern w:val="0"/>
        </w:rPr>
      </w:pPr>
      <w:r>
        <w:rPr>
          <w:rFonts w:ascii="宋体" w:hAnsi="宋体" w:hint="eastAsia"/>
          <w:kern w:val="0"/>
        </w:rPr>
        <w:t>农药标准参考数据评估如图5所示，农药标准参考数据评估流程同样始于申请人向评审机构提交数据资料，由形式审查员进行受理和形式审查，通过后分配到技术委员会的农药领域组进行技术专家评审，包括严格评价、准确性验证和相关性评审；评审通过后生成报告并提交指导委员会进行最终核验，最终由管理办公室批准并颁发农药标准参考数据证书，有效期</w:t>
      </w:r>
      <w:r>
        <w:rPr>
          <w:rFonts w:ascii="宋体" w:hAnsi="Times New Roman" w:hint="eastAsia"/>
          <w:kern w:val="0"/>
        </w:rPr>
        <w:t>2年，期间需定期或数据变更时触发复查。</w:t>
      </w:r>
    </w:p>
    <w:p w14:paraId="7BE639BC" w14:textId="77777777" w:rsidR="00564588" w:rsidRDefault="00000000">
      <w:pPr>
        <w:shd w:val="clear" w:color="auto" w:fill="FFFFFF"/>
        <w:spacing w:line="360" w:lineRule="auto"/>
        <w:jc w:val="center"/>
        <w:rPr>
          <w:rFonts w:ascii="宋体" w:hAnsi="宋体" w:hint="eastAsia"/>
          <w:kern w:val="0"/>
        </w:rPr>
      </w:pPr>
      <w:r>
        <w:rPr>
          <w:rFonts w:ascii="宋体" w:hAnsi="宋体" w:hint="eastAsia"/>
          <w:noProof/>
          <w:kern w:val="0"/>
        </w:rPr>
        <w:drawing>
          <wp:inline distT="0" distB="0" distL="0" distR="0" wp14:anchorId="1922C92B" wp14:editId="668C29B8">
            <wp:extent cx="4366895" cy="1741170"/>
            <wp:effectExtent l="0" t="0" r="6985" b="11430"/>
            <wp:docPr id="2087327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2744"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66895" cy="1741170"/>
                    </a:xfrm>
                    <a:prstGeom prst="rect">
                      <a:avLst/>
                    </a:prstGeom>
                    <a:noFill/>
                    <a:ln>
                      <a:noFill/>
                    </a:ln>
                  </pic:spPr>
                </pic:pic>
              </a:graphicData>
            </a:graphic>
          </wp:inline>
        </w:drawing>
      </w:r>
    </w:p>
    <w:p w14:paraId="4A41E40C" w14:textId="77777777" w:rsidR="00564588" w:rsidRDefault="00000000">
      <w:pPr>
        <w:shd w:val="clear" w:color="auto" w:fill="FFFFFF"/>
        <w:spacing w:line="360" w:lineRule="auto"/>
        <w:jc w:val="center"/>
        <w:rPr>
          <w:rFonts w:ascii="宋体" w:hAnsi="宋体" w:hint="eastAsia"/>
          <w:kern w:val="0"/>
        </w:rPr>
      </w:pPr>
      <w:r>
        <w:rPr>
          <w:rFonts w:ascii="宋体" w:hAnsi="宋体" w:hint="eastAsia"/>
          <w:kern w:val="0"/>
        </w:rPr>
        <w:t>图5 农药标准参考数据评估流程</w:t>
      </w:r>
    </w:p>
    <w:p w14:paraId="5CD678D9" w14:textId="77777777" w:rsidR="00564588" w:rsidRDefault="00000000">
      <w:pPr>
        <w:shd w:val="clear" w:color="auto" w:fill="FFFFFF"/>
        <w:spacing w:line="360" w:lineRule="auto"/>
        <w:rPr>
          <w:rFonts w:ascii="宋体" w:hAnsi="Times New Roman"/>
          <w:b/>
          <w:bCs/>
          <w:kern w:val="0"/>
        </w:rPr>
      </w:pPr>
      <w:r>
        <w:rPr>
          <w:rFonts w:ascii="宋体" w:hAnsi="宋体" w:hint="eastAsia"/>
          <w:b/>
          <w:bCs/>
          <w:kern w:val="0"/>
        </w:rPr>
        <w:t>形式审查流程</w:t>
      </w:r>
    </w:p>
    <w:p w14:paraId="2AE70A87" w14:textId="77777777" w:rsidR="00564588" w:rsidRDefault="00000000">
      <w:pPr>
        <w:shd w:val="clear" w:color="auto" w:fill="FFFFFF"/>
        <w:spacing w:line="360" w:lineRule="auto"/>
        <w:ind w:firstLineChars="200" w:firstLine="420"/>
        <w:rPr>
          <w:rFonts w:ascii="宋体" w:hAnsi="Times New Roman"/>
          <w:kern w:val="0"/>
        </w:rPr>
      </w:pPr>
      <w:r>
        <w:rPr>
          <w:rFonts w:ascii="宋体" w:hAnsi="宋体" w:hint="eastAsia"/>
          <w:kern w:val="0"/>
        </w:rPr>
        <w:t>农药数据需确保检测方法符合国家标准且毒理学数据标识清晰；审查清单包括数据有效性验证（如缺失急性毒性值则驳回）。</w:t>
      </w:r>
    </w:p>
    <w:p w14:paraId="7C8BB3E2" w14:textId="77777777" w:rsidR="00564588" w:rsidRDefault="00000000">
      <w:pPr>
        <w:shd w:val="clear" w:color="auto" w:fill="FFFFFF"/>
        <w:spacing w:line="360" w:lineRule="auto"/>
        <w:rPr>
          <w:rFonts w:ascii="宋体" w:hAnsi="Times New Roman"/>
          <w:b/>
          <w:bCs/>
          <w:kern w:val="0"/>
        </w:rPr>
      </w:pPr>
      <w:r>
        <w:rPr>
          <w:rFonts w:ascii="宋体" w:hAnsi="宋体" w:hint="eastAsia"/>
          <w:b/>
          <w:bCs/>
          <w:kern w:val="0"/>
        </w:rPr>
        <w:t>技术委员会评审流程</w:t>
      </w:r>
    </w:p>
    <w:p w14:paraId="1680D2F3" w14:textId="77777777" w:rsidR="00564588" w:rsidRDefault="00000000">
      <w:pPr>
        <w:shd w:val="clear" w:color="auto" w:fill="FFFFFF"/>
        <w:spacing w:line="360" w:lineRule="auto"/>
        <w:ind w:firstLineChars="200" w:firstLine="420"/>
        <w:rPr>
          <w:rFonts w:ascii="宋体" w:hAnsi="Times New Roman"/>
          <w:kern w:val="0"/>
        </w:rPr>
      </w:pPr>
      <w:r>
        <w:rPr>
          <w:rFonts w:ascii="宋体" w:hAnsi="宋体" w:hint="eastAsia"/>
          <w:kern w:val="0"/>
        </w:rPr>
        <w:t>农药残留数据需交叉比对实验室回收率（要求</w:t>
      </w:r>
      <w:r>
        <w:rPr>
          <w:rFonts w:ascii="宋体" w:hAnsi="Times New Roman" w:hint="eastAsia"/>
          <w:kern w:val="0"/>
        </w:rPr>
        <w:t>85%-110%）并验证算法模型的不确定度；评审中遵循判定原则（如毒理学数据必须溯源至国际标准）</w:t>
      </w:r>
      <w:r>
        <w:rPr>
          <w:rFonts w:ascii="宋体" w:hAnsi="宋体" w:hint="eastAsia"/>
          <w:kern w:val="0"/>
        </w:rPr>
        <w:t>。</w:t>
      </w:r>
    </w:p>
    <w:p w14:paraId="672972D7" w14:textId="77777777" w:rsidR="00564588" w:rsidRDefault="00000000">
      <w:pPr>
        <w:shd w:val="clear" w:color="auto" w:fill="FFFFFF"/>
        <w:spacing w:line="360" w:lineRule="auto"/>
        <w:rPr>
          <w:rFonts w:ascii="宋体" w:hAnsi="Times New Roman"/>
          <w:b/>
          <w:bCs/>
          <w:kern w:val="0"/>
        </w:rPr>
      </w:pPr>
      <w:r>
        <w:rPr>
          <w:rFonts w:ascii="宋体" w:hAnsi="宋体" w:hint="eastAsia"/>
          <w:b/>
          <w:bCs/>
          <w:kern w:val="0"/>
        </w:rPr>
        <w:t>指导委员会评审流程</w:t>
      </w:r>
    </w:p>
    <w:p w14:paraId="3C2795A5" w14:textId="77777777" w:rsidR="00564588" w:rsidRDefault="00000000">
      <w:pPr>
        <w:shd w:val="clear" w:color="auto" w:fill="FFFFFF"/>
        <w:spacing w:line="360" w:lineRule="auto"/>
        <w:ind w:firstLineChars="200" w:firstLine="420"/>
        <w:rPr>
          <w:rFonts w:ascii="宋体" w:hAnsi="Times New Roman"/>
          <w:kern w:val="0"/>
        </w:rPr>
      </w:pPr>
      <w:r>
        <w:rPr>
          <w:rFonts w:ascii="宋体" w:hAnsi="宋体" w:hint="eastAsia"/>
          <w:kern w:val="0"/>
        </w:rPr>
        <w:t>指导委员会负责终审环节，依据图</w:t>
      </w:r>
      <w:r>
        <w:rPr>
          <w:rFonts w:ascii="宋体" w:hAnsi="Times New Roman" w:hint="eastAsia"/>
          <w:kern w:val="0"/>
        </w:rPr>
        <w:t>5流程复核技术委员会提交的资料，重点核验严格评价指标、准确性验证结果及数据相关性（如农药暴露剂量与健康风险的匹配性）</w:t>
      </w:r>
    </w:p>
    <w:p w14:paraId="55A4B83A" w14:textId="77777777" w:rsidR="00564588" w:rsidRDefault="00564588">
      <w:pPr>
        <w:pStyle w:val="afffffa"/>
        <w:ind w:firstLine="420"/>
      </w:pPr>
    </w:p>
    <w:p w14:paraId="2B3C6861" w14:textId="77777777" w:rsidR="00564588" w:rsidRDefault="00564588">
      <w:pPr>
        <w:pStyle w:val="afffffa"/>
        <w:ind w:firstLine="420"/>
      </w:pPr>
    </w:p>
    <w:p w14:paraId="477D2CE0" w14:textId="77777777" w:rsidR="00564588" w:rsidRDefault="00564588">
      <w:pPr>
        <w:pStyle w:val="afffffa"/>
        <w:ind w:firstLine="420"/>
      </w:pPr>
    </w:p>
    <w:p w14:paraId="282F6CD6" w14:textId="77777777" w:rsidR="00564588" w:rsidRDefault="00564588">
      <w:pPr>
        <w:pStyle w:val="afffffa"/>
        <w:ind w:firstLine="420"/>
      </w:pPr>
    </w:p>
    <w:p w14:paraId="3E6F10F4" w14:textId="77777777" w:rsidR="00564588" w:rsidRDefault="00564588">
      <w:pPr>
        <w:shd w:val="clear" w:color="auto" w:fill="FFFFFF"/>
        <w:adjustRightInd/>
        <w:rPr>
          <w:rFonts w:ascii="Times New Roman" w:hAnsi="Times New Roman"/>
          <w:sz w:val="32"/>
          <w:szCs w:val="32"/>
        </w:rPr>
        <w:sectPr w:rsidR="00564588">
          <w:pgSz w:w="11906" w:h="16838"/>
          <w:pgMar w:top="1928" w:right="1134" w:bottom="1134" w:left="1134" w:header="1418" w:footer="1134" w:gutter="284"/>
          <w:cols w:space="425"/>
          <w:formProt w:val="0"/>
          <w:docGrid w:linePitch="312"/>
        </w:sectPr>
      </w:pPr>
    </w:p>
    <w:p w14:paraId="45EA37DB" w14:textId="77777777" w:rsidR="00564588" w:rsidRDefault="00564588">
      <w:pPr>
        <w:pStyle w:val="af8"/>
        <w:rPr>
          <w:rFonts w:hint="eastAsia"/>
          <w:vanish w:val="0"/>
        </w:rPr>
      </w:pPr>
    </w:p>
    <w:p w14:paraId="456DB6E2" w14:textId="77777777" w:rsidR="00564588" w:rsidRDefault="00564588">
      <w:pPr>
        <w:pStyle w:val="afe"/>
        <w:rPr>
          <w:vanish w:val="0"/>
        </w:rPr>
      </w:pPr>
    </w:p>
    <w:bookmarkEnd w:id="109"/>
    <w:p w14:paraId="1D0DCC47" w14:textId="77777777" w:rsidR="00564588" w:rsidRDefault="00564588">
      <w:pPr>
        <w:shd w:val="clear" w:color="auto" w:fill="FFFFFF"/>
        <w:adjustRightInd/>
        <w:jc w:val="center"/>
        <w:rPr>
          <w:rFonts w:ascii="宋体" w:hAnsi="宋体" w:hint="eastAsia"/>
          <w:sz w:val="24"/>
          <w:szCs w:val="24"/>
        </w:rPr>
      </w:pPr>
    </w:p>
    <w:p w14:paraId="356280E8" w14:textId="77777777" w:rsidR="00564588" w:rsidRDefault="00000000">
      <w:pPr>
        <w:pStyle w:val="aff3"/>
        <w:numPr>
          <w:ilvl w:val="0"/>
          <w:numId w:val="0"/>
        </w:numPr>
        <w:spacing w:before="0" w:afterLines="0" w:after="0"/>
      </w:pPr>
      <w:bookmarkStart w:id="121" w:name="_Toc25213"/>
      <w:r>
        <w:rPr>
          <w:rFonts w:hint="eastAsia"/>
        </w:rPr>
        <w:t>参  考  文  献</w:t>
      </w:r>
      <w:r>
        <w:br/>
      </w:r>
      <w:bookmarkEnd w:id="121"/>
    </w:p>
    <w:p w14:paraId="1EF81834" w14:textId="77777777" w:rsidR="00564588" w:rsidRDefault="00000000">
      <w:pPr>
        <w:pStyle w:val="affffffffffff1"/>
        <w:numPr>
          <w:ilvl w:val="0"/>
          <w:numId w:val="35"/>
        </w:numPr>
      </w:pPr>
      <w:r>
        <w:rPr>
          <w:rFonts w:hint="eastAsia"/>
        </w:rPr>
        <w:t xml:space="preserve">GB/T 25000.12-2017 </w:t>
      </w:r>
      <w:r>
        <w:rPr>
          <w:rFonts w:hint="eastAsia"/>
        </w:rPr>
        <w:t>系统与软件工程</w:t>
      </w:r>
      <w:r>
        <w:rPr>
          <w:rFonts w:hint="eastAsia"/>
        </w:rPr>
        <w:t xml:space="preserve"> </w:t>
      </w:r>
      <w:r>
        <w:rPr>
          <w:rFonts w:hint="eastAsia"/>
        </w:rPr>
        <w:t>系统与软件质量要求和评价</w:t>
      </w:r>
      <w:r>
        <w:rPr>
          <w:rFonts w:hint="eastAsia"/>
        </w:rPr>
        <w:t xml:space="preserve">(SQuaRE) </w:t>
      </w:r>
      <w:r>
        <w:rPr>
          <w:rFonts w:hint="eastAsia"/>
        </w:rPr>
        <w:t>第</w:t>
      </w:r>
      <w:r>
        <w:rPr>
          <w:rFonts w:hint="eastAsia"/>
        </w:rPr>
        <w:t xml:space="preserve"> 12 </w:t>
      </w:r>
      <w:r>
        <w:rPr>
          <w:rFonts w:hint="eastAsia"/>
        </w:rPr>
        <w:t>部分</w:t>
      </w:r>
      <w:r>
        <w:rPr>
          <w:rFonts w:hint="eastAsia"/>
        </w:rPr>
        <w:t xml:space="preserve"> </w:t>
      </w:r>
      <w:r>
        <w:rPr>
          <w:rFonts w:hint="eastAsia"/>
        </w:rPr>
        <w:t>数据质量模型</w:t>
      </w:r>
    </w:p>
    <w:p w14:paraId="2EC54727" w14:textId="77777777" w:rsidR="00564588" w:rsidRDefault="00000000">
      <w:pPr>
        <w:pStyle w:val="affffffffffff1"/>
        <w:numPr>
          <w:ilvl w:val="0"/>
          <w:numId w:val="35"/>
        </w:numPr>
      </w:pPr>
      <w:r>
        <w:rPr>
          <w:rFonts w:hint="eastAsia"/>
        </w:rPr>
        <w:t>GB 2762-2024</w:t>
      </w:r>
      <w:r>
        <w:rPr>
          <w:rFonts w:hint="eastAsia"/>
        </w:rPr>
        <w:t>《食品安全国家标准</w:t>
      </w:r>
      <w:r>
        <w:rPr>
          <w:rFonts w:hint="eastAsia"/>
        </w:rPr>
        <w:t xml:space="preserve"> </w:t>
      </w:r>
      <w:r>
        <w:rPr>
          <w:rFonts w:hint="eastAsia"/>
        </w:rPr>
        <w:t>食品中污染物限量》</w:t>
      </w:r>
    </w:p>
    <w:p w14:paraId="614768D9" w14:textId="77777777" w:rsidR="00564588" w:rsidRDefault="00000000">
      <w:pPr>
        <w:pStyle w:val="affffffffffff1"/>
        <w:numPr>
          <w:ilvl w:val="0"/>
          <w:numId w:val="35"/>
        </w:numPr>
      </w:pPr>
      <w:r>
        <w:rPr>
          <w:rFonts w:hint="eastAsia"/>
        </w:rPr>
        <w:t xml:space="preserve">GB/T 18894-2016 </w:t>
      </w:r>
      <w:r>
        <w:rPr>
          <w:rFonts w:hint="eastAsia"/>
        </w:rPr>
        <w:t>《电子文件归档与电子档案管理规范》</w:t>
      </w:r>
    </w:p>
    <w:p w14:paraId="0B8E4A31" w14:textId="77777777" w:rsidR="00564588" w:rsidRDefault="00000000">
      <w:pPr>
        <w:pStyle w:val="affffffffffff1"/>
        <w:numPr>
          <w:ilvl w:val="0"/>
          <w:numId w:val="35"/>
        </w:numPr>
      </w:pPr>
      <w:r>
        <w:rPr>
          <w:rFonts w:hint="eastAsia"/>
        </w:rPr>
        <w:t>WS/T 777</w:t>
      </w:r>
      <w:r>
        <w:rPr>
          <w:rFonts w:hint="eastAsia"/>
        </w:rPr>
        <w:t>—</w:t>
      </w:r>
      <w:r>
        <w:rPr>
          <w:rFonts w:hint="eastAsia"/>
        </w:rPr>
        <w:t>2021</w:t>
      </w:r>
      <w:r>
        <w:rPr>
          <w:rFonts w:hint="eastAsia"/>
        </w:rPr>
        <w:t>《化学物质环境健康风险评估技术指南》</w:t>
      </w:r>
    </w:p>
    <w:p w14:paraId="6CC0E8DA" w14:textId="77777777" w:rsidR="00564588" w:rsidRDefault="00000000">
      <w:pPr>
        <w:pStyle w:val="affffffffffff1"/>
        <w:numPr>
          <w:ilvl w:val="0"/>
          <w:numId w:val="35"/>
        </w:numPr>
      </w:pPr>
      <w:r>
        <w:rPr>
          <w:rFonts w:hint="eastAsia"/>
        </w:rPr>
        <w:t xml:space="preserve">ISO/IEC Guide 98-3:2008 </w:t>
      </w:r>
      <w:r>
        <w:rPr>
          <w:rFonts w:hint="eastAsia"/>
        </w:rPr>
        <w:t>测量不确定度</w:t>
      </w:r>
      <w:r>
        <w:rPr>
          <w:rFonts w:hint="eastAsia"/>
        </w:rPr>
        <w:t xml:space="preserve"> </w:t>
      </w:r>
      <w:r>
        <w:rPr>
          <w:rFonts w:hint="eastAsia"/>
        </w:rPr>
        <w:t>第三部分：测量不确定度表示指南（</w:t>
      </w:r>
      <w:r>
        <w:rPr>
          <w:rFonts w:hint="eastAsia"/>
        </w:rPr>
        <w:t>Uncertainty of measurement-Part 3: Guide to the expression of uncertainty in measurement (GUM:1995)</w:t>
      </w:r>
      <w:r>
        <w:rPr>
          <w:rFonts w:hint="eastAsia"/>
        </w:rPr>
        <w:t>）</w:t>
      </w:r>
    </w:p>
    <w:p w14:paraId="3FB1F618" w14:textId="77777777" w:rsidR="00564588" w:rsidRDefault="00564588">
      <w:pPr>
        <w:pStyle w:val="affffffffffff1"/>
      </w:pPr>
    </w:p>
    <w:p w14:paraId="293ADD26" w14:textId="77777777" w:rsidR="00564588" w:rsidRDefault="00564588">
      <w:pPr>
        <w:pStyle w:val="afffffa"/>
        <w:ind w:firstLine="420"/>
      </w:pPr>
    </w:p>
    <w:p w14:paraId="5242B9E5" w14:textId="77777777" w:rsidR="00564588" w:rsidRDefault="00564588">
      <w:pPr>
        <w:pStyle w:val="afffffa"/>
        <w:ind w:firstLine="420"/>
      </w:pPr>
    </w:p>
    <w:p w14:paraId="64E25DC8" w14:textId="77777777" w:rsidR="00564588" w:rsidRDefault="00564588">
      <w:pPr>
        <w:pStyle w:val="afffffa"/>
        <w:ind w:firstLine="420"/>
      </w:pPr>
    </w:p>
    <w:p w14:paraId="5B34A875" w14:textId="77777777" w:rsidR="00564588" w:rsidRDefault="00000000">
      <w:pPr>
        <w:shd w:val="clear" w:color="auto" w:fill="FFFFFF"/>
        <w:adjustRightInd/>
        <w:spacing w:line="240" w:lineRule="auto"/>
        <w:jc w:val="center"/>
      </w:pPr>
      <w:r>
        <w:rPr>
          <w:rFonts w:ascii="宋体" w:hAnsi="宋体" w:hint="eastAsia"/>
          <w:sz w:val="24"/>
          <w:szCs w:val="24"/>
        </w:rPr>
        <w:t>____________________</w:t>
      </w:r>
    </w:p>
    <w:p w14:paraId="0E2F7270" w14:textId="77777777" w:rsidR="00564588" w:rsidRDefault="00564588">
      <w:pPr>
        <w:shd w:val="clear" w:color="auto" w:fill="FFFFFF"/>
        <w:adjustRightInd/>
        <w:jc w:val="center"/>
      </w:pPr>
    </w:p>
    <w:sectPr w:rsidR="0056458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B606" w14:textId="77777777" w:rsidR="00A76DDE" w:rsidRDefault="00A76DDE">
      <w:pPr>
        <w:spacing w:line="240" w:lineRule="auto"/>
      </w:pPr>
      <w:r>
        <w:separator/>
      </w:r>
    </w:p>
  </w:endnote>
  <w:endnote w:type="continuationSeparator" w:id="0">
    <w:p w14:paraId="07914B26" w14:textId="77777777" w:rsidR="00A76DDE" w:rsidRDefault="00A76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5416" w14:textId="77777777" w:rsidR="00564588"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9BA8" w14:textId="77777777" w:rsidR="00564588" w:rsidRDefault="00564588">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7A8" w14:textId="77777777" w:rsidR="00564588" w:rsidRDefault="00000000">
    <w:pPr>
      <w:pStyle w:val="afffff7"/>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BD4E" w14:textId="77777777" w:rsidR="00A76DDE" w:rsidRDefault="00A76DDE">
      <w:pPr>
        <w:spacing w:line="240" w:lineRule="auto"/>
      </w:pPr>
      <w:r>
        <w:separator/>
      </w:r>
    </w:p>
  </w:footnote>
  <w:footnote w:type="continuationSeparator" w:id="0">
    <w:p w14:paraId="574B086C" w14:textId="77777777" w:rsidR="00A76DDE" w:rsidRDefault="00A76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AD94" w14:textId="77777777" w:rsidR="00564588"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DDA7" w14:textId="77777777" w:rsidR="00564588" w:rsidRDefault="00564588">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3DC1" w14:textId="77777777" w:rsidR="00564588"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T/CMA JD XXX—2025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EAC" w14:textId="4E012BF8" w:rsidR="00564588" w:rsidRDefault="00000000">
    <w:pPr>
      <w:pStyle w:val="affffff"/>
      <w:rPr>
        <w:rFonts w:hint="eastAsia"/>
      </w:rPr>
    </w:pPr>
    <w:r>
      <w:fldChar w:fldCharType="begin"/>
    </w:r>
    <w:r>
      <w:instrText xml:space="preserve"> STYLEREF  标准文件_文件编号  \* MERGEFORMAT </w:instrText>
    </w:r>
    <w:r>
      <w:fldChar w:fldCharType="separate"/>
    </w:r>
    <w:r w:rsidR="00604DDA">
      <w:rPr>
        <w:rFonts w:hint="eastAsia"/>
        <w:noProof/>
      </w:rPr>
      <w:t>T/CMA JD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3347"/>
        </w:tabs>
        <w:ind w:left="3347" w:hanging="648"/>
      </w:pPr>
    </w:lvl>
    <w:lvl w:ilvl="1">
      <w:start w:val="1"/>
      <w:numFmt w:val="lowerLetter"/>
      <w:lvlText w:val="%2)"/>
      <w:lvlJc w:val="left"/>
      <w:pPr>
        <w:tabs>
          <w:tab w:val="left" w:pos="3539"/>
        </w:tabs>
        <w:ind w:left="3539" w:hanging="420"/>
      </w:pPr>
    </w:lvl>
    <w:lvl w:ilvl="2">
      <w:start w:val="1"/>
      <w:numFmt w:val="lowerRoman"/>
      <w:lvlText w:val="%3."/>
      <w:lvlJc w:val="right"/>
      <w:pPr>
        <w:tabs>
          <w:tab w:val="left" w:pos="3959"/>
        </w:tabs>
        <w:ind w:left="3959" w:hanging="420"/>
      </w:pPr>
    </w:lvl>
    <w:lvl w:ilvl="3">
      <w:start w:val="1"/>
      <w:numFmt w:val="decimal"/>
      <w:lvlText w:val="%4."/>
      <w:lvlJc w:val="left"/>
      <w:pPr>
        <w:tabs>
          <w:tab w:val="left" w:pos="4379"/>
        </w:tabs>
        <w:ind w:left="4379" w:hanging="420"/>
      </w:pPr>
    </w:lvl>
    <w:lvl w:ilvl="4">
      <w:start w:val="1"/>
      <w:numFmt w:val="lowerLetter"/>
      <w:lvlText w:val="%5)"/>
      <w:lvlJc w:val="left"/>
      <w:pPr>
        <w:tabs>
          <w:tab w:val="left" w:pos="4799"/>
        </w:tabs>
        <w:ind w:left="4799" w:hanging="420"/>
      </w:pPr>
    </w:lvl>
    <w:lvl w:ilvl="5">
      <w:start w:val="1"/>
      <w:numFmt w:val="lowerRoman"/>
      <w:lvlText w:val="%6."/>
      <w:lvlJc w:val="right"/>
      <w:pPr>
        <w:tabs>
          <w:tab w:val="left" w:pos="5219"/>
        </w:tabs>
        <w:ind w:left="5219" w:hanging="420"/>
      </w:pPr>
    </w:lvl>
    <w:lvl w:ilvl="6">
      <w:start w:val="1"/>
      <w:numFmt w:val="decimal"/>
      <w:lvlText w:val="%7."/>
      <w:lvlJc w:val="left"/>
      <w:pPr>
        <w:tabs>
          <w:tab w:val="left" w:pos="5639"/>
        </w:tabs>
        <w:ind w:left="5639" w:hanging="420"/>
      </w:pPr>
    </w:lvl>
    <w:lvl w:ilvl="7">
      <w:start w:val="1"/>
      <w:numFmt w:val="lowerLetter"/>
      <w:lvlText w:val="%8)"/>
      <w:lvlJc w:val="left"/>
      <w:pPr>
        <w:tabs>
          <w:tab w:val="left" w:pos="6059"/>
        </w:tabs>
        <w:ind w:left="6059" w:hanging="420"/>
      </w:pPr>
    </w:lvl>
    <w:lvl w:ilvl="8">
      <w:start w:val="1"/>
      <w:numFmt w:val="lowerRoman"/>
      <w:lvlText w:val="%9."/>
      <w:lvlJc w:val="right"/>
      <w:pPr>
        <w:tabs>
          <w:tab w:val="left" w:pos="6479"/>
        </w:tabs>
        <w:ind w:left="6479"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709"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6EEC6E6D"/>
    <w:multiLevelType w:val="singleLevel"/>
    <w:tmpl w:val="6EEC6E6D"/>
    <w:lvl w:ilvl="0">
      <w:start w:val="1"/>
      <w:numFmt w:val="decimal"/>
      <w:suff w:val="space"/>
      <w:lvlText w:val="[%1]"/>
      <w:lvlJc w:val="left"/>
    </w:lvl>
  </w:abstractNum>
  <w:abstractNum w:abstractNumId="31" w15:restartNumberingAfterBreak="0">
    <w:nsid w:val="71FE6E00"/>
    <w:multiLevelType w:val="multilevel"/>
    <w:tmpl w:val="71FE6E00"/>
    <w:lvl w:ilvl="0">
      <w:start w:val="1"/>
      <w:numFmt w:val="decimal"/>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rPr>
        <w:rFonts w:ascii="Times New Roman" w:hAnsi="Times New Roman" w:cs="Times New Roman" w:hint="default"/>
      </w:rPr>
    </w:lvl>
    <w:lvl w:ilvl="2">
      <w:start w:val="1"/>
      <w:numFmt w:val="lowerRoman"/>
      <w:lvlText w:val="%3."/>
      <w:lvlJc w:val="right"/>
      <w:pPr>
        <w:ind w:left="1740" w:hanging="440"/>
      </w:pPr>
      <w:rPr>
        <w:rFonts w:ascii="Times New Roman" w:hAnsi="Times New Roman" w:cs="Times New Roman" w:hint="default"/>
      </w:rPr>
    </w:lvl>
    <w:lvl w:ilvl="3">
      <w:start w:val="1"/>
      <w:numFmt w:val="decimal"/>
      <w:lvlText w:val="%4."/>
      <w:lvlJc w:val="left"/>
      <w:pPr>
        <w:ind w:left="2180" w:hanging="440"/>
      </w:pPr>
      <w:rPr>
        <w:rFonts w:ascii="Times New Roman" w:hAnsi="Times New Roman" w:cs="Times New Roman" w:hint="default"/>
      </w:rPr>
    </w:lvl>
    <w:lvl w:ilvl="4">
      <w:start w:val="1"/>
      <w:numFmt w:val="lowerLetter"/>
      <w:lvlText w:val="%5)"/>
      <w:lvlJc w:val="left"/>
      <w:pPr>
        <w:ind w:left="2620" w:hanging="440"/>
      </w:pPr>
      <w:rPr>
        <w:rFonts w:ascii="Times New Roman" w:hAnsi="Times New Roman" w:cs="Times New Roman" w:hint="default"/>
      </w:rPr>
    </w:lvl>
    <w:lvl w:ilvl="5">
      <w:start w:val="1"/>
      <w:numFmt w:val="lowerRoman"/>
      <w:lvlText w:val="%6."/>
      <w:lvlJc w:val="right"/>
      <w:pPr>
        <w:ind w:left="3060" w:hanging="440"/>
      </w:pPr>
      <w:rPr>
        <w:rFonts w:ascii="Times New Roman" w:hAnsi="Times New Roman" w:cs="Times New Roman" w:hint="default"/>
      </w:rPr>
    </w:lvl>
    <w:lvl w:ilvl="6">
      <w:start w:val="1"/>
      <w:numFmt w:val="decimal"/>
      <w:lvlText w:val="%7."/>
      <w:lvlJc w:val="left"/>
      <w:pPr>
        <w:ind w:left="3500" w:hanging="440"/>
      </w:pPr>
      <w:rPr>
        <w:rFonts w:ascii="Times New Roman" w:hAnsi="Times New Roman" w:cs="Times New Roman" w:hint="default"/>
      </w:rPr>
    </w:lvl>
    <w:lvl w:ilvl="7">
      <w:start w:val="1"/>
      <w:numFmt w:val="lowerLetter"/>
      <w:lvlText w:val="%8)"/>
      <w:lvlJc w:val="left"/>
      <w:pPr>
        <w:ind w:left="3940" w:hanging="440"/>
      </w:pPr>
      <w:rPr>
        <w:rFonts w:ascii="Times New Roman" w:hAnsi="Times New Roman" w:cs="Times New Roman" w:hint="default"/>
      </w:rPr>
    </w:lvl>
    <w:lvl w:ilvl="8">
      <w:start w:val="1"/>
      <w:numFmt w:val="lowerRoman"/>
      <w:lvlText w:val="%9."/>
      <w:lvlJc w:val="right"/>
      <w:pPr>
        <w:ind w:left="4380" w:hanging="440"/>
      </w:pPr>
      <w:rPr>
        <w:rFonts w:ascii="Times New Roman" w:hAnsi="Times New Roman" w:cs="Times New Roman" w:hint="default"/>
      </w:r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B484E42"/>
    <w:multiLevelType w:val="multilevel"/>
    <w:tmpl w:val="7B484E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17212B"/>
    <w:multiLevelType w:val="multilevel"/>
    <w:tmpl w:val="7D17212B"/>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26354669">
    <w:abstractNumId w:val="0"/>
  </w:num>
  <w:num w:numId="2" w16cid:durableId="2115324965">
    <w:abstractNumId w:val="27"/>
  </w:num>
  <w:num w:numId="3" w16cid:durableId="1319575155">
    <w:abstractNumId w:val="5"/>
  </w:num>
  <w:num w:numId="4" w16cid:durableId="480971207">
    <w:abstractNumId w:val="23"/>
  </w:num>
  <w:num w:numId="5" w16cid:durableId="506746509">
    <w:abstractNumId w:val="18"/>
  </w:num>
  <w:num w:numId="6" w16cid:durableId="1642075102">
    <w:abstractNumId w:val="13"/>
  </w:num>
  <w:num w:numId="7" w16cid:durableId="1438986349">
    <w:abstractNumId w:val="8"/>
  </w:num>
  <w:num w:numId="8" w16cid:durableId="1778525312">
    <w:abstractNumId w:val="3"/>
  </w:num>
  <w:num w:numId="9" w16cid:durableId="706180767">
    <w:abstractNumId w:val="9"/>
  </w:num>
  <w:num w:numId="10" w16cid:durableId="1356150110">
    <w:abstractNumId w:val="16"/>
  </w:num>
  <w:num w:numId="11" w16cid:durableId="1097872246">
    <w:abstractNumId w:val="25"/>
  </w:num>
  <w:num w:numId="12" w16cid:durableId="592781824">
    <w:abstractNumId w:val="11"/>
  </w:num>
  <w:num w:numId="13" w16cid:durableId="1844852802">
    <w:abstractNumId w:val="12"/>
  </w:num>
  <w:num w:numId="14" w16cid:durableId="1069810484">
    <w:abstractNumId w:val="7"/>
  </w:num>
  <w:num w:numId="15" w16cid:durableId="1622834350">
    <w:abstractNumId w:val="19"/>
  </w:num>
  <w:num w:numId="16" w16cid:durableId="1640570480">
    <w:abstractNumId w:val="21"/>
  </w:num>
  <w:num w:numId="17" w16cid:durableId="1014768070">
    <w:abstractNumId w:val="17"/>
  </w:num>
  <w:num w:numId="18" w16cid:durableId="1380789478">
    <w:abstractNumId w:val="29"/>
  </w:num>
  <w:num w:numId="19" w16cid:durableId="826364857">
    <w:abstractNumId w:val="15"/>
  </w:num>
  <w:num w:numId="20" w16cid:durableId="810830273">
    <w:abstractNumId w:val="1"/>
  </w:num>
  <w:num w:numId="21" w16cid:durableId="167645209">
    <w:abstractNumId w:val="10"/>
  </w:num>
  <w:num w:numId="22" w16cid:durableId="944073524">
    <w:abstractNumId w:val="32"/>
  </w:num>
  <w:num w:numId="23" w16cid:durableId="1970435013">
    <w:abstractNumId w:val="20"/>
  </w:num>
  <w:num w:numId="24" w16cid:durableId="1921600349">
    <w:abstractNumId w:val="6"/>
  </w:num>
  <w:num w:numId="25" w16cid:durableId="1338650241">
    <w:abstractNumId w:val="26"/>
  </w:num>
  <w:num w:numId="26" w16cid:durableId="2024091638">
    <w:abstractNumId w:val="28"/>
  </w:num>
  <w:num w:numId="27" w16cid:durableId="2036468161">
    <w:abstractNumId w:val="2"/>
  </w:num>
  <w:num w:numId="28" w16cid:durableId="965504825">
    <w:abstractNumId w:val="4"/>
  </w:num>
  <w:num w:numId="29" w16cid:durableId="684211869">
    <w:abstractNumId w:val="14"/>
  </w:num>
  <w:num w:numId="30" w16cid:durableId="1691881526">
    <w:abstractNumId w:val="24"/>
  </w:num>
  <w:num w:numId="31" w16cid:durableId="84225901">
    <w:abstractNumId w:val="22"/>
  </w:num>
  <w:num w:numId="32" w16cid:durableId="407381227">
    <w:abstractNumId w:val="33"/>
  </w:num>
  <w:num w:numId="33" w16cid:durableId="1628781999">
    <w:abstractNumId w:val="34"/>
  </w:num>
  <w:num w:numId="34" w16cid:durableId="878081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72650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cryptProviderType="rsaAES" w:cryptAlgorithmClass="hash" w:cryptAlgorithmType="typeAny" w:cryptAlgorithmSid="14" w:cryptSpinCount="100000" w:hash="VjeQfKZJvfyysEZV0kIO2+lxT8p0SLcSi5CxEvMGra9HPnnPZ1yhmvzn20dKmAIlU3lMrLiJUa0iJkOQwp55lA==" w:salt="boQ1x8/Muop8dElMF8wVM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1NThlMzRiYTQ2MjM1NjUwMjkwNzBiNTk1OWYwMGUifQ=="/>
  </w:docVars>
  <w:rsids>
    <w:rsidRoot w:val="00877A69"/>
    <w:rsid w:val="0000040A"/>
    <w:rsid w:val="00000A94"/>
    <w:rsid w:val="00001972"/>
    <w:rsid w:val="00001D9A"/>
    <w:rsid w:val="000047C4"/>
    <w:rsid w:val="00007B3A"/>
    <w:rsid w:val="000107E0"/>
    <w:rsid w:val="00010AC5"/>
    <w:rsid w:val="00011FDE"/>
    <w:rsid w:val="00012FFD"/>
    <w:rsid w:val="00014162"/>
    <w:rsid w:val="00014340"/>
    <w:rsid w:val="00016A9C"/>
    <w:rsid w:val="00022184"/>
    <w:rsid w:val="00022762"/>
    <w:rsid w:val="00022E21"/>
    <w:rsid w:val="000238E0"/>
    <w:rsid w:val="000249DB"/>
    <w:rsid w:val="0002595E"/>
    <w:rsid w:val="000303C3"/>
    <w:rsid w:val="00031DA4"/>
    <w:rsid w:val="000331D3"/>
    <w:rsid w:val="000346A5"/>
    <w:rsid w:val="00034732"/>
    <w:rsid w:val="000359C3"/>
    <w:rsid w:val="00035A7D"/>
    <w:rsid w:val="000365ED"/>
    <w:rsid w:val="0003747B"/>
    <w:rsid w:val="00041348"/>
    <w:rsid w:val="0004249A"/>
    <w:rsid w:val="00043282"/>
    <w:rsid w:val="00044286"/>
    <w:rsid w:val="00047F28"/>
    <w:rsid w:val="000503AA"/>
    <w:rsid w:val="000506A1"/>
    <w:rsid w:val="00050F39"/>
    <w:rsid w:val="000515DD"/>
    <w:rsid w:val="0005265A"/>
    <w:rsid w:val="000539DD"/>
    <w:rsid w:val="00053BD3"/>
    <w:rsid w:val="000556ED"/>
    <w:rsid w:val="00055FE2"/>
    <w:rsid w:val="0005616F"/>
    <w:rsid w:val="000604B6"/>
    <w:rsid w:val="00060C2E"/>
    <w:rsid w:val="00061033"/>
    <w:rsid w:val="00061280"/>
    <w:rsid w:val="000619E9"/>
    <w:rsid w:val="000622D4"/>
    <w:rsid w:val="0006357D"/>
    <w:rsid w:val="00063959"/>
    <w:rsid w:val="0006592A"/>
    <w:rsid w:val="00067F1E"/>
    <w:rsid w:val="00071CC0"/>
    <w:rsid w:val="00071CFC"/>
    <w:rsid w:val="00073C8C"/>
    <w:rsid w:val="00076E9D"/>
    <w:rsid w:val="00077B64"/>
    <w:rsid w:val="00080A1C"/>
    <w:rsid w:val="00082317"/>
    <w:rsid w:val="00083D2C"/>
    <w:rsid w:val="0008535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3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4D"/>
    <w:rsid w:val="000D329A"/>
    <w:rsid w:val="000D4B9C"/>
    <w:rsid w:val="000D4EB6"/>
    <w:rsid w:val="000D753B"/>
    <w:rsid w:val="000E4C9E"/>
    <w:rsid w:val="000E6FD7"/>
    <w:rsid w:val="000E7144"/>
    <w:rsid w:val="000F06E1"/>
    <w:rsid w:val="000F0E3C"/>
    <w:rsid w:val="000F19D5"/>
    <w:rsid w:val="000F1EB2"/>
    <w:rsid w:val="000F4050"/>
    <w:rsid w:val="000F4AEA"/>
    <w:rsid w:val="000F67E9"/>
    <w:rsid w:val="00104926"/>
    <w:rsid w:val="00110E92"/>
    <w:rsid w:val="00113B1E"/>
    <w:rsid w:val="0011711C"/>
    <w:rsid w:val="00124E4F"/>
    <w:rsid w:val="001254CE"/>
    <w:rsid w:val="001260B7"/>
    <w:rsid w:val="001265CB"/>
    <w:rsid w:val="001321C6"/>
    <w:rsid w:val="001325C4"/>
    <w:rsid w:val="00133010"/>
    <w:rsid w:val="001338EE"/>
    <w:rsid w:val="00133AAE"/>
    <w:rsid w:val="00134619"/>
    <w:rsid w:val="00135323"/>
    <w:rsid w:val="001356C4"/>
    <w:rsid w:val="00137565"/>
    <w:rsid w:val="00141114"/>
    <w:rsid w:val="0014189A"/>
    <w:rsid w:val="001419D0"/>
    <w:rsid w:val="00141F4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C31"/>
    <w:rsid w:val="00170804"/>
    <w:rsid w:val="001708E9"/>
    <w:rsid w:val="0017340B"/>
    <w:rsid w:val="00173FB1"/>
    <w:rsid w:val="00176DFD"/>
    <w:rsid w:val="00177C33"/>
    <w:rsid w:val="00180E50"/>
    <w:rsid w:val="001848AA"/>
    <w:rsid w:val="001852C9"/>
    <w:rsid w:val="00187A0B"/>
    <w:rsid w:val="00190087"/>
    <w:rsid w:val="001913C4"/>
    <w:rsid w:val="0019348F"/>
    <w:rsid w:val="001938C7"/>
    <w:rsid w:val="00193A07"/>
    <w:rsid w:val="00194C95"/>
    <w:rsid w:val="00195C34"/>
    <w:rsid w:val="00195E8C"/>
    <w:rsid w:val="00196483"/>
    <w:rsid w:val="00196EF5"/>
    <w:rsid w:val="001A1A53"/>
    <w:rsid w:val="001A234A"/>
    <w:rsid w:val="001A4CF3"/>
    <w:rsid w:val="001A6696"/>
    <w:rsid w:val="001B06E8"/>
    <w:rsid w:val="001B71D0"/>
    <w:rsid w:val="001B71EE"/>
    <w:rsid w:val="001C04A8"/>
    <w:rsid w:val="001C2C03"/>
    <w:rsid w:val="001C3AF3"/>
    <w:rsid w:val="001C42F7"/>
    <w:rsid w:val="001C49E5"/>
    <w:rsid w:val="001C4D27"/>
    <w:rsid w:val="001C680C"/>
    <w:rsid w:val="001C7FEA"/>
    <w:rsid w:val="001D0499"/>
    <w:rsid w:val="001D0BBE"/>
    <w:rsid w:val="001D0ED4"/>
    <w:rsid w:val="001D212F"/>
    <w:rsid w:val="001D29D7"/>
    <w:rsid w:val="001D2DE7"/>
    <w:rsid w:val="001D3079"/>
    <w:rsid w:val="001D411C"/>
    <w:rsid w:val="001E1B6A"/>
    <w:rsid w:val="001E2484"/>
    <w:rsid w:val="001E3CC4"/>
    <w:rsid w:val="001E4882"/>
    <w:rsid w:val="001E5787"/>
    <w:rsid w:val="001E73AB"/>
    <w:rsid w:val="001F0221"/>
    <w:rsid w:val="001F092D"/>
    <w:rsid w:val="001F143A"/>
    <w:rsid w:val="001F1605"/>
    <w:rsid w:val="001F1835"/>
    <w:rsid w:val="001F2508"/>
    <w:rsid w:val="001F4816"/>
    <w:rsid w:val="001F5830"/>
    <w:rsid w:val="001F69B4"/>
    <w:rsid w:val="001F77C7"/>
    <w:rsid w:val="00200183"/>
    <w:rsid w:val="00200333"/>
    <w:rsid w:val="0020107D"/>
    <w:rsid w:val="0020179D"/>
    <w:rsid w:val="00202AA4"/>
    <w:rsid w:val="002031F7"/>
    <w:rsid w:val="002040E6"/>
    <w:rsid w:val="0020527B"/>
    <w:rsid w:val="00205F2C"/>
    <w:rsid w:val="00210B15"/>
    <w:rsid w:val="0021226D"/>
    <w:rsid w:val="00213A3A"/>
    <w:rsid w:val="002142EA"/>
    <w:rsid w:val="00215ADD"/>
    <w:rsid w:val="00216623"/>
    <w:rsid w:val="002177F9"/>
    <w:rsid w:val="002204BB"/>
    <w:rsid w:val="00221B79"/>
    <w:rsid w:val="00221C6B"/>
    <w:rsid w:val="00223300"/>
    <w:rsid w:val="002253A1"/>
    <w:rsid w:val="00225CF8"/>
    <w:rsid w:val="0022794E"/>
    <w:rsid w:val="00233129"/>
    <w:rsid w:val="00233D64"/>
    <w:rsid w:val="0023482A"/>
    <w:rsid w:val="002359CB"/>
    <w:rsid w:val="00237A54"/>
    <w:rsid w:val="00243540"/>
    <w:rsid w:val="0024497B"/>
    <w:rsid w:val="0024515B"/>
    <w:rsid w:val="00246021"/>
    <w:rsid w:val="0024666E"/>
    <w:rsid w:val="00247F52"/>
    <w:rsid w:val="00250B25"/>
    <w:rsid w:val="00250BBE"/>
    <w:rsid w:val="002515C2"/>
    <w:rsid w:val="0025194F"/>
    <w:rsid w:val="002609D8"/>
    <w:rsid w:val="0026148A"/>
    <w:rsid w:val="00262696"/>
    <w:rsid w:val="00263D25"/>
    <w:rsid w:val="002643C3"/>
    <w:rsid w:val="00264A0C"/>
    <w:rsid w:val="00266EEB"/>
    <w:rsid w:val="00267EF4"/>
    <w:rsid w:val="00270CB8"/>
    <w:rsid w:val="00272B08"/>
    <w:rsid w:val="002760D0"/>
    <w:rsid w:val="00281BB8"/>
    <w:rsid w:val="00281E9E"/>
    <w:rsid w:val="00282405"/>
    <w:rsid w:val="00285170"/>
    <w:rsid w:val="00285361"/>
    <w:rsid w:val="0028550A"/>
    <w:rsid w:val="002920F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DAE"/>
    <w:rsid w:val="002C3F07"/>
    <w:rsid w:val="002C5278"/>
    <w:rsid w:val="002C750A"/>
    <w:rsid w:val="002C7EBB"/>
    <w:rsid w:val="002D06C1"/>
    <w:rsid w:val="002D42B5"/>
    <w:rsid w:val="002D4F1A"/>
    <w:rsid w:val="002D6EC6"/>
    <w:rsid w:val="002D79AC"/>
    <w:rsid w:val="002E039D"/>
    <w:rsid w:val="002E4120"/>
    <w:rsid w:val="002E4D5A"/>
    <w:rsid w:val="002E6326"/>
    <w:rsid w:val="002E72D8"/>
    <w:rsid w:val="002F30E0"/>
    <w:rsid w:val="002F35E4"/>
    <w:rsid w:val="002F3730"/>
    <w:rsid w:val="002F38E1"/>
    <w:rsid w:val="002F7AF6"/>
    <w:rsid w:val="00300E63"/>
    <w:rsid w:val="00302F5F"/>
    <w:rsid w:val="0030441D"/>
    <w:rsid w:val="00306063"/>
    <w:rsid w:val="00312982"/>
    <w:rsid w:val="00313B85"/>
    <w:rsid w:val="00317988"/>
    <w:rsid w:val="003221B4"/>
    <w:rsid w:val="0032258D"/>
    <w:rsid w:val="00322E62"/>
    <w:rsid w:val="00324D13"/>
    <w:rsid w:val="00324EDD"/>
    <w:rsid w:val="00326D93"/>
    <w:rsid w:val="003331E4"/>
    <w:rsid w:val="003333C8"/>
    <w:rsid w:val="00336C64"/>
    <w:rsid w:val="00337162"/>
    <w:rsid w:val="00340793"/>
    <w:rsid w:val="0034186F"/>
    <w:rsid w:val="0034194F"/>
    <w:rsid w:val="00344605"/>
    <w:rsid w:val="003461B2"/>
    <w:rsid w:val="003474AA"/>
    <w:rsid w:val="00350D1D"/>
    <w:rsid w:val="00352C83"/>
    <w:rsid w:val="00352F1A"/>
    <w:rsid w:val="00354536"/>
    <w:rsid w:val="003605D0"/>
    <w:rsid w:val="0036107C"/>
    <w:rsid w:val="003615D2"/>
    <w:rsid w:val="0036429C"/>
    <w:rsid w:val="00364A53"/>
    <w:rsid w:val="003654CB"/>
    <w:rsid w:val="00365AA9"/>
    <w:rsid w:val="00365F86"/>
    <w:rsid w:val="00365F87"/>
    <w:rsid w:val="00366E89"/>
    <w:rsid w:val="003705F4"/>
    <w:rsid w:val="00370D58"/>
    <w:rsid w:val="00371316"/>
    <w:rsid w:val="00371A5F"/>
    <w:rsid w:val="00376713"/>
    <w:rsid w:val="00381815"/>
    <w:rsid w:val="003819AF"/>
    <w:rsid w:val="003820E9"/>
    <w:rsid w:val="00382DE7"/>
    <w:rsid w:val="00384FFC"/>
    <w:rsid w:val="00386C63"/>
    <w:rsid w:val="003872FC"/>
    <w:rsid w:val="00387ADC"/>
    <w:rsid w:val="00390020"/>
    <w:rsid w:val="003903D6"/>
    <w:rsid w:val="00390EE6"/>
    <w:rsid w:val="0039118F"/>
    <w:rsid w:val="00392AD7"/>
    <w:rsid w:val="003938D9"/>
    <w:rsid w:val="00393C19"/>
    <w:rsid w:val="00394376"/>
    <w:rsid w:val="003943FF"/>
    <w:rsid w:val="003974EB"/>
    <w:rsid w:val="00397CC5"/>
    <w:rsid w:val="003A06C9"/>
    <w:rsid w:val="003A11D1"/>
    <w:rsid w:val="003A1582"/>
    <w:rsid w:val="003A3D9C"/>
    <w:rsid w:val="003A4077"/>
    <w:rsid w:val="003A4AA7"/>
    <w:rsid w:val="003B09AD"/>
    <w:rsid w:val="003B1F18"/>
    <w:rsid w:val="003B281B"/>
    <w:rsid w:val="003B5BF0"/>
    <w:rsid w:val="003B60BF"/>
    <w:rsid w:val="003B6BE3"/>
    <w:rsid w:val="003C010C"/>
    <w:rsid w:val="003C0A6C"/>
    <w:rsid w:val="003C14F8"/>
    <w:rsid w:val="003C5A43"/>
    <w:rsid w:val="003D0519"/>
    <w:rsid w:val="003D0FF6"/>
    <w:rsid w:val="003D262C"/>
    <w:rsid w:val="003D4302"/>
    <w:rsid w:val="003D6D61"/>
    <w:rsid w:val="003E019F"/>
    <w:rsid w:val="003E091D"/>
    <w:rsid w:val="003E1687"/>
    <w:rsid w:val="003E1C53"/>
    <w:rsid w:val="003E2A69"/>
    <w:rsid w:val="003E2D49"/>
    <w:rsid w:val="003E2FD4"/>
    <w:rsid w:val="003E454B"/>
    <w:rsid w:val="003E49F6"/>
    <w:rsid w:val="003E660F"/>
    <w:rsid w:val="003F0841"/>
    <w:rsid w:val="003F23D3"/>
    <w:rsid w:val="003F3F08"/>
    <w:rsid w:val="003F49F1"/>
    <w:rsid w:val="003F6272"/>
    <w:rsid w:val="0040028F"/>
    <w:rsid w:val="00400E72"/>
    <w:rsid w:val="00401400"/>
    <w:rsid w:val="00404869"/>
    <w:rsid w:val="00405884"/>
    <w:rsid w:val="00407D39"/>
    <w:rsid w:val="0041477A"/>
    <w:rsid w:val="004167A3"/>
    <w:rsid w:val="0042781B"/>
    <w:rsid w:val="00432BB4"/>
    <w:rsid w:val="00432DAA"/>
    <w:rsid w:val="00434305"/>
    <w:rsid w:val="00435DF7"/>
    <w:rsid w:val="0043741A"/>
    <w:rsid w:val="0044083F"/>
    <w:rsid w:val="00441AE7"/>
    <w:rsid w:val="0044449F"/>
    <w:rsid w:val="00445005"/>
    <w:rsid w:val="00445574"/>
    <w:rsid w:val="004467FB"/>
    <w:rsid w:val="0045116C"/>
    <w:rsid w:val="00452D6B"/>
    <w:rsid w:val="00454484"/>
    <w:rsid w:val="0045517B"/>
    <w:rsid w:val="004556C9"/>
    <w:rsid w:val="00463B77"/>
    <w:rsid w:val="00463C7B"/>
    <w:rsid w:val="004644A6"/>
    <w:rsid w:val="00464A7B"/>
    <w:rsid w:val="004659BD"/>
    <w:rsid w:val="00470775"/>
    <w:rsid w:val="00474438"/>
    <w:rsid w:val="004746B1"/>
    <w:rsid w:val="0047583F"/>
    <w:rsid w:val="00475DE8"/>
    <w:rsid w:val="00481C44"/>
    <w:rsid w:val="00483754"/>
    <w:rsid w:val="00484936"/>
    <w:rsid w:val="00485C89"/>
    <w:rsid w:val="00486BE3"/>
    <w:rsid w:val="004905E4"/>
    <w:rsid w:val="00490A89"/>
    <w:rsid w:val="00490AB4"/>
    <w:rsid w:val="004925DA"/>
    <w:rsid w:val="00492F02"/>
    <w:rsid w:val="004939AE"/>
    <w:rsid w:val="00495A84"/>
    <w:rsid w:val="00497099"/>
    <w:rsid w:val="004A12DF"/>
    <w:rsid w:val="004A1BA8"/>
    <w:rsid w:val="004A4315"/>
    <w:rsid w:val="004A4B57"/>
    <w:rsid w:val="004A63FA"/>
    <w:rsid w:val="004A6A3D"/>
    <w:rsid w:val="004B0272"/>
    <w:rsid w:val="004B2701"/>
    <w:rsid w:val="004B2E1B"/>
    <w:rsid w:val="004B3AA8"/>
    <w:rsid w:val="004B3E93"/>
    <w:rsid w:val="004B5C05"/>
    <w:rsid w:val="004C067B"/>
    <w:rsid w:val="004C1FBC"/>
    <w:rsid w:val="004C25A2"/>
    <w:rsid w:val="004C3144"/>
    <w:rsid w:val="004C3F1D"/>
    <w:rsid w:val="004C458D"/>
    <w:rsid w:val="004C6DDE"/>
    <w:rsid w:val="004C6E31"/>
    <w:rsid w:val="004C7556"/>
    <w:rsid w:val="004C7E8B"/>
    <w:rsid w:val="004C7E9D"/>
    <w:rsid w:val="004C7F67"/>
    <w:rsid w:val="004D076D"/>
    <w:rsid w:val="004D0EF1"/>
    <w:rsid w:val="004D2253"/>
    <w:rsid w:val="004D4406"/>
    <w:rsid w:val="004D4C3A"/>
    <w:rsid w:val="004D7C42"/>
    <w:rsid w:val="004E0465"/>
    <w:rsid w:val="004E127B"/>
    <w:rsid w:val="004E1C0A"/>
    <w:rsid w:val="004E30C5"/>
    <w:rsid w:val="004E4AA5"/>
    <w:rsid w:val="004E4AEE"/>
    <w:rsid w:val="004E5583"/>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568"/>
    <w:rsid w:val="00525B16"/>
    <w:rsid w:val="0053062D"/>
    <w:rsid w:val="00531CBB"/>
    <w:rsid w:val="00532B6B"/>
    <w:rsid w:val="00533D04"/>
    <w:rsid w:val="00534804"/>
    <w:rsid w:val="00534BDF"/>
    <w:rsid w:val="005354EA"/>
    <w:rsid w:val="0053585F"/>
    <w:rsid w:val="00535EC4"/>
    <w:rsid w:val="00535ED9"/>
    <w:rsid w:val="00536907"/>
    <w:rsid w:val="0053692B"/>
    <w:rsid w:val="00541853"/>
    <w:rsid w:val="00541987"/>
    <w:rsid w:val="00543BDA"/>
    <w:rsid w:val="005441CC"/>
    <w:rsid w:val="0054487A"/>
    <w:rsid w:val="005479DA"/>
    <w:rsid w:val="00547BCC"/>
    <w:rsid w:val="0055013B"/>
    <w:rsid w:val="005517B2"/>
    <w:rsid w:val="00551F6F"/>
    <w:rsid w:val="00555044"/>
    <w:rsid w:val="00561475"/>
    <w:rsid w:val="00562308"/>
    <w:rsid w:val="00564588"/>
    <w:rsid w:val="0056487B"/>
    <w:rsid w:val="00564FB9"/>
    <w:rsid w:val="00572282"/>
    <w:rsid w:val="00573170"/>
    <w:rsid w:val="00573D9E"/>
    <w:rsid w:val="00577534"/>
    <w:rsid w:val="00577F61"/>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711"/>
    <w:rsid w:val="005A7830"/>
    <w:rsid w:val="005A7FCE"/>
    <w:rsid w:val="005B0F3F"/>
    <w:rsid w:val="005B0F48"/>
    <w:rsid w:val="005B191C"/>
    <w:rsid w:val="005B4903"/>
    <w:rsid w:val="005B51CE"/>
    <w:rsid w:val="005B5885"/>
    <w:rsid w:val="005B5CD7"/>
    <w:rsid w:val="005B6CF6"/>
    <w:rsid w:val="005B7422"/>
    <w:rsid w:val="005B7C95"/>
    <w:rsid w:val="005C29B8"/>
    <w:rsid w:val="005C5F21"/>
    <w:rsid w:val="005C7156"/>
    <w:rsid w:val="005C73B2"/>
    <w:rsid w:val="005D0C75"/>
    <w:rsid w:val="005D4171"/>
    <w:rsid w:val="005D6A95"/>
    <w:rsid w:val="005D6B2C"/>
    <w:rsid w:val="005D6D9C"/>
    <w:rsid w:val="005D7F8B"/>
    <w:rsid w:val="005E2335"/>
    <w:rsid w:val="005E34CA"/>
    <w:rsid w:val="005E3C18"/>
    <w:rsid w:val="005E4250"/>
    <w:rsid w:val="005E53A4"/>
    <w:rsid w:val="005E6812"/>
    <w:rsid w:val="005E7881"/>
    <w:rsid w:val="005E78E0"/>
    <w:rsid w:val="005F0D9C"/>
    <w:rsid w:val="005F284E"/>
    <w:rsid w:val="006015CE"/>
    <w:rsid w:val="00602797"/>
    <w:rsid w:val="00604784"/>
    <w:rsid w:val="00604DDA"/>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438"/>
    <w:rsid w:val="00636E3E"/>
    <w:rsid w:val="006379F7"/>
    <w:rsid w:val="00637E4D"/>
    <w:rsid w:val="00640620"/>
    <w:rsid w:val="00640A4A"/>
    <w:rsid w:val="00641A1F"/>
    <w:rsid w:val="00645904"/>
    <w:rsid w:val="006518E2"/>
    <w:rsid w:val="00651ACB"/>
    <w:rsid w:val="00651C47"/>
    <w:rsid w:val="00652AB2"/>
    <w:rsid w:val="00653FED"/>
    <w:rsid w:val="00654EC0"/>
    <w:rsid w:val="006550E5"/>
    <w:rsid w:val="0065525B"/>
    <w:rsid w:val="00655D4F"/>
    <w:rsid w:val="00656A13"/>
    <w:rsid w:val="00656D29"/>
    <w:rsid w:val="006640E5"/>
    <w:rsid w:val="006646F1"/>
    <w:rsid w:val="00664929"/>
    <w:rsid w:val="00664F62"/>
    <w:rsid w:val="006655E1"/>
    <w:rsid w:val="00672060"/>
    <w:rsid w:val="00672BFD"/>
    <w:rsid w:val="00673FBF"/>
    <w:rsid w:val="006770F4"/>
    <w:rsid w:val="00677A84"/>
    <w:rsid w:val="0068026D"/>
    <w:rsid w:val="00680A27"/>
    <w:rsid w:val="006816A4"/>
    <w:rsid w:val="006819B8"/>
    <w:rsid w:val="006840A6"/>
    <w:rsid w:val="006845FE"/>
    <w:rsid w:val="006850CD"/>
    <w:rsid w:val="00685AAB"/>
    <w:rsid w:val="0068783F"/>
    <w:rsid w:val="00693962"/>
    <w:rsid w:val="006A059D"/>
    <w:rsid w:val="006A07AA"/>
    <w:rsid w:val="006A25E5"/>
    <w:rsid w:val="006A2B46"/>
    <w:rsid w:val="006A336D"/>
    <w:rsid w:val="006A37B9"/>
    <w:rsid w:val="006B2672"/>
    <w:rsid w:val="006B2EE7"/>
    <w:rsid w:val="006B54BF"/>
    <w:rsid w:val="006B5F44"/>
    <w:rsid w:val="006B5F90"/>
    <w:rsid w:val="006B62E4"/>
    <w:rsid w:val="006C1BBA"/>
    <w:rsid w:val="006C2079"/>
    <w:rsid w:val="006C38FE"/>
    <w:rsid w:val="006C3C88"/>
    <w:rsid w:val="006C5A62"/>
    <w:rsid w:val="006C5D68"/>
    <w:rsid w:val="006C6976"/>
    <w:rsid w:val="006C6DD0"/>
    <w:rsid w:val="006D04EA"/>
    <w:rsid w:val="006D16C4"/>
    <w:rsid w:val="006D3E96"/>
    <w:rsid w:val="006D42E1"/>
    <w:rsid w:val="006D4515"/>
    <w:rsid w:val="006D4BB1"/>
    <w:rsid w:val="006D5636"/>
    <w:rsid w:val="006D6593"/>
    <w:rsid w:val="006D6DCB"/>
    <w:rsid w:val="006D713A"/>
    <w:rsid w:val="006E5316"/>
    <w:rsid w:val="006F03A8"/>
    <w:rsid w:val="006F2ACA"/>
    <w:rsid w:val="006F2ADC"/>
    <w:rsid w:val="006F2BFE"/>
    <w:rsid w:val="006F31E9"/>
    <w:rsid w:val="006F6284"/>
    <w:rsid w:val="006F664A"/>
    <w:rsid w:val="006F7A16"/>
    <w:rsid w:val="007002C5"/>
    <w:rsid w:val="0070194A"/>
    <w:rsid w:val="00704387"/>
    <w:rsid w:val="00705A6C"/>
    <w:rsid w:val="00707669"/>
    <w:rsid w:val="00707BC2"/>
    <w:rsid w:val="00711CBA"/>
    <w:rsid w:val="00711FB5"/>
    <w:rsid w:val="00712A01"/>
    <w:rsid w:val="00713D46"/>
    <w:rsid w:val="00714F58"/>
    <w:rsid w:val="00714F7E"/>
    <w:rsid w:val="007208AF"/>
    <w:rsid w:val="00722FBF"/>
    <w:rsid w:val="00722FC2"/>
    <w:rsid w:val="00724E1B"/>
    <w:rsid w:val="00725949"/>
    <w:rsid w:val="00727FA2"/>
    <w:rsid w:val="007322D9"/>
    <w:rsid w:val="00732BC0"/>
    <w:rsid w:val="00732C8B"/>
    <w:rsid w:val="0073720F"/>
    <w:rsid w:val="00737796"/>
    <w:rsid w:val="0074165C"/>
    <w:rsid w:val="00741DA6"/>
    <w:rsid w:val="00742C35"/>
    <w:rsid w:val="007432CA"/>
    <w:rsid w:val="007439EB"/>
    <w:rsid w:val="00743CB4"/>
    <w:rsid w:val="00743F0A"/>
    <w:rsid w:val="007444E8"/>
    <w:rsid w:val="0074529E"/>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962"/>
    <w:rsid w:val="0078114B"/>
    <w:rsid w:val="00781DD2"/>
    <w:rsid w:val="00782AB5"/>
    <w:rsid w:val="00783ECF"/>
    <w:rsid w:val="0078413A"/>
    <w:rsid w:val="007959E8"/>
    <w:rsid w:val="00795E9C"/>
    <w:rsid w:val="007A0521"/>
    <w:rsid w:val="007A2E12"/>
    <w:rsid w:val="007A3475"/>
    <w:rsid w:val="007A41C8"/>
    <w:rsid w:val="007A54CE"/>
    <w:rsid w:val="007A5D3A"/>
    <w:rsid w:val="007A6FD9"/>
    <w:rsid w:val="007A7DDE"/>
    <w:rsid w:val="007A7FFA"/>
    <w:rsid w:val="007B04EB"/>
    <w:rsid w:val="007B0D4F"/>
    <w:rsid w:val="007B5A3D"/>
    <w:rsid w:val="007B5B95"/>
    <w:rsid w:val="007B6032"/>
    <w:rsid w:val="007B67E1"/>
    <w:rsid w:val="007B68EA"/>
    <w:rsid w:val="007B7453"/>
    <w:rsid w:val="007B770F"/>
    <w:rsid w:val="007C2D89"/>
    <w:rsid w:val="007C4593"/>
    <w:rsid w:val="007C5309"/>
    <w:rsid w:val="007C6069"/>
    <w:rsid w:val="007D06C4"/>
    <w:rsid w:val="007D1352"/>
    <w:rsid w:val="007D2508"/>
    <w:rsid w:val="007D346A"/>
    <w:rsid w:val="007D6518"/>
    <w:rsid w:val="007D67E0"/>
    <w:rsid w:val="007D76BD"/>
    <w:rsid w:val="007E0264"/>
    <w:rsid w:val="007E0BF1"/>
    <w:rsid w:val="007E3FFF"/>
    <w:rsid w:val="007F0ED8"/>
    <w:rsid w:val="007F0F63"/>
    <w:rsid w:val="007F2C3F"/>
    <w:rsid w:val="007F75CE"/>
    <w:rsid w:val="008013A4"/>
    <w:rsid w:val="008027CE"/>
    <w:rsid w:val="00802F42"/>
    <w:rsid w:val="00804383"/>
    <w:rsid w:val="00804BB7"/>
    <w:rsid w:val="00804D41"/>
    <w:rsid w:val="00807147"/>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BFC"/>
    <w:rsid w:val="00830621"/>
    <w:rsid w:val="008328BE"/>
    <w:rsid w:val="0083348C"/>
    <w:rsid w:val="00834B2B"/>
    <w:rsid w:val="008365B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69"/>
    <w:rsid w:val="0088010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F4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460"/>
    <w:rsid w:val="008C475E"/>
    <w:rsid w:val="008C619A"/>
    <w:rsid w:val="008D0CE8"/>
    <w:rsid w:val="008D2D1D"/>
    <w:rsid w:val="008D30C9"/>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7DE"/>
    <w:rsid w:val="008F5B83"/>
    <w:rsid w:val="008F70BD"/>
    <w:rsid w:val="008F788F"/>
    <w:rsid w:val="008F7EA2"/>
    <w:rsid w:val="00902722"/>
    <w:rsid w:val="009027BC"/>
    <w:rsid w:val="009062E6"/>
    <w:rsid w:val="00911BE5"/>
    <w:rsid w:val="0091323D"/>
    <w:rsid w:val="00913CA9"/>
    <w:rsid w:val="009145AE"/>
    <w:rsid w:val="009146CE"/>
    <w:rsid w:val="00914CA7"/>
    <w:rsid w:val="00915C3E"/>
    <w:rsid w:val="009161A8"/>
    <w:rsid w:val="009245AE"/>
    <w:rsid w:val="009245F5"/>
    <w:rsid w:val="009249EC"/>
    <w:rsid w:val="009268CE"/>
    <w:rsid w:val="009273B3"/>
    <w:rsid w:val="009305B5"/>
    <w:rsid w:val="00934E19"/>
    <w:rsid w:val="009352BF"/>
    <w:rsid w:val="009378DD"/>
    <w:rsid w:val="009429D5"/>
    <w:rsid w:val="00942BF1"/>
    <w:rsid w:val="00945180"/>
    <w:rsid w:val="00945428"/>
    <w:rsid w:val="0094607B"/>
    <w:rsid w:val="00953604"/>
    <w:rsid w:val="0095496B"/>
    <w:rsid w:val="0096007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D22"/>
    <w:rsid w:val="00991F92"/>
    <w:rsid w:val="00992985"/>
    <w:rsid w:val="00993889"/>
    <w:rsid w:val="0099551B"/>
    <w:rsid w:val="00996BD2"/>
    <w:rsid w:val="00997BF1"/>
    <w:rsid w:val="009A089C"/>
    <w:rsid w:val="009A118E"/>
    <w:rsid w:val="009A21CD"/>
    <w:rsid w:val="009A278C"/>
    <w:rsid w:val="009A2BC2"/>
    <w:rsid w:val="009A3310"/>
    <w:rsid w:val="009A42C1"/>
    <w:rsid w:val="009A5429"/>
    <w:rsid w:val="009A5A63"/>
    <w:rsid w:val="009A72AD"/>
    <w:rsid w:val="009B09E0"/>
    <w:rsid w:val="009B0BC5"/>
    <w:rsid w:val="009B1247"/>
    <w:rsid w:val="009B4258"/>
    <w:rsid w:val="009B4560"/>
    <w:rsid w:val="009B6029"/>
    <w:rsid w:val="009B6971"/>
    <w:rsid w:val="009C27F1"/>
    <w:rsid w:val="009C3152"/>
    <w:rsid w:val="009C3257"/>
    <w:rsid w:val="009C4CFA"/>
    <w:rsid w:val="009C5070"/>
    <w:rsid w:val="009C5971"/>
    <w:rsid w:val="009C6AC5"/>
    <w:rsid w:val="009D0900"/>
    <w:rsid w:val="009D112C"/>
    <w:rsid w:val="009D1385"/>
    <w:rsid w:val="009D47FA"/>
    <w:rsid w:val="009D4C5B"/>
    <w:rsid w:val="009D50D2"/>
    <w:rsid w:val="009D6BCA"/>
    <w:rsid w:val="009E0F62"/>
    <w:rsid w:val="009E379A"/>
    <w:rsid w:val="009E4A58"/>
    <w:rsid w:val="009E5A2D"/>
    <w:rsid w:val="009E5AB2"/>
    <w:rsid w:val="009E6219"/>
    <w:rsid w:val="009F03B3"/>
    <w:rsid w:val="009F561F"/>
    <w:rsid w:val="00A0096C"/>
    <w:rsid w:val="00A01757"/>
    <w:rsid w:val="00A028C0"/>
    <w:rsid w:val="00A02BAE"/>
    <w:rsid w:val="00A06A6B"/>
    <w:rsid w:val="00A07E47"/>
    <w:rsid w:val="00A129D0"/>
    <w:rsid w:val="00A12C33"/>
    <w:rsid w:val="00A138BA"/>
    <w:rsid w:val="00A14C8E"/>
    <w:rsid w:val="00A153D9"/>
    <w:rsid w:val="00A15F09"/>
    <w:rsid w:val="00A169B6"/>
    <w:rsid w:val="00A17394"/>
    <w:rsid w:val="00A17B20"/>
    <w:rsid w:val="00A21BE4"/>
    <w:rsid w:val="00A2271D"/>
    <w:rsid w:val="00A237D5"/>
    <w:rsid w:val="00A30EFC"/>
    <w:rsid w:val="00A31984"/>
    <w:rsid w:val="00A32D73"/>
    <w:rsid w:val="00A3367B"/>
    <w:rsid w:val="00A33C67"/>
    <w:rsid w:val="00A350BA"/>
    <w:rsid w:val="00A3597D"/>
    <w:rsid w:val="00A36DD1"/>
    <w:rsid w:val="00A4006C"/>
    <w:rsid w:val="00A40091"/>
    <w:rsid w:val="00A4030F"/>
    <w:rsid w:val="00A41C79"/>
    <w:rsid w:val="00A41CB5"/>
    <w:rsid w:val="00A42CDF"/>
    <w:rsid w:val="00A4452E"/>
    <w:rsid w:val="00A4472C"/>
    <w:rsid w:val="00A44E69"/>
    <w:rsid w:val="00A4661E"/>
    <w:rsid w:val="00A502AF"/>
    <w:rsid w:val="00A55BD6"/>
    <w:rsid w:val="00A55D50"/>
    <w:rsid w:val="00A57142"/>
    <w:rsid w:val="00A61309"/>
    <w:rsid w:val="00A648CD"/>
    <w:rsid w:val="00A6537A"/>
    <w:rsid w:val="00A67866"/>
    <w:rsid w:val="00A70B07"/>
    <w:rsid w:val="00A713FF"/>
    <w:rsid w:val="00A723F8"/>
    <w:rsid w:val="00A76DDE"/>
    <w:rsid w:val="00A77CCB"/>
    <w:rsid w:val="00A83D8D"/>
    <w:rsid w:val="00A8446B"/>
    <w:rsid w:val="00A8473F"/>
    <w:rsid w:val="00A862D6"/>
    <w:rsid w:val="00A86C97"/>
    <w:rsid w:val="00A8715E"/>
    <w:rsid w:val="00A87C5E"/>
    <w:rsid w:val="00A9295B"/>
    <w:rsid w:val="00A93B09"/>
    <w:rsid w:val="00A952D7"/>
    <w:rsid w:val="00A963F7"/>
    <w:rsid w:val="00A96AD8"/>
    <w:rsid w:val="00AA052C"/>
    <w:rsid w:val="00AA1E45"/>
    <w:rsid w:val="00AA26F9"/>
    <w:rsid w:val="00AA2DD6"/>
    <w:rsid w:val="00AA4286"/>
    <w:rsid w:val="00AA456B"/>
    <w:rsid w:val="00AA57F5"/>
    <w:rsid w:val="00AA672E"/>
    <w:rsid w:val="00AA6EC9"/>
    <w:rsid w:val="00AB530D"/>
    <w:rsid w:val="00AB6309"/>
    <w:rsid w:val="00AB6C5F"/>
    <w:rsid w:val="00AB7129"/>
    <w:rsid w:val="00AC27A6"/>
    <w:rsid w:val="00AC30F7"/>
    <w:rsid w:val="00AC3597"/>
    <w:rsid w:val="00AC3A5A"/>
    <w:rsid w:val="00AC4D95"/>
    <w:rsid w:val="00AC5AFB"/>
    <w:rsid w:val="00AC5DF4"/>
    <w:rsid w:val="00AD0AEF"/>
    <w:rsid w:val="00AD0C9C"/>
    <w:rsid w:val="00AD11B7"/>
    <w:rsid w:val="00AD1A94"/>
    <w:rsid w:val="00AD1C05"/>
    <w:rsid w:val="00AD402E"/>
    <w:rsid w:val="00AD4126"/>
    <w:rsid w:val="00AD421C"/>
    <w:rsid w:val="00AD44FA"/>
    <w:rsid w:val="00AE070A"/>
    <w:rsid w:val="00AE101C"/>
    <w:rsid w:val="00AE2A69"/>
    <w:rsid w:val="00AE37E5"/>
    <w:rsid w:val="00AE3F11"/>
    <w:rsid w:val="00AE5B7A"/>
    <w:rsid w:val="00AE5EB4"/>
    <w:rsid w:val="00AF0C18"/>
    <w:rsid w:val="00AF418D"/>
    <w:rsid w:val="00AF469F"/>
    <w:rsid w:val="00AF47C5"/>
    <w:rsid w:val="00AF5398"/>
    <w:rsid w:val="00B00EC4"/>
    <w:rsid w:val="00B049AF"/>
    <w:rsid w:val="00B07242"/>
    <w:rsid w:val="00B10534"/>
    <w:rsid w:val="00B113DB"/>
    <w:rsid w:val="00B11D8A"/>
    <w:rsid w:val="00B12981"/>
    <w:rsid w:val="00B147DD"/>
    <w:rsid w:val="00B156FD"/>
    <w:rsid w:val="00B21F61"/>
    <w:rsid w:val="00B22536"/>
    <w:rsid w:val="00B261F1"/>
    <w:rsid w:val="00B265BC"/>
    <w:rsid w:val="00B308C4"/>
    <w:rsid w:val="00B31FB1"/>
    <w:rsid w:val="00B33952"/>
    <w:rsid w:val="00B33C5E"/>
    <w:rsid w:val="00B342F4"/>
    <w:rsid w:val="00B34369"/>
    <w:rsid w:val="00B34DC2"/>
    <w:rsid w:val="00B378E5"/>
    <w:rsid w:val="00B40833"/>
    <w:rsid w:val="00B42143"/>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41F"/>
    <w:rsid w:val="00B72880"/>
    <w:rsid w:val="00B758BF"/>
    <w:rsid w:val="00B77EC8"/>
    <w:rsid w:val="00B827A6"/>
    <w:rsid w:val="00B831CE"/>
    <w:rsid w:val="00B86677"/>
    <w:rsid w:val="00B87131"/>
    <w:rsid w:val="00B939B1"/>
    <w:rsid w:val="00B96533"/>
    <w:rsid w:val="00B96D40"/>
    <w:rsid w:val="00B97386"/>
    <w:rsid w:val="00BA263B"/>
    <w:rsid w:val="00BA42B2"/>
    <w:rsid w:val="00BA58D4"/>
    <w:rsid w:val="00BA5B9E"/>
    <w:rsid w:val="00BA7C19"/>
    <w:rsid w:val="00BA7C9A"/>
    <w:rsid w:val="00BB2B2F"/>
    <w:rsid w:val="00BB4D02"/>
    <w:rsid w:val="00BB5F8F"/>
    <w:rsid w:val="00BB657A"/>
    <w:rsid w:val="00BC1A4E"/>
    <w:rsid w:val="00BC4CB4"/>
    <w:rsid w:val="00BC5DC7"/>
    <w:rsid w:val="00BC6B8B"/>
    <w:rsid w:val="00BC73D8"/>
    <w:rsid w:val="00BD52D7"/>
    <w:rsid w:val="00BD5AD2"/>
    <w:rsid w:val="00BD5D52"/>
    <w:rsid w:val="00BE22F3"/>
    <w:rsid w:val="00BE5B52"/>
    <w:rsid w:val="00BE7B8D"/>
    <w:rsid w:val="00BF0993"/>
    <w:rsid w:val="00BF10A9"/>
    <w:rsid w:val="00BF1703"/>
    <w:rsid w:val="00BF231C"/>
    <w:rsid w:val="00BF51E5"/>
    <w:rsid w:val="00BF5DC3"/>
    <w:rsid w:val="00BF74A6"/>
    <w:rsid w:val="00C013AD"/>
    <w:rsid w:val="00C0459A"/>
    <w:rsid w:val="00C04904"/>
    <w:rsid w:val="00C056B3"/>
    <w:rsid w:val="00C059E5"/>
    <w:rsid w:val="00C07744"/>
    <w:rsid w:val="00C103E5"/>
    <w:rsid w:val="00C13319"/>
    <w:rsid w:val="00C13EE9"/>
    <w:rsid w:val="00C21540"/>
    <w:rsid w:val="00C21906"/>
    <w:rsid w:val="00C21BFA"/>
    <w:rsid w:val="00C24C8D"/>
    <w:rsid w:val="00C25FE2"/>
    <w:rsid w:val="00C26B53"/>
    <w:rsid w:val="00C279B2"/>
    <w:rsid w:val="00C33E50"/>
    <w:rsid w:val="00C346E8"/>
    <w:rsid w:val="00C34C20"/>
    <w:rsid w:val="00C35A3E"/>
    <w:rsid w:val="00C37137"/>
    <w:rsid w:val="00C42130"/>
    <w:rsid w:val="00C423A4"/>
    <w:rsid w:val="00C423E3"/>
    <w:rsid w:val="00C44A8C"/>
    <w:rsid w:val="00C44BF5"/>
    <w:rsid w:val="00C478CB"/>
    <w:rsid w:val="00C47CD0"/>
    <w:rsid w:val="00C521D6"/>
    <w:rsid w:val="00C55232"/>
    <w:rsid w:val="00C553A4"/>
    <w:rsid w:val="00C5551E"/>
    <w:rsid w:val="00C55A06"/>
    <w:rsid w:val="00C55D03"/>
    <w:rsid w:val="00C56228"/>
    <w:rsid w:val="00C56564"/>
    <w:rsid w:val="00C601BC"/>
    <w:rsid w:val="00C62A68"/>
    <w:rsid w:val="00C6329F"/>
    <w:rsid w:val="00C63340"/>
    <w:rsid w:val="00C643F9"/>
    <w:rsid w:val="00C64E95"/>
    <w:rsid w:val="00C71372"/>
    <w:rsid w:val="00C72410"/>
    <w:rsid w:val="00C7287F"/>
    <w:rsid w:val="00C80CB8"/>
    <w:rsid w:val="00C8151B"/>
    <w:rsid w:val="00C819F8"/>
    <w:rsid w:val="00C8248C"/>
    <w:rsid w:val="00C84E33"/>
    <w:rsid w:val="00C85704"/>
    <w:rsid w:val="00C86D6F"/>
    <w:rsid w:val="00C905FC"/>
    <w:rsid w:val="00C9145C"/>
    <w:rsid w:val="00C92D03"/>
    <w:rsid w:val="00C9319C"/>
    <w:rsid w:val="00C9435D"/>
    <w:rsid w:val="00C94DF2"/>
    <w:rsid w:val="00C96741"/>
    <w:rsid w:val="00C96FB4"/>
    <w:rsid w:val="00CA2D1B"/>
    <w:rsid w:val="00CA375D"/>
    <w:rsid w:val="00CA662A"/>
    <w:rsid w:val="00CA7AFD"/>
    <w:rsid w:val="00CA7C3C"/>
    <w:rsid w:val="00CB0189"/>
    <w:rsid w:val="00CB0BA2"/>
    <w:rsid w:val="00CB1A42"/>
    <w:rsid w:val="00CB1B0C"/>
    <w:rsid w:val="00CB2C0B"/>
    <w:rsid w:val="00CB517D"/>
    <w:rsid w:val="00CB55ED"/>
    <w:rsid w:val="00CB5B2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274"/>
    <w:rsid w:val="00CF048A"/>
    <w:rsid w:val="00CF155A"/>
    <w:rsid w:val="00CF2947"/>
    <w:rsid w:val="00CF409E"/>
    <w:rsid w:val="00CF686F"/>
    <w:rsid w:val="00CF6E60"/>
    <w:rsid w:val="00CF7BCA"/>
    <w:rsid w:val="00CF7D02"/>
    <w:rsid w:val="00D008FD"/>
    <w:rsid w:val="00D0234A"/>
    <w:rsid w:val="00D0321C"/>
    <w:rsid w:val="00D035EC"/>
    <w:rsid w:val="00D06AB1"/>
    <w:rsid w:val="00D06FC1"/>
    <w:rsid w:val="00D072ED"/>
    <w:rsid w:val="00D07A16"/>
    <w:rsid w:val="00D1067E"/>
    <w:rsid w:val="00D10F50"/>
    <w:rsid w:val="00D11272"/>
    <w:rsid w:val="00D126F5"/>
    <w:rsid w:val="00D1489E"/>
    <w:rsid w:val="00D1736B"/>
    <w:rsid w:val="00D20737"/>
    <w:rsid w:val="00D21E81"/>
    <w:rsid w:val="00D223DE"/>
    <w:rsid w:val="00D22796"/>
    <w:rsid w:val="00D25E37"/>
    <w:rsid w:val="00D2661A"/>
    <w:rsid w:val="00D27582"/>
    <w:rsid w:val="00D27EC4"/>
    <w:rsid w:val="00D32719"/>
    <w:rsid w:val="00D33333"/>
    <w:rsid w:val="00D352A2"/>
    <w:rsid w:val="00D36239"/>
    <w:rsid w:val="00D4162B"/>
    <w:rsid w:val="00D4514F"/>
    <w:rsid w:val="00D451E2"/>
    <w:rsid w:val="00D45E89"/>
    <w:rsid w:val="00D45E8D"/>
    <w:rsid w:val="00D466AE"/>
    <w:rsid w:val="00D4734F"/>
    <w:rsid w:val="00D51BF3"/>
    <w:rsid w:val="00D62480"/>
    <w:rsid w:val="00D66846"/>
    <w:rsid w:val="00D675FB"/>
    <w:rsid w:val="00D71F25"/>
    <w:rsid w:val="00D72A9C"/>
    <w:rsid w:val="00D72B73"/>
    <w:rsid w:val="00D7664C"/>
    <w:rsid w:val="00D77031"/>
    <w:rsid w:val="00D83BFE"/>
    <w:rsid w:val="00D84941"/>
    <w:rsid w:val="00D84FA1"/>
    <w:rsid w:val="00D851F0"/>
    <w:rsid w:val="00D86DB7"/>
    <w:rsid w:val="00D87BF5"/>
    <w:rsid w:val="00D90721"/>
    <w:rsid w:val="00D926D0"/>
    <w:rsid w:val="00D93030"/>
    <w:rsid w:val="00D950E1"/>
    <w:rsid w:val="00D952A6"/>
    <w:rsid w:val="00D96BA6"/>
    <w:rsid w:val="00D97F99"/>
    <w:rsid w:val="00DA0373"/>
    <w:rsid w:val="00DA05C2"/>
    <w:rsid w:val="00DA1871"/>
    <w:rsid w:val="00DA1E08"/>
    <w:rsid w:val="00DA24F8"/>
    <w:rsid w:val="00DA28E8"/>
    <w:rsid w:val="00DA38D3"/>
    <w:rsid w:val="00DA3932"/>
    <w:rsid w:val="00DA3AFC"/>
    <w:rsid w:val="00DA4431"/>
    <w:rsid w:val="00DA5A88"/>
    <w:rsid w:val="00DA64F8"/>
    <w:rsid w:val="00DA6C15"/>
    <w:rsid w:val="00DB0258"/>
    <w:rsid w:val="00DB3232"/>
    <w:rsid w:val="00DB38EE"/>
    <w:rsid w:val="00DB498B"/>
    <w:rsid w:val="00DB66CA"/>
    <w:rsid w:val="00DB6BCA"/>
    <w:rsid w:val="00DB6F54"/>
    <w:rsid w:val="00DB73F7"/>
    <w:rsid w:val="00DC0321"/>
    <w:rsid w:val="00DC3067"/>
    <w:rsid w:val="00DC370B"/>
    <w:rsid w:val="00DC5B90"/>
    <w:rsid w:val="00DD00FF"/>
    <w:rsid w:val="00DD0619"/>
    <w:rsid w:val="00DD07FB"/>
    <w:rsid w:val="00DD0994"/>
    <w:rsid w:val="00DD25C6"/>
    <w:rsid w:val="00DD3529"/>
    <w:rsid w:val="00DD4FE5"/>
    <w:rsid w:val="00DD54B0"/>
    <w:rsid w:val="00DD57EE"/>
    <w:rsid w:val="00DD6BCC"/>
    <w:rsid w:val="00DD6CC5"/>
    <w:rsid w:val="00DE0A4B"/>
    <w:rsid w:val="00DE2410"/>
    <w:rsid w:val="00DE2454"/>
    <w:rsid w:val="00DE2939"/>
    <w:rsid w:val="00DE5B0C"/>
    <w:rsid w:val="00DE6E81"/>
    <w:rsid w:val="00DE703F"/>
    <w:rsid w:val="00DE7595"/>
    <w:rsid w:val="00DF1961"/>
    <w:rsid w:val="00DF23CC"/>
    <w:rsid w:val="00DF44DE"/>
    <w:rsid w:val="00E01138"/>
    <w:rsid w:val="00E01B14"/>
    <w:rsid w:val="00E02DFB"/>
    <w:rsid w:val="00E030F9"/>
    <w:rsid w:val="00E0311A"/>
    <w:rsid w:val="00E03138"/>
    <w:rsid w:val="00E06404"/>
    <w:rsid w:val="00E11A85"/>
    <w:rsid w:val="00E12495"/>
    <w:rsid w:val="00E15CCD"/>
    <w:rsid w:val="00E202EF"/>
    <w:rsid w:val="00E210B5"/>
    <w:rsid w:val="00E2552F"/>
    <w:rsid w:val="00E26EE2"/>
    <w:rsid w:val="00E3137A"/>
    <w:rsid w:val="00E32CCF"/>
    <w:rsid w:val="00E34A98"/>
    <w:rsid w:val="00E35D1E"/>
    <w:rsid w:val="00E36461"/>
    <w:rsid w:val="00E364F9"/>
    <w:rsid w:val="00E365FA"/>
    <w:rsid w:val="00E36789"/>
    <w:rsid w:val="00E44349"/>
    <w:rsid w:val="00E44A83"/>
    <w:rsid w:val="00E46D45"/>
    <w:rsid w:val="00E502C1"/>
    <w:rsid w:val="00E502DD"/>
    <w:rsid w:val="00E50D3A"/>
    <w:rsid w:val="00E51387"/>
    <w:rsid w:val="00E51E68"/>
    <w:rsid w:val="00E52EFD"/>
    <w:rsid w:val="00E5408A"/>
    <w:rsid w:val="00E56800"/>
    <w:rsid w:val="00E57B4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AF5"/>
    <w:rsid w:val="00E84C29"/>
    <w:rsid w:val="00E85BFF"/>
    <w:rsid w:val="00E90391"/>
    <w:rsid w:val="00E906C2"/>
    <w:rsid w:val="00E9311F"/>
    <w:rsid w:val="00E934D1"/>
    <w:rsid w:val="00E94AF0"/>
    <w:rsid w:val="00E95D13"/>
    <w:rsid w:val="00E95DD3"/>
    <w:rsid w:val="00E969D5"/>
    <w:rsid w:val="00EA0897"/>
    <w:rsid w:val="00EA58D1"/>
    <w:rsid w:val="00EA61BC"/>
    <w:rsid w:val="00EA681A"/>
    <w:rsid w:val="00EA7352"/>
    <w:rsid w:val="00EA735B"/>
    <w:rsid w:val="00EB1898"/>
    <w:rsid w:val="00EB1E69"/>
    <w:rsid w:val="00EB2086"/>
    <w:rsid w:val="00EB31ED"/>
    <w:rsid w:val="00EB5EDF"/>
    <w:rsid w:val="00EB60FE"/>
    <w:rsid w:val="00EB74DB"/>
    <w:rsid w:val="00EC0110"/>
    <w:rsid w:val="00EC064B"/>
    <w:rsid w:val="00EC5359"/>
    <w:rsid w:val="00EC562A"/>
    <w:rsid w:val="00ED067A"/>
    <w:rsid w:val="00ED2B50"/>
    <w:rsid w:val="00ED7076"/>
    <w:rsid w:val="00EE0350"/>
    <w:rsid w:val="00EE0719"/>
    <w:rsid w:val="00EE0B05"/>
    <w:rsid w:val="00EE0E80"/>
    <w:rsid w:val="00EE20EF"/>
    <w:rsid w:val="00EE613F"/>
    <w:rsid w:val="00EE7295"/>
    <w:rsid w:val="00EE7869"/>
    <w:rsid w:val="00EF054A"/>
    <w:rsid w:val="00EF3235"/>
    <w:rsid w:val="00EF7E72"/>
    <w:rsid w:val="00F05DD1"/>
    <w:rsid w:val="00F06D37"/>
    <w:rsid w:val="00F07B9D"/>
    <w:rsid w:val="00F11315"/>
    <w:rsid w:val="00F11586"/>
    <w:rsid w:val="00F1183B"/>
    <w:rsid w:val="00F11C9F"/>
    <w:rsid w:val="00F12263"/>
    <w:rsid w:val="00F1409D"/>
    <w:rsid w:val="00F14214"/>
    <w:rsid w:val="00F157A9"/>
    <w:rsid w:val="00F16F00"/>
    <w:rsid w:val="00F22E22"/>
    <w:rsid w:val="00F25BB6"/>
    <w:rsid w:val="00F26B7E"/>
    <w:rsid w:val="00F27A3B"/>
    <w:rsid w:val="00F32780"/>
    <w:rsid w:val="00F33817"/>
    <w:rsid w:val="00F37D41"/>
    <w:rsid w:val="00F420D5"/>
    <w:rsid w:val="00F451EA"/>
    <w:rsid w:val="00F45447"/>
    <w:rsid w:val="00F456C6"/>
    <w:rsid w:val="00F4577B"/>
    <w:rsid w:val="00F46496"/>
    <w:rsid w:val="00F474D0"/>
    <w:rsid w:val="00F50179"/>
    <w:rsid w:val="00F515EE"/>
    <w:rsid w:val="00F5627A"/>
    <w:rsid w:val="00F56511"/>
    <w:rsid w:val="00F6194E"/>
    <w:rsid w:val="00F623AC"/>
    <w:rsid w:val="00F6412A"/>
    <w:rsid w:val="00F644A5"/>
    <w:rsid w:val="00F65893"/>
    <w:rsid w:val="00F65D3C"/>
    <w:rsid w:val="00F66A4A"/>
    <w:rsid w:val="00F71E22"/>
    <w:rsid w:val="00F72142"/>
    <w:rsid w:val="00F72AE7"/>
    <w:rsid w:val="00F833BA"/>
    <w:rsid w:val="00F84FD0"/>
    <w:rsid w:val="00F859A8"/>
    <w:rsid w:val="00F86D87"/>
    <w:rsid w:val="00F90FFA"/>
    <w:rsid w:val="00F9108B"/>
    <w:rsid w:val="00F91349"/>
    <w:rsid w:val="00F9203E"/>
    <w:rsid w:val="00F93A8A"/>
    <w:rsid w:val="00F95248"/>
    <w:rsid w:val="00F956A9"/>
    <w:rsid w:val="00F963ED"/>
    <w:rsid w:val="00F966CF"/>
    <w:rsid w:val="00F96CAE"/>
    <w:rsid w:val="00F97C99"/>
    <w:rsid w:val="00FA0DD2"/>
    <w:rsid w:val="00FA662D"/>
    <w:rsid w:val="00FA73B1"/>
    <w:rsid w:val="00FB0CB9"/>
    <w:rsid w:val="00FB231D"/>
    <w:rsid w:val="00FB3F0B"/>
    <w:rsid w:val="00FB45F1"/>
    <w:rsid w:val="00FB4A72"/>
    <w:rsid w:val="00FB54E8"/>
    <w:rsid w:val="00FB5F4B"/>
    <w:rsid w:val="00FB7054"/>
    <w:rsid w:val="00FC17B7"/>
    <w:rsid w:val="00FC2CB7"/>
    <w:rsid w:val="00FC4090"/>
    <w:rsid w:val="00FC55B4"/>
    <w:rsid w:val="00FD00E6"/>
    <w:rsid w:val="00FD09A1"/>
    <w:rsid w:val="00FD101C"/>
    <w:rsid w:val="00FD2A7C"/>
    <w:rsid w:val="00FD59EB"/>
    <w:rsid w:val="00FD5C1E"/>
    <w:rsid w:val="00FD7299"/>
    <w:rsid w:val="00FE1FBE"/>
    <w:rsid w:val="00FE3901"/>
    <w:rsid w:val="00FE39D3"/>
    <w:rsid w:val="00FE4BCE"/>
    <w:rsid w:val="00FE54AE"/>
    <w:rsid w:val="00FE576A"/>
    <w:rsid w:val="00FE7E79"/>
    <w:rsid w:val="00FF3E7D"/>
    <w:rsid w:val="00FF43C7"/>
    <w:rsid w:val="00FF56E4"/>
    <w:rsid w:val="00FF5B99"/>
    <w:rsid w:val="00FF730C"/>
    <w:rsid w:val="00FF73F4"/>
    <w:rsid w:val="00FF7CE4"/>
    <w:rsid w:val="00FF7E39"/>
    <w:rsid w:val="01E0373D"/>
    <w:rsid w:val="0D411534"/>
    <w:rsid w:val="0D474670"/>
    <w:rsid w:val="0EB126E9"/>
    <w:rsid w:val="1018192E"/>
    <w:rsid w:val="10B464C1"/>
    <w:rsid w:val="155D7EE0"/>
    <w:rsid w:val="15783F61"/>
    <w:rsid w:val="163D5464"/>
    <w:rsid w:val="169F376F"/>
    <w:rsid w:val="17C70975"/>
    <w:rsid w:val="1BD45C69"/>
    <w:rsid w:val="1E2C58E8"/>
    <w:rsid w:val="1E933BB9"/>
    <w:rsid w:val="21C10A3D"/>
    <w:rsid w:val="22761828"/>
    <w:rsid w:val="235A4CA6"/>
    <w:rsid w:val="26E256DE"/>
    <w:rsid w:val="2A2236BD"/>
    <w:rsid w:val="2AF7102C"/>
    <w:rsid w:val="2BF043F9"/>
    <w:rsid w:val="2C970D19"/>
    <w:rsid w:val="2E5A1FFE"/>
    <w:rsid w:val="2E6469D8"/>
    <w:rsid w:val="2F057C58"/>
    <w:rsid w:val="313E1763"/>
    <w:rsid w:val="32A40461"/>
    <w:rsid w:val="359758E5"/>
    <w:rsid w:val="36301896"/>
    <w:rsid w:val="383E473E"/>
    <w:rsid w:val="386677F1"/>
    <w:rsid w:val="3C243C4B"/>
    <w:rsid w:val="3D74650C"/>
    <w:rsid w:val="3E2D328B"/>
    <w:rsid w:val="3EF67B21"/>
    <w:rsid w:val="3F3B222F"/>
    <w:rsid w:val="3FD37E62"/>
    <w:rsid w:val="41F145CF"/>
    <w:rsid w:val="43BC29BB"/>
    <w:rsid w:val="468A6DA0"/>
    <w:rsid w:val="47064679"/>
    <w:rsid w:val="48F03833"/>
    <w:rsid w:val="4A8E50B1"/>
    <w:rsid w:val="4BCF5981"/>
    <w:rsid w:val="4CC0176E"/>
    <w:rsid w:val="4D371A30"/>
    <w:rsid w:val="4E636855"/>
    <w:rsid w:val="4F9842DC"/>
    <w:rsid w:val="4FA669F9"/>
    <w:rsid w:val="4FF57980"/>
    <w:rsid w:val="510E0CFA"/>
    <w:rsid w:val="51D11D27"/>
    <w:rsid w:val="52CF270B"/>
    <w:rsid w:val="560A5808"/>
    <w:rsid w:val="571D1776"/>
    <w:rsid w:val="597731B4"/>
    <w:rsid w:val="5AE91E90"/>
    <w:rsid w:val="5B7C4AB2"/>
    <w:rsid w:val="5D136A20"/>
    <w:rsid w:val="5E734892"/>
    <w:rsid w:val="5ED54C05"/>
    <w:rsid w:val="5F100A0C"/>
    <w:rsid w:val="61AF2121"/>
    <w:rsid w:val="631D2F2A"/>
    <w:rsid w:val="635F3637"/>
    <w:rsid w:val="642503DD"/>
    <w:rsid w:val="64393E88"/>
    <w:rsid w:val="6A7B143E"/>
    <w:rsid w:val="6C553829"/>
    <w:rsid w:val="6C7C0DB6"/>
    <w:rsid w:val="6CAC7A25"/>
    <w:rsid w:val="6E0E0133"/>
    <w:rsid w:val="6EF72976"/>
    <w:rsid w:val="722A4E10"/>
    <w:rsid w:val="7504283B"/>
    <w:rsid w:val="78CA675D"/>
    <w:rsid w:val="78D21D5D"/>
    <w:rsid w:val="79667075"/>
    <w:rsid w:val="79FA77BE"/>
    <w:rsid w:val="7D0F532E"/>
    <w:rsid w:val="7DBF52D5"/>
    <w:rsid w:val="7DD8606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3812FA"/>
  <w15:docId w15:val="{A41B9C75-889F-4ED4-8036-8279AAC4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widowControl/>
      <w:snapToGrid w:val="0"/>
      <w:spacing w:after="200" w:line="240" w:lineRule="auto"/>
      <w:jc w:val="left"/>
    </w:pPr>
    <w:rPr>
      <w:rFonts w:ascii="Tahoma" w:eastAsia="微软雅黑" w:hAnsi="Tahoma" w:cstheme="minorBidi"/>
      <w:kern w:val="0"/>
      <w:sz w:val="22"/>
      <w:szCs w:val="22"/>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HTML">
    <w:name w:val="HTML Preformatted"/>
    <w:basedOn w:val="afff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00" w:line="240" w:lineRule="auto"/>
      <w:jc w:val="left"/>
    </w:pPr>
    <w:rPr>
      <w:rFonts w:ascii="宋体" w:eastAsia="微软雅黑" w:hAnsi="宋体" w:cs="宋体"/>
      <w:kern w:val="0"/>
      <w:sz w:val="24"/>
      <w:szCs w:val="22"/>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rFonts w:ascii="Tahoma" w:eastAsia="微软雅黑" w:hAnsi="Tahoma" w:cstheme="minorBidi"/>
      <w:sz w:val="22"/>
      <w:szCs w:val="22"/>
    </w:rPr>
  </w:style>
  <w:style w:type="character" w:customStyle="1" w:styleId="HTML0">
    <w:name w:val="HTML 预设格式 字符"/>
    <w:basedOn w:val="afff6"/>
    <w:link w:val="HTML"/>
    <w:uiPriority w:val="99"/>
    <w:qFormat/>
    <w:rPr>
      <w:rFonts w:ascii="宋体" w:eastAsia="微软雅黑" w:hAnsi="宋体" w:cs="宋体"/>
      <w:sz w:val="24"/>
      <w:szCs w:val="22"/>
    </w:rPr>
  </w:style>
  <w:style w:type="character" w:customStyle="1" w:styleId="affffa">
    <w:name w:val="批注主题 字符"/>
    <w:basedOn w:val="afffb"/>
    <w:link w:val="affff9"/>
    <w:uiPriority w:val="99"/>
    <w:semiHidden/>
    <w:qFormat/>
    <w:rPr>
      <w:rFonts w:ascii="Tahoma" w:eastAsia="微软雅黑" w:hAnsi="Tahoma" w:cstheme="minorBidi"/>
      <w:b/>
      <w:bCs/>
      <w:sz w:val="22"/>
      <w:szCs w:val="22"/>
    </w:rPr>
  </w:style>
  <w:style w:type="paragraph" w:customStyle="1" w:styleId="CM4">
    <w:name w:val="CM4"/>
    <w:basedOn w:val="Default"/>
    <w:next w:val="Default"/>
    <w:uiPriority w:val="99"/>
    <w:unhideWhenUsed/>
    <w:qFormat/>
    <w:pPr>
      <w:spacing w:line="626" w:lineRule="atLeast"/>
    </w:pPr>
    <w:rPr>
      <w:rFonts w:ascii="黑体" w:eastAsia="黑体" w:cs="Times New Roman" w:hint="eastAsia"/>
      <w:szCs w:val="22"/>
    </w:rPr>
  </w:style>
  <w:style w:type="paragraph" w:customStyle="1" w:styleId="CM23">
    <w:name w:val="CM23"/>
    <w:basedOn w:val="Default"/>
    <w:next w:val="Default"/>
    <w:uiPriority w:val="99"/>
    <w:qFormat/>
    <w:pPr>
      <w:spacing w:after="70"/>
    </w:pPr>
    <w:rPr>
      <w:rFonts w:ascii="Sim Hei" w:eastAsia="Sim Hei" w:cs="Times New Roman"/>
      <w:color w:val="auto"/>
    </w:rPr>
  </w:style>
  <w:style w:type="paragraph" w:styleId="affffffffffff">
    <w:name w:val="List Paragraph"/>
    <w:basedOn w:val="afff5"/>
    <w:uiPriority w:val="34"/>
    <w:qFormat/>
    <w:pPr>
      <w:adjustRightInd/>
      <w:spacing w:line="240" w:lineRule="auto"/>
      <w:ind w:firstLineChars="200" w:firstLine="420"/>
    </w:pPr>
    <w:rPr>
      <w:szCs w:val="22"/>
    </w:rPr>
  </w:style>
  <w:style w:type="paragraph" w:styleId="affffffffffff0">
    <w:name w:val="No Spacing"/>
    <w:uiPriority w:val="1"/>
    <w:qFormat/>
    <w:pPr>
      <w:adjustRightInd w:val="0"/>
      <w:snapToGrid w:val="0"/>
    </w:pPr>
    <w:rPr>
      <w:rFonts w:ascii="Tahoma" w:eastAsia="微软雅黑" w:hAnsi="Tahoma" w:cstheme="minorBidi"/>
      <w:sz w:val="22"/>
      <w:szCs w:val="22"/>
    </w:rPr>
  </w:style>
  <w:style w:type="paragraph" w:customStyle="1" w:styleId="TOC10">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21">
    <w:name w:val="font21"/>
    <w:basedOn w:val="afff6"/>
    <w:qFormat/>
    <w:rPr>
      <w:rFonts w:ascii="Times New Roman" w:hAnsi="Times New Roman" w:cs="Times New Roman" w:hint="default"/>
      <w:color w:val="000000"/>
      <w:sz w:val="20"/>
      <w:szCs w:val="20"/>
      <w:u w:val="none"/>
    </w:rPr>
  </w:style>
  <w:style w:type="character" w:customStyle="1" w:styleId="font11">
    <w:name w:val="font11"/>
    <w:basedOn w:val="afff6"/>
    <w:qFormat/>
    <w:rPr>
      <w:rFonts w:ascii="宋体" w:eastAsia="宋体" w:hAnsi="宋体" w:cs="宋体" w:hint="eastAsia"/>
      <w:color w:val="000000"/>
      <w:sz w:val="20"/>
      <w:szCs w:val="20"/>
      <w:u w:val="none"/>
    </w:rPr>
  </w:style>
  <w:style w:type="paragraph" w:customStyle="1" w:styleId="p0">
    <w:name w:val="p0"/>
    <w:basedOn w:val="afff5"/>
    <w:qFormat/>
    <w:pPr>
      <w:widowControl/>
      <w:snapToGrid w:val="0"/>
      <w:spacing w:after="200" w:line="240" w:lineRule="auto"/>
      <w:jc w:val="left"/>
    </w:pPr>
    <w:rPr>
      <w:rFonts w:ascii="Tahoma" w:eastAsia="微软雅黑" w:hAnsi="Tahoma" w:cstheme="minorBidi"/>
      <w:kern w:val="0"/>
      <w:sz w:val="22"/>
    </w:rPr>
  </w:style>
  <w:style w:type="character" w:customStyle="1" w:styleId="shorttext">
    <w:name w:val="short_text"/>
    <w:qFormat/>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TOC20">
    <w:name w:val="TOC 标题2"/>
    <w:basedOn w:val="1"/>
    <w:next w:val="afff5"/>
    <w:uiPriority w:val="39"/>
    <w:unhideWhenUsed/>
    <w:qFormat/>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31">
    <w:name w:val="font31"/>
    <w:basedOn w:val="afff6"/>
    <w:qFormat/>
    <w:rPr>
      <w:rFonts w:ascii="Times New Roman" w:hAnsi="Times New Roman" w:cs="Times New Roman" w:hint="default"/>
      <w:color w:val="000000"/>
      <w:sz w:val="20"/>
      <w:szCs w:val="20"/>
      <w:u w:val="none"/>
    </w:rPr>
  </w:style>
  <w:style w:type="character" w:customStyle="1" w:styleId="font51">
    <w:name w:val="font51"/>
    <w:basedOn w:val="afff6"/>
    <w:qFormat/>
    <w:rPr>
      <w:rFonts w:ascii="Times New Roman" w:hAnsi="Times New Roman" w:cs="Times New Roman" w:hint="default"/>
      <w:color w:val="000000"/>
      <w:sz w:val="20"/>
      <w:szCs w:val="20"/>
      <w:u w:val="none"/>
    </w:rPr>
  </w:style>
  <w:style w:type="character" w:customStyle="1" w:styleId="font41">
    <w:name w:val="font41"/>
    <w:basedOn w:val="afff6"/>
    <w:qFormat/>
    <w:rPr>
      <w:rFonts w:ascii="Times New Roman" w:hAnsi="Times New Roman" w:cs="Times New Roman" w:hint="default"/>
      <w:color w:val="000000"/>
      <w:sz w:val="20"/>
      <w:szCs w:val="20"/>
      <w:u w:val="none"/>
    </w:rPr>
  </w:style>
  <w:style w:type="character" w:customStyle="1" w:styleId="font61">
    <w:name w:val="font61"/>
    <w:basedOn w:val="afff6"/>
    <w:qFormat/>
    <w:rPr>
      <w:rFonts w:ascii="Times New Roman" w:hAnsi="Times New Roman" w:cs="Times New Roman" w:hint="default"/>
      <w:color w:val="000000"/>
      <w:sz w:val="20"/>
      <w:szCs w:val="20"/>
      <w:u w:val="none"/>
    </w:rPr>
  </w:style>
  <w:style w:type="paragraph" w:customStyle="1" w:styleId="affffffffffff1">
    <w:name w:val="段"/>
    <w:autoRedefine/>
    <w:qFormat/>
    <w:pPr>
      <w:tabs>
        <w:tab w:val="center" w:pos="4201"/>
        <w:tab w:val="right" w:leader="dot" w:pos="9298"/>
      </w:tabs>
      <w:autoSpaceDE w:val="0"/>
      <w:autoSpaceDN w:val="0"/>
      <w:ind w:firstLineChars="200" w:firstLine="420"/>
      <w:jc w:val="both"/>
    </w:pPr>
    <w:rPr>
      <w:sz w:val="21"/>
    </w:rPr>
  </w:style>
  <w:style w:type="character" w:customStyle="1" w:styleId="15">
    <w:name w:val="15"/>
    <w:basedOn w:val="afff6"/>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DB6D256DE44448A115F09195C9D55"/>
        <w:category>
          <w:name w:val="常规"/>
          <w:gallery w:val="placeholder"/>
        </w:category>
        <w:types>
          <w:type w:val="bbPlcHdr"/>
        </w:types>
        <w:behaviors>
          <w:behavior w:val="content"/>
        </w:behaviors>
        <w:guid w:val="{67EBC8DC-8EA4-4DDE-A22B-0C3FC163658C}"/>
      </w:docPartPr>
      <w:docPartBody>
        <w:p w:rsidR="00B46BCC" w:rsidRDefault="00000000">
          <w:pPr>
            <w:pStyle w:val="C1ADB6D256DE44448A115F09195C9D55"/>
            <w:rPr>
              <w:rFonts w:hint="eastAsia"/>
            </w:rPr>
          </w:pPr>
          <w:r>
            <w:rPr>
              <w:rStyle w:val="a3"/>
              <w:rFonts w:hint="eastAsia"/>
            </w:rPr>
            <w:t>单击或点击此处输入文字。</w:t>
          </w:r>
        </w:p>
      </w:docPartBody>
    </w:docPart>
    <w:docPart>
      <w:docPartPr>
        <w:name w:val="B7201308D17C4E07BF5FB762598EE325"/>
        <w:category>
          <w:name w:val="常规"/>
          <w:gallery w:val="placeholder"/>
        </w:category>
        <w:types>
          <w:type w:val="bbPlcHdr"/>
        </w:types>
        <w:behaviors>
          <w:behavior w:val="content"/>
        </w:behaviors>
        <w:guid w:val="{A0516DB0-3BF4-4312-BD0F-247AAE878AAE}"/>
      </w:docPartPr>
      <w:docPartBody>
        <w:p w:rsidR="00B46BCC" w:rsidRDefault="00000000">
          <w:pPr>
            <w:pStyle w:val="B7201308D17C4E07BF5FB762598EE32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im Hei">
    <w:altName w:val="微软雅黑"/>
    <w:charset w:val="86"/>
    <w:family w:val="swiss"/>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6"/>
    <w:rsid w:val="000033D5"/>
    <w:rsid w:val="00040624"/>
    <w:rsid w:val="00125C48"/>
    <w:rsid w:val="00170E77"/>
    <w:rsid w:val="001856E8"/>
    <w:rsid w:val="001F7611"/>
    <w:rsid w:val="002F6BD1"/>
    <w:rsid w:val="002F7DE4"/>
    <w:rsid w:val="00306ABE"/>
    <w:rsid w:val="003505AF"/>
    <w:rsid w:val="00391D8D"/>
    <w:rsid w:val="00491D89"/>
    <w:rsid w:val="004B6068"/>
    <w:rsid w:val="004E2381"/>
    <w:rsid w:val="0053214F"/>
    <w:rsid w:val="0057282C"/>
    <w:rsid w:val="005E5EDF"/>
    <w:rsid w:val="00611D68"/>
    <w:rsid w:val="006318DF"/>
    <w:rsid w:val="006516B3"/>
    <w:rsid w:val="006930DF"/>
    <w:rsid w:val="006B023E"/>
    <w:rsid w:val="006E2965"/>
    <w:rsid w:val="00763B56"/>
    <w:rsid w:val="00782AB5"/>
    <w:rsid w:val="00797138"/>
    <w:rsid w:val="00822406"/>
    <w:rsid w:val="00827768"/>
    <w:rsid w:val="00827BFC"/>
    <w:rsid w:val="00844AF0"/>
    <w:rsid w:val="00846123"/>
    <w:rsid w:val="008C1C50"/>
    <w:rsid w:val="008C35EF"/>
    <w:rsid w:val="008E2599"/>
    <w:rsid w:val="00971433"/>
    <w:rsid w:val="009C7ABA"/>
    <w:rsid w:val="009F66A9"/>
    <w:rsid w:val="00A76EFD"/>
    <w:rsid w:val="00AD30D4"/>
    <w:rsid w:val="00AF4F1E"/>
    <w:rsid w:val="00B10DDC"/>
    <w:rsid w:val="00B46BCC"/>
    <w:rsid w:val="00B639E7"/>
    <w:rsid w:val="00B828FB"/>
    <w:rsid w:val="00C47FBA"/>
    <w:rsid w:val="00E603D3"/>
    <w:rsid w:val="00E9678F"/>
    <w:rsid w:val="00EA46E5"/>
    <w:rsid w:val="00F6582D"/>
    <w:rsid w:val="00F71F2F"/>
    <w:rsid w:val="00F8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1ADB6D256DE44448A115F09195C9D55">
    <w:name w:val="C1ADB6D256DE44448A115F09195C9D55"/>
    <w:qFormat/>
    <w:pPr>
      <w:widowControl w:val="0"/>
      <w:jc w:val="both"/>
    </w:pPr>
    <w:rPr>
      <w:kern w:val="2"/>
      <w:sz w:val="21"/>
      <w:szCs w:val="22"/>
    </w:rPr>
  </w:style>
  <w:style w:type="paragraph" w:customStyle="1" w:styleId="B7201308D17C4E07BF5FB762598EE325">
    <w:name w:val="B7201308D17C4E07BF5FB762598EE3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C6F867-F4DC-493B-9DE4-07CA84E3EE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1</Pages>
  <Words>7075</Words>
  <Characters>8138</Characters>
  <Application>Microsoft Office Word</Application>
  <DocSecurity>0</DocSecurity>
  <Lines>739</Lines>
  <Paragraphs>845</Paragraphs>
  <ScaleCrop>false</ScaleCrop>
  <Company>PCMI</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zilong liu</cp:lastModifiedBy>
  <cp:revision>6</cp:revision>
  <cp:lastPrinted>2023-11-16T01:55:00Z</cp:lastPrinted>
  <dcterms:created xsi:type="dcterms:W3CDTF">2024-02-20T02:32:00Z</dcterms:created>
  <dcterms:modified xsi:type="dcterms:W3CDTF">2025-08-21T12:25:00Z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AB517F33F3A94C709ED00C293FFF49F9_13</vt:lpwstr>
  </property>
  <property fmtid="{D5CDD505-2E9C-101B-9397-08002B2CF9AE}" pid="16" name="KSOTemplateDocerSaveRecord">
    <vt:lpwstr>eyJoZGlkIjoiZjI2OWRiNDM1MzIyOTg3MDdhNTY4ZjIwMjI4NmE2YTkiLCJ1c2VySWQiOiIyNzk3NjYyNzUifQ==</vt:lpwstr>
  </property>
</Properties>
</file>