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right="240"/>
        <w:jc w:val="righ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drawing>
          <wp:inline distT="0" distB="0" distL="0" distR="0">
            <wp:extent cx="1933575" cy="847725"/>
            <wp:effectExtent l="19050" t="0" r="9525" b="0"/>
            <wp:docPr id="1" name="图片 1" descr="772~1O4HXZEI_K7XGVEJ3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2~1O4HXZEI_K7XGVEJ3Z7"/>
                    <pic:cNvPicPr>
                      <a:picLocks noChangeAspect="1" noChangeArrowheads="1"/>
                    </pic:cNvPicPr>
                  </pic:nvPicPr>
                  <pic:blipFill>
                    <a:blip r:embed="rId8"/>
                    <a:srcRect/>
                    <a:stretch>
                      <a:fillRect/>
                    </a:stretch>
                  </pic:blipFill>
                  <pic:spPr>
                    <a:xfrm>
                      <a:off x="0" y="0"/>
                      <a:ext cx="1933575" cy="847725"/>
                    </a:xfrm>
                    <a:prstGeom prst="rect">
                      <a:avLst/>
                    </a:prstGeom>
                    <a:noFill/>
                    <a:ln w="9525">
                      <a:noFill/>
                      <a:miter lim="800000"/>
                      <a:headEnd/>
                      <a:tailEnd/>
                    </a:ln>
                  </pic:spPr>
                </pic:pic>
              </a:graphicData>
            </a:graphic>
          </wp:inline>
        </w:drawing>
      </w:r>
      <w:r>
        <w:rPr>
          <w:rFonts w:ascii="Times New Roman" w:hAnsi="Times New Roman" w:eastAsia="宋体" w:cs="Times New Roman"/>
          <w:kern w:val="0"/>
          <w:sz w:val="24"/>
          <w:szCs w:val="20"/>
        </w:rPr>
        <w:t xml:space="preserve">    </w:t>
      </w:r>
    </w:p>
    <w:p>
      <w:pPr>
        <w:keepNext/>
        <w:adjustRightInd w:val="0"/>
        <w:ind w:right="1260" w:firstLine="2064" w:firstLineChars="860"/>
        <w:jc w:val="left"/>
        <w:textAlignment w:val="baseline"/>
        <w:rPr>
          <w:rFonts w:ascii="Times New Roman" w:hAnsi="Times New Roman" w:eastAsia="宋体" w:cs="Times New Roman"/>
          <w:kern w:val="0"/>
          <w:sz w:val="24"/>
          <w:szCs w:val="20"/>
          <w:u w:val="single"/>
        </w:rPr>
      </w:pPr>
    </w:p>
    <w:p>
      <w:pPr>
        <w:adjustRightInd w:val="0"/>
        <w:ind w:left="36" w:leftChars="-473" w:right="-907" w:rightChars="-432" w:hanging="1029" w:hangingChars="165"/>
        <w:jc w:val="center"/>
        <w:textAlignment w:val="baseline"/>
        <w:rPr>
          <w:rFonts w:ascii="Times New Roman" w:hAnsi="Times New Roman" w:cs="Times New Roman" w:eastAsiaTheme="majorEastAsia"/>
          <w:w w:val="120"/>
          <w:kern w:val="0"/>
          <w:sz w:val="52"/>
          <w:szCs w:val="52"/>
        </w:rPr>
      </w:pPr>
      <w:r>
        <w:rPr>
          <w:rFonts w:ascii="Times New Roman" w:hAnsi="Times New Roman" w:cs="Times New Roman" w:eastAsiaTheme="majorEastAsia"/>
          <w:w w:val="120"/>
          <w:kern w:val="0"/>
          <w:sz w:val="52"/>
          <w:szCs w:val="52"/>
        </w:rPr>
        <w:t>中华人民共和国国家计量技术规范</w:t>
      </w:r>
    </w:p>
    <w:p>
      <w:pPr>
        <w:autoSpaceDE w:val="0"/>
        <w:autoSpaceDN w:val="0"/>
        <w:adjustRightInd w:val="0"/>
        <w:textAlignment w:val="baseline"/>
        <w:rPr>
          <w:rFonts w:ascii="Times New Roman" w:hAnsi="Times New Roman" w:eastAsia="黑体" w:cs="Times New Roman"/>
          <w:b/>
          <w:kern w:val="0"/>
          <w:sz w:val="28"/>
          <w:szCs w:val="28"/>
        </w:rPr>
      </w:pPr>
      <w:bookmarkStart w:id="0" w:name="_Toc514316609"/>
      <w:r>
        <w:rPr>
          <w:rFonts w:ascii="Times New Roman" w:hAnsi="Times New Roman" w:eastAsia="宋体" w:cs="Times New Roman"/>
          <w:kern w:val="0"/>
          <w:sz w:val="28"/>
          <w:szCs w:val="20"/>
        </w:rPr>
        <w:t xml:space="preserve">                                            </w:t>
      </w:r>
      <w:r>
        <w:rPr>
          <w:rFonts w:ascii="Times New Roman" w:hAnsi="Times New Roman" w:eastAsia="黑体" w:cs="Times New Roman"/>
          <w:b/>
          <w:kern w:val="0"/>
          <w:sz w:val="28"/>
          <w:szCs w:val="28"/>
        </w:rPr>
        <w:t>JJFXXXX-XXX</w:t>
      </w:r>
      <w:bookmarkEnd w:id="0"/>
    </w:p>
    <w:p>
      <w:pPr>
        <w:adjustRightInd w:val="0"/>
        <w:jc w:val="left"/>
        <w:textAlignment w:val="baseline"/>
        <w:rPr>
          <w:rFonts w:ascii="Times New Roman" w:hAnsi="Times New Roman" w:eastAsia="方正大标宋简体" w:cs="Times New Roman"/>
          <w:kern w:val="0"/>
          <w:sz w:val="24"/>
          <w:szCs w:val="20"/>
        </w:rPr>
      </w:pPr>
      <w:r>
        <w:rPr>
          <w:rFonts w:ascii="Times New Roman" w:hAnsi="Times New Roman" w:eastAsia="宋体" w:cs="Times New Roman"/>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193040</wp:posOffset>
                </wp:positionV>
                <wp:extent cx="594741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9471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0.15pt;margin-top:15.2pt;height:0pt;width:468.3pt;z-index:251659264;mso-width-relative:page;mso-height-relative:page;" filled="f" stroked="t" coordsize="21600,21600" o:gfxdata="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JdeLdMA&#10;AAAHAQAADwAAAAAAAAABACAAAAAiAAAAZHJzL2Rvd25yZXYueG1sUEsBAhQAFAAAAAgAh07iQMKK&#10;oDTrAQAAtQMAAA4AAAAAAAAAAQAgAAAAIgEAAGRycy9lMm9Eb2MueG1sUEsFBgAAAAAGAAYAWQEA&#10;AH8FAAAAAA==&#10;">
                <v:fill on="f" focussize="0,0"/>
                <v:stroke weight="1.5pt" color="#000000" joinstyle="round"/>
                <v:imagedata o:title=""/>
                <o:lock v:ext="edit" aspectratio="f"/>
              </v:line>
            </w:pict>
          </mc:Fallback>
        </mc:AlternateContent>
      </w: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pStyle w:val="2"/>
        <w:bidi w:val="0"/>
        <w:jc w:val="center"/>
        <w:rPr>
          <w:rFonts w:hint="eastAsia" w:ascii="黑体" w:hAnsi="黑体" w:eastAsia="黑体" w:cs="黑体"/>
          <w:sz w:val="52"/>
          <w:szCs w:val="52"/>
        </w:rPr>
      </w:pPr>
      <w:bookmarkStart w:id="1" w:name="_Toc27756"/>
      <w:bookmarkStart w:id="2" w:name="_Toc29468"/>
      <w:bookmarkStart w:id="3" w:name="_Toc12549"/>
      <w:bookmarkStart w:id="4" w:name="OLE_LINK4"/>
      <w:r>
        <w:rPr>
          <w:rFonts w:hint="eastAsia" w:ascii="黑体" w:hAnsi="黑体" w:eastAsia="黑体" w:cs="黑体"/>
          <w:sz w:val="52"/>
          <w:szCs w:val="52"/>
        </w:rPr>
        <w:t>重点排放单位温室气体排放监测</w:t>
      </w:r>
      <w:bookmarkEnd w:id="1"/>
      <w:bookmarkEnd w:id="2"/>
      <w:bookmarkEnd w:id="3"/>
    </w:p>
    <w:p>
      <w:pPr>
        <w:pStyle w:val="2"/>
        <w:bidi w:val="0"/>
        <w:jc w:val="center"/>
        <w:rPr>
          <w:rFonts w:hint="eastAsia" w:ascii="黑体" w:hAnsi="黑体" w:eastAsia="黑体" w:cs="黑体"/>
          <w:sz w:val="52"/>
          <w:szCs w:val="52"/>
        </w:rPr>
      </w:pPr>
      <w:bookmarkStart w:id="5" w:name="_Toc825"/>
      <w:bookmarkStart w:id="6" w:name="_Toc31816"/>
      <w:bookmarkStart w:id="7" w:name="_Toc13810"/>
      <w:r>
        <w:rPr>
          <w:rFonts w:hint="eastAsia" w:ascii="黑体" w:hAnsi="黑体" w:eastAsia="黑体" w:cs="黑体"/>
          <w:sz w:val="52"/>
          <w:szCs w:val="52"/>
        </w:rPr>
        <w:t>数据质量评价计量技术规范</w:t>
      </w:r>
      <w:bookmarkEnd w:id="5"/>
      <w:bookmarkEnd w:id="6"/>
      <w:bookmarkEnd w:id="7"/>
    </w:p>
    <w:bookmarkEnd w:id="4"/>
    <w:p>
      <w:pPr>
        <w:adjustRightInd w:val="0"/>
        <w:jc w:val="center"/>
        <w:textAlignment w:val="baseline"/>
        <w:rPr>
          <w:rFonts w:ascii="Times New Roman" w:hAnsi="Times New Roman" w:eastAsia="宋体" w:cs="Times New Roman"/>
          <w:b/>
          <w:color w:val="FF0000"/>
          <w:kern w:val="0"/>
          <w:sz w:val="28"/>
          <w:szCs w:val="20"/>
        </w:rPr>
      </w:pPr>
      <w:r>
        <w:rPr>
          <w:rFonts w:hint="eastAsia" w:ascii="Times New Roman" w:hAnsi="Times New Roman" w:eastAsia="黑体" w:cs="Times New Roman"/>
          <w:b/>
          <w:bCs/>
          <w:kern w:val="0"/>
          <w:sz w:val="28"/>
          <w:szCs w:val="28"/>
        </w:rPr>
        <w:t>Technical specification for quality evaluation and measurement of greenhouse gas emission monitoring data of key emitting units</w:t>
      </w:r>
    </w:p>
    <w:p>
      <w:pPr>
        <w:adjustRightInd w:val="0"/>
        <w:jc w:val="center"/>
        <w:textAlignment w:val="baseline"/>
        <w:rPr>
          <w:rFonts w:ascii="Times New Roman" w:hAnsi="Times New Roman" w:eastAsia="宋体" w:cs="Times New Roman"/>
          <w:b/>
          <w:bCs/>
          <w:kern w:val="0"/>
          <w:sz w:val="30"/>
          <w:szCs w:val="20"/>
        </w:rPr>
      </w:pPr>
      <w:r>
        <w:rPr>
          <w:rFonts w:ascii="Times New Roman" w:hAnsi="Times New Roman" w:eastAsia="宋体" w:cs="Times New Roman"/>
          <w:b/>
          <w:bCs/>
          <w:kern w:val="0"/>
          <w:sz w:val="30"/>
          <w:szCs w:val="20"/>
        </w:rPr>
        <w:t>（</w:t>
      </w:r>
      <w:r>
        <w:rPr>
          <w:rFonts w:hint="eastAsia" w:ascii="Times New Roman" w:hAnsi="Times New Roman" w:eastAsia="宋体" w:cs="Times New Roman"/>
          <w:b/>
          <w:bCs/>
          <w:kern w:val="0"/>
          <w:sz w:val="30"/>
          <w:szCs w:val="20"/>
          <w:lang w:eastAsia="zh-CN"/>
        </w:rPr>
        <w:t>征求意见</w:t>
      </w:r>
      <w:r>
        <w:rPr>
          <w:rFonts w:ascii="Times New Roman" w:hAnsi="Times New Roman" w:eastAsia="宋体" w:cs="Times New Roman"/>
          <w:b/>
          <w:bCs/>
          <w:kern w:val="0"/>
          <w:sz w:val="30"/>
          <w:szCs w:val="20"/>
        </w:rPr>
        <w:t>稿）</w:t>
      </w: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left"/>
        <w:textAlignment w:val="baseline"/>
        <w:rPr>
          <w:rFonts w:ascii="Times New Roman" w:hAnsi="Times New Roman" w:eastAsia="方正大标宋简体" w:cs="Times New Roman"/>
          <w:kern w:val="0"/>
          <w:sz w:val="24"/>
          <w:szCs w:val="20"/>
        </w:rPr>
      </w:pPr>
    </w:p>
    <w:p>
      <w:pPr>
        <w:adjustRightInd w:val="0"/>
        <w:jc w:val="center"/>
        <w:textAlignment w:val="baseline"/>
        <w:rPr>
          <w:rFonts w:ascii="Times New Roman" w:hAnsi="Times New Roman" w:eastAsia="黑体" w:cs="Times New Roman"/>
          <w:kern w:val="0"/>
          <w:sz w:val="28"/>
          <w:szCs w:val="20"/>
        </w:rPr>
      </w:pPr>
      <w:r>
        <w:rPr>
          <w:rFonts w:ascii="Times New Roman" w:hAnsi="Times New Roman" w:eastAsia="黑体" w:cs="Times New Roman"/>
          <w:kern w:val="0"/>
          <w:sz w:val="28"/>
          <w:szCs w:val="20"/>
        </w:rPr>
        <w:t>202X-XX-XX发布</w:t>
      </w:r>
      <w:r>
        <w:rPr>
          <w:rFonts w:ascii="Times New Roman" w:hAnsi="Times New Roman" w:eastAsia="黑体" w:cs="Times New Roman"/>
          <w:b/>
          <w:bCs/>
          <w:kern w:val="0"/>
          <w:sz w:val="28"/>
          <w:szCs w:val="20"/>
        </w:rPr>
        <w:tab/>
      </w:r>
      <w:r>
        <w:rPr>
          <w:rFonts w:ascii="Times New Roman" w:hAnsi="Times New Roman" w:eastAsia="黑体" w:cs="Times New Roman"/>
          <w:b/>
          <w:bCs/>
          <w:kern w:val="0"/>
          <w:sz w:val="28"/>
          <w:szCs w:val="20"/>
        </w:rPr>
        <w:tab/>
      </w:r>
      <w:r>
        <w:rPr>
          <w:rFonts w:ascii="Times New Roman" w:hAnsi="Times New Roman" w:eastAsia="黑体" w:cs="Times New Roman"/>
          <w:b/>
          <w:bCs/>
          <w:kern w:val="0"/>
          <w:sz w:val="28"/>
          <w:szCs w:val="20"/>
        </w:rPr>
        <w:tab/>
      </w:r>
      <w:r>
        <w:rPr>
          <w:rFonts w:ascii="Times New Roman" w:hAnsi="Times New Roman" w:eastAsia="黑体" w:cs="Times New Roman"/>
          <w:b/>
          <w:bCs/>
          <w:kern w:val="0"/>
          <w:sz w:val="28"/>
          <w:szCs w:val="20"/>
        </w:rPr>
        <w:tab/>
      </w:r>
      <w:r>
        <w:rPr>
          <w:rFonts w:ascii="Times New Roman" w:hAnsi="Times New Roman" w:eastAsia="黑体" w:cs="Times New Roman"/>
          <w:b/>
          <w:bCs/>
          <w:kern w:val="0"/>
          <w:sz w:val="28"/>
          <w:szCs w:val="20"/>
        </w:rPr>
        <w:tab/>
      </w:r>
      <w:r>
        <w:rPr>
          <w:rFonts w:ascii="Times New Roman" w:hAnsi="Times New Roman" w:eastAsia="黑体" w:cs="Times New Roman"/>
          <w:b/>
          <w:bCs/>
          <w:kern w:val="0"/>
          <w:sz w:val="28"/>
          <w:szCs w:val="20"/>
        </w:rPr>
        <w:t xml:space="preserve">           </w:t>
      </w:r>
      <w:r>
        <w:rPr>
          <w:rFonts w:ascii="Times New Roman" w:hAnsi="Times New Roman" w:eastAsia="黑体" w:cs="Times New Roman"/>
          <w:kern w:val="0"/>
          <w:sz w:val="28"/>
          <w:szCs w:val="20"/>
        </w:rPr>
        <w:t>202X-XX-XX实施</w:t>
      </w:r>
    </w:p>
    <w:p>
      <w:pPr>
        <w:pStyle w:val="10"/>
        <w:pBdr>
          <w:top w:val="single" w:color="auto" w:sz="12" w:space="1"/>
        </w:pBdr>
        <w:jc w:val="center"/>
        <w:rPr>
          <w:rFonts w:ascii="Times New Roman" w:hAnsi="Times New Roman"/>
          <w:b/>
          <w:spacing w:val="40"/>
          <w:w w:val="150"/>
          <w:sz w:val="32"/>
          <w:szCs w:val="32"/>
          <w:lang w:val="en-US"/>
        </w:rPr>
      </w:pPr>
      <w:r>
        <w:rPr>
          <w:rFonts w:ascii="Times New Roman" w:hAnsi="Times New Roman"/>
          <w:b/>
          <w:spacing w:val="40"/>
          <w:w w:val="150"/>
          <w:sz w:val="32"/>
          <w:szCs w:val="32"/>
          <w:lang w:val="en-US"/>
        </w:rPr>
        <w:t>国家市场监督管理总局 发 布</w:t>
      </w:r>
    </w:p>
    <w:p>
      <w:pPr>
        <w:jc w:val="center"/>
        <w:rPr>
          <w:rFonts w:ascii="Times New Roman" w:hAnsi="Times New Roman" w:eastAsia="黑体" w:cs="Times New Roman"/>
          <w:color w:val="000000"/>
          <w:sz w:val="44"/>
          <w:szCs w:val="44"/>
        </w:rPr>
        <w:sectPr>
          <w:headerReference r:id="rId3" w:type="even"/>
          <w:pgSz w:w="11906" w:h="16838"/>
          <w:pgMar w:top="1247" w:right="1134" w:bottom="1361" w:left="1418" w:header="851" w:footer="992" w:gutter="0"/>
          <w:cols w:space="425" w:num="1"/>
          <w:docGrid w:type="lines" w:linePitch="312" w:charSpace="0"/>
        </w:sectPr>
      </w:pPr>
      <w:bookmarkStart w:id="8" w:name="_Hlk144132616"/>
    </w:p>
    <w:bookmarkEnd w:id="8"/>
    <w:tbl>
      <w:tblPr>
        <w:tblStyle w:val="19"/>
        <w:tblW w:w="9356" w:type="dxa"/>
        <w:jc w:val="center"/>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8"/>
        <w:gridCol w:w="3968"/>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rPr>
          <w:trHeight w:val="3402" w:hRule="atLeast"/>
          <w:jc w:val="center"/>
        </w:trPr>
        <w:tc>
          <w:tcPr>
            <w:tcW w:w="5388" w:type="dxa"/>
            <w:vAlign w:val="center"/>
          </w:tcPr>
          <w:p>
            <w:pPr>
              <w:pStyle w:val="2"/>
              <w:bidi w:val="0"/>
              <w:jc w:val="center"/>
              <w:rPr>
                <w:rFonts w:hint="eastAsia" w:ascii="黑体" w:hAnsi="黑体" w:eastAsia="黑体" w:cs="黑体"/>
                <w:sz w:val="52"/>
                <w:szCs w:val="52"/>
              </w:rPr>
            </w:pPr>
            <w:bookmarkStart w:id="9" w:name="_Toc3799"/>
            <w:bookmarkStart w:id="10" w:name="_Toc717"/>
            <w:r>
              <w:rPr>
                <w:rFonts w:hint="eastAsia" w:ascii="黑体" w:hAnsi="黑体" w:eastAsia="黑体" w:cs="黑体"/>
                <w:sz w:val="52"/>
                <w:szCs w:val="52"/>
              </w:rPr>
              <w:t>重点排放单位温室气体排放监测数据质量评价计量技术规范</w:t>
            </w:r>
            <w:bookmarkEnd w:id="9"/>
            <w:bookmarkEnd w:id="10"/>
          </w:p>
          <w:p>
            <w:pPr>
              <w:adjustRightInd w:val="0"/>
              <w:jc w:val="center"/>
              <w:textAlignment w:val="baseline"/>
              <w:rPr>
                <w:rFonts w:ascii="Times New Roman" w:hAnsi="Times New Roman" w:eastAsia="黑体"/>
                <w:kern w:val="0"/>
                <w:sz w:val="28"/>
                <w:szCs w:val="28"/>
                <w:lang w:val="en-US"/>
              </w:rPr>
            </w:pPr>
            <w:r>
              <w:rPr>
                <w:rFonts w:hint="eastAsia" w:ascii="Times New Roman" w:hAnsi="Times New Roman" w:eastAsia="黑体" w:cs="Times New Roman"/>
                <w:b/>
                <w:bCs/>
                <w:kern w:val="0"/>
                <w:sz w:val="28"/>
                <w:szCs w:val="28"/>
              </w:rPr>
              <w:t>Technical specification for quality evaluation and measurement of greenhouse gas emission monitoring data of key emitting units</w:t>
            </w:r>
          </w:p>
        </w:tc>
        <w:tc>
          <w:tcPr>
            <w:tcW w:w="3968" w:type="dxa"/>
          </w:tcPr>
          <w:p>
            <w:pPr>
              <w:jc w:val="left"/>
              <w:rPr>
                <w:rFonts w:ascii="Times New Roman" w:hAnsi="Times New Roman" w:eastAsia="黑体" w:cs="Times New Roman"/>
                <w:color w:val="000000"/>
                <w:sz w:val="44"/>
                <w:szCs w:val="44"/>
              </w:rPr>
            </w:pPr>
          </w:p>
          <w:p>
            <w:pPr>
              <w:rPr>
                <w:rFonts w:ascii="Times New Roman" w:hAnsi="Times New Roman" w:eastAsia="黑体" w:cs="Times New Roman"/>
                <w:color w:val="000000"/>
                <w:sz w:val="44"/>
                <w:szCs w:val="44"/>
              </w:rPr>
            </w:pPr>
            <w:r>
              <w:rPr>
                <w:rFonts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405130</wp:posOffset>
                      </wp:positionV>
                      <wp:extent cx="1964055" cy="608330"/>
                      <wp:effectExtent l="0" t="0" r="17145" b="20320"/>
                      <wp:wrapThrough wrapText="bothSides">
                        <wp:wrapPolygon>
                          <wp:start x="0" y="0"/>
                          <wp:lineTo x="0" y="10146"/>
                          <wp:lineTo x="21160" y="10823"/>
                          <wp:lineTo x="0" y="20969"/>
                          <wp:lineTo x="0" y="21645"/>
                          <wp:lineTo x="21579" y="21645"/>
                          <wp:lineTo x="21579" y="0"/>
                          <wp:lineTo x="0" y="0"/>
                        </wp:wrapPolygon>
                      </wp:wrapThrough>
                      <wp:docPr id="10" name="文本框 359"/>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wps:spPr>
                            <wps:txbx>
                              <w:txbxContent>
                                <w:p>
                                  <w:pPr>
                                    <w:spacing w:before="156" w:beforeLines="50"/>
                                    <w:ind w:firstLine="420" w:firstLineChars="150"/>
                                    <w:rPr>
                                      <w:rFonts w:ascii="黑体" w:eastAsia="黑体"/>
                                      <w:sz w:val="28"/>
                                      <w:szCs w:val="28"/>
                                    </w:rPr>
                                  </w:pPr>
                                  <w:r>
                                    <w:rPr>
                                      <w:rFonts w:hint="eastAsia" w:ascii="黑体" w:eastAsia="黑体"/>
                                      <w:sz w:val="28"/>
                                      <w:szCs w:val="28"/>
                                    </w:rPr>
                                    <w:t>JJF XXXX-XXX</w:t>
                                  </w:r>
                                  <w:r>
                                    <w:rPr>
                                      <w:rFonts w:ascii="黑体" w:eastAsia="黑体"/>
                                      <w:sz w:val="28"/>
                                      <w:szCs w:val="28"/>
                                    </w:rPr>
                                    <w:t>X</w:t>
                                  </w:r>
                                </w:p>
                              </w:txbxContent>
                            </wps:txbx>
                            <wps:bodyPr wrap="square" lIns="91440" tIns="10800" rIns="91440" bIns="45720" upright="1"/>
                          </wps:wsp>
                        </a:graphicData>
                      </a:graphic>
                    </wp:anchor>
                  </w:drawing>
                </mc:Choice>
                <mc:Fallback>
                  <w:pict>
                    <v:shape id="文本框 359" o:spid="_x0000_s1026" o:spt="202" type="#_x0000_t202" style="position:absolute;left:0pt;margin-left:18pt;margin-top:31.9pt;height:47.9pt;width:154.65pt;mso-wrap-distance-left:9pt;mso-wrap-distance-right:9pt;z-index:251660288;mso-width-relative:page;mso-height-relative:page;" fillcolor="#FFFFFF" filled="t" stroked="t" coordsize="21600,21600" wrapcoords="0 0 0 10146 21160 10823 0 20969 0 21645 21579 21645 21579 0 0 0" o:gfxdata="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QJ9wN2QAAAAkBAAAPAAAAAAAAAAEAIAAA&#10;ACIAAABkcnMvZG93bnJldi54bWxQSwECFAAUAAAACACHTuJADnv2cUQCAACbBAAADgAAAAAAAAAB&#10;ACAAAAAoAQAAZHJzL2Uyb0RvYy54bWxQSwUGAAAAAAYABgBZAQAA3gUAAAAA&#10;">
                      <v:fill on="t" opacity="0f" focussize="0,0"/>
                      <v:stroke weight="1pt" color="#000000" joinstyle="miter" dashstyle="dashDot"/>
                      <v:imagedata o:title=""/>
                      <o:lock v:ext="edit" aspectratio="f"/>
                      <v:textbox inset="2.54mm,0.3mm,2.54mm,1.27mm">
                        <w:txbxContent>
                          <w:p>
                            <w:pPr>
                              <w:spacing w:before="156" w:beforeLines="50"/>
                              <w:ind w:firstLine="420" w:firstLineChars="150"/>
                              <w:rPr>
                                <w:rFonts w:ascii="黑体" w:eastAsia="黑体"/>
                                <w:sz w:val="28"/>
                                <w:szCs w:val="28"/>
                              </w:rPr>
                            </w:pPr>
                            <w:r>
                              <w:rPr>
                                <w:rFonts w:hint="eastAsia" w:ascii="黑体" w:eastAsia="黑体"/>
                                <w:sz w:val="28"/>
                                <w:szCs w:val="28"/>
                              </w:rPr>
                              <w:t>JJF XXXX-XXX</w:t>
                            </w:r>
                            <w:r>
                              <w:rPr>
                                <w:rFonts w:ascii="黑体" w:eastAsia="黑体"/>
                                <w:sz w:val="28"/>
                                <w:szCs w:val="28"/>
                              </w:rPr>
                              <w:t>X</w:t>
                            </w:r>
                          </w:p>
                        </w:txbxContent>
                      </v:textbox>
                      <w10:wrap type="through"/>
                    </v:shape>
                  </w:pict>
                </mc:Fallback>
              </mc:AlternateContent>
            </w:r>
          </w:p>
        </w:tc>
      </w:tr>
    </w:tbl>
    <w:p>
      <w:pPr>
        <w:jc w:val="left"/>
        <w:rPr>
          <w:rFonts w:ascii="Times New Roman" w:hAnsi="Times New Roman" w:eastAsia="黑体" w:cs="Times New Roman"/>
          <w:color w:val="000000"/>
          <w:sz w:val="44"/>
          <w:szCs w:val="44"/>
        </w:rPr>
      </w:pPr>
    </w:p>
    <w:p>
      <w:pPr>
        <w:jc w:val="left"/>
        <w:rPr>
          <w:rFonts w:ascii="Times New Roman" w:hAnsi="Times New Roman" w:eastAsia="黑体" w:cs="Times New Roman"/>
          <w:color w:val="000000"/>
          <w:sz w:val="44"/>
          <w:szCs w:val="44"/>
        </w:rPr>
      </w:pPr>
    </w:p>
    <w:p>
      <w:pPr>
        <w:jc w:val="left"/>
        <w:rPr>
          <w:rFonts w:ascii="Times New Roman" w:hAnsi="Times New Roman" w:eastAsia="黑体" w:cs="Times New Roman"/>
          <w:color w:val="000000"/>
          <w:sz w:val="44"/>
          <w:szCs w:val="44"/>
        </w:rPr>
      </w:pPr>
    </w:p>
    <w:p>
      <w:pPr>
        <w:jc w:val="left"/>
        <w:rPr>
          <w:rFonts w:ascii="Times New Roman" w:hAnsi="Times New Roman" w:eastAsia="黑体" w:cs="Times New Roman"/>
          <w:color w:val="000000"/>
          <w:sz w:val="44"/>
          <w:szCs w:val="44"/>
        </w:rPr>
      </w:pPr>
    </w:p>
    <w:p>
      <w:pPr>
        <w:pStyle w:val="10"/>
        <w:spacing w:line="360" w:lineRule="auto"/>
        <w:ind w:left="279" w:leftChars="133" w:firstLine="1234" w:firstLineChars="265"/>
        <w:rPr>
          <w:rFonts w:hint="eastAsia" w:ascii="黑体" w:hAnsi="黑体" w:eastAsia="黑体"/>
          <w:color w:val="000000"/>
          <w:sz w:val="28"/>
        </w:rPr>
      </w:pPr>
      <w:r>
        <w:rPr>
          <w:rFonts w:ascii="黑体" w:hAnsi="黑体" w:eastAsia="黑体"/>
          <w:color w:val="000000"/>
          <w:spacing w:val="93"/>
          <w:kern w:val="0"/>
          <w:sz w:val="28"/>
          <w:fitText w:val="1680" w:id="-1249111295"/>
        </w:rPr>
        <w:t>归口单</w:t>
      </w:r>
      <w:r>
        <w:rPr>
          <w:rFonts w:ascii="黑体" w:hAnsi="黑体" w:eastAsia="黑体"/>
          <w:color w:val="000000"/>
          <w:spacing w:val="1"/>
          <w:kern w:val="0"/>
          <w:sz w:val="28"/>
          <w:fitText w:val="1680" w:id="-1249111295"/>
        </w:rPr>
        <w:t>位</w:t>
      </w:r>
      <w:r>
        <w:rPr>
          <w:rFonts w:ascii="黑体" w:hAnsi="黑体" w:eastAsia="黑体"/>
          <w:color w:val="000000"/>
          <w:sz w:val="28"/>
        </w:rPr>
        <w:t xml:space="preserve">: </w:t>
      </w:r>
      <w:r>
        <w:rPr>
          <w:rFonts w:hint="eastAsia" w:ascii="黑体" w:hAnsi="黑体" w:eastAsia="黑体"/>
          <w:color w:val="000000"/>
          <w:sz w:val="28"/>
        </w:rPr>
        <w:t>全国碳达峰碳中和计量技术委员会碳排放</w:t>
      </w:r>
    </w:p>
    <w:p>
      <w:pPr>
        <w:pStyle w:val="10"/>
        <w:spacing w:line="360" w:lineRule="auto"/>
        <w:ind w:left="279" w:leftChars="133" w:firstLine="3259" w:firstLineChars="1164"/>
        <w:rPr>
          <w:rFonts w:ascii="黑体" w:hAnsi="黑体" w:eastAsia="黑体"/>
          <w:color w:val="000000"/>
          <w:sz w:val="28"/>
        </w:rPr>
      </w:pPr>
      <w:r>
        <w:rPr>
          <w:rFonts w:hint="eastAsia" w:ascii="黑体" w:hAnsi="黑体" w:eastAsia="黑体"/>
          <w:color w:val="000000"/>
          <w:sz w:val="28"/>
        </w:rPr>
        <w:t>量计量分技术委员会</w:t>
      </w:r>
    </w:p>
    <w:p>
      <w:pPr>
        <w:pStyle w:val="10"/>
        <w:spacing w:line="360" w:lineRule="auto"/>
        <w:rPr>
          <w:rFonts w:ascii="黑体" w:hAnsi="黑体" w:eastAsia="黑体"/>
          <w:color w:val="000000"/>
          <w:sz w:val="28"/>
          <w:lang w:val="en-US"/>
        </w:rPr>
      </w:pPr>
      <w:r>
        <w:rPr>
          <w:rFonts w:ascii="黑体" w:hAnsi="黑体" w:eastAsia="黑体"/>
          <w:color w:val="000000"/>
          <w:sz w:val="28"/>
        </w:rPr>
        <w:t xml:space="preserve">           主要起草单位: 内蒙古自治区计量测试研究院</w:t>
      </w:r>
    </w:p>
    <w:p>
      <w:pPr>
        <w:pStyle w:val="10"/>
        <w:spacing w:line="360" w:lineRule="auto"/>
        <w:rPr>
          <w:rFonts w:ascii="黑体" w:hAnsi="黑体" w:eastAsia="黑体"/>
          <w:color w:val="000000"/>
          <w:sz w:val="28"/>
          <w:lang w:val="en-US"/>
        </w:rPr>
      </w:pPr>
      <w:r>
        <w:rPr>
          <w:rFonts w:ascii="黑体" w:hAnsi="黑体" w:eastAsia="黑体"/>
          <w:color w:val="000000"/>
          <w:sz w:val="28"/>
        </w:rPr>
        <w:t xml:space="preserve">           参加起草单位: 中国计量科学研究院</w:t>
      </w:r>
    </w:p>
    <w:p>
      <w:pPr>
        <w:pStyle w:val="10"/>
        <w:spacing w:line="360" w:lineRule="auto"/>
        <w:rPr>
          <w:rFonts w:ascii="黑体" w:hAnsi="黑体" w:eastAsia="黑体"/>
          <w:color w:val="000000"/>
          <w:sz w:val="28"/>
          <w:lang w:val="en-US"/>
        </w:rPr>
      </w:pPr>
      <w:r>
        <w:rPr>
          <w:rFonts w:ascii="黑体" w:hAnsi="黑体" w:eastAsia="黑体"/>
          <w:color w:val="000000"/>
          <w:sz w:val="28"/>
        </w:rPr>
        <w:t xml:space="preserve">                         福建省计量科学研究院</w:t>
      </w:r>
    </w:p>
    <w:p>
      <w:pPr>
        <w:pStyle w:val="10"/>
        <w:spacing w:line="360" w:lineRule="auto"/>
        <w:ind w:firstLine="3640" w:firstLineChars="1300"/>
        <w:rPr>
          <w:rFonts w:ascii="黑体" w:hAnsi="黑体" w:eastAsia="黑体"/>
          <w:color w:val="000000"/>
          <w:sz w:val="28"/>
        </w:rPr>
      </w:pPr>
      <w:r>
        <w:rPr>
          <w:rFonts w:ascii="黑体" w:hAnsi="黑体" w:eastAsia="黑体"/>
          <w:color w:val="000000"/>
          <w:sz w:val="28"/>
        </w:rPr>
        <w:t xml:space="preserve">广东省计量科学研究院                         </w:t>
      </w:r>
    </w:p>
    <w:p>
      <w:pPr>
        <w:pStyle w:val="10"/>
        <w:spacing w:line="360" w:lineRule="auto"/>
        <w:ind w:firstLine="3640" w:firstLineChars="1300"/>
        <w:rPr>
          <w:rFonts w:ascii="黑体" w:hAnsi="黑体" w:eastAsia="黑体"/>
          <w:color w:val="000000"/>
          <w:sz w:val="28"/>
          <w:lang w:val="zh-CN"/>
        </w:rPr>
      </w:pPr>
      <w:r>
        <w:rPr>
          <w:rFonts w:ascii="黑体" w:hAnsi="黑体" w:eastAsia="黑体"/>
          <w:color w:val="000000"/>
          <w:sz w:val="28"/>
        </w:rPr>
        <w:t>山东省计量科学研究院</w:t>
      </w:r>
    </w:p>
    <w:p>
      <w:pPr>
        <w:jc w:val="left"/>
        <w:rPr>
          <w:rFonts w:ascii="Times New Roman" w:hAnsi="Times New Roman" w:eastAsia="黑体" w:cs="Times New Roman"/>
          <w:kern w:val="0"/>
          <w:szCs w:val="21"/>
          <w:lang w:val="zh-CN"/>
        </w:rPr>
      </w:pPr>
    </w:p>
    <w:p>
      <w:pPr>
        <w:jc w:val="left"/>
        <w:rPr>
          <w:rFonts w:ascii="Times New Roman" w:hAnsi="Times New Roman" w:eastAsia="黑体" w:cs="Times New Roman"/>
          <w:kern w:val="0"/>
          <w:szCs w:val="21"/>
          <w:lang w:val="zh-CN"/>
        </w:rPr>
      </w:pPr>
    </w:p>
    <w:p>
      <w:pPr>
        <w:jc w:val="left"/>
        <w:rPr>
          <w:rFonts w:ascii="Times New Roman" w:hAnsi="Times New Roman" w:eastAsia="黑体" w:cs="Times New Roman"/>
          <w:kern w:val="0"/>
          <w:szCs w:val="21"/>
          <w:lang w:val="zh-CN"/>
        </w:rPr>
      </w:pPr>
    </w:p>
    <w:p>
      <w:pPr>
        <w:jc w:val="left"/>
        <w:rPr>
          <w:rFonts w:ascii="Times New Roman" w:hAnsi="Times New Roman" w:eastAsia="黑体" w:cs="Times New Roman"/>
          <w:kern w:val="0"/>
          <w:szCs w:val="21"/>
          <w:lang w:val="zh-CN"/>
        </w:rPr>
      </w:pPr>
    </w:p>
    <w:p>
      <w:pPr>
        <w:jc w:val="left"/>
        <w:rPr>
          <w:rFonts w:ascii="Times New Roman" w:hAnsi="Times New Roman" w:eastAsia="黑体" w:cs="Times New Roman"/>
          <w:kern w:val="0"/>
          <w:szCs w:val="21"/>
          <w:lang w:val="zh-CN"/>
        </w:rPr>
      </w:pPr>
    </w:p>
    <w:p>
      <w:pPr>
        <w:jc w:val="left"/>
        <w:rPr>
          <w:rFonts w:ascii="Times New Roman" w:hAnsi="Times New Roman" w:eastAsia="黑体" w:cs="Times New Roman"/>
          <w:kern w:val="0"/>
          <w:szCs w:val="21"/>
          <w:lang w:val="zh-CN"/>
        </w:rPr>
      </w:pPr>
    </w:p>
    <w:p>
      <w:pPr>
        <w:pStyle w:val="10"/>
        <w:rPr>
          <w:rFonts w:ascii="黑体" w:hAnsi="黑体" w:eastAsia="黑体"/>
          <w:color w:val="000000"/>
          <w:sz w:val="28"/>
        </w:rPr>
      </w:pPr>
      <w:r>
        <w:rPr>
          <w:rFonts w:ascii="黑体" w:hAnsi="黑体" w:eastAsia="黑体"/>
          <w:color w:val="000000"/>
          <w:sz w:val="28"/>
        </w:rPr>
        <w:t>本规范委托</w:t>
      </w:r>
      <w:r>
        <w:rPr>
          <w:rFonts w:hint="eastAsia" w:ascii="黑体" w:hAnsi="黑体" w:eastAsia="黑体"/>
          <w:color w:val="000000"/>
          <w:sz w:val="28"/>
        </w:rPr>
        <w:t>全国碳达峰碳中和计量技术委员会碳排放量计量分技术委员会</w:t>
      </w:r>
      <w:r>
        <w:rPr>
          <w:rFonts w:ascii="黑体" w:hAnsi="黑体" w:eastAsia="黑体"/>
          <w:color w:val="000000"/>
          <w:sz w:val="28"/>
        </w:rPr>
        <w:t>负责解释</w:t>
      </w:r>
    </w:p>
    <w:p>
      <w:pPr>
        <w:pStyle w:val="10"/>
        <w:rPr>
          <w:rFonts w:ascii="黑体" w:hAnsi="黑体" w:eastAsia="黑体"/>
          <w:color w:val="000000"/>
          <w:sz w:val="28"/>
        </w:rPr>
      </w:pPr>
    </w:p>
    <w:p>
      <w:pPr>
        <w:pStyle w:val="10"/>
        <w:rPr>
          <w:rFonts w:ascii="Times New Roman" w:hAnsi="Times New Roman" w:eastAsia="黑体"/>
          <w:color w:val="000000"/>
          <w:sz w:val="28"/>
        </w:rPr>
      </w:pPr>
      <w:r>
        <w:rPr>
          <w:rFonts w:ascii="Times New Roman" w:hAnsi="Times New Roman" w:eastAsia="黑体"/>
          <w:color w:val="000000"/>
          <w:sz w:val="28"/>
        </w:rPr>
        <w:t>本规范主要起草人：</w:t>
      </w:r>
    </w:p>
    <w:p>
      <w:pPr>
        <w:pStyle w:val="10"/>
        <w:spacing w:line="360" w:lineRule="auto"/>
        <w:ind w:firstLine="2520" w:firstLineChars="900"/>
        <w:rPr>
          <w:rFonts w:hint="eastAsia" w:ascii="Times New Roman" w:hAnsi="Times New Roman" w:eastAsia="黑体"/>
          <w:sz w:val="28"/>
          <w:lang w:eastAsia="zh-CN"/>
        </w:rPr>
      </w:pPr>
      <w:r>
        <w:rPr>
          <w:rFonts w:ascii="Times New Roman" w:hAnsi="Times New Roman" w:eastAsia="黑体"/>
          <w:color w:val="000000"/>
          <w:sz w:val="28"/>
        </w:rPr>
        <w:t xml:space="preserve">              </w:t>
      </w:r>
      <w:r>
        <w:rPr>
          <w:rFonts w:ascii="Times New Roman" w:hAnsi="Times New Roman" w:eastAsia="黑体"/>
          <w:color w:val="000000"/>
          <w:sz w:val="28"/>
        </w:rPr>
        <w:tab/>
      </w:r>
      <w:r>
        <w:rPr>
          <w:rFonts w:ascii="Times New Roman" w:hAnsi="Times New Roman" w:eastAsia="黑体"/>
          <w:color w:val="000000"/>
          <w:sz w:val="28"/>
        </w:rPr>
        <w:tab/>
      </w:r>
    </w:p>
    <w:p>
      <w:pPr>
        <w:pStyle w:val="10"/>
        <w:rPr>
          <w:rFonts w:ascii="Times New Roman" w:hAnsi="Times New Roman" w:eastAsia="黑体"/>
          <w:color w:val="000000"/>
          <w:sz w:val="28"/>
        </w:rPr>
      </w:pPr>
    </w:p>
    <w:p>
      <w:pPr>
        <w:rPr>
          <w:rFonts w:ascii="Times New Roman" w:hAnsi="Times New Roman" w:eastAsia="黑体"/>
          <w:color w:val="000000"/>
          <w:sz w:val="44"/>
          <w:szCs w:val="44"/>
        </w:rPr>
      </w:pPr>
      <w:r>
        <w:rPr>
          <w:rFonts w:ascii="Times New Roman" w:hAnsi="Times New Roman" w:eastAsia="黑体"/>
          <w:color w:val="000000"/>
          <w:sz w:val="44"/>
          <w:szCs w:val="44"/>
        </w:rPr>
        <w:br w:type="page"/>
      </w:r>
    </w:p>
    <w:p>
      <w:pPr>
        <w:pStyle w:val="10"/>
        <w:spacing w:before="312" w:beforeLines="100" w:after="312" w:afterLines="100" w:line="360" w:lineRule="auto"/>
        <w:jc w:val="center"/>
        <w:rPr>
          <w:rFonts w:ascii="Times New Roman" w:hAnsi="Times New Roman" w:eastAsia="黑体"/>
          <w:color w:val="000000"/>
          <w:sz w:val="44"/>
          <w:szCs w:val="44"/>
        </w:rPr>
      </w:pPr>
      <w:r>
        <w:rPr>
          <w:rFonts w:ascii="Times New Roman" w:hAnsi="Times New Roman" w:eastAsia="黑体"/>
          <w:color w:val="000000"/>
          <w:sz w:val="44"/>
          <w:szCs w:val="44"/>
        </w:rPr>
        <w:t>目    录</w:t>
      </w:r>
    </w:p>
    <w:sdt>
      <w:sdtPr>
        <w:rPr>
          <w:rFonts w:ascii="Times New Roman" w:hAnsi="Times New Roman" w:cs="Times New Roman"/>
          <w:lang w:val="zh-CN"/>
        </w:rPr>
        <w:id w:val="1498772999"/>
        <w:docPartObj>
          <w:docPartGallery w:val="Table of Contents"/>
          <w:docPartUnique/>
        </w:docPartObj>
      </w:sdtPr>
      <w:sdtEndPr>
        <w:rPr>
          <w:rFonts w:ascii="Times New Roman" w:hAnsi="Times New Roman" w:cs="Times New Roman"/>
          <w:b/>
          <w:bCs/>
          <w:lang w:val="zh-CN"/>
        </w:rPr>
      </w:sdtEndPr>
      <w:sdtContent>
        <w:p>
          <w:pPr>
            <w:spacing w:before="0" w:beforeLines="0" w:after="0" w:afterLines="0" w:line="240" w:lineRule="auto"/>
            <w:ind w:left="0" w:leftChars="0" w:right="0" w:rightChars="0" w:firstLine="0" w:firstLineChars="0"/>
            <w:jc w:val="center"/>
            <w:rPr>
              <w:rFonts w:ascii="Times New Roman" w:hAnsi="Times New Roman" w:eastAsia="宋体" w:cs="Times New Roman"/>
              <w:bCs/>
              <w:kern w:val="2"/>
              <w:sz w:val="24"/>
              <w:szCs w:val="24"/>
              <w:lang w:val="zh-CN" w:eastAsia="zh-CN" w:bidi="ar-SA"/>
            </w:rPr>
          </w:pPr>
          <w:r>
            <w:rPr>
              <w:rFonts w:ascii="Times New Roman" w:hAnsi="Times New Roman" w:eastAsia="宋体" w:cs="Times New Roman"/>
              <w:color w:val="376092" w:themeColor="accent1" w:themeShade="BF"/>
              <w:kern w:val="0"/>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color w:val="376092" w:themeColor="accent1" w:themeShade="BF"/>
              <w:kern w:val="0"/>
              <w:sz w:val="24"/>
              <w:szCs w:val="24"/>
            </w:rPr>
            <w:fldChar w:fldCharType="separate"/>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_Toc12549 </w:instrText>
          </w:r>
          <w:r>
            <w:rPr>
              <w:rFonts w:ascii="Times New Roman" w:hAnsi="Times New Roman" w:eastAsia="宋体" w:cs="Times New Roman"/>
              <w:bCs/>
              <w:szCs w:val="24"/>
              <w:lang w:val="zh-CN"/>
            </w:rPr>
            <w:fldChar w:fldCharType="separate"/>
          </w:r>
          <w:r>
            <w:rPr>
              <w:rFonts w:hint="eastAsia" w:ascii="黑体" w:hAnsi="黑体" w:eastAsia="黑体" w:cs="黑体"/>
              <w:szCs w:val="52"/>
            </w:rPr>
            <w:t>重点排放单位温室气体排放监测</w:t>
          </w:r>
          <w:r>
            <w:tab/>
          </w:r>
          <w:r>
            <w:fldChar w:fldCharType="begin"/>
          </w:r>
          <w:r>
            <w:instrText xml:space="preserve"> PAGEREF _Toc12549 \h </w:instrText>
          </w:r>
          <w:r>
            <w:fldChar w:fldCharType="separate"/>
          </w:r>
          <w:r>
            <w:t>1</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_Toc825 </w:instrText>
          </w:r>
          <w:r>
            <w:rPr>
              <w:rFonts w:ascii="Times New Roman" w:hAnsi="Times New Roman" w:eastAsia="宋体" w:cs="Times New Roman"/>
              <w:bCs/>
              <w:szCs w:val="24"/>
              <w:lang w:val="zh-CN"/>
            </w:rPr>
            <w:fldChar w:fldCharType="separate"/>
          </w:r>
          <w:r>
            <w:rPr>
              <w:rFonts w:hint="eastAsia" w:ascii="黑体" w:hAnsi="黑体" w:eastAsia="黑体" w:cs="黑体"/>
              <w:szCs w:val="52"/>
            </w:rPr>
            <w:t>数据质量评价计量技术规范</w:t>
          </w:r>
          <w:r>
            <w:tab/>
          </w:r>
          <w:r>
            <w:fldChar w:fldCharType="begin"/>
          </w:r>
          <w:r>
            <w:instrText xml:space="preserve"> PAGEREF _Toc825 \h </w:instrText>
          </w:r>
          <w:r>
            <w:fldChar w:fldCharType="separate"/>
          </w:r>
          <w:r>
            <w:t>1</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_Toc3799 </w:instrText>
          </w:r>
          <w:r>
            <w:rPr>
              <w:rFonts w:ascii="Times New Roman" w:hAnsi="Times New Roman" w:eastAsia="宋体" w:cs="Times New Roman"/>
              <w:bCs/>
              <w:szCs w:val="24"/>
              <w:lang w:val="zh-CN"/>
            </w:rPr>
            <w:fldChar w:fldCharType="separate"/>
          </w:r>
          <w:r>
            <w:rPr>
              <w:rFonts w:hint="eastAsia" w:ascii="黑体" w:hAnsi="黑体" w:eastAsia="黑体" w:cs="黑体"/>
              <w:szCs w:val="52"/>
            </w:rPr>
            <w:t>重点排放单位温室气体排放监测数据质量评价计量技术规范</w:t>
          </w:r>
          <w:r>
            <w:tab/>
          </w:r>
          <w:r>
            <w:fldChar w:fldCharType="begin"/>
          </w:r>
          <w:r>
            <w:instrText xml:space="preserve"> PAGEREF _Toc3799 \h </w:instrText>
          </w:r>
          <w:r>
            <w:fldChar w:fldCharType="separate"/>
          </w:r>
          <w:r>
            <w:t>1</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_Toc7745 </w:instrText>
          </w:r>
          <w:r>
            <w:rPr>
              <w:rFonts w:ascii="Times New Roman" w:hAnsi="Times New Roman" w:eastAsia="宋体" w:cs="Times New Roman"/>
              <w:bCs/>
              <w:szCs w:val="24"/>
              <w:lang w:val="zh-CN"/>
            </w:rPr>
            <w:fldChar w:fldCharType="separate"/>
          </w:r>
          <w:r>
            <w:rPr>
              <w:rFonts w:hint="eastAsia"/>
              <w:lang w:eastAsia="zh-CN"/>
            </w:rPr>
            <w:t>前言</w:t>
          </w:r>
          <w:r>
            <w:tab/>
          </w:r>
          <w:r>
            <w:fldChar w:fldCharType="begin"/>
          </w:r>
          <w:r>
            <w:instrText xml:space="preserve"> PAGEREF _Toc7745 \h </w:instrText>
          </w:r>
          <w:r>
            <w:fldChar w:fldCharType="separate"/>
          </w:r>
          <w:r>
            <w:t>4</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_Toc28263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1 </w:t>
          </w:r>
          <w:r>
            <w:rPr>
              <w:rFonts w:hint="eastAsia" w:ascii="黑体" w:hAnsi="黑体" w:eastAsia="黑体" w:cs="黑体"/>
              <w:szCs w:val="24"/>
              <w:lang w:val="en-US" w:eastAsia="zh-CN"/>
            </w:rPr>
            <w:t>范围</w:t>
          </w:r>
          <w:r>
            <w:tab/>
          </w:r>
          <w:r>
            <w:fldChar w:fldCharType="begin"/>
          </w:r>
          <w:r>
            <w:instrText xml:space="preserve"> PAGEREF _Toc28263 \h </w:instrText>
          </w:r>
          <w:r>
            <w:fldChar w:fldCharType="separate"/>
          </w:r>
          <w:r>
            <w:t>5</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_Toc820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2 </w:t>
          </w:r>
          <w:r>
            <w:rPr>
              <w:rFonts w:hint="eastAsia" w:ascii="黑体" w:hAnsi="黑体" w:eastAsia="黑体" w:cs="黑体"/>
              <w:szCs w:val="24"/>
              <w:lang w:val="en-US" w:eastAsia="zh-CN"/>
            </w:rPr>
            <w:t>规范性引用文件</w:t>
          </w:r>
          <w:r>
            <w:tab/>
          </w:r>
          <w:r>
            <w:fldChar w:fldCharType="begin"/>
          </w:r>
          <w:r>
            <w:instrText xml:space="preserve"> PAGEREF _Toc820 \h </w:instrText>
          </w:r>
          <w:r>
            <w:fldChar w:fldCharType="separate"/>
          </w:r>
          <w:r>
            <w:t>5</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_Toc29631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3 </w:t>
          </w:r>
          <w:r>
            <w:rPr>
              <w:rFonts w:hint="eastAsia" w:ascii="黑体" w:hAnsi="黑体" w:eastAsia="黑体" w:cs="黑体"/>
              <w:szCs w:val="24"/>
              <w:lang w:val="en-US" w:eastAsia="zh-CN"/>
            </w:rPr>
            <w:t>术语与定义</w:t>
          </w:r>
          <w:r>
            <w:tab/>
          </w:r>
          <w:r>
            <w:fldChar w:fldCharType="begin"/>
          </w:r>
          <w:r>
            <w:instrText xml:space="preserve"> PAGEREF _Toc29631 \h </w:instrText>
          </w:r>
          <w:r>
            <w:fldChar w:fldCharType="separate"/>
          </w:r>
          <w:r>
            <w:t>5</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_Toc6459 </w:instrText>
          </w:r>
          <w:r>
            <w:rPr>
              <w:rFonts w:ascii="Times New Roman" w:hAnsi="Times New Roman" w:eastAsia="宋体" w:cs="Times New Roman"/>
              <w:bCs/>
              <w:szCs w:val="24"/>
              <w:lang w:val="zh-CN"/>
            </w:rPr>
            <w:fldChar w:fldCharType="separate"/>
          </w:r>
          <w:r>
            <w:rPr>
              <w:rFonts w:hint="eastAsia" w:ascii="宋体" w:hAnsi="宋体" w:eastAsia="宋体" w:cs="宋体"/>
              <w:bCs/>
              <w:szCs w:val="24"/>
              <w:lang w:val="en-US" w:eastAsia="zh-CN"/>
            </w:rPr>
            <w:t>（1） 温室气体</w:t>
          </w:r>
          <w:r>
            <w:tab/>
          </w:r>
          <w:r>
            <w:fldChar w:fldCharType="begin"/>
          </w:r>
          <w:r>
            <w:instrText xml:space="preserve"> PAGEREF _Toc6459 \h </w:instrText>
          </w:r>
          <w:r>
            <w:fldChar w:fldCharType="separate"/>
          </w:r>
          <w:r>
            <w:t>5</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_Toc30618 </w:instrText>
          </w:r>
          <w:r>
            <w:rPr>
              <w:rFonts w:ascii="Times New Roman" w:hAnsi="Times New Roman" w:eastAsia="宋体" w:cs="Times New Roman"/>
              <w:bCs/>
              <w:szCs w:val="24"/>
              <w:lang w:val="zh-CN"/>
            </w:rPr>
            <w:fldChar w:fldCharType="separate"/>
          </w:r>
          <w:r>
            <w:rPr>
              <w:rFonts w:hint="default" w:ascii="宋体" w:hAnsi="宋体" w:eastAsia="宋体" w:cs="宋体"/>
              <w:bCs/>
              <w:szCs w:val="24"/>
              <w:lang w:val="en-US" w:eastAsia="zh-CN"/>
            </w:rPr>
            <w:t xml:space="preserve">（2） </w:t>
          </w:r>
          <w:r>
            <w:rPr>
              <w:rFonts w:hint="eastAsia" w:ascii="宋体" w:hAnsi="宋体" w:eastAsia="宋体" w:cs="宋体"/>
              <w:kern w:val="2"/>
              <w:szCs w:val="24"/>
              <w:lang w:val="en-US" w:eastAsia="zh-CN" w:bidi="ar"/>
            </w:rPr>
            <w:t>核算边界</w:t>
          </w:r>
          <w:r>
            <w:tab/>
          </w:r>
          <w:r>
            <w:fldChar w:fldCharType="begin"/>
          </w:r>
          <w:r>
            <w:instrText xml:space="preserve"> PAGEREF _Toc30618 \h </w:instrText>
          </w:r>
          <w:r>
            <w:fldChar w:fldCharType="separate"/>
          </w:r>
          <w:r>
            <w:t>6</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_Toc4985 </w:instrText>
          </w:r>
          <w:r>
            <w:rPr>
              <w:rFonts w:ascii="Times New Roman" w:hAnsi="Times New Roman" w:eastAsia="宋体" w:cs="Times New Roman"/>
              <w:bCs/>
              <w:szCs w:val="24"/>
              <w:lang w:val="zh-CN"/>
            </w:rPr>
            <w:fldChar w:fldCharType="separate"/>
          </w:r>
          <w:r>
            <w:rPr>
              <w:rFonts w:hint="default" w:ascii="宋体" w:hAnsi="宋体" w:eastAsia="宋体" w:cs="宋体"/>
              <w:bCs/>
              <w:szCs w:val="24"/>
              <w:lang w:val="en-US" w:eastAsia="zh-CN"/>
            </w:rPr>
            <w:t xml:space="preserve">（3） </w:t>
          </w:r>
          <w:r>
            <w:rPr>
              <w:rFonts w:hint="eastAsia" w:ascii="宋体" w:hAnsi="宋体" w:eastAsia="宋体" w:cs="宋体"/>
              <w:bCs/>
              <w:szCs w:val="24"/>
              <w:lang w:val="en-US" w:eastAsia="zh-CN"/>
            </w:rPr>
            <w:t>排放源</w:t>
          </w:r>
          <w:r>
            <w:tab/>
          </w:r>
          <w:r>
            <w:fldChar w:fldCharType="begin"/>
          </w:r>
          <w:r>
            <w:instrText xml:space="preserve"> PAGEREF _Toc4985 \h </w:instrText>
          </w:r>
          <w:r>
            <w:fldChar w:fldCharType="separate"/>
          </w:r>
          <w:r>
            <w:t>6</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_Toc28831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4 </w:t>
          </w:r>
          <w:r>
            <w:rPr>
              <w:rFonts w:hint="eastAsia" w:ascii="黑体" w:hAnsi="黑体" w:eastAsia="黑体" w:cs="黑体"/>
              <w:szCs w:val="24"/>
              <w:lang w:val="en-US" w:eastAsia="zh-CN"/>
            </w:rPr>
            <w:t>碳信息管理</w:t>
          </w:r>
          <w:r>
            <w:tab/>
          </w:r>
          <w:r>
            <w:fldChar w:fldCharType="begin"/>
          </w:r>
          <w:r>
            <w:instrText xml:space="preserve"> PAGEREF _Toc28831 \h </w:instrText>
          </w:r>
          <w:r>
            <w:fldChar w:fldCharType="separate"/>
          </w:r>
          <w:r>
            <w:t>6</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_Toc1492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4.1 重点排放单位基本信息</w:t>
          </w:r>
          <w:r>
            <w:tab/>
          </w:r>
          <w:r>
            <w:fldChar w:fldCharType="begin"/>
          </w:r>
          <w:r>
            <w:instrText xml:space="preserve"> PAGEREF _Toc1492 \h </w:instrText>
          </w:r>
          <w:r>
            <w:fldChar w:fldCharType="separate"/>
          </w:r>
          <w:r>
            <w:t>6</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_Toc17263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4.2碳计量器具信息</w:t>
          </w:r>
          <w:r>
            <w:tab/>
          </w:r>
          <w:r>
            <w:fldChar w:fldCharType="begin"/>
          </w:r>
          <w:r>
            <w:instrText xml:space="preserve"> PAGEREF _Toc17263 \h </w:instrText>
          </w:r>
          <w:r>
            <w:fldChar w:fldCharType="separate"/>
          </w:r>
          <w:r>
            <w:t>7</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_Toc18779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4.</w:t>
          </w:r>
          <w:r>
            <w:rPr>
              <w:rFonts w:hint="eastAsia" w:ascii="黑体" w:hAnsi="黑体" w:cs="黑体"/>
              <w:szCs w:val="24"/>
              <w:lang w:val="en-US" w:eastAsia="zh-CN"/>
            </w:rPr>
            <w:t>3</w:t>
          </w:r>
          <w:r>
            <w:rPr>
              <w:rFonts w:hint="eastAsia" w:ascii="黑体" w:hAnsi="黑体" w:eastAsia="黑体" w:cs="黑体"/>
              <w:szCs w:val="24"/>
              <w:lang w:val="en-US" w:eastAsia="zh-CN"/>
            </w:rPr>
            <w:t xml:space="preserve"> </w:t>
          </w:r>
          <w:r>
            <w:rPr>
              <w:rFonts w:hint="eastAsia" w:ascii="黑体" w:hAnsi="黑体" w:cs="黑体"/>
              <w:szCs w:val="24"/>
              <w:lang w:val="en-US" w:eastAsia="zh-CN"/>
            </w:rPr>
            <w:t>碳监测数据验证信息</w:t>
          </w:r>
          <w:r>
            <w:tab/>
          </w:r>
          <w:r>
            <w:fldChar w:fldCharType="begin"/>
          </w:r>
          <w:r>
            <w:instrText xml:space="preserve"> PAGEREF _Toc18779 \h </w:instrText>
          </w:r>
          <w:r>
            <w:fldChar w:fldCharType="separate"/>
          </w:r>
          <w:r>
            <w:t>8</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_Toc6154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5 </w:t>
          </w:r>
          <w:r>
            <w:rPr>
              <w:rFonts w:hint="eastAsia" w:ascii="黑体" w:hAnsi="黑体" w:eastAsia="黑体" w:cs="黑体"/>
              <w:szCs w:val="24"/>
              <w:lang w:val="en-US" w:eastAsia="zh-CN"/>
            </w:rPr>
            <w:t>碳排放数据监测</w:t>
          </w:r>
          <w:r>
            <w:tab/>
          </w:r>
          <w:r>
            <w:fldChar w:fldCharType="begin"/>
          </w:r>
          <w:r>
            <w:instrText xml:space="preserve"> PAGEREF _Toc6154 \h </w:instrText>
          </w:r>
          <w:r>
            <w:fldChar w:fldCharType="separate"/>
          </w:r>
          <w:r>
            <w:t>9</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_Toc29848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5.1</w:t>
          </w:r>
          <w:r>
            <w:rPr>
              <w:rFonts w:hint="eastAsia" w:ascii="黑体" w:hAnsi="黑体" w:eastAsia="黑体" w:cs="黑体"/>
              <w:szCs w:val="24"/>
              <w:lang w:val="en-US" w:eastAsia="zh-CN"/>
            </w:rPr>
            <w:t xml:space="preserve"> </w:t>
          </w:r>
          <w:r>
            <w:rPr>
              <w:rFonts w:hint="eastAsia" w:ascii="黑体" w:hAnsi="黑体" w:cs="黑体"/>
              <w:szCs w:val="24"/>
              <w:lang w:val="en-US" w:eastAsia="zh-CN"/>
            </w:rPr>
            <w:t>数据监测</w:t>
          </w:r>
          <w:r>
            <w:tab/>
          </w:r>
          <w:r>
            <w:fldChar w:fldCharType="begin"/>
          </w:r>
          <w:r>
            <w:instrText xml:space="preserve"> PAGEREF _Toc29848 \h </w:instrText>
          </w:r>
          <w:r>
            <w:fldChar w:fldCharType="separate"/>
          </w:r>
          <w:r>
            <w:t>9</w:t>
          </w:r>
          <w:r>
            <w:fldChar w:fldCharType="end"/>
          </w:r>
          <w:r>
            <w:rPr>
              <w:rFonts w:ascii="Times New Roman" w:hAnsi="Times New Roman" w:eastAsia="宋体" w:cs="Times New Roman"/>
              <w:bCs/>
              <w:szCs w:val="24"/>
              <w:lang w:val="zh-CN"/>
            </w:rPr>
            <w:fldChar w:fldCharType="end"/>
          </w:r>
        </w:p>
        <w:p>
          <w:pPr>
            <w:pStyle w:val="9"/>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_Toc1870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5.1.1 监测原则</w:t>
          </w:r>
          <w:r>
            <w:tab/>
          </w:r>
          <w:r>
            <w:fldChar w:fldCharType="begin"/>
          </w:r>
          <w:r>
            <w:instrText xml:space="preserve"> PAGEREF _Toc1870 \h </w:instrText>
          </w:r>
          <w:r>
            <w:fldChar w:fldCharType="separate"/>
          </w:r>
          <w:r>
            <w:t>9</w:t>
          </w:r>
          <w:r>
            <w:fldChar w:fldCharType="end"/>
          </w:r>
          <w:r>
            <w:rPr>
              <w:rFonts w:ascii="Times New Roman" w:hAnsi="Times New Roman" w:eastAsia="宋体" w:cs="Times New Roman"/>
              <w:bCs/>
              <w:szCs w:val="24"/>
              <w:lang w:val="zh-CN"/>
            </w:rPr>
            <w:fldChar w:fldCharType="end"/>
          </w:r>
        </w:p>
        <w:p>
          <w:pPr>
            <w:pStyle w:val="9"/>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_Toc3966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5.1.2 监测范围</w:t>
          </w:r>
          <w:r>
            <w:tab/>
          </w:r>
          <w:r>
            <w:fldChar w:fldCharType="begin"/>
          </w:r>
          <w:r>
            <w:instrText xml:space="preserve"> PAGEREF _Toc3966 \h </w:instrText>
          </w:r>
          <w:r>
            <w:fldChar w:fldCharType="separate"/>
          </w:r>
          <w:r>
            <w:t>10</w:t>
          </w:r>
          <w:r>
            <w:fldChar w:fldCharType="end"/>
          </w:r>
          <w:r>
            <w:rPr>
              <w:rFonts w:ascii="Times New Roman" w:hAnsi="Times New Roman" w:eastAsia="宋体" w:cs="Times New Roman"/>
              <w:bCs/>
              <w:szCs w:val="24"/>
              <w:lang w:val="zh-CN"/>
            </w:rPr>
            <w:fldChar w:fldCharType="end"/>
          </w:r>
        </w:p>
        <w:p>
          <w:pPr>
            <w:pStyle w:val="9"/>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_Toc18858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5.1.3 监测方法</w:t>
          </w:r>
          <w:r>
            <w:tab/>
          </w:r>
          <w:r>
            <w:fldChar w:fldCharType="begin"/>
          </w:r>
          <w:r>
            <w:instrText xml:space="preserve"> PAGEREF _Toc18858 \h </w:instrText>
          </w:r>
          <w:r>
            <w:fldChar w:fldCharType="separate"/>
          </w:r>
          <w:r>
            <w:t>10</w:t>
          </w:r>
          <w:r>
            <w:fldChar w:fldCharType="end"/>
          </w:r>
          <w:r>
            <w:rPr>
              <w:rFonts w:ascii="Times New Roman" w:hAnsi="Times New Roman" w:eastAsia="宋体" w:cs="Times New Roman"/>
              <w:bCs/>
              <w:szCs w:val="24"/>
              <w:lang w:val="zh-CN"/>
            </w:rPr>
            <w:fldChar w:fldCharType="end"/>
          </w:r>
        </w:p>
        <w:p>
          <w:pPr>
            <w:pStyle w:val="9"/>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_Toc10208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5.1.4 监测频率</w:t>
          </w:r>
          <w:r>
            <w:tab/>
          </w:r>
          <w:r>
            <w:fldChar w:fldCharType="begin"/>
          </w:r>
          <w:r>
            <w:instrText xml:space="preserve"> PAGEREF _Toc10208 \h </w:instrText>
          </w:r>
          <w:r>
            <w:fldChar w:fldCharType="separate"/>
          </w:r>
          <w:r>
            <w:t>11</w:t>
          </w:r>
          <w:r>
            <w:fldChar w:fldCharType="end"/>
          </w:r>
          <w:r>
            <w:rPr>
              <w:rFonts w:ascii="Times New Roman" w:hAnsi="Times New Roman" w:eastAsia="宋体" w:cs="Times New Roman"/>
              <w:bCs/>
              <w:szCs w:val="24"/>
              <w:lang w:val="zh-CN"/>
            </w:rPr>
            <w:fldChar w:fldCharType="end"/>
          </w:r>
        </w:p>
        <w:p>
          <w:pPr>
            <w:pStyle w:val="9"/>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_Toc6205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5.1.5 监测设备</w:t>
          </w:r>
          <w:r>
            <w:tab/>
          </w:r>
          <w:r>
            <w:fldChar w:fldCharType="begin"/>
          </w:r>
          <w:r>
            <w:instrText xml:space="preserve"> PAGEREF _Toc6205 \h </w:instrText>
          </w:r>
          <w:r>
            <w:fldChar w:fldCharType="separate"/>
          </w:r>
          <w:r>
            <w:t>12</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_Toc21143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5.2 数据审核</w:t>
          </w:r>
          <w:r>
            <w:tab/>
          </w:r>
          <w:r>
            <w:fldChar w:fldCharType="begin"/>
          </w:r>
          <w:r>
            <w:instrText xml:space="preserve"> PAGEREF _Toc21143 \h </w:instrText>
          </w:r>
          <w:r>
            <w:fldChar w:fldCharType="separate"/>
          </w:r>
          <w:r>
            <w:t>13</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_Toc15340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5.3 数据上传</w:t>
          </w:r>
          <w:r>
            <w:tab/>
          </w:r>
          <w:r>
            <w:fldChar w:fldCharType="begin"/>
          </w:r>
          <w:r>
            <w:instrText xml:space="preserve"> PAGEREF _Toc15340 \h </w:instrText>
          </w:r>
          <w:r>
            <w:fldChar w:fldCharType="separate"/>
          </w:r>
          <w:r>
            <w:t>14</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_Toc18098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5.4 数据处理</w:t>
          </w:r>
          <w:r>
            <w:tab/>
          </w:r>
          <w:r>
            <w:fldChar w:fldCharType="begin"/>
          </w:r>
          <w:r>
            <w:instrText xml:space="preserve"> PAGEREF _Toc18098 \h </w:instrText>
          </w:r>
          <w:r>
            <w:fldChar w:fldCharType="separate"/>
          </w:r>
          <w:r>
            <w:t>14</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_Toc25150 </w:instrText>
          </w:r>
          <w:r>
            <w:rPr>
              <w:rFonts w:ascii="Times New Roman" w:hAnsi="Times New Roman" w:eastAsia="宋体" w:cs="Times New Roman"/>
              <w:bCs/>
              <w:szCs w:val="24"/>
              <w:lang w:val="zh-CN"/>
            </w:rPr>
            <w:fldChar w:fldCharType="separate"/>
          </w:r>
          <w:r>
            <w:rPr>
              <w:rFonts w:hint="eastAsia" w:ascii="黑体" w:hAnsi="黑体" w:cs="黑体"/>
              <w:szCs w:val="24"/>
              <w:lang w:val="en-US" w:eastAsia="zh-CN"/>
            </w:rPr>
            <w:t>5.5 数据存储及安全</w:t>
          </w:r>
          <w:r>
            <w:tab/>
          </w:r>
          <w:r>
            <w:fldChar w:fldCharType="begin"/>
          </w:r>
          <w:r>
            <w:instrText xml:space="preserve"> PAGEREF _Toc25150 \h </w:instrText>
          </w:r>
          <w:r>
            <w:fldChar w:fldCharType="separate"/>
          </w:r>
          <w:r>
            <w:t>15</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_Toc27507 </w:instrText>
          </w:r>
          <w:r>
            <w:rPr>
              <w:rFonts w:ascii="Times New Roman" w:hAnsi="Times New Roman" w:eastAsia="宋体" w:cs="Times New Roman"/>
              <w:bCs/>
              <w:szCs w:val="24"/>
              <w:lang w:val="zh-CN"/>
            </w:rPr>
            <w:fldChar w:fldCharType="separate"/>
          </w:r>
          <w:r>
            <w:rPr>
              <w:rFonts w:hint="default" w:ascii="黑体" w:hAnsi="黑体" w:eastAsia="黑体" w:cs="黑体"/>
              <w:szCs w:val="24"/>
              <w:lang w:val="en-US" w:eastAsia="zh-CN"/>
            </w:rPr>
            <w:t xml:space="preserve">6 </w:t>
          </w:r>
          <w:r>
            <w:rPr>
              <w:rFonts w:hint="eastAsia" w:ascii="黑体" w:hAnsi="黑体" w:eastAsia="黑体" w:cs="黑体"/>
              <w:szCs w:val="24"/>
              <w:lang w:val="en-US" w:eastAsia="zh-CN"/>
            </w:rPr>
            <w:t>碳排放数据质量评价方法</w:t>
          </w:r>
          <w:r>
            <w:tab/>
          </w:r>
          <w:r>
            <w:fldChar w:fldCharType="begin"/>
          </w:r>
          <w:r>
            <w:instrText xml:space="preserve"> PAGEREF _Toc27507 \h </w:instrText>
          </w:r>
          <w:r>
            <w:fldChar w:fldCharType="separate"/>
          </w:r>
          <w:r>
            <w:t>15</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_Toc19962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6.1 评价计算方式</w:t>
          </w:r>
          <w:r>
            <w:tab/>
          </w:r>
          <w:r>
            <w:fldChar w:fldCharType="begin"/>
          </w:r>
          <w:r>
            <w:instrText xml:space="preserve"> PAGEREF _Toc19962 \h </w:instrText>
          </w:r>
          <w:r>
            <w:fldChar w:fldCharType="separate"/>
          </w:r>
          <w:r>
            <w:t>15</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_Toc14051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6.2评价结论</w:t>
          </w:r>
          <w:r>
            <w:tab/>
          </w:r>
          <w:r>
            <w:fldChar w:fldCharType="begin"/>
          </w:r>
          <w:r>
            <w:instrText xml:space="preserve"> PAGEREF _Toc14051 \h </w:instrText>
          </w:r>
          <w:r>
            <w:fldChar w:fldCharType="separate"/>
          </w:r>
          <w:r>
            <w:t>18</w:t>
          </w:r>
          <w:r>
            <w:fldChar w:fldCharType="end"/>
          </w:r>
          <w:r>
            <w:rPr>
              <w:rFonts w:ascii="Times New Roman" w:hAnsi="Times New Roman" w:eastAsia="宋体" w:cs="Times New Roman"/>
              <w:bCs/>
              <w:szCs w:val="24"/>
              <w:lang w:val="zh-CN"/>
            </w:rPr>
            <w:fldChar w:fldCharType="end"/>
          </w:r>
        </w:p>
        <w:p>
          <w:pPr>
            <w:pStyle w:val="16"/>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_Toc27102 </w:instrText>
          </w:r>
          <w:r>
            <w:rPr>
              <w:rFonts w:ascii="Times New Roman" w:hAnsi="Times New Roman" w:eastAsia="宋体" w:cs="Times New Roman"/>
              <w:bCs/>
              <w:szCs w:val="24"/>
              <w:lang w:val="zh-CN"/>
            </w:rPr>
            <w:fldChar w:fldCharType="separate"/>
          </w:r>
          <w:r>
            <w:rPr>
              <w:rFonts w:hint="eastAsia" w:ascii="黑体" w:hAnsi="黑体" w:eastAsia="黑体" w:cs="黑体"/>
              <w:szCs w:val="24"/>
              <w:lang w:val="en-US" w:eastAsia="zh-CN"/>
            </w:rPr>
            <w:t>6.3评价变化分析</w:t>
          </w:r>
          <w:r>
            <w:tab/>
          </w:r>
          <w:r>
            <w:fldChar w:fldCharType="begin"/>
          </w:r>
          <w:r>
            <w:instrText xml:space="preserve"> PAGEREF _Toc27102 \h </w:instrText>
          </w:r>
          <w:r>
            <w:fldChar w:fldCharType="separate"/>
          </w:r>
          <w:r>
            <w:t>18</w:t>
          </w:r>
          <w:r>
            <w:fldChar w:fldCharType="end"/>
          </w:r>
          <w:r>
            <w:rPr>
              <w:rFonts w:ascii="Times New Roman" w:hAnsi="Times New Roman" w:eastAsia="宋体" w:cs="Times New Roman"/>
              <w:bCs/>
              <w:szCs w:val="24"/>
              <w:lang w:val="zh-CN"/>
            </w:rPr>
            <w:fldChar w:fldCharType="end"/>
          </w:r>
        </w:p>
        <w:p>
          <w:pPr>
            <w:pStyle w:val="15"/>
            <w:tabs>
              <w:tab w:val="right" w:leader="dot" w:pos="8748"/>
            </w:tabs>
          </w:pPr>
          <w:r>
            <w:rPr>
              <w:rFonts w:ascii="Times New Roman" w:hAnsi="Times New Roman" w:eastAsia="宋体" w:cs="Times New Roman"/>
              <w:bCs/>
              <w:szCs w:val="24"/>
              <w:lang w:val="zh-CN"/>
            </w:rPr>
            <w:fldChar w:fldCharType="begin"/>
          </w:r>
          <w:r>
            <w:rPr>
              <w:rFonts w:ascii="Times New Roman" w:hAnsi="Times New Roman" w:eastAsia="宋体" w:cs="Times New Roman"/>
              <w:bCs/>
              <w:szCs w:val="24"/>
              <w:lang w:val="zh-CN"/>
            </w:rPr>
            <w:instrText xml:space="preserve"> HYPERLINK \l _Toc27195 </w:instrText>
          </w:r>
          <w:r>
            <w:rPr>
              <w:rFonts w:ascii="Times New Roman" w:hAnsi="Times New Roman" w:eastAsia="宋体" w:cs="Times New Roman"/>
              <w:bCs/>
              <w:szCs w:val="24"/>
              <w:lang w:val="zh-CN"/>
            </w:rPr>
            <w:fldChar w:fldCharType="separate"/>
          </w:r>
          <w:r>
            <w:rPr>
              <w:rFonts w:hint="eastAsia" w:ascii="黑体" w:hAnsi="黑体" w:eastAsia="黑体" w:cs="黑体"/>
              <w:szCs w:val="32"/>
              <w:lang w:val="en-US" w:eastAsia="zh-CN"/>
            </w:rPr>
            <w:t>附录</w:t>
          </w:r>
          <w:r>
            <w:tab/>
          </w:r>
          <w:r>
            <w:fldChar w:fldCharType="begin"/>
          </w:r>
          <w:r>
            <w:instrText xml:space="preserve"> PAGEREF _Toc27195 \h </w:instrText>
          </w:r>
          <w:r>
            <w:fldChar w:fldCharType="separate"/>
          </w:r>
          <w:r>
            <w:t>20</w:t>
          </w:r>
          <w:r>
            <w:fldChar w:fldCharType="end"/>
          </w:r>
          <w:r>
            <w:rPr>
              <w:rFonts w:ascii="Times New Roman" w:hAnsi="Times New Roman" w:eastAsia="宋体" w:cs="Times New Roman"/>
              <w:bCs/>
              <w:szCs w:val="24"/>
              <w:lang w:val="zh-CN"/>
            </w:rPr>
            <w:fldChar w:fldCharType="end"/>
          </w:r>
        </w:p>
        <w:p>
          <w:pPr>
            <w:spacing w:before="0" w:beforeLines="0" w:after="0" w:afterLines="0" w:line="240" w:lineRule="auto"/>
            <w:ind w:left="0" w:leftChars="0" w:right="0" w:rightChars="0" w:firstLine="0" w:firstLineChars="0"/>
            <w:jc w:val="center"/>
            <w:rPr>
              <w:rFonts w:ascii="Times New Roman" w:hAnsi="Times New Roman" w:cs="Times New Roman"/>
            </w:rPr>
          </w:pPr>
          <w:r>
            <w:rPr>
              <w:rFonts w:ascii="Times New Roman" w:hAnsi="Times New Roman" w:eastAsia="宋体" w:cs="Times New Roman"/>
              <w:bCs/>
              <w:sz w:val="24"/>
              <w:szCs w:val="24"/>
              <w:lang w:val="zh-CN"/>
            </w:rPr>
            <w:fldChar w:fldCharType="end"/>
          </w:r>
        </w:p>
      </w:sdtContent>
    </w:sdt>
    <w:p>
      <w:pPr>
        <w:pStyle w:val="10"/>
        <w:rPr>
          <w:rFonts w:ascii="Times New Roman" w:hAnsi="Times New Roman"/>
          <w:color w:val="000000"/>
          <w:sz w:val="28"/>
        </w:rPr>
      </w:pPr>
    </w:p>
    <w:p>
      <w:pPr>
        <w:pStyle w:val="10"/>
        <w:rPr>
          <w:rFonts w:ascii="Times New Roman" w:hAnsi="Times New Roman"/>
          <w:color w:val="000000"/>
          <w:sz w:val="28"/>
        </w:rPr>
      </w:pPr>
    </w:p>
    <w:p>
      <w:pPr>
        <w:pStyle w:val="10"/>
        <w:rPr>
          <w:rFonts w:ascii="Times New Roman" w:hAnsi="Times New Roman"/>
          <w:color w:val="000000"/>
          <w:sz w:val="28"/>
        </w:rPr>
      </w:pPr>
    </w:p>
    <w:p>
      <w:pPr>
        <w:pageBreakBefore w:val="0"/>
        <w:widowControl/>
        <w:kinsoku/>
        <w:wordWrap/>
        <w:overflowPunct/>
        <w:topLinePunct w:val="0"/>
        <w:autoSpaceDE/>
        <w:autoSpaceDN/>
        <w:bidi w:val="0"/>
        <w:adjustRightInd/>
        <w:snapToGrid/>
        <w:spacing w:line="580" w:lineRule="exact"/>
        <w:ind w:leftChars="0"/>
        <w:jc w:val="center"/>
        <w:textAlignment w:val="auto"/>
        <w:rPr>
          <w:rStyle w:val="23"/>
          <w:rFonts w:hint="eastAsia"/>
          <w:lang w:eastAsia="zh-CN"/>
        </w:rPr>
      </w:pPr>
      <w:r>
        <w:rPr>
          <w:rFonts w:ascii="Times New Roman" w:hAnsi="Times New Roman" w:cs="Times New Roman"/>
          <w:color w:val="000000"/>
          <w:sz w:val="28"/>
        </w:rPr>
        <w:br w:type="page"/>
      </w:r>
      <w:bookmarkStart w:id="11" w:name="_Toc7745"/>
      <w:r>
        <w:rPr>
          <w:rStyle w:val="23"/>
          <w:rFonts w:hint="eastAsia"/>
          <w:lang w:eastAsia="zh-CN"/>
        </w:rPr>
        <w:t>前言</w:t>
      </w:r>
    </w:p>
    <w:bookmarkEnd w:id="11"/>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zh-CN" w:eastAsia="zh-CN"/>
        </w:rPr>
        <w:t>本文件按照</w:t>
      </w:r>
      <w:r>
        <w:rPr>
          <w:rFonts w:hint="eastAsia" w:ascii="宋体" w:hAnsi="宋体" w:eastAsia="宋体" w:cs="宋体"/>
          <w:b w:val="0"/>
          <w:bCs/>
          <w:sz w:val="24"/>
          <w:szCs w:val="24"/>
          <w:lang w:val="en-US" w:eastAsia="zh-CN"/>
        </w:rPr>
        <w:t>GB/T 1.1-2020《标准化工作导则 第1部分：标准化文件的结构和起草规则》的规定起草。</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本文件由内蒙古自治区计量测试研究院提出。</w:t>
      </w:r>
    </w:p>
    <w:p>
      <w:pPr>
        <w:spacing w:line="360" w:lineRule="auto"/>
        <w:ind w:firstLine="420" w:firstLineChars="0"/>
        <w:rPr>
          <w:rFonts w:hint="eastAsia" w:ascii="宋体" w:hAnsi="宋体" w:eastAsia="宋体" w:cs="宋体"/>
          <w:b w:val="0"/>
          <w:bCs/>
          <w:sz w:val="24"/>
          <w:szCs w:val="24"/>
          <w:lang w:val="zh-CN" w:eastAsia="zh-CN"/>
        </w:rPr>
      </w:pPr>
      <w:r>
        <w:rPr>
          <w:rFonts w:hint="eastAsia" w:ascii="宋体" w:hAnsi="宋体" w:eastAsia="宋体" w:cs="宋体"/>
          <w:b w:val="0"/>
          <w:bCs/>
          <w:sz w:val="24"/>
          <w:szCs w:val="24"/>
          <w:lang w:val="en-US" w:eastAsia="zh-CN"/>
        </w:rPr>
        <w:t>本文件由</w:t>
      </w:r>
      <w:r>
        <w:rPr>
          <w:rFonts w:hint="eastAsia" w:ascii="宋体" w:hAnsi="宋体" w:eastAsia="宋体" w:cs="宋体"/>
          <w:b w:val="0"/>
          <w:bCs/>
          <w:sz w:val="24"/>
          <w:szCs w:val="24"/>
          <w:lang w:val="zh-CN" w:eastAsia="zh-CN"/>
        </w:rPr>
        <w:t>全国碳达峰碳中和计量技术委员会碳排放量计量分技术委员会归口。</w:t>
      </w:r>
    </w:p>
    <w:p>
      <w:pPr>
        <w:spacing w:line="360" w:lineRule="auto"/>
        <w:ind w:firstLine="420" w:firstLineChars="0"/>
        <w:rPr>
          <w:rFonts w:hint="eastAsia" w:ascii="宋体" w:hAnsi="宋体" w:eastAsia="宋体" w:cs="宋体"/>
          <w:b w:val="0"/>
          <w:bCs/>
          <w:sz w:val="24"/>
          <w:szCs w:val="24"/>
          <w:lang w:val="zh-CN" w:eastAsia="zh-CN"/>
        </w:rPr>
      </w:pPr>
      <w:r>
        <w:rPr>
          <w:rFonts w:hint="eastAsia" w:ascii="宋体" w:hAnsi="宋体" w:eastAsia="宋体" w:cs="宋体"/>
          <w:b w:val="0"/>
          <w:bCs/>
          <w:sz w:val="24"/>
          <w:szCs w:val="24"/>
          <w:lang w:val="zh-CN" w:eastAsia="zh-CN"/>
        </w:rPr>
        <w:t>本文件起草单位：内蒙古自治区计量测试研究院、中国计量科学研究院、福建省计量科学研究院、广东省计量科学研究院、山东省计量科学研究院</w:t>
      </w:r>
    </w:p>
    <w:p>
      <w:pPr>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br w:type="page"/>
      </w: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12" w:name="_Toc28263"/>
      <w:r>
        <w:rPr>
          <w:rFonts w:hint="eastAsia" w:ascii="黑体" w:hAnsi="黑体" w:eastAsia="黑体" w:cs="黑体"/>
          <w:b/>
          <w:sz w:val="24"/>
          <w:szCs w:val="24"/>
          <w:lang w:val="en-US" w:eastAsia="zh-CN"/>
        </w:rPr>
        <w:t>范围</w:t>
      </w:r>
      <w:bookmarkEnd w:id="12"/>
    </w:p>
    <w:p>
      <w:p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本文件规定了重点排放单位碳排放数据监测管理、碳信息管理和碳排放数据质量评价方法。</w:t>
      </w:r>
    </w:p>
    <w:p>
      <w:p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本规范适用于重点排放单位碳排放数据质量的流程化评价管理。企业可按照本文件提供的方法监测、审核温室气体排放量，并编制企业温室气体排放报告。</w:t>
      </w: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13" w:name="_Toc820"/>
      <w:r>
        <w:rPr>
          <w:rFonts w:hint="eastAsia" w:ascii="黑体" w:hAnsi="黑体" w:eastAsia="黑体" w:cs="黑体"/>
          <w:b/>
          <w:sz w:val="24"/>
          <w:szCs w:val="24"/>
          <w:lang w:val="en-US" w:eastAsia="zh-CN"/>
        </w:rPr>
        <w:t>规范性引用文件</w:t>
      </w:r>
      <w:bookmarkEnd w:id="13"/>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本规范引用了以下文件：</w:t>
      </w:r>
    </w:p>
    <w:p>
      <w:pPr>
        <w:spacing w:line="360" w:lineRule="auto"/>
        <w:ind w:firstLine="420" w:firstLineChars="0"/>
        <w:rPr>
          <w:rFonts w:hint="eastAsia" w:ascii="宋体" w:hAnsi="宋体" w:eastAsia="宋体" w:cs="宋体"/>
          <w:b w:val="0"/>
          <w:bCs/>
          <w:sz w:val="24"/>
          <w:szCs w:val="24"/>
          <w:lang w:val="en-US" w:eastAsia="zh-CN"/>
        </w:rPr>
      </w:pPr>
      <w:bookmarkStart w:id="14" w:name="_Toc7894"/>
      <w:r>
        <w:rPr>
          <w:rFonts w:hint="eastAsia" w:ascii="宋体" w:hAnsi="宋体" w:eastAsia="宋体" w:cs="宋体"/>
          <w:b w:val="0"/>
          <w:bCs/>
          <w:sz w:val="24"/>
          <w:szCs w:val="24"/>
          <w:lang w:val="en-US" w:eastAsia="zh-CN"/>
        </w:rPr>
        <w:t>JJF 1001 通用计量术语及定义</w:t>
      </w:r>
      <w:bookmarkEnd w:id="14"/>
    </w:p>
    <w:p>
      <w:pPr>
        <w:spacing w:line="360" w:lineRule="auto"/>
        <w:ind w:firstLine="420" w:firstLineChars="0"/>
        <w:rPr>
          <w:rFonts w:hint="eastAsia" w:ascii="宋体" w:hAnsi="宋体" w:eastAsia="宋体" w:cs="宋体"/>
          <w:b w:val="0"/>
          <w:bCs/>
          <w:sz w:val="24"/>
          <w:szCs w:val="24"/>
          <w:lang w:val="en-US" w:eastAsia="zh-CN"/>
        </w:rPr>
      </w:pPr>
      <w:bookmarkStart w:id="15" w:name="_Hlk151211520"/>
      <w:bookmarkStart w:id="52" w:name="_GoBack"/>
      <w:bookmarkEnd w:id="52"/>
      <w:r>
        <w:rPr>
          <w:rFonts w:hint="eastAsia" w:ascii="宋体" w:hAnsi="宋体" w:eastAsia="宋体" w:cs="宋体"/>
          <w:b w:val="0"/>
          <w:bCs/>
          <w:sz w:val="24"/>
          <w:szCs w:val="24"/>
          <w:lang w:val="en-US" w:eastAsia="zh-CN"/>
        </w:rPr>
        <w:t>JJF 1071 国家计量校准规范编写规则</w:t>
      </w:r>
    </w:p>
    <w:bookmarkEnd w:id="15"/>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195 连续累计自动衡器（皮带秤）检定规程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225 热能表检定规程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539 数字指示秤检定规程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596 电子式交流电能表检定规程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635 一氧化碳、二氧化碳红外气体分析器检定规程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640 差压式流量计检定规程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667 液体容积式流量计检定规程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968 烟气分析仪检定规程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JJG 1187 直流标准电能表检定规程</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GB/T 11062 天然气发热量、密度、相对密度和沃泊指数的计算方法</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GB/T 32150 工业企业温室气体排放核算和报告通则</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GB/T 32151.7 温室气体排放核算与报告要求</w:t>
      </w:r>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GB 17167 用能单位能源计量器具配备和管理通则</w:t>
      </w:r>
    </w:p>
    <w:p>
      <w:p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GB/T 34960.5-2018 信息技术服务 治理 第 5 部分：数据治理规范</w:t>
      </w:r>
    </w:p>
    <w:p>
      <w:p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GB/T 36073-2018 数据管理能力成熟度评估模型</w:t>
      </w:r>
    </w:p>
    <w:p>
      <w:p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GB/T 36344-2018 《信息技术 数据质量评价指标》</w:t>
      </w:r>
    </w:p>
    <w:p>
      <w:pPr>
        <w:rPr>
          <w:rFonts w:hint="eastAsia"/>
          <w:lang w:val="en-US" w:eastAsia="zh-CN"/>
        </w:rPr>
      </w:pP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16" w:name="_Toc29631"/>
      <w:r>
        <w:rPr>
          <w:rFonts w:hint="eastAsia" w:ascii="黑体" w:hAnsi="黑体" w:eastAsia="黑体" w:cs="黑体"/>
          <w:b/>
          <w:sz w:val="24"/>
          <w:szCs w:val="24"/>
          <w:lang w:val="en-US" w:eastAsia="zh-CN"/>
        </w:rPr>
        <w:t>术语与定义</w:t>
      </w:r>
      <w:bookmarkEnd w:id="16"/>
    </w:p>
    <w:p>
      <w:pPr>
        <w:numPr>
          <w:ilvl w:val="0"/>
          <w:numId w:val="2"/>
        </w:numPr>
        <w:spacing w:line="360" w:lineRule="auto"/>
        <w:ind w:firstLine="420" w:firstLineChars="0"/>
        <w:outlineLvl w:val="1"/>
        <w:rPr>
          <w:rFonts w:hint="eastAsia" w:ascii="宋体" w:hAnsi="宋体" w:eastAsia="宋体" w:cs="宋体"/>
          <w:b w:val="0"/>
          <w:bCs/>
          <w:sz w:val="24"/>
          <w:szCs w:val="24"/>
          <w:lang w:val="en-US" w:eastAsia="zh-CN"/>
        </w:rPr>
      </w:pPr>
      <w:bookmarkStart w:id="17" w:name="_Toc6459"/>
      <w:bookmarkStart w:id="18" w:name="_Toc31120"/>
      <w:bookmarkStart w:id="19" w:name="_Toc19318"/>
      <w:r>
        <w:rPr>
          <w:rFonts w:hint="eastAsia" w:ascii="宋体" w:hAnsi="宋体" w:eastAsia="宋体" w:cs="宋体"/>
          <w:b w:val="0"/>
          <w:bCs/>
          <w:sz w:val="24"/>
          <w:szCs w:val="24"/>
          <w:lang w:val="en-US" w:eastAsia="zh-CN"/>
        </w:rPr>
        <w:t>温室气体</w:t>
      </w:r>
      <w:bookmarkEnd w:id="17"/>
      <w:bookmarkEnd w:id="18"/>
      <w:bookmarkEnd w:id="19"/>
    </w:p>
    <w:p>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大气层中自然存在的和由于人类活动产生的能够吸收和散发由地球表面、大气层和云层所产生的、波长在红外光谱内的辐射的气态成分。</w:t>
      </w:r>
    </w:p>
    <w:p>
      <w:pPr>
        <w:spacing w:line="360" w:lineRule="auto"/>
        <w:ind w:firstLine="420" w:firstLineChars="0"/>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[GB/T 32150-2015</w:t>
      </w:r>
      <w:r>
        <w:rPr>
          <w:rFonts w:hint="eastAsia" w:ascii="宋体" w:hAnsi="宋体" w:eastAsia="宋体" w:cs="宋体"/>
          <w:b w:val="0"/>
          <w:bCs/>
          <w:sz w:val="24"/>
          <w:szCs w:val="24"/>
          <w:lang w:val="en-US" w:eastAsia="zh-CN"/>
        </w:rPr>
        <w:t>，定义</w:t>
      </w:r>
      <w:r>
        <w:rPr>
          <w:rFonts w:hint="default" w:ascii="宋体" w:hAnsi="宋体" w:eastAsia="宋体" w:cs="宋体"/>
          <w:b w:val="0"/>
          <w:bCs/>
          <w:sz w:val="24"/>
          <w:szCs w:val="24"/>
          <w:lang w:val="en-US" w:eastAsia="zh-CN"/>
        </w:rPr>
        <w:t>3.1]</w:t>
      </w:r>
    </w:p>
    <w:p>
      <w:pPr>
        <w:numPr>
          <w:ilvl w:val="0"/>
          <w:numId w:val="2"/>
        </w:numPr>
        <w:spacing w:line="360" w:lineRule="auto"/>
        <w:ind w:firstLine="420" w:firstLineChars="0"/>
        <w:outlineLvl w:val="1"/>
        <w:rPr>
          <w:rFonts w:hint="default" w:ascii="宋体" w:hAnsi="宋体" w:eastAsia="宋体" w:cs="宋体"/>
          <w:b w:val="0"/>
          <w:bCs/>
          <w:sz w:val="24"/>
          <w:szCs w:val="24"/>
          <w:lang w:val="en-US" w:eastAsia="zh-CN"/>
        </w:rPr>
      </w:pPr>
      <w:bookmarkStart w:id="20" w:name="_Toc12806"/>
      <w:bookmarkStart w:id="21" w:name="_Toc19750"/>
      <w:bookmarkStart w:id="22" w:name="_Toc30618"/>
      <w:r>
        <w:rPr>
          <w:rFonts w:hint="eastAsia" w:ascii="宋体" w:hAnsi="宋体" w:eastAsia="宋体" w:cs="宋体"/>
          <w:kern w:val="2"/>
          <w:sz w:val="24"/>
          <w:szCs w:val="24"/>
          <w:lang w:val="en-US" w:eastAsia="zh-CN" w:bidi="ar"/>
        </w:rPr>
        <w:t>核算边界</w:t>
      </w:r>
      <w:bookmarkEnd w:id="20"/>
      <w:bookmarkEnd w:id="21"/>
      <w:bookmarkEnd w:id="22"/>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报告主体应以企业法人为界，识别、核算和报告企业边界内所有生产设施产生的温室气体排放。</w:t>
      </w:r>
    </w:p>
    <w:p>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详见：各企业温室气体排放核算方法与报告指南中的核算边界。</w:t>
      </w:r>
    </w:p>
    <w:p>
      <w:pPr>
        <w:numPr>
          <w:ilvl w:val="0"/>
          <w:numId w:val="2"/>
        </w:numPr>
        <w:spacing w:line="360" w:lineRule="auto"/>
        <w:ind w:firstLine="420" w:firstLineChars="0"/>
        <w:outlineLvl w:val="1"/>
        <w:rPr>
          <w:rFonts w:hint="default" w:ascii="宋体" w:hAnsi="宋体" w:eastAsia="宋体" w:cs="宋体"/>
          <w:b w:val="0"/>
          <w:bCs/>
          <w:sz w:val="24"/>
          <w:szCs w:val="24"/>
          <w:lang w:val="en-US" w:eastAsia="zh-CN"/>
        </w:rPr>
      </w:pPr>
      <w:bookmarkStart w:id="23" w:name="_Toc8739"/>
      <w:bookmarkStart w:id="24" w:name="_Toc4985"/>
      <w:bookmarkStart w:id="25" w:name="_Toc19679"/>
      <w:r>
        <w:rPr>
          <w:rFonts w:hint="eastAsia" w:ascii="宋体" w:hAnsi="宋体" w:eastAsia="宋体" w:cs="宋体"/>
          <w:b w:val="0"/>
          <w:bCs/>
          <w:sz w:val="24"/>
          <w:szCs w:val="24"/>
          <w:lang w:val="en-US" w:eastAsia="zh-CN"/>
        </w:rPr>
        <w:t>排放源</w:t>
      </w:r>
      <w:bookmarkEnd w:id="23"/>
      <w:bookmarkEnd w:id="24"/>
      <w:bookmarkEnd w:id="25"/>
    </w:p>
    <w:p>
      <w:pPr>
        <w:keepNext w:val="0"/>
        <w:keepLines w:val="0"/>
        <w:widowControl w:val="0"/>
        <w:suppressLineNumbers w:val="0"/>
        <w:spacing w:before="0" w:beforeAutospacing="0" w:after="0" w:afterAutospacing="0"/>
        <w:ind w:left="0" w:right="0" w:firstLine="420" w:firstLineChars="0"/>
        <w:jc w:val="both"/>
      </w:pPr>
      <w:r>
        <w:rPr>
          <w:rFonts w:hint="eastAsia" w:ascii="宋体" w:hAnsi="宋体" w:eastAsia="宋体" w:cs="宋体"/>
          <w:kern w:val="2"/>
          <w:sz w:val="24"/>
          <w:szCs w:val="24"/>
          <w:lang w:val="en-US" w:eastAsia="zh-CN" w:bidi="ar"/>
        </w:rPr>
        <w:t>设施或设施内过程中，排放相关温室气体的可单独识别的部分。</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燃料燃烧排放</w:t>
      </w:r>
    </w:p>
    <w:p>
      <w:pPr>
        <w:numPr>
          <w:ilvl w:val="0"/>
          <w:numId w:val="3"/>
        </w:numPr>
        <w:spacing w:line="360" w:lineRule="exact"/>
        <w:ind w:firstLine="480"/>
        <w:rPr>
          <w:rFonts w:hint="default" w:ascii="宋体" w:hAnsi="宋体" w:eastAsia="宋体" w:cs="宋体"/>
          <w:b w:val="0"/>
          <w:bCs/>
          <w:sz w:val="24"/>
          <w:szCs w:val="24"/>
          <w:lang w:val="en-US" w:eastAsia="zh-CN"/>
        </w:rPr>
      </w:pPr>
      <w:r>
        <w:rPr>
          <w:rFonts w:hint="eastAsia"/>
          <w:sz w:val="24"/>
        </w:rPr>
        <w:t>燃料在氧化燃烧过程中产生的温室气体排放。</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过程排放</w:t>
      </w:r>
    </w:p>
    <w:p>
      <w:pPr>
        <w:numPr>
          <w:ilvl w:val="0"/>
          <w:numId w:val="3"/>
        </w:numPr>
        <w:spacing w:line="360" w:lineRule="exact"/>
        <w:ind w:firstLine="480"/>
        <w:rPr>
          <w:rFonts w:hint="default" w:ascii="宋体" w:hAnsi="宋体" w:eastAsia="宋体" w:cs="宋体"/>
          <w:b w:val="0"/>
          <w:bCs/>
          <w:sz w:val="24"/>
          <w:szCs w:val="24"/>
          <w:lang w:val="en-US" w:eastAsia="zh-CN"/>
        </w:rPr>
      </w:pPr>
      <w:r>
        <w:rPr>
          <w:rFonts w:hint="eastAsia"/>
          <w:sz w:val="24"/>
        </w:rPr>
        <w:t>在生产、废弃物处理处置等过程中除燃料燃烧之外的物理或化学变化造成的温室气体排放。</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购入的电力、热力产生的排放</w:t>
      </w:r>
    </w:p>
    <w:p>
      <w:pPr>
        <w:numPr>
          <w:ilvl w:val="0"/>
          <w:numId w:val="3"/>
        </w:numPr>
        <w:spacing w:line="360" w:lineRule="exact"/>
        <w:ind w:firstLine="480"/>
        <w:rPr>
          <w:rFonts w:hint="eastAsia"/>
          <w:sz w:val="24"/>
        </w:rPr>
      </w:pPr>
      <w:r>
        <w:rPr>
          <w:rFonts w:hint="eastAsia"/>
          <w:sz w:val="24"/>
        </w:rPr>
        <w:t>企业消费的购入电力、热力所对应的电力、热力生产环节产生的二氧化碳排放。</w:t>
      </w:r>
    </w:p>
    <w:p>
      <w:pPr>
        <w:numPr>
          <w:ilvl w:val="0"/>
          <w:numId w:val="3"/>
        </w:numPr>
        <w:spacing w:line="360" w:lineRule="exact"/>
        <w:ind w:firstLine="480"/>
        <w:rPr>
          <w:rFonts w:hint="default"/>
          <w:sz w:val="24"/>
          <w:lang w:val="en-US" w:eastAsia="zh-CN"/>
        </w:rPr>
      </w:pPr>
      <w:r>
        <w:rPr>
          <w:rFonts w:hint="eastAsia"/>
          <w:sz w:val="24"/>
        </w:rPr>
        <w:t>注：热力包括蒸汽、热水等。</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活动数据</w:t>
      </w:r>
    </w:p>
    <w:p>
      <w:pPr>
        <w:spacing w:line="360" w:lineRule="exact"/>
        <w:ind w:firstLine="480" w:firstLineChars="200"/>
        <w:rPr>
          <w:rFonts w:hint="default" w:ascii="宋体" w:hAnsi="宋体" w:eastAsia="宋体" w:cs="宋体"/>
          <w:b w:val="0"/>
          <w:bCs/>
          <w:sz w:val="24"/>
          <w:szCs w:val="24"/>
          <w:lang w:val="en-US" w:eastAsia="zh-CN"/>
        </w:rPr>
      </w:pPr>
      <w:r>
        <w:rPr>
          <w:sz w:val="24"/>
        </w:rPr>
        <w:t>[</w:t>
      </w:r>
      <w:r>
        <w:rPr>
          <w:rFonts w:hint="eastAsia"/>
          <w:sz w:val="24"/>
        </w:rPr>
        <w:t>参照</w:t>
      </w:r>
      <w:r>
        <w:rPr>
          <w:sz w:val="24"/>
        </w:rPr>
        <w:t>GB/T 32150-2015</w:t>
      </w:r>
      <w:r>
        <w:rPr>
          <w:rFonts w:hint="eastAsia"/>
          <w:sz w:val="24"/>
        </w:rPr>
        <w:t>，定义</w:t>
      </w:r>
      <w:r>
        <w:rPr>
          <w:sz w:val="24"/>
        </w:rPr>
        <w:t>3.12]</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sz w:val="24"/>
        </w:rPr>
        <w:t>如各种化石燃料的消耗量、原材料的使用量、购入的电量、购入的热量等。</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排放因子</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sz w:val="24"/>
        </w:rPr>
        <w:t>在燃烧完全氧化和所有化学反应完全转化的假设下，温室气体相对于源流活动数据的平均排放率。</w:t>
      </w:r>
    </w:p>
    <w:p>
      <w:pPr>
        <w:numPr>
          <w:ilvl w:val="0"/>
          <w:numId w:val="2"/>
        </w:numPr>
        <w:spacing w:line="360" w:lineRule="auto"/>
        <w:ind w:firstLine="420" w:firstLineChars="0"/>
        <w:rPr>
          <w:rFonts w:hint="default" w:ascii="宋体" w:hAnsi="宋体" w:eastAsia="宋体" w:cs="宋体"/>
          <w:b w:val="0"/>
          <w:bCs/>
          <w:sz w:val="24"/>
          <w:szCs w:val="24"/>
          <w:lang w:val="en-US" w:eastAsia="zh-CN"/>
        </w:rPr>
      </w:pPr>
      <w:r>
        <w:rPr>
          <w:rFonts w:hint="eastAsia"/>
          <w:sz w:val="24"/>
          <w:szCs w:val="32"/>
        </w:rPr>
        <w:t>碳氧化率</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sz w:val="24"/>
        </w:rPr>
        <w:t>燃料中的碳在燃烧过程中被完全氧化的百分比。</w:t>
      </w: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26" w:name="_Toc28831"/>
      <w:r>
        <w:rPr>
          <w:rFonts w:hint="eastAsia" w:ascii="黑体" w:hAnsi="黑体" w:eastAsia="黑体" w:cs="黑体"/>
          <w:b/>
          <w:sz w:val="24"/>
          <w:szCs w:val="24"/>
          <w:lang w:val="en-US" w:eastAsia="zh-CN"/>
        </w:rPr>
        <w:t>碳信息管理</w:t>
      </w:r>
      <w:bookmarkEnd w:id="26"/>
    </w:p>
    <w:p>
      <w:pPr>
        <w:pStyle w:val="3"/>
        <w:bidi w:val="0"/>
        <w:rPr>
          <w:rFonts w:hint="eastAsia" w:ascii="黑体" w:hAnsi="黑体" w:eastAsia="黑体" w:cs="黑体"/>
          <w:sz w:val="24"/>
          <w:szCs w:val="24"/>
          <w:lang w:val="en-US" w:eastAsia="zh-CN"/>
        </w:rPr>
      </w:pPr>
      <w:bookmarkStart w:id="27" w:name="_Toc1492"/>
      <w:r>
        <w:rPr>
          <w:rFonts w:hint="eastAsia" w:ascii="黑体" w:hAnsi="黑体" w:eastAsia="黑体" w:cs="黑体"/>
          <w:sz w:val="24"/>
          <w:szCs w:val="24"/>
          <w:lang w:val="en-US" w:eastAsia="zh-CN"/>
        </w:rPr>
        <w:t>4.1 重点排放单位基本信息</w:t>
      </w:r>
      <w:bookmarkEnd w:id="27"/>
    </w:p>
    <w:p>
      <w:pPr>
        <w:keepNext w:val="0"/>
        <w:keepLines w:val="0"/>
        <w:widowControl w:val="0"/>
        <w:suppressLineNumbers w:val="0"/>
        <w:spacing w:before="0" w:beforeAutospacing="0" w:after="0" w:afterAutospacing="0"/>
        <w:ind w:right="0" w:firstLine="420" w:firstLine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重点排放单位基本信息，详见下表：</w:t>
      </w:r>
    </w:p>
    <w:p>
      <w:pPr>
        <w:rPr>
          <w:rFonts w:hint="default"/>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737"/>
        <w:gridCol w:w="145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ind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单位名称</w:t>
            </w:r>
          </w:p>
        </w:tc>
        <w:tc>
          <w:tcPr>
            <w:tcW w:w="2737" w:type="dxa"/>
            <w:vAlign w:val="center"/>
          </w:tcPr>
          <w:p>
            <w:pPr>
              <w:keepNext w:val="0"/>
              <w:keepLines w:val="0"/>
              <w:widowControl w:val="0"/>
              <w:suppressLineNumbers w:val="0"/>
              <w:spacing w:before="0" w:beforeAutospacing="0" w:after="0" w:afterAutospacing="0"/>
              <w:ind w:left="0" w:right="0" w:firstLine="420" w:firstLineChars="0"/>
              <w:jc w:val="center"/>
              <w:rPr>
                <w:rFonts w:hint="eastAsia" w:ascii="宋体" w:hAnsi="宋体" w:eastAsia="宋体" w:cs="宋体"/>
                <w:kern w:val="2"/>
                <w:sz w:val="24"/>
                <w:szCs w:val="24"/>
                <w:lang w:val="en-US" w:eastAsia="zh-CN" w:bidi="ar"/>
              </w:rPr>
            </w:pP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单位类型</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（按照GB/T 4754 规定编码填写）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统一社会信用代码</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所属行业</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行政区划代码</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《中华人民共和国行政区划代码》（GB/T2260-2007）</w:t>
            </w: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单位地址</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单位联系电话</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default" w:ascii="宋体" w:hAnsi="宋体" w:eastAsia="宋体" w:cs="宋体"/>
                <w:b w:val="0"/>
                <w:bCs/>
                <w:kern w:val="2"/>
                <w:sz w:val="24"/>
                <w:szCs w:val="24"/>
                <w:lang w:val="en-US" w:eastAsia="zh-CN" w:bidi="ar-SA"/>
              </w:rPr>
              <w:t>电子邮箱</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主管节能领导姓名</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联系</w:t>
            </w:r>
            <w:r>
              <w:rPr>
                <w:rFonts w:hint="default" w:ascii="宋体" w:hAnsi="宋体" w:eastAsia="宋体" w:cs="宋体"/>
                <w:b w:val="0"/>
                <w:bCs/>
                <w:kern w:val="2"/>
                <w:sz w:val="24"/>
                <w:szCs w:val="24"/>
                <w:lang w:val="en-US" w:eastAsia="zh-CN" w:bidi="ar-SA"/>
              </w:rPr>
              <w:t>电话</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化验室</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自有/第三方</w:t>
            </w: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化验结果是否可存储或追溯</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是否通过能源管理体系认证</w:t>
            </w:r>
          </w:p>
        </w:tc>
        <w:tc>
          <w:tcPr>
            <w:tcW w:w="273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c>
          <w:tcPr>
            <w:tcW w:w="145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认证机构</w:t>
            </w:r>
          </w:p>
        </w:tc>
        <w:tc>
          <w:tcPr>
            <w:tcW w:w="2507"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能源消耗种类</w:t>
            </w:r>
          </w:p>
        </w:tc>
        <w:tc>
          <w:tcPr>
            <w:tcW w:w="6702" w:type="dxa"/>
            <w:gridSpan w:val="3"/>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电/煤炭/天然气/...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产品量种类</w:t>
            </w:r>
          </w:p>
        </w:tc>
        <w:tc>
          <w:tcPr>
            <w:tcW w:w="6702" w:type="dxa"/>
            <w:gridSpan w:val="3"/>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电力/热力/玻璃/水泥...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碳排放涉及工序</w:t>
            </w:r>
          </w:p>
        </w:tc>
        <w:tc>
          <w:tcPr>
            <w:tcW w:w="6702" w:type="dxa"/>
            <w:gridSpan w:val="3"/>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4"/>
                <w:szCs w:val="24"/>
                <w:lang w:val="en-US" w:eastAsia="zh-CN" w:bidi="ar"/>
              </w:rPr>
            </w:pPr>
            <w:r>
              <w:rPr>
                <w:rFonts w:hint="eastAsia" w:ascii="宋体" w:hAnsi="宋体" w:eastAsia="宋体" w:cs="宋体"/>
                <w:b w:val="0"/>
                <w:bCs/>
                <w:kern w:val="2"/>
                <w:sz w:val="24"/>
                <w:szCs w:val="24"/>
                <w:lang w:val="en-US" w:eastAsia="zh-CN" w:bidi="ar-SA"/>
              </w:rPr>
              <w:t xml:space="preserve">脱硫、燃煤/燃油机组发电、原料碳酸盐分解、石灰石等碳酸盐高温煅烧、玻璃熔窑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8"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近三年企业二氧化碳排放总量</w:t>
            </w:r>
            <w:r>
              <w:rPr>
                <w:rFonts w:hint="eastAsia" w:ascii="宋体" w:hAnsi="宋体" w:eastAsia="宋体" w:cs="宋体"/>
                <w:b w:val="0"/>
                <w:bCs/>
                <w:kern w:val="2"/>
                <w:sz w:val="24"/>
                <w:szCs w:val="24"/>
                <w:lang w:val="en-US" w:eastAsia="zh-CN" w:bidi="ar-SA"/>
              </w:rPr>
              <w:t>（TCO2</w:t>
            </w:r>
            <w:r>
              <w:rPr>
                <w:rFonts w:hint="default" w:ascii="仿宋_GB2312" w:hAnsi="仿宋_GB2312" w:eastAsia="仿宋_GB2312" w:cs="仿宋_GB2312"/>
                <w:b/>
                <w:bCs/>
                <w:color w:val="000000"/>
                <w:kern w:val="0"/>
                <w:sz w:val="24"/>
                <w:szCs w:val="24"/>
                <w:lang w:val="en-US" w:eastAsia="zh-CN" w:bidi="ar"/>
              </w:rPr>
              <w:t>）</w:t>
            </w:r>
          </w:p>
        </w:tc>
        <w:tc>
          <w:tcPr>
            <w:tcW w:w="6702" w:type="dxa"/>
            <w:gridSpan w:val="3"/>
            <w:vAlign w:val="center"/>
          </w:tcPr>
          <w:p>
            <w:pPr>
              <w:keepNext w:val="0"/>
              <w:keepLines w:val="0"/>
              <w:widowControl w:val="0"/>
              <w:suppressLineNumbers w:val="0"/>
              <w:spacing w:before="0" w:beforeAutospacing="0" w:after="0" w:afterAutospacing="0" w:line="240" w:lineRule="auto"/>
              <w:ind w:left="0" w:leftChars="0" w:right="0" w:rightChars="0"/>
              <w:jc w:val="both"/>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XXXX年： XXXX TCO</w:t>
            </w:r>
            <w:r>
              <w:rPr>
                <w:rFonts w:hint="eastAsia" w:ascii="宋体" w:hAnsi="宋体" w:eastAsia="宋体" w:cs="宋体"/>
                <w:b w:val="0"/>
                <w:bCs/>
                <w:kern w:val="2"/>
                <w:sz w:val="24"/>
                <w:szCs w:val="24"/>
                <w:vertAlign w:val="subscript"/>
                <w:lang w:val="en-US" w:eastAsia="zh-CN" w:bidi="ar-SA"/>
              </w:rPr>
              <w:t>2</w:t>
            </w:r>
          </w:p>
          <w:p>
            <w:pPr>
              <w:keepNext w:val="0"/>
              <w:keepLines w:val="0"/>
              <w:widowControl w:val="0"/>
              <w:suppressLineNumbers w:val="0"/>
              <w:spacing w:before="0" w:beforeAutospacing="0" w:after="0" w:afterAutospacing="0" w:line="240" w:lineRule="auto"/>
              <w:ind w:left="0" w:leftChars="0" w:right="0" w:rightChars="0"/>
              <w:jc w:val="both"/>
              <w:rPr>
                <w:rFonts w:hint="default" w:ascii="宋体" w:hAnsi="宋体" w:eastAsia="宋体" w:cs="宋体"/>
                <w:b w:val="0"/>
                <w:bCs/>
                <w:kern w:val="2"/>
                <w:sz w:val="24"/>
                <w:szCs w:val="24"/>
                <w:lang w:val="en-US" w:eastAsia="zh-CN" w:bidi="ar-SA"/>
              </w:rPr>
            </w:pPr>
          </w:p>
        </w:tc>
      </w:tr>
    </w:tbl>
    <w:p>
      <w:pPr>
        <w:numPr>
          <w:ilvl w:val="0"/>
          <w:numId w:val="0"/>
        </w:numPr>
        <w:spacing w:line="360" w:lineRule="auto"/>
        <w:ind w:firstLine="420" w:firstLineChars="0"/>
        <w:rPr>
          <w:rFonts w:hint="eastAsia"/>
          <w:sz w:val="24"/>
          <w:lang w:val="en-US" w:eastAsia="zh-CN"/>
        </w:rPr>
      </w:pPr>
      <w:r>
        <w:rPr>
          <w:rFonts w:hint="eastAsia"/>
          <w:sz w:val="24"/>
          <w:lang w:val="en-US" w:eastAsia="zh-CN"/>
        </w:rPr>
        <w:t>重点排放单位应在平台注册和更新基本信息。因停产检修、生产改造、设备维护、系统故障等特殊原因造成数据无法正常上传的，重点排放单位应在次日内登录平台报备相关信息。</w:t>
      </w:r>
    </w:p>
    <w:p>
      <w:pPr>
        <w:pStyle w:val="3"/>
        <w:bidi w:val="0"/>
        <w:rPr>
          <w:rFonts w:hint="eastAsia" w:ascii="黑体" w:hAnsi="黑体" w:cs="黑体"/>
          <w:sz w:val="24"/>
          <w:szCs w:val="24"/>
          <w:lang w:val="en-US" w:eastAsia="zh-CN"/>
        </w:rPr>
      </w:pPr>
      <w:bookmarkStart w:id="28" w:name="_Toc17263"/>
      <w:r>
        <w:rPr>
          <w:rFonts w:hint="eastAsia" w:ascii="黑体" w:hAnsi="黑体" w:cs="黑体"/>
          <w:sz w:val="24"/>
          <w:szCs w:val="24"/>
          <w:lang w:val="en-US" w:eastAsia="zh-CN"/>
        </w:rPr>
        <w:t>4.2碳计量器具信息</w:t>
      </w:r>
      <w:bookmarkEnd w:id="28"/>
    </w:p>
    <w:p>
      <w:pPr>
        <w:numPr>
          <w:ilvl w:val="0"/>
          <w:numId w:val="0"/>
        </w:numPr>
        <w:spacing w:line="360" w:lineRule="auto"/>
        <w:ind w:firstLine="420" w:firstLineChars="0"/>
        <w:rPr>
          <w:rFonts w:hint="eastAsia"/>
          <w:sz w:val="24"/>
          <w:lang w:val="en-US" w:eastAsia="zh-CN"/>
        </w:rPr>
      </w:pPr>
      <w:r>
        <w:rPr>
          <w:rFonts w:hint="eastAsia"/>
          <w:sz w:val="24"/>
          <w:lang w:val="en-US" w:eastAsia="zh-CN"/>
        </w:rPr>
        <w:t>碳计量器具信息，详见下表：</w:t>
      </w:r>
    </w:p>
    <w:p>
      <w:pPr>
        <w:rPr>
          <w:rFonts w:hint="eastAsia" w:ascii="宋体" w:hAnsi="宋体" w:eastAsia="宋体" w:cs="宋体"/>
          <w:b w:val="0"/>
          <w:bCs/>
          <w:kern w:val="2"/>
          <w:sz w:val="24"/>
          <w:szCs w:val="24"/>
          <w:lang w:val="en-US" w:eastAsia="zh-CN" w:bidi="ar-S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471"/>
        <w:gridCol w:w="186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计量器具名称</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填写计量器具的简称或俗称，</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如</w:t>
            </w:r>
            <w:r>
              <w:rPr>
                <w:rFonts w:hint="eastAsia" w:ascii="宋体" w:hAnsi="宋体" w:eastAsia="宋体" w:cs="宋体"/>
                <w:b w:val="0"/>
                <w:bCs/>
                <w:kern w:val="2"/>
                <w:sz w:val="24"/>
                <w:szCs w:val="24"/>
                <w:lang w:val="en-US" w:eastAsia="zh-CN" w:bidi="ar-SA"/>
              </w:rPr>
              <w:t>入炉皮带秤、外购电</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计量器具类型</w:t>
            </w:r>
          </w:p>
        </w:tc>
        <w:tc>
          <w:tcPr>
            <w:tcW w:w="2722"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按照《JJF1051-2009 计量器具命名与分</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类编码》填写本计量器具所属的类型，如</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用“12061000”表示“连续累计自动衡器</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（皮带秤）”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器具等级</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1：表示进出用能计量器具</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2：表示主要次级用能计量器具</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3：表示主要用能设备计量器具</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计量相关参数</w:t>
            </w:r>
          </w:p>
        </w:tc>
        <w:tc>
          <w:tcPr>
            <w:tcW w:w="2722"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表示所计量的能源品种（如原煤、天然气</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等）或者非能源类物料（原料、产品等）</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或者质量参数（如温度、压力、有功功率</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生产厂家</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指计量器具的生产厂家</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型号规格</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准确度等级</w:t>
            </w:r>
          </w:p>
        </w:tc>
        <w:tc>
          <w:tcPr>
            <w:tcW w:w="247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测量范围</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管理编号</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指</w:t>
            </w:r>
            <w:r>
              <w:rPr>
                <w:rFonts w:hint="eastAsia" w:ascii="宋体" w:hAnsi="宋体" w:eastAsia="宋体" w:cs="宋体"/>
                <w:b w:val="0"/>
                <w:bCs/>
                <w:kern w:val="2"/>
                <w:sz w:val="24"/>
                <w:szCs w:val="24"/>
                <w:lang w:val="en-US" w:eastAsia="zh-CN" w:bidi="ar-SA"/>
              </w:rPr>
              <w:t>重点排放单位</w:t>
            </w:r>
            <w:r>
              <w:rPr>
                <w:rFonts w:hint="default" w:ascii="宋体" w:hAnsi="宋体" w:eastAsia="宋体" w:cs="宋体"/>
                <w:b w:val="0"/>
                <w:bCs/>
                <w:kern w:val="2"/>
                <w:sz w:val="24"/>
                <w:szCs w:val="24"/>
                <w:lang w:val="en-US" w:eastAsia="zh-CN" w:bidi="ar-SA"/>
              </w:rPr>
              <w:t>内部的计量器具管理编号</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检定</w:t>
            </w:r>
            <w:r>
              <w:rPr>
                <w:rFonts w:hint="default"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lang w:val="en-US" w:eastAsia="zh-CN" w:bidi="ar-SA"/>
              </w:rPr>
              <w:t xml:space="preserve">校准状态 </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检定/校准周期</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按 x 月或 x 年填写</w:t>
            </w:r>
          </w:p>
        </w:tc>
        <w:tc>
          <w:tcPr>
            <w:tcW w:w="1868"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最近一次检定/校准时间</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x 年 x 月 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检验机构</w:t>
            </w:r>
          </w:p>
        </w:tc>
        <w:tc>
          <w:tcPr>
            <w:tcW w:w="247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c>
          <w:tcPr>
            <w:tcW w:w="1868"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下一次检定/校准时间</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x 年 x 月 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未检定/校准原因</w:t>
            </w:r>
          </w:p>
        </w:tc>
        <w:tc>
          <w:tcPr>
            <w:tcW w:w="247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安装地点</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安装方</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重点排放单位</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2：能源供应公司</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3：第三方公司（指合同能源管理等）</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安装时间</w:t>
            </w:r>
          </w:p>
        </w:tc>
        <w:tc>
          <w:tcPr>
            <w:tcW w:w="272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接入系统</w:t>
            </w:r>
          </w:p>
        </w:tc>
        <w:tc>
          <w:tcPr>
            <w:tcW w:w="2471"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指该计量器具的监测数据与哪个系统连接。</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01：表示</w:t>
            </w:r>
            <w:r>
              <w:rPr>
                <w:rFonts w:hint="eastAsia" w:ascii="宋体" w:hAnsi="宋体" w:eastAsia="宋体" w:cs="宋体"/>
                <w:b w:val="0"/>
                <w:bCs/>
                <w:kern w:val="2"/>
                <w:sz w:val="24"/>
                <w:szCs w:val="24"/>
                <w:lang w:val="en-US" w:eastAsia="zh-CN" w:bidi="ar-SA"/>
              </w:rPr>
              <w:t>重点排放单位</w:t>
            </w:r>
            <w:r>
              <w:rPr>
                <w:rFonts w:hint="default" w:ascii="宋体" w:hAnsi="宋体" w:eastAsia="宋体" w:cs="宋体"/>
                <w:b w:val="0"/>
                <w:bCs/>
                <w:kern w:val="2"/>
                <w:sz w:val="24"/>
                <w:szCs w:val="24"/>
                <w:lang w:val="en-US" w:eastAsia="zh-CN" w:bidi="ar-SA"/>
              </w:rPr>
              <w:t>自身管理系统</w:t>
            </w:r>
          </w:p>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02：表示能源供应公司系统</w:t>
            </w:r>
          </w:p>
        </w:tc>
        <w:tc>
          <w:tcPr>
            <w:tcW w:w="186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目前状态</w:t>
            </w:r>
          </w:p>
        </w:tc>
        <w:tc>
          <w:tcPr>
            <w:tcW w:w="2722"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1：正常/2：故障/3：停用</w:t>
            </w:r>
          </w:p>
        </w:tc>
      </w:tr>
    </w:tbl>
    <w:p>
      <w:pPr>
        <w:rPr>
          <w:rFonts w:hint="default"/>
          <w:lang w:val="en-US" w:eastAsia="zh-CN"/>
        </w:rPr>
      </w:pPr>
    </w:p>
    <w:p>
      <w:pPr>
        <w:pStyle w:val="3"/>
        <w:bidi w:val="0"/>
        <w:rPr>
          <w:rFonts w:hint="eastAsia" w:ascii="黑体" w:hAnsi="黑体" w:cs="黑体"/>
          <w:sz w:val="24"/>
          <w:szCs w:val="24"/>
          <w:lang w:val="en-US" w:eastAsia="zh-CN"/>
        </w:rPr>
      </w:pPr>
      <w:bookmarkStart w:id="29" w:name="_Toc18779"/>
      <w:r>
        <w:rPr>
          <w:rFonts w:hint="eastAsia" w:ascii="黑体" w:hAnsi="黑体" w:eastAsia="黑体" w:cs="黑体"/>
          <w:sz w:val="24"/>
          <w:szCs w:val="24"/>
          <w:lang w:val="en-US" w:eastAsia="zh-CN"/>
        </w:rPr>
        <w:t>4.</w:t>
      </w:r>
      <w:r>
        <w:rPr>
          <w:rFonts w:hint="eastAsia" w:ascii="黑体" w:hAnsi="黑体" w:cs="黑体"/>
          <w:sz w:val="24"/>
          <w:szCs w:val="24"/>
          <w:lang w:val="en-US" w:eastAsia="zh-CN"/>
        </w:rPr>
        <w:t>3</w:t>
      </w:r>
      <w:r>
        <w:rPr>
          <w:rFonts w:hint="eastAsia" w:ascii="黑体" w:hAnsi="黑体" w:eastAsia="黑体" w:cs="黑体"/>
          <w:sz w:val="24"/>
          <w:szCs w:val="24"/>
          <w:lang w:val="en-US" w:eastAsia="zh-CN"/>
        </w:rPr>
        <w:t xml:space="preserve"> </w:t>
      </w:r>
      <w:r>
        <w:rPr>
          <w:rFonts w:hint="eastAsia" w:ascii="黑体" w:hAnsi="黑体" w:cs="黑体"/>
          <w:sz w:val="24"/>
          <w:szCs w:val="24"/>
          <w:lang w:val="en-US" w:eastAsia="zh-CN"/>
        </w:rPr>
        <w:t>碳监测数据验证信息</w:t>
      </w:r>
      <w:bookmarkEnd w:id="29"/>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企业在生产过程中产生的涉碳数据，要进行持久化存储。不仅可以为企业自身碳排放报告提供数据依据，也为政府或相关机构进行现场验证和核查提供了强有力的数据支撑。</w:t>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这些数据是交叉验证碳排放数据真实性的重要来源，确保了碳计量平台数据的准确性和可靠性。</w:t>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可提供验证碳数据源的系统包含(但不限于)：MIS、DCS、烟气/风道/温室气体浓度在线监测系统、化验室信息系统、物料配比系统等。该系统可查询调取各个生产环节各个时间段的化石燃料消耗、各类能源购进、库存，气体排放量等信息。</w:t>
      </w:r>
    </w:p>
    <w:p>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企业需按实际情况如实提供如下的碳数据源信息表（改表也可细化到每个系统下的每个参数项代表的具体数值）：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738"/>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shd w:val="clear" w:color="auto" w:fill="D7D7D7" w:themeFill="background1" w:themeFillShade="D8"/>
          </w:tcPr>
          <w:p>
            <w:pPr>
              <w:keepNext w:val="0"/>
              <w:keepLines w:val="0"/>
              <w:suppressLineNumbers w:val="0"/>
              <w:spacing w:before="0" w:beforeAutospacing="0" w:after="0" w:afterAutospacing="0" w:line="360" w:lineRule="auto"/>
              <w:ind w:left="0" w:right="0" w:firstLine="240" w:firstLineChars="100"/>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738" w:type="dxa"/>
            <w:shd w:val="clear" w:color="auto" w:fill="D7D7D7" w:themeFill="background1" w:themeFillShade="D8"/>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系统名称</w:t>
            </w:r>
          </w:p>
        </w:tc>
        <w:tc>
          <w:tcPr>
            <w:tcW w:w="4832" w:type="dxa"/>
            <w:shd w:val="clear" w:color="auto" w:fill="D7D7D7" w:themeFill="background1" w:themeFillShade="D8"/>
          </w:tcPr>
          <w:p>
            <w:pPr>
              <w:keepNext w:val="0"/>
              <w:keepLines w:val="0"/>
              <w:suppressLineNumbers w:val="0"/>
              <w:spacing w:before="0" w:beforeAutospacing="0" w:after="0" w:afterAutospacing="0" w:line="360" w:lineRule="auto"/>
              <w:ind w:left="0" w:right="0" w:firstLine="720" w:firstLineChars="3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可提供数据源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738"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MIS系统</w:t>
            </w:r>
          </w:p>
        </w:tc>
        <w:tc>
          <w:tcPr>
            <w:tcW w:w="4832" w:type="dxa"/>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煤炭购进、库存、电力消费量数据...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738"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DCS系统</w:t>
            </w:r>
          </w:p>
        </w:tc>
        <w:tc>
          <w:tcPr>
            <w:tcW w:w="4832" w:type="dxa"/>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化石燃料、电力、天然气、催化剂等消耗量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738" w:type="dxa"/>
            <w:vAlign w:val="center"/>
          </w:tcPr>
          <w:p>
            <w:pPr>
              <w:keepNext w:val="0"/>
              <w:keepLines w:val="0"/>
              <w:suppressLineNumbers w:val="0"/>
              <w:spacing w:before="0" w:beforeAutospacing="0" w:after="0" w:afterAutospacing="0" w:line="360" w:lineRule="auto"/>
              <w:ind w:left="0" w:right="0" w:firstLine="240" w:firstLineChars="1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气体在线监测系统</w:t>
            </w:r>
          </w:p>
        </w:tc>
        <w:tc>
          <w:tcPr>
            <w:tcW w:w="4832" w:type="dxa"/>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某排放口二氧化碳排放量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738" w:type="dxa"/>
            <w:vAlign w:val="center"/>
          </w:tcPr>
          <w:p>
            <w:pPr>
              <w:keepNext w:val="0"/>
              <w:keepLines w:val="0"/>
              <w:suppressLineNumbers w:val="0"/>
              <w:spacing w:before="0" w:beforeAutospacing="0" w:after="0" w:afterAutospacing="0" w:line="360" w:lineRule="auto"/>
              <w:ind w:left="0" w:right="0" w:firstLine="240" w:firstLineChars="1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化验室信息系统</w:t>
            </w:r>
          </w:p>
        </w:tc>
        <w:tc>
          <w:tcPr>
            <w:tcW w:w="4832" w:type="dxa"/>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每批次入炉煤含碳量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c>
          <w:tcPr>
            <w:tcW w:w="2738" w:type="dxa"/>
            <w:vAlign w:val="center"/>
          </w:tcPr>
          <w:p>
            <w:pPr>
              <w:keepNext w:val="0"/>
              <w:keepLines w:val="0"/>
              <w:suppressLineNumbers w:val="0"/>
              <w:spacing w:before="0" w:beforeAutospacing="0" w:after="0" w:afterAutospacing="0" w:line="360" w:lineRule="auto"/>
              <w:ind w:left="0" w:right="0" w:firstLine="240" w:firstLineChars="1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c>
          <w:tcPr>
            <w:tcW w:w="4832" w:type="dxa"/>
          </w:tcPr>
          <w:p>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r>
    </w:tbl>
    <w:p>
      <w:pPr>
        <w:rPr>
          <w:rFonts w:hint="eastAsia" w:ascii="宋体" w:hAnsi="宋体" w:eastAsia="宋体" w:cs="宋体"/>
          <w:b w:val="0"/>
          <w:bCs/>
          <w:kern w:val="2"/>
          <w:sz w:val="24"/>
          <w:szCs w:val="24"/>
          <w:lang w:val="en-US" w:eastAsia="zh-CN" w:bidi="ar-SA"/>
        </w:rPr>
      </w:pP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30" w:name="_Toc6154"/>
      <w:r>
        <w:rPr>
          <w:rFonts w:hint="eastAsia" w:ascii="黑体" w:hAnsi="黑体" w:eastAsia="黑体" w:cs="黑体"/>
          <w:b/>
          <w:sz w:val="24"/>
          <w:szCs w:val="24"/>
          <w:lang w:val="en-US" w:eastAsia="zh-CN"/>
        </w:rPr>
        <w:t>碳排放数据监测</w:t>
      </w:r>
      <w:bookmarkEnd w:id="30"/>
    </w:p>
    <w:p>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碳排放数据监测是碳计量平台建设的基石，离开准确的数据做支撑，一切的上层应用将黯然失色。</w:t>
      </w:r>
    </w:p>
    <w:p>
      <w:pPr>
        <w:pStyle w:val="3"/>
        <w:bidi w:val="0"/>
        <w:rPr>
          <w:rFonts w:hint="default" w:ascii="黑体" w:hAnsi="黑体" w:cs="黑体"/>
          <w:sz w:val="24"/>
          <w:szCs w:val="24"/>
          <w:lang w:val="en-US" w:eastAsia="zh-CN"/>
        </w:rPr>
      </w:pPr>
      <w:bookmarkStart w:id="31" w:name="_Toc29848"/>
      <w:r>
        <w:rPr>
          <w:rFonts w:hint="eastAsia" w:ascii="黑体" w:hAnsi="黑体" w:cs="黑体"/>
          <w:sz w:val="24"/>
          <w:szCs w:val="24"/>
          <w:lang w:val="en-US" w:eastAsia="zh-CN"/>
        </w:rPr>
        <w:t>5.1</w:t>
      </w:r>
      <w:r>
        <w:rPr>
          <w:rFonts w:hint="eastAsia" w:ascii="黑体" w:hAnsi="黑体" w:eastAsia="黑体" w:cs="黑体"/>
          <w:sz w:val="24"/>
          <w:szCs w:val="24"/>
          <w:lang w:val="en-US" w:eastAsia="zh-CN"/>
        </w:rPr>
        <w:t xml:space="preserve"> </w:t>
      </w:r>
      <w:r>
        <w:rPr>
          <w:rFonts w:hint="eastAsia" w:ascii="黑体" w:hAnsi="黑体" w:cs="黑体"/>
          <w:sz w:val="24"/>
          <w:szCs w:val="24"/>
          <w:lang w:val="en-US" w:eastAsia="zh-CN"/>
        </w:rPr>
        <w:t>数据监测</w:t>
      </w:r>
      <w:bookmarkEnd w:id="31"/>
    </w:p>
    <w:p>
      <w:pPr>
        <w:pStyle w:val="4"/>
        <w:bidi w:val="0"/>
        <w:rPr>
          <w:rFonts w:hint="eastAsia" w:ascii="黑体" w:hAnsi="黑体" w:eastAsia="黑体" w:cs="黑体"/>
          <w:sz w:val="24"/>
          <w:szCs w:val="24"/>
          <w:lang w:val="en-US" w:eastAsia="zh-CN"/>
        </w:rPr>
      </w:pPr>
      <w:bookmarkStart w:id="32" w:name="_Toc21793"/>
      <w:bookmarkStart w:id="33" w:name="_Toc1870"/>
      <w:r>
        <w:rPr>
          <w:rFonts w:hint="eastAsia" w:ascii="黑体" w:hAnsi="黑体" w:eastAsia="黑体" w:cs="黑体"/>
          <w:sz w:val="24"/>
          <w:szCs w:val="24"/>
          <w:lang w:val="en-US" w:eastAsia="zh-CN"/>
        </w:rPr>
        <w:t>5.1.1 监测原则</w:t>
      </w:r>
      <w:bookmarkEnd w:id="32"/>
      <w:bookmarkEnd w:id="33"/>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完整性</w:t>
      </w:r>
      <w:r>
        <w:rPr>
          <w:rFonts w:hint="default" w:ascii="宋体" w:hAnsi="宋体" w:eastAsia="宋体" w:cs="宋体"/>
          <w:b w:val="0"/>
          <w:bCs/>
          <w:sz w:val="24"/>
          <w:szCs w:val="24"/>
          <w:lang w:val="en-US" w:eastAsia="zh-CN"/>
        </w:rPr>
        <w:t>：确保碳排放数据的收集、记录和</w:t>
      </w:r>
      <w:r>
        <w:rPr>
          <w:rFonts w:hint="eastAsia" w:ascii="宋体" w:hAnsi="宋体" w:eastAsia="宋体" w:cs="宋体"/>
          <w:b w:val="0"/>
          <w:bCs/>
          <w:sz w:val="24"/>
          <w:szCs w:val="24"/>
          <w:lang w:val="en-US" w:eastAsia="zh-CN"/>
        </w:rPr>
        <w:t>监测</w:t>
      </w:r>
      <w:r>
        <w:rPr>
          <w:rFonts w:hint="default" w:ascii="宋体" w:hAnsi="宋体" w:eastAsia="宋体" w:cs="宋体"/>
          <w:b w:val="0"/>
          <w:bCs/>
          <w:sz w:val="24"/>
          <w:szCs w:val="24"/>
          <w:lang w:val="en-US" w:eastAsia="zh-CN"/>
        </w:rPr>
        <w:t>覆盖所有相关的排放源和活动类型</w:t>
      </w:r>
      <w:r>
        <w:rPr>
          <w:rFonts w:hint="eastAsia" w:ascii="宋体" w:hAnsi="宋体" w:eastAsia="宋体" w:cs="宋体"/>
          <w:b w:val="0"/>
          <w:bCs/>
          <w:sz w:val="24"/>
          <w:szCs w:val="24"/>
          <w:lang w:val="en-US" w:eastAsia="zh-CN"/>
        </w:rPr>
        <w:t>。</w:t>
      </w:r>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准确性：</w:t>
      </w:r>
      <w:r>
        <w:rPr>
          <w:rFonts w:hint="default" w:ascii="宋体" w:hAnsi="宋体" w:eastAsia="宋体" w:cs="宋体"/>
          <w:b w:val="0"/>
          <w:bCs/>
          <w:sz w:val="24"/>
          <w:szCs w:val="24"/>
          <w:lang w:val="en-US" w:eastAsia="zh-CN"/>
        </w:rPr>
        <w:t>碳排放数据的监测和记录应准确反映实际排放情况。采用准确可靠的测量方法和设备，对测量结果进行不确定性分析和误差修正，确保数据的准确性。</w:t>
      </w:r>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透明性：碳排放数据的收集、处理和报告过程应公开透明，接受利益相关者的监督和审查。数据共享和透明度原则有助于增强公众对碳排放数据的信任度，促进数据的比较和共享。</w:t>
      </w:r>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可操作性：碳排放数据监测的流程和标准应具有可操作性，方便相关单位和个人理解和执行。制定明确的数据收集、处理和报告要求，确保标准的实用性和可行性。</w:t>
      </w:r>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客观性：碳排放数据的监测和报告应基于客观事实和数据，避免主观臆断和偏见。确保数据的客观性和真实性。</w:t>
      </w:r>
    </w:p>
    <w:p>
      <w:pPr>
        <w:numPr>
          <w:ilvl w:val="0"/>
          <w:numId w:val="4"/>
        </w:numPr>
        <w:spacing w:line="360" w:lineRule="auto"/>
        <w:ind w:left="420" w:leftChars="0" w:hanging="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公正性：在碳排放数据的监测和报告过程中，应公正对待所有利益相关者，不偏袒任何一方。确保数据的公正性和公平性。</w:t>
      </w:r>
    </w:p>
    <w:p>
      <w:pPr>
        <w:numPr>
          <w:ilvl w:val="0"/>
          <w:numId w:val="4"/>
        </w:numPr>
        <w:spacing w:line="360" w:lineRule="auto"/>
        <w:ind w:left="420" w:leftChars="0" w:hanging="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持续改进：鼓励碳监测机构不断改进其测量方法和数据质量控制措施，以提高数据的可靠性和可比性。同时，与国际碳监测标准和指南保持一致，便于数据在全球范围内的比较和共享。</w:t>
      </w:r>
    </w:p>
    <w:p>
      <w:pPr>
        <w:pStyle w:val="4"/>
        <w:bidi w:val="0"/>
        <w:rPr>
          <w:rFonts w:hint="eastAsia" w:ascii="黑体" w:hAnsi="黑体" w:eastAsia="黑体" w:cs="黑体"/>
          <w:b/>
          <w:sz w:val="24"/>
          <w:szCs w:val="24"/>
          <w:lang w:val="en-US" w:eastAsia="zh-CN"/>
        </w:rPr>
      </w:pPr>
      <w:bookmarkStart w:id="34" w:name="_Toc19019"/>
      <w:bookmarkStart w:id="35" w:name="_Toc3966"/>
      <w:r>
        <w:rPr>
          <w:rFonts w:hint="eastAsia" w:ascii="黑体" w:hAnsi="黑体" w:eastAsia="黑体" w:cs="黑体"/>
          <w:b/>
          <w:sz w:val="24"/>
          <w:szCs w:val="24"/>
          <w:lang w:val="en-US" w:eastAsia="zh-CN"/>
        </w:rPr>
        <w:t>5.1.2 监测范围</w:t>
      </w:r>
      <w:bookmarkEnd w:id="34"/>
      <w:bookmarkEnd w:id="35"/>
    </w:p>
    <w:p>
      <w:p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（1）燃料燃烧排放</w:t>
      </w:r>
    </w:p>
    <w:p>
      <w:p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燃料燃烧排放，是指企业生产过程中燃料与氧气进行充分燃烧产生的温室气体排放，包括实物煤、燃油等化石燃料的燃烧、替代燃料和协同处置的废弃物中所含的非生物质碳的燃烧等产生的排放。</w:t>
      </w:r>
    </w:p>
    <w:p>
      <w:pPr>
        <w:numPr>
          <w:ilvl w:val="0"/>
          <w:numId w:val="5"/>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工业生产过程排放</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工业生产过程排放，是指原材料在生产过程中发生的除燃料燃烧之外的物理或化学变化产生的温室气体排放，包括原料碳酸盐分解产生的排放和生料中非燃料碳煅烧产生的排放等。</w:t>
      </w:r>
    </w:p>
    <w:p>
      <w:pPr>
        <w:numPr>
          <w:ilvl w:val="0"/>
          <w:numId w:val="5"/>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净购入使用的电力和热力对应的排放</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企业净购入使用的电力和热力（蒸汽、热水）所对应的电力或热力生产活动产生的CO</w:t>
      </w:r>
      <w:r>
        <w:rPr>
          <w:rFonts w:hint="eastAsia" w:ascii="宋体" w:hAnsi="宋体" w:eastAsia="宋体" w:cs="宋体"/>
          <w:b w:val="0"/>
          <w:bCs/>
          <w:sz w:val="24"/>
          <w:szCs w:val="24"/>
          <w:vertAlign w:val="subscript"/>
          <w:lang w:val="en-US" w:eastAsia="zh-CN"/>
        </w:rPr>
        <w:t>2</w:t>
      </w:r>
      <w:r>
        <w:rPr>
          <w:rFonts w:hint="eastAsia" w:ascii="宋体" w:hAnsi="宋体" w:eastAsia="宋体" w:cs="宋体"/>
          <w:b w:val="0"/>
          <w:bCs/>
          <w:sz w:val="24"/>
          <w:szCs w:val="24"/>
          <w:lang w:val="en-US" w:eastAsia="zh-CN"/>
        </w:rPr>
        <w:t>排放。</w:t>
      </w:r>
    </w:p>
    <w:p>
      <w:pPr>
        <w:pStyle w:val="4"/>
        <w:bidi w:val="0"/>
        <w:rPr>
          <w:rFonts w:hint="eastAsia" w:ascii="黑体" w:hAnsi="黑体" w:eastAsia="黑体" w:cs="黑体"/>
          <w:b/>
          <w:sz w:val="24"/>
          <w:szCs w:val="24"/>
          <w:lang w:val="en-US" w:eastAsia="zh-CN"/>
        </w:rPr>
      </w:pPr>
      <w:bookmarkStart w:id="36" w:name="_Toc22878"/>
      <w:bookmarkStart w:id="37" w:name="_Toc18858"/>
      <w:r>
        <w:rPr>
          <w:rFonts w:hint="eastAsia" w:ascii="黑体" w:hAnsi="黑体" w:eastAsia="黑体" w:cs="黑体"/>
          <w:b/>
          <w:sz w:val="24"/>
          <w:szCs w:val="24"/>
          <w:lang w:val="en-US" w:eastAsia="zh-CN"/>
        </w:rPr>
        <w:t>5.1.3 监测方法</w:t>
      </w:r>
      <w:bookmarkEnd w:id="36"/>
      <w:bookmarkEnd w:id="37"/>
    </w:p>
    <w:p>
      <w:pPr>
        <w:pStyle w:val="6"/>
        <w:bidi w:val="0"/>
        <w:rPr>
          <w:rFonts w:hint="eastAsia"/>
          <w:lang w:val="en-US" w:eastAsia="zh-CN"/>
        </w:rPr>
      </w:pPr>
      <w:r>
        <w:rPr>
          <w:rFonts w:hint="eastAsia" w:ascii="黑体" w:hAnsi="黑体" w:eastAsia="黑体" w:cs="黑体"/>
          <w:sz w:val="24"/>
          <w:szCs w:val="24"/>
          <w:lang w:val="en-US" w:eastAsia="zh-CN"/>
        </w:rPr>
        <w:t>5.1.3.1 计算法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计算法-排放因子法</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这是一种基于能源消耗量和相应排放因子的计算方法，通过乘以单位能源的碳排放系数来估算碳排放量。</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根据IPCC提供的碳核算基本方程：温室气体（GHG）排放=活动数据（AD）×排放因子（EF）</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其中，AD是导致温室气体排放的生产或消费活动的活动量，如每种化石燃料的消耗量、石灰石原料的消耗量、净购入的电量、净购入的蒸汽量等</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EF是与活动水平数据对应的系数，包括单位热值含碳量或元素碳含量、氧化率等，表征单位生产或消费活动量的温室气体排放系数。EF既可以直接采用IPCC、美国环境保护署、欧洲环境机构等提供的已知数据（即缺省值），也可以基于代表性的测量数据来推算。我国已经基于实际情况设置了国家参数，例如《</w:t>
      </w:r>
      <w:r>
        <w:rPr>
          <w:rFonts w:hint="eastAsia" w:ascii="宋体" w:hAnsi="宋体" w:eastAsia="宋体" w:cs="宋体"/>
          <w:b w:val="0"/>
          <w:bCs/>
          <w:sz w:val="24"/>
          <w:szCs w:val="24"/>
          <w:lang w:val="en-US" w:eastAsia="zh-CN"/>
        </w:rPr>
        <w:t>XXX</w:t>
      </w:r>
      <w:r>
        <w:rPr>
          <w:rFonts w:hint="default" w:ascii="宋体" w:hAnsi="宋体" w:eastAsia="宋体" w:cs="宋体"/>
          <w:b w:val="0"/>
          <w:bCs/>
          <w:sz w:val="24"/>
          <w:szCs w:val="24"/>
          <w:lang w:val="en-US" w:eastAsia="zh-CN"/>
        </w:rPr>
        <w:t>企业温室气体排放核算方法与报告指南》的附录</w:t>
      </w:r>
      <w:r>
        <w:rPr>
          <w:rFonts w:hint="eastAsia" w:ascii="宋体" w:hAnsi="宋体" w:eastAsia="宋体" w:cs="宋体"/>
          <w:b w:val="0"/>
          <w:bCs/>
          <w:sz w:val="24"/>
          <w:szCs w:val="24"/>
          <w:lang w:val="en-US" w:eastAsia="zh-CN"/>
        </w:rPr>
        <w:t>中</w:t>
      </w:r>
      <w:r>
        <w:rPr>
          <w:rFonts w:hint="default" w:ascii="宋体" w:hAnsi="宋体" w:eastAsia="宋体" w:cs="宋体"/>
          <w:b w:val="0"/>
          <w:bCs/>
          <w:sz w:val="24"/>
          <w:szCs w:val="24"/>
          <w:lang w:val="en-US" w:eastAsia="zh-CN"/>
        </w:rPr>
        <w:t>提供了常见化石燃料特性参数缺省值数据。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计算法-质量平衡法</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通过计算输入的碳含量与非二氧化碳的碳输出量之间的差值来确定碳排放量。这种方法可以反映实际排放量，并区分不同设施和设备之间的差异。</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对于二氧化碳而言，在碳质量平衡法下，碳排放由输入碳含量减去非二氧化碳的碳输出量得到：二氧化碳（CO</w:t>
      </w:r>
      <w:r>
        <w:rPr>
          <w:rFonts w:hint="default" w:ascii="宋体" w:hAnsi="宋体" w:eastAsia="宋体" w:cs="宋体"/>
          <w:b w:val="0"/>
          <w:bCs/>
          <w:sz w:val="24"/>
          <w:szCs w:val="24"/>
          <w:vertAlign w:val="subscript"/>
          <w:lang w:val="en-US" w:eastAsia="zh-CN"/>
        </w:rPr>
        <w:t>2</w:t>
      </w:r>
      <w:r>
        <w:rPr>
          <w:rFonts w:hint="default" w:ascii="宋体" w:hAnsi="宋体" w:eastAsia="宋体" w:cs="宋体"/>
          <w:b w:val="0"/>
          <w:bCs/>
          <w:sz w:val="24"/>
          <w:szCs w:val="24"/>
          <w:lang w:val="en-US" w:eastAsia="zh-CN"/>
        </w:rPr>
        <w:t>）排放=（原料投入量×原料含碳量-产品产出量×产品含碳量-废物输出量×废物含碳量）×44/12</w:t>
      </w:r>
      <w:r>
        <w:rPr>
          <w:rFonts w:hint="eastAsia" w:ascii="宋体" w:hAnsi="宋体" w:eastAsia="宋体" w:cs="宋体"/>
          <w:b w:val="0"/>
          <w:bCs/>
          <w:sz w:val="24"/>
          <w:szCs w:val="24"/>
          <w:lang w:val="en-US" w:eastAsia="zh-CN"/>
        </w:rPr>
        <w:t>。其中44是二氧化碳（CO</w:t>
      </w:r>
      <w:r>
        <w:rPr>
          <w:rFonts w:hint="eastAsia" w:ascii="宋体" w:hAnsi="宋体" w:eastAsia="宋体" w:cs="宋体"/>
          <w:b w:val="0"/>
          <w:bCs/>
          <w:sz w:val="24"/>
          <w:szCs w:val="24"/>
          <w:vertAlign w:val="subscript"/>
          <w:lang w:val="en-US" w:eastAsia="zh-CN"/>
        </w:rPr>
        <w:t>2</w:t>
      </w:r>
      <w:r>
        <w:rPr>
          <w:rFonts w:hint="eastAsia" w:ascii="宋体" w:hAnsi="宋体" w:eastAsia="宋体" w:cs="宋体"/>
          <w:b w:val="0"/>
          <w:bCs/>
          <w:sz w:val="24"/>
          <w:szCs w:val="24"/>
          <w:lang w:val="en-US" w:eastAsia="zh-CN"/>
        </w:rPr>
        <w:t>）的摩尔质量（单位：g/mol），12是碳（C）的摩尔质量（单位：g/mol）。这个比例转换因子用于将碳的质量转换为二氧化碳的质量。</w:t>
      </w:r>
    </w:p>
    <w:p>
      <w:pPr>
        <w:pStyle w:val="6"/>
        <w:bidi w:val="0"/>
        <w:rPr>
          <w:rFonts w:hint="eastAsia"/>
          <w:lang w:val="en-US" w:eastAsia="zh-CN"/>
        </w:rPr>
      </w:pPr>
      <w:r>
        <w:rPr>
          <w:rFonts w:hint="eastAsia" w:ascii="黑体" w:hAnsi="黑体" w:eastAsia="黑体" w:cs="黑体"/>
          <w:sz w:val="24"/>
          <w:szCs w:val="24"/>
          <w:lang w:val="en-US" w:eastAsia="zh-CN"/>
        </w:rPr>
        <w:t>5.1.3.2 实测法</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实测法基于排放源实测基础数据，汇总得到相关碳排放量。这里又包括两种实测方法，即现场测量和非现场测量。</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现场测量一般是在烟气排放连续监测系统（CEMS）中搭载碳排放监测模块，通过连续监测浓度和流速直接测量其排放量；非现场测量是通过采集样品送到有关监测部门，利用专门的检测设备和技术进行定量分析。二者相比，由于非现场实测时采样气体会发生吸附反映、解离等问题，现场测量的准确性要明显高于非现场测量。</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无论是计算法还是实测法均无法直接“看到”碳排放量，需通过“监测+计算”将“可获取的数据”转化为“碳量化结果”，不存在“无需监测、计算的碳监测方法”。二者均以“精准量化碳排”为目标，以“公式推导”为底层逻辑，以“数据质控”为可靠性保障，以“标准化规范”为操作依据，最终共同服务于全场景的碳管理需求。</w:t>
      </w:r>
    </w:p>
    <w:p>
      <w:pPr>
        <w:pStyle w:val="4"/>
        <w:bidi w:val="0"/>
        <w:rPr>
          <w:rFonts w:hint="eastAsia" w:ascii="黑体" w:hAnsi="黑体" w:eastAsia="黑体" w:cs="黑体"/>
          <w:b/>
          <w:sz w:val="24"/>
          <w:szCs w:val="24"/>
          <w:lang w:val="en-US" w:eastAsia="zh-CN"/>
        </w:rPr>
      </w:pPr>
      <w:bookmarkStart w:id="38" w:name="_Toc10208"/>
      <w:bookmarkStart w:id="39" w:name="_Toc29086"/>
      <w:r>
        <w:rPr>
          <w:rFonts w:hint="eastAsia" w:ascii="黑体" w:hAnsi="黑体" w:eastAsia="黑体" w:cs="黑体"/>
          <w:b/>
          <w:sz w:val="24"/>
          <w:szCs w:val="24"/>
          <w:lang w:val="en-US" w:eastAsia="zh-CN"/>
        </w:rPr>
        <w:t>5.1.4 监测频率</w:t>
      </w:r>
      <w:bookmarkEnd w:id="38"/>
      <w:bookmarkEnd w:id="39"/>
    </w:p>
    <w:p>
      <w:pPr>
        <w:pStyle w:val="37"/>
        <w:keepNext w:val="0"/>
        <w:keepLines w:val="0"/>
        <w:widowControl/>
        <w:suppressLineNumbers w:val="0"/>
        <w:spacing w:line="360" w:lineRule="auto"/>
        <w:ind w:left="0" w:firstLine="480"/>
        <w:rPr>
          <w:rFonts w:hint="eastAsia" w:ascii="宋体" w:hAnsi="宋体" w:eastAsia="宋体" w:cs="Times New Roman"/>
          <w:color w:val="000000"/>
          <w:sz w:val="24"/>
          <w:szCs w:val="24"/>
        </w:rPr>
      </w:pPr>
      <w:r>
        <w:rPr>
          <w:rFonts w:hint="eastAsia" w:ascii="宋体" w:hAnsi="宋体" w:eastAsia="宋体" w:cs="宋体"/>
          <w:color w:val="000000"/>
          <w:sz w:val="24"/>
          <w:szCs w:val="24"/>
        </w:rPr>
        <w:t>①</w:t>
      </w:r>
      <w:r>
        <w:rPr>
          <w:rFonts w:hint="eastAsia" w:ascii="宋体" w:hAnsi="宋体" w:eastAsia="宋体" w:cs="Times New Roman"/>
          <w:color w:val="000000"/>
          <w:sz w:val="24"/>
          <w:szCs w:val="24"/>
        </w:rPr>
        <w:t xml:space="preserve"> </w:t>
      </w:r>
      <w:r>
        <w:rPr>
          <w:rFonts w:hint="eastAsia" w:ascii="宋体" w:hAnsi="宋体" w:eastAsia="宋体" w:cs="宋体"/>
          <w:b w:val="0"/>
          <w:bCs/>
          <w:kern w:val="2"/>
          <w:sz w:val="24"/>
          <w:szCs w:val="24"/>
          <w:lang w:val="en-US" w:eastAsia="zh-CN" w:bidi="ar-SA"/>
        </w:rPr>
        <w:t>对直接输入或输出企业导致排放的燃料、材料进行连续测量</w:t>
      </w:r>
      <w:r>
        <w:rPr>
          <w:rFonts w:hint="eastAsia" w:hAnsi="宋体" w:cs="宋体"/>
          <w:b w:val="0"/>
          <w:bCs/>
          <w:kern w:val="2"/>
          <w:sz w:val="24"/>
          <w:szCs w:val="24"/>
          <w:lang w:val="en-US" w:eastAsia="zh-CN" w:bidi="ar-SA"/>
        </w:rPr>
        <w:t>(不少于1次/小时)</w:t>
      </w:r>
      <w:r>
        <w:rPr>
          <w:rFonts w:hint="eastAsia" w:ascii="宋体" w:hAnsi="宋体" w:eastAsia="宋体" w:cs="宋体"/>
          <w:b w:val="0"/>
          <w:bCs/>
          <w:kern w:val="2"/>
          <w:sz w:val="24"/>
          <w:szCs w:val="24"/>
          <w:lang w:val="en-US" w:eastAsia="zh-CN" w:bidi="ar-SA"/>
        </w:rPr>
        <w:t>，例如天然气流量计、皮带秤</w:t>
      </w:r>
      <w:r>
        <w:rPr>
          <w:rFonts w:hint="eastAsia" w:hAnsi="宋体" w:cs="宋体"/>
          <w:b w:val="0"/>
          <w:bCs/>
          <w:kern w:val="2"/>
          <w:sz w:val="24"/>
          <w:szCs w:val="24"/>
          <w:lang w:val="en-US" w:eastAsia="zh-CN" w:bidi="ar-SA"/>
        </w:rPr>
        <w:t>、电表</w:t>
      </w:r>
      <w:r>
        <w:rPr>
          <w:rFonts w:hint="eastAsia" w:ascii="宋体" w:hAnsi="宋体" w:eastAsia="宋体" w:cs="宋体"/>
          <w:b w:val="0"/>
          <w:bCs/>
          <w:kern w:val="2"/>
          <w:sz w:val="24"/>
          <w:szCs w:val="24"/>
          <w:lang w:val="en-US" w:eastAsia="zh-CN" w:bidi="ar-SA"/>
        </w:rPr>
        <w:t>等</w:t>
      </w:r>
      <w:r>
        <w:rPr>
          <w:rFonts w:hint="eastAsia" w:ascii="宋体" w:hAnsi="宋体" w:eastAsia="宋体" w:cs="宋体"/>
          <w:color w:val="000000"/>
          <w:sz w:val="24"/>
          <w:szCs w:val="24"/>
        </w:rPr>
        <w:t>。</w:t>
      </w:r>
    </w:p>
    <w:p>
      <w:pPr>
        <w:pStyle w:val="37"/>
        <w:keepNext w:val="0"/>
        <w:keepLines w:val="0"/>
        <w:widowControl/>
        <w:suppressLineNumbers w:val="0"/>
        <w:spacing w:line="360" w:lineRule="auto"/>
        <w:ind w:left="0" w:firstLine="480"/>
        <w:rPr>
          <w:rFonts w:hint="eastAsia" w:ascii="宋体" w:hAnsi="宋体" w:eastAsia="宋体" w:cs="Times New Roman"/>
          <w:color w:val="000000"/>
          <w:sz w:val="24"/>
          <w:szCs w:val="24"/>
        </w:rPr>
      </w:pPr>
      <w:r>
        <w:rPr>
          <w:rFonts w:hint="eastAsia" w:ascii="宋体" w:hAnsi="宋体" w:eastAsia="宋体" w:cs="宋体"/>
          <w:color w:val="000000"/>
          <w:sz w:val="24"/>
          <w:szCs w:val="24"/>
        </w:rPr>
        <w:t>②</w:t>
      </w:r>
      <w:r>
        <w:rPr>
          <w:rFonts w:hint="eastAsia" w:ascii="宋体" w:hAnsi="宋体" w:eastAsia="宋体" w:cs="Times New Roman"/>
          <w:color w:val="000000"/>
          <w:sz w:val="24"/>
          <w:szCs w:val="24"/>
        </w:rPr>
        <w:t xml:space="preserve"> </w:t>
      </w:r>
      <w:r>
        <w:rPr>
          <w:rFonts w:hint="eastAsia" w:ascii="宋体" w:hAnsi="宋体" w:eastAsia="宋体" w:cs="宋体"/>
          <w:color w:val="000000"/>
          <w:sz w:val="24"/>
          <w:szCs w:val="24"/>
        </w:rPr>
        <w:t>基于对单独运送的数量进行测量并汇总</w:t>
      </w:r>
      <w:r>
        <w:rPr>
          <w:rFonts w:hint="eastAsia" w:hAnsi="宋体" w:cs="宋体"/>
          <w:color w:val="000000"/>
          <w:sz w:val="24"/>
          <w:szCs w:val="24"/>
          <w:lang w:eastAsia="zh-CN"/>
        </w:rPr>
        <w:t>（</w:t>
      </w:r>
      <w:r>
        <w:rPr>
          <w:rFonts w:hint="eastAsia" w:hAnsi="宋体" w:cs="宋体"/>
          <w:color w:val="000000"/>
          <w:sz w:val="24"/>
          <w:szCs w:val="24"/>
          <w:lang w:val="en-US" w:eastAsia="zh-CN"/>
        </w:rPr>
        <w:t>不少于1次/月</w:t>
      </w:r>
      <w:r>
        <w:rPr>
          <w:rFonts w:hint="eastAsia" w:hAnsi="宋体" w:cs="宋体"/>
          <w:color w:val="000000"/>
          <w:sz w:val="24"/>
          <w:szCs w:val="24"/>
          <w:lang w:eastAsia="zh-CN"/>
        </w:rPr>
        <w:t>）</w:t>
      </w:r>
      <w:r>
        <w:rPr>
          <w:rFonts w:hint="eastAsia" w:ascii="宋体" w:hAnsi="宋体" w:eastAsia="宋体" w:cs="宋体"/>
          <w:color w:val="000000"/>
          <w:sz w:val="24"/>
          <w:szCs w:val="24"/>
        </w:rPr>
        <w:t>，</w:t>
      </w:r>
      <w:r>
        <w:rPr>
          <w:rFonts w:hint="eastAsia" w:hAnsi="宋体" w:cs="宋体"/>
          <w:color w:val="000000"/>
          <w:sz w:val="24"/>
          <w:szCs w:val="24"/>
          <w:lang w:val="en-US" w:eastAsia="zh-CN"/>
        </w:rPr>
        <w:t>需要</w:t>
      </w:r>
      <w:r>
        <w:rPr>
          <w:rFonts w:hint="eastAsia" w:ascii="宋体" w:hAnsi="宋体" w:eastAsia="宋体" w:cs="宋体"/>
          <w:color w:val="000000"/>
          <w:sz w:val="24"/>
          <w:szCs w:val="24"/>
        </w:rPr>
        <w:t>考虑到相关的库存变化，例如汽车衡、轨道衡和煤堆变化测量等。</w:t>
      </w:r>
    </w:p>
    <w:p>
      <w:pPr>
        <w:pStyle w:val="37"/>
        <w:keepNext w:val="0"/>
        <w:keepLines w:val="0"/>
        <w:widowControl/>
        <w:suppressLineNumbers w:val="0"/>
        <w:spacing w:line="360" w:lineRule="auto"/>
        <w:ind w:left="0" w:firstLine="480"/>
        <w:rPr>
          <w:rFonts w:hint="eastAsia" w:ascii="宋体" w:hAnsi="宋体" w:eastAsia="宋体" w:cs="Times New Roman"/>
          <w:color w:val="000000"/>
          <w:sz w:val="24"/>
          <w:szCs w:val="24"/>
        </w:rPr>
      </w:pPr>
      <w:r>
        <w:rPr>
          <w:rFonts w:hint="eastAsia" w:ascii="宋体" w:hAnsi="宋体" w:eastAsia="宋体" w:cs="宋体"/>
          <w:color w:val="000000"/>
          <w:sz w:val="24"/>
          <w:szCs w:val="24"/>
        </w:rPr>
        <w:t>针对第2种情况，使用物料平衡确定活动数据：</w:t>
      </w:r>
    </w:p>
    <w:p>
      <w:pPr>
        <w:pStyle w:val="37"/>
        <w:keepNext w:val="0"/>
        <w:keepLines w:val="0"/>
        <w:widowControl/>
        <w:suppressLineNumbers w:val="0"/>
        <w:spacing w:line="360" w:lineRule="auto"/>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ab/>
      </w:r>
      <w:r>
        <w:rPr>
          <w:rFonts w:hint="eastAsia" w:ascii="宋体" w:hAnsi="宋体" w:eastAsia="宋体" w:cs="Times New Roman"/>
          <w:color w:val="000000"/>
          <w:sz w:val="24"/>
          <w:szCs w:val="24"/>
        </w:rPr>
        <w:t xml:space="preserve">   </w:t>
      </w:r>
      <w:r>
        <w:rPr>
          <w:rFonts w:hint="eastAsia" w:ascii="宋体" w:hAnsi="宋体" w:eastAsia="宋体" w:cs="Times New Roman"/>
          <w:color w:val="000000"/>
          <w:sz w:val="24"/>
          <w:szCs w:val="24"/>
        </w:rPr>
        <w:tab/>
      </w:r>
      <w:r>
        <w:rPr>
          <w:rFonts w:hint="eastAsia" w:ascii="宋体" w:hAnsi="宋体" w:eastAsia="宋体" w:cs="Times New Roman"/>
          <w:color w:val="000000"/>
          <w:sz w:val="24"/>
          <w:szCs w:val="24"/>
        </w:rPr>
        <w:t xml:space="preserve">    </w:t>
      </w:r>
      <m:oMath>
        <m:r>
          <m:rPr>
            <m:sty m:val="p"/>
          </m:rPr>
          <w:rPr>
            <w:rFonts w:hint="eastAsia" w:ascii="Cambria Math" w:hAnsi="Cambria Math"/>
            <w:color w:val="000000"/>
            <w:sz w:val="24"/>
            <w:szCs w:val="24"/>
          </w:rPr>
          <m:t>Q</m:t>
        </m:r>
        <m:r>
          <m:rPr>
            <m:sty m:val="p"/>
          </m:rPr>
          <w:rPr>
            <w:rFonts w:ascii="Cambria Math" w:hAnsi="Cambria Math"/>
            <w:color w:val="000000"/>
            <w:sz w:val="24"/>
            <w:szCs w:val="24"/>
          </w:rPr>
          <m:t>=P−E+</m:t>
        </m:r>
        <m:d>
          <m:dPr>
            <m:ctrlPr>
              <w:rPr>
                <w:rFonts w:ascii="Cambria Math" w:hAnsi="Cambria Math"/>
                <w:color w:val="000000"/>
                <w:sz w:val="24"/>
                <w:szCs w:val="24"/>
              </w:rPr>
            </m:ctrlPr>
          </m:dPr>
          <m:e>
            <m:sSub>
              <m:sSubPr>
                <m:ctrlPr>
                  <w:rPr>
                    <w:rFonts w:ascii="Cambria Math" w:hAnsi="Cambria Math"/>
                    <w:i/>
                    <w:color w:val="000000"/>
                    <w:sz w:val="24"/>
                    <w:szCs w:val="24"/>
                  </w:rPr>
                </m:ctrlPr>
              </m:sSubPr>
              <m:e>
                <m:r>
                  <m:rPr>
                    <m:sty m:val="p"/>
                  </m:rPr>
                  <w:rPr>
                    <w:rFonts w:ascii="Cambria Math" w:hAnsi="Cambria Math"/>
                    <w:color w:val="000000"/>
                    <w:sz w:val="24"/>
                    <w:szCs w:val="24"/>
                  </w:rPr>
                  <m:t>S</m:t>
                </m:r>
                <m:ctrlPr>
                  <w:rPr>
                    <w:rFonts w:ascii="Cambria Math" w:hAnsi="Cambria Math"/>
                    <w:i/>
                    <w:color w:val="000000"/>
                    <w:sz w:val="24"/>
                    <w:szCs w:val="24"/>
                  </w:rPr>
                </m:ctrlPr>
              </m:e>
              <m:sub>
                <m:r>
                  <m:rPr>
                    <m:sty m:val="p"/>
                  </m:rPr>
                  <w:rPr>
                    <w:rFonts w:ascii="Cambria Math" w:hAnsi="Cambria Math"/>
                    <w:color w:val="000000"/>
                    <w:sz w:val="24"/>
                    <w:szCs w:val="24"/>
                    <w:vertAlign w:val="subscript"/>
                  </w:rPr>
                  <m:t>begin</m:t>
                </m:r>
                <m:ctrlPr>
                  <w:rPr>
                    <w:rFonts w:ascii="Cambria Math" w:hAnsi="Cambria Math"/>
                    <w:i/>
                    <w:color w:val="000000"/>
                    <w:sz w:val="24"/>
                    <w:szCs w:val="24"/>
                  </w:rPr>
                </m:ctrlPr>
              </m:sub>
            </m:sSub>
            <m:r>
              <m:rPr/>
              <w:rPr>
                <w:rFonts w:hint="eastAsia" w:ascii="微软雅黑" w:hAnsi="微软雅黑" w:eastAsia="微软雅黑" w:cs="微软雅黑"/>
                <w:color w:val="000000"/>
                <w:sz w:val="24"/>
                <w:szCs w:val="24"/>
              </w:rPr>
              <m:t>−</m:t>
            </m:r>
            <m:sSub>
              <m:sSubPr>
                <m:ctrlPr>
                  <w:rPr>
                    <w:rFonts w:ascii="Cambria Math" w:hAnsi="Cambria Math"/>
                    <w:i/>
                    <w:color w:val="000000"/>
                    <w:sz w:val="24"/>
                    <w:szCs w:val="24"/>
                  </w:rPr>
                </m:ctrlPr>
              </m:sSubPr>
              <m:e>
                <m:r>
                  <m:rPr>
                    <m:sty m:val="p"/>
                  </m:rPr>
                  <w:rPr>
                    <w:rFonts w:ascii="Cambria Math" w:hAnsi="Cambria Math"/>
                    <w:color w:val="000000"/>
                    <w:sz w:val="24"/>
                    <w:szCs w:val="24"/>
                  </w:rPr>
                  <m:t>S</m:t>
                </m:r>
                <m:ctrlPr>
                  <w:rPr>
                    <w:rFonts w:ascii="Cambria Math" w:hAnsi="Cambria Math"/>
                    <w:i/>
                    <w:color w:val="000000"/>
                    <w:sz w:val="24"/>
                    <w:szCs w:val="24"/>
                  </w:rPr>
                </m:ctrlPr>
              </m:e>
              <m:sub>
                <m:r>
                  <m:rPr>
                    <m:sty m:val="p"/>
                  </m:rPr>
                  <w:rPr>
                    <w:rFonts w:ascii="Cambria Math" w:hAnsi="Cambria Math"/>
                    <w:color w:val="000000"/>
                    <w:sz w:val="24"/>
                    <w:szCs w:val="24"/>
                    <w:vertAlign w:val="subscript"/>
                  </w:rPr>
                  <m:t>end</m:t>
                </m:r>
                <m:ctrlPr>
                  <w:rPr>
                    <w:rFonts w:ascii="Cambria Math" w:hAnsi="Cambria Math"/>
                    <w:i/>
                    <w:color w:val="000000"/>
                    <w:sz w:val="24"/>
                    <w:szCs w:val="24"/>
                  </w:rPr>
                </m:ctrlPr>
              </m:sub>
            </m:sSub>
            <m:ctrlPr>
              <w:rPr>
                <w:rFonts w:ascii="Cambria Math" w:hAnsi="Cambria Math"/>
                <w:color w:val="000000"/>
                <w:sz w:val="24"/>
                <w:szCs w:val="24"/>
              </w:rPr>
            </m:ctrlPr>
          </m:e>
        </m:d>
      </m:oMath>
      <w:r>
        <w:rPr>
          <w:rFonts w:hAnsi="宋体"/>
          <w:color w:val="000000"/>
          <w:sz w:val="24"/>
          <w:szCs w:val="24"/>
        </w:rPr>
        <w:tab/>
      </w:r>
      <w:r>
        <w:rPr>
          <w:rFonts w:hAnsi="宋体"/>
          <w:color w:val="000000"/>
          <w:sz w:val="24"/>
          <w:szCs w:val="24"/>
        </w:rPr>
        <w:t xml:space="preserve">   </w:t>
      </w:r>
      <w:r>
        <w:rPr>
          <w:rFonts w:hint="eastAsia" w:ascii="宋体" w:hAnsi="宋体" w:eastAsia="宋体" w:cs="Times New Roman"/>
          <w:color w:val="000000"/>
          <w:sz w:val="24"/>
          <w:szCs w:val="24"/>
        </w:rPr>
        <w:t xml:space="preserve">           </w:t>
      </w:r>
    </w:p>
    <w:p>
      <w:pPr>
        <w:pStyle w:val="37"/>
        <w:tabs>
          <w:tab w:val="center" w:pos="4201"/>
          <w:tab w:val="right" w:leader="dot" w:pos="9298"/>
        </w:tabs>
        <w:spacing w:line="360" w:lineRule="auto"/>
        <w:ind w:firstLine="480"/>
        <w:rPr>
          <w:rFonts w:hAnsi="宋体"/>
          <w:color w:val="000000"/>
          <w:sz w:val="24"/>
          <w:szCs w:val="24"/>
        </w:rPr>
      </w:pPr>
      <w:r>
        <w:rPr>
          <w:rFonts w:hint="eastAsia" w:hAnsi="宋体"/>
          <w:color w:val="000000"/>
          <w:sz w:val="24"/>
          <w:szCs w:val="24"/>
        </w:rPr>
        <w:t>其中：</w:t>
      </w:r>
    </w:p>
    <w:p>
      <w:pPr>
        <w:pStyle w:val="37"/>
        <w:tabs>
          <w:tab w:val="center" w:pos="4201"/>
          <w:tab w:val="right" w:leader="dot" w:pos="9298"/>
        </w:tabs>
        <w:spacing w:line="360" w:lineRule="auto"/>
        <w:ind w:firstLine="480"/>
        <w:rPr>
          <w:rFonts w:hAnsi="宋体"/>
          <w:color w:val="000000"/>
          <w:sz w:val="24"/>
          <w:szCs w:val="24"/>
        </w:rPr>
      </w:pPr>
      <m:oMath>
        <m:r>
          <m:rPr>
            <m:sty m:val="p"/>
          </m:rPr>
          <w:rPr>
            <w:rFonts w:hint="eastAsia" w:ascii="Cambria Math" w:hAnsi="Cambria Math"/>
            <w:color w:val="000000"/>
            <w:sz w:val="24"/>
            <w:szCs w:val="24"/>
          </w:rPr>
          <m:t>Q</m:t>
        </m:r>
      </m:oMath>
      <w:r>
        <w:rPr>
          <w:rFonts w:hint="eastAsia" w:hAnsi="宋体"/>
          <w:i/>
          <w:color w:val="000000"/>
          <w:sz w:val="24"/>
          <w:szCs w:val="24"/>
        </w:rPr>
        <w:t>——</w:t>
      </w:r>
      <w:r>
        <w:rPr>
          <w:rFonts w:hint="eastAsia" w:hAnsi="宋体"/>
          <w:color w:val="000000"/>
          <w:sz w:val="24"/>
          <w:szCs w:val="24"/>
        </w:rPr>
        <w:t>在对应期间内使用的燃料和材料量；</w:t>
      </w:r>
    </w:p>
    <w:p>
      <w:pPr>
        <w:pStyle w:val="37"/>
        <w:tabs>
          <w:tab w:val="center" w:pos="4201"/>
          <w:tab w:val="right" w:leader="dot" w:pos="9298"/>
        </w:tabs>
        <w:spacing w:line="360" w:lineRule="auto"/>
        <w:ind w:firstLine="480"/>
        <w:rPr>
          <w:rFonts w:hAnsi="宋体"/>
          <w:color w:val="000000"/>
          <w:sz w:val="24"/>
          <w:szCs w:val="24"/>
        </w:rPr>
      </w:pPr>
      <m:oMath>
        <m:r>
          <m:rPr>
            <m:sty m:val="p"/>
          </m:rPr>
          <w:rPr>
            <w:rFonts w:ascii="Cambria Math" w:hAnsi="Cambria Math"/>
            <w:color w:val="000000"/>
            <w:sz w:val="24"/>
            <w:szCs w:val="24"/>
          </w:rPr>
          <m:t>P</m:t>
        </m:r>
      </m:oMath>
      <w:r>
        <w:rPr>
          <w:rFonts w:hint="eastAsia" w:hAnsi="宋体"/>
          <w:i/>
          <w:color w:val="000000"/>
          <w:sz w:val="24"/>
          <w:szCs w:val="24"/>
        </w:rPr>
        <w:t>——</w:t>
      </w:r>
      <w:r>
        <w:rPr>
          <w:rFonts w:hint="eastAsia" w:hAnsi="宋体"/>
          <w:color w:val="000000"/>
          <w:sz w:val="24"/>
          <w:szCs w:val="24"/>
        </w:rPr>
        <w:t>购买数量；</w:t>
      </w:r>
    </w:p>
    <w:p>
      <w:pPr>
        <w:pStyle w:val="37"/>
        <w:tabs>
          <w:tab w:val="center" w:pos="4201"/>
          <w:tab w:val="right" w:leader="dot" w:pos="9298"/>
        </w:tabs>
        <w:spacing w:line="360" w:lineRule="auto"/>
        <w:ind w:firstLine="480"/>
        <w:rPr>
          <w:rFonts w:hAnsi="宋体"/>
          <w:color w:val="000000"/>
          <w:sz w:val="24"/>
          <w:szCs w:val="24"/>
        </w:rPr>
      </w:pPr>
      <m:oMath>
        <m:r>
          <m:rPr>
            <m:sty m:val="p"/>
          </m:rPr>
          <w:rPr>
            <w:rFonts w:ascii="Cambria Math" w:hAnsi="Cambria Math"/>
            <w:color w:val="000000"/>
            <w:sz w:val="24"/>
            <w:szCs w:val="24"/>
          </w:rPr>
          <m:t>E</m:t>
        </m:r>
      </m:oMath>
      <w:r>
        <w:rPr>
          <w:rFonts w:hint="eastAsia" w:hAnsi="宋体"/>
          <w:i/>
          <w:color w:val="000000"/>
          <w:sz w:val="24"/>
          <w:szCs w:val="24"/>
        </w:rPr>
        <w:t>——</w:t>
      </w:r>
      <w:r>
        <w:rPr>
          <w:rFonts w:hint="eastAsia" w:hAnsi="宋体"/>
          <w:color w:val="000000"/>
          <w:sz w:val="24"/>
          <w:szCs w:val="24"/>
        </w:rPr>
        <w:t>输出数量（例如输送到不包含在碳交易的设施中）</w:t>
      </w:r>
    </w:p>
    <w:p>
      <w:pPr>
        <w:pStyle w:val="37"/>
        <w:tabs>
          <w:tab w:val="center" w:pos="4201"/>
          <w:tab w:val="right" w:leader="dot" w:pos="9298"/>
        </w:tabs>
        <w:spacing w:line="360" w:lineRule="auto"/>
        <w:ind w:firstLine="480"/>
        <w:rPr>
          <w:rFonts w:hAnsi="宋体"/>
          <w:i w:val="0"/>
          <w:iCs/>
          <w:color w:val="000000"/>
          <w:sz w:val="24"/>
          <w:szCs w:val="24"/>
        </w:rPr>
      </w:pPr>
      <m:oMath>
        <m:sSub>
          <m:sSubPr>
            <m:ctrlPr>
              <w:rPr>
                <w:rFonts w:ascii="Cambria Math" w:hAnsi="Cambria Math"/>
                <w:i/>
                <w:color w:val="000000"/>
                <w:sz w:val="24"/>
                <w:szCs w:val="24"/>
              </w:rPr>
            </m:ctrlPr>
          </m:sSubPr>
          <m:e>
            <m:r>
              <m:rPr>
                <m:sty m:val="p"/>
              </m:rPr>
              <w:rPr>
                <w:rFonts w:ascii="Cambria Math" w:hAnsi="Cambria Math"/>
                <w:color w:val="000000"/>
                <w:sz w:val="24"/>
                <w:szCs w:val="24"/>
              </w:rPr>
              <m:t>S</m:t>
            </m:r>
            <m:ctrlPr>
              <w:rPr>
                <w:rFonts w:ascii="Cambria Math" w:hAnsi="Cambria Math"/>
                <w:i/>
                <w:color w:val="000000"/>
                <w:sz w:val="24"/>
                <w:szCs w:val="24"/>
              </w:rPr>
            </m:ctrlPr>
          </m:e>
          <m:sub>
            <m:r>
              <m:rPr>
                <m:sty m:val="p"/>
              </m:rPr>
              <w:rPr>
                <w:rFonts w:ascii="Cambria Math" w:hAnsi="Cambria Math"/>
                <w:color w:val="000000"/>
                <w:sz w:val="24"/>
                <w:szCs w:val="24"/>
                <w:vertAlign w:val="subscript"/>
              </w:rPr>
              <m:t>begin</m:t>
            </m:r>
            <m:ctrlPr>
              <w:rPr>
                <w:rFonts w:ascii="Cambria Math" w:hAnsi="Cambria Math"/>
                <w:i/>
                <w:color w:val="000000"/>
                <w:sz w:val="24"/>
                <w:szCs w:val="24"/>
              </w:rPr>
            </m:ctrlPr>
          </m:sub>
        </m:sSub>
      </m:oMath>
      <w:r>
        <w:rPr>
          <w:rFonts w:hint="eastAsia" w:hAnsi="宋体"/>
          <w:i/>
          <w:color w:val="000000"/>
          <w:sz w:val="24"/>
          <w:szCs w:val="24"/>
        </w:rPr>
        <w:t>——</w:t>
      </w:r>
      <w:r>
        <w:rPr>
          <w:rFonts w:hint="eastAsia" w:hAnsi="宋体"/>
          <w:i w:val="0"/>
          <w:iCs/>
          <w:color w:val="000000"/>
          <w:sz w:val="24"/>
          <w:szCs w:val="24"/>
          <w:lang w:val="en-US" w:eastAsia="zh-CN"/>
        </w:rPr>
        <w:t>月</w:t>
      </w:r>
      <w:r>
        <w:rPr>
          <w:rFonts w:hint="eastAsia" w:hAnsi="宋体"/>
          <w:i w:val="0"/>
          <w:iCs/>
          <w:color w:val="000000"/>
          <w:sz w:val="24"/>
          <w:szCs w:val="24"/>
        </w:rPr>
        <w:t>初库存</w:t>
      </w:r>
    </w:p>
    <w:p>
      <w:pPr>
        <w:pStyle w:val="37"/>
        <w:tabs>
          <w:tab w:val="center" w:pos="4201"/>
          <w:tab w:val="right" w:leader="dot" w:pos="9298"/>
        </w:tabs>
        <w:spacing w:line="360" w:lineRule="auto"/>
        <w:ind w:firstLine="480"/>
        <w:rPr>
          <w:rFonts w:hAnsi="宋体"/>
          <w:color w:val="000000"/>
          <w:sz w:val="24"/>
          <w:szCs w:val="24"/>
        </w:rPr>
      </w:pPr>
      <m:oMath>
        <m:sSub>
          <m:sSubPr>
            <m:ctrlPr>
              <w:rPr>
                <w:rFonts w:ascii="Cambria Math" w:hAnsi="Cambria Math"/>
                <w:i/>
                <w:color w:val="000000"/>
                <w:sz w:val="24"/>
                <w:szCs w:val="24"/>
              </w:rPr>
            </m:ctrlPr>
          </m:sSubPr>
          <m:e>
            <m:r>
              <m:rPr>
                <m:sty m:val="p"/>
              </m:rPr>
              <w:rPr>
                <w:rFonts w:ascii="Cambria Math" w:hAnsi="Cambria Math"/>
                <w:color w:val="000000"/>
                <w:sz w:val="24"/>
                <w:szCs w:val="24"/>
              </w:rPr>
              <m:t>S</m:t>
            </m:r>
            <m:ctrlPr>
              <w:rPr>
                <w:rFonts w:ascii="Cambria Math" w:hAnsi="Cambria Math"/>
                <w:i/>
                <w:color w:val="000000"/>
                <w:sz w:val="24"/>
                <w:szCs w:val="24"/>
              </w:rPr>
            </m:ctrlPr>
          </m:e>
          <m:sub>
            <m:r>
              <m:rPr>
                <m:sty m:val="p"/>
              </m:rPr>
              <w:rPr>
                <w:rFonts w:ascii="Cambria Math" w:hAnsi="Cambria Math"/>
                <w:color w:val="000000"/>
                <w:sz w:val="24"/>
                <w:szCs w:val="24"/>
                <w:vertAlign w:val="subscript"/>
              </w:rPr>
              <m:t>end</m:t>
            </m:r>
            <m:ctrlPr>
              <w:rPr>
                <w:rFonts w:ascii="Cambria Math" w:hAnsi="Cambria Math"/>
                <w:i/>
                <w:color w:val="000000"/>
                <w:sz w:val="24"/>
                <w:szCs w:val="24"/>
              </w:rPr>
            </m:ctrlPr>
          </m:sub>
        </m:sSub>
      </m:oMath>
      <w:r>
        <w:rPr>
          <w:rFonts w:hint="eastAsia" w:hAnsi="Cambria Math"/>
          <w:i/>
          <w:color w:val="000000"/>
          <w:sz w:val="24"/>
          <w:szCs w:val="24"/>
          <w:lang w:val="en-US" w:eastAsia="zh-CN"/>
        </w:rPr>
        <w:t xml:space="preserve"> </w:t>
      </w:r>
      <w:r>
        <w:rPr>
          <w:rFonts w:hint="eastAsia" w:hAnsi="宋体"/>
          <w:i/>
          <w:color w:val="000000"/>
          <w:sz w:val="24"/>
          <w:szCs w:val="24"/>
        </w:rPr>
        <w:t>——</w:t>
      </w:r>
      <w:r>
        <w:rPr>
          <w:rFonts w:hint="eastAsia" w:hAnsi="宋体"/>
          <w:i w:val="0"/>
          <w:iCs/>
          <w:color w:val="000000"/>
          <w:sz w:val="24"/>
          <w:szCs w:val="24"/>
          <w:lang w:val="en-US" w:eastAsia="zh-CN"/>
        </w:rPr>
        <w:t>月</w:t>
      </w:r>
      <w:r>
        <w:rPr>
          <w:rFonts w:hint="eastAsia" w:hAnsi="宋体"/>
          <w:i w:val="0"/>
          <w:iCs/>
          <w:color w:val="000000"/>
          <w:sz w:val="24"/>
          <w:szCs w:val="24"/>
        </w:rPr>
        <w:t>末库存</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③ 针对化验室化验的数据，应保证每批次监测一次。</w:t>
      </w:r>
    </w:p>
    <w:p>
      <w:pPr>
        <w:pStyle w:val="4"/>
        <w:bidi w:val="0"/>
        <w:rPr>
          <w:rFonts w:hint="default" w:ascii="黑体" w:hAnsi="黑体" w:eastAsia="黑体" w:cs="黑体"/>
          <w:b/>
          <w:sz w:val="24"/>
          <w:szCs w:val="24"/>
          <w:lang w:val="en-US" w:eastAsia="zh-CN"/>
        </w:rPr>
      </w:pPr>
      <w:bookmarkStart w:id="40" w:name="_Toc6205"/>
      <w:r>
        <w:rPr>
          <w:rFonts w:hint="eastAsia" w:ascii="黑体" w:hAnsi="黑体" w:eastAsia="黑体" w:cs="黑体"/>
          <w:b/>
          <w:sz w:val="24"/>
          <w:szCs w:val="24"/>
          <w:lang w:val="en-US" w:eastAsia="zh-CN"/>
        </w:rPr>
        <w:t>5.1.5 监测设备</w:t>
      </w:r>
      <w:bookmarkEnd w:id="40"/>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9"/>
        <w:gridCol w:w="1246"/>
        <w:gridCol w:w="1485"/>
        <w:gridCol w:w="3141"/>
        <w:gridCol w:w="1005"/>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1180" w:type="dxa"/>
            <w:vMerge w:val="restart"/>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能源种类</w:t>
            </w:r>
          </w:p>
        </w:tc>
        <w:tc>
          <w:tcPr>
            <w:tcW w:w="1246" w:type="dxa"/>
            <w:vMerge w:val="restart"/>
            <w:shd w:val="clear" w:color="auto" w:fill="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参数</w:t>
            </w:r>
          </w:p>
        </w:tc>
        <w:tc>
          <w:tcPr>
            <w:tcW w:w="0" w:type="auto"/>
            <w:vMerge w:val="restart"/>
            <w:shd w:val="clear" w:color="auto" w:fill="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监测设备</w:t>
            </w:r>
          </w:p>
        </w:tc>
        <w:tc>
          <w:tcPr>
            <w:tcW w:w="0" w:type="auto"/>
            <w:vMerge w:val="restart"/>
            <w:shd w:val="clear" w:color="auto" w:fill="auto"/>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计量方法</w:t>
            </w:r>
          </w:p>
        </w:tc>
        <w:tc>
          <w:tcPr>
            <w:tcW w:w="0" w:type="auto"/>
            <w:gridSpan w:val="2"/>
            <w:shd w:val="clear" w:color="auto" w:fill="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最大允许误差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180" w:type="dxa"/>
            <w:vMerge w:val="continue"/>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1246" w:type="dxa"/>
            <w:vMerge w:val="continue"/>
            <w:shd w:val="clear" w:color="auto" w:fill="auto"/>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0" w:type="auto"/>
            <w:vMerge w:val="continue"/>
            <w:shd w:val="clear" w:color="auto" w:fill="auto"/>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0" w:type="auto"/>
            <w:vMerge w:val="continue"/>
            <w:shd w:val="clear" w:color="auto" w:fill="auto"/>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0" w:type="auto"/>
            <w:shd w:val="clear" w:color="auto" w:fill="auto"/>
            <w:vAlign w:val="center"/>
          </w:tcPr>
          <w:p>
            <w:pPr>
              <w:pStyle w:val="37"/>
              <w:keepNext w:val="0"/>
              <w:keepLines w:val="0"/>
              <w:widowControl/>
              <w:suppressLineNumbers w:val="0"/>
              <w:spacing w:line="360" w:lineRule="auto"/>
              <w:ind w:left="0" w:leftChars="0" w:firstLine="0" w:firstLineChars="0"/>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主要</w:t>
            </w:r>
            <w:r>
              <w:rPr>
                <w:rFonts w:hint="eastAsia" w:hAnsi="宋体" w:cs="宋体"/>
                <w:b w:val="0"/>
                <w:bCs/>
                <w:kern w:val="2"/>
                <w:sz w:val="24"/>
                <w:szCs w:val="24"/>
                <w:lang w:val="en-US" w:eastAsia="zh-CN" w:bidi="ar-SA"/>
              </w:rPr>
              <w:t>数据源</w:t>
            </w:r>
          </w:p>
        </w:tc>
        <w:tc>
          <w:tcPr>
            <w:tcW w:w="0" w:type="auto"/>
            <w:shd w:val="clear" w:color="auto" w:fill="auto"/>
            <w:vAlign w:val="center"/>
          </w:tcPr>
          <w:p>
            <w:pPr>
              <w:pStyle w:val="37"/>
              <w:keepNext w:val="0"/>
              <w:keepLines w:val="0"/>
              <w:widowControl/>
              <w:suppressLineNumbers w:val="0"/>
              <w:spacing w:line="360" w:lineRule="auto"/>
              <w:ind w:left="0" w:leftChars="0" w:firstLine="0" w:firstLineChars="0"/>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次要</w:t>
            </w:r>
            <w:r>
              <w:rPr>
                <w:rFonts w:hint="eastAsia" w:hAnsi="宋体" w:cs="宋体"/>
                <w:b w:val="0"/>
                <w:bCs/>
                <w:kern w:val="2"/>
                <w:sz w:val="24"/>
                <w:szCs w:val="24"/>
                <w:lang w:val="en-US" w:eastAsia="zh-CN" w:bidi="ar-SA"/>
              </w:rPr>
              <w:t>数据源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Align w:val="center"/>
          </w:tcPr>
          <w:p>
            <w:pPr>
              <w:pStyle w:val="37"/>
              <w:keepNext w:val="0"/>
              <w:keepLines w:val="0"/>
              <w:widowControl/>
              <w:suppressLineNumbers w:val="0"/>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固体燃料</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燃料消耗量与平均低位发热量乘积（GJ）</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非自动衡器、连续累计自动衡器（皮带秤）</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JJG539-2016《数字指示秤检定规程》、</w:t>
            </w:r>
          </w:p>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JJG195-2019《连续累计自动衡器（皮带秤）检定规程》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2.5%</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其它气态和液态燃料</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燃料消耗量与平均低位发热量乘积（GJ）</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油流量计、气体流量计</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JJG667-2010《液体容积式流量计检定规程》、JJG640-2016《差压式流量计检定规程》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商业标准燃料</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燃料消耗量与平均低位发热量乘积（GJ）</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油流量计、气体流量计</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JJG667-2010《液体容积式流量计检定规程》、JJG640-2016《差压式流量计检定规程》</w:t>
            </w:r>
          </w:p>
        </w:tc>
        <w:tc>
          <w:tcPr>
            <w:tcW w:w="0" w:type="auto"/>
            <w:vAlign w:val="center"/>
          </w:tcPr>
          <w:p>
            <w:pPr>
              <w:pStyle w:val="37"/>
              <w:keepNext w:val="0"/>
              <w:keepLines w:val="0"/>
              <w:widowControl/>
              <w:suppressLineNumbers w:val="0"/>
              <w:spacing w:line="360" w:lineRule="auto"/>
              <w:ind w:left="0" w:leftChars="0" w:firstLine="240" w:firstLineChars="10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2.5%</w:t>
            </w:r>
          </w:p>
        </w:tc>
        <w:tc>
          <w:tcPr>
            <w:tcW w:w="0" w:type="auto"/>
            <w:vAlign w:val="center"/>
          </w:tcPr>
          <w:p>
            <w:pPr>
              <w:pStyle w:val="37"/>
              <w:keepNext w:val="0"/>
              <w:keepLines w:val="0"/>
              <w:widowControl/>
              <w:suppressLineNumbers w:val="0"/>
              <w:spacing w:line="360" w:lineRule="auto"/>
              <w:ind w:left="0" w:leftChars="0" w:firstLine="240" w:firstLineChars="100"/>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含碳原料</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质量或体积</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非自动衡器、连续累计自动衡器（皮带秤）</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JJG539-2016《数字指示秤检定规程》</w:t>
            </w:r>
          </w:p>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JJG195-2019《连续累计自动衡器（皮带秤）检定规程》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含碳副产品</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质量或体积</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非自动衡器、连续累计自动衡器（皮带秤）</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JJG539-2016《数字指示秤检定规程》</w:t>
            </w:r>
          </w:p>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JJG195-2019《连续累计自动衡器（皮带秤）检定规程》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2.5%</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Merge w:val="restart"/>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购入和输出电力</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有功交流电能量（kWh）</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电能表</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JJG596《电子式交流电能表检定规程》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2.5%</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Merge w:val="continue"/>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直流电能量（kWh）</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电能表</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JJG1187-2022《直流标准电能表检定规程》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0.5%</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Merge w:val="restart"/>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购入和输出热力</w:t>
            </w: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热水焓值（kJ）</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流量计、温度计、压力计</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JJG225-2001《热能表检定规程》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0" w:type="dxa"/>
            <w:vMerge w:val="continue"/>
            <w:vAlign w:val="center"/>
          </w:tcPr>
          <w:p>
            <w:pPr>
              <w:pStyle w:val="37"/>
              <w:keepNext w:val="0"/>
              <w:keepLines w:val="0"/>
              <w:widowControl/>
              <w:suppressLineNumbers w:val="0"/>
              <w:spacing w:line="360" w:lineRule="auto"/>
              <w:ind w:left="0" w:firstLine="480"/>
              <w:rPr>
                <w:rFonts w:hint="eastAsia" w:ascii="宋体" w:hAnsi="宋体" w:eastAsia="宋体" w:cs="宋体"/>
                <w:b w:val="0"/>
                <w:bCs/>
                <w:kern w:val="2"/>
                <w:sz w:val="24"/>
                <w:szCs w:val="24"/>
                <w:lang w:val="en-US" w:eastAsia="zh-CN" w:bidi="ar-SA"/>
              </w:rPr>
            </w:pPr>
          </w:p>
        </w:tc>
        <w:tc>
          <w:tcPr>
            <w:tcW w:w="1246" w:type="dxa"/>
            <w:vAlign w:val="center"/>
          </w:tcPr>
          <w:p>
            <w:pPr>
              <w:pStyle w:val="37"/>
              <w:keepNext w:val="0"/>
              <w:keepLines w:val="0"/>
              <w:widowControl/>
              <w:suppressLineNumbers w:val="0"/>
              <w:spacing w:line="360" w:lineRule="auto"/>
              <w:ind w:left="0" w:leftChars="0" w:firstLine="0" w:firstLineChars="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蒸汽焓值（kJ）</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流量计、温度计、压力计</w:t>
            </w:r>
          </w:p>
        </w:tc>
        <w:tc>
          <w:tcPr>
            <w:tcW w:w="0" w:type="auto"/>
            <w:vAlign w:val="center"/>
          </w:tcPr>
          <w:p>
            <w:pPr>
              <w:pStyle w:val="37"/>
              <w:keepNext w:val="0"/>
              <w:keepLines w:val="0"/>
              <w:widowControl/>
              <w:suppressLineNumbers w:val="0"/>
              <w:spacing w:line="360" w:lineRule="auto"/>
              <w:ind w:left="0" w:leftChars="0"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JJG225-2001《热能表检定规程》</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10%</w:t>
            </w:r>
          </w:p>
        </w:tc>
        <w:tc>
          <w:tcPr>
            <w:tcW w:w="0" w:type="auto"/>
            <w:vAlign w:val="center"/>
          </w:tcPr>
          <w:p>
            <w:pPr>
              <w:pStyle w:val="37"/>
              <w:keepNext w:val="0"/>
              <w:keepLines w:val="0"/>
              <w:widowControl/>
              <w:suppressLineNumbers w:val="0"/>
              <w:spacing w:line="360" w:lineRule="auto"/>
              <w:ind w:left="0" w:leftChars="0"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w:t>
            </w:r>
          </w:p>
        </w:tc>
      </w:tr>
    </w:tbl>
    <w:p>
      <w:pPr>
        <w:rPr>
          <w:rFonts w:hint="default" w:ascii="宋体" w:hAnsi="宋体" w:eastAsia="宋体" w:cs="宋体"/>
          <w:b w:val="0"/>
          <w:bCs/>
          <w:kern w:val="2"/>
          <w:sz w:val="24"/>
          <w:szCs w:val="24"/>
          <w:lang w:val="en-US" w:eastAsia="zh-CN" w:bidi="ar-SA"/>
        </w:rPr>
      </w:pPr>
    </w:p>
    <w:p>
      <w:pPr>
        <w:pStyle w:val="3"/>
        <w:bidi w:val="0"/>
        <w:rPr>
          <w:rFonts w:hint="eastAsia" w:ascii="黑体" w:hAnsi="黑体" w:cs="黑体"/>
          <w:sz w:val="24"/>
          <w:szCs w:val="24"/>
          <w:lang w:val="en-US" w:eastAsia="zh-CN"/>
        </w:rPr>
      </w:pPr>
      <w:bookmarkStart w:id="41" w:name="_Toc21143"/>
      <w:r>
        <w:rPr>
          <w:rFonts w:hint="eastAsia" w:ascii="黑体" w:hAnsi="黑体" w:cs="黑体"/>
          <w:sz w:val="24"/>
          <w:szCs w:val="24"/>
          <w:lang w:val="en-US" w:eastAsia="zh-CN"/>
        </w:rPr>
        <w:t>5.2 数据审核</w:t>
      </w:r>
      <w:bookmarkEnd w:id="41"/>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审核的主要目的是确保企业提交的碳排放数据的准确性和完整性，以及这些数据是否符合既定的核算和报告指南。</w:t>
      </w:r>
    </w:p>
    <w:p>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数据审核分为企业端和政府平台端：</w:t>
      </w:r>
    </w:p>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（1）</w:t>
      </w:r>
      <w:r>
        <w:rPr>
          <w:rFonts w:hint="eastAsia" w:ascii="宋体" w:hAnsi="宋体" w:eastAsia="宋体" w:cs="宋体"/>
          <w:b w:val="0"/>
          <w:bCs/>
          <w:sz w:val="24"/>
          <w:szCs w:val="24"/>
          <w:lang w:val="en-US" w:eastAsia="zh-CN"/>
        </w:rPr>
        <w:t>企业端</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对于企业自建的碳监测系统，应具备碳数据自动计算、智能比对、智能推送、手工审核功能。</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生产各个环节产生的碳数据进行逐日自动汇总计算后，和企业相同生产水平下的往期碳排放量数据进行对比，如果偏差比较大，则推送异常数据和相关的指标量对比结果。由相关负责人员进行人工确认审核，分析异常原因并及时处理，将异常数据进行合理修正。</w:t>
      </w:r>
    </w:p>
    <w:p>
      <w:pPr>
        <w:numPr>
          <w:ilvl w:val="0"/>
          <w:numId w:val="0"/>
        </w:numPr>
        <w:spacing w:line="360" w:lineRule="auto"/>
        <w:ind w:firstLine="480" w:firstLineChars="200"/>
        <w:rPr>
          <w:rFonts w:hint="default" w:ascii="宋体" w:hAnsi="宋体" w:eastAsia="宋体" w:cs="宋体"/>
          <w:b w:val="0"/>
          <w:bCs/>
          <w:sz w:val="24"/>
          <w:szCs w:val="24"/>
          <w:lang w:val="en-US" w:eastAsia="zh-CN"/>
        </w:rPr>
      </w:pPr>
      <w:r>
        <w:rPr>
          <w:rFonts w:hint="default" w:ascii="宋体" w:hAnsi="宋体" w:eastAsia="宋体" w:cs="宋体"/>
          <w:b w:val="0"/>
          <w:bCs/>
          <w:kern w:val="2"/>
          <w:sz w:val="24"/>
          <w:szCs w:val="24"/>
          <w:lang w:val="en-US" w:eastAsia="zh-CN" w:bidi="ar-SA"/>
        </w:rPr>
        <w:t>（2）</w:t>
      </w:r>
      <w:r>
        <w:rPr>
          <w:rFonts w:hint="eastAsia" w:ascii="宋体" w:hAnsi="宋体" w:eastAsia="宋体" w:cs="宋体"/>
          <w:b w:val="0"/>
          <w:bCs/>
          <w:sz w:val="24"/>
          <w:szCs w:val="24"/>
          <w:lang w:val="en-US" w:eastAsia="zh-CN"/>
        </w:rPr>
        <w:t>政府平台端</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对于企业上报的相关碳排放数据，在同行业同等生产水平的企业中进行多维度数据对比，发现低于或者高于同行业的碳排放数据进行异常消息的推送，进行人工审核。必要时进入企业进行现场审核。</w:t>
      </w:r>
    </w:p>
    <w:p>
      <w:pPr>
        <w:pStyle w:val="3"/>
        <w:bidi w:val="0"/>
        <w:rPr>
          <w:rFonts w:hint="eastAsia" w:ascii="黑体" w:hAnsi="黑体" w:cs="黑体"/>
          <w:sz w:val="24"/>
          <w:szCs w:val="24"/>
          <w:lang w:val="en-US" w:eastAsia="zh-CN"/>
        </w:rPr>
      </w:pPr>
      <w:bookmarkStart w:id="42" w:name="_Toc15340"/>
      <w:r>
        <w:rPr>
          <w:rFonts w:hint="eastAsia" w:ascii="黑体" w:hAnsi="黑体" w:cs="黑体"/>
          <w:sz w:val="24"/>
          <w:szCs w:val="24"/>
          <w:lang w:val="en-US" w:eastAsia="zh-CN"/>
        </w:rPr>
        <w:t>5.3 数据上传</w:t>
      </w:r>
      <w:bookmarkEnd w:id="42"/>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（1）规范性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严格按照当地或者国家碳计量平台通讯规范要求的内容和编码进行规范性上传。</w:t>
      </w:r>
    </w:p>
    <w:p>
      <w:pPr>
        <w:numPr>
          <w:ilvl w:val="0"/>
          <w:numId w:val="7"/>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正确性</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确保上传数据的准确性和真实性，这是碳排放权交易市场健康有序发展的基础。</w:t>
      </w:r>
    </w:p>
    <w:p>
      <w:pPr>
        <w:numPr>
          <w:ilvl w:val="0"/>
          <w:numId w:val="7"/>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及时性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严格按照计量平台规定的时间范围及时进行数据上传。</w:t>
      </w:r>
    </w:p>
    <w:p>
      <w:pPr>
        <w:numPr>
          <w:ilvl w:val="0"/>
          <w:numId w:val="7"/>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数据补传</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若在指定的上传时间内，存在数据发送失败的情况，应重发相关数据</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若重发3次还未成功，应在下一次指定的上传时间内补发，直至成功。</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因发生故障、断电等情况未能采集到相关数据，监测对象应在故障修复之日起上传缺失数据。</w:t>
      </w:r>
    </w:p>
    <w:p>
      <w:pPr>
        <w:pStyle w:val="3"/>
        <w:bidi w:val="0"/>
        <w:rPr>
          <w:rFonts w:hint="eastAsia" w:ascii="黑体" w:hAnsi="黑体" w:cs="黑体"/>
          <w:sz w:val="24"/>
          <w:szCs w:val="24"/>
          <w:lang w:val="en-US" w:eastAsia="zh-CN"/>
        </w:rPr>
      </w:pPr>
      <w:bookmarkStart w:id="43" w:name="_Toc18098"/>
      <w:r>
        <w:rPr>
          <w:rFonts w:hint="eastAsia" w:ascii="黑体" w:hAnsi="黑体" w:cs="黑体"/>
          <w:sz w:val="24"/>
          <w:szCs w:val="24"/>
          <w:lang w:val="en-US" w:eastAsia="zh-CN"/>
        </w:rPr>
        <w:t>5.4 数据处理</w:t>
      </w:r>
      <w:bookmarkEnd w:id="43"/>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企业端平台</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企业端平台具备自动采集、计算功能，将各分散数据进行整合归一处理。出现异常数据及时进行数据处理。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政府端平台</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将企业上报的数据进行分行业、分企业处理，确保数据的条理性。</w:t>
      </w:r>
    </w:p>
    <w:p>
      <w:pPr>
        <w:pStyle w:val="3"/>
        <w:bidi w:val="0"/>
        <w:rPr>
          <w:rFonts w:hint="eastAsia" w:ascii="黑体" w:hAnsi="黑体" w:cs="黑体"/>
          <w:sz w:val="24"/>
          <w:szCs w:val="24"/>
          <w:lang w:val="en-US" w:eastAsia="zh-CN"/>
        </w:rPr>
      </w:pPr>
      <w:bookmarkStart w:id="44" w:name="_Toc25150"/>
      <w:r>
        <w:rPr>
          <w:rFonts w:hint="eastAsia" w:ascii="黑体" w:hAnsi="黑体" w:cs="黑体"/>
          <w:sz w:val="24"/>
          <w:szCs w:val="24"/>
          <w:lang w:val="en-US" w:eastAsia="zh-CN"/>
        </w:rPr>
        <w:t>5.5 数据存储及安全</w:t>
      </w:r>
      <w:bookmarkEnd w:id="44"/>
    </w:p>
    <w:p>
      <w:p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数据存储及安全方案是确保数据完整性、可用性和保密性的关键措施。以下是一个综合性的数据存储及安全方案的基本框架：</w:t>
      </w:r>
    </w:p>
    <w:p>
      <w:pPr>
        <w:numPr>
          <w:ilvl w:val="0"/>
          <w:numId w:val="9"/>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数据分类与分级：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根据数据的敏感性和重要性对数据进行分类和分级。</w:t>
      </w:r>
    </w:p>
    <w:p>
      <w:pPr>
        <w:numPr>
          <w:ilvl w:val="0"/>
          <w:numId w:val="9"/>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数据备份</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实施定期的数据备份计划，确保数据可以恢复。</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采用3-2-1备份规则：至少三份数据副本，两份在不同的存储介质上，一份在离线或异地。</w:t>
      </w:r>
    </w:p>
    <w:p>
      <w:pPr>
        <w:numPr>
          <w:ilvl w:val="0"/>
          <w:numId w:val="9"/>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数据加密</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对存储和传输的数据进行加密，使用强加密标准。</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管理好加密密钥，确保密钥的安全。</w:t>
      </w:r>
    </w:p>
    <w:p>
      <w:pPr>
        <w:numPr>
          <w:ilvl w:val="0"/>
          <w:numId w:val="9"/>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网络安全</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使用防火墙、入侵检测系统(IDS)和入侵防御系统(IPS)来保护网络。</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定期进行网络安全评估和漏洞扫描。</w:t>
      </w:r>
    </w:p>
    <w:p>
      <w:pPr>
        <w:numPr>
          <w:ilvl w:val="0"/>
          <w:numId w:val="9"/>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技术更新与维护</w:t>
      </w:r>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定期更新软硬件，修补安全漏洞。</w:t>
      </w:r>
    </w:p>
    <w:p>
      <w:pPr>
        <w:numPr>
          <w:ilvl w:val="0"/>
          <w:numId w:val="0"/>
        </w:numPr>
        <w:spacing w:line="360" w:lineRule="auto"/>
        <w:ind w:firstLine="420" w:firstLineChars="0"/>
        <w:rPr>
          <w:rFonts w:hint="default"/>
          <w:lang w:val="en-US" w:eastAsia="zh-CN"/>
        </w:rPr>
      </w:pPr>
      <w:r>
        <w:rPr>
          <w:rFonts w:hint="default" w:ascii="宋体" w:hAnsi="宋体" w:eastAsia="宋体" w:cs="宋体"/>
          <w:b w:val="0"/>
          <w:bCs/>
          <w:sz w:val="24"/>
          <w:szCs w:val="24"/>
          <w:lang w:val="en-US" w:eastAsia="zh-CN"/>
        </w:rPr>
        <w:t>维护和升级安全措施，以对抗新兴的安全威胁。</w:t>
      </w:r>
    </w:p>
    <w:p>
      <w:pPr>
        <w:pStyle w:val="2"/>
        <w:numPr>
          <w:ilvl w:val="0"/>
          <w:numId w:val="1"/>
        </w:numPr>
        <w:bidi w:val="0"/>
        <w:ind w:left="425" w:leftChars="0" w:hanging="425" w:firstLineChars="0"/>
        <w:rPr>
          <w:rFonts w:hint="eastAsia" w:ascii="黑体" w:hAnsi="黑体" w:eastAsia="黑体" w:cs="黑体"/>
          <w:b/>
          <w:sz w:val="24"/>
          <w:szCs w:val="24"/>
          <w:lang w:val="en-US" w:eastAsia="zh-CN"/>
        </w:rPr>
      </w:pPr>
      <w:bookmarkStart w:id="45" w:name="_Toc3228"/>
      <w:bookmarkStart w:id="46" w:name="_Toc27507"/>
      <w:r>
        <w:rPr>
          <w:rFonts w:hint="eastAsia" w:ascii="黑体" w:hAnsi="黑体" w:eastAsia="黑体" w:cs="黑体"/>
          <w:b/>
          <w:sz w:val="24"/>
          <w:szCs w:val="24"/>
          <w:lang w:val="en-US" w:eastAsia="zh-CN"/>
        </w:rPr>
        <w:t>碳排放数据质量评价方法</w:t>
      </w:r>
      <w:bookmarkEnd w:id="45"/>
      <w:bookmarkEnd w:id="46"/>
    </w:p>
    <w:p>
      <w:pPr>
        <w:keepNext w:val="0"/>
        <w:keepLines w:val="0"/>
        <w:widowControl/>
        <w:numPr>
          <w:ilvl w:val="0"/>
          <w:numId w:val="0"/>
        </w:numPr>
        <w:suppressLineNumbers w:val="0"/>
        <w:spacing w:before="0" w:beforeAutospacing="1" w:after="0" w:afterAutospacing="1" w:line="360" w:lineRule="auto"/>
        <w:ind w:firstLine="42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本方法</w:t>
      </w:r>
      <w:r>
        <w:rPr>
          <w:rFonts w:hint="default" w:ascii="宋体" w:hAnsi="宋体" w:eastAsia="宋体" w:cs="宋体"/>
          <w:b w:val="0"/>
          <w:bCs/>
          <w:kern w:val="2"/>
          <w:sz w:val="24"/>
          <w:szCs w:val="24"/>
          <w:lang w:val="en-US" w:eastAsia="zh-CN" w:bidi="ar-SA"/>
        </w:rPr>
        <w:t>旨在建立一套科学、系统的评价体系，以评估碳排放数据的质量。通过综合指数和分指数的计算，确保数据的准确性、完整性、时效性等，为决策提供可靠依据。</w:t>
      </w:r>
    </w:p>
    <w:p>
      <w:pPr>
        <w:pStyle w:val="4"/>
        <w:bidi w:val="0"/>
        <w:outlineLvl w:val="1"/>
        <w:rPr>
          <w:rFonts w:hint="eastAsia" w:ascii="黑体" w:hAnsi="黑体" w:eastAsia="黑体" w:cs="黑体"/>
          <w:sz w:val="24"/>
          <w:szCs w:val="24"/>
          <w:lang w:val="en-US" w:eastAsia="zh-CN"/>
        </w:rPr>
      </w:pPr>
      <w:bookmarkStart w:id="47" w:name="_Toc19724"/>
      <w:bookmarkStart w:id="48" w:name="_Toc19962"/>
      <w:r>
        <w:rPr>
          <w:rFonts w:hint="eastAsia" w:ascii="黑体" w:hAnsi="黑体" w:eastAsia="黑体" w:cs="黑体"/>
          <w:sz w:val="24"/>
          <w:szCs w:val="24"/>
          <w:lang w:val="en-US" w:eastAsia="zh-CN"/>
        </w:rPr>
        <w:t>6.1 评价计算方式</w:t>
      </w:r>
      <w:bookmarkEnd w:id="47"/>
      <w:bookmarkEnd w:id="48"/>
    </w:p>
    <w:p>
      <w:pPr>
        <w:pStyle w:val="5"/>
        <w:bidi w:val="0"/>
        <w:rPr>
          <w:rFonts w:hint="eastAsia" w:ascii="黑体" w:hAnsi="黑体" w:eastAsia="黑体" w:cs="黑体"/>
          <w:sz w:val="24"/>
          <w:szCs w:val="24"/>
          <w:lang w:val="en-US" w:eastAsia="zh-CN"/>
        </w:rPr>
      </w:pPr>
      <w:r>
        <w:rPr>
          <w:rFonts w:hint="eastAsia" w:ascii="黑体" w:hAnsi="黑体" w:cs="黑体"/>
          <w:sz w:val="24"/>
          <w:szCs w:val="24"/>
          <w:lang w:val="en-US" w:eastAsia="zh-CN"/>
        </w:rPr>
        <w:t>6</w:t>
      </w:r>
      <w:r>
        <w:rPr>
          <w:rFonts w:hint="eastAsia" w:ascii="黑体" w:hAnsi="黑体" w:eastAsia="黑体" w:cs="黑体"/>
          <w:sz w:val="24"/>
          <w:szCs w:val="24"/>
          <w:lang w:val="en-US" w:eastAsia="zh-CN"/>
        </w:rPr>
        <w:t>.1.1 综合指数</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综合指数是一个量化指标，用于整体评估数据质量。它通常由多个分指数加权平均得出。</w:t>
      </w:r>
    </w:p>
    <w:p>
      <w:pPr>
        <w:pStyle w:val="6"/>
        <w:bidi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6.1.1.1 评价指数</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规范性：数据符合国家/行业标准、数据模型、业务规则、权威参考数据或安全规范的度量；</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完整性：包括数据的完整性和数据记录的完整性；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准确性：包括数据内容的正确性、数据重复率、数据唯一性和脏数据出现率；</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一致性：包括相同数据一致性和关联数据一致性；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时效性：包括基于时间段的正确性、基于时间点的及时性和时序性；</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校验性：监测数据在有效生存周期内与生态人工报送数据校验。</w:t>
      </w:r>
    </w:p>
    <w:p>
      <w:pPr>
        <w:pStyle w:val="8"/>
        <w:spacing w:before="72"/>
        <w:ind w:left="303" w:right="566"/>
        <w:jc w:val="center"/>
        <w:rPr>
          <w:sz w:val="24"/>
          <w:szCs w:val="24"/>
        </w:rPr>
      </w:pPr>
      <w:r>
        <w:rPr>
          <w:sz w:val="24"/>
          <w:szCs w:val="24"/>
        </w:rPr>
        <w:t>表1</w:t>
      </w:r>
      <w:r>
        <w:rPr>
          <w:spacing w:val="-2"/>
          <w:sz w:val="24"/>
          <w:szCs w:val="24"/>
        </w:rPr>
        <w:t>各项评价指数表</w:t>
      </w:r>
    </w:p>
    <w:p>
      <w:pPr>
        <w:pStyle w:val="8"/>
        <w:spacing w:before="9" w:after="1"/>
        <w:rPr>
          <w:sz w:val="13"/>
        </w:rPr>
      </w:pPr>
    </w:p>
    <w:tbl>
      <w:tblPr>
        <w:tblStyle w:val="1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74"/>
        <w:gridCol w:w="961"/>
        <w:gridCol w:w="2926"/>
        <w:gridCol w:w="961"/>
        <w:gridCol w:w="29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556" w:type="pct"/>
            <w:vMerge w:val="restart"/>
            <w:tcBorders>
              <w:right w:val="single" w:color="000000" w:sz="4" w:space="0"/>
            </w:tcBorders>
            <w:vAlign w:val="center"/>
          </w:tcPr>
          <w:p>
            <w:pPr>
              <w:pStyle w:val="38"/>
              <w:spacing w:before="0"/>
              <w:ind w:left="0" w:right="0"/>
              <w:jc w:val="center"/>
              <w:rPr>
                <w:sz w:val="18"/>
              </w:rPr>
            </w:pPr>
            <w:r>
              <w:rPr>
                <w:spacing w:val="-5"/>
                <w:sz w:val="18"/>
              </w:rPr>
              <w:t>序号</w:t>
            </w:r>
          </w:p>
        </w:tc>
        <w:tc>
          <w:tcPr>
            <w:tcW w:w="2217" w:type="pct"/>
            <w:gridSpan w:val="2"/>
            <w:tcBorders>
              <w:left w:val="single" w:color="000000" w:sz="4" w:space="0"/>
              <w:bottom w:val="single" w:color="000000" w:sz="4" w:space="0"/>
              <w:right w:val="single" w:color="000000" w:sz="4" w:space="0"/>
            </w:tcBorders>
          </w:tcPr>
          <w:p>
            <w:pPr>
              <w:pStyle w:val="38"/>
              <w:spacing w:before="0"/>
              <w:ind w:left="0" w:right="0"/>
              <w:rPr>
                <w:sz w:val="18"/>
              </w:rPr>
            </w:pPr>
            <w:r>
              <w:rPr>
                <w:sz w:val="18"/>
              </w:rPr>
              <w:t>指数</w:t>
            </w:r>
            <w:r>
              <w:rPr>
                <w:spacing w:val="-10"/>
                <w:sz w:val="18"/>
              </w:rPr>
              <w:t>K</w:t>
            </w:r>
          </w:p>
        </w:tc>
        <w:tc>
          <w:tcPr>
            <w:tcW w:w="2226" w:type="pct"/>
            <w:gridSpan w:val="2"/>
            <w:tcBorders>
              <w:left w:val="single" w:color="000000" w:sz="4" w:space="0"/>
              <w:bottom w:val="single" w:color="000000" w:sz="4" w:space="0"/>
            </w:tcBorders>
          </w:tcPr>
          <w:p>
            <w:pPr>
              <w:pStyle w:val="38"/>
              <w:spacing w:before="0"/>
              <w:ind w:left="0" w:right="0"/>
              <w:rPr>
                <w:sz w:val="18"/>
              </w:rPr>
            </w:pPr>
            <w:r>
              <w:rPr>
                <w:sz w:val="18"/>
              </w:rPr>
              <w:t>权重</w:t>
            </w:r>
            <w:r>
              <w:rPr>
                <w:spacing w:val="-10"/>
                <w:sz w:val="18"/>
              </w:rPr>
              <w:t>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556" w:type="pct"/>
            <w:vMerge w:val="continue"/>
            <w:tcBorders>
              <w:top w:val="nil"/>
              <w:right w:val="single" w:color="000000" w:sz="4" w:space="0"/>
            </w:tcBorders>
          </w:tcPr>
          <w:p>
            <w:pPr>
              <w:ind w:left="0" w:right="0"/>
              <w:rPr>
                <w:sz w:val="2"/>
                <w:szCs w:val="2"/>
              </w:rPr>
            </w:pPr>
          </w:p>
        </w:tc>
        <w:tc>
          <w:tcPr>
            <w:tcW w:w="548" w:type="pct"/>
            <w:tcBorders>
              <w:top w:val="single" w:color="000000" w:sz="4" w:space="0"/>
              <w:left w:val="single" w:color="000000" w:sz="4" w:space="0"/>
              <w:right w:val="single" w:color="000000" w:sz="4" w:space="0"/>
            </w:tcBorders>
          </w:tcPr>
          <w:p>
            <w:pPr>
              <w:pStyle w:val="38"/>
              <w:spacing w:before="0"/>
              <w:ind w:left="0" w:right="0"/>
              <w:rPr>
                <w:sz w:val="18"/>
              </w:rPr>
            </w:pPr>
            <w:r>
              <w:rPr>
                <w:spacing w:val="-5"/>
                <w:sz w:val="18"/>
              </w:rPr>
              <w:t>代码</w:t>
            </w:r>
          </w:p>
        </w:tc>
        <w:tc>
          <w:tcPr>
            <w:tcW w:w="1669" w:type="pct"/>
            <w:tcBorders>
              <w:top w:val="single" w:color="000000" w:sz="4" w:space="0"/>
              <w:left w:val="single" w:color="000000" w:sz="4" w:space="0"/>
              <w:right w:val="single" w:color="000000" w:sz="4" w:space="0"/>
            </w:tcBorders>
          </w:tcPr>
          <w:p>
            <w:pPr>
              <w:pStyle w:val="38"/>
              <w:spacing w:before="0"/>
              <w:ind w:left="0" w:right="0"/>
              <w:rPr>
                <w:sz w:val="18"/>
              </w:rPr>
            </w:pPr>
            <w:r>
              <w:rPr>
                <w:spacing w:val="-5"/>
                <w:sz w:val="18"/>
              </w:rPr>
              <w:t>名称</w:t>
            </w:r>
          </w:p>
        </w:tc>
        <w:tc>
          <w:tcPr>
            <w:tcW w:w="548" w:type="pct"/>
            <w:tcBorders>
              <w:top w:val="single" w:color="000000" w:sz="4" w:space="0"/>
              <w:left w:val="single" w:color="000000" w:sz="4" w:space="0"/>
              <w:right w:val="single" w:color="000000" w:sz="4" w:space="0"/>
            </w:tcBorders>
          </w:tcPr>
          <w:p>
            <w:pPr>
              <w:pStyle w:val="38"/>
              <w:spacing w:before="0"/>
              <w:ind w:left="0" w:right="0"/>
              <w:rPr>
                <w:sz w:val="18"/>
              </w:rPr>
            </w:pPr>
            <w:r>
              <w:rPr>
                <w:spacing w:val="-5"/>
                <w:sz w:val="18"/>
              </w:rPr>
              <w:t>代码</w:t>
            </w:r>
          </w:p>
        </w:tc>
        <w:tc>
          <w:tcPr>
            <w:tcW w:w="1678" w:type="pct"/>
            <w:tcBorders>
              <w:top w:val="single" w:color="000000" w:sz="4" w:space="0"/>
              <w:left w:val="single" w:color="000000" w:sz="4" w:space="0"/>
            </w:tcBorders>
          </w:tcPr>
          <w:p>
            <w:pPr>
              <w:pStyle w:val="38"/>
              <w:spacing w:before="0"/>
              <w:ind w:left="0" w:right="0"/>
              <w:rPr>
                <w:sz w:val="18"/>
              </w:rPr>
            </w:pPr>
            <w:r>
              <w:rPr>
                <w:spacing w:val="-5"/>
                <w:sz w:val="18"/>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6" w:type="pct"/>
            <w:tcBorders>
              <w:bottom w:val="single" w:color="000000" w:sz="4" w:space="0"/>
              <w:right w:val="single" w:color="000000" w:sz="4" w:space="0"/>
            </w:tcBorders>
          </w:tcPr>
          <w:p>
            <w:pPr>
              <w:pStyle w:val="38"/>
              <w:spacing w:before="0"/>
              <w:ind w:left="0" w:right="0"/>
              <w:rPr>
                <w:sz w:val="18"/>
              </w:rPr>
            </w:pPr>
            <w:r>
              <w:rPr>
                <w:sz w:val="18"/>
              </w:rPr>
              <w:t>1</w:t>
            </w:r>
          </w:p>
        </w:tc>
        <w:tc>
          <w:tcPr>
            <w:tcW w:w="548" w:type="pct"/>
            <w:tcBorders>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K</w:t>
            </w:r>
            <w:r>
              <w:rPr>
                <w:spacing w:val="-5"/>
                <w:sz w:val="9"/>
              </w:rPr>
              <w:t>gf</w:t>
            </w:r>
          </w:p>
        </w:tc>
        <w:tc>
          <w:tcPr>
            <w:tcW w:w="1669" w:type="pct"/>
            <w:tcBorders>
              <w:left w:val="single" w:color="000000" w:sz="4" w:space="0"/>
              <w:bottom w:val="single" w:color="000000" w:sz="4" w:space="0"/>
              <w:right w:val="single" w:color="000000" w:sz="4" w:space="0"/>
            </w:tcBorders>
          </w:tcPr>
          <w:p>
            <w:pPr>
              <w:pStyle w:val="38"/>
              <w:spacing w:before="0"/>
              <w:ind w:left="0" w:right="0"/>
              <w:rPr>
                <w:sz w:val="18"/>
              </w:rPr>
            </w:pPr>
            <w:r>
              <w:rPr>
                <w:spacing w:val="-2"/>
                <w:sz w:val="18"/>
              </w:rPr>
              <w:t>数据规范指数</w:t>
            </w:r>
          </w:p>
        </w:tc>
        <w:tc>
          <w:tcPr>
            <w:tcW w:w="548" w:type="pct"/>
            <w:tcBorders>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I</w:t>
            </w:r>
            <w:r>
              <w:rPr>
                <w:spacing w:val="-5"/>
                <w:sz w:val="9"/>
              </w:rPr>
              <w:t>gf</w:t>
            </w:r>
          </w:p>
        </w:tc>
        <w:tc>
          <w:tcPr>
            <w:tcW w:w="1678" w:type="pct"/>
            <w:tcBorders>
              <w:left w:val="single" w:color="000000" w:sz="4" w:space="0"/>
              <w:bottom w:val="single" w:color="000000" w:sz="4" w:space="0"/>
            </w:tcBorders>
          </w:tcPr>
          <w:p>
            <w:pPr>
              <w:pStyle w:val="38"/>
              <w:spacing w:before="0"/>
              <w:ind w:left="0" w:right="0"/>
              <w:rPr>
                <w:sz w:val="18"/>
              </w:rPr>
            </w:pPr>
            <w:r>
              <w:rPr>
                <w:spacing w:val="-2"/>
                <w:sz w:val="18"/>
              </w:rPr>
              <w:t>数据规范权重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6" w:type="pct"/>
            <w:tcBorders>
              <w:top w:val="single" w:color="000000" w:sz="4" w:space="0"/>
              <w:bottom w:val="single" w:color="000000" w:sz="4" w:space="0"/>
              <w:right w:val="single" w:color="000000" w:sz="4" w:space="0"/>
            </w:tcBorders>
          </w:tcPr>
          <w:p>
            <w:pPr>
              <w:pStyle w:val="38"/>
              <w:spacing w:before="0"/>
              <w:ind w:left="0" w:right="0"/>
              <w:rPr>
                <w:sz w:val="18"/>
              </w:rPr>
            </w:pPr>
            <w:r>
              <w:rPr>
                <w:sz w:val="18"/>
              </w:rPr>
              <w:t>2</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K</w:t>
            </w:r>
            <w:r>
              <w:rPr>
                <w:spacing w:val="-5"/>
                <w:sz w:val="9"/>
              </w:rPr>
              <w:t>wz</w:t>
            </w:r>
          </w:p>
        </w:tc>
        <w:tc>
          <w:tcPr>
            <w:tcW w:w="1669"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18"/>
              </w:rPr>
            </w:pPr>
            <w:r>
              <w:rPr>
                <w:spacing w:val="-2"/>
                <w:sz w:val="18"/>
              </w:rPr>
              <w:t>数据完整指数</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I</w:t>
            </w:r>
            <w:r>
              <w:rPr>
                <w:spacing w:val="-5"/>
                <w:sz w:val="9"/>
              </w:rPr>
              <w:t>wz</w:t>
            </w:r>
          </w:p>
        </w:tc>
        <w:tc>
          <w:tcPr>
            <w:tcW w:w="1678" w:type="pct"/>
            <w:tcBorders>
              <w:top w:val="single" w:color="000000" w:sz="4" w:space="0"/>
              <w:left w:val="single" w:color="000000" w:sz="4" w:space="0"/>
              <w:bottom w:val="single" w:color="000000" w:sz="4" w:space="0"/>
            </w:tcBorders>
          </w:tcPr>
          <w:p>
            <w:pPr>
              <w:pStyle w:val="38"/>
              <w:spacing w:before="0"/>
              <w:ind w:left="0" w:right="0"/>
              <w:rPr>
                <w:sz w:val="18"/>
              </w:rPr>
            </w:pPr>
            <w:r>
              <w:rPr>
                <w:spacing w:val="-2"/>
                <w:sz w:val="18"/>
              </w:rPr>
              <w:t>数据完整权重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556" w:type="pct"/>
            <w:tcBorders>
              <w:top w:val="single" w:color="000000" w:sz="4" w:space="0"/>
              <w:bottom w:val="single" w:color="000000" w:sz="4" w:space="0"/>
              <w:right w:val="single" w:color="000000" w:sz="4" w:space="0"/>
            </w:tcBorders>
          </w:tcPr>
          <w:p>
            <w:pPr>
              <w:pStyle w:val="38"/>
              <w:spacing w:before="0"/>
              <w:ind w:left="0" w:right="0"/>
              <w:rPr>
                <w:sz w:val="18"/>
              </w:rPr>
            </w:pPr>
            <w:r>
              <w:rPr>
                <w:sz w:val="18"/>
              </w:rPr>
              <w:t>3</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K</w:t>
            </w:r>
            <w:r>
              <w:rPr>
                <w:spacing w:val="-5"/>
                <w:sz w:val="9"/>
              </w:rPr>
              <w:t>zq</w:t>
            </w:r>
          </w:p>
        </w:tc>
        <w:tc>
          <w:tcPr>
            <w:tcW w:w="1669"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18"/>
              </w:rPr>
            </w:pPr>
            <w:r>
              <w:rPr>
                <w:spacing w:val="-2"/>
                <w:sz w:val="18"/>
              </w:rPr>
              <w:t>数据准确指数</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sz w:val="9"/>
              </w:rPr>
            </w:pPr>
            <w:r>
              <w:rPr>
                <w:spacing w:val="-5"/>
                <w:position w:val="1"/>
                <w:sz w:val="19"/>
              </w:rPr>
              <w:t>I</w:t>
            </w:r>
            <w:r>
              <w:rPr>
                <w:spacing w:val="-5"/>
                <w:sz w:val="9"/>
              </w:rPr>
              <w:t>zq</w:t>
            </w:r>
          </w:p>
        </w:tc>
        <w:tc>
          <w:tcPr>
            <w:tcW w:w="1678" w:type="pct"/>
            <w:tcBorders>
              <w:top w:val="single" w:color="000000" w:sz="4" w:space="0"/>
              <w:left w:val="single" w:color="000000" w:sz="4" w:space="0"/>
              <w:bottom w:val="single" w:color="000000" w:sz="4" w:space="0"/>
            </w:tcBorders>
          </w:tcPr>
          <w:p>
            <w:pPr>
              <w:pStyle w:val="38"/>
              <w:spacing w:before="0"/>
              <w:ind w:left="0" w:right="0"/>
              <w:rPr>
                <w:sz w:val="18"/>
              </w:rPr>
            </w:pPr>
            <w:r>
              <w:rPr>
                <w:spacing w:val="-2"/>
                <w:sz w:val="18"/>
              </w:rPr>
              <w:t>数据准确权重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556" w:type="pct"/>
            <w:tcBorders>
              <w:top w:val="single" w:color="000000" w:sz="4" w:space="0"/>
              <w:bottom w:val="single" w:color="000000" w:sz="4" w:space="0"/>
              <w:right w:val="single" w:color="000000" w:sz="4" w:space="0"/>
            </w:tcBorders>
          </w:tcPr>
          <w:p>
            <w:pPr>
              <w:pStyle w:val="38"/>
              <w:spacing w:before="0"/>
              <w:ind w:left="0" w:right="0"/>
              <w:rPr>
                <w:rFonts w:hint="eastAsia" w:eastAsia="宋体"/>
                <w:sz w:val="18"/>
                <w:lang w:val="en-US" w:eastAsia="zh-CN"/>
              </w:rPr>
            </w:pPr>
            <w:r>
              <w:rPr>
                <w:rFonts w:hint="eastAsia"/>
                <w:sz w:val="18"/>
                <w:lang w:val="en-US" w:eastAsia="zh-CN"/>
              </w:rPr>
              <w:t>4</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rFonts w:hint="eastAsia" w:eastAsia="宋体"/>
                <w:spacing w:val="-5"/>
                <w:position w:val="1"/>
                <w:sz w:val="19"/>
                <w:lang w:val="en-US" w:eastAsia="zh-CN"/>
              </w:rPr>
            </w:pPr>
            <w:r>
              <w:rPr>
                <w:rFonts w:hint="eastAsia"/>
                <w:spacing w:val="-5"/>
                <w:position w:val="1"/>
                <w:sz w:val="19"/>
                <w:lang w:val="en-US" w:eastAsia="zh-CN"/>
              </w:rPr>
              <w:t>K</w:t>
            </w:r>
            <w:r>
              <w:rPr>
                <w:rFonts w:hint="eastAsia"/>
                <w:spacing w:val="-5"/>
                <w:position w:val="1"/>
                <w:sz w:val="19"/>
                <w:vertAlign w:val="subscript"/>
                <w:lang w:val="en-US" w:eastAsia="zh-CN"/>
              </w:rPr>
              <w:t>yz</w:t>
            </w:r>
          </w:p>
        </w:tc>
        <w:tc>
          <w:tcPr>
            <w:tcW w:w="1669" w:type="pct"/>
            <w:tcBorders>
              <w:top w:val="single" w:color="000000" w:sz="4" w:space="0"/>
              <w:left w:val="single" w:color="000000" w:sz="4" w:space="0"/>
              <w:bottom w:val="single" w:color="000000" w:sz="4" w:space="0"/>
              <w:right w:val="single" w:color="000000" w:sz="4" w:space="0"/>
            </w:tcBorders>
          </w:tcPr>
          <w:p>
            <w:pPr>
              <w:pStyle w:val="38"/>
              <w:spacing w:before="0"/>
              <w:ind w:left="0" w:right="0"/>
              <w:rPr>
                <w:rFonts w:hint="default" w:eastAsia="宋体"/>
                <w:spacing w:val="-2"/>
                <w:sz w:val="18"/>
                <w:lang w:val="en-US" w:eastAsia="zh-CN"/>
              </w:rPr>
            </w:pPr>
            <w:r>
              <w:rPr>
                <w:rFonts w:hint="eastAsia"/>
                <w:spacing w:val="-2"/>
                <w:sz w:val="18"/>
                <w:lang w:val="en-US" w:eastAsia="zh-CN"/>
              </w:rPr>
              <w:t>数据一致指标</w:t>
            </w:r>
          </w:p>
        </w:tc>
        <w:tc>
          <w:tcPr>
            <w:tcW w:w="548" w:type="pct"/>
            <w:tcBorders>
              <w:top w:val="single" w:color="000000" w:sz="4" w:space="0"/>
              <w:left w:val="single" w:color="000000" w:sz="4" w:space="0"/>
              <w:bottom w:val="single" w:color="000000" w:sz="4" w:space="0"/>
              <w:right w:val="single" w:color="000000" w:sz="4" w:space="0"/>
            </w:tcBorders>
          </w:tcPr>
          <w:p>
            <w:pPr>
              <w:pStyle w:val="38"/>
              <w:spacing w:before="0"/>
              <w:ind w:left="0" w:right="0"/>
              <w:rPr>
                <w:rFonts w:hint="eastAsia" w:eastAsia="宋体"/>
                <w:spacing w:val="-5"/>
                <w:position w:val="1"/>
                <w:sz w:val="19"/>
                <w:lang w:val="en-US" w:eastAsia="zh-CN"/>
              </w:rPr>
            </w:pPr>
            <w:r>
              <w:rPr>
                <w:rFonts w:hint="eastAsia"/>
                <w:spacing w:val="-5"/>
                <w:position w:val="1"/>
                <w:sz w:val="19"/>
                <w:lang w:val="en-US" w:eastAsia="zh-CN"/>
              </w:rPr>
              <w:t>I</w:t>
            </w:r>
            <w:r>
              <w:rPr>
                <w:rFonts w:hint="eastAsia"/>
                <w:spacing w:val="-5"/>
                <w:position w:val="1"/>
                <w:sz w:val="19"/>
                <w:vertAlign w:val="subscript"/>
                <w:lang w:val="en-US" w:eastAsia="zh-CN"/>
              </w:rPr>
              <w:t>yz</w:t>
            </w:r>
          </w:p>
        </w:tc>
        <w:tc>
          <w:tcPr>
            <w:tcW w:w="1678" w:type="pct"/>
            <w:tcBorders>
              <w:top w:val="single" w:color="000000" w:sz="4" w:space="0"/>
              <w:left w:val="single" w:color="000000" w:sz="4" w:space="0"/>
              <w:bottom w:val="single" w:color="000000" w:sz="4" w:space="0"/>
            </w:tcBorders>
          </w:tcPr>
          <w:p>
            <w:pPr>
              <w:pStyle w:val="38"/>
              <w:spacing w:before="0"/>
              <w:ind w:left="0" w:right="0"/>
              <w:rPr>
                <w:rFonts w:hint="default" w:eastAsia="宋体"/>
                <w:spacing w:val="-2"/>
                <w:sz w:val="18"/>
                <w:lang w:val="en-US" w:eastAsia="zh-CN"/>
              </w:rPr>
            </w:pPr>
            <w:r>
              <w:rPr>
                <w:rFonts w:hint="eastAsia"/>
                <w:spacing w:val="-2"/>
                <w:sz w:val="18"/>
                <w:lang w:val="en-US" w:eastAsia="zh-CN"/>
              </w:rPr>
              <w:t>数据一致权重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6" w:type="pct"/>
            <w:tcBorders>
              <w:top w:val="single" w:color="000000" w:sz="4" w:space="0"/>
              <w:right w:val="single" w:color="000000" w:sz="4" w:space="0"/>
            </w:tcBorders>
          </w:tcPr>
          <w:p>
            <w:pPr>
              <w:pStyle w:val="38"/>
              <w:spacing w:before="0"/>
              <w:ind w:left="0" w:right="0"/>
              <w:rPr>
                <w:rFonts w:hint="eastAsia" w:eastAsia="宋体"/>
                <w:sz w:val="18"/>
                <w:lang w:eastAsia="zh-CN"/>
              </w:rPr>
            </w:pPr>
            <w:r>
              <w:rPr>
                <w:rFonts w:hint="eastAsia"/>
                <w:sz w:val="18"/>
                <w:lang w:val="en-US" w:eastAsia="zh-CN"/>
              </w:rPr>
              <w:t>5</w:t>
            </w:r>
          </w:p>
        </w:tc>
        <w:tc>
          <w:tcPr>
            <w:tcW w:w="548" w:type="pct"/>
            <w:tcBorders>
              <w:top w:val="single" w:color="000000" w:sz="4" w:space="0"/>
              <w:left w:val="single" w:color="000000" w:sz="4" w:space="0"/>
              <w:right w:val="single" w:color="000000" w:sz="4" w:space="0"/>
            </w:tcBorders>
          </w:tcPr>
          <w:p>
            <w:pPr>
              <w:pStyle w:val="38"/>
              <w:spacing w:before="0"/>
              <w:ind w:left="0" w:right="0"/>
              <w:rPr>
                <w:sz w:val="9"/>
              </w:rPr>
            </w:pPr>
            <w:r>
              <w:rPr>
                <w:spacing w:val="-5"/>
                <w:position w:val="1"/>
                <w:sz w:val="19"/>
              </w:rPr>
              <w:t>K</w:t>
            </w:r>
            <w:r>
              <w:rPr>
                <w:spacing w:val="-5"/>
                <w:sz w:val="9"/>
              </w:rPr>
              <w:t>sx</w:t>
            </w:r>
          </w:p>
        </w:tc>
        <w:tc>
          <w:tcPr>
            <w:tcW w:w="1669" w:type="pct"/>
            <w:tcBorders>
              <w:top w:val="single" w:color="000000" w:sz="4" w:space="0"/>
              <w:left w:val="single" w:color="000000" w:sz="4" w:space="0"/>
              <w:right w:val="single" w:color="000000" w:sz="4" w:space="0"/>
            </w:tcBorders>
          </w:tcPr>
          <w:p>
            <w:pPr>
              <w:pStyle w:val="38"/>
              <w:spacing w:before="0"/>
              <w:ind w:left="0" w:right="0"/>
              <w:rPr>
                <w:sz w:val="18"/>
              </w:rPr>
            </w:pPr>
            <w:r>
              <w:rPr>
                <w:spacing w:val="-2"/>
                <w:sz w:val="18"/>
              </w:rPr>
              <w:t>数据时效指数</w:t>
            </w:r>
          </w:p>
        </w:tc>
        <w:tc>
          <w:tcPr>
            <w:tcW w:w="548" w:type="pct"/>
            <w:tcBorders>
              <w:top w:val="single" w:color="000000" w:sz="4" w:space="0"/>
              <w:left w:val="single" w:color="000000" w:sz="4" w:space="0"/>
              <w:right w:val="single" w:color="000000" w:sz="4" w:space="0"/>
            </w:tcBorders>
          </w:tcPr>
          <w:p>
            <w:pPr>
              <w:pStyle w:val="38"/>
              <w:spacing w:before="0"/>
              <w:ind w:left="0" w:right="0"/>
              <w:rPr>
                <w:sz w:val="9"/>
              </w:rPr>
            </w:pPr>
            <w:r>
              <w:rPr>
                <w:spacing w:val="-5"/>
                <w:position w:val="1"/>
                <w:sz w:val="19"/>
              </w:rPr>
              <w:t>I</w:t>
            </w:r>
            <w:r>
              <w:rPr>
                <w:spacing w:val="-5"/>
                <w:sz w:val="9"/>
              </w:rPr>
              <w:t>sx</w:t>
            </w:r>
          </w:p>
        </w:tc>
        <w:tc>
          <w:tcPr>
            <w:tcW w:w="1678" w:type="pct"/>
            <w:tcBorders>
              <w:top w:val="single" w:color="000000" w:sz="4" w:space="0"/>
              <w:left w:val="single" w:color="000000" w:sz="4" w:space="0"/>
            </w:tcBorders>
          </w:tcPr>
          <w:p>
            <w:pPr>
              <w:pStyle w:val="38"/>
              <w:spacing w:before="0"/>
              <w:ind w:left="0" w:right="0"/>
              <w:rPr>
                <w:sz w:val="18"/>
              </w:rPr>
            </w:pPr>
            <w:r>
              <w:rPr>
                <w:spacing w:val="-2"/>
                <w:sz w:val="18"/>
              </w:rPr>
              <w:t>数据时效权重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56" w:type="pct"/>
            <w:tcBorders>
              <w:top w:val="single" w:color="000000" w:sz="4" w:space="0"/>
              <w:right w:val="single" w:color="000000" w:sz="4" w:space="0"/>
            </w:tcBorders>
          </w:tcPr>
          <w:p>
            <w:pPr>
              <w:pStyle w:val="38"/>
              <w:spacing w:before="0"/>
              <w:ind w:left="0" w:right="0"/>
              <w:rPr>
                <w:rFonts w:hint="eastAsia" w:eastAsia="宋体"/>
                <w:sz w:val="18"/>
                <w:lang w:val="en-US" w:eastAsia="zh-CN"/>
              </w:rPr>
            </w:pPr>
            <w:r>
              <w:rPr>
                <w:rFonts w:hint="eastAsia"/>
                <w:sz w:val="18"/>
                <w:lang w:val="en-US" w:eastAsia="zh-CN"/>
              </w:rPr>
              <w:t>6</w:t>
            </w:r>
          </w:p>
        </w:tc>
        <w:tc>
          <w:tcPr>
            <w:tcW w:w="548" w:type="pct"/>
            <w:tcBorders>
              <w:top w:val="single" w:color="000000" w:sz="4" w:space="0"/>
              <w:left w:val="single" w:color="000000" w:sz="4" w:space="0"/>
              <w:right w:val="single" w:color="000000" w:sz="4" w:space="0"/>
            </w:tcBorders>
          </w:tcPr>
          <w:p>
            <w:pPr>
              <w:pStyle w:val="38"/>
              <w:spacing w:before="0"/>
              <w:ind w:left="0" w:right="0"/>
              <w:rPr>
                <w:rFonts w:hint="eastAsia" w:eastAsia="宋体"/>
                <w:spacing w:val="-5"/>
                <w:position w:val="1"/>
                <w:sz w:val="19"/>
                <w:lang w:val="en-US" w:eastAsia="zh-CN"/>
              </w:rPr>
            </w:pPr>
            <w:r>
              <w:rPr>
                <w:rFonts w:hint="eastAsia"/>
                <w:spacing w:val="-5"/>
                <w:position w:val="1"/>
                <w:sz w:val="19"/>
                <w:lang w:val="en-US" w:eastAsia="zh-CN"/>
              </w:rPr>
              <w:t>K</w:t>
            </w:r>
            <w:r>
              <w:rPr>
                <w:rFonts w:hint="eastAsia"/>
                <w:spacing w:val="-5"/>
                <w:position w:val="1"/>
                <w:sz w:val="19"/>
                <w:vertAlign w:val="subscript"/>
                <w:lang w:val="en-US" w:eastAsia="zh-CN"/>
              </w:rPr>
              <w:t>jy</w:t>
            </w:r>
          </w:p>
        </w:tc>
        <w:tc>
          <w:tcPr>
            <w:tcW w:w="1669" w:type="pct"/>
            <w:tcBorders>
              <w:top w:val="single" w:color="000000" w:sz="4" w:space="0"/>
              <w:left w:val="single" w:color="000000" w:sz="4" w:space="0"/>
              <w:right w:val="single" w:color="000000" w:sz="4" w:space="0"/>
            </w:tcBorders>
          </w:tcPr>
          <w:p>
            <w:pPr>
              <w:pStyle w:val="38"/>
              <w:spacing w:before="0"/>
              <w:ind w:left="0" w:right="0"/>
              <w:rPr>
                <w:rFonts w:hint="default" w:eastAsia="宋体"/>
                <w:spacing w:val="-2"/>
                <w:sz w:val="18"/>
                <w:lang w:val="en-US" w:eastAsia="zh-CN"/>
              </w:rPr>
            </w:pPr>
            <w:r>
              <w:rPr>
                <w:rFonts w:hint="eastAsia"/>
                <w:spacing w:val="-2"/>
                <w:sz w:val="18"/>
                <w:lang w:val="en-US" w:eastAsia="zh-CN"/>
              </w:rPr>
              <w:t>数据校验指数</w:t>
            </w:r>
          </w:p>
        </w:tc>
        <w:tc>
          <w:tcPr>
            <w:tcW w:w="548" w:type="pct"/>
            <w:tcBorders>
              <w:top w:val="single" w:color="000000" w:sz="4" w:space="0"/>
              <w:left w:val="single" w:color="000000" w:sz="4" w:space="0"/>
              <w:right w:val="single" w:color="000000" w:sz="4" w:space="0"/>
            </w:tcBorders>
          </w:tcPr>
          <w:p>
            <w:pPr>
              <w:pStyle w:val="38"/>
              <w:spacing w:before="0"/>
              <w:ind w:left="0" w:right="0"/>
              <w:rPr>
                <w:rFonts w:hint="eastAsia" w:eastAsia="宋体"/>
                <w:spacing w:val="-5"/>
                <w:position w:val="1"/>
                <w:sz w:val="19"/>
                <w:lang w:val="en-US" w:eastAsia="zh-CN"/>
              </w:rPr>
            </w:pPr>
            <w:r>
              <w:rPr>
                <w:rFonts w:hint="eastAsia"/>
                <w:spacing w:val="-5"/>
                <w:position w:val="1"/>
                <w:sz w:val="19"/>
                <w:lang w:val="en-US" w:eastAsia="zh-CN"/>
              </w:rPr>
              <w:t>I</w:t>
            </w:r>
            <w:r>
              <w:rPr>
                <w:rFonts w:hint="eastAsia"/>
                <w:spacing w:val="-5"/>
                <w:position w:val="1"/>
                <w:sz w:val="19"/>
                <w:vertAlign w:val="subscript"/>
                <w:lang w:val="en-US" w:eastAsia="zh-CN"/>
              </w:rPr>
              <w:t>jy</w:t>
            </w:r>
          </w:p>
        </w:tc>
        <w:tc>
          <w:tcPr>
            <w:tcW w:w="1678" w:type="pct"/>
            <w:tcBorders>
              <w:top w:val="single" w:color="000000" w:sz="4" w:space="0"/>
              <w:left w:val="single" w:color="000000" w:sz="4" w:space="0"/>
            </w:tcBorders>
          </w:tcPr>
          <w:p>
            <w:pPr>
              <w:pStyle w:val="38"/>
              <w:spacing w:before="0"/>
              <w:ind w:left="0" w:right="0"/>
              <w:rPr>
                <w:rFonts w:hint="default" w:eastAsia="宋体"/>
                <w:spacing w:val="-2"/>
                <w:sz w:val="18"/>
                <w:lang w:val="en-US" w:eastAsia="zh-CN"/>
              </w:rPr>
            </w:pPr>
            <w:r>
              <w:rPr>
                <w:rFonts w:hint="eastAsia"/>
                <w:spacing w:val="-2"/>
                <w:sz w:val="18"/>
                <w:lang w:val="en-US" w:eastAsia="zh-CN"/>
              </w:rPr>
              <w:t>数据校验权重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000" w:type="pct"/>
            <w:gridSpan w:val="5"/>
          </w:tcPr>
          <w:p>
            <w:pPr>
              <w:pStyle w:val="38"/>
              <w:spacing w:before="0"/>
              <w:ind w:left="0" w:right="0"/>
              <w:jc w:val="left"/>
              <w:rPr>
                <w:sz w:val="18"/>
              </w:rPr>
            </w:pPr>
            <w:r>
              <w:rPr>
                <w:position w:val="1"/>
                <w:sz w:val="18"/>
              </w:rPr>
              <w:t>注：</w:t>
            </w:r>
            <w:r>
              <w:rPr>
                <w:spacing w:val="-5"/>
                <w:position w:val="1"/>
                <w:sz w:val="19"/>
              </w:rPr>
              <w:t>I</w:t>
            </w:r>
            <w:r>
              <w:rPr>
                <w:spacing w:val="-5"/>
                <w:sz w:val="9"/>
              </w:rPr>
              <w:t>gf</w:t>
            </w:r>
            <w:r>
              <w:rPr>
                <w:rFonts w:hint="eastAsia"/>
                <w:position w:val="1"/>
                <w:sz w:val="18"/>
                <w:lang w:eastAsia="zh-CN"/>
              </w:rPr>
              <w:t>、</w:t>
            </w:r>
            <w:r>
              <w:rPr>
                <w:spacing w:val="-5"/>
                <w:position w:val="1"/>
                <w:sz w:val="19"/>
              </w:rPr>
              <w:t>I</w:t>
            </w:r>
            <w:r>
              <w:rPr>
                <w:spacing w:val="-5"/>
                <w:sz w:val="9"/>
              </w:rPr>
              <w:t>wz</w:t>
            </w:r>
            <w:r>
              <w:rPr>
                <w:rFonts w:hint="eastAsia"/>
                <w:position w:val="1"/>
                <w:sz w:val="18"/>
                <w:lang w:eastAsia="zh-CN"/>
              </w:rPr>
              <w:t>、</w:t>
            </w:r>
            <w:r>
              <w:rPr>
                <w:spacing w:val="-5"/>
                <w:position w:val="1"/>
                <w:sz w:val="19"/>
              </w:rPr>
              <w:t>I</w:t>
            </w:r>
            <w:r>
              <w:rPr>
                <w:spacing w:val="-5"/>
                <w:sz w:val="9"/>
              </w:rPr>
              <w:t>zq</w:t>
            </w:r>
            <w:r>
              <w:rPr>
                <w:rFonts w:hint="eastAsia"/>
                <w:position w:val="1"/>
                <w:sz w:val="18"/>
                <w:lang w:eastAsia="zh-CN"/>
              </w:rPr>
              <w:t>、</w:t>
            </w:r>
            <w:r>
              <w:rPr>
                <w:rFonts w:hint="eastAsia"/>
                <w:spacing w:val="-5"/>
                <w:position w:val="1"/>
                <w:sz w:val="19"/>
                <w:lang w:val="en-US" w:eastAsia="zh-CN"/>
              </w:rPr>
              <w:t>I</w:t>
            </w:r>
            <w:r>
              <w:rPr>
                <w:rFonts w:hint="eastAsia"/>
                <w:spacing w:val="-5"/>
                <w:position w:val="1"/>
                <w:sz w:val="19"/>
                <w:vertAlign w:val="subscript"/>
                <w:lang w:val="en-US" w:eastAsia="zh-CN"/>
              </w:rPr>
              <w:t>yz</w:t>
            </w:r>
            <w:r>
              <w:rPr>
                <w:rFonts w:hint="eastAsia"/>
                <w:position w:val="1"/>
                <w:sz w:val="18"/>
                <w:lang w:eastAsia="zh-CN"/>
              </w:rPr>
              <w:t>、</w:t>
            </w:r>
            <w:r>
              <w:rPr>
                <w:spacing w:val="-5"/>
                <w:position w:val="1"/>
                <w:sz w:val="19"/>
              </w:rPr>
              <w:t>I</w:t>
            </w:r>
            <w:r>
              <w:rPr>
                <w:spacing w:val="-5"/>
                <w:sz w:val="9"/>
              </w:rPr>
              <w:t>sx</w:t>
            </w:r>
            <w:r>
              <w:rPr>
                <w:rFonts w:hint="eastAsia"/>
                <w:position w:val="1"/>
                <w:sz w:val="18"/>
                <w:lang w:eastAsia="zh-CN"/>
              </w:rPr>
              <w:t>、</w:t>
            </w:r>
            <w:r>
              <w:rPr>
                <w:rFonts w:hint="eastAsia"/>
                <w:spacing w:val="-5"/>
                <w:position w:val="1"/>
                <w:sz w:val="19"/>
                <w:lang w:val="en-US" w:eastAsia="zh-CN"/>
              </w:rPr>
              <w:t>I</w:t>
            </w:r>
            <w:r>
              <w:rPr>
                <w:rFonts w:hint="eastAsia"/>
                <w:spacing w:val="-5"/>
                <w:position w:val="1"/>
                <w:sz w:val="19"/>
                <w:vertAlign w:val="subscript"/>
                <w:lang w:val="en-US" w:eastAsia="zh-CN"/>
              </w:rPr>
              <w:t>jy</w:t>
            </w:r>
            <w:r>
              <w:rPr>
                <w:position w:val="1"/>
                <w:sz w:val="18"/>
              </w:rPr>
              <w:t>为系统可配置的权重参数，</w:t>
            </w:r>
            <w:r>
              <w:rPr>
                <w:rFonts w:hint="eastAsia"/>
                <w:position w:val="1"/>
                <w:sz w:val="18"/>
                <w:lang w:val="en-US" w:eastAsia="zh-CN"/>
              </w:rPr>
              <w:t>六</w:t>
            </w:r>
            <w:r>
              <w:rPr>
                <w:position w:val="1"/>
                <w:sz w:val="18"/>
              </w:rPr>
              <w:t>者之和为100</w:t>
            </w:r>
            <w:r>
              <w:rPr>
                <w:spacing w:val="-5"/>
                <w:position w:val="1"/>
                <w:sz w:val="18"/>
              </w:rPr>
              <w:t>%。</w:t>
            </w:r>
          </w:p>
        </w:tc>
      </w:tr>
    </w:tbl>
    <w:p>
      <w:pPr>
        <w:pStyle w:val="6"/>
        <w:bidi w:val="0"/>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6.1.1.2 计算方法</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以月为周期，计算重点排放单位的数据质量综合指数。计算方法见公式（1）:</w:t>
      </w:r>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式中：</w:t>
      </w:r>
    </w:p>
    <w:p>
      <w:pPr>
        <w:spacing w:line="360" w:lineRule="auto"/>
        <w:ind w:firstLine="420" w:firstLineChars="0"/>
        <w:jc w:val="center"/>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K=K</w:t>
      </w:r>
      <w:r>
        <w:rPr>
          <w:rFonts w:hint="eastAsia" w:asciiTheme="minorEastAsia" w:hAnsiTheme="minorEastAsia" w:eastAsiaTheme="minorEastAsia" w:cstheme="minorEastAsia"/>
          <w:b w:val="0"/>
          <w:bCs/>
          <w:kern w:val="2"/>
          <w:sz w:val="24"/>
          <w:szCs w:val="24"/>
          <w:vertAlign w:val="subscript"/>
          <w:lang w:val="en-US" w:eastAsia="zh-CN" w:bidi="ar-SA"/>
        </w:rPr>
        <w:t>gf</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I</w:t>
      </w:r>
      <w:r>
        <w:rPr>
          <w:rFonts w:hint="eastAsia" w:asciiTheme="minorEastAsia" w:hAnsiTheme="minorEastAsia" w:eastAsiaTheme="minorEastAsia" w:cstheme="minorEastAsia"/>
          <w:spacing w:val="-5"/>
          <w:sz w:val="24"/>
          <w:szCs w:val="24"/>
          <w:vertAlign w:val="subscript"/>
        </w:rPr>
        <w:t>gf</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K</w:t>
      </w:r>
      <w:r>
        <w:rPr>
          <w:rFonts w:hint="eastAsia" w:asciiTheme="minorEastAsia" w:hAnsiTheme="minorEastAsia" w:eastAsiaTheme="minorEastAsia" w:cstheme="minorEastAsia"/>
          <w:spacing w:val="-5"/>
          <w:sz w:val="24"/>
          <w:szCs w:val="24"/>
          <w:vertAlign w:val="subscript"/>
        </w:rPr>
        <w:t>wz</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I</w:t>
      </w:r>
      <w:r>
        <w:rPr>
          <w:rFonts w:hint="eastAsia" w:asciiTheme="minorEastAsia" w:hAnsiTheme="minorEastAsia" w:eastAsiaTheme="minorEastAsia" w:cstheme="minorEastAsia"/>
          <w:spacing w:val="-5"/>
          <w:sz w:val="24"/>
          <w:szCs w:val="24"/>
          <w:vertAlign w:val="subscript"/>
        </w:rPr>
        <w:t>wz</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K</w:t>
      </w:r>
      <w:r>
        <w:rPr>
          <w:rFonts w:hint="eastAsia" w:asciiTheme="minorEastAsia" w:hAnsiTheme="minorEastAsia" w:eastAsiaTheme="minorEastAsia" w:cstheme="minorEastAsia"/>
          <w:spacing w:val="-5"/>
          <w:sz w:val="24"/>
          <w:szCs w:val="24"/>
          <w:vertAlign w:val="subscript"/>
        </w:rPr>
        <w:t>zq</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I</w:t>
      </w:r>
      <w:r>
        <w:rPr>
          <w:rFonts w:hint="eastAsia" w:asciiTheme="minorEastAsia" w:hAnsiTheme="minorEastAsia" w:eastAsiaTheme="minorEastAsia" w:cstheme="minorEastAsia"/>
          <w:spacing w:val="-5"/>
          <w:sz w:val="24"/>
          <w:szCs w:val="24"/>
          <w:vertAlign w:val="subscript"/>
        </w:rPr>
        <w:t>zq</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lang w:val="en-US" w:eastAsia="zh-CN"/>
        </w:rPr>
        <w:t>K</w:t>
      </w:r>
      <w:r>
        <w:rPr>
          <w:rFonts w:hint="eastAsia" w:asciiTheme="minorEastAsia" w:hAnsiTheme="minorEastAsia" w:eastAsiaTheme="minorEastAsia" w:cstheme="minorEastAsia"/>
          <w:spacing w:val="-5"/>
          <w:position w:val="1"/>
          <w:sz w:val="24"/>
          <w:szCs w:val="24"/>
          <w:vertAlign w:val="subscript"/>
          <w:lang w:val="en-US" w:eastAsia="zh-CN"/>
        </w:rPr>
        <w:t>yz</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lang w:val="en-US" w:eastAsia="zh-CN"/>
        </w:rPr>
        <w:t>I</w:t>
      </w:r>
      <w:r>
        <w:rPr>
          <w:rFonts w:hint="eastAsia" w:asciiTheme="minorEastAsia" w:hAnsiTheme="minorEastAsia" w:eastAsiaTheme="minorEastAsia" w:cstheme="minorEastAsia"/>
          <w:spacing w:val="-5"/>
          <w:position w:val="1"/>
          <w:sz w:val="24"/>
          <w:szCs w:val="24"/>
          <w:vertAlign w:val="subscript"/>
          <w:lang w:val="en-US" w:eastAsia="zh-CN"/>
        </w:rPr>
        <w:t>yz</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K</w:t>
      </w:r>
      <w:r>
        <w:rPr>
          <w:rFonts w:hint="eastAsia" w:asciiTheme="minorEastAsia" w:hAnsiTheme="minorEastAsia" w:eastAsiaTheme="minorEastAsia" w:cstheme="minorEastAsia"/>
          <w:spacing w:val="-5"/>
          <w:sz w:val="24"/>
          <w:szCs w:val="24"/>
          <w:vertAlign w:val="subscript"/>
        </w:rPr>
        <w:t>sx</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rPr>
        <w:t>I</w:t>
      </w:r>
      <w:r>
        <w:rPr>
          <w:rFonts w:hint="eastAsia" w:asciiTheme="minorEastAsia" w:hAnsiTheme="minorEastAsia" w:eastAsiaTheme="minorEastAsia" w:cstheme="minorEastAsia"/>
          <w:spacing w:val="-5"/>
          <w:sz w:val="24"/>
          <w:szCs w:val="24"/>
          <w:vertAlign w:val="subscript"/>
        </w:rPr>
        <w:t>sx</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lang w:val="en-US" w:eastAsia="zh-CN"/>
        </w:rPr>
        <w:t>K</w:t>
      </w:r>
      <w:r>
        <w:rPr>
          <w:rFonts w:hint="eastAsia" w:asciiTheme="minorEastAsia" w:hAnsiTheme="minorEastAsia" w:cstheme="minorEastAsia"/>
          <w:spacing w:val="-5"/>
          <w:position w:val="1"/>
          <w:sz w:val="24"/>
          <w:szCs w:val="24"/>
          <w:vertAlign w:val="subscript"/>
          <w:lang w:val="en-US" w:eastAsia="zh-CN"/>
        </w:rPr>
        <w:t>jy</w:t>
      </w:r>
      <w:r>
        <w:rPr>
          <w:rFonts w:ascii="Cambria Math" w:hAnsi="Cambria Math" w:eastAsia="Cambria Math"/>
          <w:sz w:val="21"/>
        </w:rPr>
        <w:t>×</w:t>
      </w:r>
      <w:r>
        <w:rPr>
          <w:rFonts w:hint="eastAsia" w:asciiTheme="minorEastAsia" w:hAnsiTheme="minorEastAsia" w:eastAsiaTheme="minorEastAsia" w:cstheme="minorEastAsia"/>
          <w:spacing w:val="-5"/>
          <w:position w:val="1"/>
          <w:sz w:val="24"/>
          <w:szCs w:val="24"/>
          <w:lang w:val="en-US" w:eastAsia="zh-CN"/>
        </w:rPr>
        <w:t>I</w:t>
      </w:r>
      <w:r>
        <w:rPr>
          <w:rFonts w:hint="eastAsia" w:asciiTheme="minorEastAsia" w:hAnsiTheme="minorEastAsia" w:cstheme="minorEastAsia"/>
          <w:spacing w:val="-5"/>
          <w:position w:val="1"/>
          <w:sz w:val="24"/>
          <w:szCs w:val="24"/>
          <w:vertAlign w:val="subscript"/>
          <w:lang w:val="en-US" w:eastAsia="zh-CN"/>
        </w:rPr>
        <w:t>jy</w:t>
      </w:r>
      <w:r>
        <w:rPr>
          <w:rFonts w:hint="eastAsia" w:asciiTheme="minorEastAsia" w:hAnsiTheme="minorEastAsia" w:eastAsiaTheme="minorEastAsia" w:cstheme="minorEastAsia"/>
          <w:b w:val="0"/>
          <w:bCs/>
          <w:kern w:val="2"/>
          <w:sz w:val="24"/>
          <w:szCs w:val="24"/>
          <w:lang w:val="en-US" w:eastAsia="zh-CN" w:bidi="ar-SA"/>
        </w:rPr>
        <w:tab/>
      </w:r>
      <w:r>
        <w:rPr>
          <w:rFonts w:hint="eastAsia" w:asciiTheme="minorEastAsia" w:hAnsiTheme="minorEastAsia" w:eastAsiaTheme="minorEastAsia" w:cstheme="minorEastAsia"/>
          <w:b w:val="0"/>
          <w:bCs/>
          <w:kern w:val="2"/>
          <w:sz w:val="24"/>
          <w:szCs w:val="24"/>
          <w:lang w:val="en-US" w:eastAsia="zh-CN" w:bidi="ar-SA"/>
        </w:rPr>
        <w:t>（1）</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 ——</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单位的数据质量综合指数；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gf</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单位的数据规范指数；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gf</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单位的数据规范指数的权重；</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wz</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单位的数据完整指数；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wz</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单位的数据完整指数的权重；</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zq</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单位的数据准确指数；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zq</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单位的数据准确指数的权重；</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yz</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单位的数据一致指数；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yz</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单位的数据一致指数的权重；</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sx</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单位的数据时效指数；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sx</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单位的数据时效指数的权重；</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K</w:t>
      </w:r>
      <w:r>
        <w:rPr>
          <w:rFonts w:hint="eastAsia" w:ascii="宋体" w:hAnsi="宋体" w:eastAsia="宋体" w:cs="宋体"/>
          <w:b w:val="0"/>
          <w:bCs/>
          <w:kern w:val="2"/>
          <w:sz w:val="24"/>
          <w:szCs w:val="24"/>
          <w:vertAlign w:val="subscript"/>
          <w:lang w:val="en-US" w:eastAsia="zh-CN" w:bidi="ar-SA"/>
        </w:rPr>
        <w:t>jy</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单位的数据校验指数；</w:t>
      </w:r>
    </w:p>
    <w:p>
      <w:pPr>
        <w:spacing w:line="360" w:lineRule="auto"/>
        <w:ind w:firstLine="42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I</w:t>
      </w:r>
      <w:r>
        <w:rPr>
          <w:rFonts w:hint="eastAsia" w:ascii="宋体" w:hAnsi="宋体" w:eastAsia="宋体" w:cs="宋体"/>
          <w:b w:val="0"/>
          <w:bCs/>
          <w:kern w:val="2"/>
          <w:sz w:val="24"/>
          <w:szCs w:val="24"/>
          <w:vertAlign w:val="subscript"/>
          <w:lang w:val="en-US" w:eastAsia="zh-CN" w:bidi="ar-SA"/>
        </w:rPr>
        <w:t>jy</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sz w:val="24"/>
          <w:szCs w:val="24"/>
          <w:lang w:val="en-US" w:eastAsia="zh-CN"/>
        </w:rPr>
        <w:t>重点排放</w:t>
      </w:r>
      <w:r>
        <w:rPr>
          <w:rFonts w:hint="eastAsia" w:ascii="宋体" w:hAnsi="宋体" w:eastAsia="宋体" w:cs="宋体"/>
          <w:b w:val="0"/>
          <w:bCs/>
          <w:kern w:val="2"/>
          <w:sz w:val="24"/>
          <w:szCs w:val="24"/>
          <w:lang w:val="en-US" w:eastAsia="zh-CN" w:bidi="ar-SA"/>
        </w:rPr>
        <w:t>单位的数据校验指数的权重。</w:t>
      </w:r>
    </w:p>
    <w:p>
      <w:pPr>
        <w:pStyle w:val="5"/>
        <w:bidi w:val="0"/>
        <w:rPr>
          <w:rFonts w:hint="eastAsia" w:ascii="黑体" w:hAnsi="黑体" w:eastAsia="黑体" w:cs="黑体"/>
          <w:b/>
          <w:sz w:val="24"/>
          <w:szCs w:val="24"/>
          <w:lang w:val="en-US" w:eastAsia="zh-CN"/>
        </w:rPr>
      </w:pPr>
      <w:r>
        <w:rPr>
          <w:rFonts w:hint="eastAsia" w:ascii="黑体" w:hAnsi="黑体" w:cs="黑体"/>
          <w:b/>
          <w:sz w:val="24"/>
          <w:szCs w:val="24"/>
          <w:lang w:val="en-US" w:eastAsia="zh-CN"/>
        </w:rPr>
        <w:t>6</w:t>
      </w:r>
      <w:r>
        <w:rPr>
          <w:rFonts w:hint="eastAsia" w:ascii="黑体" w:hAnsi="黑体" w:eastAsia="黑体" w:cs="黑体"/>
          <w:b/>
          <w:sz w:val="24"/>
          <w:szCs w:val="24"/>
          <w:lang w:val="en-US" w:eastAsia="zh-CN"/>
        </w:rPr>
        <w:t>.1.2 分指数</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2066"/>
        <w:gridCol w:w="1034"/>
        <w:gridCol w:w="4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评价指标</w:t>
            </w:r>
          </w:p>
        </w:tc>
        <w:tc>
          <w:tcPr>
            <w:tcW w:w="11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评价内容</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监测方法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Style w:val="39"/>
                <w:rFonts w:hint="eastAsia" w:asciiTheme="minorEastAsia" w:hAnsiTheme="minorEastAsia" w:eastAsiaTheme="minorEastAsia" w:cstheme="minorEastAsia"/>
                <w:sz w:val="18"/>
                <w:szCs w:val="18"/>
                <w:lang w:val="en-US" w:eastAsia="zh-CN" w:bidi="ar"/>
              </w:rPr>
              <w:t>规范性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数据采集、核算、报告符合国家</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行业</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国际的标准化规范，具备法律效力或行业认可度</w:t>
            </w:r>
          </w:p>
        </w:tc>
        <w:tc>
          <w:tcPr>
            <w:tcW w:w="577"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是否符合国家</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行业、</w:t>
            </w:r>
            <w:r>
              <w:rPr>
                <w:rStyle w:val="40"/>
                <w:rFonts w:hint="eastAsia" w:asciiTheme="minorEastAsia" w:hAnsiTheme="minorEastAsia" w:eastAsiaTheme="minorEastAsia" w:cstheme="minorEastAsia"/>
                <w:sz w:val="18"/>
                <w:szCs w:val="18"/>
                <w:lang w:val="en-US" w:eastAsia="zh-CN" w:bidi="ar"/>
              </w:rPr>
              <w:t>ISO14064</w:t>
            </w:r>
            <w:r>
              <w:rPr>
                <w:rStyle w:val="39"/>
                <w:rFonts w:hint="eastAsia" w:asciiTheme="minorEastAsia" w:hAnsiTheme="minorEastAsia" w:eastAsiaTheme="minorEastAsia" w:cstheme="minorEastAsia"/>
                <w:sz w:val="18"/>
                <w:szCs w:val="18"/>
                <w:lang w:val="en-US" w:eastAsia="zh-CN" w:bidi="ar"/>
              </w:rPr>
              <w:t>系列标准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所有上传的数据中是否包含因数据项编码错误等原因无法解析入库、数据项值为空或非正数、小于最小值或大于最大值等不规范数据项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是否满足《</w:t>
            </w:r>
            <w:r>
              <w:rPr>
                <w:rFonts w:hint="eastAsia" w:asciiTheme="minorEastAsia" w:hAnsiTheme="minorEastAsia" w:cstheme="minorEastAsia"/>
                <w:i w:val="0"/>
                <w:iCs w:val="0"/>
                <w:color w:val="000000"/>
                <w:kern w:val="0"/>
                <w:sz w:val="18"/>
                <w:szCs w:val="18"/>
                <w:u w:val="none"/>
                <w:lang w:val="en-US" w:eastAsia="zh-CN" w:bidi="ar"/>
              </w:rPr>
              <w:t>污染物在线监控（监测）系统数据传输标准</w:t>
            </w:r>
            <w:r>
              <w:rPr>
                <w:rFonts w:hint="eastAsia" w:asciiTheme="minorEastAsia" w:hAnsiTheme="minorEastAsia" w:eastAsiaTheme="minorEastAsia" w:cstheme="minorEastAsia"/>
                <w:i w:val="0"/>
                <w:iCs w:val="0"/>
                <w:color w:val="000000"/>
                <w:kern w:val="0"/>
                <w:sz w:val="18"/>
                <w:szCs w:val="18"/>
                <w:u w:val="none"/>
                <w:lang w:val="en-US" w:eastAsia="zh-CN" w:bidi="ar"/>
              </w:rPr>
              <w:t>》（HJ</w:t>
            </w:r>
            <w:r>
              <w:rPr>
                <w:rFonts w:hint="eastAsia" w:asciiTheme="minorEastAsia" w:hAnsiTheme="minorEastAsia" w:cstheme="minorEastAsia"/>
                <w:i w:val="0"/>
                <w:iCs w:val="0"/>
                <w:color w:val="000000"/>
                <w:kern w:val="0"/>
                <w:sz w:val="18"/>
                <w:szCs w:val="18"/>
                <w:u w:val="none"/>
                <w:lang w:val="en-US" w:eastAsia="zh-CN" w:bidi="ar"/>
              </w:rPr>
              <w:t>212</w:t>
            </w:r>
            <w:r>
              <w:rPr>
                <w:rFonts w:hint="eastAsia" w:asciiTheme="minorEastAsia" w:hAnsiTheme="minorEastAsia" w:eastAsiaTheme="minorEastAsia" w:cstheme="minorEastAsia"/>
                <w:i w:val="0"/>
                <w:iCs w:val="0"/>
                <w:color w:val="000000"/>
                <w:kern w:val="0"/>
                <w:sz w:val="18"/>
                <w:szCs w:val="18"/>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监测设备是否通过</w:t>
            </w:r>
            <w:r>
              <w:rPr>
                <w:rStyle w:val="40"/>
                <w:rFonts w:hint="eastAsia" w:asciiTheme="minorEastAsia" w:hAnsiTheme="minorEastAsia" w:eastAsiaTheme="minorEastAsia" w:cstheme="minorEastAsia"/>
                <w:sz w:val="18"/>
                <w:szCs w:val="18"/>
                <w:lang w:val="en-US" w:eastAsia="zh-CN" w:bidi="ar"/>
              </w:rPr>
              <w:t>CMA</w:t>
            </w:r>
            <w:r>
              <w:rPr>
                <w:rStyle w:val="39"/>
                <w:rFonts w:hint="eastAsia" w:asciiTheme="minorEastAsia" w:hAnsiTheme="minorEastAsia" w:eastAsiaTheme="minorEastAsia" w:cstheme="minorEastAsia"/>
                <w:sz w:val="18"/>
                <w:szCs w:val="18"/>
                <w:lang w:val="en-US" w:eastAsia="zh-CN" w:bidi="ar"/>
              </w:rPr>
              <w:t>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2.完整性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数据覆盖“既定排放边界内所有排放源”的程度，无遗漏、无缺失</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排放源覆盖率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时间完整性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监测时长达标率（如CEMS设备年运行率是否≥90%）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参数完整性（如是否同时监测烟气流量+CO</w:t>
            </w:r>
            <w:r>
              <w:rPr>
                <w:rStyle w:val="41"/>
                <w:rFonts w:hint="eastAsia" w:asciiTheme="minorEastAsia" w:hAnsiTheme="minorEastAsia" w:eastAsiaTheme="minorEastAsia" w:cstheme="minorEastAsia"/>
                <w:sz w:val="18"/>
                <w:szCs w:val="18"/>
                <w:lang w:val="en-US" w:eastAsia="zh-CN" w:bidi="ar"/>
              </w:rPr>
              <w:t>₂</w:t>
            </w:r>
            <w:r>
              <w:rPr>
                <w:rStyle w:val="39"/>
                <w:rFonts w:hint="eastAsia" w:asciiTheme="minorEastAsia" w:hAnsiTheme="minorEastAsia" w:eastAsiaTheme="minorEastAsia" w:cstheme="minorEastAsia"/>
                <w:sz w:val="18"/>
                <w:szCs w:val="18"/>
                <w:lang w:val="en-US" w:eastAsia="zh-CN" w:bidi="ar"/>
              </w:rPr>
              <w:t>浓度+氧含量）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r>
              <w:rPr>
                <w:rStyle w:val="39"/>
                <w:rFonts w:hint="eastAsia" w:asciiTheme="minorEastAsia" w:hAnsiTheme="minorEastAsia" w:eastAsiaTheme="minorEastAsia" w:cstheme="minorEastAsia"/>
                <w:sz w:val="18"/>
                <w:szCs w:val="18"/>
                <w:lang w:val="en-US" w:eastAsia="zh-CN" w:bidi="ar"/>
              </w:rPr>
              <w:t>准确性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数据与“真实碳排放量”的接近程度，是数据质量的核心</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活动数据误差率（如用电量与电网缴费凭证偏差）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排放因子适配性（是否用错行业</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燃料因子）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核算公式正确性（如是否遗漏碳氧化率修正）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仪器精度（如CO</w:t>
            </w:r>
            <w:r>
              <w:rPr>
                <w:rStyle w:val="41"/>
                <w:rFonts w:hint="eastAsia" w:asciiTheme="minorEastAsia" w:hAnsiTheme="minorEastAsia" w:eastAsiaTheme="minorEastAsia" w:cstheme="minorEastAsia"/>
                <w:sz w:val="18"/>
                <w:szCs w:val="18"/>
                <w:lang w:val="en-US" w:eastAsia="zh-CN" w:bidi="ar"/>
              </w:rPr>
              <w:t>₂</w:t>
            </w:r>
            <w:r>
              <w:rPr>
                <w:rStyle w:val="39"/>
                <w:rFonts w:hint="eastAsia" w:asciiTheme="minorEastAsia" w:hAnsiTheme="minorEastAsia" w:eastAsiaTheme="minorEastAsia" w:cstheme="minorEastAsia"/>
                <w:sz w:val="18"/>
                <w:szCs w:val="18"/>
                <w:lang w:val="en-US" w:eastAsia="zh-CN" w:bidi="ar"/>
              </w:rPr>
              <w:t>分析仪误差范围）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校准频率（是否按标准每3个月校准）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采样代表性（如烟囱采样点是否避开涡流区）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r>
              <w:rPr>
                <w:rStyle w:val="39"/>
                <w:rFonts w:hint="eastAsia" w:asciiTheme="minorEastAsia" w:hAnsiTheme="minorEastAsia" w:eastAsiaTheme="minorEastAsia" w:cstheme="minorEastAsia"/>
                <w:sz w:val="18"/>
                <w:szCs w:val="18"/>
                <w:lang w:val="en-US" w:eastAsia="zh-CN" w:bidi="ar"/>
              </w:rPr>
              <w:t>一致性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数据在“同一标准、同一周期、同一对象”下的统一程度，无矛盾、无逻辑冲突</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跨周期一致性（如年度碳排放增速与能耗增速是否匹配）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跨方法一致性（如计算结果与实测结果误差是否</w:t>
            </w:r>
            <w:r>
              <w:rPr>
                <w:rStyle w:val="40"/>
                <w:rFonts w:hint="eastAsia" w:asciiTheme="minorEastAsia" w:hAnsiTheme="minorEastAsia" w:eastAsiaTheme="minorEastAsia" w:cstheme="minorEastAsia"/>
                <w:sz w:val="18"/>
                <w:szCs w:val="18"/>
                <w:lang w:val="en-US" w:eastAsia="zh-CN" w:bidi="ar"/>
              </w:rPr>
              <w:t>≤±5%</w:t>
            </w:r>
            <w:r>
              <w:rPr>
                <w:rStyle w:val="39"/>
                <w:rFonts w:hint="eastAsia" w:asciiTheme="minorEastAsia" w:hAnsiTheme="minorEastAsia" w:eastAsiaTheme="minorEastAsia" w:cstheme="minorEastAsia"/>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跨行业一致性（如同行业/同消费水平数据结果误差是否</w:t>
            </w:r>
            <w:r>
              <w:rPr>
                <w:rStyle w:val="40"/>
                <w:rFonts w:hint="eastAsia" w:asciiTheme="minorEastAsia" w:hAnsiTheme="minorEastAsia" w:eastAsiaTheme="minorEastAsia" w:cstheme="minorEastAsia"/>
                <w:sz w:val="18"/>
                <w:szCs w:val="18"/>
                <w:lang w:val="en-US" w:eastAsia="zh-CN" w:bidi="ar"/>
              </w:rPr>
              <w:t>≤±5%</w:t>
            </w:r>
            <w:r>
              <w:rPr>
                <w:rStyle w:val="39"/>
                <w:rFonts w:hint="eastAsia" w:asciiTheme="minorEastAsia" w:hAnsiTheme="minorEastAsia" w:eastAsiaTheme="minorEastAsia" w:cstheme="minorEastAsia"/>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设备间一致性（如同一烟囱</w:t>
            </w:r>
            <w:r>
              <w:rPr>
                <w:rStyle w:val="40"/>
                <w:rFonts w:hint="eastAsia" w:asciiTheme="minorEastAsia" w:hAnsiTheme="minorEastAsia" w:eastAsiaTheme="minorEastAsia" w:cstheme="minorEastAsia"/>
                <w:sz w:val="18"/>
                <w:szCs w:val="18"/>
                <w:lang w:val="en-US" w:eastAsia="zh-CN" w:bidi="ar"/>
              </w:rPr>
              <w:t xml:space="preserve"> 2 </w:t>
            </w:r>
            <w:r>
              <w:rPr>
                <w:rStyle w:val="39"/>
                <w:rFonts w:hint="eastAsia" w:asciiTheme="minorEastAsia" w:hAnsiTheme="minorEastAsia" w:eastAsiaTheme="minorEastAsia" w:cstheme="minorEastAsia"/>
                <w:sz w:val="18"/>
                <w:szCs w:val="18"/>
                <w:lang w:val="en-US" w:eastAsia="zh-CN" w:bidi="ar"/>
              </w:rPr>
              <w:t>台</w:t>
            </w:r>
            <w:r>
              <w:rPr>
                <w:rStyle w:val="40"/>
                <w:rFonts w:hint="eastAsia" w:asciiTheme="minorEastAsia" w:hAnsiTheme="minorEastAsia" w:eastAsiaTheme="minorEastAsia" w:cstheme="minorEastAsia"/>
                <w:sz w:val="18"/>
                <w:szCs w:val="18"/>
                <w:lang w:val="en-US" w:eastAsia="zh-CN" w:bidi="ar"/>
              </w:rPr>
              <w:t xml:space="preserve"> CEMS </w:t>
            </w:r>
            <w:r>
              <w:rPr>
                <w:rStyle w:val="39"/>
                <w:rFonts w:hint="eastAsia" w:asciiTheme="minorEastAsia" w:hAnsiTheme="minorEastAsia" w:eastAsiaTheme="minorEastAsia" w:cstheme="minorEastAsia"/>
                <w:sz w:val="18"/>
                <w:szCs w:val="18"/>
                <w:lang w:val="en-US" w:eastAsia="zh-CN" w:bidi="ar"/>
              </w:rPr>
              <w:t>数据偏差）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数据逻辑一致性（如</w:t>
            </w:r>
            <w:r>
              <w:rPr>
                <w:rStyle w:val="40"/>
                <w:rFonts w:hint="eastAsia" w:asciiTheme="minorEastAsia" w:hAnsiTheme="minorEastAsia" w:eastAsiaTheme="minorEastAsia" w:cstheme="minorEastAsia"/>
                <w:sz w:val="18"/>
                <w:szCs w:val="18"/>
                <w:lang w:val="en-US" w:eastAsia="zh-CN" w:bidi="ar"/>
              </w:rPr>
              <w:t xml:space="preserve"> CO₂</w:t>
            </w:r>
            <w:r>
              <w:rPr>
                <w:rStyle w:val="39"/>
                <w:rFonts w:hint="eastAsia" w:asciiTheme="minorEastAsia" w:hAnsiTheme="minorEastAsia" w:eastAsiaTheme="minorEastAsia" w:cstheme="minorEastAsia"/>
                <w:sz w:val="18"/>
                <w:szCs w:val="18"/>
                <w:lang w:val="en-US" w:eastAsia="zh-CN" w:bidi="ar"/>
              </w:rPr>
              <w:t>浓度与燃料消耗趋势是否同步）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r>
              <w:rPr>
                <w:rStyle w:val="39"/>
                <w:rFonts w:hint="eastAsia" w:asciiTheme="minorEastAsia" w:hAnsiTheme="minorEastAsia" w:eastAsiaTheme="minorEastAsia" w:cstheme="minorEastAsia"/>
                <w:sz w:val="18"/>
                <w:szCs w:val="18"/>
                <w:lang w:val="en-US" w:eastAsia="zh-CN" w:bidi="ar"/>
              </w:rPr>
              <w:t>时效性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数据产出与应用需求的匹配程度，即数据能否及时支撑决策</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核算周期达标率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数据更新频率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数据传输时效（如</w:t>
            </w:r>
            <w:r>
              <w:rPr>
                <w:rStyle w:val="40"/>
                <w:rFonts w:hint="eastAsia" w:asciiTheme="minorEastAsia" w:hAnsiTheme="minorEastAsia" w:eastAsiaTheme="minorEastAsia" w:cstheme="minorEastAsia"/>
                <w:sz w:val="18"/>
                <w:szCs w:val="18"/>
                <w:lang w:val="en-US" w:eastAsia="zh-CN" w:bidi="ar"/>
              </w:rPr>
              <w:t>CEMS</w:t>
            </w:r>
            <w:r>
              <w:rPr>
                <w:rStyle w:val="39"/>
                <w:rFonts w:hint="eastAsia" w:asciiTheme="minorEastAsia" w:hAnsiTheme="minorEastAsia" w:eastAsiaTheme="minorEastAsia" w:cstheme="minorEastAsia"/>
                <w:sz w:val="18"/>
                <w:szCs w:val="18"/>
                <w:lang w:val="en-US" w:eastAsia="zh-CN" w:bidi="ar"/>
              </w:rPr>
              <w:t>数据是否实时上传至监管平台，延迟</w:t>
            </w:r>
            <w:r>
              <w:rPr>
                <w:rStyle w:val="40"/>
                <w:rFonts w:hint="eastAsia" w:asciiTheme="minorEastAsia" w:hAnsiTheme="minorEastAsia" w:eastAsiaTheme="minorEastAsia" w:cstheme="minorEastAsia"/>
                <w:sz w:val="18"/>
                <w:szCs w:val="18"/>
                <w:lang w:val="en-US" w:eastAsia="zh-CN" w:bidi="ar"/>
              </w:rPr>
              <w:t>≤15</w:t>
            </w:r>
            <w:r>
              <w:rPr>
                <w:rStyle w:val="39"/>
                <w:rFonts w:hint="eastAsia" w:asciiTheme="minorEastAsia" w:hAnsiTheme="minorEastAsia" w:eastAsiaTheme="minorEastAsia" w:cstheme="minorEastAsia"/>
                <w:sz w:val="18"/>
                <w:szCs w:val="18"/>
                <w:lang w:val="en-US" w:eastAsia="zh-CN" w:bidi="ar"/>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异常报警响应速度（如设备故障是否</w:t>
            </w:r>
            <w:r>
              <w:rPr>
                <w:rStyle w:val="40"/>
                <w:rFonts w:hint="eastAsia" w:asciiTheme="minorEastAsia" w:hAnsiTheme="minorEastAsia" w:eastAsiaTheme="minorEastAsia" w:cstheme="minorEastAsia"/>
                <w:sz w:val="18"/>
                <w:szCs w:val="18"/>
                <w:lang w:val="en-US" w:eastAsia="zh-CN" w:bidi="ar"/>
              </w:rPr>
              <w:t>24</w:t>
            </w:r>
            <w:r>
              <w:rPr>
                <w:rStyle w:val="39"/>
                <w:rFonts w:hint="eastAsia" w:asciiTheme="minorEastAsia" w:hAnsiTheme="minorEastAsia" w:eastAsiaTheme="minorEastAsia" w:cstheme="minorEastAsia"/>
                <w:sz w:val="18"/>
                <w:szCs w:val="18"/>
                <w:lang w:val="en-US" w:eastAsia="zh-CN" w:bidi="ar"/>
              </w:rPr>
              <w:t>小时内处理）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r>
              <w:rPr>
                <w:rStyle w:val="39"/>
                <w:rFonts w:hint="eastAsia" w:asciiTheme="minorEastAsia" w:hAnsiTheme="minorEastAsia" w:eastAsiaTheme="minorEastAsia" w:cstheme="minorEastAsia"/>
                <w:sz w:val="18"/>
                <w:szCs w:val="18"/>
                <w:lang w:val="en-US" w:eastAsia="zh-CN" w:bidi="ar"/>
              </w:rPr>
              <w:t>校验性</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数据的</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来源、处理过程、核算依据</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可追踪，每一步均有凭证支撑，便于溯源、核查与对比分析</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活动数据凭证（如采购发票、能耗报表）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排放因子来源（如是否引用《省级温室气体清单指南》）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与生态人工报送数据校验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实测法</w:t>
            </w: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仪器校准记录（标准气体证书）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原始监测日志（时间戳</w:t>
            </w:r>
            <w:r>
              <w:rPr>
                <w:rStyle w:val="40"/>
                <w:rFonts w:hint="eastAsia" w:asciiTheme="minorEastAsia" w:hAnsiTheme="minorEastAsia" w:eastAsiaTheme="minorEastAsia" w:cstheme="minorEastAsia"/>
                <w:sz w:val="18"/>
                <w:szCs w:val="18"/>
                <w:lang w:val="en-US" w:eastAsia="zh-CN" w:bidi="ar"/>
              </w:rPr>
              <w:t>+</w:t>
            </w:r>
            <w:r>
              <w:rPr>
                <w:rStyle w:val="39"/>
                <w:rFonts w:hint="eastAsia" w:asciiTheme="minorEastAsia" w:hAnsiTheme="minorEastAsia" w:eastAsiaTheme="minorEastAsia" w:cstheme="minorEastAsia"/>
                <w:sz w:val="18"/>
                <w:szCs w:val="18"/>
                <w:lang w:val="en-US" w:eastAsia="zh-CN" w:bidi="ar"/>
              </w:rPr>
              <w:t>数据值）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8"/>
                <w:szCs w:val="18"/>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2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异常数据处理记录（如缺失值插值依据）</w:t>
            </w:r>
          </w:p>
        </w:tc>
      </w:tr>
    </w:tbl>
    <w:p>
      <w:pPr>
        <w:rPr>
          <w:rFonts w:hint="eastAsia"/>
          <w:lang w:val="en-US" w:eastAsia="zh-CN"/>
        </w:rPr>
      </w:pPr>
    </w:p>
    <w:p>
      <w:pPr>
        <w:pStyle w:val="4"/>
        <w:bidi w:val="0"/>
        <w:outlineLvl w:val="1"/>
        <w:rPr>
          <w:rFonts w:hint="eastAsia" w:ascii="黑体" w:hAnsi="黑体" w:eastAsia="黑体" w:cs="黑体"/>
          <w:sz w:val="24"/>
          <w:szCs w:val="24"/>
          <w:lang w:val="en-US" w:eastAsia="zh-CN"/>
        </w:rPr>
      </w:pPr>
      <w:bookmarkStart w:id="49" w:name="_Toc14051"/>
      <w:r>
        <w:rPr>
          <w:rFonts w:hint="eastAsia" w:ascii="黑体" w:hAnsi="黑体" w:eastAsia="黑体" w:cs="黑体"/>
          <w:sz w:val="24"/>
          <w:szCs w:val="24"/>
          <w:lang w:val="en-US" w:eastAsia="zh-CN"/>
        </w:rPr>
        <w:t>6.2评价结论</w:t>
      </w:r>
      <w:bookmarkEnd w:id="49"/>
    </w:p>
    <w:p>
      <w:pPr>
        <w:numPr>
          <w:ilvl w:val="0"/>
          <w:numId w:val="0"/>
        </w:numPr>
        <w:spacing w:line="360" w:lineRule="auto"/>
        <w:ind w:firstLine="420" w:firstLine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根据数据质量评价的数据规范指数、数据完整指数、数据准确指数、数据一致指数、数据时效指数和数据校验指数，对数据质量进行评价，见表2和表3。</w:t>
      </w:r>
    </w:p>
    <w:p>
      <w:pPr>
        <w:pStyle w:val="8"/>
        <w:spacing w:before="72"/>
        <w:ind w:left="303" w:right="566"/>
        <w:jc w:val="center"/>
        <w:rPr>
          <w:sz w:val="24"/>
          <w:szCs w:val="24"/>
        </w:rPr>
      </w:pPr>
      <w:r>
        <w:rPr>
          <w:sz w:val="24"/>
          <w:szCs w:val="24"/>
        </w:rPr>
        <w:t>表2 数据质量分项评价表</w:t>
      </w:r>
    </w:p>
    <w:p>
      <w:pPr>
        <w:pStyle w:val="8"/>
        <w:spacing w:before="9" w:after="1"/>
        <w:rPr>
          <w:sz w:val="13"/>
        </w:rPr>
      </w:pPr>
    </w:p>
    <w:tbl>
      <w:tblPr>
        <w:tblStyle w:val="18"/>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99"/>
        <w:gridCol w:w="1325"/>
        <w:gridCol w:w="5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12" w:type="pct"/>
            <w:tcBorders>
              <w:right w:val="single" w:color="000000" w:sz="4" w:space="0"/>
            </w:tcBorders>
            <w:vAlign w:val="center"/>
          </w:tcPr>
          <w:p>
            <w:pPr>
              <w:pStyle w:val="38"/>
              <w:spacing w:before="0"/>
              <w:ind w:left="0" w:right="0"/>
              <w:jc w:val="center"/>
              <w:rPr>
                <w:sz w:val="18"/>
              </w:rPr>
            </w:pPr>
            <w:r>
              <w:rPr>
                <w:spacing w:val="-5"/>
                <w:sz w:val="18"/>
              </w:rPr>
              <w:t>项目</w:t>
            </w:r>
          </w:p>
        </w:tc>
        <w:tc>
          <w:tcPr>
            <w:tcW w:w="756" w:type="pct"/>
            <w:tcBorders>
              <w:left w:val="single" w:color="000000" w:sz="4" w:space="0"/>
              <w:right w:val="single" w:color="000000" w:sz="4" w:space="0"/>
            </w:tcBorders>
            <w:vAlign w:val="center"/>
          </w:tcPr>
          <w:p>
            <w:pPr>
              <w:pStyle w:val="38"/>
              <w:spacing w:before="0"/>
              <w:ind w:left="0" w:right="0"/>
              <w:jc w:val="center"/>
              <w:rPr>
                <w:sz w:val="18"/>
              </w:rPr>
            </w:pPr>
            <w:r>
              <w:rPr>
                <w:spacing w:val="-5"/>
                <w:sz w:val="18"/>
              </w:rPr>
              <w:t>指数</w:t>
            </w:r>
          </w:p>
        </w:tc>
        <w:tc>
          <w:tcPr>
            <w:tcW w:w="3331" w:type="pct"/>
            <w:tcBorders>
              <w:left w:val="single" w:color="000000" w:sz="4" w:space="0"/>
            </w:tcBorders>
            <w:vAlign w:val="center"/>
          </w:tcPr>
          <w:p>
            <w:pPr>
              <w:pStyle w:val="38"/>
              <w:spacing w:before="0"/>
              <w:ind w:left="0" w:right="0"/>
              <w:jc w:val="center"/>
              <w:rPr>
                <w:sz w:val="18"/>
              </w:rPr>
            </w:pPr>
            <w:r>
              <w:rPr>
                <w:spacing w:val="-5"/>
                <w:sz w:val="18"/>
              </w:rPr>
              <w:t>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bottom w:val="single" w:color="000000" w:sz="4" w:space="0"/>
              <w:right w:val="single" w:color="000000" w:sz="4" w:space="0"/>
            </w:tcBorders>
            <w:vAlign w:val="center"/>
          </w:tcPr>
          <w:p>
            <w:pPr>
              <w:pStyle w:val="38"/>
              <w:spacing w:before="0"/>
              <w:ind w:left="0" w:right="0"/>
              <w:jc w:val="center"/>
              <w:rPr>
                <w:sz w:val="18"/>
              </w:rPr>
            </w:pPr>
            <w:r>
              <w:rPr>
                <w:spacing w:val="-2"/>
                <w:sz w:val="18"/>
              </w:rPr>
              <w:t>数据规范指数</w:t>
            </w:r>
          </w:p>
        </w:tc>
        <w:tc>
          <w:tcPr>
            <w:tcW w:w="756" w:type="pct"/>
            <w:tcBorders>
              <w:left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w w:val="115"/>
                <w:sz w:val="18"/>
              </w:rPr>
              <w:t>K</w:t>
            </w:r>
            <w:r>
              <w:rPr>
                <w:spacing w:val="-2"/>
                <w:w w:val="115"/>
                <w:sz w:val="18"/>
                <w:vertAlign w:val="subscript"/>
              </w:rPr>
              <w:t>gf</w:t>
            </w:r>
            <w:r>
              <w:rPr>
                <w:spacing w:val="-2"/>
                <w:w w:val="115"/>
                <w:sz w:val="18"/>
                <w:vertAlign w:val="baseline"/>
              </w:rPr>
              <w:t>≥90</w:t>
            </w:r>
          </w:p>
        </w:tc>
        <w:tc>
          <w:tcPr>
            <w:tcW w:w="3331" w:type="pct"/>
            <w:tcBorders>
              <w:left w:val="single" w:color="000000" w:sz="4" w:space="0"/>
              <w:bottom w:val="single" w:color="000000" w:sz="4" w:space="0"/>
            </w:tcBorders>
            <w:vAlign w:val="center"/>
          </w:tcPr>
          <w:p>
            <w:pPr>
              <w:pStyle w:val="38"/>
              <w:spacing w:before="0"/>
              <w:ind w:left="0" w:right="0"/>
              <w:jc w:val="both"/>
              <w:rPr>
                <w:sz w:val="18"/>
              </w:rPr>
            </w:pPr>
            <w:r>
              <w:rPr>
                <w:spacing w:val="-1"/>
                <w:sz w:val="18"/>
              </w:rPr>
              <w:t>数据质量数据规范性符合要求，否则需要整改。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sz w:val="18"/>
              </w:rPr>
              <w:t>数据完整指数</w:t>
            </w:r>
          </w:p>
        </w:tc>
        <w:tc>
          <w:tcPr>
            <w:tcW w:w="756"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w w:val="115"/>
                <w:sz w:val="18"/>
              </w:rPr>
              <w:t>K</w:t>
            </w:r>
            <w:r>
              <w:rPr>
                <w:spacing w:val="-2"/>
                <w:w w:val="115"/>
                <w:sz w:val="18"/>
                <w:vertAlign w:val="subscript"/>
              </w:rPr>
              <w:t>wz</w:t>
            </w:r>
            <w:r>
              <w:rPr>
                <w:spacing w:val="-2"/>
                <w:w w:val="115"/>
                <w:sz w:val="18"/>
                <w:vertAlign w:val="baseline"/>
              </w:rPr>
              <w:t>≥85</w:t>
            </w:r>
          </w:p>
        </w:tc>
        <w:tc>
          <w:tcPr>
            <w:tcW w:w="3331" w:type="pct"/>
            <w:tcBorders>
              <w:top w:val="single" w:color="000000" w:sz="4" w:space="0"/>
              <w:left w:val="single" w:color="000000" w:sz="4" w:space="0"/>
              <w:bottom w:val="single" w:color="000000" w:sz="4" w:space="0"/>
            </w:tcBorders>
            <w:vAlign w:val="center"/>
          </w:tcPr>
          <w:p>
            <w:pPr>
              <w:pStyle w:val="38"/>
              <w:spacing w:before="0"/>
              <w:ind w:left="0" w:right="0"/>
              <w:jc w:val="both"/>
              <w:rPr>
                <w:sz w:val="18"/>
              </w:rPr>
            </w:pPr>
            <w:r>
              <w:rPr>
                <w:spacing w:val="-1"/>
                <w:sz w:val="18"/>
              </w:rPr>
              <w:t>数据质量数据完整性符合要求，否则需要整改。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sz w:val="18"/>
              </w:rPr>
              <w:t>数据准确指数</w:t>
            </w:r>
          </w:p>
        </w:tc>
        <w:tc>
          <w:tcPr>
            <w:tcW w:w="756"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w w:val="115"/>
                <w:sz w:val="18"/>
              </w:rPr>
              <w:t>K</w:t>
            </w:r>
            <w:r>
              <w:rPr>
                <w:spacing w:val="-2"/>
                <w:w w:val="115"/>
                <w:sz w:val="18"/>
                <w:vertAlign w:val="subscript"/>
              </w:rPr>
              <w:t>zq</w:t>
            </w:r>
            <w:r>
              <w:rPr>
                <w:spacing w:val="-2"/>
                <w:w w:val="115"/>
                <w:sz w:val="18"/>
                <w:vertAlign w:val="baseline"/>
              </w:rPr>
              <w:t>≥90</w:t>
            </w:r>
          </w:p>
        </w:tc>
        <w:tc>
          <w:tcPr>
            <w:tcW w:w="3331" w:type="pct"/>
            <w:tcBorders>
              <w:top w:val="single" w:color="000000" w:sz="4" w:space="0"/>
              <w:left w:val="single" w:color="000000" w:sz="4" w:space="0"/>
              <w:bottom w:val="single" w:color="000000" w:sz="4" w:space="0"/>
            </w:tcBorders>
            <w:vAlign w:val="center"/>
          </w:tcPr>
          <w:p>
            <w:pPr>
              <w:pStyle w:val="38"/>
              <w:spacing w:before="0"/>
              <w:ind w:left="0" w:right="0"/>
              <w:jc w:val="both"/>
              <w:rPr>
                <w:sz w:val="18"/>
              </w:rPr>
            </w:pPr>
            <w:r>
              <w:rPr>
                <w:spacing w:val="-1"/>
                <w:sz w:val="18"/>
              </w:rPr>
              <w:t>数据质量数据准确性符合要求，否则需要整改。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rFonts w:hint="default" w:eastAsia="宋体"/>
                <w:spacing w:val="-2"/>
                <w:sz w:val="18"/>
                <w:lang w:val="en-US" w:eastAsia="zh-CN"/>
              </w:rPr>
            </w:pPr>
            <w:r>
              <w:rPr>
                <w:rFonts w:hint="eastAsia"/>
                <w:spacing w:val="-2"/>
                <w:sz w:val="18"/>
                <w:lang w:val="en-US" w:eastAsia="zh-CN"/>
              </w:rPr>
              <w:t>数据一致指数</w:t>
            </w:r>
          </w:p>
        </w:tc>
        <w:tc>
          <w:tcPr>
            <w:tcW w:w="756"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spacing w:val="-2"/>
                <w:w w:val="115"/>
                <w:sz w:val="18"/>
              </w:rPr>
            </w:pPr>
            <w:r>
              <w:rPr>
                <w:spacing w:val="-2"/>
                <w:w w:val="115"/>
                <w:sz w:val="18"/>
              </w:rPr>
              <w:t>K</w:t>
            </w:r>
            <w:r>
              <w:rPr>
                <w:rFonts w:hint="eastAsia"/>
                <w:spacing w:val="-2"/>
                <w:w w:val="115"/>
                <w:sz w:val="18"/>
                <w:vertAlign w:val="subscript"/>
                <w:lang w:val="en-US" w:eastAsia="zh-CN"/>
              </w:rPr>
              <w:t>yz</w:t>
            </w:r>
            <w:r>
              <w:rPr>
                <w:spacing w:val="-2"/>
                <w:w w:val="115"/>
                <w:sz w:val="18"/>
                <w:vertAlign w:val="baseline"/>
              </w:rPr>
              <w:t>≥85</w:t>
            </w:r>
          </w:p>
        </w:tc>
        <w:tc>
          <w:tcPr>
            <w:tcW w:w="3331" w:type="pct"/>
            <w:tcBorders>
              <w:top w:val="single" w:color="000000" w:sz="4" w:space="0"/>
              <w:left w:val="single" w:color="000000" w:sz="4" w:space="0"/>
              <w:bottom w:val="single" w:color="000000" w:sz="4" w:space="0"/>
            </w:tcBorders>
            <w:vAlign w:val="center"/>
          </w:tcPr>
          <w:p>
            <w:pPr>
              <w:pStyle w:val="38"/>
              <w:spacing w:before="0"/>
              <w:ind w:left="0" w:right="0"/>
              <w:jc w:val="both"/>
              <w:rPr>
                <w:spacing w:val="-1"/>
                <w:sz w:val="18"/>
              </w:rPr>
            </w:pPr>
            <w:r>
              <w:rPr>
                <w:spacing w:val="-1"/>
                <w:sz w:val="18"/>
              </w:rPr>
              <w:t>数据质量数据</w:t>
            </w:r>
            <w:r>
              <w:rPr>
                <w:rFonts w:hint="eastAsia"/>
                <w:spacing w:val="-1"/>
                <w:sz w:val="18"/>
                <w:lang w:val="en-US" w:eastAsia="zh-CN"/>
              </w:rPr>
              <w:t>一致</w:t>
            </w:r>
            <w:r>
              <w:rPr>
                <w:spacing w:val="-1"/>
                <w:sz w:val="18"/>
              </w:rPr>
              <w:t>性符合要求，否则需要整改。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sz w:val="18"/>
              </w:rPr>
              <w:t>数据时效指数</w:t>
            </w:r>
          </w:p>
        </w:tc>
        <w:tc>
          <w:tcPr>
            <w:tcW w:w="756"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2"/>
                <w:w w:val="115"/>
                <w:sz w:val="18"/>
              </w:rPr>
              <w:t>K</w:t>
            </w:r>
            <w:r>
              <w:rPr>
                <w:spacing w:val="-2"/>
                <w:w w:val="115"/>
                <w:sz w:val="18"/>
                <w:vertAlign w:val="subscript"/>
              </w:rPr>
              <w:t>sx</w:t>
            </w:r>
            <w:r>
              <w:rPr>
                <w:spacing w:val="-2"/>
                <w:w w:val="115"/>
                <w:sz w:val="18"/>
                <w:vertAlign w:val="baseline"/>
              </w:rPr>
              <w:t>≥85</w:t>
            </w:r>
          </w:p>
        </w:tc>
        <w:tc>
          <w:tcPr>
            <w:tcW w:w="3331" w:type="pct"/>
            <w:tcBorders>
              <w:top w:val="single" w:color="000000" w:sz="4" w:space="0"/>
              <w:left w:val="single" w:color="000000" w:sz="4" w:space="0"/>
              <w:bottom w:val="single" w:color="000000" w:sz="4" w:space="0"/>
            </w:tcBorders>
            <w:vAlign w:val="center"/>
          </w:tcPr>
          <w:p>
            <w:pPr>
              <w:pStyle w:val="38"/>
              <w:spacing w:before="0"/>
              <w:ind w:left="0" w:right="0"/>
              <w:jc w:val="both"/>
              <w:rPr>
                <w:sz w:val="18"/>
              </w:rPr>
            </w:pPr>
            <w:r>
              <w:rPr>
                <w:spacing w:val="-1"/>
                <w:sz w:val="18"/>
              </w:rPr>
              <w:t>数据质量数据时效性符合要求，否则需要整改。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12" w:type="pct"/>
            <w:tcBorders>
              <w:top w:val="single" w:color="000000" w:sz="4" w:space="0"/>
              <w:right w:val="single" w:color="000000" w:sz="4" w:space="0"/>
            </w:tcBorders>
            <w:vAlign w:val="center"/>
          </w:tcPr>
          <w:p>
            <w:pPr>
              <w:pStyle w:val="38"/>
              <w:spacing w:before="0"/>
              <w:ind w:left="0" w:right="0"/>
              <w:jc w:val="center"/>
              <w:rPr>
                <w:rFonts w:hint="default" w:eastAsia="宋体"/>
                <w:spacing w:val="-2"/>
                <w:sz w:val="18"/>
                <w:lang w:val="en-US" w:eastAsia="zh-CN"/>
              </w:rPr>
            </w:pPr>
            <w:r>
              <w:rPr>
                <w:rFonts w:hint="eastAsia"/>
                <w:spacing w:val="-2"/>
                <w:sz w:val="18"/>
                <w:lang w:val="en-US" w:eastAsia="zh-CN"/>
              </w:rPr>
              <w:t>数据校验指数</w:t>
            </w:r>
          </w:p>
        </w:tc>
        <w:tc>
          <w:tcPr>
            <w:tcW w:w="756" w:type="pct"/>
            <w:tcBorders>
              <w:top w:val="single" w:color="000000" w:sz="4" w:space="0"/>
              <w:left w:val="single" w:color="000000" w:sz="4" w:space="0"/>
              <w:right w:val="single" w:color="000000" w:sz="4" w:space="0"/>
            </w:tcBorders>
            <w:vAlign w:val="center"/>
          </w:tcPr>
          <w:p>
            <w:pPr>
              <w:pStyle w:val="38"/>
              <w:spacing w:before="0"/>
              <w:ind w:left="0" w:right="0"/>
              <w:jc w:val="center"/>
              <w:rPr>
                <w:spacing w:val="-2"/>
                <w:w w:val="115"/>
                <w:sz w:val="18"/>
              </w:rPr>
            </w:pPr>
            <w:r>
              <w:rPr>
                <w:spacing w:val="-2"/>
                <w:w w:val="115"/>
                <w:sz w:val="18"/>
              </w:rPr>
              <w:t>K</w:t>
            </w:r>
            <w:r>
              <w:rPr>
                <w:rFonts w:hint="eastAsia"/>
                <w:spacing w:val="-2"/>
                <w:w w:val="115"/>
                <w:sz w:val="18"/>
                <w:vertAlign w:val="subscript"/>
                <w:lang w:val="en-US" w:eastAsia="zh-CN"/>
              </w:rPr>
              <w:t>jy</w:t>
            </w:r>
            <w:r>
              <w:rPr>
                <w:spacing w:val="-2"/>
                <w:w w:val="115"/>
                <w:sz w:val="18"/>
                <w:vertAlign w:val="baseline"/>
              </w:rPr>
              <w:t>≥85</w:t>
            </w:r>
          </w:p>
        </w:tc>
        <w:tc>
          <w:tcPr>
            <w:tcW w:w="3331" w:type="pct"/>
            <w:tcBorders>
              <w:top w:val="single" w:color="000000" w:sz="4" w:space="0"/>
              <w:left w:val="single" w:color="000000" w:sz="4" w:space="0"/>
            </w:tcBorders>
            <w:vAlign w:val="center"/>
          </w:tcPr>
          <w:p>
            <w:pPr>
              <w:pStyle w:val="38"/>
              <w:spacing w:before="0"/>
              <w:ind w:left="0" w:right="0"/>
              <w:jc w:val="both"/>
              <w:rPr>
                <w:spacing w:val="-1"/>
                <w:sz w:val="18"/>
              </w:rPr>
            </w:pPr>
            <w:r>
              <w:rPr>
                <w:spacing w:val="-1"/>
                <w:sz w:val="18"/>
              </w:rPr>
              <w:t>数据质量数据</w:t>
            </w:r>
            <w:r>
              <w:rPr>
                <w:rFonts w:hint="eastAsia"/>
                <w:spacing w:val="-1"/>
                <w:sz w:val="18"/>
                <w:lang w:val="en-US" w:eastAsia="zh-CN"/>
              </w:rPr>
              <w:t>校验</w:t>
            </w:r>
            <w:r>
              <w:rPr>
                <w:spacing w:val="-1"/>
                <w:sz w:val="18"/>
              </w:rPr>
              <w:t>性符合要求，否则需要整改。</w:t>
            </w:r>
          </w:p>
        </w:tc>
      </w:tr>
    </w:tbl>
    <w:p>
      <w:pPr>
        <w:pStyle w:val="8"/>
        <w:rPr>
          <w:sz w:val="20"/>
        </w:rPr>
      </w:pPr>
    </w:p>
    <w:p>
      <w:pPr>
        <w:pStyle w:val="8"/>
        <w:spacing w:before="72"/>
        <w:ind w:left="303" w:right="566"/>
        <w:jc w:val="center"/>
        <w:rPr>
          <w:sz w:val="24"/>
          <w:szCs w:val="24"/>
        </w:rPr>
      </w:pPr>
      <w:r>
        <w:rPr>
          <w:sz w:val="24"/>
          <w:szCs w:val="24"/>
        </w:rPr>
        <w:t>表3 数据质量综合评价表</w:t>
      </w:r>
    </w:p>
    <w:p>
      <w:pPr>
        <w:pStyle w:val="8"/>
        <w:spacing w:before="9" w:after="1"/>
        <w:rPr>
          <w:sz w:val="13"/>
        </w:rPr>
      </w:pPr>
    </w:p>
    <w:tbl>
      <w:tblPr>
        <w:tblStyle w:val="18"/>
        <w:tblW w:w="5043"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92"/>
        <w:gridCol w:w="1371"/>
        <w:gridCol w:w="6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787" w:type="pct"/>
            <w:tcBorders>
              <w:right w:val="single" w:color="000000" w:sz="4" w:space="0"/>
            </w:tcBorders>
          </w:tcPr>
          <w:p>
            <w:pPr>
              <w:pStyle w:val="38"/>
              <w:spacing w:before="0"/>
              <w:ind w:left="0" w:right="0"/>
              <w:rPr>
                <w:sz w:val="18"/>
              </w:rPr>
            </w:pPr>
            <w:r>
              <w:rPr>
                <w:spacing w:val="-5"/>
                <w:sz w:val="18"/>
              </w:rPr>
              <w:t>级别</w:t>
            </w:r>
          </w:p>
        </w:tc>
        <w:tc>
          <w:tcPr>
            <w:tcW w:w="775" w:type="pct"/>
            <w:tcBorders>
              <w:left w:val="single" w:color="000000" w:sz="4" w:space="0"/>
              <w:right w:val="single" w:color="000000" w:sz="4" w:space="0"/>
            </w:tcBorders>
          </w:tcPr>
          <w:p>
            <w:pPr>
              <w:pStyle w:val="38"/>
              <w:spacing w:before="0"/>
              <w:ind w:left="0" w:right="0"/>
              <w:rPr>
                <w:sz w:val="18"/>
              </w:rPr>
            </w:pPr>
            <w:r>
              <w:rPr>
                <w:spacing w:val="-3"/>
                <w:sz w:val="18"/>
              </w:rPr>
              <w:t>综合指数</w:t>
            </w:r>
          </w:p>
        </w:tc>
        <w:tc>
          <w:tcPr>
            <w:tcW w:w="3437" w:type="pct"/>
            <w:tcBorders>
              <w:left w:val="single" w:color="000000" w:sz="4" w:space="0"/>
            </w:tcBorders>
          </w:tcPr>
          <w:p>
            <w:pPr>
              <w:pStyle w:val="38"/>
              <w:spacing w:before="0"/>
              <w:ind w:left="0" w:right="0"/>
              <w:rPr>
                <w:sz w:val="18"/>
              </w:rPr>
            </w:pPr>
            <w:r>
              <w:rPr>
                <w:spacing w:val="-5"/>
                <w:sz w:val="18"/>
              </w:rPr>
              <w:t>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87" w:type="pct"/>
            <w:tcBorders>
              <w:bottom w:val="single" w:color="000000" w:sz="4" w:space="0"/>
              <w:right w:val="single" w:color="000000" w:sz="4" w:space="0"/>
            </w:tcBorders>
            <w:vAlign w:val="center"/>
          </w:tcPr>
          <w:p>
            <w:pPr>
              <w:pStyle w:val="38"/>
              <w:spacing w:before="0"/>
              <w:ind w:left="0" w:right="0"/>
              <w:jc w:val="center"/>
              <w:rPr>
                <w:sz w:val="18"/>
              </w:rPr>
            </w:pPr>
            <w:r>
              <w:rPr>
                <w:spacing w:val="-5"/>
                <w:sz w:val="18"/>
              </w:rPr>
              <w:t>合格</w:t>
            </w:r>
          </w:p>
        </w:tc>
        <w:tc>
          <w:tcPr>
            <w:tcW w:w="775" w:type="pct"/>
            <w:tcBorders>
              <w:left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4"/>
                <w:sz w:val="18"/>
              </w:rPr>
              <w:t>K≥80</w:t>
            </w:r>
          </w:p>
        </w:tc>
        <w:tc>
          <w:tcPr>
            <w:tcW w:w="3437" w:type="pct"/>
            <w:tcBorders>
              <w:left w:val="single" w:color="000000" w:sz="4" w:space="0"/>
              <w:bottom w:val="single" w:color="000000" w:sz="4" w:space="0"/>
            </w:tcBorders>
            <w:vAlign w:val="center"/>
          </w:tcPr>
          <w:p>
            <w:pPr>
              <w:pStyle w:val="38"/>
              <w:spacing w:before="0"/>
              <w:ind w:left="0" w:right="0"/>
              <w:jc w:val="left"/>
              <w:rPr>
                <w:sz w:val="18"/>
              </w:rPr>
            </w:pPr>
            <w:r>
              <w:rPr>
                <w:spacing w:val="-3"/>
                <w:sz w:val="18"/>
              </w:rPr>
              <w:t>数据质量总体质量较好，“工作按相关要求落实到位”。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2" w:hRule="atLeast"/>
        </w:trPr>
        <w:tc>
          <w:tcPr>
            <w:tcW w:w="787" w:type="pct"/>
            <w:tcBorders>
              <w:top w:val="single" w:color="000000" w:sz="4" w:space="0"/>
              <w:right w:val="single" w:color="000000" w:sz="4" w:space="0"/>
            </w:tcBorders>
            <w:vAlign w:val="center"/>
          </w:tcPr>
          <w:p>
            <w:pPr>
              <w:pStyle w:val="38"/>
              <w:spacing w:before="0"/>
              <w:ind w:left="0" w:right="0"/>
              <w:jc w:val="center"/>
              <w:rPr>
                <w:sz w:val="18"/>
              </w:rPr>
            </w:pPr>
            <w:r>
              <w:rPr>
                <w:spacing w:val="-4"/>
                <w:sz w:val="18"/>
              </w:rPr>
              <w:t>不合格</w:t>
            </w:r>
          </w:p>
        </w:tc>
        <w:tc>
          <w:tcPr>
            <w:tcW w:w="775" w:type="pct"/>
            <w:tcBorders>
              <w:top w:val="single" w:color="000000" w:sz="4" w:space="0"/>
              <w:left w:val="single" w:color="000000" w:sz="4" w:space="0"/>
              <w:right w:val="single" w:color="000000" w:sz="4" w:space="0"/>
            </w:tcBorders>
            <w:vAlign w:val="center"/>
          </w:tcPr>
          <w:p>
            <w:pPr>
              <w:pStyle w:val="38"/>
              <w:spacing w:before="0"/>
              <w:ind w:left="0" w:right="0"/>
              <w:jc w:val="center"/>
              <w:rPr>
                <w:sz w:val="18"/>
              </w:rPr>
            </w:pPr>
            <w:r>
              <w:rPr>
                <w:spacing w:val="-4"/>
                <w:sz w:val="18"/>
              </w:rPr>
              <w:t>K</w:t>
            </w:r>
            <w:r>
              <w:rPr>
                <w:rFonts w:hint="eastAsia"/>
                <w:spacing w:val="-4"/>
                <w:sz w:val="18"/>
                <w:lang w:val="en-US" w:eastAsia="zh-CN"/>
              </w:rPr>
              <w:t>&lt;</w:t>
            </w:r>
            <w:r>
              <w:rPr>
                <w:spacing w:val="-4"/>
                <w:sz w:val="18"/>
              </w:rPr>
              <w:t>80</w:t>
            </w:r>
          </w:p>
        </w:tc>
        <w:tc>
          <w:tcPr>
            <w:tcW w:w="3437" w:type="pct"/>
            <w:tcBorders>
              <w:top w:val="single" w:color="000000" w:sz="4" w:space="0"/>
              <w:left w:val="single" w:color="000000" w:sz="4" w:space="0"/>
            </w:tcBorders>
            <w:vAlign w:val="center"/>
          </w:tcPr>
          <w:p>
            <w:pPr>
              <w:pStyle w:val="38"/>
              <w:spacing w:before="0"/>
              <w:ind w:left="0" w:right="0"/>
              <w:jc w:val="left"/>
              <w:rPr>
                <w:sz w:val="18"/>
              </w:rPr>
            </w:pPr>
            <w:r>
              <w:rPr>
                <w:spacing w:val="-3"/>
                <w:sz w:val="18"/>
              </w:rPr>
              <w:t>数据质量总体质量较差，“工作存在问题，需要整改”。</w:t>
            </w:r>
          </w:p>
        </w:tc>
      </w:tr>
    </w:tbl>
    <w:p>
      <w:pPr>
        <w:pStyle w:val="8"/>
        <w:spacing w:before="9" w:after="1"/>
        <w:rPr>
          <w:rFonts w:hint="default"/>
          <w:sz w:val="13"/>
          <w:lang w:val="en-US" w:eastAsia="zh-CN"/>
        </w:rPr>
      </w:pPr>
    </w:p>
    <w:p>
      <w:pPr>
        <w:pStyle w:val="4"/>
        <w:bidi w:val="0"/>
        <w:outlineLvl w:val="1"/>
        <w:rPr>
          <w:rFonts w:hint="eastAsia" w:ascii="黑体" w:hAnsi="黑体" w:eastAsia="黑体" w:cs="黑体"/>
          <w:sz w:val="24"/>
          <w:szCs w:val="24"/>
          <w:lang w:val="en-US" w:eastAsia="zh-CN"/>
        </w:rPr>
      </w:pPr>
      <w:bookmarkStart w:id="50" w:name="_Toc27102"/>
      <w:r>
        <w:rPr>
          <w:rFonts w:hint="eastAsia" w:ascii="黑体" w:hAnsi="黑体" w:eastAsia="黑体" w:cs="黑体"/>
          <w:sz w:val="24"/>
          <w:szCs w:val="24"/>
          <w:lang w:val="en-US" w:eastAsia="zh-CN"/>
        </w:rPr>
        <w:t>6.3评价变化分析</w:t>
      </w:r>
      <w:bookmarkEnd w:id="50"/>
    </w:p>
    <w:p>
      <w:pPr>
        <w:numPr>
          <w:ilvl w:val="0"/>
          <w:numId w:val="0"/>
        </w:numPr>
        <w:spacing w:line="360" w:lineRule="auto"/>
        <w:ind w:firstLine="420" w:firstLineChars="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在同一统计口径基础上，根据数据质量综合指数与上一评价周期的变化情况，将数据质量变化幅度分为4个等级，即无明显变化、略微变化（好或差）、明显变化（好或差）、显著变化（好或差），见表4。</w:t>
      </w:r>
    </w:p>
    <w:p>
      <w:pPr>
        <w:pStyle w:val="8"/>
        <w:spacing w:before="72"/>
        <w:ind w:left="303" w:right="566"/>
        <w:jc w:val="center"/>
        <w:rPr>
          <w:sz w:val="24"/>
          <w:szCs w:val="24"/>
        </w:rPr>
      </w:pPr>
      <w:r>
        <w:rPr>
          <w:sz w:val="24"/>
          <w:szCs w:val="24"/>
        </w:rPr>
        <w:t>表4 数据质量变化分析表</w:t>
      </w:r>
    </w:p>
    <w:p>
      <w:pPr>
        <w:pStyle w:val="8"/>
        <w:spacing w:before="9" w:after="1"/>
        <w:rPr>
          <w:sz w:val="13"/>
        </w:rPr>
      </w:pPr>
    </w:p>
    <w:tbl>
      <w:tblPr>
        <w:tblStyle w:val="18"/>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99"/>
        <w:gridCol w:w="1327"/>
        <w:gridCol w:w="5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3" w:hRule="atLeast"/>
        </w:trPr>
        <w:tc>
          <w:tcPr>
            <w:tcW w:w="912" w:type="pct"/>
            <w:tcBorders>
              <w:right w:val="single" w:color="000000" w:sz="4" w:space="0"/>
            </w:tcBorders>
          </w:tcPr>
          <w:p>
            <w:pPr>
              <w:pStyle w:val="38"/>
              <w:spacing w:before="0"/>
              <w:ind w:left="0" w:right="0"/>
              <w:rPr>
                <w:sz w:val="18"/>
              </w:rPr>
            </w:pPr>
            <w:r>
              <w:rPr>
                <w:spacing w:val="-5"/>
                <w:sz w:val="18"/>
              </w:rPr>
              <w:t>基本</w:t>
            </w:r>
          </w:p>
        </w:tc>
        <w:tc>
          <w:tcPr>
            <w:tcW w:w="757" w:type="pct"/>
            <w:tcBorders>
              <w:left w:val="single" w:color="000000" w:sz="4" w:space="0"/>
              <w:right w:val="single" w:color="000000" w:sz="4" w:space="0"/>
            </w:tcBorders>
          </w:tcPr>
          <w:p>
            <w:pPr>
              <w:pStyle w:val="38"/>
              <w:spacing w:before="0"/>
              <w:ind w:left="0" w:right="0"/>
              <w:rPr>
                <w:sz w:val="18"/>
              </w:rPr>
            </w:pPr>
            <w:r>
              <w:rPr>
                <w:sz w:val="18"/>
              </w:rPr>
              <w:t>变化值</w:t>
            </w:r>
            <w:r>
              <w:rPr>
                <w:spacing w:val="-5"/>
                <w:sz w:val="18"/>
              </w:rPr>
              <w:t>（%）</w:t>
            </w:r>
          </w:p>
        </w:tc>
        <w:tc>
          <w:tcPr>
            <w:tcW w:w="3330" w:type="pct"/>
            <w:tcBorders>
              <w:left w:val="single" w:color="000000" w:sz="4" w:space="0"/>
            </w:tcBorders>
          </w:tcPr>
          <w:p>
            <w:pPr>
              <w:pStyle w:val="38"/>
              <w:spacing w:before="0"/>
              <w:ind w:left="0" w:right="0"/>
              <w:rPr>
                <w:sz w:val="18"/>
              </w:rPr>
            </w:pPr>
            <w:r>
              <w:rPr>
                <w:spacing w:val="-5"/>
                <w:sz w:val="18"/>
              </w:rPr>
              <w:t>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12" w:type="pct"/>
            <w:tcBorders>
              <w:bottom w:val="single" w:color="000000" w:sz="4" w:space="0"/>
              <w:right w:val="single" w:color="000000" w:sz="4" w:space="0"/>
            </w:tcBorders>
            <w:vAlign w:val="center"/>
          </w:tcPr>
          <w:p>
            <w:pPr>
              <w:pStyle w:val="38"/>
              <w:spacing w:before="0"/>
              <w:ind w:left="0" w:right="0"/>
              <w:jc w:val="center"/>
              <w:rPr>
                <w:sz w:val="18"/>
              </w:rPr>
            </w:pPr>
            <w:r>
              <w:rPr>
                <w:spacing w:val="-2"/>
                <w:sz w:val="18"/>
              </w:rPr>
              <w:t>无明显变化</w:t>
            </w:r>
          </w:p>
        </w:tc>
        <w:tc>
          <w:tcPr>
            <w:tcW w:w="757" w:type="pct"/>
            <w:tcBorders>
              <w:left w:val="single" w:color="000000" w:sz="4" w:space="0"/>
              <w:bottom w:val="single" w:color="000000" w:sz="4" w:space="0"/>
              <w:right w:val="single" w:color="000000" w:sz="4" w:space="0"/>
            </w:tcBorders>
            <w:vAlign w:val="center"/>
          </w:tcPr>
          <w:p>
            <w:pPr>
              <w:pStyle w:val="38"/>
              <w:spacing w:before="0"/>
              <w:ind w:left="0" w:right="0"/>
              <w:jc w:val="center"/>
              <w:rPr>
                <w:rFonts w:ascii="Cambria Math" w:hAnsi="Cambria Math"/>
                <w:sz w:val="18"/>
              </w:rPr>
            </w:pPr>
            <w:r>
              <w:rPr>
                <w:rFonts w:ascii="Cambria Math" w:hAnsi="Cambria Math"/>
                <w:spacing w:val="-2"/>
                <w:position w:val="1"/>
                <w:sz w:val="18"/>
              </w:rPr>
              <w:t>|</w:t>
            </w:r>
            <w:r>
              <w:rPr>
                <w:rFonts w:ascii="Cambria Math" w:hAnsi="Cambria Math"/>
                <w:spacing w:val="-2"/>
                <w:sz w:val="18"/>
              </w:rPr>
              <w:t>∆K</w:t>
            </w:r>
            <w:r>
              <w:rPr>
                <w:rFonts w:ascii="Cambria Math" w:hAnsi="Cambria Math"/>
                <w:spacing w:val="-2"/>
                <w:position w:val="1"/>
                <w:sz w:val="18"/>
              </w:rPr>
              <w:t>|</w:t>
            </w:r>
            <w:r>
              <w:rPr>
                <w:rFonts w:ascii="Cambria Math" w:hAnsi="Cambria Math"/>
                <w:spacing w:val="-2"/>
                <w:sz w:val="18"/>
              </w:rPr>
              <w:t>&lt;5</w:t>
            </w:r>
          </w:p>
        </w:tc>
        <w:tc>
          <w:tcPr>
            <w:tcW w:w="3330" w:type="pct"/>
            <w:tcBorders>
              <w:left w:val="single" w:color="000000" w:sz="4" w:space="0"/>
              <w:bottom w:val="single" w:color="000000" w:sz="4" w:space="0"/>
            </w:tcBorders>
          </w:tcPr>
          <w:p>
            <w:pPr>
              <w:pStyle w:val="38"/>
              <w:spacing w:before="0"/>
              <w:ind w:left="0" w:right="0"/>
              <w:jc w:val="left"/>
              <w:rPr>
                <w:sz w:val="18"/>
              </w:rPr>
            </w:pPr>
            <w:r>
              <w:rPr>
                <w:spacing w:val="-1"/>
                <w:sz w:val="18"/>
              </w:rPr>
              <w:t>数据综合质量无明显变化。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3"/>
                <w:sz w:val="18"/>
              </w:rPr>
              <w:t>略微变化</w:t>
            </w:r>
          </w:p>
        </w:tc>
        <w:tc>
          <w:tcPr>
            <w:tcW w:w="757"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rFonts w:ascii="Cambria Math" w:hAnsi="Cambria Math"/>
                <w:sz w:val="18"/>
              </w:rPr>
            </w:pPr>
            <w:r>
              <w:rPr>
                <w:rFonts w:ascii="Cambria Math" w:hAnsi="Cambria Math"/>
                <w:sz w:val="18"/>
              </w:rPr>
              <w:t>5</w:t>
            </w:r>
            <w:r>
              <w:rPr>
                <w:rFonts w:ascii="Cambria Math" w:hAnsi="Cambria Math"/>
                <w:spacing w:val="8"/>
                <w:sz w:val="18"/>
              </w:rPr>
              <w:t xml:space="preserve"> </w:t>
            </w:r>
            <w:r>
              <w:rPr>
                <w:rFonts w:ascii="Cambria Math" w:hAnsi="Cambria Math"/>
                <w:sz w:val="18"/>
              </w:rPr>
              <w:t>≤</w:t>
            </w:r>
            <w:r>
              <w:rPr>
                <w:rFonts w:ascii="Cambria Math" w:hAnsi="Cambria Math"/>
                <w:spacing w:val="10"/>
                <w:sz w:val="18"/>
              </w:rPr>
              <w:t xml:space="preserve"> </w:t>
            </w:r>
            <w:r>
              <w:rPr>
                <w:rFonts w:ascii="Cambria Math" w:hAnsi="Cambria Math"/>
                <w:position w:val="1"/>
                <w:sz w:val="18"/>
              </w:rPr>
              <w:t>|</w:t>
            </w:r>
            <w:r>
              <w:rPr>
                <w:rFonts w:ascii="Cambria Math" w:hAnsi="Cambria Math"/>
                <w:sz w:val="18"/>
              </w:rPr>
              <w:t>∆K</w:t>
            </w:r>
            <w:r>
              <w:rPr>
                <w:rFonts w:ascii="Cambria Math" w:hAnsi="Cambria Math"/>
                <w:position w:val="1"/>
                <w:sz w:val="18"/>
              </w:rPr>
              <w:t>|</w:t>
            </w:r>
            <w:r>
              <w:rPr>
                <w:rFonts w:ascii="Cambria Math" w:hAnsi="Cambria Math"/>
                <w:spacing w:val="9"/>
                <w:position w:val="1"/>
                <w:sz w:val="18"/>
              </w:rPr>
              <w:t xml:space="preserve"> </w:t>
            </w:r>
            <w:r>
              <w:rPr>
                <w:rFonts w:ascii="Cambria Math" w:hAnsi="Cambria Math"/>
                <w:sz w:val="18"/>
              </w:rPr>
              <w:t>&lt;</w:t>
            </w:r>
            <w:r>
              <w:rPr>
                <w:rFonts w:ascii="Cambria Math" w:hAnsi="Cambria Math"/>
                <w:spacing w:val="10"/>
                <w:sz w:val="18"/>
              </w:rPr>
              <w:t xml:space="preserve"> </w:t>
            </w:r>
            <w:r>
              <w:rPr>
                <w:rFonts w:ascii="Cambria Math" w:hAnsi="Cambria Math"/>
                <w:spacing w:val="-5"/>
                <w:sz w:val="18"/>
              </w:rPr>
              <w:t>10</w:t>
            </w:r>
          </w:p>
        </w:tc>
        <w:tc>
          <w:tcPr>
            <w:tcW w:w="3330" w:type="pct"/>
            <w:tcBorders>
              <w:top w:val="single" w:color="000000" w:sz="4" w:space="0"/>
              <w:left w:val="single" w:color="000000" w:sz="4" w:space="0"/>
              <w:bottom w:val="single" w:color="000000" w:sz="4" w:space="0"/>
            </w:tcBorders>
          </w:tcPr>
          <w:p>
            <w:pPr>
              <w:pStyle w:val="38"/>
              <w:spacing w:before="0"/>
              <w:ind w:left="0" w:right="0"/>
              <w:jc w:val="left"/>
              <w:rPr>
                <w:rFonts w:ascii="Cambria Math" w:hAnsi="Cambria Math" w:eastAsia="Cambria Math"/>
                <w:sz w:val="18"/>
              </w:rPr>
            </w:pPr>
            <w:r>
              <w:rPr>
                <w:sz w:val="18"/>
              </w:rPr>
              <w:t>如果</w:t>
            </w:r>
            <w:r>
              <w:rPr>
                <w:rFonts w:ascii="Cambria Math" w:hAnsi="Cambria Math" w:eastAsia="Cambria Math"/>
                <w:sz w:val="18"/>
              </w:rPr>
              <w:t>5</w:t>
            </w:r>
            <w:r>
              <w:rPr>
                <w:rFonts w:ascii="Cambria Math" w:hAnsi="Cambria Math" w:eastAsia="Cambria Math"/>
                <w:spacing w:val="4"/>
                <w:sz w:val="18"/>
              </w:rPr>
              <w:t xml:space="preserve"> ≤ ∆</w:t>
            </w:r>
            <w:r>
              <w:rPr>
                <w:rFonts w:ascii="Cambria Math" w:hAnsi="Cambria Math" w:eastAsia="Cambria Math"/>
                <w:sz w:val="18"/>
              </w:rPr>
              <w:t>K</w:t>
            </w:r>
            <w:r>
              <w:rPr>
                <w:rFonts w:ascii="Cambria Math" w:hAnsi="Cambria Math" w:eastAsia="Cambria Math"/>
                <w:spacing w:val="6"/>
                <w:sz w:val="18"/>
              </w:rPr>
              <w:t xml:space="preserve"> &lt; </w:t>
            </w:r>
            <w:r>
              <w:rPr>
                <w:rFonts w:ascii="Cambria Math" w:hAnsi="Cambria Math" w:eastAsia="Cambria Math"/>
                <w:sz w:val="18"/>
              </w:rPr>
              <w:t>10</w:t>
            </w:r>
            <w:r>
              <w:rPr>
                <w:sz w:val="18"/>
              </w:rPr>
              <w:t>，则数据综合质量略微变好；如果</w:t>
            </w:r>
            <w:r>
              <w:rPr>
                <w:rFonts w:ascii="Cambria Math" w:hAnsi="Cambria Math" w:eastAsia="Cambria Math"/>
                <w:sz w:val="18"/>
              </w:rPr>
              <w:t>−10</w:t>
            </w:r>
            <w:r>
              <w:rPr>
                <w:rFonts w:ascii="Cambria Math" w:hAnsi="Cambria Math" w:eastAsia="Cambria Math"/>
                <w:spacing w:val="6"/>
                <w:sz w:val="18"/>
              </w:rPr>
              <w:t xml:space="preserve"> ≤ </w:t>
            </w:r>
            <w:r>
              <w:rPr>
                <w:rFonts w:ascii="Cambria Math" w:hAnsi="Cambria Math" w:eastAsia="Cambria Math"/>
                <w:sz w:val="18"/>
              </w:rPr>
              <w:t>∆K</w:t>
            </w:r>
            <w:r>
              <w:rPr>
                <w:rFonts w:ascii="Cambria Math" w:hAnsi="Cambria Math" w:eastAsia="Cambria Math"/>
                <w:spacing w:val="-2"/>
                <w:sz w:val="18"/>
              </w:rPr>
              <w:t xml:space="preserve"> &lt;</w:t>
            </w:r>
          </w:p>
          <w:p>
            <w:pPr>
              <w:pStyle w:val="38"/>
              <w:spacing w:before="0"/>
              <w:ind w:left="0" w:right="0"/>
              <w:jc w:val="left"/>
              <w:rPr>
                <w:sz w:val="18"/>
              </w:rPr>
            </w:pPr>
            <w:r>
              <w:rPr>
                <w:rFonts w:ascii="Cambria Math" w:hAnsi="Cambria Math" w:eastAsia="Cambria Math"/>
                <w:sz w:val="18"/>
              </w:rPr>
              <w:t>−5</w:t>
            </w:r>
            <w:r>
              <w:rPr>
                <w:spacing w:val="-1"/>
                <w:sz w:val="18"/>
              </w:rPr>
              <w:t>，则数据综合质量略微变差。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trPr>
        <w:tc>
          <w:tcPr>
            <w:tcW w:w="912" w:type="pct"/>
            <w:tcBorders>
              <w:top w:val="single" w:color="000000" w:sz="4" w:space="0"/>
              <w:bottom w:val="single" w:color="000000" w:sz="4" w:space="0"/>
              <w:right w:val="single" w:color="000000" w:sz="4" w:space="0"/>
            </w:tcBorders>
            <w:vAlign w:val="center"/>
          </w:tcPr>
          <w:p>
            <w:pPr>
              <w:pStyle w:val="38"/>
              <w:spacing w:before="0"/>
              <w:ind w:left="0" w:right="0"/>
              <w:jc w:val="center"/>
              <w:rPr>
                <w:sz w:val="18"/>
              </w:rPr>
            </w:pPr>
            <w:r>
              <w:rPr>
                <w:spacing w:val="-3"/>
                <w:sz w:val="18"/>
              </w:rPr>
              <w:t>明显变化</w:t>
            </w:r>
          </w:p>
        </w:tc>
        <w:tc>
          <w:tcPr>
            <w:tcW w:w="757" w:type="pct"/>
            <w:tcBorders>
              <w:top w:val="single" w:color="000000" w:sz="4" w:space="0"/>
              <w:left w:val="single" w:color="000000" w:sz="4" w:space="0"/>
              <w:bottom w:val="single" w:color="000000" w:sz="4" w:space="0"/>
              <w:right w:val="single" w:color="000000" w:sz="4" w:space="0"/>
            </w:tcBorders>
            <w:vAlign w:val="center"/>
          </w:tcPr>
          <w:p>
            <w:pPr>
              <w:pStyle w:val="38"/>
              <w:spacing w:before="0"/>
              <w:ind w:left="0" w:right="0"/>
              <w:jc w:val="center"/>
              <w:rPr>
                <w:rFonts w:ascii="Cambria Math" w:hAnsi="Cambria Math"/>
                <w:sz w:val="18"/>
              </w:rPr>
            </w:pPr>
            <w:r>
              <w:rPr>
                <w:rFonts w:ascii="Cambria Math" w:hAnsi="Cambria Math"/>
                <w:sz w:val="18"/>
              </w:rPr>
              <w:t>10</w:t>
            </w:r>
            <w:r>
              <w:rPr>
                <w:rFonts w:ascii="Cambria Math" w:hAnsi="Cambria Math"/>
                <w:spacing w:val="10"/>
                <w:sz w:val="18"/>
              </w:rPr>
              <w:t xml:space="preserve"> </w:t>
            </w:r>
            <w:r>
              <w:rPr>
                <w:rFonts w:ascii="Cambria Math" w:hAnsi="Cambria Math"/>
                <w:sz w:val="18"/>
              </w:rPr>
              <w:t>≤</w:t>
            </w:r>
            <w:r>
              <w:rPr>
                <w:rFonts w:ascii="Cambria Math" w:hAnsi="Cambria Math"/>
                <w:spacing w:val="10"/>
                <w:sz w:val="18"/>
              </w:rPr>
              <w:t xml:space="preserve"> </w:t>
            </w:r>
            <w:r>
              <w:rPr>
                <w:rFonts w:ascii="Cambria Math" w:hAnsi="Cambria Math"/>
                <w:position w:val="1"/>
                <w:sz w:val="18"/>
              </w:rPr>
              <w:t>|</w:t>
            </w:r>
            <w:r>
              <w:rPr>
                <w:rFonts w:ascii="Cambria Math" w:hAnsi="Cambria Math"/>
                <w:sz w:val="18"/>
              </w:rPr>
              <w:t>∆K</w:t>
            </w:r>
            <w:r>
              <w:rPr>
                <w:rFonts w:ascii="Cambria Math" w:hAnsi="Cambria Math"/>
                <w:position w:val="1"/>
                <w:sz w:val="18"/>
              </w:rPr>
              <w:t>|</w:t>
            </w:r>
            <w:r>
              <w:rPr>
                <w:rFonts w:ascii="Cambria Math" w:hAnsi="Cambria Math"/>
                <w:spacing w:val="9"/>
                <w:position w:val="1"/>
                <w:sz w:val="18"/>
              </w:rPr>
              <w:t xml:space="preserve"> </w:t>
            </w:r>
            <w:r>
              <w:rPr>
                <w:rFonts w:ascii="Cambria Math" w:hAnsi="Cambria Math"/>
                <w:sz w:val="18"/>
              </w:rPr>
              <w:t>&lt;</w:t>
            </w:r>
            <w:r>
              <w:rPr>
                <w:rFonts w:ascii="Cambria Math" w:hAnsi="Cambria Math"/>
                <w:spacing w:val="10"/>
                <w:sz w:val="18"/>
              </w:rPr>
              <w:t xml:space="preserve"> </w:t>
            </w:r>
            <w:r>
              <w:rPr>
                <w:rFonts w:ascii="Cambria Math" w:hAnsi="Cambria Math"/>
                <w:spacing w:val="-5"/>
                <w:sz w:val="18"/>
              </w:rPr>
              <w:t>20</w:t>
            </w:r>
          </w:p>
        </w:tc>
        <w:tc>
          <w:tcPr>
            <w:tcW w:w="3330" w:type="pct"/>
            <w:tcBorders>
              <w:top w:val="single" w:color="000000" w:sz="4" w:space="0"/>
              <w:left w:val="single" w:color="000000" w:sz="4" w:space="0"/>
              <w:bottom w:val="single" w:color="000000" w:sz="4" w:space="0"/>
            </w:tcBorders>
          </w:tcPr>
          <w:p>
            <w:pPr>
              <w:pStyle w:val="38"/>
              <w:spacing w:before="0"/>
              <w:ind w:left="0" w:right="0"/>
              <w:jc w:val="left"/>
              <w:rPr>
                <w:rFonts w:ascii="Cambria Math" w:hAnsi="Cambria Math" w:eastAsia="Cambria Math"/>
                <w:sz w:val="18"/>
              </w:rPr>
            </w:pPr>
            <w:r>
              <w:rPr>
                <w:sz w:val="18"/>
              </w:rPr>
              <w:t>如果</w:t>
            </w:r>
            <w:r>
              <w:rPr>
                <w:rFonts w:ascii="Cambria Math" w:hAnsi="Cambria Math" w:eastAsia="Cambria Math"/>
                <w:sz w:val="18"/>
              </w:rPr>
              <w:t>10</w:t>
            </w:r>
            <w:r>
              <w:rPr>
                <w:rFonts w:ascii="Cambria Math" w:hAnsi="Cambria Math" w:eastAsia="Cambria Math"/>
                <w:spacing w:val="3"/>
                <w:sz w:val="18"/>
              </w:rPr>
              <w:t xml:space="preserve"> ≤ ∆</w:t>
            </w:r>
            <w:r>
              <w:rPr>
                <w:rFonts w:ascii="Cambria Math" w:hAnsi="Cambria Math" w:eastAsia="Cambria Math"/>
                <w:sz w:val="18"/>
              </w:rPr>
              <w:t>K</w:t>
            </w:r>
            <w:r>
              <w:rPr>
                <w:rFonts w:ascii="Cambria Math" w:hAnsi="Cambria Math" w:eastAsia="Cambria Math"/>
                <w:spacing w:val="7"/>
                <w:sz w:val="18"/>
              </w:rPr>
              <w:t xml:space="preserve"> &lt; </w:t>
            </w:r>
            <w:r>
              <w:rPr>
                <w:rFonts w:ascii="Cambria Math" w:hAnsi="Cambria Math" w:eastAsia="Cambria Math"/>
                <w:sz w:val="18"/>
              </w:rPr>
              <w:t>20</w:t>
            </w:r>
            <w:r>
              <w:rPr>
                <w:sz w:val="18"/>
              </w:rPr>
              <w:t>，则数据综合质量明显变好；如果</w:t>
            </w:r>
            <w:r>
              <w:rPr>
                <w:rFonts w:ascii="Cambria Math" w:hAnsi="Cambria Math" w:eastAsia="Cambria Math"/>
                <w:sz w:val="18"/>
              </w:rPr>
              <w:t>−20</w:t>
            </w:r>
            <w:r>
              <w:rPr>
                <w:rFonts w:ascii="Cambria Math" w:hAnsi="Cambria Math" w:eastAsia="Cambria Math"/>
                <w:spacing w:val="6"/>
                <w:sz w:val="18"/>
              </w:rPr>
              <w:t xml:space="preserve"> ≤ </w:t>
            </w:r>
            <w:r>
              <w:rPr>
                <w:rFonts w:ascii="Cambria Math" w:hAnsi="Cambria Math" w:eastAsia="Cambria Math"/>
                <w:sz w:val="18"/>
              </w:rPr>
              <w:t>∆K &lt;</w:t>
            </w:r>
          </w:p>
          <w:p>
            <w:pPr>
              <w:pStyle w:val="38"/>
              <w:spacing w:before="0"/>
              <w:ind w:left="0" w:right="0"/>
              <w:jc w:val="left"/>
              <w:rPr>
                <w:sz w:val="18"/>
              </w:rPr>
            </w:pPr>
            <w:r>
              <w:rPr>
                <w:rFonts w:ascii="Cambria Math" w:hAnsi="Cambria Math" w:eastAsia="Cambria Math"/>
                <w:spacing w:val="-2"/>
                <w:sz w:val="18"/>
              </w:rPr>
              <w:t>−10</w:t>
            </w:r>
            <w:r>
              <w:rPr>
                <w:spacing w:val="-3"/>
                <w:sz w:val="18"/>
              </w:rPr>
              <w:t>，则数据综合质量明显变差。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5" w:hRule="atLeast"/>
        </w:trPr>
        <w:tc>
          <w:tcPr>
            <w:tcW w:w="912" w:type="pct"/>
            <w:tcBorders>
              <w:top w:val="single" w:color="000000" w:sz="4" w:space="0"/>
              <w:right w:val="single" w:color="000000" w:sz="4" w:space="0"/>
            </w:tcBorders>
            <w:vAlign w:val="center"/>
          </w:tcPr>
          <w:p>
            <w:pPr>
              <w:pStyle w:val="38"/>
              <w:spacing w:before="0"/>
              <w:ind w:left="0" w:right="0"/>
              <w:jc w:val="center"/>
              <w:rPr>
                <w:sz w:val="18"/>
              </w:rPr>
            </w:pPr>
            <w:r>
              <w:rPr>
                <w:spacing w:val="-3"/>
                <w:sz w:val="18"/>
              </w:rPr>
              <w:t>显著变化</w:t>
            </w:r>
          </w:p>
        </w:tc>
        <w:tc>
          <w:tcPr>
            <w:tcW w:w="757" w:type="pct"/>
            <w:tcBorders>
              <w:top w:val="single" w:color="000000" w:sz="4" w:space="0"/>
              <w:left w:val="single" w:color="000000" w:sz="4" w:space="0"/>
              <w:right w:val="single" w:color="000000" w:sz="4" w:space="0"/>
            </w:tcBorders>
            <w:vAlign w:val="center"/>
          </w:tcPr>
          <w:p>
            <w:pPr>
              <w:pStyle w:val="38"/>
              <w:spacing w:before="0"/>
              <w:ind w:left="0" w:right="0"/>
              <w:jc w:val="center"/>
              <w:rPr>
                <w:rFonts w:ascii="Cambria Math" w:hAnsi="Cambria Math"/>
                <w:sz w:val="18"/>
              </w:rPr>
            </w:pPr>
            <w:r>
              <w:rPr>
                <w:rFonts w:ascii="Cambria Math" w:hAnsi="Cambria Math"/>
                <w:sz w:val="18"/>
              </w:rPr>
              <w:t>20</w:t>
            </w:r>
            <w:r>
              <w:rPr>
                <w:rFonts w:ascii="Cambria Math" w:hAnsi="Cambria Math"/>
                <w:spacing w:val="7"/>
                <w:sz w:val="18"/>
              </w:rPr>
              <w:t xml:space="preserve"> </w:t>
            </w:r>
            <w:r>
              <w:rPr>
                <w:rFonts w:ascii="Cambria Math" w:hAnsi="Cambria Math"/>
                <w:sz w:val="18"/>
              </w:rPr>
              <w:t>≤</w:t>
            </w:r>
            <w:r>
              <w:rPr>
                <w:rFonts w:ascii="Cambria Math" w:hAnsi="Cambria Math"/>
                <w:spacing w:val="11"/>
                <w:sz w:val="18"/>
              </w:rPr>
              <w:t xml:space="preserve"> </w:t>
            </w:r>
            <w:r>
              <w:rPr>
                <w:rFonts w:ascii="Cambria Math" w:hAnsi="Cambria Math"/>
                <w:spacing w:val="-4"/>
                <w:position w:val="1"/>
                <w:sz w:val="18"/>
              </w:rPr>
              <w:t>|</w:t>
            </w:r>
            <w:r>
              <w:rPr>
                <w:rFonts w:ascii="Cambria Math" w:hAnsi="Cambria Math"/>
                <w:spacing w:val="-4"/>
                <w:sz w:val="18"/>
              </w:rPr>
              <w:t>∆K</w:t>
            </w:r>
            <w:r>
              <w:rPr>
                <w:rFonts w:ascii="Cambria Math" w:hAnsi="Cambria Math"/>
                <w:spacing w:val="-4"/>
                <w:position w:val="1"/>
                <w:sz w:val="18"/>
              </w:rPr>
              <w:t>|</w:t>
            </w:r>
          </w:p>
        </w:tc>
        <w:tc>
          <w:tcPr>
            <w:tcW w:w="3330" w:type="pct"/>
            <w:tcBorders>
              <w:top w:val="single" w:color="000000" w:sz="4" w:space="0"/>
              <w:left w:val="single" w:color="000000" w:sz="4" w:space="0"/>
            </w:tcBorders>
          </w:tcPr>
          <w:p>
            <w:pPr>
              <w:pStyle w:val="38"/>
              <w:spacing w:before="0"/>
              <w:ind w:left="0" w:right="0"/>
              <w:jc w:val="left"/>
              <w:rPr>
                <w:sz w:val="18"/>
              </w:rPr>
            </w:pPr>
            <w:r>
              <w:rPr>
                <w:sz w:val="18"/>
              </w:rPr>
              <w:t>如果</w:t>
            </w:r>
            <w:r>
              <w:rPr>
                <w:rFonts w:ascii="Cambria Math" w:hAnsi="Cambria Math" w:eastAsia="Cambria Math"/>
                <w:sz w:val="18"/>
              </w:rPr>
              <w:t>20</w:t>
            </w:r>
            <w:r>
              <w:rPr>
                <w:rFonts w:ascii="Cambria Math" w:hAnsi="Cambria Math" w:eastAsia="Cambria Math"/>
                <w:spacing w:val="4"/>
                <w:sz w:val="18"/>
              </w:rPr>
              <w:t xml:space="preserve"> ≤ </w:t>
            </w:r>
            <w:r>
              <w:rPr>
                <w:rFonts w:ascii="Cambria Math" w:hAnsi="Cambria Math" w:eastAsia="Cambria Math"/>
                <w:sz w:val="18"/>
              </w:rPr>
              <w:t>∆K</w:t>
            </w:r>
            <w:r>
              <w:rPr>
                <w:sz w:val="18"/>
              </w:rPr>
              <w:t>，则数据综合质量显著变好；如果</w:t>
            </w:r>
            <w:r>
              <w:rPr>
                <w:rFonts w:ascii="Cambria Math" w:hAnsi="Cambria Math" w:eastAsia="Cambria Math"/>
                <w:sz w:val="18"/>
              </w:rPr>
              <w:t>∆K</w:t>
            </w:r>
            <w:r>
              <w:rPr>
                <w:rFonts w:ascii="Cambria Math" w:hAnsi="Cambria Math" w:eastAsia="Cambria Math"/>
                <w:spacing w:val="5"/>
                <w:sz w:val="18"/>
              </w:rPr>
              <w:t xml:space="preserve"> &lt; −</w:t>
            </w:r>
            <w:r>
              <w:rPr>
                <w:rFonts w:ascii="Cambria Math" w:hAnsi="Cambria Math" w:eastAsia="Cambria Math"/>
                <w:sz w:val="18"/>
              </w:rPr>
              <w:t>20</w:t>
            </w:r>
            <w:r>
              <w:rPr>
                <w:spacing w:val="-3"/>
                <w:sz w:val="18"/>
              </w:rPr>
              <w:t>，则</w:t>
            </w:r>
            <w:r>
              <w:rPr>
                <w:spacing w:val="-1"/>
                <w:sz w:val="18"/>
              </w:rPr>
              <w:t>数据综合质量显著变差。</w:t>
            </w:r>
          </w:p>
        </w:tc>
      </w:tr>
    </w:tbl>
    <w:p>
      <w:pPr>
        <w:rPr>
          <w:rFonts w:hint="eastAsia"/>
          <w:b/>
          <w:bCs/>
          <w:sz w:val="52"/>
          <w:szCs w:val="52"/>
        </w:rPr>
      </w:pPr>
      <w:r>
        <w:rPr>
          <w:rFonts w:hint="eastAsia"/>
          <w:b/>
          <w:bCs/>
          <w:sz w:val="52"/>
          <w:szCs w:val="52"/>
        </w:rPr>
        <w:br w:type="page"/>
      </w:r>
    </w:p>
    <w:p>
      <w:pPr>
        <w:pStyle w:val="2"/>
        <w:bidi w:val="0"/>
        <w:jc w:val="center"/>
        <w:rPr>
          <w:rFonts w:hint="eastAsia" w:ascii="黑体" w:hAnsi="黑体" w:eastAsia="黑体" w:cs="黑体"/>
          <w:b/>
          <w:sz w:val="32"/>
          <w:szCs w:val="32"/>
          <w:lang w:val="en-US" w:eastAsia="zh-CN"/>
        </w:rPr>
      </w:pPr>
      <w:bookmarkStart w:id="51" w:name="_Toc27195"/>
      <w:r>
        <w:rPr>
          <w:rFonts w:hint="eastAsia" w:ascii="黑体" w:hAnsi="黑体" w:eastAsia="黑体" w:cs="黑体"/>
          <w:b/>
          <w:sz w:val="32"/>
          <w:szCs w:val="32"/>
          <w:lang w:val="en-US" w:eastAsia="zh-CN"/>
        </w:rPr>
        <w:t>附录</w:t>
      </w:r>
      <w:bookmarkEnd w:id="51"/>
    </w:p>
    <w:p>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碳排放数据质量评价报告</w:t>
      </w:r>
    </w:p>
    <w:p>
      <w:pPr>
        <w:jc w:val="center"/>
        <w:rPr>
          <w:rFonts w:hint="default" w:ascii="黑体" w:hAnsi="黑体" w:eastAsia="黑体" w:cs="黑体"/>
          <w:b w:val="0"/>
          <w:bCs/>
          <w:sz w:val="32"/>
          <w:szCs w:val="32"/>
          <w:lang w:val="en-US" w:eastAsia="zh-CN"/>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rPr>
          <w:rFonts w:hint="default" w:ascii="Segoe UI" w:hAnsi="Segoe UI" w:eastAsia="宋体" w:cs="Segoe UI"/>
          <w:i w:val="0"/>
          <w:iCs w:val="0"/>
          <w:caps w:val="0"/>
          <w:color w:val="auto"/>
          <w:spacing w:val="0"/>
          <w:sz w:val="22"/>
          <w:szCs w:val="22"/>
          <w:u w:val="single"/>
          <w:shd w:val="clear" w:fill="FDFDFE"/>
          <w:lang w:val="en-US" w:eastAsia="zh-CN"/>
        </w:rPr>
      </w:pPr>
      <w:r>
        <w:rPr>
          <w:rStyle w:val="21"/>
          <w:rFonts w:hint="eastAsia" w:ascii="Segoe UI" w:hAnsi="Segoe UI" w:eastAsia="宋体" w:cs="Segoe UI"/>
          <w:b/>
          <w:bCs/>
          <w:i w:val="0"/>
          <w:iCs w:val="0"/>
          <w:caps w:val="0"/>
          <w:color w:val="auto"/>
          <w:spacing w:val="0"/>
          <w:sz w:val="22"/>
          <w:szCs w:val="22"/>
          <w:shd w:val="clear" w:fill="FDFDFE"/>
          <w:lang w:val="en-US" w:eastAsia="zh-CN"/>
        </w:rPr>
        <w:t>排放</w:t>
      </w:r>
      <w:r>
        <w:rPr>
          <w:rStyle w:val="21"/>
          <w:rFonts w:hint="default" w:ascii="Segoe UI" w:hAnsi="Segoe UI" w:eastAsia="Segoe UI" w:cs="Segoe UI"/>
          <w:b/>
          <w:bCs/>
          <w:i w:val="0"/>
          <w:iCs w:val="0"/>
          <w:caps w:val="0"/>
          <w:color w:val="auto"/>
          <w:spacing w:val="0"/>
          <w:sz w:val="22"/>
          <w:szCs w:val="22"/>
          <w:shd w:val="clear" w:fill="FDFDFE"/>
        </w:rPr>
        <w:t>企业名称</w:t>
      </w:r>
      <w:r>
        <w:rPr>
          <w:rFonts w:hint="default" w:ascii="Segoe UI" w:hAnsi="Segoe UI" w:eastAsia="Segoe UI" w:cs="Segoe UI"/>
          <w:i w:val="0"/>
          <w:iCs w:val="0"/>
          <w:caps w:val="0"/>
          <w:color w:val="auto"/>
          <w:spacing w:val="0"/>
          <w:sz w:val="22"/>
          <w:szCs w:val="22"/>
          <w:shd w:val="clear" w:fill="FDFDFE"/>
        </w:rPr>
        <w:t>：</w:t>
      </w:r>
      <w:r>
        <w:rPr>
          <w:rFonts w:hint="eastAsia" w:ascii="Segoe UI" w:hAnsi="Segoe UI" w:eastAsia="宋体" w:cs="Segoe UI"/>
          <w:i w:val="0"/>
          <w:iCs w:val="0"/>
          <w:caps w:val="0"/>
          <w:color w:val="auto"/>
          <w:spacing w:val="0"/>
          <w:sz w:val="22"/>
          <w:szCs w:val="22"/>
          <w:u w:val="single"/>
          <w:shd w:val="clear" w:fill="FDFDFE"/>
          <w:lang w:val="en-US" w:eastAsia="zh-CN"/>
        </w:rPr>
        <w:t xml:space="preserve">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rPr>
          <w:rStyle w:val="21"/>
          <w:rFonts w:hint="default" w:ascii="Segoe UI" w:hAnsi="Segoe UI" w:eastAsia="宋体" w:cs="Segoe UI"/>
          <w:b/>
          <w:bCs/>
          <w:i w:val="0"/>
          <w:iCs w:val="0"/>
          <w:caps w:val="0"/>
          <w:color w:val="auto"/>
          <w:spacing w:val="0"/>
          <w:sz w:val="22"/>
          <w:szCs w:val="22"/>
          <w:shd w:val="clear" w:fill="FDFDFE"/>
          <w:lang w:val="en-US" w:eastAsia="zh-CN"/>
        </w:rPr>
      </w:pPr>
      <w:r>
        <w:rPr>
          <w:rStyle w:val="21"/>
          <w:rFonts w:hint="eastAsia" w:ascii="Segoe UI" w:hAnsi="Segoe UI" w:eastAsia="宋体" w:cs="Segoe UI"/>
          <w:b/>
          <w:bCs/>
          <w:i w:val="0"/>
          <w:iCs w:val="0"/>
          <w:caps w:val="0"/>
          <w:color w:val="auto"/>
          <w:spacing w:val="0"/>
          <w:sz w:val="22"/>
          <w:szCs w:val="22"/>
          <w:shd w:val="clear" w:fill="FDFDFE"/>
          <w:lang w:val="en-US" w:eastAsia="zh-CN"/>
        </w:rPr>
        <w:t xml:space="preserve">审核单位：    </w:t>
      </w:r>
      <w:r>
        <w:rPr>
          <w:rStyle w:val="21"/>
          <w:rFonts w:hint="eastAsia" w:ascii="Segoe UI" w:hAnsi="Segoe UI" w:eastAsia="宋体" w:cs="Segoe UI"/>
          <w:b/>
          <w:bCs/>
          <w:i w:val="0"/>
          <w:iCs w:val="0"/>
          <w:caps w:val="0"/>
          <w:color w:val="auto"/>
          <w:spacing w:val="0"/>
          <w:sz w:val="22"/>
          <w:szCs w:val="22"/>
          <w:u w:val="single"/>
          <w:shd w:val="clear" w:fill="FDFDFE"/>
          <w:lang w:val="en-US" w:eastAsia="zh-CN"/>
        </w:rPr>
        <w:t xml:space="preserve">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rPr>
          <w:rFonts w:ascii="Segoe UI" w:hAnsi="Segoe UI" w:eastAsia="Segoe UI" w:cs="Segoe UI"/>
          <w:i w:val="0"/>
          <w:iCs w:val="0"/>
          <w:caps w:val="0"/>
          <w:color w:val="auto"/>
          <w:spacing w:val="0"/>
          <w:sz w:val="22"/>
          <w:szCs w:val="22"/>
        </w:rPr>
      </w:pPr>
      <w:r>
        <w:rPr>
          <w:rStyle w:val="21"/>
          <w:rFonts w:hint="default" w:ascii="Segoe UI" w:hAnsi="Segoe UI" w:eastAsia="Segoe UI" w:cs="Segoe UI"/>
          <w:b/>
          <w:bCs/>
          <w:i w:val="0"/>
          <w:iCs w:val="0"/>
          <w:caps w:val="0"/>
          <w:color w:val="auto"/>
          <w:spacing w:val="0"/>
          <w:sz w:val="22"/>
          <w:szCs w:val="22"/>
          <w:shd w:val="clear" w:fill="FDFDFE"/>
        </w:rPr>
        <w:t>一、评价概述</w:t>
      </w:r>
    </w:p>
    <w:p>
      <w:pPr>
        <w:numPr>
          <w:ilvl w:val="0"/>
          <w:numId w:val="0"/>
        </w:numPr>
        <w:spacing w:line="360" w:lineRule="auto"/>
        <w:ind w:firstLine="420" w:firstLineChars="0"/>
        <w:rPr>
          <w:rFonts w:hint="default" w:ascii="宋体" w:hAnsi="宋体" w:eastAsia="宋体" w:cs="宋体"/>
          <w:b w:val="0"/>
          <w:bCs/>
          <w:sz w:val="22"/>
          <w:szCs w:val="22"/>
          <w:lang w:val="en-US" w:eastAsia="zh-CN"/>
        </w:rPr>
      </w:pPr>
      <w:r>
        <w:rPr>
          <w:rFonts w:hint="default" w:ascii="宋体" w:hAnsi="宋体" w:eastAsia="宋体" w:cs="宋体"/>
          <w:b/>
          <w:bCs w:val="0"/>
          <w:sz w:val="22"/>
          <w:szCs w:val="22"/>
          <w:lang w:val="en-US" w:eastAsia="zh-CN"/>
        </w:rPr>
        <w:t>目的：</w:t>
      </w:r>
      <w:r>
        <w:rPr>
          <w:rFonts w:hint="default" w:ascii="宋体" w:hAnsi="宋体" w:eastAsia="宋体" w:cs="宋体"/>
          <w:b w:val="0"/>
          <w:bCs/>
          <w:sz w:val="22"/>
          <w:szCs w:val="22"/>
          <w:lang w:val="en-US" w:eastAsia="zh-CN"/>
        </w:rPr>
        <w:t>评估碳排放数据的准确性、一致性、完整性和来源可靠性，为相关决策提供支持。</w:t>
      </w:r>
    </w:p>
    <w:p>
      <w:pPr>
        <w:numPr>
          <w:ilvl w:val="0"/>
          <w:numId w:val="0"/>
        </w:numPr>
        <w:spacing w:line="360" w:lineRule="auto"/>
        <w:ind w:firstLine="420" w:firstLineChars="0"/>
        <w:rPr>
          <w:rFonts w:hint="default" w:ascii="宋体" w:hAnsi="宋体" w:eastAsia="宋体" w:cs="宋体"/>
          <w:b/>
          <w:bCs w:val="0"/>
          <w:sz w:val="24"/>
          <w:szCs w:val="24"/>
          <w:lang w:val="en-US" w:eastAsia="zh-CN"/>
        </w:rPr>
      </w:pPr>
      <w:r>
        <w:rPr>
          <w:rFonts w:hint="default" w:ascii="宋体" w:hAnsi="宋体" w:eastAsia="宋体" w:cs="宋体"/>
          <w:b/>
          <w:bCs w:val="0"/>
          <w:sz w:val="22"/>
          <w:szCs w:val="22"/>
          <w:lang w:val="en-US" w:eastAsia="zh-CN"/>
        </w:rPr>
        <w:t>范围：</w:t>
      </w:r>
      <w:r>
        <w:rPr>
          <w:rFonts w:hint="default" w:ascii="宋体" w:hAnsi="宋体" w:eastAsia="宋体" w:cs="宋体"/>
          <w:b w:val="0"/>
          <w:bCs/>
          <w:sz w:val="22"/>
          <w:szCs w:val="22"/>
          <w:lang w:val="en-US" w:eastAsia="zh-CN"/>
        </w:rPr>
        <w:t>涵盖某地区或某行业在一定时间内的直接和间接碳排放数据</w:t>
      </w:r>
      <w:r>
        <w:rPr>
          <w:rFonts w:hint="eastAsia" w:ascii="宋体" w:hAnsi="宋体" w:eastAsia="宋体" w:cs="宋体"/>
          <w:b w:val="0"/>
          <w:bCs/>
          <w:sz w:val="22"/>
          <w:szCs w:val="22"/>
          <w:lang w:val="en-US" w:eastAsia="zh-CN"/>
        </w:rPr>
        <w:t>。</w:t>
      </w:r>
    </w:p>
    <w:p>
      <w:pPr>
        <w:pStyle w:val="1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Style w:val="21"/>
          <w:rFonts w:hint="default" w:ascii="Segoe UI" w:hAnsi="Segoe UI" w:eastAsia="Segoe UI" w:cs="Segoe UI"/>
          <w:b/>
          <w:bCs/>
          <w:i w:val="0"/>
          <w:iCs w:val="0"/>
          <w:caps w:val="0"/>
          <w:color w:val="auto"/>
          <w:spacing w:val="0"/>
          <w:sz w:val="22"/>
          <w:szCs w:val="22"/>
          <w:shd w:val="clear" w:fill="FDFDFE"/>
          <w:lang w:val="en-US" w:eastAsia="zh-CN"/>
        </w:rPr>
      </w:pPr>
      <w:r>
        <w:rPr>
          <w:rStyle w:val="21"/>
          <w:rFonts w:hint="default" w:ascii="Segoe UI" w:hAnsi="Segoe UI" w:eastAsia="Segoe UI" w:cs="Segoe UI"/>
          <w:b/>
          <w:bCs/>
          <w:i w:val="0"/>
          <w:iCs w:val="0"/>
          <w:caps w:val="0"/>
          <w:color w:val="auto"/>
          <w:spacing w:val="0"/>
          <w:sz w:val="22"/>
          <w:szCs w:val="22"/>
          <w:shd w:val="clear" w:fill="FDFDFE"/>
        </w:rPr>
        <w:t>评价指标</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497"/>
        <w:gridCol w:w="943"/>
        <w:gridCol w:w="2805"/>
        <w:gridCol w:w="155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评价指标</w:t>
            </w:r>
          </w:p>
        </w:tc>
        <w:tc>
          <w:tcPr>
            <w:tcW w:w="835"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评价内容</w:t>
            </w:r>
          </w:p>
        </w:tc>
        <w:tc>
          <w:tcPr>
            <w:tcW w:w="2091" w:type="pct"/>
            <w:gridSpan w:val="2"/>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center"/>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监测方法/评价标准</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评价结果</w:t>
            </w: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jc w:val="center"/>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1.规范性</w:t>
            </w:r>
          </w:p>
        </w:tc>
        <w:tc>
          <w:tcPr>
            <w:tcW w:w="835" w:type="pct"/>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数据采集、核算、报告符合国家</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行业</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国际的标准化规范，具备法律效力或行业认可度</w:t>
            </w: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是否符合国家</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行业、</w:t>
            </w:r>
            <w:r>
              <w:rPr>
                <w:rStyle w:val="40"/>
                <w:rFonts w:hint="eastAsia" w:asciiTheme="minorEastAsia" w:hAnsiTheme="minorEastAsia" w:eastAsiaTheme="minorEastAsia" w:cstheme="minorEastAsia"/>
                <w:sz w:val="22"/>
                <w:szCs w:val="22"/>
                <w:lang w:val="en-US" w:eastAsia="zh-CN" w:bidi="ar"/>
              </w:rPr>
              <w:t>ISO14064</w:t>
            </w:r>
            <w:r>
              <w:rPr>
                <w:rStyle w:val="39"/>
                <w:rFonts w:hint="eastAsia" w:asciiTheme="minorEastAsia" w:hAnsiTheme="minorEastAsia" w:eastAsiaTheme="minorEastAsia" w:cstheme="minorEastAsia"/>
                <w:sz w:val="22"/>
                <w:szCs w:val="22"/>
                <w:lang w:val="en-US" w:eastAsia="zh-CN" w:bidi="ar"/>
              </w:rPr>
              <w:t>系列标准</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所有上传的数据中是否包含因数据项编码错误等原因无法解析入库、数据项值为空或非正数、小于最小值或大于最大值等不规范数据项</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是否满足《污染物在线监控（监测）系统数据传输标准》（HJ212-2017）</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监测设备是否通过</w:t>
            </w:r>
            <w:r>
              <w:rPr>
                <w:rStyle w:val="40"/>
                <w:rFonts w:hint="eastAsia" w:asciiTheme="minorEastAsia" w:hAnsiTheme="minorEastAsia" w:eastAsiaTheme="minorEastAsia" w:cstheme="minorEastAsia"/>
                <w:sz w:val="22"/>
                <w:szCs w:val="22"/>
                <w:lang w:val="en-US" w:eastAsia="zh-CN" w:bidi="ar"/>
              </w:rPr>
              <w:t>CMA</w:t>
            </w:r>
            <w:r>
              <w:rPr>
                <w:rStyle w:val="39"/>
                <w:rFonts w:hint="eastAsia" w:asciiTheme="minorEastAsia" w:hAnsiTheme="minorEastAsia" w:eastAsiaTheme="minorEastAsia" w:cstheme="minorEastAsia"/>
                <w:sz w:val="22"/>
                <w:szCs w:val="22"/>
                <w:lang w:val="en-US" w:eastAsia="zh-CN" w:bidi="ar"/>
              </w:rPr>
              <w:t>认证</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2.完整性</w:t>
            </w:r>
          </w:p>
        </w:tc>
        <w:tc>
          <w:tcPr>
            <w:tcW w:w="835" w:type="pct"/>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数据覆盖“既定排放边界内所有排放源”的程度，无遗漏、无缺失</w:t>
            </w: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排放源覆盖率</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时间完整性</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监测时长达标率（如CEMS设备年运行率是否≥90%）</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参数完整性（如是否同时监测烟气流量+CO</w:t>
            </w:r>
            <w:r>
              <w:rPr>
                <w:rStyle w:val="41"/>
                <w:rFonts w:hint="eastAsia" w:asciiTheme="minorEastAsia" w:hAnsiTheme="minorEastAsia" w:eastAsiaTheme="minorEastAsia" w:cstheme="minorEastAsia"/>
                <w:sz w:val="22"/>
                <w:szCs w:val="22"/>
                <w:lang w:val="en-US" w:eastAsia="zh-CN" w:bidi="ar"/>
              </w:rPr>
              <w:t>₂</w:t>
            </w:r>
            <w:r>
              <w:rPr>
                <w:rStyle w:val="39"/>
                <w:rFonts w:hint="eastAsia" w:asciiTheme="minorEastAsia" w:hAnsiTheme="minorEastAsia" w:eastAsiaTheme="minorEastAsia" w:cstheme="minorEastAsia"/>
                <w:sz w:val="22"/>
                <w:szCs w:val="22"/>
                <w:lang w:val="en-US" w:eastAsia="zh-CN" w:bidi="ar"/>
              </w:rPr>
              <w:t>浓度+氧含量）</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3</w:t>
            </w:r>
            <w:r>
              <w:rPr>
                <w:rFonts w:hint="eastAsia" w:asciiTheme="minorEastAsia" w:hAnsiTheme="minorEastAsia" w:cstheme="minorEastAsia"/>
                <w:b/>
                <w:bCs w:val="0"/>
                <w:kern w:val="2"/>
                <w:sz w:val="22"/>
                <w:szCs w:val="22"/>
                <w:lang w:val="en-US" w:eastAsia="zh-CN" w:bidi="ar-SA"/>
              </w:rPr>
              <w:t>.</w:t>
            </w:r>
            <w:r>
              <w:rPr>
                <w:rFonts w:hint="eastAsia" w:asciiTheme="minorEastAsia" w:hAnsiTheme="minorEastAsia" w:eastAsiaTheme="minorEastAsia" w:cstheme="minorEastAsia"/>
                <w:b/>
                <w:bCs w:val="0"/>
                <w:kern w:val="2"/>
                <w:sz w:val="22"/>
                <w:szCs w:val="22"/>
                <w:lang w:val="en-US" w:eastAsia="zh-CN" w:bidi="ar-SA"/>
              </w:rPr>
              <w:t>准确性</w:t>
            </w:r>
          </w:p>
        </w:tc>
        <w:tc>
          <w:tcPr>
            <w:tcW w:w="835" w:type="pct"/>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数据与“真实碳排放量”的接近程度，是数据质量的核心</w:t>
            </w: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活动数据误差率（如用电量与电网缴费凭证偏差）</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排放因子适配性（是否用错行业</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燃料因子）</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核算公式正确性（如是否遗漏碳氧化率修正）</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仪器精度（如CO</w:t>
            </w:r>
            <w:r>
              <w:rPr>
                <w:rStyle w:val="41"/>
                <w:rFonts w:hint="eastAsia" w:asciiTheme="minorEastAsia" w:hAnsiTheme="minorEastAsia" w:eastAsiaTheme="minorEastAsia" w:cstheme="minorEastAsia"/>
                <w:sz w:val="22"/>
                <w:szCs w:val="22"/>
                <w:lang w:val="en-US" w:eastAsia="zh-CN" w:bidi="ar"/>
              </w:rPr>
              <w:t>₂</w:t>
            </w:r>
            <w:r>
              <w:rPr>
                <w:rStyle w:val="39"/>
                <w:rFonts w:hint="eastAsia" w:asciiTheme="minorEastAsia" w:hAnsiTheme="minorEastAsia" w:eastAsiaTheme="minorEastAsia" w:cstheme="minorEastAsia"/>
                <w:sz w:val="22"/>
                <w:szCs w:val="22"/>
                <w:lang w:val="en-US" w:eastAsia="zh-CN" w:bidi="ar"/>
              </w:rPr>
              <w:t>分析仪误差范围）</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校准频率（是否按标准每3个月校准）</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采样代表性（如烟囱采样点是否避开涡流区）</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4.一致性</w:t>
            </w:r>
          </w:p>
        </w:tc>
        <w:tc>
          <w:tcPr>
            <w:tcW w:w="835" w:type="pct"/>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数据在“同一标准、同一周期、同一对象”下的统一程度，无矛盾、无逻辑冲突</w:t>
            </w: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跨周期一致性（如年度碳排放增速与能耗增速是否匹配）</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跨方法一致性（如计算结果与实测结果误差是否</w:t>
            </w:r>
            <w:r>
              <w:rPr>
                <w:rStyle w:val="40"/>
                <w:rFonts w:hint="eastAsia" w:asciiTheme="minorEastAsia" w:hAnsiTheme="minorEastAsia" w:eastAsiaTheme="minorEastAsia" w:cstheme="minorEastAsia"/>
                <w:sz w:val="22"/>
                <w:szCs w:val="22"/>
                <w:lang w:val="en-US" w:eastAsia="zh-CN" w:bidi="ar"/>
              </w:rPr>
              <w:t>≤±5%</w:t>
            </w:r>
            <w:r>
              <w:rPr>
                <w:rStyle w:val="39"/>
                <w:rFonts w:hint="eastAsia" w:asciiTheme="minorEastAsia" w:hAnsiTheme="minorEastAsia" w:eastAsiaTheme="minorEastAsia" w:cstheme="minorEastAsia"/>
                <w:sz w:val="22"/>
                <w:szCs w:val="22"/>
                <w:lang w:val="en-US" w:eastAsia="zh-CN" w:bidi="ar"/>
              </w:rPr>
              <w:t>）</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跨行业一致性（如同行业/同消费水平数据结果误差是否</w:t>
            </w:r>
            <w:r>
              <w:rPr>
                <w:rStyle w:val="40"/>
                <w:rFonts w:hint="eastAsia" w:asciiTheme="minorEastAsia" w:hAnsiTheme="minorEastAsia" w:eastAsiaTheme="minorEastAsia" w:cstheme="minorEastAsia"/>
                <w:sz w:val="22"/>
                <w:szCs w:val="22"/>
                <w:lang w:val="en-US" w:eastAsia="zh-CN" w:bidi="ar"/>
              </w:rPr>
              <w:t>≤±5%</w:t>
            </w:r>
            <w:r>
              <w:rPr>
                <w:rStyle w:val="39"/>
                <w:rFonts w:hint="eastAsia" w:asciiTheme="minorEastAsia" w:hAnsiTheme="minorEastAsia" w:eastAsiaTheme="minorEastAsia" w:cstheme="minorEastAsia"/>
                <w:sz w:val="22"/>
                <w:szCs w:val="22"/>
                <w:lang w:val="en-US" w:eastAsia="zh-CN" w:bidi="ar"/>
              </w:rPr>
              <w:t>）</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设备间一致性（如同一烟囱</w:t>
            </w:r>
            <w:r>
              <w:rPr>
                <w:rStyle w:val="40"/>
                <w:rFonts w:hint="eastAsia" w:asciiTheme="minorEastAsia" w:hAnsiTheme="minorEastAsia" w:eastAsiaTheme="minorEastAsia" w:cstheme="minorEastAsia"/>
                <w:sz w:val="22"/>
                <w:szCs w:val="22"/>
                <w:lang w:val="en-US" w:eastAsia="zh-CN" w:bidi="ar"/>
              </w:rPr>
              <w:t xml:space="preserve"> 2 </w:t>
            </w:r>
            <w:r>
              <w:rPr>
                <w:rStyle w:val="39"/>
                <w:rFonts w:hint="eastAsia" w:asciiTheme="minorEastAsia" w:hAnsiTheme="minorEastAsia" w:eastAsiaTheme="minorEastAsia" w:cstheme="minorEastAsia"/>
                <w:sz w:val="22"/>
                <w:szCs w:val="22"/>
                <w:lang w:val="en-US" w:eastAsia="zh-CN" w:bidi="ar"/>
              </w:rPr>
              <w:t>台</w:t>
            </w:r>
            <w:r>
              <w:rPr>
                <w:rStyle w:val="40"/>
                <w:rFonts w:hint="eastAsia" w:asciiTheme="minorEastAsia" w:hAnsiTheme="minorEastAsia" w:eastAsiaTheme="minorEastAsia" w:cstheme="minorEastAsia"/>
                <w:sz w:val="22"/>
                <w:szCs w:val="22"/>
                <w:lang w:val="en-US" w:eastAsia="zh-CN" w:bidi="ar"/>
              </w:rPr>
              <w:t xml:space="preserve"> CEMS </w:t>
            </w:r>
            <w:r>
              <w:rPr>
                <w:rStyle w:val="39"/>
                <w:rFonts w:hint="eastAsia" w:asciiTheme="minorEastAsia" w:hAnsiTheme="minorEastAsia" w:eastAsiaTheme="minorEastAsia" w:cstheme="minorEastAsia"/>
                <w:sz w:val="22"/>
                <w:szCs w:val="22"/>
                <w:lang w:val="en-US" w:eastAsia="zh-CN" w:bidi="ar"/>
              </w:rPr>
              <w:t>数据偏差）</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spacing w:val="-1"/>
                <w:sz w:val="22"/>
                <w:szCs w:val="22"/>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数据逻辑一致性（如</w:t>
            </w:r>
            <w:r>
              <w:rPr>
                <w:rStyle w:val="40"/>
                <w:rFonts w:hint="eastAsia" w:asciiTheme="minorEastAsia" w:hAnsiTheme="minorEastAsia" w:eastAsiaTheme="minorEastAsia" w:cstheme="minorEastAsia"/>
                <w:sz w:val="22"/>
                <w:szCs w:val="22"/>
                <w:lang w:val="en-US" w:eastAsia="zh-CN" w:bidi="ar"/>
              </w:rPr>
              <w:t>CO₂</w:t>
            </w:r>
            <w:r>
              <w:rPr>
                <w:rStyle w:val="39"/>
                <w:rFonts w:hint="eastAsia" w:asciiTheme="minorEastAsia" w:hAnsiTheme="minorEastAsia" w:eastAsiaTheme="minorEastAsia" w:cstheme="minorEastAsia"/>
                <w:sz w:val="22"/>
                <w:szCs w:val="22"/>
                <w:lang w:val="en-US" w:eastAsia="zh-CN" w:bidi="ar"/>
              </w:rPr>
              <w:t>浓度与燃料消耗趋势是否同步）</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5.时效性</w:t>
            </w:r>
          </w:p>
        </w:tc>
        <w:tc>
          <w:tcPr>
            <w:tcW w:w="835" w:type="pct"/>
            <w:vMerge w:val="restar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数据产出与应用需求的匹配程度，即数据能否及时支撑决策</w:t>
            </w: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spacing w:val="-1"/>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核算周期达标率</w:t>
            </w:r>
          </w:p>
        </w:tc>
        <w:tc>
          <w:tcPr>
            <w:tcW w:w="868"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c>
          <w:tcPr>
            <w:tcW w:w="436"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shd w:val="clear" w:color="auto" w:fill="auto"/>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shd w:val="clear" w:color="auto" w:fill="auto"/>
            <w:vAlign w:val="center"/>
          </w:tcPr>
          <w:p>
            <w:pPr>
              <w:jc w:val="center"/>
              <w:rPr>
                <w:rFonts w:hint="eastAsia" w:asciiTheme="minorEastAsia" w:hAnsiTheme="minorEastAsia" w:eastAsiaTheme="minorEastAsia" w:cstheme="minorEastAsia"/>
                <w:b w:val="0"/>
                <w:bCs/>
                <w:kern w:val="2"/>
                <w:sz w:val="22"/>
                <w:szCs w:val="22"/>
                <w:lang w:val="en-US" w:eastAsia="zh-CN" w:bidi="ar-SA"/>
              </w:rPr>
            </w:pPr>
          </w:p>
        </w:tc>
        <w:tc>
          <w:tcPr>
            <w:tcW w:w="1564" w:type="pc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数据更新频率</w:t>
            </w:r>
          </w:p>
        </w:tc>
        <w:tc>
          <w:tcPr>
            <w:tcW w:w="8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shd w:val="clear" w:color="auto" w:fill="auto"/>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数据传输时效（如</w:t>
            </w:r>
            <w:r>
              <w:rPr>
                <w:rStyle w:val="40"/>
                <w:rFonts w:hint="eastAsia" w:asciiTheme="minorEastAsia" w:hAnsiTheme="minorEastAsia" w:eastAsiaTheme="minorEastAsia" w:cstheme="minorEastAsia"/>
                <w:sz w:val="22"/>
                <w:szCs w:val="22"/>
                <w:lang w:val="en-US" w:eastAsia="zh-CN" w:bidi="ar"/>
              </w:rPr>
              <w:t>CEMS</w:t>
            </w:r>
            <w:r>
              <w:rPr>
                <w:rStyle w:val="39"/>
                <w:rFonts w:hint="eastAsia" w:asciiTheme="minorEastAsia" w:hAnsiTheme="minorEastAsia" w:eastAsiaTheme="minorEastAsia" w:cstheme="minorEastAsia"/>
                <w:sz w:val="22"/>
                <w:szCs w:val="22"/>
                <w:lang w:val="en-US" w:eastAsia="zh-CN" w:bidi="ar"/>
              </w:rPr>
              <w:t>数据是否实时上传至监管平台，延迟</w:t>
            </w:r>
            <w:r>
              <w:rPr>
                <w:rStyle w:val="40"/>
                <w:rFonts w:hint="eastAsia" w:asciiTheme="minorEastAsia" w:hAnsiTheme="minorEastAsia" w:eastAsiaTheme="minorEastAsia" w:cstheme="minorEastAsia"/>
                <w:sz w:val="22"/>
                <w:szCs w:val="22"/>
                <w:lang w:val="en-US" w:eastAsia="zh-CN" w:bidi="ar"/>
              </w:rPr>
              <w:t>≤15</w:t>
            </w:r>
            <w:r>
              <w:rPr>
                <w:rStyle w:val="39"/>
                <w:rFonts w:hint="eastAsia" w:asciiTheme="minorEastAsia" w:hAnsiTheme="minorEastAsia" w:eastAsiaTheme="minorEastAsia" w:cstheme="minorEastAsia"/>
                <w:sz w:val="22"/>
                <w:szCs w:val="22"/>
                <w:lang w:val="en-US" w:eastAsia="zh-CN" w:bidi="ar"/>
              </w:rPr>
              <w:t>分钟）</w:t>
            </w:r>
          </w:p>
        </w:tc>
        <w:tc>
          <w:tcPr>
            <w:tcW w:w="8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p>
        </w:tc>
        <w:tc>
          <w:tcPr>
            <w:tcW w:w="835" w:type="pct"/>
            <w:vMerge w:val="continue"/>
            <w:shd w:val="clear" w:color="auto" w:fill="auto"/>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shd w:val="clear" w:color="auto" w:fill="auto"/>
            <w:vAlign w:val="center"/>
          </w:tcPr>
          <w:p>
            <w:pPr>
              <w:jc w:val="center"/>
              <w:rPr>
                <w:rFonts w:hint="eastAsia" w:asciiTheme="minorEastAsia" w:hAnsiTheme="minorEastAsia" w:eastAsiaTheme="minorEastAsia" w:cstheme="minorEastAsia"/>
                <w:b w:val="0"/>
                <w:bCs/>
                <w:kern w:val="2"/>
                <w:sz w:val="22"/>
                <w:szCs w:val="22"/>
                <w:lang w:val="en-US" w:eastAsia="zh-CN" w:bidi="ar-SA"/>
              </w:rPr>
            </w:pPr>
          </w:p>
        </w:tc>
        <w:tc>
          <w:tcPr>
            <w:tcW w:w="1564" w:type="pc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异常报警响应速度（如设备故障是否</w:t>
            </w:r>
            <w:r>
              <w:rPr>
                <w:rStyle w:val="40"/>
                <w:rFonts w:hint="eastAsia" w:asciiTheme="minorEastAsia" w:hAnsiTheme="minorEastAsia" w:eastAsiaTheme="minorEastAsia" w:cstheme="minorEastAsia"/>
                <w:sz w:val="22"/>
                <w:szCs w:val="22"/>
                <w:lang w:val="en-US" w:eastAsia="zh-CN" w:bidi="ar"/>
              </w:rPr>
              <w:t>24</w:t>
            </w:r>
            <w:r>
              <w:rPr>
                <w:rStyle w:val="39"/>
                <w:rFonts w:hint="eastAsia" w:asciiTheme="minorEastAsia" w:hAnsiTheme="minorEastAsia" w:eastAsiaTheme="minorEastAsia" w:cstheme="minorEastAsia"/>
                <w:sz w:val="22"/>
                <w:szCs w:val="22"/>
                <w:lang w:val="en-US" w:eastAsia="zh-CN" w:bidi="ar"/>
              </w:rPr>
              <w:t>小时内处理）</w:t>
            </w:r>
          </w:p>
        </w:tc>
        <w:tc>
          <w:tcPr>
            <w:tcW w:w="8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restar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eastAsiaTheme="minorEastAsia" w:cstheme="minorEastAsia"/>
                <w:b/>
                <w:bCs w:val="0"/>
                <w:kern w:val="2"/>
                <w:sz w:val="22"/>
                <w:szCs w:val="22"/>
                <w:lang w:val="en-US" w:eastAsia="zh-CN" w:bidi="ar-SA"/>
              </w:rPr>
              <w:t>6.校验性</w:t>
            </w:r>
          </w:p>
        </w:tc>
        <w:tc>
          <w:tcPr>
            <w:tcW w:w="835" w:type="pct"/>
            <w:vMerge w:val="restar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数据的</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来源、处理过程、核算依据</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可追踪，每一步均有凭证支撑，便于溯源、核查与对比分析</w:t>
            </w:r>
          </w:p>
        </w:tc>
        <w:tc>
          <w:tcPr>
            <w:tcW w:w="526" w:type="pct"/>
            <w:vMerge w:val="restar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计算法</w:t>
            </w:r>
          </w:p>
        </w:tc>
        <w:tc>
          <w:tcPr>
            <w:tcW w:w="1564" w:type="pc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活动数据凭证（如采购发票、能耗报表）</w:t>
            </w:r>
          </w:p>
        </w:tc>
        <w:tc>
          <w:tcPr>
            <w:tcW w:w="8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shd w:val="clear" w:color="auto" w:fill="auto"/>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835" w:type="pct"/>
            <w:vMerge w:val="continue"/>
            <w:shd w:val="clear" w:color="auto" w:fill="auto"/>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shd w:val="clear" w:color="auto" w:fill="auto"/>
            <w:vAlign w:val="center"/>
          </w:tcPr>
          <w:p>
            <w:pPr>
              <w:jc w:val="center"/>
              <w:rPr>
                <w:rFonts w:hint="eastAsia" w:asciiTheme="minorEastAsia" w:hAnsiTheme="minorEastAsia" w:eastAsiaTheme="minorEastAsia" w:cstheme="minorEastAsia"/>
                <w:spacing w:val="-1"/>
                <w:sz w:val="22"/>
                <w:szCs w:val="22"/>
              </w:rPr>
            </w:pPr>
          </w:p>
        </w:tc>
        <w:tc>
          <w:tcPr>
            <w:tcW w:w="1564" w:type="pc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排放因子来源（如是否引用《省级温室气体清单指南》）</w:t>
            </w:r>
          </w:p>
        </w:tc>
        <w:tc>
          <w:tcPr>
            <w:tcW w:w="86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b w:val="0"/>
                <w:bCs/>
                <w:kern w:val="2"/>
                <w:sz w:val="22"/>
                <w:szCs w:val="22"/>
                <w:lang w:val="en-US" w:eastAsia="zh-CN" w:bidi="ar-SA"/>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与生态人工报送数据校验</w:t>
            </w:r>
          </w:p>
        </w:tc>
        <w:tc>
          <w:tcPr>
            <w:tcW w:w="86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实测法</w:t>
            </w: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仪器校准记录（标准气体证书）</w:t>
            </w:r>
          </w:p>
        </w:tc>
        <w:tc>
          <w:tcPr>
            <w:tcW w:w="86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b w:val="0"/>
                <w:bCs/>
                <w:kern w:val="2"/>
                <w:sz w:val="22"/>
                <w:szCs w:val="22"/>
                <w:lang w:val="en-US" w:eastAsia="zh-CN" w:bidi="ar-SA"/>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原始监测日志（时间戳</w:t>
            </w:r>
            <w:r>
              <w:rPr>
                <w:rStyle w:val="40"/>
                <w:rFonts w:hint="eastAsia" w:asciiTheme="minorEastAsia" w:hAnsiTheme="minorEastAsia" w:eastAsiaTheme="minorEastAsia" w:cstheme="minorEastAsia"/>
                <w:sz w:val="22"/>
                <w:szCs w:val="22"/>
                <w:lang w:val="en-US" w:eastAsia="zh-CN" w:bidi="ar"/>
              </w:rPr>
              <w:t>+</w:t>
            </w:r>
            <w:r>
              <w:rPr>
                <w:rStyle w:val="39"/>
                <w:rFonts w:hint="eastAsia" w:asciiTheme="minorEastAsia" w:hAnsiTheme="minorEastAsia" w:eastAsiaTheme="minorEastAsia" w:cstheme="minorEastAsia"/>
                <w:sz w:val="22"/>
                <w:szCs w:val="22"/>
                <w:lang w:val="en-US" w:eastAsia="zh-CN" w:bidi="ar"/>
              </w:rPr>
              <w:t>数据值）</w:t>
            </w:r>
          </w:p>
        </w:tc>
        <w:tc>
          <w:tcPr>
            <w:tcW w:w="86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835" w:type="pct"/>
            <w:vMerge w:val="continue"/>
            <w:vAlign w:val="center"/>
          </w:tcPr>
          <w:p>
            <w:pPr>
              <w:rPr>
                <w:rFonts w:hint="eastAsia" w:asciiTheme="minorEastAsia" w:hAnsiTheme="minorEastAsia" w:eastAsiaTheme="minorEastAsia" w:cstheme="minorEastAsia"/>
                <w:b w:val="0"/>
                <w:bCs/>
                <w:kern w:val="2"/>
                <w:sz w:val="22"/>
                <w:szCs w:val="22"/>
                <w:lang w:val="en-US" w:eastAsia="zh-CN" w:bidi="ar-SA"/>
              </w:rPr>
            </w:pPr>
          </w:p>
        </w:tc>
        <w:tc>
          <w:tcPr>
            <w:tcW w:w="526" w:type="pct"/>
            <w:vMerge w:val="continue"/>
            <w:vAlign w:val="center"/>
          </w:tcPr>
          <w:p>
            <w:pPr>
              <w:jc w:val="center"/>
              <w:rPr>
                <w:rFonts w:hint="eastAsia" w:asciiTheme="minorEastAsia" w:hAnsiTheme="minorEastAsia" w:eastAsiaTheme="minorEastAsia" w:cstheme="minorEastAsia"/>
                <w:b w:val="0"/>
                <w:bCs/>
                <w:kern w:val="2"/>
                <w:sz w:val="22"/>
                <w:szCs w:val="22"/>
                <w:lang w:val="en-US" w:eastAsia="zh-CN" w:bidi="ar-SA"/>
              </w:rPr>
            </w:pPr>
          </w:p>
        </w:tc>
        <w:tc>
          <w:tcPr>
            <w:tcW w:w="1564" w:type="pct"/>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异常数据处理记录（如缺失值插值依据）</w:t>
            </w:r>
          </w:p>
        </w:tc>
        <w:tc>
          <w:tcPr>
            <w:tcW w:w="868"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cstheme="minorEastAsia"/>
                <w:b/>
                <w:bCs w:val="0"/>
                <w:kern w:val="2"/>
                <w:sz w:val="22"/>
                <w:szCs w:val="22"/>
                <w:lang w:val="en-US" w:eastAsia="zh-CN" w:bidi="ar-SA"/>
              </w:rPr>
              <w:t>7</w:t>
            </w:r>
            <w:r>
              <w:rPr>
                <w:rFonts w:hint="eastAsia" w:asciiTheme="minorEastAsia" w:hAnsiTheme="minorEastAsia" w:eastAsiaTheme="minorEastAsia" w:cstheme="minorEastAsia"/>
                <w:b/>
                <w:bCs w:val="0"/>
                <w:kern w:val="2"/>
                <w:sz w:val="22"/>
                <w:szCs w:val="22"/>
                <w:lang w:val="en-US" w:eastAsia="zh-CN" w:bidi="ar-SA"/>
              </w:rPr>
              <w:t>.现场数据核查</w:t>
            </w:r>
          </w:p>
        </w:tc>
        <w:tc>
          <w:tcPr>
            <w:tcW w:w="835"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数据正确性</w:t>
            </w:r>
          </w:p>
        </w:tc>
        <w:tc>
          <w:tcPr>
            <w:tcW w:w="52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eastAsiaTheme="minorEastAsia" w:cstheme="minorEastAsia"/>
                <w:b w:val="0"/>
                <w:bCs/>
                <w:sz w:val="22"/>
                <w:szCs w:val="22"/>
                <w:lang w:val="en-US" w:eastAsia="zh-CN"/>
              </w:rPr>
            </w:pPr>
            <w:r>
              <w:rPr>
                <w:rFonts w:hint="eastAsia" w:asciiTheme="minorEastAsia" w:hAnsiTheme="minorEastAsia" w:cstheme="minorEastAsia"/>
                <w:b w:val="0"/>
                <w:bCs/>
                <w:sz w:val="22"/>
                <w:szCs w:val="22"/>
                <w:lang w:val="en-US" w:eastAsia="zh-CN"/>
              </w:rPr>
              <w:t>现场</w:t>
            </w:r>
          </w:p>
        </w:tc>
        <w:tc>
          <w:tcPr>
            <w:tcW w:w="156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核查数据采集的准确性，与实际排放量对比，误差在±5%以内</w:t>
            </w:r>
          </w:p>
        </w:tc>
        <w:tc>
          <w:tcPr>
            <w:tcW w:w="868" w:type="pct"/>
            <w:shd w:val="clear" w:color="auto" w:fill="auto"/>
            <w:vAlign w:val="center"/>
          </w:tcPr>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A:±5%以内</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B:±5-10%</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C:±10-20%</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D:±20%以上</w:t>
            </w: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cstheme="minorEastAsia"/>
                <w:b/>
                <w:bCs w:val="0"/>
                <w:kern w:val="2"/>
                <w:sz w:val="22"/>
                <w:szCs w:val="22"/>
                <w:lang w:val="en-US" w:eastAsia="zh-CN" w:bidi="ar-SA"/>
              </w:rPr>
              <w:t>8</w:t>
            </w:r>
            <w:r>
              <w:rPr>
                <w:rFonts w:hint="eastAsia" w:asciiTheme="minorEastAsia" w:hAnsiTheme="minorEastAsia" w:eastAsiaTheme="minorEastAsia" w:cstheme="minorEastAsia"/>
                <w:b/>
                <w:bCs w:val="0"/>
                <w:kern w:val="2"/>
                <w:sz w:val="22"/>
                <w:szCs w:val="22"/>
                <w:lang w:val="en-US" w:eastAsia="zh-CN" w:bidi="ar-SA"/>
              </w:rPr>
              <w:t>.现场调研</w:t>
            </w:r>
          </w:p>
        </w:tc>
        <w:tc>
          <w:tcPr>
            <w:tcW w:w="835"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监测完整性</w:t>
            </w:r>
          </w:p>
        </w:tc>
        <w:tc>
          <w:tcPr>
            <w:tcW w:w="52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b w:val="0"/>
                <w:bCs/>
                <w:sz w:val="22"/>
                <w:szCs w:val="22"/>
                <w:lang w:val="en-US" w:eastAsia="zh-CN"/>
              </w:rPr>
            </w:pPr>
            <w:r>
              <w:rPr>
                <w:rFonts w:hint="eastAsia" w:asciiTheme="minorEastAsia" w:hAnsiTheme="minorEastAsia" w:cstheme="minorEastAsia"/>
                <w:b w:val="0"/>
                <w:bCs/>
                <w:sz w:val="22"/>
                <w:szCs w:val="22"/>
                <w:lang w:val="en-US" w:eastAsia="zh-CN"/>
              </w:rPr>
              <w:t>现场</w:t>
            </w:r>
          </w:p>
        </w:tc>
        <w:tc>
          <w:tcPr>
            <w:tcW w:w="156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确认所有排放环节均有监测，无遗漏环节</w:t>
            </w:r>
          </w:p>
        </w:tc>
        <w:tc>
          <w:tcPr>
            <w:tcW w:w="868" w:type="pct"/>
            <w:shd w:val="clear" w:color="auto" w:fill="auto"/>
            <w:vAlign w:val="center"/>
          </w:tcPr>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A:无遗漏</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B:遗漏1-2个环节</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C:遗漏3-4个环节</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D:遗漏5个以上环节</w:t>
            </w: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both"/>
              <w:rPr>
                <w:rFonts w:hint="eastAsia" w:asciiTheme="minorEastAsia" w:hAnsiTheme="minorEastAsia" w:eastAsiaTheme="minorEastAsia" w:cstheme="minorEastAsia"/>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shd w:val="clear" w:color="auto" w:fill="auto"/>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leftChars="0" w:right="0" w:rightChars="0" w:firstLine="0" w:firstLineChars="0"/>
              <w:jc w:val="left"/>
              <w:rPr>
                <w:rFonts w:hint="eastAsia" w:asciiTheme="minorEastAsia" w:hAnsiTheme="minorEastAsia" w:eastAsiaTheme="minorEastAsia" w:cstheme="minorEastAsia"/>
                <w:b/>
                <w:bCs w:val="0"/>
                <w:kern w:val="2"/>
                <w:sz w:val="22"/>
                <w:szCs w:val="22"/>
                <w:lang w:val="en-US" w:eastAsia="zh-CN" w:bidi="ar-SA"/>
              </w:rPr>
            </w:pPr>
            <w:r>
              <w:rPr>
                <w:rFonts w:hint="eastAsia" w:asciiTheme="minorEastAsia" w:hAnsiTheme="minorEastAsia" w:cstheme="minorEastAsia"/>
                <w:b/>
                <w:bCs w:val="0"/>
                <w:kern w:val="2"/>
                <w:sz w:val="22"/>
                <w:szCs w:val="22"/>
                <w:lang w:val="en-US" w:eastAsia="zh-CN" w:bidi="ar-SA"/>
              </w:rPr>
              <w:t>9</w:t>
            </w:r>
            <w:r>
              <w:rPr>
                <w:rFonts w:hint="eastAsia" w:asciiTheme="minorEastAsia" w:hAnsiTheme="minorEastAsia" w:eastAsiaTheme="minorEastAsia" w:cstheme="minorEastAsia"/>
                <w:b/>
                <w:bCs w:val="0"/>
                <w:kern w:val="2"/>
                <w:sz w:val="22"/>
                <w:szCs w:val="22"/>
                <w:lang w:val="en-US" w:eastAsia="zh-CN" w:bidi="ar-SA"/>
              </w:rPr>
              <w:t>.数据管理审核</w:t>
            </w:r>
          </w:p>
        </w:tc>
        <w:tc>
          <w:tcPr>
            <w:tcW w:w="835"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审核机制完善度</w:t>
            </w:r>
          </w:p>
        </w:tc>
        <w:tc>
          <w:tcPr>
            <w:tcW w:w="526"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eastAsiaTheme="minorEastAsia" w:cstheme="minorEastAsia"/>
                <w:b w:val="0"/>
                <w:bCs/>
                <w:sz w:val="22"/>
                <w:szCs w:val="22"/>
                <w:lang w:val="en-US" w:eastAsia="zh-CN"/>
              </w:rPr>
            </w:pPr>
            <w:r>
              <w:rPr>
                <w:rFonts w:hint="eastAsia" w:asciiTheme="minorEastAsia" w:hAnsiTheme="minorEastAsia" w:cstheme="minorEastAsia"/>
                <w:b w:val="0"/>
                <w:bCs/>
                <w:sz w:val="22"/>
                <w:szCs w:val="22"/>
                <w:lang w:val="en-US" w:eastAsia="zh-CN"/>
              </w:rPr>
              <w:t>审核</w:t>
            </w:r>
          </w:p>
        </w:tc>
        <w:tc>
          <w:tcPr>
            <w:tcW w:w="1564" w:type="pct"/>
            <w:shd w:val="clear" w:color="auto" w:fill="auto"/>
            <w:vAlign w:val="center"/>
          </w:tcPr>
          <w:p>
            <w:pPr>
              <w:keepNext w:val="0"/>
              <w:keepLines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 w:val="0"/>
                <w:bCs/>
                <w:kern w:val="2"/>
                <w:sz w:val="22"/>
                <w:szCs w:val="22"/>
                <w:lang w:val="en-US" w:eastAsia="zh-CN" w:bidi="ar-SA"/>
              </w:rPr>
            </w:pPr>
            <w:r>
              <w:rPr>
                <w:rFonts w:hint="eastAsia" w:asciiTheme="minorEastAsia" w:hAnsiTheme="minorEastAsia" w:eastAsiaTheme="minorEastAsia" w:cstheme="minorEastAsia"/>
                <w:b w:val="0"/>
                <w:bCs/>
                <w:sz w:val="22"/>
                <w:szCs w:val="22"/>
                <w:lang w:val="en-US" w:eastAsia="zh-CN"/>
              </w:rPr>
              <w:t>评估企业数据管理审核流程的完整性和试运行到验收期间执行情况</w:t>
            </w:r>
          </w:p>
        </w:tc>
        <w:tc>
          <w:tcPr>
            <w:tcW w:w="868" w:type="pct"/>
            <w:shd w:val="clear" w:color="auto" w:fill="auto"/>
            <w:vAlign w:val="center"/>
          </w:tcPr>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A:完整且严格执行</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B:较完整，执行良好</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C:部分完整，执行一般</w:t>
            </w:r>
          </w:p>
          <w:p>
            <w:pPr>
              <w:keepNext w:val="0"/>
              <w:keepLines w:val="0"/>
              <w:widowControl/>
              <w:suppressLineNumbers w:val="0"/>
              <w:jc w:val="both"/>
              <w:textAlignment w:val="center"/>
              <w:rPr>
                <w:rStyle w:val="39"/>
                <w:rFonts w:hint="eastAsia" w:asciiTheme="minorEastAsia" w:hAnsiTheme="minorEastAsia" w:eastAsiaTheme="minorEastAsia" w:cstheme="minorEastAsia"/>
                <w:i w:val="0"/>
                <w:iCs w:val="0"/>
                <w:color w:val="000000"/>
                <w:sz w:val="22"/>
                <w:szCs w:val="22"/>
                <w:lang w:val="en-US" w:eastAsia="zh-CN" w:bidi="ar"/>
              </w:rPr>
            </w:pPr>
            <w:r>
              <w:rPr>
                <w:rStyle w:val="39"/>
                <w:rFonts w:hint="eastAsia" w:asciiTheme="minorEastAsia" w:hAnsiTheme="minorEastAsia" w:eastAsiaTheme="minorEastAsia" w:cstheme="minorEastAsia"/>
                <w:i w:val="0"/>
                <w:iCs w:val="0"/>
                <w:color w:val="000000"/>
                <w:sz w:val="22"/>
                <w:szCs w:val="22"/>
                <w:lang w:val="en-US" w:eastAsia="zh-CN" w:bidi="ar"/>
              </w:rPr>
              <w:t>D:不完整，执行差</w:t>
            </w:r>
          </w:p>
        </w:tc>
        <w:tc>
          <w:tcPr>
            <w:tcW w:w="436" w:type="pct"/>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39" w:firstLineChars="0"/>
              <w:jc w:val="center"/>
              <w:rPr>
                <w:rFonts w:hint="eastAsia" w:asciiTheme="minorEastAsia" w:hAnsiTheme="minorEastAsia" w:eastAsiaTheme="minorEastAsia" w:cstheme="minorEastAsia"/>
                <w:b w:val="0"/>
                <w:bCs/>
                <w:kern w:val="2"/>
                <w:sz w:val="22"/>
                <w:szCs w:val="22"/>
                <w:lang w:val="en-US" w:eastAsia="zh-CN" w:bidi="ar-SA"/>
              </w:rPr>
            </w:pPr>
          </w:p>
        </w:tc>
      </w:tr>
    </w:tbl>
    <w:p>
      <w:pPr>
        <w:rPr>
          <w:rFonts w:hint="eastAsia"/>
          <w:lang w:val="en-US" w:eastAsia="zh-CN"/>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300" w:beforeAutospacing="0" w:after="0" w:afterAutospacing="0" w:line="26" w:lineRule="atLeast"/>
        <w:ind w:left="0" w:right="0" w:firstLine="0"/>
        <w:rPr>
          <w:rFonts w:ascii="Segoe UI" w:hAnsi="Segoe UI" w:eastAsia="Segoe UI" w:cs="Segoe UI"/>
          <w:i w:val="0"/>
          <w:iCs w:val="0"/>
          <w:caps w:val="0"/>
          <w:color w:val="auto"/>
          <w:spacing w:val="0"/>
          <w:sz w:val="22"/>
          <w:szCs w:val="22"/>
        </w:rPr>
      </w:pPr>
      <w:r>
        <w:rPr>
          <w:rStyle w:val="21"/>
          <w:rFonts w:hint="default" w:ascii="Segoe UI" w:hAnsi="Segoe UI" w:eastAsia="Segoe UI" w:cs="Segoe UI"/>
          <w:b/>
          <w:bCs/>
          <w:i w:val="0"/>
          <w:iCs w:val="0"/>
          <w:caps w:val="0"/>
          <w:color w:val="auto"/>
          <w:spacing w:val="0"/>
          <w:sz w:val="22"/>
          <w:szCs w:val="22"/>
          <w:shd w:val="clear" w:fill="FDFDFE"/>
        </w:rPr>
        <w:t>三、</w:t>
      </w:r>
      <w:r>
        <w:rPr>
          <w:rStyle w:val="21"/>
          <w:rFonts w:hint="eastAsia" w:ascii="Segoe UI" w:hAnsi="Segoe UI" w:eastAsia="宋体" w:cs="Segoe UI"/>
          <w:b/>
          <w:bCs/>
          <w:i w:val="0"/>
          <w:iCs w:val="0"/>
          <w:caps w:val="0"/>
          <w:color w:val="auto"/>
          <w:spacing w:val="0"/>
          <w:sz w:val="22"/>
          <w:szCs w:val="22"/>
          <w:shd w:val="clear" w:fill="FDFDFE"/>
          <w:lang w:val="en-US" w:eastAsia="zh-CN"/>
        </w:rPr>
        <w:t>评价结果</w:t>
      </w:r>
    </w:p>
    <w:tbl>
      <w:tblPr>
        <w:tblStyle w:val="19"/>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962" w:type="dxa"/>
          </w:tcPr>
          <w:p>
            <w:pPr>
              <w:keepNext w:val="0"/>
              <w:keepLines w:val="0"/>
              <w:widowControl/>
              <w:suppressLineNumbers w:val="0"/>
              <w:spacing w:before="210" w:beforeAutospacing="0" w:after="210" w:afterAutospacing="0" w:line="26" w:lineRule="atLeast"/>
              <w:ind w:left="0" w:right="0"/>
              <w:jc w:val="left"/>
              <w:rPr>
                <w:rFonts w:hint="default" w:ascii="Segoe UI" w:hAnsi="Segoe UI" w:eastAsia="Segoe UI" w:cs="Segoe UI"/>
                <w:i w:val="0"/>
                <w:iCs w:val="0"/>
                <w:caps w:val="0"/>
                <w:color w:val="05073B"/>
                <w:spacing w:val="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962" w:type="dxa"/>
          </w:tcPr>
          <w:p>
            <w:pPr>
              <w:keepNext w:val="0"/>
              <w:keepLines w:val="0"/>
              <w:suppressLineNumbers w:val="0"/>
              <w:spacing w:before="0" w:beforeAutospacing="0" w:after="0" w:afterAutospacing="0"/>
              <w:ind w:left="0" w:right="0"/>
              <w:jc w:val="both"/>
              <w:rPr>
                <w:rStyle w:val="21"/>
                <w:rFonts w:hint="eastAsia" w:ascii="Segoe UI" w:hAnsi="Segoe UI" w:eastAsia="宋体" w:cs="Segoe UI"/>
                <w:bCs/>
                <w:i w:val="0"/>
                <w:iCs w:val="0"/>
                <w:caps w:val="0"/>
                <w:color w:val="05073B"/>
                <w:spacing w:val="0"/>
                <w:kern w:val="0"/>
                <w:sz w:val="22"/>
                <w:szCs w:val="22"/>
                <w:shd w:val="clear" w:fill="FDFDF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ightChars="0"/>
              <w:jc w:val="left"/>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审核人员签字：                        审核日期：</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en-US" w:eastAsia="zh-CN" w:bidi="ar-SA"/>
              </w:rPr>
              <w:t>年</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en-US" w:eastAsia="zh-CN" w:bidi="ar-SA"/>
              </w:rPr>
              <w:t>月</w:t>
            </w:r>
            <w:r>
              <w:rPr>
                <w:rFonts w:hint="eastAsia" w:ascii="宋体" w:hAnsi="宋体" w:eastAsia="宋体" w:cs="宋体"/>
                <w:b w:val="0"/>
                <w:bCs/>
                <w:kern w:val="2"/>
                <w:sz w:val="24"/>
                <w:szCs w:val="24"/>
                <w:u w:val="single"/>
                <w:lang w:val="en-US" w:eastAsia="zh-CN" w:bidi="ar-SA"/>
              </w:rPr>
              <w:t xml:space="preserve">    </w:t>
            </w:r>
            <w:r>
              <w:rPr>
                <w:rFonts w:hint="eastAsia" w:ascii="宋体" w:hAnsi="宋体" w:eastAsia="宋体" w:cs="宋体"/>
                <w:b w:val="0"/>
                <w:bCs/>
                <w:kern w:val="2"/>
                <w:sz w:val="24"/>
                <w:szCs w:val="24"/>
                <w:lang w:val="en-US" w:eastAsia="zh-CN" w:bidi="ar-SA"/>
              </w:rPr>
              <w:t>日</w:t>
            </w:r>
          </w:p>
          <w:p>
            <w:pPr>
              <w:keepNext w:val="0"/>
              <w:keepLines w:val="0"/>
              <w:widowControl/>
              <w:suppressLineNumbers w:val="0"/>
              <w:spacing w:before="210" w:beforeAutospacing="0" w:after="210" w:afterAutospacing="0" w:line="26" w:lineRule="atLeast"/>
              <w:ind w:left="0" w:right="0"/>
              <w:jc w:val="left"/>
              <w:rPr>
                <w:rFonts w:hint="default" w:ascii="Segoe UI" w:hAnsi="Segoe UI" w:eastAsia="Segoe UI" w:cs="Segoe UI"/>
                <w:i w:val="0"/>
                <w:iCs w:val="0"/>
                <w:caps w:val="0"/>
                <w:color w:val="05073B"/>
                <w:spacing w:val="0"/>
                <w:sz w:val="22"/>
                <w:szCs w:val="22"/>
                <w:vertAlign w:val="baseline"/>
              </w:rPr>
            </w:pPr>
          </w:p>
        </w:tc>
      </w:tr>
    </w:tbl>
    <w:p>
      <w:pPr>
        <w:spacing w:line="360" w:lineRule="auto"/>
        <w:rPr>
          <w:rFonts w:ascii="Times New Roman" w:hAnsi="Times New Roman" w:eastAsia="宋体" w:cs="Times New Roman"/>
          <w:sz w:val="24"/>
          <w:szCs w:val="24"/>
        </w:rPr>
      </w:pPr>
    </w:p>
    <w:sectPr>
      <w:headerReference r:id="rId4" w:type="default"/>
      <w:footerReference r:id="rId5" w:type="default"/>
      <w:footerReference r:id="rId6" w:type="even"/>
      <w:pgSz w:w="11906" w:h="16838"/>
      <w:pgMar w:top="1440" w:right="1406" w:bottom="1440" w:left="175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auto"/>
    <w:pitch w:val="default"/>
    <w:sig w:usb0="E10022FF" w:usb1="C000E47F" w:usb2="00000029" w:usb3="00000000" w:csb0="200001DF" w:csb1="2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659787"/>
      <w:docPartObj>
        <w:docPartGallery w:val="autotext"/>
      </w:docPartObj>
    </w:sdtPr>
    <w:sdtEndPr>
      <w:rPr>
        <w:rFonts w:ascii="Times New Roman" w:hAnsi="Times New Roman" w:cs="Times New Roman"/>
        <w:sz w:val="21"/>
        <w:szCs w:val="21"/>
      </w:rPr>
    </w:sdtEndPr>
    <w:sdtContent>
      <w:p>
        <w:pPr>
          <w:pStyle w:val="1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272591"/>
      <w:docPartObj>
        <w:docPartGallery w:val="autotext"/>
      </w:docPartObj>
    </w:sdtPr>
    <w:sdtEndPr>
      <w:rPr>
        <w:rFonts w:ascii="Times New Roman" w:hAnsi="Times New Roman" w:cs="Times New Roman"/>
        <w:sz w:val="21"/>
        <w:szCs w:val="21"/>
      </w:rPr>
    </w:sdtEndPr>
    <w:sdtContent>
      <w:p>
        <w:pPr>
          <w:pStyle w:val="1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8" w:space="1"/>
      </w:pBdr>
    </w:pPr>
    <w:r>
      <w:rPr>
        <w:rFonts w:hint="eastAsia" w:ascii="Times New Roman" w:hAnsi="Times New Roman" w:eastAsia="黑体" w:cs="Times New Roman"/>
        <w:b/>
        <w:bCs/>
        <w:kern w:val="0"/>
        <w:szCs w:val="21"/>
      </w:rPr>
      <w:t>J</w:t>
    </w:r>
    <w:r>
      <w:rPr>
        <w:rFonts w:ascii="Times New Roman" w:hAnsi="Times New Roman" w:eastAsia="黑体" w:cs="Times New Roman"/>
        <w:b/>
        <w:bCs/>
        <w:kern w:val="0"/>
        <w:szCs w:val="21"/>
      </w:rPr>
      <w:t>JF XXXX-XXXX</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8" w:space="1"/>
      </w:pBdr>
    </w:pPr>
    <w:r>
      <w:rPr>
        <w:rFonts w:hint="eastAsia" w:ascii="Times New Roman" w:hAnsi="Times New Roman" w:eastAsia="黑体" w:cs="Times New Roman"/>
        <w:b/>
        <w:bCs/>
        <w:kern w:val="0"/>
        <w:szCs w:val="21"/>
      </w:rPr>
      <w:t>J</w:t>
    </w:r>
    <w:r>
      <w:rPr>
        <w:rFonts w:ascii="Times New Roman" w:hAnsi="Times New Roman" w:eastAsia="黑体" w:cs="Times New Roman"/>
        <w:b/>
        <w:bCs/>
        <w:kern w:val="0"/>
        <w:szCs w:val="21"/>
      </w:rPr>
      <w:t>JF XXXX-XXXX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59DAB"/>
    <w:multiLevelType w:val="singleLevel"/>
    <w:tmpl w:val="91659DAB"/>
    <w:lvl w:ilvl="0" w:tentative="0">
      <w:start w:val="1"/>
      <w:numFmt w:val="decimal"/>
      <w:suff w:val="nothing"/>
      <w:lvlText w:val="（%1）"/>
      <w:lvlJc w:val="left"/>
    </w:lvl>
  </w:abstractNum>
  <w:abstractNum w:abstractNumId="1">
    <w:nsid w:val="BFCFDA4E"/>
    <w:multiLevelType w:val="singleLevel"/>
    <w:tmpl w:val="BFCFDA4E"/>
    <w:lvl w:ilvl="0" w:tentative="0">
      <w:start w:val="1"/>
      <w:numFmt w:val="bullet"/>
      <w:lvlText w:val=""/>
      <w:lvlJc w:val="left"/>
      <w:pPr>
        <w:ind w:left="420" w:hanging="420"/>
      </w:pPr>
      <w:rPr>
        <w:rFonts w:hint="default" w:ascii="Wingdings" w:hAnsi="Wingdings"/>
      </w:rPr>
    </w:lvl>
  </w:abstractNum>
  <w:abstractNum w:abstractNumId="2">
    <w:nsid w:val="C3551F76"/>
    <w:multiLevelType w:val="singleLevel"/>
    <w:tmpl w:val="C3551F76"/>
    <w:lvl w:ilvl="0" w:tentative="0">
      <w:start w:val="1"/>
      <w:numFmt w:val="decimal"/>
      <w:suff w:val="space"/>
      <w:lvlText w:val="%1"/>
      <w:lvlJc w:val="left"/>
      <w:pPr>
        <w:ind w:left="425" w:leftChars="0" w:hanging="425" w:firstLineChars="0"/>
      </w:pPr>
      <w:rPr>
        <w:rFonts w:hint="default"/>
      </w:rPr>
    </w:lvl>
  </w:abstractNum>
  <w:abstractNum w:abstractNumId="3">
    <w:nsid w:val="E1218EE5"/>
    <w:multiLevelType w:val="singleLevel"/>
    <w:tmpl w:val="E1218EE5"/>
    <w:lvl w:ilvl="0" w:tentative="0">
      <w:start w:val="1"/>
      <w:numFmt w:val="decimal"/>
      <w:suff w:val="nothing"/>
      <w:lvlText w:val="（%1）"/>
      <w:lvlJc w:val="left"/>
    </w:lvl>
  </w:abstractNum>
  <w:abstractNum w:abstractNumId="4">
    <w:nsid w:val="EB1A0CAA"/>
    <w:multiLevelType w:val="singleLevel"/>
    <w:tmpl w:val="EB1A0CAA"/>
    <w:lvl w:ilvl="0" w:tentative="0">
      <w:start w:val="2"/>
      <w:numFmt w:val="decimal"/>
      <w:suff w:val="nothing"/>
      <w:lvlText w:val="（%1）"/>
      <w:lvlJc w:val="left"/>
    </w:lvl>
  </w:abstractNum>
  <w:abstractNum w:abstractNumId="5">
    <w:nsid w:val="F948BE5F"/>
    <w:multiLevelType w:val="singleLevel"/>
    <w:tmpl w:val="F948BE5F"/>
    <w:lvl w:ilvl="0" w:tentative="0">
      <w:start w:val="1"/>
      <w:numFmt w:val="decimal"/>
      <w:suff w:val="space"/>
      <w:lvlText w:val="(%1)"/>
      <w:lvlJc w:val="left"/>
      <w:pPr>
        <w:tabs>
          <w:tab w:val="left" w:pos="0"/>
        </w:tabs>
      </w:pPr>
      <w:rPr>
        <w:rFonts w:hint="default"/>
      </w:rPr>
    </w:lvl>
  </w:abstractNum>
  <w:abstractNum w:abstractNumId="6">
    <w:nsid w:val="1A93DC00"/>
    <w:multiLevelType w:val="singleLevel"/>
    <w:tmpl w:val="1A93DC00"/>
    <w:lvl w:ilvl="0" w:tentative="0">
      <w:start w:val="2"/>
      <w:numFmt w:val="decimal"/>
      <w:suff w:val="nothing"/>
      <w:lvlText w:val="（%1）"/>
      <w:lvlJc w:val="left"/>
    </w:lvl>
  </w:abstractNum>
  <w:abstractNum w:abstractNumId="7">
    <w:nsid w:val="248DD3FF"/>
    <w:multiLevelType w:val="singleLevel"/>
    <w:tmpl w:val="248DD3FF"/>
    <w:lvl w:ilvl="0" w:tentative="0">
      <w:start w:val="1"/>
      <w:numFmt w:val="decimal"/>
      <w:suff w:val="nothing"/>
      <w:lvlText w:val="（%1）"/>
      <w:lvlJc w:val="left"/>
      <w:pPr>
        <w:tabs>
          <w:tab w:val="left" w:pos="0"/>
        </w:tabs>
      </w:pPr>
      <w:rPr>
        <w:rFonts w:hint="default"/>
      </w:rPr>
    </w:lvl>
  </w:abstractNum>
  <w:abstractNum w:abstractNumId="8">
    <w:nsid w:val="3FBB76D2"/>
    <w:multiLevelType w:val="singleLevel"/>
    <w:tmpl w:val="3FBB76D2"/>
    <w:lvl w:ilvl="0" w:tentative="0">
      <w:start w:val="2"/>
      <w:numFmt w:val="chineseCounting"/>
      <w:suff w:val="nothing"/>
      <w:lvlText w:val="%1、"/>
      <w:lvlJc w:val="left"/>
      <w:rPr>
        <w:rFonts w:hint="eastAsia"/>
      </w:r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9"/>
  </w:num>
  <w:num w:numId="4">
    <w:abstractNumId w:val="1"/>
  </w:num>
  <w:num w:numId="5">
    <w:abstractNumId w:val="4"/>
  </w:num>
  <w:num w:numId="6">
    <w:abstractNumId w:val="5"/>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ODQzNTkzM2E5NGYyZTdhZjdmMTkxMzJiZTdiODcifQ=="/>
  </w:docVars>
  <w:rsids>
    <w:rsidRoot w:val="00945D96"/>
    <w:rsid w:val="000327B2"/>
    <w:rsid w:val="00056D2F"/>
    <w:rsid w:val="000837D9"/>
    <w:rsid w:val="000D1FF3"/>
    <w:rsid w:val="000E0406"/>
    <w:rsid w:val="000E1935"/>
    <w:rsid w:val="00105DC1"/>
    <w:rsid w:val="00106B42"/>
    <w:rsid w:val="00106EA7"/>
    <w:rsid w:val="00112418"/>
    <w:rsid w:val="00166F5D"/>
    <w:rsid w:val="001A7185"/>
    <w:rsid w:val="00205C3B"/>
    <w:rsid w:val="00206FE6"/>
    <w:rsid w:val="0023019F"/>
    <w:rsid w:val="00237979"/>
    <w:rsid w:val="0026552C"/>
    <w:rsid w:val="0027588B"/>
    <w:rsid w:val="002A24F2"/>
    <w:rsid w:val="002A44A7"/>
    <w:rsid w:val="002C4D17"/>
    <w:rsid w:val="0033569E"/>
    <w:rsid w:val="00344C4D"/>
    <w:rsid w:val="0037510C"/>
    <w:rsid w:val="00384FD0"/>
    <w:rsid w:val="003972F4"/>
    <w:rsid w:val="003C0823"/>
    <w:rsid w:val="003C7AF1"/>
    <w:rsid w:val="003D4AEF"/>
    <w:rsid w:val="003E29B9"/>
    <w:rsid w:val="003F480F"/>
    <w:rsid w:val="003F4CCC"/>
    <w:rsid w:val="004031D4"/>
    <w:rsid w:val="00406F29"/>
    <w:rsid w:val="004551F2"/>
    <w:rsid w:val="00462704"/>
    <w:rsid w:val="004A5C64"/>
    <w:rsid w:val="004B0D8C"/>
    <w:rsid w:val="004B2A1D"/>
    <w:rsid w:val="004B4D00"/>
    <w:rsid w:val="004B5249"/>
    <w:rsid w:val="0052038F"/>
    <w:rsid w:val="0057673D"/>
    <w:rsid w:val="005F4526"/>
    <w:rsid w:val="0061329F"/>
    <w:rsid w:val="00614BED"/>
    <w:rsid w:val="006161A7"/>
    <w:rsid w:val="00621CF0"/>
    <w:rsid w:val="00686B80"/>
    <w:rsid w:val="00694F57"/>
    <w:rsid w:val="006D4FBF"/>
    <w:rsid w:val="006D5DB6"/>
    <w:rsid w:val="00726DCE"/>
    <w:rsid w:val="00732884"/>
    <w:rsid w:val="007918F5"/>
    <w:rsid w:val="007A16AB"/>
    <w:rsid w:val="007E02CB"/>
    <w:rsid w:val="007F32D1"/>
    <w:rsid w:val="008368ED"/>
    <w:rsid w:val="00836C56"/>
    <w:rsid w:val="008373EA"/>
    <w:rsid w:val="00865077"/>
    <w:rsid w:val="00867F01"/>
    <w:rsid w:val="00873C06"/>
    <w:rsid w:val="008E514E"/>
    <w:rsid w:val="008E56E0"/>
    <w:rsid w:val="00945D96"/>
    <w:rsid w:val="00962D58"/>
    <w:rsid w:val="00A02A88"/>
    <w:rsid w:val="00A03BBE"/>
    <w:rsid w:val="00A43FCF"/>
    <w:rsid w:val="00A555EF"/>
    <w:rsid w:val="00A66D93"/>
    <w:rsid w:val="00AD6FB5"/>
    <w:rsid w:val="00B222D1"/>
    <w:rsid w:val="00B774AF"/>
    <w:rsid w:val="00BB116A"/>
    <w:rsid w:val="00BC2CE7"/>
    <w:rsid w:val="00BF1E4B"/>
    <w:rsid w:val="00C06227"/>
    <w:rsid w:val="00C94CCD"/>
    <w:rsid w:val="00C96972"/>
    <w:rsid w:val="00CA0BE0"/>
    <w:rsid w:val="00CD7258"/>
    <w:rsid w:val="00CF601E"/>
    <w:rsid w:val="00D67BB0"/>
    <w:rsid w:val="00D85CBC"/>
    <w:rsid w:val="00DC536F"/>
    <w:rsid w:val="00E62943"/>
    <w:rsid w:val="00E65988"/>
    <w:rsid w:val="00E75E29"/>
    <w:rsid w:val="00E82420"/>
    <w:rsid w:val="00E9180B"/>
    <w:rsid w:val="00E94517"/>
    <w:rsid w:val="00F00F4E"/>
    <w:rsid w:val="00F0251E"/>
    <w:rsid w:val="00F06AC5"/>
    <w:rsid w:val="00F3008D"/>
    <w:rsid w:val="00F96214"/>
    <w:rsid w:val="00FB0D3E"/>
    <w:rsid w:val="00FF195C"/>
    <w:rsid w:val="02400A43"/>
    <w:rsid w:val="036B01CE"/>
    <w:rsid w:val="03881759"/>
    <w:rsid w:val="048C0055"/>
    <w:rsid w:val="05287F6B"/>
    <w:rsid w:val="098E5387"/>
    <w:rsid w:val="09DE6579"/>
    <w:rsid w:val="0E522B12"/>
    <w:rsid w:val="0FF20C9D"/>
    <w:rsid w:val="10C641EB"/>
    <w:rsid w:val="1444680D"/>
    <w:rsid w:val="15947CD6"/>
    <w:rsid w:val="15AA7190"/>
    <w:rsid w:val="16836B15"/>
    <w:rsid w:val="18300EFC"/>
    <w:rsid w:val="190E7A0E"/>
    <w:rsid w:val="1936695D"/>
    <w:rsid w:val="19E91179"/>
    <w:rsid w:val="1CEC543E"/>
    <w:rsid w:val="1D0923D2"/>
    <w:rsid w:val="1F106A67"/>
    <w:rsid w:val="1FAD5D45"/>
    <w:rsid w:val="21E164E0"/>
    <w:rsid w:val="22711AC8"/>
    <w:rsid w:val="231D1D7C"/>
    <w:rsid w:val="244322A0"/>
    <w:rsid w:val="245E27EE"/>
    <w:rsid w:val="29341D2F"/>
    <w:rsid w:val="2E853436"/>
    <w:rsid w:val="329D51A8"/>
    <w:rsid w:val="33C33572"/>
    <w:rsid w:val="350B62AD"/>
    <w:rsid w:val="3951360D"/>
    <w:rsid w:val="39647928"/>
    <w:rsid w:val="3A9C31D2"/>
    <w:rsid w:val="3AF1372E"/>
    <w:rsid w:val="3B8957FF"/>
    <w:rsid w:val="3D987477"/>
    <w:rsid w:val="413160FA"/>
    <w:rsid w:val="42AE49A1"/>
    <w:rsid w:val="42D17B9E"/>
    <w:rsid w:val="46CE7067"/>
    <w:rsid w:val="473C191E"/>
    <w:rsid w:val="47EF747A"/>
    <w:rsid w:val="489177E2"/>
    <w:rsid w:val="48C45F21"/>
    <w:rsid w:val="492837F6"/>
    <w:rsid w:val="4A2E072E"/>
    <w:rsid w:val="4B081207"/>
    <w:rsid w:val="4C117D93"/>
    <w:rsid w:val="4C7E129E"/>
    <w:rsid w:val="4D6B7555"/>
    <w:rsid w:val="4DAF1DF2"/>
    <w:rsid w:val="4DE100B2"/>
    <w:rsid w:val="4EA85830"/>
    <w:rsid w:val="4FB8493A"/>
    <w:rsid w:val="516F0BCC"/>
    <w:rsid w:val="51C574F2"/>
    <w:rsid w:val="52880638"/>
    <w:rsid w:val="533F41EE"/>
    <w:rsid w:val="55AC426A"/>
    <w:rsid w:val="55BE222E"/>
    <w:rsid w:val="56FE52CD"/>
    <w:rsid w:val="57247E9E"/>
    <w:rsid w:val="5C9435DE"/>
    <w:rsid w:val="61190548"/>
    <w:rsid w:val="61FE0F82"/>
    <w:rsid w:val="621120A1"/>
    <w:rsid w:val="67C663DF"/>
    <w:rsid w:val="67CE7BE8"/>
    <w:rsid w:val="685A65EB"/>
    <w:rsid w:val="699658D9"/>
    <w:rsid w:val="6B7B20A7"/>
    <w:rsid w:val="6B8B33A7"/>
    <w:rsid w:val="6C3C7D16"/>
    <w:rsid w:val="6EAE7543"/>
    <w:rsid w:val="71430EF8"/>
    <w:rsid w:val="72956EF9"/>
    <w:rsid w:val="74D619B6"/>
    <w:rsid w:val="776039E6"/>
    <w:rsid w:val="79730DBB"/>
    <w:rsid w:val="7A7805F0"/>
    <w:rsid w:val="7A80634A"/>
    <w:rsid w:val="7A824207"/>
    <w:rsid w:val="7E941F8F"/>
    <w:rsid w:val="7FF0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line="360" w:lineRule="auto"/>
      <w:outlineLvl w:val="0"/>
    </w:pPr>
    <w:rPr>
      <w:rFonts w:ascii="Times New Roman" w:hAnsi="Times New Roman" w:eastAsia="黑体"/>
      <w:bCs/>
      <w:kern w:val="44"/>
      <w:sz w:val="2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unhideWhenUsed/>
    <w:qFormat/>
    <w:uiPriority w:val="99"/>
    <w:pPr>
      <w:jc w:val="left"/>
    </w:pPr>
  </w:style>
  <w:style w:type="paragraph" w:styleId="8">
    <w:name w:val="Body Text"/>
    <w:basedOn w:val="1"/>
    <w:qFormat/>
    <w:uiPriority w:val="1"/>
    <w:rPr>
      <w:rFonts w:ascii="宋体" w:hAnsi="宋体" w:eastAsia="宋体" w:cs="宋体"/>
      <w:sz w:val="21"/>
      <w:szCs w:val="21"/>
      <w:lang w:val="en-US" w:eastAsia="en-US" w:bidi="ar-SA"/>
    </w:rPr>
  </w:style>
  <w:style w:type="paragraph" w:styleId="9">
    <w:name w:val="toc 3"/>
    <w:basedOn w:val="1"/>
    <w:next w:val="1"/>
    <w:semiHidden/>
    <w:unhideWhenUsed/>
    <w:qFormat/>
    <w:uiPriority w:val="39"/>
    <w:pPr>
      <w:ind w:left="840" w:leftChars="400"/>
    </w:pPr>
  </w:style>
  <w:style w:type="paragraph" w:styleId="10">
    <w:name w:val="Plain Text"/>
    <w:basedOn w:val="1"/>
    <w:link w:val="29"/>
    <w:qFormat/>
    <w:uiPriority w:val="0"/>
    <w:rPr>
      <w:rFonts w:ascii="宋体" w:hAnsi="Courier New" w:eastAsia="宋体" w:cs="Times New Roman"/>
      <w:szCs w:val="20"/>
      <w:lang w:val="zh-CN"/>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标题 1 字符"/>
    <w:basedOn w:val="20"/>
    <w:link w:val="2"/>
    <w:qFormat/>
    <w:uiPriority w:val="9"/>
    <w:rPr>
      <w:rFonts w:ascii="Times New Roman" w:hAnsi="Times New Roman" w:eastAsia="黑体"/>
      <w:bCs/>
      <w:kern w:val="44"/>
      <w:sz w:val="24"/>
      <w:szCs w:val="44"/>
    </w:rPr>
  </w:style>
  <w:style w:type="character" w:customStyle="1" w:styleId="24">
    <w:name w:val="标题 2 字符"/>
    <w:basedOn w:val="20"/>
    <w:link w:val="3"/>
    <w:qFormat/>
    <w:uiPriority w:val="9"/>
    <w:rPr>
      <w:rFonts w:asciiTheme="majorHAnsi" w:hAnsiTheme="majorHAnsi" w:eastAsiaTheme="majorEastAsia" w:cstheme="majorBidi"/>
      <w:b/>
      <w:bCs/>
      <w:sz w:val="32"/>
      <w:szCs w:val="32"/>
    </w:rPr>
  </w:style>
  <w:style w:type="character" w:customStyle="1" w:styleId="25">
    <w:name w:val="批注框文本 字符"/>
    <w:basedOn w:val="20"/>
    <w:link w:val="12"/>
    <w:semiHidden/>
    <w:qFormat/>
    <w:uiPriority w:val="99"/>
    <w:rPr>
      <w:sz w:val="18"/>
      <w:szCs w:val="18"/>
    </w:rPr>
  </w:style>
  <w:style w:type="character" w:customStyle="1" w:styleId="26">
    <w:name w:val="页眉 字符"/>
    <w:basedOn w:val="20"/>
    <w:link w:val="14"/>
    <w:qFormat/>
    <w:uiPriority w:val="99"/>
    <w:rPr>
      <w:sz w:val="18"/>
      <w:szCs w:val="18"/>
    </w:rPr>
  </w:style>
  <w:style w:type="character" w:customStyle="1" w:styleId="27">
    <w:name w:val="页脚 字符"/>
    <w:basedOn w:val="20"/>
    <w:link w:val="13"/>
    <w:qFormat/>
    <w:uiPriority w:val="99"/>
    <w:rPr>
      <w:sz w:val="18"/>
      <w:szCs w:val="18"/>
    </w:rPr>
  </w:style>
  <w:style w:type="character" w:customStyle="1" w:styleId="28">
    <w:name w:val="纯文本 字符"/>
    <w:basedOn w:val="20"/>
    <w:qFormat/>
    <w:uiPriority w:val="0"/>
    <w:rPr>
      <w:rFonts w:hAnsi="Courier New" w:cs="Courier New" w:asciiTheme="minorEastAsia"/>
    </w:rPr>
  </w:style>
  <w:style w:type="character" w:customStyle="1" w:styleId="29">
    <w:name w:val="纯文本 字符1"/>
    <w:link w:val="10"/>
    <w:qFormat/>
    <w:uiPriority w:val="0"/>
    <w:rPr>
      <w:rFonts w:ascii="宋体" w:hAnsi="Courier New" w:eastAsia="宋体" w:cs="Times New Roman"/>
      <w:szCs w:val="20"/>
      <w:lang w:val="zh-CN" w:eastAsia="zh-CN"/>
    </w:rPr>
  </w:style>
  <w:style w:type="character" w:customStyle="1" w:styleId="30">
    <w:name w:val="日期 字符"/>
    <w:basedOn w:val="20"/>
    <w:link w:val="11"/>
    <w:semiHidden/>
    <w:qFormat/>
    <w:uiPriority w:val="99"/>
  </w:style>
  <w:style w:type="paragraph" w:customStyle="1" w:styleId="31">
    <w:name w:val="无间隔1"/>
    <w:basedOn w:val="1"/>
    <w:qFormat/>
    <w:uiPriority w:val="0"/>
    <w:pPr>
      <w:spacing w:line="300" w:lineRule="auto"/>
      <w:ind w:firstLine="200" w:firstLineChars="200"/>
    </w:pPr>
    <w:rPr>
      <w:rFonts w:ascii="Calibri" w:hAnsi="Calibri" w:eastAsia="宋体" w:cs="Times New Roman"/>
      <w:sz w:val="24"/>
      <w:szCs w:val="24"/>
    </w:rPr>
  </w:style>
  <w:style w:type="paragraph" w:customStyle="1" w:styleId="3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styleId="33">
    <w:name w:val="Placeholder Text"/>
    <w:basedOn w:val="20"/>
    <w:semiHidden/>
    <w:qFormat/>
    <w:uiPriority w:val="99"/>
    <w:rPr>
      <w:color w:val="808080"/>
    </w:rPr>
  </w:style>
  <w:style w:type="paragraph" w:styleId="34">
    <w:name w:val="No Spacing"/>
    <w:qFormat/>
    <w:uiPriority w:val="1"/>
    <w:pPr>
      <w:widowControl w:val="0"/>
      <w:spacing w:line="300" w:lineRule="auto"/>
      <w:ind w:firstLine="200" w:firstLineChars="200"/>
      <w:jc w:val="both"/>
    </w:pPr>
    <w:rPr>
      <w:rFonts w:ascii="Calibri" w:hAnsi="Calibri" w:eastAsia="宋体" w:cs="Times New Roman"/>
      <w:kern w:val="2"/>
      <w:sz w:val="24"/>
      <w:szCs w:val="22"/>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段"/>
    <w:basedOn w:val="1"/>
    <w:qFormat/>
    <w:uiPriority w:val="0"/>
    <w:pPr>
      <w:autoSpaceDE w:val="0"/>
      <w:autoSpaceDN w:val="0"/>
      <w:spacing w:before="0" w:beforeAutospacing="0" w:after="0" w:afterAutospacing="0"/>
      <w:ind w:left="0" w:right="0" w:firstLine="200" w:firstLineChars="200"/>
      <w:jc w:val="both"/>
    </w:pPr>
    <w:rPr>
      <w:rFonts w:hint="eastAsia" w:ascii="宋体" w:hAnsi="Times New Roman" w:eastAsia="宋体" w:cs="Times New Roman"/>
      <w:kern w:val="0"/>
      <w:sz w:val="21"/>
      <w:szCs w:val="21"/>
      <w:lang w:val="en-US" w:eastAsia="zh-CN" w:bidi="ar"/>
    </w:rPr>
  </w:style>
  <w:style w:type="paragraph" w:customStyle="1" w:styleId="38">
    <w:name w:val="Table Paragraph"/>
    <w:basedOn w:val="1"/>
    <w:qFormat/>
    <w:uiPriority w:val="1"/>
    <w:pPr>
      <w:spacing w:before="40"/>
      <w:ind w:left="384"/>
      <w:jc w:val="center"/>
    </w:pPr>
    <w:rPr>
      <w:rFonts w:ascii="宋体" w:hAnsi="宋体" w:eastAsia="宋体" w:cs="宋体"/>
      <w:lang w:val="en-US" w:eastAsia="en-US" w:bidi="ar-SA"/>
    </w:rPr>
  </w:style>
  <w:style w:type="character" w:customStyle="1" w:styleId="39">
    <w:name w:val="font11"/>
    <w:basedOn w:val="20"/>
    <w:qFormat/>
    <w:uiPriority w:val="0"/>
    <w:rPr>
      <w:rFonts w:hint="eastAsia" w:ascii="宋体" w:hAnsi="宋体" w:eastAsia="宋体" w:cs="宋体"/>
      <w:color w:val="000000"/>
      <w:sz w:val="24"/>
      <w:szCs w:val="24"/>
      <w:u w:val="none"/>
    </w:rPr>
  </w:style>
  <w:style w:type="character" w:customStyle="1" w:styleId="40">
    <w:name w:val="font21"/>
    <w:basedOn w:val="20"/>
    <w:qFormat/>
    <w:uiPriority w:val="0"/>
    <w:rPr>
      <w:rFonts w:hint="default" w:ascii="Segoe UI" w:hAnsi="Segoe UI" w:eastAsia="Segoe UI" w:cs="Segoe UI"/>
      <w:color w:val="000000"/>
      <w:sz w:val="24"/>
      <w:szCs w:val="24"/>
      <w:u w:val="none"/>
    </w:rPr>
  </w:style>
  <w:style w:type="character" w:customStyle="1" w:styleId="41">
    <w:name w:val="font31"/>
    <w:basedOn w:val="20"/>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F4904-CC09-41B9-978B-15990BC3FA3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4602</Words>
  <Characters>5200</Characters>
  <Lines>171</Lines>
  <Paragraphs>48</Paragraphs>
  <TotalTime>36</TotalTime>
  <ScaleCrop>false</ScaleCrop>
  <LinksUpToDate>false</LinksUpToDate>
  <CharactersWithSpaces>5609</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2023-08-28T08:10:00Z</dcterms:created>
  <dc:creator>wennan wang</dc:creator>
  <cp:lastModifiedBy>穆</cp:lastModifiedBy>
  <dcterms:modified xsi:type="dcterms:W3CDTF">2025-08-28T12:28:59Z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744F92128E8A45D1927893F5646FE5E8_12</vt:lpwstr>
  </property>
  <property fmtid="{D5CDD505-2E9C-101B-9397-08002B2CF9AE}" pid="4" name="KSOTemplateDocerSaveRecord">
    <vt:lpwstr>eyJoZGlkIjoiMzEwNTM5NzYwMDRjMzkwZTVkZjY2ODkwMGIxNGU0OTUiLCJ1c2VySWQiOiI0MjYxODM2NzgifQ==</vt:lpwstr>
  </property>
</Properties>
</file>