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pPr>
      <w:bookmarkStart w:id="0" w:name="_Toc29468"/>
      <w:bookmarkStart w:id="1" w:name="_Toc27756"/>
      <w:bookmarkStart w:id="2" w:name="OLE_LINK4"/>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w:t>
      </w:r>
      <w:r>
        <w:rPr>
          <w:rFonts w:hint="eastAsia" w:ascii="方正小标宋简体" w:hAnsi="方正小标宋简体" w:eastAsia="方正小标宋简体" w:cs="方正小标宋简体"/>
          <w:i w:val="0"/>
          <w:iCs w:val="0"/>
          <w:caps w:val="0"/>
          <w:color w:val="auto"/>
          <w:spacing w:val="8"/>
          <w:sz w:val="44"/>
          <w:szCs w:val="44"/>
          <w:shd w:val="clear" w:fill="FFFFFF"/>
        </w:rPr>
        <w:t>重点排放单位温室气体排放监测</w:t>
      </w:r>
      <w:bookmarkEnd w:id="0"/>
      <w:bookmarkEnd w:id="1"/>
      <w:bookmarkStart w:id="3" w:name="_Toc31816"/>
      <w:bookmarkStart w:id="4" w:name="_Toc13810"/>
      <w:r>
        <w:rPr>
          <w:rFonts w:hint="eastAsia" w:ascii="方正小标宋简体" w:hAnsi="方正小标宋简体" w:eastAsia="方正小标宋简体" w:cs="方正小标宋简体"/>
          <w:i w:val="0"/>
          <w:iCs w:val="0"/>
          <w:caps w:val="0"/>
          <w:color w:val="auto"/>
          <w:spacing w:val="8"/>
          <w:sz w:val="44"/>
          <w:szCs w:val="44"/>
          <w:shd w:val="clear" w:fill="FFFFFF"/>
        </w:rPr>
        <w:t>数据质量评价计量技术规范</w:t>
      </w:r>
      <w:bookmarkEnd w:id="3"/>
      <w:bookmarkEnd w:id="4"/>
      <w:r>
        <w:rPr>
          <w:rFonts w:hint="eastAsia" w:ascii="方正小标宋简体" w:hAnsi="方正小标宋简体" w:eastAsia="方正小标宋简体" w:cs="方正小标宋简体"/>
          <w:i w:val="0"/>
          <w:iCs w:val="0"/>
          <w:caps w:val="0"/>
          <w:color w:val="auto"/>
          <w:spacing w:val="8"/>
          <w:sz w:val="44"/>
          <w:szCs w:val="44"/>
          <w:shd w:val="clear" w:fill="FFFFFF"/>
          <w:lang w:eastAsia="zh-CN"/>
        </w:rPr>
        <w:t>》编制说明</w:t>
      </w:r>
    </w:p>
    <w:bookmarkEnd w:id="2"/>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一、任务来源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202</w:t>
      </w:r>
      <w:r>
        <w:rPr>
          <w:rFonts w:hint="eastAsia" w:ascii="仿宋_GB2312" w:hAnsi="仿宋_GB2312" w:eastAsia="仿宋_GB2312" w:cs="仿宋_GB2312"/>
          <w:i w:val="0"/>
          <w:iCs w:val="0"/>
          <w:caps w:val="0"/>
          <w:color w:val="auto"/>
          <w:spacing w:val="8"/>
          <w:sz w:val="32"/>
          <w:szCs w:val="32"/>
          <w:shd w:val="clear" w:fill="FFFFFF"/>
          <w:lang w:val="en-US" w:eastAsia="zh-CN"/>
        </w:rPr>
        <w:t>4</w:t>
      </w:r>
      <w:r>
        <w:rPr>
          <w:rFonts w:hint="eastAsia" w:ascii="仿宋_GB2312" w:hAnsi="仿宋_GB2312" w:eastAsia="仿宋_GB2312" w:cs="仿宋_GB2312"/>
          <w:i w:val="0"/>
          <w:iCs w:val="0"/>
          <w:caps w:val="0"/>
          <w:color w:val="auto"/>
          <w:spacing w:val="8"/>
          <w:sz w:val="32"/>
          <w:szCs w:val="32"/>
          <w:shd w:val="clear" w:fill="FFFFFF"/>
          <w:lang w:eastAsia="zh-CN"/>
        </w:rPr>
        <w:t>年</w:t>
      </w:r>
      <w:r>
        <w:rPr>
          <w:rFonts w:hint="eastAsia" w:ascii="仿宋_GB2312" w:hAnsi="仿宋_GB2312" w:eastAsia="仿宋_GB2312" w:cs="仿宋_GB2312"/>
          <w:i w:val="0"/>
          <w:iCs w:val="0"/>
          <w:caps w:val="0"/>
          <w:color w:val="auto"/>
          <w:spacing w:val="8"/>
          <w:sz w:val="32"/>
          <w:szCs w:val="32"/>
          <w:shd w:val="clear" w:fill="FFFFFF"/>
          <w:lang w:val="en-US" w:eastAsia="zh-CN"/>
        </w:rPr>
        <w:t>5</w:t>
      </w:r>
      <w:r>
        <w:rPr>
          <w:rFonts w:hint="eastAsia" w:ascii="仿宋_GB2312" w:hAnsi="仿宋_GB2312" w:eastAsia="仿宋_GB2312" w:cs="仿宋_GB2312"/>
          <w:i w:val="0"/>
          <w:iCs w:val="0"/>
          <w:caps w:val="0"/>
          <w:color w:val="auto"/>
          <w:spacing w:val="8"/>
          <w:sz w:val="32"/>
          <w:szCs w:val="32"/>
          <w:shd w:val="clear" w:fill="FFFFFF"/>
          <w:lang w:eastAsia="zh-CN"/>
        </w:rPr>
        <w:t>月《重点排放单位温室气体排放监测数据质量评价计量技术规范》项目通过国家市场监督管理总局审批，由内蒙古自治区计量测试研究院牵头，</w:t>
      </w:r>
      <w:r>
        <w:rPr>
          <w:rFonts w:hint="eastAsia" w:ascii="仿宋_GB2312" w:hAnsi="仿宋_GB2312" w:eastAsia="仿宋_GB2312" w:cs="仿宋_GB2312"/>
          <w:i w:val="0"/>
          <w:iCs w:val="0"/>
          <w:caps w:val="0"/>
          <w:color w:val="auto"/>
          <w:spacing w:val="8"/>
          <w:sz w:val="32"/>
          <w:szCs w:val="32"/>
          <w:shd w:val="clear" w:fill="FFFFFF"/>
        </w:rPr>
        <w:t>中国计量科学研究院</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福建省计量科学研</w:t>
      </w:r>
      <w:r>
        <w:rPr>
          <w:rFonts w:hint="eastAsia" w:ascii="仿宋_GB2312" w:hAnsi="仿宋_GB2312" w:eastAsia="仿宋_GB2312" w:cs="仿宋_GB2312"/>
          <w:i w:val="0"/>
          <w:iCs w:val="0"/>
          <w:caps w:val="0"/>
          <w:color w:val="auto"/>
          <w:spacing w:val="8"/>
          <w:sz w:val="32"/>
          <w:szCs w:val="32"/>
          <w:shd w:val="clear" w:fill="FFFFFF"/>
          <w:lang w:eastAsia="zh-CN"/>
        </w:rPr>
        <w:t>究院、广东省计量科学研究院、山东省计量科学研究院参与起草。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本规范的技术归口单位为全国碳达峰碳中和计量技术委员会碳排放量计量分技术委员会。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二、规范制定的技术依据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 xml:space="preserve">本规范引用下列文件：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bookmarkStart w:id="5" w:name="_Toc7894"/>
      <w:r>
        <w:rPr>
          <w:rFonts w:hint="eastAsia" w:ascii="仿宋_GB2312" w:hAnsi="仿宋_GB2312" w:eastAsia="仿宋_GB2312" w:cs="仿宋_GB2312"/>
          <w:i w:val="0"/>
          <w:iCs w:val="0"/>
          <w:caps w:val="0"/>
          <w:color w:val="auto"/>
          <w:spacing w:val="8"/>
          <w:sz w:val="32"/>
          <w:szCs w:val="32"/>
          <w:shd w:val="clear" w:fill="FFFFFF"/>
          <w:lang w:val="en-US" w:eastAsia="zh-CN"/>
        </w:rPr>
        <w:t>JJF 1001 通用计量术语及定义</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bookmarkStart w:id="6" w:name="_Hlk151211520"/>
      <w:r>
        <w:rPr>
          <w:rFonts w:hint="eastAsia" w:ascii="仿宋_GB2312" w:hAnsi="仿宋_GB2312" w:eastAsia="仿宋_GB2312" w:cs="仿宋_GB2312"/>
          <w:i w:val="0"/>
          <w:iCs w:val="0"/>
          <w:caps w:val="0"/>
          <w:color w:val="auto"/>
          <w:spacing w:val="8"/>
          <w:sz w:val="32"/>
          <w:szCs w:val="32"/>
          <w:shd w:val="clear" w:fill="FFFFFF"/>
          <w:lang w:val="en-US" w:eastAsia="zh-CN"/>
        </w:rPr>
        <w:t>JJF 1071 国家计量校准规范编写规则</w:t>
      </w:r>
    </w:p>
    <w:bookmarkEnd w:id="6"/>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195 连续累计自动衡器（皮带秤）检定规程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225 热能表检定规程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539 数字指示秤检定规程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596 电子式交流电能表检定规程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635 一氧化碳、二氧化碳红外气体分析器检定规程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640 差压式流量计检定规程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667 液体容积式流量计检定规程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968 烟气分析仪检定规程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JJG 1187 直流标准电能表检定规程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11062 天然气发热量、密度、相对密度和沃泊指数的计算方法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32150 工业企业温室气体排放核算和报告通则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32151.7 温室气体排放核算与报告要求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 17167 用能单位能源计量器具配备和管理通则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34960.5-2018 信息技术服务 治理 第 5 部分：数据治理规范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36073-2018 数据管理能力成熟度评估模型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GB/T 36344-2018 《信息技术数据质量评价指标》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三、编制目的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2020年9月我国在75届联合国大会提出2030年前碳达峰、2060年前碳中和。2021年10月，为了深入贯彻落实党中央、国务院关于碳达峰、碳中和的重大战略决策，扎实推进碳达峰行动制定了《2030年前碳达峰行动方案》。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随着我国提出“3060”双碳战略目标，重点排放单位作为碳排放的主要来源，面临着巨大的减排压力。重点排放企业碳排放数据质量管理工作是监测和上报过程的重要环节，可以有效推进以“可测量、可报告、可核实”为特征的碳排放统计和管理体系的建立，而且还可以有效的解决我国碳排放权交易中有关数据质量的问题。因此，加强企业碳排放数据管理能力十分必要也十分迫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近年来，全国各地不同程度出现碳数据造假、数据不可靠等情况，源头在于数据来源不明确或不规范所造成的，提升数据质量、明确数据来源是实现碳达峰碳中和、资源高效利用、能源绿色低碳发展的重要条件之一。目前，由于各重点排放单位在进行碳数据生成、汇总、上报时，存在漏报、错报、数据异常等问题，同时受到设计实施方案、工艺环境、人员结构、网络通信等多方面影响，导致收集的碳数据质量层次不齐，严重影响后续数据分析和应用，难以满足节能降碳精细管理需要和国家要求，影响监测的科学性、权威性和政府公信力，亟需提高碳监测数据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因此，本规范的编制和实施可以为全面提升重点排放单位碳排放数据质量提供重要的技术支撑，而且还将对碳排放权交易试点工作提供保障作用，提高碳交易市场中的公平性。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四、编制过程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本规程主要起草单位为内蒙古自治区计量测试研究院，同时</w:t>
      </w:r>
      <w:r>
        <w:rPr>
          <w:rFonts w:hint="eastAsia" w:ascii="仿宋_GB2312" w:hAnsi="仿宋_GB2312" w:eastAsia="仿宋_GB2312" w:cs="仿宋_GB2312"/>
          <w:i w:val="0"/>
          <w:iCs w:val="0"/>
          <w:caps w:val="0"/>
          <w:color w:val="auto"/>
          <w:spacing w:val="8"/>
          <w:sz w:val="32"/>
          <w:szCs w:val="32"/>
          <w:shd w:val="clear" w:fill="FFFFFF"/>
        </w:rPr>
        <w:t>中国计量科学研究院</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福建省计量科学研</w:t>
      </w:r>
      <w:r>
        <w:rPr>
          <w:rFonts w:hint="eastAsia" w:ascii="仿宋_GB2312" w:hAnsi="仿宋_GB2312" w:eastAsia="仿宋_GB2312" w:cs="仿宋_GB2312"/>
          <w:i w:val="0"/>
          <w:iCs w:val="0"/>
          <w:caps w:val="0"/>
          <w:color w:val="auto"/>
          <w:spacing w:val="8"/>
          <w:sz w:val="32"/>
          <w:szCs w:val="32"/>
          <w:shd w:val="clear" w:fill="FFFFFF"/>
          <w:lang w:eastAsia="zh-CN"/>
        </w:rPr>
        <w:t>究院、广东省计量科学研究院、山东省计量科学研究院参与起草</w:t>
      </w:r>
      <w:r>
        <w:rPr>
          <w:rFonts w:hint="eastAsia" w:ascii="仿宋_GB2312" w:hAnsi="仿宋_GB2312" w:eastAsia="仿宋_GB2312" w:cs="仿宋_GB2312"/>
          <w:i w:val="0"/>
          <w:iCs w:val="0"/>
          <w:caps w:val="0"/>
          <w:color w:val="auto"/>
          <w:spacing w:val="8"/>
          <w:sz w:val="32"/>
          <w:szCs w:val="32"/>
          <w:shd w:val="clear" w:fill="FFFFFF"/>
          <w:lang w:val="en-US" w:eastAsia="zh-CN"/>
        </w:rPr>
        <w:t>。根据任务的要求，成立了以岳远朋（内蒙古自治区计量测试研究院）为项目负责人的规范编写小组，制定了工作计划，明确了任务分工及各阶段进度安排。具体如下：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2024年5-6月，拟定数据质量评价方法；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2024年6-9月，收集相关资料；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2024年9-12月，开展调研工作；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2025年1-3月，完成本规范的文本起草工作；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2025年3-6月，安排实验验证；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2025年6-8月，完成征求意见稿，征求意见；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2025年8-10月，修改完善规范文本；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2025年10-12月，送审、修改；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2025年12月，报批。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rPr>
        <w:t>通过上述计划和措施，期望能够建立一套科学、严谨的温室气体排放监测数据质量评价计量技术规范，为国家的低碳发展策略提供坚实的技术支持。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default"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五、规范的主要内容及技术关键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rPr>
        <w:t>本规范的关键内容在于对重点排放单位碳排放监测数据进行数据质量量化综合评价过程，</w:t>
      </w:r>
      <w:r>
        <w:rPr>
          <w:rFonts w:hint="eastAsia" w:ascii="仿宋_GB2312" w:hAnsi="仿宋_GB2312" w:eastAsia="仿宋_GB2312" w:cs="仿宋_GB2312"/>
          <w:i w:val="0"/>
          <w:iCs w:val="0"/>
          <w:caps w:val="0"/>
          <w:color w:val="auto"/>
          <w:spacing w:val="8"/>
          <w:sz w:val="32"/>
          <w:szCs w:val="32"/>
          <w:shd w:val="clear" w:fill="FFFFFF"/>
          <w:lang w:eastAsia="zh-CN"/>
        </w:rPr>
        <w:t>从</w:t>
      </w:r>
      <w:r>
        <w:rPr>
          <w:rFonts w:hint="eastAsia" w:ascii="仿宋_GB2312" w:hAnsi="仿宋_GB2312" w:eastAsia="仿宋_GB2312" w:cs="仿宋_GB2312"/>
          <w:i w:val="0"/>
          <w:iCs w:val="0"/>
          <w:caps w:val="0"/>
          <w:color w:val="auto"/>
          <w:spacing w:val="8"/>
          <w:sz w:val="32"/>
          <w:szCs w:val="32"/>
          <w:shd w:val="clear" w:fill="FFFFFF"/>
          <w:lang w:val="en-US" w:eastAsia="zh-CN"/>
        </w:rPr>
        <w:t>碳排放数据监测管理、碳信息管理和碳排放数据质量评价方法综合评判</w:t>
      </w:r>
      <w:r>
        <w:rPr>
          <w:rFonts w:hint="eastAsia" w:ascii="仿宋_GB2312" w:hAnsi="仿宋_GB2312" w:eastAsia="仿宋_GB2312" w:cs="仿宋_GB2312"/>
          <w:i w:val="0"/>
          <w:iCs w:val="0"/>
          <w:caps w:val="0"/>
          <w:color w:val="auto"/>
          <w:spacing w:val="8"/>
          <w:sz w:val="32"/>
          <w:szCs w:val="32"/>
          <w:shd w:val="clear" w:fill="FFFFFF"/>
        </w:rPr>
        <w:t>重点排放单位单位温室气</w:t>
      </w:r>
      <w:r>
        <w:rPr>
          <w:rFonts w:hint="eastAsia" w:ascii="仿宋_GB2312" w:hAnsi="仿宋_GB2312" w:eastAsia="仿宋_GB2312" w:cs="仿宋_GB2312"/>
          <w:i w:val="0"/>
          <w:iCs w:val="0"/>
          <w:caps w:val="0"/>
          <w:color w:val="auto"/>
          <w:spacing w:val="8"/>
          <w:sz w:val="32"/>
          <w:szCs w:val="32"/>
          <w:shd w:val="clear" w:fill="FFFFFF"/>
          <w:lang w:eastAsia="zh-CN"/>
        </w:rPr>
        <w:t>体排放监测数据质量。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eastAsia="zh-CN"/>
        </w:rPr>
        <w:t>其中</w:t>
      </w:r>
      <w:r>
        <w:rPr>
          <w:rFonts w:hint="eastAsia" w:ascii="仿宋_GB2312" w:hAnsi="仿宋_GB2312" w:eastAsia="仿宋_GB2312" w:cs="仿宋_GB2312"/>
          <w:i w:val="0"/>
          <w:iCs w:val="0"/>
          <w:caps w:val="0"/>
          <w:color w:val="auto"/>
          <w:spacing w:val="8"/>
          <w:sz w:val="32"/>
          <w:szCs w:val="32"/>
          <w:shd w:val="clear" w:fill="FFFFFF"/>
          <w:lang w:val="en-US" w:eastAsia="zh-CN"/>
        </w:rPr>
        <w:t>碳信息管理规定了重点排放单位基本信息、碳计量器具信息、碳监测数据验证信息等。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both"/>
        <w:textAlignment w:val="auto"/>
        <w:rPr>
          <w:rFonts w:hint="default"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碳排放数据监测包括数据监测、数据审核、数据上传、数据处理、数据存储及安全、数据评价等。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碳排放数据质量评价方法</w:t>
      </w:r>
      <w:r>
        <w:rPr>
          <w:rFonts w:hint="eastAsia" w:ascii="仿宋_GB2312" w:hAnsi="仿宋_GB2312" w:eastAsia="仿宋_GB2312" w:cs="仿宋_GB2312"/>
          <w:i w:val="0"/>
          <w:iCs w:val="0"/>
          <w:caps w:val="0"/>
          <w:color w:val="auto"/>
          <w:spacing w:val="8"/>
          <w:sz w:val="32"/>
          <w:szCs w:val="32"/>
          <w:shd w:val="clear" w:fill="FFFFFF"/>
        </w:rPr>
        <w:t>通过明确碳排放数据必须满足的质量规范，提出满足数据的</w:t>
      </w:r>
      <w:r>
        <w:rPr>
          <w:rFonts w:hint="eastAsia" w:ascii="仿宋_GB2312" w:hAnsi="仿宋_GB2312" w:eastAsia="仿宋_GB2312" w:cs="仿宋_GB2312"/>
          <w:i w:val="0"/>
          <w:iCs w:val="0"/>
          <w:caps w:val="0"/>
          <w:color w:val="auto"/>
          <w:spacing w:val="8"/>
          <w:sz w:val="32"/>
          <w:szCs w:val="32"/>
          <w:shd w:val="clear" w:fill="FFFFFF"/>
          <w:lang w:val="en-US" w:eastAsia="zh-CN"/>
        </w:rPr>
        <w:t>规范</w:t>
      </w:r>
      <w:r>
        <w:rPr>
          <w:rFonts w:hint="eastAsia" w:ascii="仿宋_GB2312" w:hAnsi="仿宋_GB2312" w:eastAsia="仿宋_GB2312" w:cs="仿宋_GB2312"/>
          <w:i w:val="0"/>
          <w:iCs w:val="0"/>
          <w:caps w:val="0"/>
          <w:color w:val="auto"/>
          <w:spacing w:val="8"/>
          <w:sz w:val="32"/>
          <w:szCs w:val="32"/>
          <w:shd w:val="clear" w:fill="FFFFFF"/>
        </w:rPr>
        <w:t>、完整、</w:t>
      </w:r>
      <w:r>
        <w:rPr>
          <w:rFonts w:hint="eastAsia" w:ascii="仿宋_GB2312" w:hAnsi="仿宋_GB2312" w:eastAsia="仿宋_GB2312" w:cs="仿宋_GB2312"/>
          <w:i w:val="0"/>
          <w:iCs w:val="0"/>
          <w:caps w:val="0"/>
          <w:color w:val="auto"/>
          <w:spacing w:val="8"/>
          <w:sz w:val="32"/>
          <w:szCs w:val="32"/>
          <w:shd w:val="clear" w:fill="FFFFFF"/>
          <w:lang w:val="en-US" w:eastAsia="zh-CN"/>
        </w:rPr>
        <w:t>准确、一致</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时效</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校验</w:t>
      </w:r>
      <w:r>
        <w:rPr>
          <w:rFonts w:hint="eastAsia" w:ascii="仿宋_GB2312" w:hAnsi="仿宋_GB2312" w:eastAsia="仿宋_GB2312" w:cs="仿宋_GB2312"/>
          <w:i w:val="0"/>
          <w:iCs w:val="0"/>
          <w:caps w:val="0"/>
          <w:color w:val="auto"/>
          <w:spacing w:val="8"/>
          <w:sz w:val="32"/>
          <w:szCs w:val="32"/>
          <w:shd w:val="clear" w:fill="FFFFFF"/>
        </w:rPr>
        <w:t>等相关要求，在数据质量、数据监测、数据评价、数据核查、数据管理、数据安全等方面制定技术要求，科学设置数学模型提出包括数据规范指数、数据完整指数、数据准确指数、</w:t>
      </w:r>
      <w:r>
        <w:rPr>
          <w:rFonts w:hint="eastAsia" w:ascii="仿宋_GB2312" w:hAnsi="仿宋_GB2312" w:eastAsia="仿宋_GB2312" w:cs="仿宋_GB2312"/>
          <w:i w:val="0"/>
          <w:iCs w:val="0"/>
          <w:caps w:val="0"/>
          <w:color w:val="auto"/>
          <w:spacing w:val="8"/>
          <w:sz w:val="32"/>
          <w:szCs w:val="32"/>
          <w:shd w:val="clear" w:fill="FFFFFF"/>
          <w:lang w:val="en-US" w:eastAsia="zh-CN"/>
        </w:rPr>
        <w:t>数据一致指数、</w:t>
      </w:r>
      <w:r>
        <w:rPr>
          <w:rFonts w:hint="eastAsia" w:ascii="仿宋_GB2312" w:hAnsi="仿宋_GB2312" w:eastAsia="仿宋_GB2312" w:cs="仿宋_GB2312"/>
          <w:i w:val="0"/>
          <w:iCs w:val="0"/>
          <w:caps w:val="0"/>
          <w:color w:val="auto"/>
          <w:spacing w:val="8"/>
          <w:sz w:val="32"/>
          <w:szCs w:val="32"/>
          <w:shd w:val="clear" w:fill="FFFFFF"/>
        </w:rPr>
        <w:t>数据时效指数、数据</w:t>
      </w:r>
      <w:r>
        <w:rPr>
          <w:rFonts w:hint="eastAsia" w:ascii="仿宋_GB2312" w:hAnsi="仿宋_GB2312" w:eastAsia="仿宋_GB2312" w:cs="仿宋_GB2312"/>
          <w:i w:val="0"/>
          <w:iCs w:val="0"/>
          <w:caps w:val="0"/>
          <w:color w:val="auto"/>
          <w:spacing w:val="8"/>
          <w:sz w:val="32"/>
          <w:szCs w:val="32"/>
          <w:shd w:val="clear" w:fill="FFFFFF"/>
          <w:lang w:val="en-US" w:eastAsia="zh-CN"/>
        </w:rPr>
        <w:t>校验</w:t>
      </w:r>
      <w:r>
        <w:rPr>
          <w:rFonts w:hint="eastAsia" w:ascii="仿宋_GB2312" w:hAnsi="仿宋_GB2312" w:eastAsia="仿宋_GB2312" w:cs="仿宋_GB2312"/>
          <w:i w:val="0"/>
          <w:iCs w:val="0"/>
          <w:caps w:val="0"/>
          <w:color w:val="auto"/>
          <w:spacing w:val="8"/>
          <w:sz w:val="32"/>
          <w:szCs w:val="32"/>
          <w:shd w:val="clear" w:fill="FFFFFF"/>
        </w:rPr>
        <w:t>指数、其他附加指数等分指数，最终评定合成一个综合指数。</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试评价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rPr>
          <w:rFonts w:hint="default"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（一）发电行业</w:t>
      </w:r>
    </w:p>
    <w:tbl>
      <w:tblPr>
        <w:tblStyle w:val="8"/>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97"/>
        <w:gridCol w:w="964"/>
        <w:gridCol w:w="3450"/>
        <w:gridCol w:w="1757"/>
        <w:gridCol w:w="1581"/>
        <w:gridCol w:w="1695"/>
        <w:gridCol w:w="151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评价指标</w:t>
            </w:r>
          </w:p>
        </w:tc>
        <w:tc>
          <w:tcPr>
            <w:tcW w:w="497"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评价内容</w:t>
            </w:r>
          </w:p>
        </w:tc>
        <w:tc>
          <w:tcPr>
            <w:tcW w:w="1571" w:type="pct"/>
            <w:gridSpan w:val="2"/>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监测方法/评价标准</w:t>
            </w:r>
          </w:p>
        </w:tc>
        <w:tc>
          <w:tcPr>
            <w:tcW w:w="2331" w:type="pct"/>
            <w:gridSpan w:val="4"/>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评价结果</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71" w:type="pct"/>
            <w:gridSpan w:val="2"/>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25"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bookmarkStart w:id="7" w:name="OLE_LINK14"/>
            <w:r>
              <w:rPr>
                <w:rFonts w:hint="eastAsia" w:ascii="仿宋_GB2312" w:hAnsi="仿宋_GB2312" w:eastAsia="仿宋_GB2312" w:cs="仿宋_GB2312"/>
                <w:b/>
                <w:bCs w:val="0"/>
                <w:kern w:val="2"/>
                <w:sz w:val="21"/>
                <w:szCs w:val="21"/>
                <w:lang w:val="en-US" w:eastAsia="zh-CN" w:bidi="ar-SA"/>
              </w:rPr>
              <w:t>*****发电有限责任公司</w:t>
            </w:r>
            <w:bookmarkEnd w:id="7"/>
          </w:p>
        </w:tc>
        <w:tc>
          <w:tcPr>
            <w:tcW w:w="563"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bookmarkStart w:id="8" w:name="OLE_LINK13"/>
            <w:r>
              <w:rPr>
                <w:rFonts w:hint="eastAsia" w:ascii="仿宋_GB2312" w:hAnsi="仿宋_GB2312" w:eastAsia="仿宋_GB2312" w:cs="仿宋_GB2312"/>
                <w:b/>
                <w:bCs w:val="0"/>
                <w:kern w:val="2"/>
                <w:sz w:val="21"/>
                <w:szCs w:val="21"/>
                <w:lang w:val="en-US" w:eastAsia="zh-CN" w:bidi="ar-SA"/>
              </w:rPr>
              <w:t>*****达发电有限责任公司</w:t>
            </w:r>
            <w:bookmarkEnd w:id="8"/>
          </w:p>
        </w:tc>
        <w:tc>
          <w:tcPr>
            <w:tcW w:w="603"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bookmarkStart w:id="9" w:name="OLE_LINK12"/>
            <w:r>
              <w:rPr>
                <w:rFonts w:hint="eastAsia" w:ascii="仿宋_GB2312" w:hAnsi="仿宋_GB2312" w:eastAsia="仿宋_GB2312" w:cs="仿宋_GB2312"/>
                <w:b/>
                <w:bCs w:val="0"/>
                <w:kern w:val="2"/>
                <w:sz w:val="21"/>
                <w:szCs w:val="21"/>
                <w:lang w:val="en-US" w:eastAsia="zh-CN" w:bidi="ar-SA"/>
              </w:rPr>
              <w:t>*****发电有限责任公司</w:t>
            </w:r>
            <w:bookmarkEnd w:id="9"/>
          </w:p>
        </w:tc>
        <w:tc>
          <w:tcPr>
            <w:tcW w:w="53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*****热电分公司</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1.规范性</w:t>
            </w:r>
          </w:p>
        </w:tc>
        <w:tc>
          <w:tcPr>
            <w:tcW w:w="49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数据采集、核算、报告符合国家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国际的标准化规范，具备法律效力或行业认可度</w:t>
            </w: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ISO14064</w:t>
            </w:r>
            <w:r>
              <w:rPr>
                <w:rStyle w:val="11"/>
                <w:rFonts w:hint="eastAsia" w:ascii="仿宋_GB2312" w:hAnsi="仿宋_GB2312" w:eastAsia="仿宋_GB2312" w:cs="仿宋_GB2312"/>
                <w:sz w:val="21"/>
                <w:szCs w:val="21"/>
                <w:lang w:val="en-US" w:eastAsia="zh-CN" w:bidi="ar"/>
              </w:rPr>
              <w:t>系列标准</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所有上传的数据中是否包含因数据项编码错误等原因无法解析入库、数据项值为空或非正数、小于最小值或大于最大值等不规范数据项</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是否满足《污染物在线监控（监测）系统数据传输标准》（HJ212-2017）</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监测设备是否通过</w:t>
            </w:r>
            <w:r>
              <w:rPr>
                <w:rStyle w:val="10"/>
                <w:rFonts w:hint="eastAsia" w:ascii="仿宋_GB2312" w:hAnsi="仿宋_GB2312" w:eastAsia="仿宋_GB2312" w:cs="仿宋_GB2312"/>
                <w:sz w:val="21"/>
                <w:szCs w:val="21"/>
                <w:lang w:val="en-US" w:eastAsia="zh-CN" w:bidi="ar"/>
              </w:rPr>
              <w:t>CMA</w:t>
            </w:r>
            <w:r>
              <w:rPr>
                <w:rStyle w:val="11"/>
                <w:rFonts w:hint="eastAsia" w:ascii="仿宋_GB2312" w:hAnsi="仿宋_GB2312" w:eastAsia="仿宋_GB2312" w:cs="仿宋_GB2312"/>
                <w:sz w:val="21"/>
                <w:szCs w:val="21"/>
                <w:lang w:val="en-US" w:eastAsia="zh-CN" w:bidi="ar"/>
              </w:rPr>
              <w:t>认证</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2.完整性</w:t>
            </w:r>
          </w:p>
        </w:tc>
        <w:tc>
          <w:tcPr>
            <w:tcW w:w="49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数据覆盖“既定排放边界内所有排放源”的程度，无遗漏、无缺失</w:t>
            </w: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排放源覆盖率</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时间完整性</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监测时长达标率（如CEMS设备年运行率是否≥90%）</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参数完整性（如是否同时监测烟气流量+CO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浓度+氧含量）</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3准确性</w:t>
            </w:r>
          </w:p>
        </w:tc>
        <w:tc>
          <w:tcPr>
            <w:tcW w:w="49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数据与“真实碳排放量”的接近程度，是数据质量的核心</w:t>
            </w: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活动数据误差率（如用电量与电网缴费凭证偏差）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排放因子适配性（是否用错行业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燃料因子）</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核算公式正确性（如是否遗漏碳氧化率修正）</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仪器精度（如CO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分析仪误差范围）</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校准频率（是否按标准每3个月校准）</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采样代表性（如烟囱采样点是否避开涡流区）</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4.一致性</w:t>
            </w:r>
          </w:p>
        </w:tc>
        <w:tc>
          <w:tcPr>
            <w:tcW w:w="49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数据在“同一标准、同一周期、同一对象”下的统一程度，无矛盾、无逻辑冲突</w:t>
            </w: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跨周期一致性（如年度碳排放增速与能耗增速是否匹配）</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跨方法一致性（如计算结果与实测结果误差是否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跨行业一致性（如同行业/同消费水平数据结果误差是否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设备间一致性（如同一烟囱</w:t>
            </w:r>
            <w:r>
              <w:rPr>
                <w:rStyle w:val="10"/>
                <w:rFonts w:hint="eastAsia" w:ascii="仿宋_GB2312" w:hAnsi="仿宋_GB2312" w:eastAsia="仿宋_GB2312" w:cs="仿宋_GB2312"/>
                <w:sz w:val="21"/>
                <w:szCs w:val="21"/>
                <w:lang w:val="en-US" w:eastAsia="zh-CN" w:bidi="ar"/>
              </w:rPr>
              <w:t xml:space="preserve"> 2 </w:t>
            </w:r>
            <w:r>
              <w:rPr>
                <w:rStyle w:val="11"/>
                <w:rFonts w:hint="eastAsia" w:ascii="仿宋_GB2312" w:hAnsi="仿宋_GB2312" w:eastAsia="仿宋_GB2312" w:cs="仿宋_GB2312"/>
                <w:sz w:val="21"/>
                <w:szCs w:val="21"/>
                <w:lang w:val="en-US" w:eastAsia="zh-CN" w:bidi="ar"/>
              </w:rPr>
              <w:t>台</w:t>
            </w:r>
            <w:r>
              <w:rPr>
                <w:rStyle w:val="10"/>
                <w:rFonts w:hint="eastAsia" w:ascii="仿宋_GB2312" w:hAnsi="仿宋_GB2312" w:eastAsia="仿宋_GB2312" w:cs="仿宋_GB2312"/>
                <w:sz w:val="21"/>
                <w:szCs w:val="21"/>
                <w:lang w:val="en-US" w:eastAsia="zh-CN" w:bidi="ar"/>
              </w:rPr>
              <w:t xml:space="preserve"> CEMS </w:t>
            </w:r>
            <w:r>
              <w:rPr>
                <w:rStyle w:val="11"/>
                <w:rFonts w:hint="eastAsia" w:ascii="仿宋_GB2312" w:hAnsi="仿宋_GB2312" w:eastAsia="仿宋_GB2312" w:cs="仿宋_GB2312"/>
                <w:sz w:val="21"/>
                <w:szCs w:val="21"/>
                <w:lang w:val="en-US" w:eastAsia="zh-CN" w:bidi="ar"/>
              </w:rPr>
              <w:t>数据偏差）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spacing w:val="-1"/>
                <w:sz w:val="21"/>
                <w:szCs w:val="21"/>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数据逻辑一致性（如</w:t>
            </w:r>
            <w:r>
              <w:rPr>
                <w:rStyle w:val="10"/>
                <w:rFonts w:hint="eastAsia" w:ascii="仿宋_GB2312" w:hAnsi="仿宋_GB2312" w:eastAsia="仿宋_GB2312" w:cs="仿宋_GB2312"/>
                <w:sz w:val="21"/>
                <w:szCs w:val="21"/>
                <w:lang w:val="en-US" w:eastAsia="zh-CN" w:bidi="ar"/>
              </w:rPr>
              <w:t>CO₂</w:t>
            </w:r>
            <w:r>
              <w:rPr>
                <w:rStyle w:val="11"/>
                <w:rFonts w:hint="eastAsia" w:ascii="仿宋_GB2312" w:hAnsi="仿宋_GB2312" w:eastAsia="仿宋_GB2312" w:cs="仿宋_GB2312"/>
                <w:sz w:val="21"/>
                <w:szCs w:val="21"/>
                <w:lang w:val="en-US" w:eastAsia="zh-CN" w:bidi="ar"/>
              </w:rPr>
              <w:t>浓度与燃料消耗趋势是否同步）</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5.时效性</w:t>
            </w:r>
          </w:p>
        </w:tc>
        <w:tc>
          <w:tcPr>
            <w:tcW w:w="49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数据产出与应用需求的匹配程度，即数据能否及时支撑决策</w:t>
            </w: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核算周期达标率</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22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数据更新频率</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1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数据传输时效（如</w:t>
            </w:r>
            <w:r>
              <w:rPr>
                <w:rStyle w:val="10"/>
                <w:rFonts w:hint="eastAsia" w:ascii="仿宋_GB2312" w:hAnsi="仿宋_GB2312" w:eastAsia="仿宋_GB2312" w:cs="仿宋_GB2312"/>
                <w:sz w:val="21"/>
                <w:szCs w:val="21"/>
                <w:lang w:val="en-US" w:eastAsia="zh-CN" w:bidi="ar"/>
              </w:rPr>
              <w:t>CEMS</w:t>
            </w:r>
            <w:r>
              <w:rPr>
                <w:rStyle w:val="11"/>
                <w:rFonts w:hint="eastAsia" w:ascii="仿宋_GB2312" w:hAnsi="仿宋_GB2312" w:eastAsia="仿宋_GB2312" w:cs="仿宋_GB2312"/>
                <w:sz w:val="21"/>
                <w:szCs w:val="21"/>
                <w:lang w:val="en-US" w:eastAsia="zh-CN" w:bidi="ar"/>
              </w:rPr>
              <w:t>数据是否实时上传至监管平台，延迟</w:t>
            </w:r>
            <w:r>
              <w:rPr>
                <w:rStyle w:val="10"/>
                <w:rFonts w:hint="eastAsia" w:ascii="仿宋_GB2312" w:hAnsi="仿宋_GB2312" w:eastAsia="仿宋_GB2312" w:cs="仿宋_GB2312"/>
                <w:sz w:val="21"/>
                <w:szCs w:val="21"/>
                <w:lang w:val="en-US" w:eastAsia="zh-CN" w:bidi="ar"/>
              </w:rPr>
              <w:t>≤15</w:t>
            </w:r>
            <w:r>
              <w:rPr>
                <w:rStyle w:val="11"/>
                <w:rFonts w:hint="eastAsia" w:ascii="仿宋_GB2312" w:hAnsi="仿宋_GB2312" w:eastAsia="仿宋_GB2312" w:cs="仿宋_GB2312"/>
                <w:sz w:val="21"/>
                <w:szCs w:val="21"/>
                <w:lang w:val="en-US" w:eastAsia="zh-CN" w:bidi="ar"/>
              </w:rPr>
              <w:t>分钟）</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49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22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异常报警响应速度（如设备故障是否</w:t>
            </w:r>
            <w:r>
              <w:rPr>
                <w:rStyle w:val="10"/>
                <w:rFonts w:hint="eastAsia" w:ascii="仿宋_GB2312" w:hAnsi="仿宋_GB2312" w:eastAsia="仿宋_GB2312" w:cs="仿宋_GB2312"/>
                <w:sz w:val="21"/>
                <w:szCs w:val="21"/>
                <w:lang w:val="en-US" w:eastAsia="zh-CN" w:bidi="ar"/>
              </w:rPr>
              <w:t>24</w:t>
            </w:r>
            <w:r>
              <w:rPr>
                <w:rStyle w:val="11"/>
                <w:rFonts w:hint="eastAsia" w:ascii="仿宋_GB2312" w:hAnsi="仿宋_GB2312" w:eastAsia="仿宋_GB2312" w:cs="仿宋_GB2312"/>
                <w:sz w:val="21"/>
                <w:szCs w:val="21"/>
                <w:lang w:val="en-US" w:eastAsia="zh-CN" w:bidi="ar"/>
              </w:rPr>
              <w:t>小时内处理）</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restar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6.校验性</w:t>
            </w:r>
          </w:p>
        </w:tc>
        <w:tc>
          <w:tcPr>
            <w:tcW w:w="497" w:type="pct"/>
            <w:vMerge w:val="restar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数据的</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来源、处理过程、核算依据</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可追踪，每一步均有凭证支撑，便于溯源、核查与对比分析</w:t>
            </w:r>
          </w:p>
        </w:tc>
        <w:tc>
          <w:tcPr>
            <w:tcW w:w="343"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22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活动数据凭证（如采购发票、能耗报表）</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51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257"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49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shd w:val="clear" w:color="auto" w:fill="auto"/>
            <w:vAlign w:val="center"/>
          </w:tcPr>
          <w:p>
            <w:pPr>
              <w:jc w:val="center"/>
              <w:rPr>
                <w:rFonts w:hint="eastAsia" w:ascii="仿宋_GB2312" w:hAnsi="仿宋_GB2312" w:eastAsia="仿宋_GB2312" w:cs="仿宋_GB2312"/>
                <w:spacing w:val="-1"/>
                <w:sz w:val="21"/>
                <w:szCs w:val="21"/>
              </w:rPr>
            </w:pPr>
          </w:p>
        </w:tc>
        <w:tc>
          <w:tcPr>
            <w:tcW w:w="122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排放因子来源（如是否引用《省级温室气体清单指南》）</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与生态人工报送数据校验</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仪器校准记录（标准气体证书）</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原始监测日志（时间戳</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数据值）</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49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43"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22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异常数据处理记录（如缺失值插值依据）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14"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7.现场数据核查</w:t>
            </w:r>
          </w:p>
        </w:tc>
        <w:tc>
          <w:tcPr>
            <w:tcW w:w="49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数据正确性</w:t>
            </w:r>
          </w:p>
        </w:tc>
        <w:tc>
          <w:tcPr>
            <w:tcW w:w="343"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22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核查数据采集的准确性，与实际排放量对比，误差在±5%以内</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1514"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8.现场调研</w:t>
            </w:r>
          </w:p>
        </w:tc>
        <w:tc>
          <w:tcPr>
            <w:tcW w:w="49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监测完整性</w:t>
            </w:r>
          </w:p>
        </w:tc>
        <w:tc>
          <w:tcPr>
            <w:tcW w:w="343"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22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确认所有排放环节均有监测，无遗漏环节</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514"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9.数据管理审核</w:t>
            </w:r>
          </w:p>
        </w:tc>
        <w:tc>
          <w:tcPr>
            <w:tcW w:w="49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审核机制完善度</w:t>
            </w:r>
          </w:p>
        </w:tc>
        <w:tc>
          <w:tcPr>
            <w:tcW w:w="343"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审核</w:t>
            </w:r>
          </w:p>
        </w:tc>
        <w:tc>
          <w:tcPr>
            <w:tcW w:w="122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评估企业数据管理审核流程的完整性和试运行到验收期间执行情况</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1514"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9" w:type="dxa"/>
            <w:gridSpan w:val="4"/>
            <w:shd w:val="clear" w:color="auto" w:fill="auto"/>
            <w:vAlign w:val="center"/>
          </w:tcPr>
          <w:p>
            <w:pPr>
              <w:keepNext w:val="0"/>
              <w:keepLines w:val="0"/>
              <w:widowControl/>
              <w:suppressLineNumbers w:val="0"/>
              <w:jc w:val="right"/>
              <w:textAlignment w:val="center"/>
              <w:rPr>
                <w:rFonts w:hint="default" w:ascii="仿宋_GB2312" w:hAnsi="仿宋_GB2312" w:eastAsia="仿宋_GB2312" w:cs="仿宋_GB2312"/>
                <w:b w:val="0"/>
                <w:bCs/>
                <w:sz w:val="21"/>
                <w:szCs w:val="21"/>
                <w:lang w:val="en-US" w:eastAsia="zh-CN"/>
              </w:rPr>
            </w:pPr>
            <w:r>
              <w:rPr>
                <w:rFonts w:hint="eastAsia" w:ascii="仿宋_GB2312" w:hAnsi="宋体" w:eastAsia="仿宋_GB2312" w:cs="仿宋_GB2312"/>
                <w:b/>
                <w:bCs/>
                <w:i w:val="0"/>
                <w:iCs w:val="0"/>
                <w:color w:val="000000"/>
                <w:kern w:val="0"/>
                <w:sz w:val="21"/>
                <w:szCs w:val="21"/>
                <w:u w:val="none"/>
                <w:lang w:val="en-US" w:eastAsia="zh-CN" w:bidi="ar"/>
              </w:rPr>
              <w:t>计算法总分</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83</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86</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87</w:t>
            </w:r>
          </w:p>
        </w:tc>
        <w:tc>
          <w:tcPr>
            <w:tcW w:w="1514"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84</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9" w:type="dxa"/>
            <w:gridSpan w:val="4"/>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实测法总分</w:t>
            </w:r>
          </w:p>
        </w:tc>
        <w:tc>
          <w:tcPr>
            <w:tcW w:w="1757" w:type="dxa"/>
            <w:shd w:val="clear" w:color="auto" w:fill="auto"/>
            <w:vAlign w:val="center"/>
          </w:tcPr>
          <w:p>
            <w:pPr>
              <w:jc w:val="center"/>
              <w:rPr>
                <w:rStyle w:val="11"/>
                <w:rFonts w:hint="eastAsia" w:ascii="仿宋_GB2312" w:hAnsi="仿宋_GB2312" w:eastAsia="仿宋_GB2312" w:cs="仿宋_GB2312"/>
                <w:i w:val="0"/>
                <w:iCs w:val="0"/>
                <w:color w:val="000000"/>
                <w:sz w:val="21"/>
                <w:szCs w:val="21"/>
                <w:lang w:val="en-US" w:eastAsia="zh-CN" w:bidi="ar"/>
              </w:rPr>
            </w:pPr>
          </w:p>
        </w:tc>
        <w:tc>
          <w:tcPr>
            <w:tcW w:w="1581" w:type="dxa"/>
            <w:shd w:val="clear" w:color="auto" w:fill="auto"/>
            <w:vAlign w:val="center"/>
          </w:tcPr>
          <w:p>
            <w:pPr>
              <w:jc w:val="center"/>
              <w:rPr>
                <w:rStyle w:val="11"/>
                <w:rFonts w:hint="eastAsia" w:ascii="仿宋_GB2312" w:hAnsi="仿宋_GB2312" w:eastAsia="仿宋_GB2312" w:cs="仿宋_GB2312"/>
                <w:i w:val="0"/>
                <w:iCs w:val="0"/>
                <w:color w:val="000000"/>
                <w:sz w:val="21"/>
                <w:szCs w:val="21"/>
                <w:lang w:val="en-US" w:eastAsia="zh-CN" w:bidi="ar"/>
              </w:rPr>
            </w:pPr>
          </w:p>
        </w:tc>
        <w:tc>
          <w:tcPr>
            <w:tcW w:w="1695" w:type="dxa"/>
            <w:shd w:val="clear" w:color="auto" w:fill="auto"/>
            <w:vAlign w:val="center"/>
          </w:tcPr>
          <w:p>
            <w:pPr>
              <w:jc w:val="center"/>
              <w:rPr>
                <w:rStyle w:val="11"/>
                <w:rFonts w:hint="eastAsia" w:ascii="仿宋_GB2312" w:hAnsi="仿宋_GB2312" w:eastAsia="仿宋_GB2312" w:cs="仿宋_GB2312"/>
                <w:i w:val="0"/>
                <w:iCs w:val="0"/>
                <w:color w:val="000000"/>
                <w:sz w:val="21"/>
                <w:szCs w:val="21"/>
                <w:lang w:val="en-US" w:eastAsia="zh-CN" w:bidi="ar"/>
              </w:rPr>
            </w:pPr>
          </w:p>
        </w:tc>
        <w:tc>
          <w:tcPr>
            <w:tcW w:w="1514"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87</w:t>
            </w:r>
          </w:p>
        </w:tc>
        <w:tc>
          <w:tcPr>
            <w:tcW w:w="257"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bl>
    <w:p>
      <w:pPr>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br w:type="page"/>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rPr>
          <w:rFonts w:hint="default"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（二）钢铁行业</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579"/>
        <w:gridCol w:w="1089"/>
        <w:gridCol w:w="3907"/>
        <w:gridCol w:w="1988"/>
        <w:gridCol w:w="1789"/>
        <w:gridCol w:w="192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评价指标</w:t>
            </w:r>
          </w:p>
        </w:tc>
        <w:tc>
          <w:tcPr>
            <w:tcW w:w="557"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评价内容</w:t>
            </w:r>
          </w:p>
        </w:tc>
        <w:tc>
          <w:tcPr>
            <w:tcW w:w="1761" w:type="pct"/>
            <w:gridSpan w:val="2"/>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监测方法/评价标准</w:t>
            </w:r>
          </w:p>
        </w:tc>
        <w:tc>
          <w:tcPr>
            <w:tcW w:w="2009" w:type="pct"/>
            <w:gridSpan w:val="3"/>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评价结果</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61" w:type="pct"/>
            <w:gridSpan w:val="2"/>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钢铁有限责任公司</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有限责任公司</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特钢有限公司</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1.规范性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数据采集、核算、报告符合国家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国际的标准化规范，具备法律效力或行业认可度</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ISO14064</w:t>
            </w:r>
            <w:r>
              <w:rPr>
                <w:rStyle w:val="11"/>
                <w:rFonts w:hint="eastAsia" w:ascii="仿宋_GB2312" w:hAnsi="仿宋_GB2312" w:eastAsia="仿宋_GB2312" w:cs="仿宋_GB2312"/>
                <w:sz w:val="21"/>
                <w:szCs w:val="21"/>
                <w:lang w:val="en-US" w:eastAsia="zh-CN" w:bidi="ar"/>
              </w:rPr>
              <w:t>系列标准</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9"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20"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所有上传的数据中是否包含因数据项编码错误等原因无法解析入库、数据项值为空或非正数、小于最小值或大于最大值等不规范数据项</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是否满足《污染物在线监控（监测）系统数据传输标准》（HJ212-2017）</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监测设备是否通过</w:t>
            </w:r>
            <w:r>
              <w:rPr>
                <w:rStyle w:val="10"/>
                <w:rFonts w:hint="eastAsia" w:ascii="仿宋_GB2312" w:hAnsi="仿宋_GB2312" w:eastAsia="仿宋_GB2312" w:cs="仿宋_GB2312"/>
                <w:sz w:val="21"/>
                <w:szCs w:val="21"/>
                <w:lang w:val="en-US" w:eastAsia="zh-CN" w:bidi="ar"/>
              </w:rPr>
              <w:t>CMA</w:t>
            </w:r>
            <w:r>
              <w:rPr>
                <w:rStyle w:val="11"/>
                <w:rFonts w:hint="eastAsia" w:ascii="仿宋_GB2312" w:hAnsi="仿宋_GB2312" w:eastAsia="仿宋_GB2312" w:cs="仿宋_GB2312"/>
                <w:sz w:val="21"/>
                <w:szCs w:val="21"/>
                <w:lang w:val="en-US" w:eastAsia="zh-CN" w:bidi="ar"/>
              </w:rPr>
              <w:t>认证</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2.完整性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数据覆盖“既定排放边界内所有排放源”的程度，无遗漏、无缺失</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排放源覆盖率</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时间完整性</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监测时长达标率（如CEMS设备年运行率是否≥90%）</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参数完整性（如是否同时监测烟气流量+CO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浓度+氧含量）</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3准确性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数据与“真实碳排放量”的接近程度，是数据质量的核心</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活动数据误差率（如用电量与电网缴费凭证偏差）</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排放因子适配性（是否用错行业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燃料因子）</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核算公式正确性（如是否遗漏碳氧化率修正）</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仪器精度（如CO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分析仪误差范围）</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校准频率（是否按标准每3个月校准）</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采样代表性（如烟囱采样点是否避开涡流区）</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4.一致性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数据在“同一标准、同一周期、同一对象”下的统一程度，无矛盾、无逻辑冲突</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跨周期一致性（如年度碳排放增速与能耗增速是否匹配）</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跨方法一致性（如计算结果与实测结果误差是否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跨行业一致性（如同行业/同消费水平数据结果误差是否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设备间一致性（如同一烟囱</w:t>
            </w:r>
            <w:r>
              <w:rPr>
                <w:rStyle w:val="10"/>
                <w:rFonts w:hint="eastAsia" w:ascii="仿宋_GB2312" w:hAnsi="仿宋_GB2312" w:eastAsia="仿宋_GB2312" w:cs="仿宋_GB2312"/>
                <w:sz w:val="21"/>
                <w:szCs w:val="21"/>
                <w:lang w:val="en-US" w:eastAsia="zh-CN" w:bidi="ar"/>
              </w:rPr>
              <w:t xml:space="preserve"> 2 </w:t>
            </w:r>
            <w:r>
              <w:rPr>
                <w:rStyle w:val="11"/>
                <w:rFonts w:hint="eastAsia" w:ascii="仿宋_GB2312" w:hAnsi="仿宋_GB2312" w:eastAsia="仿宋_GB2312" w:cs="仿宋_GB2312"/>
                <w:sz w:val="21"/>
                <w:szCs w:val="21"/>
                <w:lang w:val="en-US" w:eastAsia="zh-CN" w:bidi="ar"/>
              </w:rPr>
              <w:t>台</w:t>
            </w:r>
            <w:r>
              <w:rPr>
                <w:rStyle w:val="10"/>
                <w:rFonts w:hint="eastAsia" w:ascii="仿宋_GB2312" w:hAnsi="仿宋_GB2312" w:eastAsia="仿宋_GB2312" w:cs="仿宋_GB2312"/>
                <w:sz w:val="21"/>
                <w:szCs w:val="21"/>
                <w:lang w:val="en-US" w:eastAsia="zh-CN" w:bidi="ar"/>
              </w:rPr>
              <w:t xml:space="preserve"> CEMS </w:t>
            </w:r>
            <w:r>
              <w:rPr>
                <w:rStyle w:val="11"/>
                <w:rFonts w:hint="eastAsia" w:ascii="仿宋_GB2312" w:hAnsi="仿宋_GB2312" w:eastAsia="仿宋_GB2312" w:cs="仿宋_GB2312"/>
                <w:sz w:val="21"/>
                <w:szCs w:val="21"/>
                <w:lang w:val="en-US" w:eastAsia="zh-CN" w:bidi="ar"/>
              </w:rPr>
              <w:t>数据偏差）</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数据逻辑一致性（如</w:t>
            </w:r>
            <w:r>
              <w:rPr>
                <w:rStyle w:val="10"/>
                <w:rFonts w:hint="eastAsia" w:ascii="仿宋_GB2312" w:hAnsi="仿宋_GB2312" w:eastAsia="仿宋_GB2312" w:cs="仿宋_GB2312"/>
                <w:sz w:val="21"/>
                <w:szCs w:val="21"/>
                <w:lang w:val="en-US" w:eastAsia="zh-CN" w:bidi="ar"/>
              </w:rPr>
              <w:t>CO₂</w:t>
            </w:r>
            <w:r>
              <w:rPr>
                <w:rStyle w:val="11"/>
                <w:rFonts w:hint="eastAsia" w:ascii="仿宋_GB2312" w:hAnsi="仿宋_GB2312" w:eastAsia="仿宋_GB2312" w:cs="仿宋_GB2312"/>
                <w:sz w:val="21"/>
                <w:szCs w:val="21"/>
                <w:lang w:val="en-US" w:eastAsia="zh-CN" w:bidi="ar"/>
              </w:rPr>
              <w:t>浓度与燃料消耗趋势是否同步）</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5.时效性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数据产出与应用需求的匹配程度，即数据能否及时支撑决策</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核算周期达标率</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7"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数据更新频率</w:t>
            </w:r>
          </w:p>
        </w:tc>
        <w:tc>
          <w:tcPr>
            <w:tcW w:w="19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数据传输时效（如</w:t>
            </w:r>
            <w:r>
              <w:rPr>
                <w:rStyle w:val="10"/>
                <w:rFonts w:hint="eastAsia" w:ascii="仿宋_GB2312" w:hAnsi="仿宋_GB2312" w:eastAsia="仿宋_GB2312" w:cs="仿宋_GB2312"/>
                <w:sz w:val="21"/>
                <w:szCs w:val="21"/>
                <w:lang w:val="en-US" w:eastAsia="zh-CN" w:bidi="ar"/>
              </w:rPr>
              <w:t>CEMS</w:t>
            </w:r>
            <w:r>
              <w:rPr>
                <w:rStyle w:val="11"/>
                <w:rFonts w:hint="eastAsia" w:ascii="仿宋_GB2312" w:hAnsi="仿宋_GB2312" w:eastAsia="仿宋_GB2312" w:cs="仿宋_GB2312"/>
                <w:sz w:val="21"/>
                <w:szCs w:val="21"/>
                <w:lang w:val="en-US" w:eastAsia="zh-CN" w:bidi="ar"/>
              </w:rPr>
              <w:t>数据是否实时上传至监管平台，延迟</w:t>
            </w:r>
            <w:r>
              <w:rPr>
                <w:rStyle w:val="10"/>
                <w:rFonts w:hint="eastAsia" w:ascii="仿宋_GB2312" w:hAnsi="仿宋_GB2312" w:eastAsia="仿宋_GB2312" w:cs="仿宋_GB2312"/>
                <w:sz w:val="21"/>
                <w:szCs w:val="21"/>
                <w:lang w:val="en-US" w:eastAsia="zh-CN" w:bidi="ar"/>
              </w:rPr>
              <w:t>≤15</w:t>
            </w:r>
            <w:r>
              <w:rPr>
                <w:rStyle w:val="11"/>
                <w:rFonts w:hint="eastAsia" w:ascii="仿宋_GB2312" w:hAnsi="仿宋_GB2312" w:eastAsia="仿宋_GB2312" w:cs="仿宋_GB2312"/>
                <w:sz w:val="21"/>
                <w:szCs w:val="21"/>
                <w:lang w:val="en-US" w:eastAsia="zh-CN" w:bidi="ar"/>
              </w:rPr>
              <w:t>分钟）</w:t>
            </w:r>
          </w:p>
        </w:tc>
        <w:tc>
          <w:tcPr>
            <w:tcW w:w="19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7"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异常报警响应速度（如设备故障是否</w:t>
            </w:r>
            <w:r>
              <w:rPr>
                <w:rStyle w:val="10"/>
                <w:rFonts w:hint="eastAsia" w:ascii="仿宋_GB2312" w:hAnsi="仿宋_GB2312" w:eastAsia="仿宋_GB2312" w:cs="仿宋_GB2312"/>
                <w:sz w:val="21"/>
                <w:szCs w:val="21"/>
                <w:lang w:val="en-US" w:eastAsia="zh-CN" w:bidi="ar"/>
              </w:rPr>
              <w:t>24</w:t>
            </w:r>
            <w:r>
              <w:rPr>
                <w:rStyle w:val="11"/>
                <w:rFonts w:hint="eastAsia" w:ascii="仿宋_GB2312" w:hAnsi="仿宋_GB2312" w:eastAsia="仿宋_GB2312" w:cs="仿宋_GB2312"/>
                <w:sz w:val="21"/>
                <w:szCs w:val="21"/>
                <w:lang w:val="en-US" w:eastAsia="zh-CN" w:bidi="ar"/>
              </w:rPr>
              <w:t>小时内处理）</w:t>
            </w:r>
          </w:p>
        </w:tc>
        <w:tc>
          <w:tcPr>
            <w:tcW w:w="19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6.校验性</w:t>
            </w:r>
          </w:p>
        </w:tc>
        <w:tc>
          <w:tcPr>
            <w:tcW w:w="557" w:type="pct"/>
            <w:vMerge w:val="restar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数据的</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来源、处理过程、核算依据</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可追踪，每一步均有凭证支撑，便于溯源、核查与对比分析</w:t>
            </w: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7"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活动数据凭证（如采购发票、能耗报表）</w:t>
            </w:r>
          </w:p>
        </w:tc>
        <w:tc>
          <w:tcPr>
            <w:tcW w:w="19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78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9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spacing w:val="-1"/>
                <w:sz w:val="21"/>
                <w:szCs w:val="21"/>
              </w:rPr>
            </w:pPr>
          </w:p>
        </w:tc>
        <w:tc>
          <w:tcPr>
            <w:tcW w:w="1377"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排放因子来源（如是否引用《省级温室气体清单指南》）</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与生态人工报送数据校验</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仪器校准记录（标准气体证书）</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原始监测日志（时间戳</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数据值）</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7"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异常数据处理记录（如缺失值插值依据）</w:t>
            </w:r>
          </w:p>
        </w:tc>
        <w:tc>
          <w:tcPr>
            <w:tcW w:w="19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7.现场数据核查</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数据正确性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核查数据采集的准确性，与实际排放量对比，误差在±5%以内</w:t>
            </w:r>
          </w:p>
        </w:tc>
        <w:tc>
          <w:tcPr>
            <w:tcW w:w="19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w:t>
            </w:r>
          </w:p>
        </w:tc>
        <w:tc>
          <w:tcPr>
            <w:tcW w:w="178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1920"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8.现场调研</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监测完整性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确认所有排放环节均有监测，无遗漏环节</w:t>
            </w:r>
          </w:p>
        </w:tc>
        <w:tc>
          <w:tcPr>
            <w:tcW w:w="19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178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920"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9.数据管理审核</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审核机制完善度</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审核</w:t>
            </w:r>
          </w:p>
        </w:tc>
        <w:tc>
          <w:tcPr>
            <w:tcW w:w="137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评估企业数据管理审核流程的完整性和试运行到验收期间执行情况</w:t>
            </w:r>
          </w:p>
        </w:tc>
        <w:tc>
          <w:tcPr>
            <w:tcW w:w="19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78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920"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pct"/>
            <w:gridSpan w:val="4"/>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u w:val="none"/>
                <w:lang w:val="en-US" w:eastAsia="zh-CN" w:bidi="ar"/>
              </w:rPr>
            </w:pPr>
            <w:r>
              <w:rPr>
                <w:rFonts w:hint="eastAsia" w:ascii="仿宋_GB2312" w:hAnsi="仿宋_GB2312" w:eastAsia="仿宋_GB2312" w:cs="仿宋_GB2312"/>
                <w:b/>
                <w:bCs w:val="0"/>
                <w:kern w:val="2"/>
                <w:sz w:val="21"/>
                <w:szCs w:val="21"/>
                <w:lang w:val="en-US" w:eastAsia="zh-CN" w:bidi="ar-SA"/>
              </w:rPr>
              <w:t>计算法总分</w:t>
            </w:r>
          </w:p>
        </w:tc>
        <w:tc>
          <w:tcPr>
            <w:tcW w:w="19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85</w:t>
            </w:r>
          </w:p>
        </w:tc>
        <w:tc>
          <w:tcPr>
            <w:tcW w:w="178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b/>
                <w:bCs/>
                <w:i w:val="0"/>
                <w:iCs w:val="0"/>
                <w:color w:val="000000"/>
                <w:kern w:val="0"/>
                <w:sz w:val="21"/>
                <w:szCs w:val="21"/>
                <w:u w:val="none"/>
                <w:lang w:val="en-US" w:eastAsia="zh-CN" w:bidi="ar"/>
              </w:rPr>
              <w:t>83</w:t>
            </w:r>
          </w:p>
        </w:tc>
        <w:tc>
          <w:tcPr>
            <w:tcW w:w="1920"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84</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bl>
    <w:p>
      <w:pPr>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br w:type="page"/>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rPr>
          <w:rFonts w:hint="default"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（三）铝冶炼行业</w:t>
      </w:r>
    </w:p>
    <w:tbl>
      <w:tblPr>
        <w:tblStyle w:val="8"/>
        <w:tblW w:w="44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97"/>
        <w:gridCol w:w="964"/>
        <w:gridCol w:w="3449"/>
        <w:gridCol w:w="1757"/>
        <w:gridCol w:w="1581"/>
        <w:gridCol w:w="169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评价指标</w:t>
            </w:r>
          </w:p>
        </w:tc>
        <w:tc>
          <w:tcPr>
            <w:tcW w:w="557"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评价内容</w:t>
            </w:r>
          </w:p>
        </w:tc>
        <w:tc>
          <w:tcPr>
            <w:tcW w:w="1761" w:type="pct"/>
            <w:gridSpan w:val="2"/>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监测方法/评价标准</w:t>
            </w:r>
          </w:p>
        </w:tc>
        <w:tc>
          <w:tcPr>
            <w:tcW w:w="2009" w:type="pct"/>
            <w:gridSpan w:val="3"/>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评价结果</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61" w:type="pct"/>
            <w:gridSpan w:val="2"/>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铝业有限责任公司</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铝电有限责任公司</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铝业有限公司</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1.规范性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数据采集、核算、报告符合国家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国际的标准化规范，具备法律效力或行业认可度</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ISO14064</w:t>
            </w:r>
            <w:r>
              <w:rPr>
                <w:rStyle w:val="11"/>
                <w:rFonts w:hint="eastAsia" w:ascii="仿宋_GB2312" w:hAnsi="仿宋_GB2312" w:eastAsia="仿宋_GB2312" w:cs="仿宋_GB2312"/>
                <w:sz w:val="21"/>
                <w:szCs w:val="21"/>
                <w:lang w:val="en-US" w:eastAsia="zh-CN" w:bidi="ar"/>
              </w:rPr>
              <w:t>系列标准</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所有上传的数据中是否包含因数据项编码错误等原因无法解析入库、数据项值为空或非正数、小于最小值或大于最大值等不规范数据项</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是否满足《污染物在线监控（监测）系统数据传输标准》（HJ212-2017）</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监测设备是否通过</w:t>
            </w:r>
            <w:r>
              <w:rPr>
                <w:rStyle w:val="10"/>
                <w:rFonts w:hint="eastAsia" w:ascii="仿宋_GB2312" w:hAnsi="仿宋_GB2312" w:eastAsia="仿宋_GB2312" w:cs="仿宋_GB2312"/>
                <w:sz w:val="21"/>
                <w:szCs w:val="21"/>
                <w:lang w:val="en-US" w:eastAsia="zh-CN" w:bidi="ar"/>
              </w:rPr>
              <w:t>CMA</w:t>
            </w:r>
            <w:r>
              <w:rPr>
                <w:rStyle w:val="11"/>
                <w:rFonts w:hint="eastAsia" w:ascii="仿宋_GB2312" w:hAnsi="仿宋_GB2312" w:eastAsia="仿宋_GB2312" w:cs="仿宋_GB2312"/>
                <w:sz w:val="21"/>
                <w:szCs w:val="21"/>
                <w:lang w:val="en-US" w:eastAsia="zh-CN" w:bidi="ar"/>
              </w:rPr>
              <w:t>认证</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2.完整性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数据覆盖“既定排放边界内所有排放源”的程度，无遗漏、无缺失</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排放源覆盖率</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时间完整性</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监测时长达标率（如CEMS设备年运行率是否≥90%）</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参数完整性（如是否同时监测烟气流量+CO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浓度+氧含量）</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3准确性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数据与“真实碳排放量”的接近程度，是数据质量的核心</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活动数据误差率（如用电量与电网缴费凭证偏差）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排放因子适配性（是否用错行业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燃料因子）</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核算公式正确性（如是否遗漏碳氧化率修正）</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仪器精度（如CO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分析仪误差范围）</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校准频率（是否按标准每3个月校准）</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采样代表性（如烟囱采样点是否避开涡流区）</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4.一致性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数据在“同一标准、同一周期、同一对象”下的统一程度，无矛盾、无逻辑冲突</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跨周期一致性（如年度碳排放增速与能耗增速是否匹配）</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跨方法一致性（如计算结果与实测结果误差是否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跨行业一致性（如同行业/同消费水平数据结果误差是否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设备间一致性（如同一烟囱</w:t>
            </w:r>
            <w:r>
              <w:rPr>
                <w:rStyle w:val="10"/>
                <w:rFonts w:hint="eastAsia" w:ascii="仿宋_GB2312" w:hAnsi="仿宋_GB2312" w:eastAsia="仿宋_GB2312" w:cs="仿宋_GB2312"/>
                <w:sz w:val="21"/>
                <w:szCs w:val="21"/>
                <w:lang w:val="en-US" w:eastAsia="zh-CN" w:bidi="ar"/>
              </w:rPr>
              <w:t xml:space="preserve"> 2 </w:t>
            </w:r>
            <w:r>
              <w:rPr>
                <w:rStyle w:val="11"/>
                <w:rFonts w:hint="eastAsia" w:ascii="仿宋_GB2312" w:hAnsi="仿宋_GB2312" w:eastAsia="仿宋_GB2312" w:cs="仿宋_GB2312"/>
                <w:sz w:val="21"/>
                <w:szCs w:val="21"/>
                <w:lang w:val="en-US" w:eastAsia="zh-CN" w:bidi="ar"/>
              </w:rPr>
              <w:t>台</w:t>
            </w:r>
            <w:r>
              <w:rPr>
                <w:rStyle w:val="10"/>
                <w:rFonts w:hint="eastAsia" w:ascii="仿宋_GB2312" w:hAnsi="仿宋_GB2312" w:eastAsia="仿宋_GB2312" w:cs="仿宋_GB2312"/>
                <w:sz w:val="21"/>
                <w:szCs w:val="21"/>
                <w:lang w:val="en-US" w:eastAsia="zh-CN" w:bidi="ar"/>
              </w:rPr>
              <w:t xml:space="preserve"> CEMS </w:t>
            </w:r>
            <w:r>
              <w:rPr>
                <w:rStyle w:val="11"/>
                <w:rFonts w:hint="eastAsia" w:ascii="仿宋_GB2312" w:hAnsi="仿宋_GB2312" w:eastAsia="仿宋_GB2312" w:cs="仿宋_GB2312"/>
                <w:sz w:val="21"/>
                <w:szCs w:val="21"/>
                <w:lang w:val="en-US" w:eastAsia="zh-CN" w:bidi="ar"/>
              </w:rPr>
              <w:t>数据偏差）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数据逻辑一致性（如</w:t>
            </w:r>
            <w:r>
              <w:rPr>
                <w:rStyle w:val="10"/>
                <w:rFonts w:hint="eastAsia" w:ascii="仿宋_GB2312" w:hAnsi="仿宋_GB2312" w:eastAsia="仿宋_GB2312" w:cs="仿宋_GB2312"/>
                <w:sz w:val="21"/>
                <w:szCs w:val="21"/>
                <w:lang w:val="en-US" w:eastAsia="zh-CN" w:bidi="ar"/>
              </w:rPr>
              <w:t>CO₂</w:t>
            </w:r>
            <w:r>
              <w:rPr>
                <w:rStyle w:val="11"/>
                <w:rFonts w:hint="eastAsia" w:ascii="仿宋_GB2312" w:hAnsi="仿宋_GB2312" w:eastAsia="仿宋_GB2312" w:cs="仿宋_GB2312"/>
                <w:sz w:val="21"/>
                <w:szCs w:val="21"/>
                <w:lang w:val="en-US" w:eastAsia="zh-CN" w:bidi="ar"/>
              </w:rPr>
              <w:t>浓度与燃料消耗趋势是否同步）</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5.时效性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数据产出与应用需求的匹配程度，即数据能否及时支撑决策</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核算周期达标率</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9"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6"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数据更新频率</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9"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数据传输时效（如</w:t>
            </w:r>
            <w:r>
              <w:rPr>
                <w:rStyle w:val="10"/>
                <w:rFonts w:hint="eastAsia" w:ascii="仿宋_GB2312" w:hAnsi="仿宋_GB2312" w:eastAsia="仿宋_GB2312" w:cs="仿宋_GB2312"/>
                <w:sz w:val="21"/>
                <w:szCs w:val="21"/>
                <w:lang w:val="en-US" w:eastAsia="zh-CN" w:bidi="ar"/>
              </w:rPr>
              <w:t>CEMS</w:t>
            </w:r>
            <w:r>
              <w:rPr>
                <w:rStyle w:val="11"/>
                <w:rFonts w:hint="eastAsia" w:ascii="仿宋_GB2312" w:hAnsi="仿宋_GB2312" w:eastAsia="仿宋_GB2312" w:cs="仿宋_GB2312"/>
                <w:sz w:val="21"/>
                <w:szCs w:val="21"/>
                <w:lang w:val="en-US" w:eastAsia="zh-CN" w:bidi="ar"/>
              </w:rPr>
              <w:t>数据是否实时上传至监管平台，延迟</w:t>
            </w:r>
            <w:r>
              <w:rPr>
                <w:rStyle w:val="10"/>
                <w:rFonts w:hint="eastAsia" w:ascii="仿宋_GB2312" w:hAnsi="仿宋_GB2312" w:eastAsia="仿宋_GB2312" w:cs="仿宋_GB2312"/>
                <w:sz w:val="21"/>
                <w:szCs w:val="21"/>
                <w:lang w:val="en-US" w:eastAsia="zh-CN" w:bidi="ar"/>
              </w:rPr>
              <w:t>≤15</w:t>
            </w:r>
            <w:r>
              <w:rPr>
                <w:rStyle w:val="11"/>
                <w:rFonts w:hint="eastAsia" w:ascii="仿宋_GB2312" w:hAnsi="仿宋_GB2312" w:eastAsia="仿宋_GB2312" w:cs="仿宋_GB2312"/>
                <w:sz w:val="21"/>
                <w:szCs w:val="21"/>
                <w:lang w:val="en-US" w:eastAsia="zh-CN" w:bidi="ar"/>
              </w:rPr>
              <w:t>分钟）</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6"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异常报警响应速度（如设备故障是否</w:t>
            </w:r>
            <w:r>
              <w:rPr>
                <w:rStyle w:val="10"/>
                <w:rFonts w:hint="eastAsia" w:ascii="仿宋_GB2312" w:hAnsi="仿宋_GB2312" w:eastAsia="仿宋_GB2312" w:cs="仿宋_GB2312"/>
                <w:sz w:val="21"/>
                <w:szCs w:val="21"/>
                <w:lang w:val="en-US" w:eastAsia="zh-CN" w:bidi="ar"/>
              </w:rPr>
              <w:t>24</w:t>
            </w:r>
            <w:r>
              <w:rPr>
                <w:rStyle w:val="11"/>
                <w:rFonts w:hint="eastAsia" w:ascii="仿宋_GB2312" w:hAnsi="仿宋_GB2312" w:eastAsia="仿宋_GB2312" w:cs="仿宋_GB2312"/>
                <w:sz w:val="21"/>
                <w:szCs w:val="21"/>
                <w:lang w:val="en-US" w:eastAsia="zh-CN" w:bidi="ar"/>
              </w:rPr>
              <w:t>小时内处理）</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restar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6.校验性</w:t>
            </w:r>
          </w:p>
        </w:tc>
        <w:tc>
          <w:tcPr>
            <w:tcW w:w="557" w:type="pct"/>
            <w:vMerge w:val="restar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数据的</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来源、处理过程、核算依据</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可追踪，每一步均有凭证支撑，便于溯源、核查与对比分析</w:t>
            </w: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6"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活动数据凭证（如采购发票、能耗报表）</w:t>
            </w:r>
          </w:p>
        </w:tc>
        <w:tc>
          <w:tcPr>
            <w:tcW w:w="175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5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6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289"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spacing w:val="-1"/>
                <w:sz w:val="21"/>
                <w:szCs w:val="21"/>
              </w:rPr>
            </w:pPr>
          </w:p>
        </w:tc>
        <w:tc>
          <w:tcPr>
            <w:tcW w:w="1376"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排放因子来源（如是否引用《省级温室气体清单指南》）</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与生态人工报送数据校验</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仪器校准记录（标准气体证书）</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原始监测日志（时间戳</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数据值）</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6"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异常数据处理记录（如缺失值插值依据）</w:t>
            </w:r>
          </w:p>
        </w:tc>
        <w:tc>
          <w:tcPr>
            <w:tcW w:w="175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5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7.现场数据核查</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数据正确性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核查数据采集的准确性，与实际排放量对比，误差在±5%以内</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8.现场调研</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监测完整性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确认所有排放环节均有监测，无遗漏环节</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9.数据管理审核</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审核机制完善度</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审核</w:t>
            </w:r>
          </w:p>
        </w:tc>
        <w:tc>
          <w:tcPr>
            <w:tcW w:w="137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评估企业数据管理审核流程的完整性和试运行到验收期间执行情况</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pct"/>
            <w:gridSpan w:val="4"/>
            <w:shd w:val="clear" w:color="auto" w:fill="auto"/>
            <w:vAlign w:val="center"/>
          </w:tcPr>
          <w:p>
            <w:pPr>
              <w:keepNext w:val="0"/>
              <w:keepLines w:val="0"/>
              <w:suppressLineNumbers w:val="0"/>
              <w:spacing w:before="0" w:beforeAutospacing="0" w:after="0" w:afterAutospacing="0" w:line="360" w:lineRule="auto"/>
              <w:ind w:left="0" w:leftChars="0" w:right="0" w:rightChars="0"/>
              <w:jc w:val="righ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bCs w:val="0"/>
                <w:kern w:val="2"/>
                <w:sz w:val="21"/>
                <w:szCs w:val="21"/>
                <w:lang w:val="en-US" w:eastAsia="zh-CN" w:bidi="ar-SA"/>
              </w:rPr>
              <w:t>计算法总分</w:t>
            </w:r>
          </w:p>
        </w:tc>
        <w:tc>
          <w:tcPr>
            <w:tcW w:w="175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82</w:t>
            </w:r>
          </w:p>
        </w:tc>
        <w:tc>
          <w:tcPr>
            <w:tcW w:w="1581"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86</w:t>
            </w:r>
          </w:p>
        </w:tc>
        <w:tc>
          <w:tcPr>
            <w:tcW w:w="1695"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84</w:t>
            </w:r>
          </w:p>
        </w:tc>
        <w:tc>
          <w:tcPr>
            <w:tcW w:w="289"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bl>
    <w:p>
      <w:pPr>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br w:type="page"/>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rPr>
          <w:rFonts w:hint="default"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（四）水泥行业</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79"/>
        <w:gridCol w:w="1088"/>
        <w:gridCol w:w="3911"/>
        <w:gridCol w:w="1987"/>
        <w:gridCol w:w="1788"/>
        <w:gridCol w:w="191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评价指标</w:t>
            </w:r>
          </w:p>
        </w:tc>
        <w:tc>
          <w:tcPr>
            <w:tcW w:w="557"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评价内容</w:t>
            </w:r>
          </w:p>
        </w:tc>
        <w:tc>
          <w:tcPr>
            <w:tcW w:w="1763" w:type="pct"/>
            <w:gridSpan w:val="2"/>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监测方法/评价标准</w:t>
            </w:r>
          </w:p>
        </w:tc>
        <w:tc>
          <w:tcPr>
            <w:tcW w:w="2009" w:type="pct"/>
            <w:gridSpan w:val="3"/>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评价结果</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763" w:type="pct"/>
            <w:gridSpan w:val="2"/>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01" w:type="pct"/>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水泥有限公司</w:t>
            </w:r>
          </w:p>
        </w:tc>
        <w:tc>
          <w:tcPr>
            <w:tcW w:w="631" w:type="pct"/>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r>
              <w:rPr>
                <w:rFonts w:hint="eastAsia" w:ascii="仿宋_GB2312" w:hAnsi="宋体" w:eastAsia="仿宋_GB2312" w:cs="仿宋_GB2312"/>
                <w:b/>
                <w:bCs/>
                <w:i w:val="0"/>
                <w:iCs w:val="0"/>
                <w:color w:val="000000"/>
                <w:kern w:val="0"/>
                <w:sz w:val="21"/>
                <w:szCs w:val="21"/>
                <w:u w:val="none"/>
                <w:lang w:val="en-US" w:eastAsia="zh-CN" w:bidi="ar"/>
              </w:rPr>
              <w:t>水泥有限公司</w:t>
            </w:r>
          </w:p>
        </w:tc>
        <w:tc>
          <w:tcPr>
            <w:tcW w:w="676" w:type="pct"/>
            <w:vAlign w:val="center"/>
          </w:tcPr>
          <w:p>
            <w:pPr>
              <w:keepNext w:val="0"/>
              <w:keepLines w:val="0"/>
              <w:widowControl/>
              <w:suppressLineNumbers w:val="0"/>
              <w:jc w:val="center"/>
              <w:textAlignment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w:t>
            </w:r>
            <w:bookmarkStart w:id="10" w:name="_GoBack"/>
            <w:bookmarkEnd w:id="10"/>
            <w:r>
              <w:rPr>
                <w:rFonts w:hint="eastAsia" w:ascii="仿宋_GB2312" w:hAnsi="宋体" w:eastAsia="仿宋_GB2312" w:cs="仿宋_GB2312"/>
                <w:b/>
                <w:bCs/>
                <w:i w:val="0"/>
                <w:iCs w:val="0"/>
                <w:color w:val="000000"/>
                <w:kern w:val="0"/>
                <w:sz w:val="21"/>
                <w:szCs w:val="21"/>
                <w:u w:val="none"/>
                <w:lang w:val="en-US" w:eastAsia="zh-CN" w:bidi="ar"/>
              </w:rPr>
              <w:t>水泥有限公司</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1.规范性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数据采集、核算、报告符合国家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国际的标准化规范，具备法律效力或行业认可度</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是否符合国家</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行业、</w:t>
            </w:r>
            <w:r>
              <w:rPr>
                <w:rStyle w:val="10"/>
                <w:rFonts w:hint="eastAsia" w:ascii="仿宋_GB2312" w:hAnsi="仿宋_GB2312" w:eastAsia="仿宋_GB2312" w:cs="仿宋_GB2312"/>
                <w:sz w:val="21"/>
                <w:szCs w:val="21"/>
                <w:lang w:val="en-US" w:eastAsia="zh-CN" w:bidi="ar"/>
              </w:rPr>
              <w:t>ISO14064</w:t>
            </w:r>
            <w:r>
              <w:rPr>
                <w:rStyle w:val="11"/>
                <w:rFonts w:hint="eastAsia" w:ascii="仿宋_GB2312" w:hAnsi="仿宋_GB2312" w:eastAsia="仿宋_GB2312" w:cs="仿宋_GB2312"/>
                <w:sz w:val="21"/>
                <w:szCs w:val="21"/>
                <w:lang w:val="en-US" w:eastAsia="zh-CN" w:bidi="ar"/>
              </w:rPr>
              <w:t>系列标准</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8"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19" w:type="dxa"/>
            <w:vAlign w:val="top"/>
          </w:tcPr>
          <w:p>
            <w:pPr>
              <w:keepNext w:val="0"/>
              <w:keepLines w:val="0"/>
              <w:widowControl/>
              <w:suppressLineNumbers w:val="0"/>
              <w:jc w:val="center"/>
              <w:textAlignment w:val="top"/>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所有上传的数据中是否包含因数据项编码错误等原因无法解析入库、数据项值为空或非正数、小于最小值或大于最大值等不规范数据项</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是否满足《污染物在线监控（监测）系统数据传输标准》（HJ212-2017）</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监测设备是否通过</w:t>
            </w:r>
            <w:r>
              <w:rPr>
                <w:rStyle w:val="10"/>
                <w:rFonts w:hint="eastAsia" w:ascii="仿宋_GB2312" w:hAnsi="仿宋_GB2312" w:eastAsia="仿宋_GB2312" w:cs="仿宋_GB2312"/>
                <w:sz w:val="21"/>
                <w:szCs w:val="21"/>
                <w:lang w:val="en-US" w:eastAsia="zh-CN" w:bidi="ar"/>
              </w:rPr>
              <w:t>CMA</w:t>
            </w:r>
            <w:r>
              <w:rPr>
                <w:rStyle w:val="11"/>
                <w:rFonts w:hint="eastAsia" w:ascii="仿宋_GB2312" w:hAnsi="仿宋_GB2312" w:eastAsia="仿宋_GB2312" w:cs="仿宋_GB2312"/>
                <w:sz w:val="21"/>
                <w:szCs w:val="21"/>
                <w:lang w:val="en-US" w:eastAsia="zh-CN" w:bidi="ar"/>
              </w:rPr>
              <w:t>认证</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2.完整性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数据覆盖“既定排放边界内所有排放源”的程度，无遗漏、无缺失</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排放源覆盖率</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时间完整性</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监测时长达标率（如CEMS设备年运行率是否≥90%）</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参数完整性（如是否同时监测烟气流量+CO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浓度+氧含量）</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3准确性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数据与“真实碳排放量”的接近程度，是数据质量的核心</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活动数据误差率（如用电量与电网缴费凭证偏差）</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排放因子适配性（是否用错行业</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燃料因子）</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6</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核算公式正确性（如是否遗漏碳氧化率修正）</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仪器精度（如CO</w:t>
            </w:r>
            <w:r>
              <w:rPr>
                <w:rStyle w:val="12"/>
                <w:rFonts w:hint="eastAsia" w:ascii="仿宋_GB2312" w:hAnsi="仿宋_GB2312" w:eastAsia="仿宋_GB2312" w:cs="仿宋_GB2312"/>
                <w:sz w:val="21"/>
                <w:szCs w:val="21"/>
                <w:lang w:val="en-US" w:eastAsia="zh-CN" w:bidi="ar"/>
              </w:rPr>
              <w:t>₂</w:t>
            </w:r>
            <w:r>
              <w:rPr>
                <w:rStyle w:val="11"/>
                <w:rFonts w:hint="eastAsia" w:ascii="仿宋_GB2312" w:hAnsi="仿宋_GB2312" w:eastAsia="仿宋_GB2312" w:cs="仿宋_GB2312"/>
                <w:sz w:val="21"/>
                <w:szCs w:val="21"/>
                <w:lang w:val="en-US" w:eastAsia="zh-CN" w:bidi="ar"/>
              </w:rPr>
              <w:t>分析仪误差范围）</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校准频率（是否按标准每3个月校准）</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采样代表性（如烟囱采样点是否避开涡流区）</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4.一致性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数据在“同一标准、同一周期、同一对象”下的统一程度，无矛盾、无逻辑冲突</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跨周期一致性（如年度碳排放增速与能耗增速是否匹配）</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跨方法一致性（如计算结果与实测结果误差是否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跨行业一致性（如同行业/同消费水平数据结果误差是否</w:t>
            </w:r>
            <w:r>
              <w:rPr>
                <w:rStyle w:val="10"/>
                <w:rFonts w:hint="eastAsia" w:ascii="仿宋_GB2312" w:hAnsi="仿宋_GB2312" w:eastAsia="仿宋_GB2312" w:cs="仿宋_GB2312"/>
                <w:sz w:val="21"/>
                <w:szCs w:val="21"/>
                <w:lang w:val="en-US" w:eastAsia="zh-CN" w:bidi="ar"/>
              </w:rPr>
              <w:t>≤±5%</w:t>
            </w:r>
            <w:r>
              <w:rPr>
                <w:rStyle w:val="11"/>
                <w:rFonts w:hint="eastAsia" w:ascii="仿宋_GB2312" w:hAnsi="仿宋_GB2312" w:eastAsia="仿宋_GB2312" w:cs="仿宋_GB2312"/>
                <w:sz w:val="21"/>
                <w:szCs w:val="21"/>
                <w:lang w:val="en-US" w:eastAsia="zh-CN" w:bidi="ar"/>
              </w:rPr>
              <w:t>）</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设备间一致性（如同一烟囱</w:t>
            </w:r>
            <w:r>
              <w:rPr>
                <w:rStyle w:val="10"/>
                <w:rFonts w:hint="eastAsia" w:ascii="仿宋_GB2312" w:hAnsi="仿宋_GB2312" w:eastAsia="仿宋_GB2312" w:cs="仿宋_GB2312"/>
                <w:sz w:val="21"/>
                <w:szCs w:val="21"/>
                <w:lang w:val="en-US" w:eastAsia="zh-CN" w:bidi="ar"/>
              </w:rPr>
              <w:t xml:space="preserve"> 2 </w:t>
            </w:r>
            <w:r>
              <w:rPr>
                <w:rStyle w:val="11"/>
                <w:rFonts w:hint="eastAsia" w:ascii="仿宋_GB2312" w:hAnsi="仿宋_GB2312" w:eastAsia="仿宋_GB2312" w:cs="仿宋_GB2312"/>
                <w:sz w:val="21"/>
                <w:szCs w:val="21"/>
                <w:lang w:val="en-US" w:eastAsia="zh-CN" w:bidi="ar"/>
              </w:rPr>
              <w:t>台</w:t>
            </w:r>
            <w:r>
              <w:rPr>
                <w:rStyle w:val="10"/>
                <w:rFonts w:hint="eastAsia" w:ascii="仿宋_GB2312" w:hAnsi="仿宋_GB2312" w:eastAsia="仿宋_GB2312" w:cs="仿宋_GB2312"/>
                <w:sz w:val="21"/>
                <w:szCs w:val="21"/>
                <w:lang w:val="en-US" w:eastAsia="zh-CN" w:bidi="ar"/>
              </w:rPr>
              <w:t xml:space="preserve"> CEMS </w:t>
            </w:r>
            <w:r>
              <w:rPr>
                <w:rStyle w:val="11"/>
                <w:rFonts w:hint="eastAsia" w:ascii="仿宋_GB2312" w:hAnsi="仿宋_GB2312" w:eastAsia="仿宋_GB2312" w:cs="仿宋_GB2312"/>
                <w:sz w:val="21"/>
                <w:szCs w:val="21"/>
                <w:lang w:val="en-US" w:eastAsia="zh-CN" w:bidi="ar"/>
              </w:rPr>
              <w:t>数据偏差）</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spacing w:val="-1"/>
                <w:sz w:val="21"/>
                <w:szCs w:val="21"/>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数据逻辑一致性（如</w:t>
            </w:r>
            <w:r>
              <w:rPr>
                <w:rStyle w:val="10"/>
                <w:rFonts w:hint="eastAsia" w:ascii="仿宋_GB2312" w:hAnsi="仿宋_GB2312" w:eastAsia="仿宋_GB2312" w:cs="仿宋_GB2312"/>
                <w:sz w:val="21"/>
                <w:szCs w:val="21"/>
                <w:lang w:val="en-US" w:eastAsia="zh-CN" w:bidi="ar"/>
              </w:rPr>
              <w:t>CO₂</w:t>
            </w:r>
            <w:r>
              <w:rPr>
                <w:rStyle w:val="11"/>
                <w:rFonts w:hint="eastAsia" w:ascii="仿宋_GB2312" w:hAnsi="仿宋_GB2312" w:eastAsia="仿宋_GB2312" w:cs="仿宋_GB2312"/>
                <w:sz w:val="21"/>
                <w:szCs w:val="21"/>
                <w:lang w:val="en-US" w:eastAsia="zh-CN" w:bidi="ar"/>
              </w:rPr>
              <w:t>浓度与燃料消耗趋势是否同步）</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5.时效性</w:t>
            </w:r>
          </w:p>
        </w:tc>
        <w:tc>
          <w:tcPr>
            <w:tcW w:w="557" w:type="pct"/>
            <w:vMerge w:val="restar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数据产出与应用需求的匹配程度，即数据能否及时支撑决策</w:t>
            </w: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spacing w:val="-1"/>
                <w:sz w:val="21"/>
                <w:szCs w:val="21"/>
              </w:rPr>
            </w:pPr>
            <w:r>
              <w:rPr>
                <w:rFonts w:hint="eastAsia" w:ascii="仿宋_GB2312" w:hAnsi="仿宋_GB2312" w:eastAsia="仿宋_GB2312" w:cs="仿宋_GB2312"/>
                <w:i w:val="0"/>
                <w:iCs w:val="0"/>
                <w:color w:val="000000"/>
                <w:kern w:val="0"/>
                <w:sz w:val="21"/>
                <w:szCs w:val="21"/>
                <w:u w:val="none"/>
                <w:lang w:val="en-US" w:eastAsia="zh-CN" w:bidi="ar"/>
              </w:rPr>
              <w:t>核算周期达标率</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数据更新频率</w:t>
            </w:r>
          </w:p>
        </w:tc>
        <w:tc>
          <w:tcPr>
            <w:tcW w:w="1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7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1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数据传输时效（如</w:t>
            </w:r>
            <w:r>
              <w:rPr>
                <w:rStyle w:val="10"/>
                <w:rFonts w:hint="eastAsia" w:ascii="仿宋_GB2312" w:hAnsi="仿宋_GB2312" w:eastAsia="仿宋_GB2312" w:cs="仿宋_GB2312"/>
                <w:sz w:val="21"/>
                <w:szCs w:val="21"/>
                <w:lang w:val="en-US" w:eastAsia="zh-CN" w:bidi="ar"/>
              </w:rPr>
              <w:t>CEMS</w:t>
            </w:r>
            <w:r>
              <w:rPr>
                <w:rStyle w:val="11"/>
                <w:rFonts w:hint="eastAsia" w:ascii="仿宋_GB2312" w:hAnsi="仿宋_GB2312" w:eastAsia="仿宋_GB2312" w:cs="仿宋_GB2312"/>
                <w:sz w:val="21"/>
                <w:szCs w:val="21"/>
                <w:lang w:val="en-US" w:eastAsia="zh-CN" w:bidi="ar"/>
              </w:rPr>
              <w:t>数据是否实时上传至监管平台，延迟</w:t>
            </w:r>
            <w:r>
              <w:rPr>
                <w:rStyle w:val="10"/>
                <w:rFonts w:hint="eastAsia" w:ascii="仿宋_GB2312" w:hAnsi="仿宋_GB2312" w:eastAsia="仿宋_GB2312" w:cs="仿宋_GB2312"/>
                <w:sz w:val="21"/>
                <w:szCs w:val="21"/>
                <w:lang w:val="en-US" w:eastAsia="zh-CN" w:bidi="ar"/>
              </w:rPr>
              <w:t>≤15</w:t>
            </w:r>
            <w:r>
              <w:rPr>
                <w:rStyle w:val="11"/>
                <w:rFonts w:hint="eastAsia" w:ascii="仿宋_GB2312" w:hAnsi="仿宋_GB2312" w:eastAsia="仿宋_GB2312" w:cs="仿宋_GB2312"/>
                <w:sz w:val="21"/>
                <w:szCs w:val="21"/>
                <w:lang w:val="en-US" w:eastAsia="zh-CN" w:bidi="ar"/>
              </w:rPr>
              <w:t>分钟）</w:t>
            </w:r>
          </w:p>
        </w:tc>
        <w:tc>
          <w:tcPr>
            <w:tcW w:w="1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异常报警响应速度（如设备故障是否</w:t>
            </w:r>
            <w:r>
              <w:rPr>
                <w:rStyle w:val="10"/>
                <w:rFonts w:hint="eastAsia" w:ascii="仿宋_GB2312" w:hAnsi="仿宋_GB2312" w:eastAsia="仿宋_GB2312" w:cs="仿宋_GB2312"/>
                <w:sz w:val="21"/>
                <w:szCs w:val="21"/>
                <w:lang w:val="en-US" w:eastAsia="zh-CN" w:bidi="ar"/>
              </w:rPr>
              <w:t>24</w:t>
            </w:r>
            <w:r>
              <w:rPr>
                <w:rStyle w:val="11"/>
                <w:rFonts w:hint="eastAsia" w:ascii="仿宋_GB2312" w:hAnsi="仿宋_GB2312" w:eastAsia="仿宋_GB2312" w:cs="仿宋_GB2312"/>
                <w:sz w:val="21"/>
                <w:szCs w:val="21"/>
                <w:lang w:val="en-US" w:eastAsia="zh-CN" w:bidi="ar"/>
              </w:rPr>
              <w:t>小时内处理）</w:t>
            </w:r>
          </w:p>
        </w:tc>
        <w:tc>
          <w:tcPr>
            <w:tcW w:w="1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restar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6.校验性</w:t>
            </w:r>
          </w:p>
        </w:tc>
        <w:tc>
          <w:tcPr>
            <w:tcW w:w="557" w:type="pct"/>
            <w:vMerge w:val="restar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数据的</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来源、处理过程、核算依据</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可追踪，每一步均有凭证支撑，便于溯源、核查与对比分析</w:t>
            </w:r>
          </w:p>
        </w:tc>
        <w:tc>
          <w:tcPr>
            <w:tcW w:w="384"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计算法</w:t>
            </w:r>
          </w:p>
        </w:tc>
        <w:tc>
          <w:tcPr>
            <w:tcW w:w="137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活动数据凭证（如采购发票、能耗报表）</w:t>
            </w:r>
          </w:p>
        </w:tc>
        <w:tc>
          <w:tcPr>
            <w:tcW w:w="1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78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191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0</w:t>
            </w:r>
          </w:p>
        </w:tc>
        <w:tc>
          <w:tcPr>
            <w:tcW w:w="28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shd w:val="clear" w:color="auto" w:fill="auto"/>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shd w:val="clear" w:color="auto" w:fill="auto"/>
            <w:vAlign w:val="center"/>
          </w:tcPr>
          <w:p>
            <w:pPr>
              <w:jc w:val="center"/>
              <w:rPr>
                <w:rFonts w:hint="eastAsia" w:ascii="仿宋_GB2312" w:hAnsi="仿宋_GB2312" w:eastAsia="仿宋_GB2312" w:cs="仿宋_GB2312"/>
                <w:spacing w:val="-1"/>
                <w:sz w:val="21"/>
                <w:szCs w:val="21"/>
              </w:rPr>
            </w:pPr>
          </w:p>
        </w:tc>
        <w:tc>
          <w:tcPr>
            <w:tcW w:w="1378" w:type="pct"/>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排放因子来源（如是否引用《省级温室气体清单指南》）</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与生态人工报送数据校验</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3</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4</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实测法</w:t>
            </w: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仪器校准记录（标准气体证书）</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原始监测日志（时间戳</w:t>
            </w:r>
            <w:r>
              <w:rPr>
                <w:rStyle w:val="10"/>
                <w:rFonts w:hint="eastAsia" w:ascii="仿宋_GB2312" w:hAnsi="仿宋_GB2312" w:eastAsia="仿宋_GB2312" w:cs="仿宋_GB2312"/>
                <w:sz w:val="21"/>
                <w:szCs w:val="21"/>
                <w:lang w:val="en-US" w:eastAsia="zh-CN" w:bidi="ar"/>
              </w:rPr>
              <w:t>+</w:t>
            </w:r>
            <w:r>
              <w:rPr>
                <w:rStyle w:val="11"/>
                <w:rFonts w:hint="eastAsia" w:ascii="仿宋_GB2312" w:hAnsi="仿宋_GB2312" w:eastAsia="仿宋_GB2312" w:cs="仿宋_GB2312"/>
                <w:sz w:val="21"/>
                <w:szCs w:val="21"/>
                <w:lang w:val="en-US" w:eastAsia="zh-CN" w:bidi="ar"/>
              </w:rPr>
              <w:t>数据值）</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557" w:type="pct"/>
            <w:vMerge w:val="continue"/>
            <w:vAlign w:val="center"/>
          </w:tcPr>
          <w:p>
            <w:pPr>
              <w:rPr>
                <w:rFonts w:hint="eastAsia" w:ascii="仿宋_GB2312" w:hAnsi="仿宋_GB2312" w:eastAsia="仿宋_GB2312" w:cs="仿宋_GB2312"/>
                <w:b w:val="0"/>
                <w:bCs/>
                <w:kern w:val="2"/>
                <w:sz w:val="21"/>
                <w:szCs w:val="21"/>
                <w:lang w:val="en-US" w:eastAsia="zh-CN" w:bidi="ar-SA"/>
              </w:rPr>
            </w:pPr>
          </w:p>
        </w:tc>
        <w:tc>
          <w:tcPr>
            <w:tcW w:w="384" w:type="pct"/>
            <w:vMerge w:val="continue"/>
            <w:vAlign w:val="center"/>
          </w:tcPr>
          <w:p>
            <w:pPr>
              <w:jc w:val="center"/>
              <w:rPr>
                <w:rFonts w:hint="eastAsia" w:ascii="仿宋_GB2312" w:hAnsi="仿宋_GB2312" w:eastAsia="仿宋_GB2312" w:cs="仿宋_GB2312"/>
                <w:b w:val="0"/>
                <w:bCs/>
                <w:kern w:val="2"/>
                <w:sz w:val="21"/>
                <w:szCs w:val="21"/>
                <w:lang w:val="en-US" w:eastAsia="zh-CN" w:bidi="ar-SA"/>
              </w:rPr>
            </w:pPr>
          </w:p>
        </w:tc>
        <w:tc>
          <w:tcPr>
            <w:tcW w:w="1378" w:type="pct"/>
            <w:vAlign w:val="center"/>
          </w:tcPr>
          <w:p>
            <w:pPr>
              <w:keepNext w:val="0"/>
              <w:keepLines w:val="0"/>
              <w:widowControl/>
              <w:suppressLineNumbers w:val="0"/>
              <w:jc w:val="left"/>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异常数据处理记录（如缺失值插值依据）</w:t>
            </w:r>
          </w:p>
        </w:tc>
        <w:tc>
          <w:tcPr>
            <w:tcW w:w="198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78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19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kern w:val="2"/>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7.现场数据核查</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数据正确性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核查数据采集的准确性，与实际排放量对比，误差在±5%以内</w:t>
            </w:r>
          </w:p>
        </w:tc>
        <w:tc>
          <w:tcPr>
            <w:tcW w:w="198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w:t>
            </w:r>
          </w:p>
        </w:tc>
        <w:tc>
          <w:tcPr>
            <w:tcW w:w="17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191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8.现场调研</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监测完整性</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w:t>
            </w:r>
          </w:p>
        </w:tc>
        <w:tc>
          <w:tcPr>
            <w:tcW w:w="137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确认所有排放环节均有监测，无遗漏环节</w:t>
            </w:r>
          </w:p>
        </w:tc>
        <w:tc>
          <w:tcPr>
            <w:tcW w:w="198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17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91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9.数据管理审核</w:t>
            </w:r>
          </w:p>
        </w:tc>
        <w:tc>
          <w:tcPr>
            <w:tcW w:w="557"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审核机制完善度</w:t>
            </w:r>
          </w:p>
        </w:tc>
        <w:tc>
          <w:tcPr>
            <w:tcW w:w="38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审核</w:t>
            </w:r>
          </w:p>
        </w:tc>
        <w:tc>
          <w:tcPr>
            <w:tcW w:w="1378"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评估企业数据管理审核流程的完整性和试运行到验收期间执行情况</w:t>
            </w:r>
          </w:p>
        </w:tc>
        <w:tc>
          <w:tcPr>
            <w:tcW w:w="198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17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191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pct"/>
            <w:gridSpan w:val="4"/>
            <w:shd w:val="clear" w:color="auto" w:fill="auto"/>
            <w:vAlign w:val="center"/>
          </w:tcPr>
          <w:p>
            <w:pPr>
              <w:keepNext w:val="0"/>
              <w:keepLines w:val="0"/>
              <w:suppressLineNumbers w:val="0"/>
              <w:spacing w:before="0" w:beforeAutospacing="0" w:after="0" w:afterAutospacing="0" w:line="360" w:lineRule="auto"/>
              <w:ind w:left="0" w:leftChars="0" w:right="0" w:rightChars="0"/>
              <w:jc w:val="right"/>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bCs w:val="0"/>
                <w:kern w:val="2"/>
                <w:sz w:val="21"/>
                <w:szCs w:val="21"/>
                <w:lang w:val="en-US" w:eastAsia="zh-CN" w:bidi="ar-SA"/>
              </w:rPr>
              <w:t>计算法总分</w:t>
            </w:r>
          </w:p>
        </w:tc>
        <w:tc>
          <w:tcPr>
            <w:tcW w:w="1987"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84</w:t>
            </w:r>
          </w:p>
        </w:tc>
        <w:tc>
          <w:tcPr>
            <w:tcW w:w="1788"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86</w:t>
            </w:r>
          </w:p>
        </w:tc>
        <w:tc>
          <w:tcPr>
            <w:tcW w:w="1919" w:type="dxa"/>
            <w:shd w:val="clear" w:color="auto" w:fill="auto"/>
            <w:vAlign w:val="center"/>
          </w:tcPr>
          <w:p>
            <w:pPr>
              <w:keepNext w:val="0"/>
              <w:keepLines w:val="0"/>
              <w:widowControl/>
              <w:suppressLineNumbers w:val="0"/>
              <w:jc w:val="center"/>
              <w:textAlignment w:val="center"/>
              <w:rPr>
                <w:rStyle w:val="11"/>
                <w:rFonts w:hint="eastAsia" w:ascii="仿宋_GB2312" w:hAnsi="仿宋_GB2312" w:eastAsia="仿宋_GB2312" w:cs="仿宋_GB2312"/>
                <w:i w:val="0"/>
                <w:iCs w:val="0"/>
                <w:color w:val="000000"/>
                <w:sz w:val="21"/>
                <w:szCs w:val="21"/>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85</w:t>
            </w:r>
          </w:p>
        </w:tc>
        <w:tc>
          <w:tcPr>
            <w:tcW w:w="28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仿宋_GB2312" w:hAnsi="仿宋_GB2312" w:eastAsia="仿宋_GB2312" w:cs="仿宋_GB2312"/>
                <w:b w:val="0"/>
                <w:bCs/>
                <w:kern w:val="2"/>
                <w:sz w:val="21"/>
                <w:szCs w:val="21"/>
                <w:lang w:val="en-US" w:eastAsia="zh-CN" w:bidi="ar-SA"/>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eastAsia" w:ascii="黑体" w:hAnsi="黑体" w:eastAsia="黑体" w:cs="黑体"/>
          <w:i w:val="0"/>
          <w:iCs w:val="0"/>
          <w:caps w:val="0"/>
          <w:color w:val="auto"/>
          <w:spacing w:val="8"/>
          <w:sz w:val="32"/>
          <w:szCs w:val="32"/>
          <w:shd w:val="clear" w:fill="FFFFFF"/>
          <w:lang w:val="en-US" w:eastAsia="zh-CN"/>
        </w:rPr>
      </w:pPr>
    </w:p>
    <w:p>
      <w:pPr>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D4C03E-F2B1-444D-B568-6FDE6E1BB5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F812991-1352-4103-8929-A5F0C7B3DC3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F79A7"/>
    <w:multiLevelType w:val="singleLevel"/>
    <w:tmpl w:val="EB2F79A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6186B"/>
    <w:rsid w:val="01037687"/>
    <w:rsid w:val="19EE2075"/>
    <w:rsid w:val="268017ED"/>
    <w:rsid w:val="3301184E"/>
    <w:rsid w:val="384C26BB"/>
    <w:rsid w:val="3BF6186B"/>
    <w:rsid w:val="3CAE3028"/>
    <w:rsid w:val="40677BB3"/>
    <w:rsid w:val="4297585E"/>
    <w:rsid w:val="449575AE"/>
    <w:rsid w:val="5B465FC8"/>
    <w:rsid w:val="5EBD2848"/>
    <w:rsid w:val="5F3335BC"/>
    <w:rsid w:val="76BE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outlineLvl w:val="0"/>
    </w:pPr>
    <w:rPr>
      <w:rFonts w:ascii="Times New Roman" w:hAnsi="Times New Roman" w:eastAsia="黑体"/>
      <w:bCs/>
      <w:kern w:val="44"/>
      <w:sz w:val="2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default" w:ascii="Segoe UI" w:hAnsi="Segoe UI" w:eastAsia="Segoe UI" w:cs="Segoe UI"/>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5988</Words>
  <Characters>6361</Characters>
  <Lines>0</Lines>
  <Paragraphs>0</Paragraphs>
  <TotalTime>0</TotalTime>
  <ScaleCrop>false</ScaleCrop>
  <LinksUpToDate>false</LinksUpToDate>
  <CharactersWithSpaces>6420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2024-07-17T03:13:00Z</dcterms:created>
  <dc:creator>%E7%BC%84%E9%BB%98%E5%AE%81%E6%97%A0%E8%</dc:creator>
  <cp:lastModifiedBy>穆</cp:lastModifiedBy>
  <dcterms:modified xsi:type="dcterms:W3CDTF">2025-08-28T12:35:23Z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4501F2788BED4D54B32E2EE11FB2D172</vt:lpwstr>
  </property>
  <property fmtid="{D5CDD505-2E9C-101B-9397-08002B2CF9AE}" pid="4" name="KSOTemplateDocerSaveRecord">
    <vt:lpwstr>eyJoZGlkIjoiMzEwNTM5NzYwMDRjMzkwZTVkZjY2ODkwMGIxNGU0OTUiLCJ1c2VySWQiOiI0MjYxODM2NzgifQ==</vt:lpwstr>
  </property>
</Properties>
</file>