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2C36B">
      <w:pPr>
        <w:keepNext w:val="0"/>
        <w:keepLines w:val="0"/>
        <w:pageBreakBefore w:val="0"/>
        <w:widowControl/>
        <w:kinsoku/>
        <w:wordWrap/>
        <w:overflowPunct/>
        <w:topLinePunct w:val="0"/>
        <w:autoSpaceDE w:val="0"/>
        <w:autoSpaceDN w:val="0"/>
        <w:bidi w:val="0"/>
        <w:adjustRightInd w:val="0"/>
        <w:snapToGrid w:val="0"/>
        <w:spacing w:before="0" w:beforeLines="100" w:after="0" w:afterLines="200" w:line="240" w:lineRule="auto"/>
        <w:ind w:left="0" w:right="0" w:firstLine="0" w:firstLineChars="0"/>
        <w:jc w:val="center"/>
        <w:textAlignment w:val="baseline"/>
        <w:rPr>
          <w:rFonts w:hint="default" w:ascii="Times New Roman" w:hAnsi="Times New Roman" w:cs="Times New Roman" w:eastAsiaTheme="minorEastAsia"/>
          <w:sz w:val="44"/>
          <w:szCs w:val="44"/>
        </w:rPr>
      </w:pPr>
      <w:r>
        <w:rPr>
          <w:rFonts w:hint="default" w:ascii="Times New Roman" w:hAnsi="Times New Roman" w:cs="Times New Roman" w:eastAsiaTheme="minorEastAsia"/>
          <w:spacing w:val="8"/>
          <w:sz w:val="44"/>
          <w:szCs w:val="44"/>
        </w:rPr>
        <w:t>《基于差分吸收激光雷达的温室气体排放测量装置校准规范》编制</w:t>
      </w:r>
      <w:r>
        <w:rPr>
          <w:rFonts w:hint="default" w:ascii="Times New Roman" w:hAnsi="Times New Roman" w:cs="Times New Roman" w:eastAsiaTheme="minorEastAsia"/>
          <w:spacing w:val="6"/>
          <w:sz w:val="44"/>
          <w:szCs w:val="44"/>
        </w:rPr>
        <w:t>说明</w:t>
      </w:r>
    </w:p>
    <w:p w14:paraId="77C6AA27">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b/>
          <w:bCs/>
        </w:rPr>
      </w:pPr>
      <w:r>
        <w:rPr>
          <w:rFonts w:hint="default" w:ascii="Times New Roman" w:hAnsi="Times New Roman" w:cs="Times New Roman"/>
          <w:b/>
          <w:bCs/>
        </w:rPr>
        <w:t>一、任务来源、计划文件名称、编号</w:t>
      </w:r>
    </w:p>
    <w:p w14:paraId="5EEB616B">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根据国家市场监督管理总局关于计量技术规范制修订工作的统筹安排，《基于差分吸收激光雷达的温室气体排放测量装置校准规范》被纳入国家计量技术规范制定计划（</w:t>
      </w:r>
      <w:r>
        <w:rPr>
          <w:rFonts w:hint="eastAsia" w:ascii="Times New Roman" w:hAnsi="Times New Roman" w:cs="Times New Roman"/>
          <w:lang w:val="en-US" w:eastAsia="zh-CN"/>
        </w:rPr>
        <w:t>市监计量发[2023]56号，《</w:t>
      </w:r>
      <w:r>
        <w:rPr>
          <w:rFonts w:hint="default" w:ascii="Times New Roman" w:hAnsi="Times New Roman" w:cs="Times New Roman"/>
        </w:rPr>
        <w:t>2023年国家计量技术规范项目制定、修订计划</w:t>
      </w:r>
      <w:r>
        <w:rPr>
          <w:rFonts w:hint="eastAsia" w:ascii="Times New Roman" w:hAnsi="Times New Roman" w:cs="Times New Roman"/>
          <w:lang w:eastAsia="zh-CN"/>
        </w:rPr>
        <w:t>》，</w:t>
      </w:r>
      <w:r>
        <w:rPr>
          <w:rFonts w:hint="eastAsia" w:ascii="Times New Roman" w:hAnsi="Times New Roman" w:cs="Times New Roman"/>
          <w:lang w:val="en-US" w:eastAsia="zh-CN"/>
        </w:rPr>
        <w:t>MTC26-2023-08</w:t>
      </w:r>
      <w:r>
        <w:rPr>
          <w:rFonts w:hint="default" w:ascii="Times New Roman" w:hAnsi="Times New Roman" w:cs="Times New Roman"/>
        </w:rPr>
        <w:t>）。</w:t>
      </w:r>
    </w:p>
    <w:p w14:paraId="627109EE">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本规范归口单位为全国碳达峰碳中和计量技术委员会，主要起草单位包括中国计量科学研</w:t>
      </w:r>
      <w:bookmarkStart w:id="0" w:name="_GoBack"/>
      <w:bookmarkEnd w:id="0"/>
      <w:r>
        <w:rPr>
          <w:rFonts w:hint="default" w:ascii="Times New Roman" w:hAnsi="Times New Roman" w:cs="Times New Roman"/>
        </w:rPr>
        <w:t>究院、郑州计量先进技术研究院，参与起草单位涵盖中国环境监测总站、福建省计量科学研究院。各起草单位在温室气体计量检测、激光雷达技术研发、环境监测等领域具备深厚技术积累，为规范编制提供了专业支撑。</w:t>
      </w:r>
    </w:p>
    <w:p w14:paraId="063A7D5B">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b/>
          <w:bCs/>
        </w:rPr>
      </w:pPr>
      <w:r>
        <w:rPr>
          <w:rFonts w:hint="default" w:ascii="Times New Roman" w:hAnsi="Times New Roman" w:cs="Times New Roman"/>
          <w:b/>
          <w:bCs/>
        </w:rPr>
        <w:t>二、计量技术规范制定的必要性、背景和意义</w:t>
      </w:r>
    </w:p>
    <w:p w14:paraId="7FDA6844">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必要性</w:t>
      </w:r>
    </w:p>
    <w:p w14:paraId="68E2B2FA">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当前，全球温室气体减排已成为共识，我国“双碳”目标推进对温室气体排放测量的准确性、可靠性提出严格要求。差分吸收激光雷达技术因具备远程、实时、空间分辨率高的优势，成为温室气体（尤其是二氧化碳、甲烷）有组织与无组织排放测量的核心技术手段。</w:t>
      </w:r>
    </w:p>
    <w:p w14:paraId="41091676">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lang w:eastAsia="zh-CN"/>
        </w:rPr>
      </w:pPr>
      <w:r>
        <w:rPr>
          <w:rFonts w:hint="default" w:ascii="Times New Roman" w:hAnsi="Times New Roman" w:cs="Times New Roman"/>
        </w:rPr>
        <w:t>然而，国内尚未针对此类测量装置建立统一的校准规范：一方面，企业现有排放核算多依赖统计方法，缺乏直接测量的计量溯源支撑；另一方面，不同厂家的测量装置性能指标、测量方法差异较大，无统一评价标准，导致测量数据可比性差，难以满足监管、核查需求。因此，亟需制定校准规范填补计量空白，确保测量结果的准确性与一致性。</w:t>
      </w:r>
    </w:p>
    <w:p w14:paraId="16E666B0">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背景</w:t>
      </w:r>
    </w:p>
    <w:p w14:paraId="5AAB585C">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国际层面，欧盟已通过欧洲计量联合研究计划（EMRP）、欧洲计量研究和创新计划（EMPIR）搭建工业排放模拟装置，将差分吸收激光雷达技术纳入“最佳可用技术（BET）”指南，并在CEN/TC264/WG38标准中明确其在逃逸排放测量中的应用方法。国内层面，虽已研发出针对SO</w:t>
      </w:r>
      <w:r>
        <w:rPr>
          <w:rFonts w:hint="default" w:ascii="Times New Roman" w:hAnsi="Times New Roman" w:cs="Times New Roman"/>
          <w:lang w:val="en-US" w:eastAsia="zh-CN"/>
        </w:rPr>
        <w:t>2</w:t>
      </w:r>
      <w:r>
        <w:rPr>
          <w:rFonts w:hint="default" w:ascii="Times New Roman" w:hAnsi="Times New Roman" w:cs="Times New Roman"/>
        </w:rPr>
        <w:t>、NOx 等污染物的差分吸收激光雷达系统，但针对温室气体排放测量装置的校准技术、性能评价指标仍处于空白状态。装置的示值误差、重复性、空间分辨率等关键计量特性缺乏统一要求，制约了该技术在“双碳”监测、环境监管中的规模化应用。</w:t>
      </w:r>
    </w:p>
    <w:p w14:paraId="443D2B7C">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eastAsia="zh-CN"/>
        </w:rPr>
        <w:t>）</w:t>
      </w:r>
      <w:r>
        <w:rPr>
          <w:rFonts w:hint="default" w:ascii="Times New Roman" w:hAnsi="Times New Roman" w:cs="Times New Roman"/>
        </w:rPr>
        <w:t>意义</w:t>
      </w:r>
    </w:p>
    <w:p w14:paraId="7CDF24F9">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本规范明确以差分吸收激光雷达为标准器，建立温室气体排放测量结果的不确定度传递路径，为装置提供可靠的计量溯源依据。统一装置的计量特性要求与校准方法，帮助生产企业优化产品指标，推动行业技术水平提升。通过规范测量结果的准确性，为政府部门开展温室气体排放监管、企业碳排放核查提供科学数据支撑，助力“双碳”目标落地。</w:t>
      </w:r>
    </w:p>
    <w:p w14:paraId="184AD085">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b/>
          <w:bCs/>
        </w:rPr>
      </w:pPr>
      <w:r>
        <w:rPr>
          <w:rFonts w:hint="default" w:ascii="Times New Roman" w:hAnsi="Times New Roman" w:cs="Times New Roman"/>
          <w:b/>
          <w:bCs/>
        </w:rPr>
        <w:t>三、工作组简况，起草单位，包括工作组成立、成员情 况及其所做的工作等。</w:t>
      </w:r>
    </w:p>
    <w:p w14:paraId="03FF0697">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highlight w:val="none"/>
        </w:rPr>
      </w:pPr>
      <w:r>
        <w:rPr>
          <w:rFonts w:hint="default" w:ascii="Times New Roman" w:hAnsi="Times New Roman" w:cs="Times New Roman"/>
        </w:rPr>
        <w:t>自</w:t>
      </w:r>
      <w:r>
        <w:rPr>
          <w:rFonts w:hint="default" w:ascii="Times New Roman" w:hAnsi="Times New Roman" w:cs="Times New Roman"/>
          <w:highlight w:val="none"/>
        </w:rPr>
        <w:t>2023年6月</w:t>
      </w:r>
      <w:r>
        <w:rPr>
          <w:rFonts w:hint="eastAsia" w:ascii="Times New Roman" w:hAnsi="Times New Roman" w:cs="Times New Roman"/>
          <w:highlight w:val="none"/>
          <w:lang w:val="en-US" w:eastAsia="zh-CN"/>
        </w:rPr>
        <w:t>13日计划下达起</w:t>
      </w:r>
      <w:r>
        <w:rPr>
          <w:rFonts w:hint="default" w:ascii="Times New Roman" w:hAnsi="Times New Roman" w:cs="Times New Roman"/>
          <w:highlight w:val="none"/>
        </w:rPr>
        <w:t>，中国计量科学研究院收到全国生态环境监管专用计量测试技术委员会关于2023年国家计量技术规范制修订项目立项论证的通知，批准《基于差分吸收激光雷达的温室气体排放测量装置校准规范》正式立项，7月中国计量科学研究院联合相关单位组建了《基于差分吸收激光雷达的温室气体排放测量装置校准规范》编制组，包括中国计量科学研究院、郑州计量先进技术研究院、中国环境监测总站、福建省计量科学研究院等参与起草。</w:t>
      </w:r>
    </w:p>
    <w:p w14:paraId="6D9506BD">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highlight w:val="none"/>
        </w:rPr>
        <w:t>自从计量技术规范立项以来，中国计量科学研究院对起草工作十分重视，成立了由副研究员为组长，博士研究生为骨干、相关领域专家参加的计量技术规范起草工作组</w:t>
      </w:r>
      <w:r>
        <w:rPr>
          <w:rFonts w:hint="default" w:ascii="Times New Roman" w:hAnsi="Times New Roman" w:cs="Times New Roman"/>
        </w:rPr>
        <w:t>。</w:t>
      </w:r>
    </w:p>
    <w:p w14:paraId="0E2945DD">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b/>
          <w:bCs/>
        </w:rPr>
      </w:pPr>
      <w:r>
        <w:rPr>
          <w:rFonts w:hint="default" w:ascii="Times New Roman" w:hAnsi="Times New Roman" w:cs="Times New Roman"/>
          <w:b/>
          <w:bCs/>
        </w:rPr>
        <w:t>四、主要工作内容，包括但不限于重要工作组会议的主要议题和结论等。</w:t>
      </w:r>
    </w:p>
    <w:p w14:paraId="3FAC114A">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eastAsia="宋体" w:cs="Times New Roman"/>
          <w:lang w:val="en-US" w:eastAsia="zh-CN"/>
        </w:rPr>
      </w:pPr>
      <w:r>
        <w:rPr>
          <w:rFonts w:hint="default" w:ascii="Times New Roman" w:hAnsi="Times New Roman" w:cs="Times New Roman"/>
        </w:rPr>
        <w:t>自计量技术规范立项以来，积极开展调查研究</w:t>
      </w:r>
      <w:r>
        <w:rPr>
          <w:rFonts w:hint="eastAsia" w:ascii="Times New Roman" w:hAnsi="Times New Roman" w:cs="Times New Roman"/>
          <w:lang w:eastAsia="zh-CN"/>
        </w:rPr>
        <w:t>，</w:t>
      </w:r>
      <w:r>
        <w:rPr>
          <w:rFonts w:hint="default" w:ascii="Times New Roman" w:hAnsi="Times New Roman" w:cs="Times New Roman"/>
          <w:highlight w:val="none"/>
        </w:rPr>
        <w:t>2023年</w:t>
      </w:r>
      <w:r>
        <w:rPr>
          <w:rFonts w:hint="eastAsia" w:ascii="Times New Roman" w:hAnsi="Times New Roman" w:cs="Times New Roman"/>
          <w:highlight w:val="none"/>
          <w:lang w:val="en-US" w:eastAsia="zh-CN"/>
        </w:rPr>
        <w:t>10</w:t>
      </w:r>
      <w:r>
        <w:rPr>
          <w:rFonts w:hint="default" w:ascii="Times New Roman" w:hAnsi="Times New Roman" w:cs="Times New Roman"/>
          <w:highlight w:val="none"/>
        </w:rPr>
        <w:t>月</w:t>
      </w:r>
      <w:r>
        <w:rPr>
          <w:rFonts w:hint="eastAsia" w:ascii="Times New Roman" w:hAnsi="Times New Roman" w:cs="Times New Roman"/>
          <w:highlight w:val="none"/>
          <w:lang w:val="en-US" w:eastAsia="zh-CN"/>
        </w:rPr>
        <w:t>11</w:t>
      </w:r>
      <w:r>
        <w:rPr>
          <w:rFonts w:hint="default" w:ascii="Times New Roman" w:hAnsi="Times New Roman" w:cs="Times New Roman"/>
          <w:highlight w:val="none"/>
        </w:rPr>
        <w:t>日</w:t>
      </w:r>
      <w:r>
        <w:rPr>
          <w:rFonts w:hint="default" w:ascii="Times New Roman" w:hAnsi="Times New Roman" w:cs="Times New Roman"/>
        </w:rPr>
        <w:t>，中国计量科学研究院组织召开首次编制组会议，讨论规范包含的内容、主要技术指标等问题，商定标准起草的主要思路和起草原则，并确定各起草人员的具体工作任务。</w:t>
      </w:r>
      <w:r>
        <w:rPr>
          <w:rFonts w:hint="default" w:ascii="Times New Roman" w:hAnsi="Times New Roman" w:cs="Times New Roman"/>
          <w:highlight w:val="none"/>
        </w:rPr>
        <w:t>202</w:t>
      </w:r>
      <w:r>
        <w:rPr>
          <w:rFonts w:hint="eastAsia" w:ascii="Times New Roman" w:hAnsi="Times New Roman" w:cs="Times New Roman"/>
          <w:highlight w:val="none"/>
          <w:lang w:val="en-US" w:eastAsia="zh-CN"/>
        </w:rPr>
        <w:t>4</w:t>
      </w:r>
      <w:r>
        <w:rPr>
          <w:rFonts w:hint="default" w:ascii="Times New Roman" w:hAnsi="Times New Roman" w:cs="Times New Roman"/>
          <w:highlight w:val="none"/>
        </w:rPr>
        <w:t>年</w:t>
      </w:r>
      <w:r>
        <w:rPr>
          <w:rFonts w:hint="eastAsia" w:ascii="Times New Roman" w:hAnsi="Times New Roman" w:cs="Times New Roman"/>
          <w:highlight w:val="none"/>
          <w:lang w:val="en-US" w:eastAsia="zh-CN"/>
        </w:rPr>
        <w:t>3</w:t>
      </w:r>
      <w:r>
        <w:rPr>
          <w:rFonts w:hint="default" w:ascii="Times New Roman" w:hAnsi="Times New Roman" w:cs="Times New Roman"/>
          <w:highlight w:val="none"/>
        </w:rPr>
        <w:t>月</w:t>
      </w:r>
      <w:r>
        <w:rPr>
          <w:rFonts w:hint="eastAsia" w:ascii="Times New Roman" w:hAnsi="Times New Roman" w:cs="Times New Roman"/>
          <w:highlight w:val="none"/>
          <w:lang w:val="en-US" w:eastAsia="zh-CN"/>
        </w:rPr>
        <w:t>1</w:t>
      </w:r>
      <w:r>
        <w:rPr>
          <w:rFonts w:hint="default" w:ascii="Times New Roman" w:hAnsi="Times New Roman" w:cs="Times New Roman"/>
          <w:highlight w:val="none"/>
        </w:rPr>
        <w:t>日，</w:t>
      </w:r>
      <w:r>
        <w:rPr>
          <w:rFonts w:hint="default" w:ascii="Times New Roman" w:hAnsi="Times New Roman" w:cs="Times New Roman"/>
        </w:rPr>
        <w:t>中国计量科学研究院组织召开第二次编制组会议，对首次会议后完成的草稿进行讨论，对标准草案逐条进行研读推敲，形成征求</w:t>
      </w:r>
      <w:r>
        <w:rPr>
          <w:rFonts w:hint="eastAsia" w:ascii="Times New Roman" w:hAnsi="Times New Roman" w:cs="Times New Roman"/>
          <w:lang w:val="en-US" w:eastAsia="zh-CN"/>
        </w:rPr>
        <w:t>意见草</w:t>
      </w:r>
      <w:r>
        <w:rPr>
          <w:rFonts w:hint="default" w:ascii="Times New Roman" w:hAnsi="Times New Roman" w:cs="Times New Roman"/>
        </w:rPr>
        <w:t>稿。</w:t>
      </w:r>
      <w:r>
        <w:rPr>
          <w:rFonts w:hint="default" w:ascii="Times New Roman" w:hAnsi="Times New Roman" w:cs="Times New Roman"/>
          <w:highlight w:val="none"/>
        </w:rPr>
        <w:t>202</w:t>
      </w:r>
      <w:r>
        <w:rPr>
          <w:rFonts w:hint="eastAsia" w:ascii="Times New Roman" w:hAnsi="Times New Roman" w:cs="Times New Roman"/>
          <w:highlight w:val="none"/>
          <w:lang w:val="en-US" w:eastAsia="zh-CN"/>
        </w:rPr>
        <w:t>4</w:t>
      </w:r>
      <w:r>
        <w:rPr>
          <w:rFonts w:hint="default" w:ascii="Times New Roman" w:hAnsi="Times New Roman" w:cs="Times New Roman"/>
          <w:highlight w:val="none"/>
        </w:rPr>
        <w:t>年</w:t>
      </w:r>
      <w:r>
        <w:rPr>
          <w:rFonts w:hint="eastAsia" w:ascii="Times New Roman" w:hAnsi="Times New Roman" w:cs="Times New Roman"/>
          <w:highlight w:val="none"/>
          <w:lang w:val="en-US" w:eastAsia="zh-CN"/>
        </w:rPr>
        <w:t>4</w:t>
      </w:r>
      <w:r>
        <w:rPr>
          <w:rFonts w:hint="default" w:ascii="Times New Roman" w:hAnsi="Times New Roman" w:cs="Times New Roman"/>
          <w:highlight w:val="none"/>
        </w:rPr>
        <w:t>月~202</w:t>
      </w:r>
      <w:r>
        <w:rPr>
          <w:rFonts w:hint="eastAsia" w:ascii="Times New Roman" w:hAnsi="Times New Roman" w:cs="Times New Roman"/>
          <w:highlight w:val="none"/>
          <w:lang w:val="en-US" w:eastAsia="zh-CN"/>
        </w:rPr>
        <w:t>5</w:t>
      </w:r>
      <w:r>
        <w:rPr>
          <w:rFonts w:hint="default" w:ascii="Times New Roman" w:hAnsi="Times New Roman" w:cs="Times New Roman"/>
          <w:highlight w:val="none"/>
        </w:rPr>
        <w:t>年4月，编</w:t>
      </w:r>
      <w:r>
        <w:rPr>
          <w:rFonts w:hint="default" w:ascii="Times New Roman" w:hAnsi="Times New Roman" w:cs="Times New Roman"/>
        </w:rPr>
        <w:t>制组依据《基于差分吸收激光雷达的温室气体排放测量装置校准规范》，对该方法进行了实验测试并在某企业进行了标准适用性验证。</w:t>
      </w:r>
      <w:r>
        <w:rPr>
          <w:rFonts w:hint="eastAsia" w:ascii="Times New Roman" w:hAnsi="Times New Roman" w:cs="Times New Roman"/>
          <w:lang w:val="en-US" w:eastAsia="zh-CN"/>
        </w:rPr>
        <w:t>2025年5月-2025年8月，根据实验测试对该草稿进行了修改，最终在2025年8月27日形成征求意见稿。</w:t>
      </w:r>
    </w:p>
    <w:p w14:paraId="07D831DE">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整个制定过程体现了严谨、科学、民主的精神，确保了《基于差分吸收激光雷达的温室气体排放测量装置校准规范》的高质量、实用性和可操作性。</w:t>
      </w:r>
    </w:p>
    <w:p w14:paraId="76361E76">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b/>
          <w:bCs/>
        </w:rPr>
      </w:pPr>
      <w:r>
        <w:rPr>
          <w:rFonts w:hint="default" w:ascii="Times New Roman" w:hAnsi="Times New Roman" w:cs="Times New Roman"/>
          <w:b/>
          <w:bCs/>
        </w:rPr>
        <w:t>五、规范编制的原则</w:t>
      </w:r>
    </w:p>
    <w:p w14:paraId="2FB032F1">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基于差分吸收激光雷达的温室气体排放测量装置校准规范》计量技术规范的编制遵循规范性、一致性和可操作性的原则。首先，规范的起草制定要规范化，遵守与制定规范有关的基础标准及相关的法律法规的规定。</w:t>
      </w:r>
    </w:p>
    <w:p w14:paraId="73B16B55">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b/>
          <w:bCs/>
        </w:rPr>
      </w:pPr>
      <w:r>
        <w:rPr>
          <w:rFonts w:hint="default" w:ascii="Times New Roman" w:hAnsi="Times New Roman" w:cs="Times New Roman"/>
          <w:b/>
          <w:bCs/>
        </w:rPr>
        <w:t>六、技术内容的确定方法和依据。规范主要内容的论据。修订标准时，应增列新旧标准指标、水平的对比。</w:t>
      </w:r>
    </w:p>
    <w:p w14:paraId="598E0029">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本规范在归纳了引用 GB/T 32150—2015《工业企业温室气体排放核算和报告通则》、CEN/TC264/WG38《DETERMINATION OF FUGITIVE VOC EMISSIONS》（参考无组织排放测量方法）等共</w:t>
      </w:r>
      <w:r>
        <w:rPr>
          <w:rFonts w:hint="eastAsia" w:ascii="Times New Roman" w:hAnsi="Times New Roman" w:cs="Times New Roman"/>
          <w:lang w:val="en-US" w:eastAsia="zh-CN"/>
        </w:rPr>
        <w:t>2</w:t>
      </w:r>
      <w:r>
        <w:rPr>
          <w:rFonts w:hint="default" w:ascii="Times New Roman" w:hAnsi="Times New Roman" w:cs="Times New Roman"/>
        </w:rPr>
        <w:t>个规范性文件，最终形成了本规范《基于差分吸收激光雷达的温室气体排放测量装置校准规范》</w:t>
      </w:r>
    </w:p>
    <w:p w14:paraId="5BC41587">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《基于差分吸收激光雷达的温室气体排放测量装置校准规范》的主要内容要点说明如下：</w:t>
      </w:r>
    </w:p>
    <w:p w14:paraId="3DB5802C">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1. 适用范围：适用于温室气体排放测量装置校准。</w:t>
      </w:r>
    </w:p>
    <w:p w14:paraId="352A1E45">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2. 引用文件：参考引用了《工业企业温室气体排放核算和 报告通则》（GB/T 32150）、《无组织挥发性有机化合物排 放的测定》（CEN/TC264/WG38）</w:t>
      </w:r>
    </w:p>
    <w:p w14:paraId="37C49797">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3. 术语和计量单位：主要包括温室气体</w:t>
      </w:r>
      <w:r>
        <w:rPr>
          <w:rFonts w:hint="eastAsia" w:ascii="Times New Roman" w:hAnsi="Times New Roman" w:cs="Times New Roman"/>
          <w:lang w:eastAsia="zh-CN"/>
        </w:rPr>
        <w:t>、</w:t>
      </w:r>
      <w:r>
        <w:rPr>
          <w:rFonts w:hint="default" w:ascii="Times New Roman" w:hAnsi="Times New Roman" w:cs="Times New Roman"/>
        </w:rPr>
        <w:t>排放速率</w:t>
      </w:r>
      <w:r>
        <w:rPr>
          <w:rFonts w:hint="eastAsia" w:ascii="Times New Roman" w:hAnsi="Times New Roman" w:cs="Times New Roman"/>
          <w:lang w:eastAsia="zh-CN"/>
        </w:rPr>
        <w:t>、</w:t>
      </w:r>
      <w:r>
        <w:rPr>
          <w:rFonts w:hint="default" w:ascii="Times New Roman" w:hAnsi="Times New Roman" w:cs="Times New Roman"/>
        </w:rPr>
        <w:t>有组织排放</w:t>
      </w:r>
      <w:r>
        <w:rPr>
          <w:rFonts w:hint="eastAsia" w:ascii="Times New Roman" w:hAnsi="Times New Roman" w:cs="Times New Roman"/>
          <w:lang w:eastAsia="zh-CN"/>
        </w:rPr>
        <w:t>、</w:t>
      </w:r>
      <w:r>
        <w:rPr>
          <w:rFonts w:hint="default" w:ascii="Times New Roman" w:hAnsi="Times New Roman" w:cs="Times New Roman"/>
        </w:rPr>
        <w:t>无组织排放等术语。</w:t>
      </w:r>
    </w:p>
    <w:p w14:paraId="7D2B0C03">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highlight w:val="none"/>
        </w:rPr>
      </w:pPr>
      <w:r>
        <w:rPr>
          <w:rFonts w:hint="default" w:ascii="Times New Roman" w:hAnsi="Times New Roman" w:cs="Times New Roman"/>
          <w:highlight w:val="none"/>
        </w:rPr>
        <w:t>4. 概述：主要</w:t>
      </w:r>
      <w:r>
        <w:rPr>
          <w:rFonts w:hint="eastAsia" w:ascii="Times New Roman" w:hAnsi="Times New Roman" w:cs="Times New Roman"/>
          <w:highlight w:val="none"/>
          <w:lang w:val="en-US" w:eastAsia="zh-CN"/>
        </w:rPr>
        <w:t>解释了基于差分吸收激光雷达的温室气体排放测量装置校准</w:t>
      </w:r>
      <w:r>
        <w:rPr>
          <w:rFonts w:hint="default" w:ascii="Times New Roman" w:hAnsi="Times New Roman" w:cs="Times New Roman"/>
          <w:highlight w:val="none"/>
        </w:rPr>
        <w:t>。</w:t>
      </w:r>
    </w:p>
    <w:p w14:paraId="742D2358">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5. 计量特性：规定了</w:t>
      </w:r>
      <w:r>
        <w:rPr>
          <w:rFonts w:hint="eastAsia" w:ascii="Times New Roman" w:hAnsi="Times New Roman" w:cs="Times New Roman"/>
          <w:lang w:val="en-US" w:eastAsia="zh-CN"/>
        </w:rPr>
        <w:t>温室气体排放测量装置</w:t>
      </w:r>
      <w:r>
        <w:rPr>
          <w:rFonts w:hint="default" w:ascii="Times New Roman" w:hAnsi="Times New Roman" w:cs="Times New Roman"/>
        </w:rPr>
        <w:t>的示值误差和示值重复性。</w:t>
      </w:r>
    </w:p>
    <w:p w14:paraId="5E3F93BB">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6. 校准条件：规范了基于差分吸收激光雷达的温室气体排放测量装置校准规范的校准环境条件和设备仪器。</w:t>
      </w:r>
    </w:p>
    <w:p w14:paraId="7B219008">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7. 校准项目和校准方法：规定了</w:t>
      </w:r>
      <w:r>
        <w:rPr>
          <w:rFonts w:hint="eastAsia" w:ascii="Times New Roman" w:hAnsi="Times New Roman" w:cs="Times New Roman"/>
          <w:lang w:val="en-US" w:eastAsia="zh-CN"/>
        </w:rPr>
        <w:t>温室气体排放测量装置</w:t>
      </w:r>
      <w:r>
        <w:rPr>
          <w:rFonts w:hint="default" w:ascii="Times New Roman" w:hAnsi="Times New Roman" w:cs="Times New Roman"/>
        </w:rPr>
        <w:t>排放量校准、</w:t>
      </w:r>
      <w:r>
        <w:rPr>
          <w:rFonts w:hint="eastAsia" w:ascii="Times New Roman" w:hAnsi="Times New Roman" w:cs="Times New Roman"/>
          <w:lang w:val="en-US" w:eastAsia="zh-CN"/>
        </w:rPr>
        <w:t>空间</w:t>
      </w:r>
      <w:r>
        <w:rPr>
          <w:rFonts w:hint="default" w:ascii="Times New Roman" w:hAnsi="Times New Roman" w:cs="Times New Roman"/>
        </w:rPr>
        <w:t>分辨</w:t>
      </w:r>
      <w:r>
        <w:rPr>
          <w:rFonts w:hint="eastAsia" w:ascii="Times New Roman" w:hAnsi="Times New Roman" w:cs="Times New Roman"/>
          <w:lang w:val="en-US" w:eastAsia="zh-CN"/>
        </w:rPr>
        <w:t>率</w:t>
      </w:r>
      <w:r>
        <w:rPr>
          <w:rFonts w:hint="default" w:ascii="Times New Roman" w:hAnsi="Times New Roman" w:cs="Times New Roman"/>
        </w:rPr>
        <w:t>校准方法和计算方法。</w:t>
      </w:r>
    </w:p>
    <w:p w14:paraId="609C29F1">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8. 校准结果表达：规定了</w:t>
      </w:r>
      <w:r>
        <w:rPr>
          <w:rFonts w:hint="eastAsia" w:ascii="Times New Roman" w:hAnsi="Times New Roman" w:cs="Times New Roman"/>
          <w:lang w:val="en-US" w:eastAsia="zh-CN"/>
        </w:rPr>
        <w:t>温室气体排放测量装置</w:t>
      </w:r>
      <w:r>
        <w:rPr>
          <w:rFonts w:hint="default" w:ascii="Times New Roman" w:hAnsi="Times New Roman" w:cs="Times New Roman"/>
        </w:rPr>
        <w:t>校准证书的格式。</w:t>
      </w:r>
    </w:p>
    <w:p w14:paraId="47283A74">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9. 校时间间隔：规定了</w:t>
      </w:r>
      <w:r>
        <w:rPr>
          <w:rFonts w:hint="eastAsia" w:ascii="Times New Roman" w:hAnsi="Times New Roman" w:cs="Times New Roman"/>
          <w:lang w:val="en-US" w:eastAsia="zh-CN"/>
        </w:rPr>
        <w:t>温室气体排放测量装置</w:t>
      </w:r>
      <w:r>
        <w:rPr>
          <w:rFonts w:hint="default" w:ascii="Times New Roman" w:hAnsi="Times New Roman" w:cs="Times New Roman"/>
        </w:rPr>
        <w:t>校准时间间隔。</w:t>
      </w:r>
    </w:p>
    <w:p w14:paraId="32E45FFF">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r>
        <w:rPr>
          <w:rFonts w:hint="default" w:ascii="Times New Roman" w:hAnsi="Times New Roman" w:cs="Times New Roman"/>
        </w:rPr>
        <w:t xml:space="preserve">10. 附录：附录 A </w:t>
      </w:r>
      <w:r>
        <w:rPr>
          <w:rFonts w:hint="eastAsia" w:ascii="Times New Roman" w:hAnsi="Times New Roman" w:cs="Times New Roman"/>
          <w:lang w:val="en-US" w:eastAsia="zh-CN"/>
        </w:rPr>
        <w:t>温室气体排放测量装置测量不确定度示例，</w:t>
      </w:r>
      <w:r>
        <w:rPr>
          <w:rFonts w:hint="default" w:ascii="Times New Roman" w:hAnsi="Times New Roman" w:cs="Times New Roman"/>
        </w:rPr>
        <w:t xml:space="preserve">附录 </w:t>
      </w:r>
      <w:r>
        <w:rPr>
          <w:rFonts w:hint="eastAsia" w:ascii="Times New Roman" w:hAnsi="Times New Roman" w:cs="Times New Roman"/>
          <w:lang w:val="en-US" w:eastAsia="zh-CN"/>
        </w:rPr>
        <w:t>B</w:t>
      </w:r>
      <w:r>
        <w:rPr>
          <w:rFonts w:hint="default" w:ascii="Times New Roman" w:hAnsi="Times New Roman" w:cs="Times New Roman"/>
        </w:rPr>
        <w:t xml:space="preserve"> 校准证书内 页格式。</w:t>
      </w:r>
    </w:p>
    <w:p w14:paraId="4BBE79F4">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b/>
          <w:bCs/>
        </w:rPr>
      </w:pPr>
      <w:r>
        <w:rPr>
          <w:rFonts w:hint="default" w:ascii="Times New Roman" w:hAnsi="Times New Roman" w:cs="Times New Roman"/>
          <w:b/>
          <w:bCs/>
        </w:rPr>
        <w:t>七、规范草案征求意见和对征求意见的采纳情况，审定或函审中有关修改意见的采纳情况。</w:t>
      </w:r>
    </w:p>
    <w:p w14:paraId="23F510A9">
      <w:pPr>
        <w:keepNext w:val="0"/>
        <w:keepLines w:val="0"/>
        <w:pageBreakBefore w:val="0"/>
        <w:widowControl/>
        <w:kinsoku/>
        <w:wordWrap/>
        <w:overflowPunct/>
        <w:topLinePunct w:val="0"/>
        <w:autoSpaceDE w:val="0"/>
        <w:autoSpaceDN w:val="0"/>
        <w:bidi w:val="0"/>
        <w:adjustRightInd w:val="0"/>
        <w:textAlignment w:val="baseline"/>
        <w:rPr>
          <w:rFonts w:hint="default"/>
        </w:rPr>
      </w:pPr>
      <w:r>
        <w:rPr>
          <w:rFonts w:hint="default"/>
        </w:rPr>
        <w:t>依据本规范的适用范围和要求。</w:t>
      </w:r>
    </w:p>
    <w:p w14:paraId="24A37249">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b/>
          <w:bCs/>
        </w:rPr>
      </w:pPr>
      <w:r>
        <w:rPr>
          <w:rFonts w:hint="default" w:ascii="Times New Roman" w:hAnsi="Times New Roman" w:cs="Times New Roman"/>
          <w:b/>
          <w:bCs/>
        </w:rPr>
        <w:t>八、与有关现行法律、政策和标准的关系，预期的经济、社会效果。</w:t>
      </w:r>
    </w:p>
    <w:p w14:paraId="296DA8F3">
      <w:pPr>
        <w:keepNext w:val="0"/>
        <w:keepLines w:val="0"/>
        <w:pageBreakBefore w:val="0"/>
        <w:widowControl/>
        <w:kinsoku/>
        <w:wordWrap/>
        <w:overflowPunct/>
        <w:topLinePunct w:val="0"/>
        <w:autoSpaceDE w:val="0"/>
        <w:autoSpaceDN w:val="0"/>
        <w:bidi w:val="0"/>
        <w:adjustRightInd w:val="0"/>
        <w:snapToGrid/>
        <w:textAlignment w:val="baseline"/>
        <w:rPr>
          <w:rFonts w:hint="default" w:ascii="Times New Roman" w:hAnsi="Times New Roman" w:cs="Times New Roman"/>
        </w:rPr>
      </w:pPr>
      <w:r>
        <w:rPr>
          <w:rFonts w:hint="default" w:ascii="Times New Roman" w:hAnsi="Times New Roman" w:cs="Times New Roman"/>
        </w:rPr>
        <w:t>本规范编制严格遵照 GB/T 1.1-2020 的要求和规定，确 保标准的版式、格式、文本结构、表述方式等方面规范和统 一。同时在术语及相关条文的表述上将严格与国家现行相关 法律、法规、规章及相关标准，特别是强制性标准的协调性。</w:t>
      </w:r>
    </w:p>
    <w:p w14:paraId="39734B72">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p>
    <w:p w14:paraId="0F4B9426">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rPr>
      </w:pPr>
    </w:p>
    <w:p w14:paraId="03214595">
      <w:pPr>
        <w:keepNext w:val="0"/>
        <w:keepLines w:val="0"/>
        <w:pageBreakBefore w:val="0"/>
        <w:widowControl/>
        <w:kinsoku/>
        <w:wordWrap/>
        <w:overflowPunct/>
        <w:topLinePunct w:val="0"/>
        <w:autoSpaceDE w:val="0"/>
        <w:autoSpaceDN w:val="0"/>
        <w:bidi w:val="0"/>
        <w:adjustRightInd w:val="0"/>
        <w:snapToGrid w:val="0"/>
        <w:ind w:firstLine="0" w:firstLineChars="0"/>
        <w:jc w:val="right"/>
        <w:textAlignment w:val="baseline"/>
        <w:rPr>
          <w:rFonts w:hint="default" w:ascii="Times New Roman" w:hAnsi="Times New Roman" w:cs="Times New Roman"/>
        </w:rPr>
      </w:pPr>
      <w:r>
        <w:rPr>
          <w:rFonts w:hint="default" w:ascii="Times New Roman" w:hAnsi="Times New Roman" w:cs="Times New Roman"/>
        </w:rPr>
        <w:t>《基于差分吸收激光雷达的温室气体排放测量装置校准规范》编制组</w:t>
      </w:r>
    </w:p>
    <w:p w14:paraId="1AE3E8DD">
      <w:pPr>
        <w:keepNext w:val="0"/>
        <w:keepLines w:val="0"/>
        <w:pageBreakBefore w:val="0"/>
        <w:widowControl/>
        <w:kinsoku/>
        <w:wordWrap/>
        <w:overflowPunct/>
        <w:topLinePunct w:val="0"/>
        <w:autoSpaceDE w:val="0"/>
        <w:autoSpaceDN w:val="0"/>
        <w:bidi w:val="0"/>
        <w:adjustRightInd w:val="0"/>
        <w:jc w:val="right"/>
        <w:textAlignment w:val="baseline"/>
        <w:rPr>
          <w:rFonts w:hint="default" w:ascii="Times New Roman" w:hAnsi="Times New Roman" w:cs="Times New Roman"/>
        </w:rPr>
      </w:pPr>
      <w:r>
        <w:rPr>
          <w:rFonts w:hint="default" w:ascii="Times New Roman" w:hAnsi="Times New Roman" w:cs="Times New Roman"/>
        </w:rPr>
        <w:t>202</w:t>
      </w:r>
      <w:r>
        <w:rPr>
          <w:rFonts w:hint="eastAsia" w:ascii="Times New Roman" w:hAnsi="Times New Roman" w:cs="Times New Roman"/>
          <w:lang w:val="en-US" w:eastAsia="zh-CN"/>
        </w:rPr>
        <w:t>5</w:t>
      </w:r>
      <w:r>
        <w:rPr>
          <w:rFonts w:hint="default" w:ascii="Times New Roman" w:hAnsi="Times New Roman" w:cs="Times New Roman"/>
        </w:rPr>
        <w:t>年</w:t>
      </w:r>
      <w:r>
        <w:rPr>
          <w:rFonts w:hint="eastAsia" w:ascii="Times New Roman" w:hAnsi="Times New Roman" w:cs="Times New Roman"/>
          <w:lang w:val="en-US" w:eastAsia="zh-CN"/>
        </w:rPr>
        <w:t>8</w:t>
      </w:r>
      <w:r>
        <w:rPr>
          <w:rFonts w:hint="default" w:ascii="Times New Roman" w:hAnsi="Times New Roman" w:cs="Times New Roman"/>
        </w:rPr>
        <w:t>月2</w:t>
      </w:r>
      <w:r>
        <w:rPr>
          <w:rFonts w:hint="eastAsia" w:ascii="Times New Roman" w:hAnsi="Times New Roman" w:cs="Times New Roman"/>
          <w:lang w:val="en-US" w:eastAsia="zh-CN"/>
        </w:rPr>
        <w:t>7</w:t>
      </w:r>
      <w:r>
        <w:rPr>
          <w:rFonts w:hint="default" w:ascii="Times New Roman" w:hAnsi="Times New Roman" w:cs="Times New Roman"/>
        </w:rPr>
        <w:t>日</w:t>
      </w:r>
    </w:p>
    <w:p w14:paraId="5D4F4E3C">
      <w:pPr>
        <w:keepNext w:val="0"/>
        <w:keepLines w:val="0"/>
        <w:pageBreakBefore w:val="0"/>
        <w:widowControl/>
        <w:kinsoku/>
        <w:wordWrap/>
        <w:overflowPunct/>
        <w:topLinePunct w:val="0"/>
        <w:autoSpaceDE w:val="0"/>
        <w:autoSpaceDN w:val="0"/>
        <w:bidi w:val="0"/>
        <w:adjustRightInd w:val="0"/>
        <w:textAlignment w:val="baseline"/>
        <w:rPr>
          <w:rFonts w:hint="default" w:ascii="Times New Roman" w:hAnsi="Times New Roman" w:cs="Times New Roman" w:eastAsiaTheme="minor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82D3A"/>
    <w:rsid w:val="079D7527"/>
    <w:rsid w:val="11C12C43"/>
    <w:rsid w:val="187B3FDA"/>
    <w:rsid w:val="1AB07CF9"/>
    <w:rsid w:val="1C7A3685"/>
    <w:rsid w:val="235A06C3"/>
    <w:rsid w:val="277B343D"/>
    <w:rsid w:val="2CD47877"/>
    <w:rsid w:val="2F740E9D"/>
    <w:rsid w:val="31A43590"/>
    <w:rsid w:val="3207424B"/>
    <w:rsid w:val="32AC5441"/>
    <w:rsid w:val="3A726921"/>
    <w:rsid w:val="3B365BA1"/>
    <w:rsid w:val="44CB1108"/>
    <w:rsid w:val="465B295F"/>
    <w:rsid w:val="4A7A7858"/>
    <w:rsid w:val="4F551C2D"/>
    <w:rsid w:val="55FF3307"/>
    <w:rsid w:val="612105D5"/>
    <w:rsid w:val="63A23C24"/>
    <w:rsid w:val="66B9305E"/>
    <w:rsid w:val="688E4077"/>
    <w:rsid w:val="69643755"/>
    <w:rsid w:val="69F525FF"/>
    <w:rsid w:val="6A58493C"/>
    <w:rsid w:val="6D725D15"/>
    <w:rsid w:val="7DC4436B"/>
    <w:rsid w:val="7F8E2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ind w:firstLine="912" w:firstLineChars="200"/>
      <w:jc w:val="both"/>
      <w:textAlignment w:val="baseline"/>
    </w:pPr>
    <w:rPr>
      <w:rFonts w:ascii="Arial" w:hAnsi="Arial" w:eastAsia="宋体" w:cs="Arial"/>
      <w:snapToGrid w:val="0"/>
      <w:color w:val="000000"/>
      <w:kern w:val="0"/>
      <w:sz w:val="32"/>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2525</Words>
  <Characters>2706</Characters>
  <Lines>0</Lines>
  <Paragraphs>0</Paragraphs>
  <TotalTime>20</TotalTime>
  <ScaleCrop>false</ScaleCrop>
  <LinksUpToDate>false</LinksUpToDate>
  <CharactersWithSpaces>2738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2025-08-26T15:45:00Z</dcterms:created>
  <dc:creator>liang</dc:creator>
  <cp:lastModifiedBy>lw</cp:lastModifiedBy>
  <dcterms:modified xsi:type="dcterms:W3CDTF">2025-08-28T14:45:37Z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eyJoZGlkIjoiM2QwNTQ3OTkwOTkxYjcxZTlkMGFiZmE5MGFlZDk5YmYiLCJ1c2VySWQiOiIzODI0NDk4NTgifQ==</vt:lpwstr>
  </property>
  <property fmtid="{D5CDD505-2E9C-101B-9397-08002B2CF9AE}" pid="4" name="ICV">
    <vt:lpwstr>6DFC3F6607B24C5AB22EC3481E8D41D8_12</vt:lpwstr>
  </property>
</Properties>
</file>