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8B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bookmarkStart w:id="0" w:name="_Toc27955"/>
      <w:bookmarkStart w:id="1" w:name="_Toc32282"/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测量不确定度评定示例</w:t>
      </w:r>
      <w:bookmarkEnd w:id="0"/>
      <w:bookmarkEnd w:id="1"/>
    </w:p>
    <w:p w14:paraId="106A0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本附录仅对差分吸收激光雷达法校准温室气体排放测量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装置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温室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气体排放量测量不确定度评定。</w:t>
      </w:r>
    </w:p>
    <w:p w14:paraId="33D3E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  温室气体排放量校准</w:t>
      </w:r>
    </w:p>
    <w:p w14:paraId="5B680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1.1  校准方法</w:t>
      </w:r>
    </w:p>
    <w:p w14:paraId="69217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按照本规范的规定，将差分吸收激光雷达标准器和温室气体排放测量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装置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分别测量在一定时间内能较为稳定流速排放的气体不少于4次。根据测量结果，取平均值计算出示值误差。</w:t>
      </w:r>
    </w:p>
    <w:p w14:paraId="78A5E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1.2  测量模型</w:t>
      </w:r>
    </w:p>
    <w:p w14:paraId="0170A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被校测量装置的测量模型为：</w:t>
      </w:r>
    </w:p>
    <w:p w14:paraId="73B7C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acc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1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</m:acc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 w:eastAsia="zh-CN"/>
          </w:rPr>
          <m:t>=</m:t>
        </m:r>
        <m:f>
          <m:f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den>
        </m:f>
        <m:nary>
          <m:naryPr>
            <m:chr m:val="∑"/>
            <m:limLoc m:val="undOvr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naryPr>
          <m:sub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i</m:t>
            </m:r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=1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ub>
          <m:sup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up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1</m:t>
                </m:r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i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e>
        </m:nary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                            （1.1）</w:t>
      </w:r>
    </w:p>
    <w:p w14:paraId="00EC6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acc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</m:acc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 w:eastAsia="zh-CN"/>
          </w:rPr>
          <m:t>=</m:t>
        </m:r>
        <m:f>
          <m:f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den>
        </m:f>
        <m:nary>
          <m:naryPr>
            <m:chr m:val="∑"/>
            <m:limLoc m:val="undOvr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naryPr>
          <m:sub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i</m:t>
            </m:r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=1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ub>
          <m:sup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up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2</m:t>
                </m:r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i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e>
        </m:nary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                            （1.2）</w:t>
      </w:r>
    </w:p>
    <w:p w14:paraId="05E44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cs="Times New Roman" w:eastAsiaTheme="minorEastAsia"/>
          <w:i w:val="0"/>
          <w:color w:val="auto"/>
          <w:sz w:val="24"/>
          <w:szCs w:val="24"/>
          <w:highlight w:val="none"/>
          <w:lang w:val="en-US" w:eastAsia="zh-CN"/>
        </w:rPr>
      </w:pPr>
      <m:oMath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/>
          </w:rPr>
          <m:t>∆</m:t>
        </m:r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 w:eastAsia="zh-CN"/>
          </w:rPr>
          <m:t>F=</m:t>
        </m:r>
        <m:acc>
          <m:accPr>
            <m:chr m:val="̅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acc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</m:acc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 w:eastAsia="zh-CN"/>
          </w:rPr>
          <m:t>−</m:t>
        </m:r>
        <m:acc>
          <m:accPr>
            <m:chr m:val="̅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acc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1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</m:acc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                             （1.3）</w:t>
      </w:r>
    </w:p>
    <w:p w14:paraId="768A2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式中：</w:t>
      </w:r>
    </w:p>
    <w:p w14:paraId="7E69A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 w:eastAsiaTheme="minorEastAsia"/>
          <w:i w:val="0"/>
          <w:color w:val="auto"/>
          <w:sz w:val="24"/>
          <w:szCs w:val="24"/>
          <w:highlight w:val="none"/>
          <w:lang w:val="en-US" w:eastAsia="zh-CN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acc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1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</m:acc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——差分吸收激光雷达气体排放量平均示值，kg/h</w:t>
      </w:r>
    </w:p>
    <w:p w14:paraId="1E25F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F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——差分吸收激光雷达气体排放量某一次示值，kg/h</w:t>
      </w:r>
    </w:p>
    <w:p w14:paraId="74203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 w:eastAsiaTheme="minorEastAsia"/>
          <w:i w:val="0"/>
          <w:color w:val="auto"/>
          <w:sz w:val="24"/>
          <w:szCs w:val="24"/>
          <w:highlight w:val="none"/>
          <w:lang w:val="en-US" w:eastAsia="zh-CN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accPr>
          <m:e>
            <m:sSub>
              <m:sSub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cs="Times New Roman"/>
                    <w:i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F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sz w:val="24"/>
                    <w:szCs w:val="24"/>
                    <w:highlight w:val="none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</m:acc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——被校准设备气体排放量平均示值，kg/h</w:t>
      </w:r>
    </w:p>
    <w:p w14:paraId="2A7F1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F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2</m:t>
            </m:r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——被校准设备气体排放量某一次示值，kg/h</w:t>
      </w:r>
    </w:p>
    <w:p w14:paraId="4D3C0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m:oMath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/>
          </w:rPr>
          <m:t>∆</m:t>
        </m:r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sz w:val="24"/>
            <w:szCs w:val="24"/>
            <w:highlight w:val="none"/>
            <w:lang w:val="en-US" w:eastAsia="zh-CN"/>
          </w:rPr>
          <m:t>F</m:t>
        </m:r>
      </m:oMath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——被校设备的示值误差，kg/h</w:t>
      </w:r>
    </w:p>
    <w:p w14:paraId="2C476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3  不确定度来源分析</w:t>
      </w:r>
    </w:p>
    <w:p w14:paraId="0D00AE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3.1  差分吸收激光雷达标准器重复性引入的标准不确定度；</w:t>
      </w:r>
    </w:p>
    <w:p w14:paraId="691346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 xml:space="preserve">3.2  </w:t>
      </w:r>
      <w:r>
        <w:rPr>
          <w:rFonts w:hint="eastAsia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温室气体排放测量装置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重复性引入的不确定度；</w:t>
      </w:r>
    </w:p>
    <w:p w14:paraId="2BC42A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4  不确定度评定</w:t>
      </w:r>
    </w:p>
    <w:p w14:paraId="363891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bookmarkStart w:id="2" w:name="_Toc11671"/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1.4.1  差分吸收激光雷达标准器重复性引入的标准不确定度</w:t>
      </w:r>
      <w:bookmarkEnd w:id="2"/>
    </w:p>
    <w:p w14:paraId="5A77C0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差分吸收激光雷达气体排放量重复性引入的标准不确定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，采用贝塞尔公式，计算见公式.4。</w:t>
      </w:r>
    </w:p>
    <w:p w14:paraId="4BA5D2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m:oMath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s=</m:t>
        </m:r>
        <m:rad>
          <m:radPr>
            <m:degHide m:val="1"/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deg>
          <m:e>
            <m:f>
              <m:fP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naryPr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  <m:t>i=1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  <m:t>n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hint="default" w:ascii="Cambria Math" w:hAnsi="Cambria Math" w:cs="Times New Roman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</m:ctrlPr>
                      </m:sSup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cs="Times New Roman"/>
                            <w:b w:val="0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hint="default" w:ascii="Cambria Math" w:hAnsi="Cambria Math" w:cs="Times New Roman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default" w:ascii="Times New Roman" w:hAnsi="Times New Roman" w:cs="Times New Roman"/>
                                    <w:b w:val="0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  <m:t>x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default" w:ascii="Times New Roman" w:hAnsi="Times New Roman" w:cs="Times New Roman"/>
                                    <w:b w:val="0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default" w:ascii="Cambria Math" w:hAnsi="Cambria Math" w:cs="Times New Roman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</m:ctrlPr>
                          </m:e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Times New Roman" w:hAnsi="Times New Roman" w:cs="Times New Roman"/>
                                <w:b w:val="0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  <m:t>2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</m:ctrlPr>
                          </m:sup>
                        </m:sSup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cs="Times New Roman"/>
                            <w:b w:val="0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  <m:t>−</m:t>
                        </m:r>
                        <m:sSup>
                          <m:sSupPr>
                            <m:ctrlPr>
                              <w:rPr>
                                <w:rFonts w:hint="default" w:ascii="Cambria Math" w:hAnsi="Cambria Math" w:cs="Times New Roman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hint="default" w:ascii="Cambria Math" w:hAnsi="Cambria Math" w:cs="Times New Roman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default" w:ascii="Times New Roman" w:hAnsi="Times New Roman" w:cs="Times New Roman"/>
                                    <w:b w:val="0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  <m:t>x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 w:val="0"/>
                                    <w:color w:val="auto"/>
                                    <w:kern w:val="2"/>
                                    <w:sz w:val="24"/>
                                    <w:szCs w:val="24"/>
                                    <w:highlight w:val="none"/>
                                    <w:lang w:val="en-US" w:eastAsia="zh-CN" w:bidi="ar-SA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hint="default" w:ascii="Cambria Math" w:hAnsi="Cambria Math" w:cs="Times New Roman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</m:ctrlPr>
                          </m:e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Times New Roman" w:hAnsi="Times New Roman" w:cs="Times New Roman"/>
                                <w:b w:val="0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  <m:t>2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i w:val="0"/>
                                <w:color w:val="auto"/>
                                <w:kern w:val="2"/>
                                <w:sz w:val="24"/>
                                <w:szCs w:val="24"/>
                                <w:highlight w:val="none"/>
                                <w:lang w:val="en-US" w:eastAsia="zh-CN" w:bidi="ar-SA"/>
                              </w:rPr>
                            </m:ctrlPr>
                          </m:sup>
                        </m:sSup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cs="Times New Roman"/>
                            <w:b w:val="0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  <m:t>)</m:t>
                        </m:r>
                        <m:ctrlPr>
                          <w:rPr>
                            <w:rFonts w:hint="default" w:ascii="Cambria Math" w:hAnsi="Cambria Math" w:cs="Times New Roman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</m:ctrlPr>
                      </m:e>
                      <m:sup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cs="Times New Roman"/>
                            <w:b w:val="0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  <w:i w:val="0"/>
                            <w:color w:val="auto"/>
                            <w:kern w:val="2"/>
                            <w:sz w:val="24"/>
                            <w:szCs w:val="24"/>
                            <w:highlight w:val="none"/>
                            <w:lang w:val="en-US" w:eastAsia="zh-CN" w:bidi="ar-SA"/>
                          </w:rPr>
                        </m:ctrlPr>
                      </m:sup>
                    </m:sSup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e>
                </m:nary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  <m:t>n−1</m:t>
                </m: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den>
            </m:f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e>
        </m:rad>
      </m:oMath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         （.4）</w:t>
      </w:r>
    </w:p>
    <w:p w14:paraId="69F974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由于差分吸收激光雷达测量方法的特殊性，在获得其标准偏差外，还应除以扫描次数的平方根获得标准偏差，计算见公式.5</w:t>
      </w:r>
    </w:p>
    <w:p w14:paraId="48B7AB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m:oMath>
        <m:sSub>
          <m:sSubPr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u</m:t>
            </m:r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=</m:t>
        </m:r>
        <m:f>
          <m:fPr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s</m:t>
            </m:r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F</m:t>
            </m:r>
            <m:rad>
              <m:radPr>
                <m:degHide m:val="1"/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  <m:t>n</m:t>
                </m: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e>
            </m:rad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×1</m:t>
        </m:r>
      </m:oMath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00%                              （.5）</w:t>
      </w:r>
    </w:p>
    <w:p w14:paraId="564DBA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因此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差分吸收激光雷达气体排放量重复性引入的标准不确定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见表</w:t>
      </w:r>
      <w:bookmarkStart w:id="5" w:name="_GoBack"/>
      <w:bookmarkEnd w:id="5"/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.1</w:t>
      </w:r>
    </w:p>
    <w:p w14:paraId="328AC0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表.1  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差分吸收激光雷达气体排放量重复性引入的标准不确定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ub>
        </m:sSub>
      </m:oMath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851"/>
        <w:gridCol w:w="851"/>
        <w:gridCol w:w="852"/>
        <w:gridCol w:w="852"/>
        <w:gridCol w:w="854"/>
        <w:gridCol w:w="852"/>
        <w:gridCol w:w="852"/>
        <w:gridCol w:w="852"/>
      </w:tblGrid>
      <w:tr w14:paraId="23C3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Merge w:val="restart"/>
            <w:vAlign w:val="center"/>
          </w:tcPr>
          <w:p w14:paraId="163D7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物种</w:t>
            </w:r>
          </w:p>
        </w:tc>
        <w:tc>
          <w:tcPr>
            <w:tcW w:w="4260" w:type="dxa"/>
            <w:gridSpan w:val="5"/>
            <w:vAlign w:val="center"/>
          </w:tcPr>
          <w:p w14:paraId="2ECBD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测量值</w:t>
            </w:r>
          </w:p>
        </w:tc>
        <w:tc>
          <w:tcPr>
            <w:tcW w:w="852" w:type="dxa"/>
            <w:vMerge w:val="restart"/>
            <w:vAlign w:val="center"/>
          </w:tcPr>
          <w:p w14:paraId="51E80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平均值</w:t>
            </w:r>
          </w:p>
        </w:tc>
        <w:tc>
          <w:tcPr>
            <w:tcW w:w="852" w:type="dxa"/>
            <w:vMerge w:val="restart"/>
            <w:vAlign w:val="center"/>
          </w:tcPr>
          <w:p w14:paraId="6C88D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S1</w:t>
            </w:r>
          </w:p>
        </w:tc>
        <w:tc>
          <w:tcPr>
            <w:tcW w:w="852" w:type="dxa"/>
            <w:vMerge w:val="restart"/>
            <w:vAlign w:val="center"/>
          </w:tcPr>
          <w:p w14:paraId="36304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u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</w:tr>
      <w:tr w14:paraId="3CF4A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Merge w:val="continue"/>
            <w:vAlign w:val="center"/>
          </w:tcPr>
          <w:p w14:paraId="63476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76832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11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14:paraId="638BF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12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2" w:type="dxa"/>
            <w:vAlign w:val="center"/>
          </w:tcPr>
          <w:p w14:paraId="357C8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13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2" w:type="dxa"/>
            <w:vAlign w:val="center"/>
          </w:tcPr>
          <w:p w14:paraId="03560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14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4" w:type="dxa"/>
            <w:vAlign w:val="center"/>
          </w:tcPr>
          <w:p w14:paraId="2E4C7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15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2" w:type="dxa"/>
            <w:vMerge w:val="continue"/>
            <w:vAlign w:val="center"/>
          </w:tcPr>
          <w:p w14:paraId="13432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Merge w:val="continue"/>
            <w:vAlign w:val="center"/>
          </w:tcPr>
          <w:p w14:paraId="7A5F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Merge w:val="continue"/>
            <w:vAlign w:val="center"/>
          </w:tcPr>
          <w:p w14:paraId="2BF0B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C183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 w14:paraId="7293D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CH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subscript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5A569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15.47</w:t>
            </w:r>
          </w:p>
        </w:tc>
        <w:tc>
          <w:tcPr>
            <w:tcW w:w="851" w:type="dxa"/>
            <w:vAlign w:val="center"/>
          </w:tcPr>
          <w:p w14:paraId="7B9C1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21.47</w:t>
            </w:r>
          </w:p>
        </w:tc>
        <w:tc>
          <w:tcPr>
            <w:tcW w:w="852" w:type="dxa"/>
            <w:vAlign w:val="center"/>
          </w:tcPr>
          <w:p w14:paraId="7CF0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21.41</w:t>
            </w:r>
          </w:p>
        </w:tc>
        <w:tc>
          <w:tcPr>
            <w:tcW w:w="852" w:type="dxa"/>
            <w:vAlign w:val="center"/>
          </w:tcPr>
          <w:p w14:paraId="7451F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17.48</w:t>
            </w:r>
          </w:p>
        </w:tc>
        <w:tc>
          <w:tcPr>
            <w:tcW w:w="854" w:type="dxa"/>
            <w:vAlign w:val="center"/>
          </w:tcPr>
          <w:p w14:paraId="1C64C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19.04</w:t>
            </w:r>
          </w:p>
        </w:tc>
        <w:tc>
          <w:tcPr>
            <w:tcW w:w="852" w:type="dxa"/>
            <w:vAlign w:val="center"/>
          </w:tcPr>
          <w:p w14:paraId="79D14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18.97</w:t>
            </w:r>
          </w:p>
        </w:tc>
        <w:tc>
          <w:tcPr>
            <w:tcW w:w="852" w:type="dxa"/>
            <w:vAlign w:val="center"/>
          </w:tcPr>
          <w:p w14:paraId="6D79E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2.58</w:t>
            </w:r>
          </w:p>
        </w:tc>
        <w:tc>
          <w:tcPr>
            <w:tcW w:w="852" w:type="dxa"/>
            <w:vAlign w:val="center"/>
          </w:tcPr>
          <w:p w14:paraId="4608B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6.13%</w:t>
            </w:r>
          </w:p>
        </w:tc>
      </w:tr>
    </w:tbl>
    <w:p w14:paraId="4D5F04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2E3E5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0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bookmarkStart w:id="3" w:name="_Toc8397"/>
      <w:bookmarkStart w:id="4" w:name="_Toc8500"/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 xml:space="preserve">1.4.2  </w:t>
      </w:r>
      <w:r>
        <w:rPr>
          <w:rFonts w:hint="eastAsia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温室气体排放测量装置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重复性引入的不确定度</w:t>
      </w:r>
      <w:bookmarkEnd w:id="3"/>
      <w:bookmarkEnd w:id="4"/>
    </w:p>
    <w:p w14:paraId="137A7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温室气体排放测量装置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重复性引入的不确定度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2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，计算见公式.4，因此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被校准设备重复性引入的不确定度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见表.2</w:t>
      </w:r>
    </w:p>
    <w:p w14:paraId="68A0A7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表.2  </w:t>
      </w: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被校准设备重复性引入的不确定度</w:t>
      </w: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highlight w:val="none"/>
                <w:lang w:val="en-US" w:eastAsia="zh-CN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sz w:val="24"/>
                <w:szCs w:val="24"/>
                <w:highlight w:val="none"/>
                <w:lang w:val="en-US" w:eastAsia="zh-CN"/>
              </w:rPr>
              <m:t>2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lang w:val="en-US"/>
              </w:rPr>
            </m:ctrlPr>
          </m:sub>
        </m:sSub>
      </m:oMath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851"/>
        <w:gridCol w:w="851"/>
        <w:gridCol w:w="852"/>
        <w:gridCol w:w="852"/>
        <w:gridCol w:w="854"/>
        <w:gridCol w:w="852"/>
        <w:gridCol w:w="852"/>
        <w:gridCol w:w="956"/>
      </w:tblGrid>
      <w:tr w14:paraId="0985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Merge w:val="restart"/>
            <w:vAlign w:val="center"/>
          </w:tcPr>
          <w:p w14:paraId="5E4FB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物种</w:t>
            </w:r>
          </w:p>
        </w:tc>
        <w:tc>
          <w:tcPr>
            <w:tcW w:w="4260" w:type="dxa"/>
            <w:gridSpan w:val="5"/>
            <w:vAlign w:val="center"/>
          </w:tcPr>
          <w:p w14:paraId="48A97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测量值</w:t>
            </w:r>
          </w:p>
        </w:tc>
        <w:tc>
          <w:tcPr>
            <w:tcW w:w="852" w:type="dxa"/>
            <w:vMerge w:val="restart"/>
            <w:vAlign w:val="center"/>
          </w:tcPr>
          <w:p w14:paraId="4126B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平均值</w:t>
            </w:r>
          </w:p>
        </w:tc>
        <w:tc>
          <w:tcPr>
            <w:tcW w:w="852" w:type="dxa"/>
            <w:vMerge w:val="restart"/>
            <w:vAlign w:val="center"/>
          </w:tcPr>
          <w:p w14:paraId="0C763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S2</w:t>
            </w:r>
          </w:p>
        </w:tc>
        <w:tc>
          <w:tcPr>
            <w:tcW w:w="852" w:type="dxa"/>
            <w:vMerge w:val="restart"/>
            <w:vAlign w:val="center"/>
          </w:tcPr>
          <w:p w14:paraId="0DB26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u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</w:tr>
      <w:tr w14:paraId="49DD7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Merge w:val="continue"/>
            <w:vAlign w:val="center"/>
          </w:tcPr>
          <w:p w14:paraId="00845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7E18B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21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14:paraId="196C4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22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2" w:type="dxa"/>
            <w:vAlign w:val="center"/>
          </w:tcPr>
          <w:p w14:paraId="63A43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23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2" w:type="dxa"/>
            <w:vAlign w:val="center"/>
          </w:tcPr>
          <w:p w14:paraId="1753F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24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4" w:type="dxa"/>
            <w:vAlign w:val="center"/>
          </w:tcPr>
          <w:p w14:paraId="48784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hint="default" w:ascii="Times New Roman" w:hAnsi="Times New Roman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F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 w:eastAsia="zh-CN"/>
                      </w:rPr>
                      <m:t>25</m:t>
                    </m:r>
                    <m:ctrlPr>
                      <w:rPr>
                        <w:rFonts w:hint="default" w:ascii="Cambria Math" w:hAnsi="Cambria Math" w:cs="Times New Roman"/>
                        <w:i/>
                        <w:color w:val="auto"/>
                        <w:sz w:val="24"/>
                        <w:szCs w:val="24"/>
                        <w:highlight w:val="none"/>
                        <w:vertAlign w:val="baseline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852" w:type="dxa"/>
            <w:vMerge w:val="continue"/>
            <w:vAlign w:val="center"/>
          </w:tcPr>
          <w:p w14:paraId="153B0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Merge w:val="continue"/>
            <w:vAlign w:val="center"/>
          </w:tcPr>
          <w:p w14:paraId="1E7E0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Merge w:val="continue"/>
            <w:vAlign w:val="center"/>
          </w:tcPr>
          <w:p w14:paraId="6F9C3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C36E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 w14:paraId="67D17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CH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subscript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15D91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15.89</w:t>
            </w:r>
          </w:p>
        </w:tc>
        <w:tc>
          <w:tcPr>
            <w:tcW w:w="851" w:type="dxa"/>
            <w:vAlign w:val="center"/>
          </w:tcPr>
          <w:p w14:paraId="31EB7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20.63</w:t>
            </w:r>
          </w:p>
        </w:tc>
        <w:tc>
          <w:tcPr>
            <w:tcW w:w="852" w:type="dxa"/>
            <w:vAlign w:val="center"/>
          </w:tcPr>
          <w:p w14:paraId="412CE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17.57</w:t>
            </w:r>
          </w:p>
        </w:tc>
        <w:tc>
          <w:tcPr>
            <w:tcW w:w="852" w:type="dxa"/>
            <w:vAlign w:val="center"/>
          </w:tcPr>
          <w:p w14:paraId="5798C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17.36</w:t>
            </w:r>
          </w:p>
        </w:tc>
        <w:tc>
          <w:tcPr>
            <w:tcW w:w="854" w:type="dxa"/>
            <w:vAlign w:val="center"/>
          </w:tcPr>
          <w:p w14:paraId="6E16C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19.45</w:t>
            </w:r>
          </w:p>
        </w:tc>
        <w:tc>
          <w:tcPr>
            <w:tcW w:w="852" w:type="dxa"/>
            <w:vAlign w:val="center"/>
          </w:tcPr>
          <w:p w14:paraId="12C54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18.18</w:t>
            </w:r>
          </w:p>
        </w:tc>
        <w:tc>
          <w:tcPr>
            <w:tcW w:w="852" w:type="dxa"/>
            <w:vAlign w:val="center"/>
          </w:tcPr>
          <w:p w14:paraId="311D6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1.86</w:t>
            </w:r>
          </w:p>
        </w:tc>
        <w:tc>
          <w:tcPr>
            <w:tcW w:w="852" w:type="dxa"/>
            <w:vAlign w:val="center"/>
          </w:tcPr>
          <w:p w14:paraId="710CC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10.23%</w:t>
            </w:r>
          </w:p>
        </w:tc>
      </w:tr>
    </w:tbl>
    <w:p w14:paraId="448691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4E4A1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1.4.3  合成标准不确定度的计算</w:t>
      </w:r>
    </w:p>
    <w:p w14:paraId="1BC95C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温室气体排放测量装置</w:t>
      </w: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不确定度分量评定结果为不相关，因此其合成标准不确定度的计算公式.6</w:t>
      </w:r>
    </w:p>
    <w:p w14:paraId="0ABB1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m:oMath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u=</m:t>
        </m:r>
        <m:rad>
          <m:radPr>
            <m:degHide m:val="1"/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deg>
          <m:e>
            <m:sSup>
              <m:sSupP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  <m:t>u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  <m:t>1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  <m:t>2</m:t>
                </m: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+</m:t>
            </m:r>
            <m:sSup>
              <m:sSupP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  <m:t>u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cs="Times New Roman"/>
                        <w:b w:val="0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  <w:i w:val="0"/>
                        <w:color w:val="auto"/>
                        <w:kern w:val="2"/>
                        <w:sz w:val="24"/>
                        <w:szCs w:val="24"/>
                        <w:highlight w:val="none"/>
                        <w:lang w:val="en-US" w:eastAsia="zh-CN" w:bidi="ar-SA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cs="Times New Roman"/>
                    <w:b w:val="0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  <m:t>2</m:t>
                </m:r>
                <m:ctrlPr>
                  <w:rPr>
                    <w:rFonts w:hint="default" w:ascii="Cambria Math" w:hAnsi="Cambria Math" w:cs="Times New Roman"/>
                    <w:i w:val="0"/>
                    <w:color w:val="auto"/>
                    <w:kern w:val="2"/>
                    <w:sz w:val="24"/>
                    <w:szCs w:val="24"/>
                    <w:highlight w:val="none"/>
                    <w:lang w:val="en-US" w:eastAsia="zh-CN" w:bidi="ar-SA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i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=11.92%</m:t>
        </m:r>
      </m:oMath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 （.6）</w:t>
      </w:r>
    </w:p>
    <w:p w14:paraId="472634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1.4.4  扩展不确定度的计算</w:t>
      </w:r>
    </w:p>
    <w:p w14:paraId="0B5583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取k=2，</w:t>
      </w:r>
      <w:r>
        <w:rPr>
          <w:rFonts w:hint="eastAsia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温室气体排放测量装置</w:t>
      </w: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的气体排放量不确定度为：</w:t>
      </w:r>
    </w:p>
    <w:p w14:paraId="5E9D9B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Times New Roman" w:hAnsi="Times New Roman" w:cs="Times New Roman" w:eastAsiaTheme="minorEastAsia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m:oMath>
        <m:sSub>
          <m:sSubPr>
            <m:ctrlPr>
              <w:rPr>
                <w:rFonts w:hint="default" w:ascii="Cambria Math" w:hAnsi="Cambria Math" w:cs="Times New Roman"/>
                <w:i/>
                <w:color w:val="auto"/>
                <w:kern w:val="2"/>
                <w:sz w:val="24"/>
                <w:szCs w:val="24"/>
                <w:highlight w:val="none"/>
                <w:lang w:val="en-US" w:bidi="ar-SA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u</m:t>
            </m:r>
            <m:ctrlPr>
              <w:rPr>
                <w:rFonts w:hint="default" w:ascii="Cambria Math" w:hAnsi="Cambria Math" w:cs="Times New Roman"/>
                <w:i/>
                <w:color w:val="auto"/>
                <w:kern w:val="2"/>
                <w:sz w:val="24"/>
                <w:szCs w:val="24"/>
                <w:highlight w:val="none"/>
                <w:lang w:val="en-US" w:bidi="ar-SA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cs="Times New Roman"/>
                <w:i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m:t>rel</m:t>
            </m:r>
            <m:ctrlPr>
              <w:rPr>
                <w:rFonts w:hint="default" w:ascii="Cambria Math" w:hAnsi="Cambria Math" w:cs="Times New Roman"/>
                <w:i/>
                <w:color w:val="auto"/>
                <w:kern w:val="2"/>
                <w:sz w:val="24"/>
                <w:szCs w:val="24"/>
                <w:highlight w:val="none"/>
                <w:lang w:val="en-US" w:bidi="ar-SA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=</m:t>
        </m:r>
        <m:r>
          <m:rPr>
            <m:nor/>
          </m:rPr>
          <w:rPr>
            <w:rFonts w:hint="default" w:ascii="Times New Roman" w:hAnsi="Times New Roman" w:cs="Times New Roman"/>
            <w:i/>
            <w:color w:val="auto"/>
            <w:kern w:val="2"/>
            <w:sz w:val="24"/>
            <w:szCs w:val="24"/>
            <w:highlight w:val="none"/>
            <w:lang w:val="en-US" w:eastAsia="zh-CN" w:bidi="ar-SA"/>
          </w:rPr>
          <m:t>k</m:t>
        </m:r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×</m:t>
        </m:r>
        <m:r>
          <m:rPr>
            <m:nor/>
          </m:rPr>
          <w:rPr>
            <w:rFonts w:hint="default" w:ascii="Times New Roman" w:hAnsi="Times New Roman" w:cs="Times New Roman"/>
            <w:i/>
            <w:color w:val="auto"/>
            <w:kern w:val="2"/>
            <w:sz w:val="24"/>
            <w:szCs w:val="24"/>
            <w:highlight w:val="none"/>
            <w:lang w:val="en-US" w:eastAsia="zh-CN" w:bidi="ar-SA"/>
          </w:rPr>
          <m:t>u</m:t>
        </m:r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color w:val="auto"/>
            <w:kern w:val="2"/>
            <w:sz w:val="24"/>
            <w:szCs w:val="24"/>
            <w:highlight w:val="none"/>
            <w:lang w:val="en-US" w:eastAsia="zh-CN" w:bidi="ar-SA"/>
          </w:rPr>
          <m:t>=2×11.92%=23.84%</m:t>
        </m:r>
      </m:oMath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（.7）</w:t>
      </w:r>
    </w:p>
    <w:p w14:paraId="22B28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sectPr>
          <w:footerReference r:id="rId3" w:type="default"/>
          <w:pgSz w:w="11906" w:h="16838"/>
          <w:pgMar w:top="1247" w:right="1134" w:bottom="1361" w:left="1418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5E0A286B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both"/>
        <w:textAlignment w:val="auto"/>
        <w:rPr>
          <w:rFonts w:hint="default" w:ascii="Times New Roman" w:hAnsi="Times New Roman" w:cs="Times New Roman"/>
          <w:i w:val="0"/>
          <w:color w:val="auto"/>
          <w:position w:val="-32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position w:val="-32"/>
          <w:sz w:val="24"/>
          <w:szCs w:val="24"/>
          <w:highlight w:val="none"/>
          <w:lang w:val="en-US" w:eastAsia="zh-CN"/>
        </w:rPr>
        <w:t>2  距离分辨率</w:t>
      </w:r>
    </w:p>
    <w:p w14:paraId="01F76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2.1  概述</w:t>
      </w:r>
    </w:p>
    <w:p w14:paraId="7695E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4"/>
          <w:szCs w:val="24"/>
          <w:highlight w:val="none"/>
          <w:lang w:val="en-US" w:eastAsia="zh-CN"/>
        </w:rPr>
        <w:t>2.2  被校仪器：</w:t>
      </w:r>
    </w:p>
    <w:p w14:paraId="4292F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名称：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温室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气体排放测量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装置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。</w:t>
      </w:r>
    </w:p>
    <w:p w14:paraId="16F28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2.3  校准依据</w:t>
      </w:r>
    </w:p>
    <w:p w14:paraId="79E65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《基于差分吸收激光雷达的温室气体排放测量装置校准规范》</w:t>
      </w:r>
    </w:p>
    <w:p w14:paraId="4CEA0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2.4  校准方法：</w:t>
      </w:r>
    </w:p>
    <w:p w14:paraId="714AD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沿激光路径向后移动玻璃板，当观察到后向散射信号中强反射点位置发生改变，停止移动，标记为0点。再次向后移动，直到强反射点位置再次发生改变，记录该点与0点的距离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。</w:t>
      </w:r>
    </w:p>
    <w:p w14:paraId="6FBC5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2.5  测量模型</w:t>
      </w:r>
    </w:p>
    <w:p w14:paraId="61E2957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position w:val="-30"/>
          <w:sz w:val="24"/>
          <w:szCs w:val="24"/>
          <w:highlight w:val="none"/>
          <w:vertAlign w:val="baseline"/>
          <w:lang w:val="en-US" w:eastAsia="zh-CN"/>
        </w:rPr>
        <w:object>
          <v:shape id="_x0000_i1025" o:spt="75" type="#_x0000_t75" style="height:34pt;width:5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 w14:paraId="5F4EA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2.6  测量不确定度来源</w:t>
      </w:r>
    </w:p>
    <w:p w14:paraId="7A711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标准器钢卷尺、激光测距仪不确定度</w:t>
      </w:r>
    </w:p>
    <w:p w14:paraId="2D7D3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钢卷尺重复性</w:t>
      </w:r>
    </w:p>
    <w:p w14:paraId="51F4F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2.7  各分量不确定度</w:t>
      </w:r>
    </w:p>
    <w:p w14:paraId="58CECE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 钢卷尺引入不确定度</w:t>
      </w:r>
    </w:p>
    <w:p w14:paraId="79036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根据校准规范，钢卷尺扩展不确定度不大于1%，</w:t>
      </w:r>
      <w:r>
        <w:rPr>
          <w:rFonts w:hint="default" w:ascii="Times New Roman" w:hAnsi="Times New Roman" w:cs="Times New Roman"/>
          <w:i w:val="0"/>
          <w:color w:val="auto"/>
          <w:position w:val="-6"/>
          <w:sz w:val="24"/>
          <w:szCs w:val="24"/>
          <w:highlight w:val="none"/>
          <w:lang w:val="en-US" w:eastAsia="zh-CN"/>
        </w:rPr>
        <w:object>
          <v:shape id="_x0000_i1026" o:spt="75" type="#_x0000_t75" style="height:13.95pt;width:2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，即相对不确定度</w:t>
      </w:r>
      <w:r>
        <w:rPr>
          <w:rFonts w:hint="default" w:ascii="Times New Roman" w:hAnsi="Times New Roman" w:cs="Times New Roman"/>
          <w:i/>
          <w:color w:val="auto"/>
          <w:position w:val="-10"/>
          <w:sz w:val="24"/>
          <w:szCs w:val="24"/>
          <w:highlight w:val="none"/>
          <w:lang w:val="en-US" w:eastAsia="zh-CN"/>
        </w:rPr>
        <w:object>
          <v:shape id="_x0000_i1027" o:spt="75" type="#_x0000_t75" style="height:17pt;width:67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 w14:paraId="5E0417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 xml:space="preserve"> 钢卷尺重复性</w:t>
      </w:r>
    </w:p>
    <w:p w14:paraId="70D50640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以校准点1为例，测得距离分辨率为3.77m、3.75m、3.73m、3.78m、3.74m，用贝塞尔公式计算重复性</w:t>
      </w:r>
    </w:p>
    <w:p w14:paraId="0027DA1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default" w:ascii="Times New Roman" w:hAnsi="Times New Roman" w:cs="Times New Roman"/>
          <w:i w:val="0"/>
          <w:color w:val="auto"/>
          <w:position w:val="-32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position w:val="-30"/>
          <w:sz w:val="24"/>
          <w:szCs w:val="24"/>
          <w:highlight w:val="none"/>
          <w:lang w:val="en-US" w:eastAsia="zh-CN"/>
        </w:rPr>
        <w:object>
          <v:shape id="_x0000_i1028" o:spt="75" type="#_x0000_t75" style="height:38pt;width:47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color w:val="auto"/>
          <w:position w:val="-32"/>
          <w:sz w:val="24"/>
          <w:szCs w:val="24"/>
          <w:highlight w:val="none"/>
          <w:lang w:val="en-US" w:eastAsia="zh-CN"/>
        </w:rPr>
        <w:object>
          <v:shape id="_x0000_i1029" o:spt="75" type="#_x0000_t75" style="height:35pt;width:16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 w14:paraId="6D55C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2.8  合成相对不确定度</w:t>
      </w:r>
    </w:p>
    <w:p w14:paraId="40C61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)  标准不确定度汇总表</w:t>
      </w:r>
    </w:p>
    <w:p w14:paraId="29986916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表.3  标准不确定度分量汇总表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C227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0D537551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相对不确定度分量</w:t>
            </w:r>
          </w:p>
        </w:tc>
        <w:tc>
          <w:tcPr>
            <w:tcW w:w="2841" w:type="dxa"/>
            <w:vAlign w:val="center"/>
          </w:tcPr>
          <w:p w14:paraId="688E8326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不确定度来源</w:t>
            </w:r>
          </w:p>
        </w:tc>
        <w:tc>
          <w:tcPr>
            <w:tcW w:w="2841" w:type="dxa"/>
            <w:vAlign w:val="center"/>
          </w:tcPr>
          <w:p w14:paraId="0063E412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相对不确定度值</w:t>
            </w:r>
          </w:p>
        </w:tc>
      </w:tr>
      <w:tr w14:paraId="11A7E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10CD4211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position w:val="-10"/>
                <w:sz w:val="24"/>
                <w:szCs w:val="24"/>
                <w:highlight w:val="none"/>
                <w:lang w:val="en-US" w:eastAsia="zh-CN"/>
              </w:rPr>
              <w:object>
                <v:shape id="_x0000_i1030" o:spt="75" type="#_x0000_t75" style="height:17pt;width:24.9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2841" w:type="dxa"/>
            <w:vAlign w:val="center"/>
          </w:tcPr>
          <w:p w14:paraId="01CE1E71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证书</w:t>
            </w:r>
          </w:p>
        </w:tc>
        <w:tc>
          <w:tcPr>
            <w:tcW w:w="2841" w:type="dxa"/>
            <w:vAlign w:val="center"/>
          </w:tcPr>
          <w:p w14:paraId="584B72A6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0.05%</w:t>
            </w:r>
          </w:p>
        </w:tc>
      </w:tr>
      <w:tr w14:paraId="03C2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40C1BA92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position w:val="-10"/>
                <w:sz w:val="24"/>
                <w:szCs w:val="24"/>
                <w:highlight w:val="none"/>
                <w:lang w:val="en-US" w:eastAsia="zh-CN"/>
              </w:rPr>
              <w:object>
                <v:shape id="_x0000_i1031" o:spt="75" type="#_x0000_t75" style="height:17pt;width:16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</w:p>
        </w:tc>
        <w:tc>
          <w:tcPr>
            <w:tcW w:w="2841" w:type="dxa"/>
            <w:vAlign w:val="center"/>
          </w:tcPr>
          <w:p w14:paraId="1AB1E034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重复性</w:t>
            </w:r>
          </w:p>
        </w:tc>
        <w:tc>
          <w:tcPr>
            <w:tcW w:w="2841" w:type="dxa"/>
            <w:vAlign w:val="center"/>
          </w:tcPr>
          <w:p w14:paraId="1B1B5B9B">
            <w:pPr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0.11%</w:t>
            </w:r>
          </w:p>
        </w:tc>
      </w:tr>
    </w:tbl>
    <w:p w14:paraId="2354C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)  合成标准不确定度：</w:t>
      </w:r>
    </w:p>
    <w:p w14:paraId="386BD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lang w:val="en-US" w:eastAsia="zh-CN"/>
        </w:rPr>
        <w:t>输入量彼此独立不相关，所以合成标准不确定度按下式得到：</w:t>
      </w:r>
    </w:p>
    <w:p w14:paraId="4349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position w:val="-14"/>
          <w:sz w:val="24"/>
          <w:szCs w:val="24"/>
          <w:highlight w:val="none"/>
          <w:lang w:val="en-US" w:eastAsia="zh-CN" w:bidi="ar-SA"/>
        </w:rPr>
        <w:object>
          <v:shape id="_x0000_i1032" o:spt="75" type="#_x0000_t75" style="height:24pt;width:28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 w14:paraId="6F6DB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2.9  扩展不确定度</w:t>
      </w:r>
    </w:p>
    <w:p w14:paraId="6D01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差分吸收激光雷达距离分辨率示值误差不确定度取包含因子k=2，校准结果的不确定度：</w:t>
      </w:r>
    </w:p>
    <w:p w14:paraId="65237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/>
          <w:i w:val="0"/>
          <w:color w:val="auto"/>
          <w:kern w:val="2"/>
          <w:position w:val="-10"/>
          <w:sz w:val="24"/>
          <w:szCs w:val="24"/>
          <w:highlight w:val="none"/>
          <w:lang w:val="en-US" w:eastAsia="zh-CN" w:bidi="ar-SA"/>
        </w:rPr>
        <w:sectPr>
          <w:pgSz w:w="11906" w:h="16838"/>
          <w:pgMar w:top="1247" w:right="1134" w:bottom="1361" w:left="1418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i w:val="0"/>
          <w:color w:val="auto"/>
          <w:kern w:val="2"/>
          <w:position w:val="-10"/>
          <w:sz w:val="24"/>
          <w:szCs w:val="24"/>
          <w:highlight w:val="none"/>
          <w:lang w:val="en-US" w:eastAsia="zh-CN" w:bidi="ar-SA"/>
        </w:rPr>
        <w:object>
          <v:shape id="_x0000_i1033" o:spt="75" type="#_x0000_t75" style="height:17pt;width:14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 w14:paraId="22B1DA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B4A74"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8923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51063D6E">
                              <w:pPr>
                                <w:pStyle w:val="2"/>
                                <w:jc w:val="right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EF1349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8923"/>
                      <w:docPartObj>
                        <w:docPartGallery w:val="autotext"/>
                      </w:docPartObj>
                    </w:sdtPr>
                    <w:sdtContent>
                      <w:p w14:paraId="51063D6E">
                        <w:pPr>
                          <w:pStyle w:val="2"/>
                          <w:jc w:val="right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 w14:paraId="6EF1349D"/>
                </w:txbxContent>
              </v:textbox>
            </v:shape>
          </w:pict>
        </mc:Fallback>
      </mc:AlternateContent>
    </w:r>
  </w:p>
  <w:p w14:paraId="4EB3B384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44D313"/>
    <w:multiLevelType w:val="singleLevel"/>
    <w:tmpl w:val="E644D313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65958"/>
    <w:rsid w:val="2246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2025-08-28T14:39:39Z</dcterms:created>
  <dc:creator>liang</dc:creator>
  <cp:lastModifiedBy>lw</cp:lastModifiedBy>
  <dcterms:modified xsi:type="dcterms:W3CDTF">2025-08-28T15:20:21Z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eyJoZGlkIjoiM2QwNTQ3OTkwOTkxYjcxZTlkMGFiZmE5MGFlZDk5YmYiLCJ1c2VySWQiOiIzODI0NDk4NTgifQ==</vt:lpwstr>
  </property>
  <property fmtid="{D5CDD505-2E9C-101B-9397-08002B2CF9AE}" pid="4" name="ICV">
    <vt:lpwstr>6EEEF64B0221413B95735DCD2412CCB8_12</vt:lpwstr>
  </property>
</Properties>
</file>