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9BE50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sz w:val="44"/>
          <w:szCs w:val="44"/>
        </w:rPr>
      </w:pPr>
      <w:r>
        <w:rPr>
          <w:sz w:val="44"/>
          <w:szCs w:val="44"/>
        </w:rPr>
        <w:t>基于差分吸收激光雷达的温室气体排放测量装置校准规范-试验报告</w:t>
      </w:r>
    </w:p>
    <w:p w14:paraId="445F7309"/>
    <w:p w14:paraId="4D0696E8">
      <w:pPr>
        <w:jc w:val="center"/>
        <w:rPr>
          <w:rFonts w:hint="eastAsia"/>
          <w:sz w:val="44"/>
          <w:szCs w:val="44"/>
          <w:lang w:val="en-US" w:eastAsia="zh-CN"/>
        </w:rPr>
      </w:pPr>
    </w:p>
    <w:p w14:paraId="5BAF831C">
      <w:pPr>
        <w:jc w:val="center"/>
        <w:rPr>
          <w:rFonts w:hint="eastAsia"/>
          <w:sz w:val="44"/>
          <w:szCs w:val="44"/>
          <w:lang w:val="en-US" w:eastAsia="zh-CN"/>
        </w:rPr>
      </w:pPr>
      <w:bookmarkStart w:id="40" w:name="_GoBack"/>
      <w:bookmarkEnd w:id="40"/>
      <w:r>
        <w:rPr>
          <w:rFonts w:hint="eastAsia"/>
          <w:sz w:val="44"/>
          <w:szCs w:val="44"/>
          <w:lang w:val="en-US" w:eastAsia="zh-CN"/>
        </w:rPr>
        <w:t>试验目的</w:t>
      </w:r>
    </w:p>
    <w:p w14:paraId="4A4E8BAE">
      <w:pPr>
        <w:rPr>
          <w:rFonts w:hint="eastAsia"/>
          <w:lang w:val="en-US" w:eastAsia="zh-CN"/>
        </w:rPr>
      </w:pPr>
    </w:p>
    <w:p w14:paraId="4493B568"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试验旨在依据《基于差分吸收激光雷达的温室气体排放测量装置校准规范》，对温室气体排放测量装置的核心性能指标进行校准与验证。通过精准测量气体排放速率的示值误差、示值重复性，以及空间分辨率的示值误差，评估该装置测量结果的准确性、稳定性与空间分辨能力，确保其在温室气体（甲烷、二氧化碳）排放监测场景中提供可靠数据，为后续温室气体排放核算、环境监管等工作提供计量技术支撑。</w:t>
      </w:r>
    </w:p>
    <w:p w14:paraId="619AF4B4">
      <w:pPr>
        <w:rPr>
          <w:rFonts w:hint="eastAsia"/>
          <w:lang w:val="en-US" w:eastAsia="zh-CN"/>
        </w:rPr>
      </w:pPr>
    </w:p>
    <w:p w14:paraId="2EF70D26">
      <w:pPr>
        <w:rPr>
          <w:rFonts w:hint="eastAsia"/>
          <w:lang w:val="en-US" w:eastAsia="zh-CN"/>
        </w:rPr>
      </w:pPr>
    </w:p>
    <w:p w14:paraId="071BDF05">
      <w:pPr>
        <w:rPr>
          <w:rFonts w:hint="eastAsia"/>
          <w:lang w:val="en-US" w:eastAsia="zh-CN"/>
        </w:rPr>
      </w:pPr>
    </w:p>
    <w:p w14:paraId="2B4AAF55">
      <w:pPr>
        <w:rPr>
          <w:rFonts w:hint="eastAsia"/>
          <w:lang w:val="en-US" w:eastAsia="zh-CN"/>
        </w:rPr>
      </w:pPr>
    </w:p>
    <w:p w14:paraId="6D5AB771">
      <w:pPr>
        <w:rPr>
          <w:rFonts w:hint="eastAsia"/>
          <w:lang w:val="en-US" w:eastAsia="zh-CN"/>
        </w:rPr>
      </w:pPr>
    </w:p>
    <w:p w14:paraId="34B16794">
      <w:pPr>
        <w:rPr>
          <w:rFonts w:hint="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BF3C629">
      <w:pPr>
        <w:rPr>
          <w:rFonts w:hint="default"/>
          <w:lang w:val="en-US" w:eastAsia="zh-CN"/>
        </w:rPr>
      </w:pPr>
    </w:p>
    <w:p w14:paraId="43382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基于差分吸收激光雷达的温室气体排放测量装置校准</w:t>
      </w:r>
      <w:r>
        <w:rPr>
          <w:rFonts w:hint="eastAsia"/>
          <w:sz w:val="28"/>
          <w:szCs w:val="28"/>
          <w:lang w:val="en-US" w:eastAsia="zh-CN"/>
        </w:rPr>
        <w:t>结果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870"/>
        <w:gridCol w:w="838"/>
        <w:gridCol w:w="2119"/>
        <w:gridCol w:w="2233"/>
        <w:gridCol w:w="1892"/>
      </w:tblGrid>
      <w:tr w14:paraId="68E4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 w14:paraId="217576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0" w:type="auto"/>
            <w:vAlign w:val="center"/>
          </w:tcPr>
          <w:p w14:paraId="75AB0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0" w:type="auto"/>
            <w:vAlign w:val="center"/>
          </w:tcPr>
          <w:p w14:paraId="4B780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0" w:type="auto"/>
            <w:vAlign w:val="center"/>
          </w:tcPr>
          <w:p w14:paraId="42D5E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温室气体排放量示值误差（%）</w:t>
            </w:r>
          </w:p>
        </w:tc>
        <w:tc>
          <w:tcPr>
            <w:tcW w:w="0" w:type="auto"/>
            <w:vAlign w:val="center"/>
          </w:tcPr>
          <w:p w14:paraId="3F536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温室气体排放量示值重复性（%）</w:t>
            </w:r>
          </w:p>
        </w:tc>
        <w:tc>
          <w:tcPr>
            <w:tcW w:w="0" w:type="auto"/>
            <w:vAlign w:val="center"/>
          </w:tcPr>
          <w:p w14:paraId="666BF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空间分辨率示值误差（%）</w:t>
            </w:r>
          </w:p>
        </w:tc>
      </w:tr>
      <w:tr w14:paraId="72922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 w14:paraId="21B49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7EE2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ZIM</w:t>
            </w:r>
          </w:p>
        </w:tc>
        <w:tc>
          <w:tcPr>
            <w:tcW w:w="0" w:type="auto"/>
            <w:vAlign w:val="center"/>
          </w:tcPr>
          <w:p w14:paraId="7D0EA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ZIM01</w:t>
            </w:r>
          </w:p>
        </w:tc>
        <w:tc>
          <w:tcPr>
            <w:tcW w:w="0" w:type="auto"/>
            <w:vAlign w:val="center"/>
          </w:tcPr>
          <w:p w14:paraId="5B996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4.12</w:t>
            </w:r>
          </w:p>
        </w:tc>
        <w:tc>
          <w:tcPr>
            <w:tcW w:w="0" w:type="auto"/>
            <w:vAlign w:val="center"/>
          </w:tcPr>
          <w:p w14:paraId="4E31A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8.24</w:t>
            </w:r>
          </w:p>
        </w:tc>
        <w:tc>
          <w:tcPr>
            <w:tcW w:w="0" w:type="auto"/>
            <w:vAlign w:val="center"/>
          </w:tcPr>
          <w:p w14:paraId="0E094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0.11</w:t>
            </w:r>
          </w:p>
        </w:tc>
      </w:tr>
    </w:tbl>
    <w:p w14:paraId="160E6C6C">
      <w:pPr>
        <w:rPr>
          <w:rFonts w:hint="default"/>
          <w:lang w:val="en-US" w:eastAsia="zh-CN"/>
        </w:rPr>
      </w:pPr>
    </w:p>
    <w:p w14:paraId="658F00F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default" w:ascii="Times New Roman" w:hAnsi="Times New Roman" w:eastAsia="黑体" w:cs="Times New Roman"/>
          <w:color w:val="000000"/>
          <w:sz w:val="28"/>
          <w:szCs w:val="28"/>
          <w:lang w:val="en-US" w:eastAsia="zh-CN"/>
        </w:rPr>
      </w:pPr>
      <w:bookmarkStart w:id="0" w:name="_Toc17083"/>
      <w:bookmarkStart w:id="1" w:name="_Toc11144"/>
      <w:bookmarkStart w:id="2" w:name="_Toc32159"/>
      <w:bookmarkStart w:id="3" w:name="_Toc22425"/>
      <w:bookmarkStart w:id="4" w:name="_Toc31492"/>
      <w:bookmarkStart w:id="5" w:name="_Toc8590"/>
      <w:bookmarkStart w:id="6" w:name="_Toc32690"/>
      <w:bookmarkStart w:id="7" w:name="_Toc342"/>
      <w:r>
        <w:rPr>
          <w:rFonts w:hint="eastAsia" w:ascii="Times New Roman" w:hAnsi="Times New Roman" w:eastAsia="黑体" w:cs="Times New Roman"/>
          <w:color w:val="000000"/>
          <w:sz w:val="28"/>
          <w:szCs w:val="28"/>
          <w:lang w:val="en-US" w:eastAsia="zh-CN"/>
        </w:rPr>
        <w:t>附件</w:t>
      </w:r>
    </w:p>
    <w:p w14:paraId="4CF34F0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default" w:ascii="Times New Roman" w:hAnsi="Times New Roman" w:eastAsia="黑体" w:cs="Times New Roman"/>
          <w:color w:val="000000"/>
          <w:sz w:val="28"/>
          <w:szCs w:val="28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28"/>
          <w:szCs w:val="28"/>
          <w:lang w:eastAsia="zh-CN"/>
        </w:rPr>
        <w:t>基于差分吸收激光雷达的温室气体排放测量装置校准规范校准记录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B311DC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outlineLvl w:val="0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送校单位：中国计量科学研究院</w:t>
      </w:r>
    </w:p>
    <w:p w14:paraId="1CE3AA8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outlineLvl w:val="0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仪器型号：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ZIM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01</w:t>
      </w:r>
    </w:p>
    <w:p w14:paraId="214A80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left"/>
        <w:textAlignment w:val="auto"/>
        <w:outlineLvl w:val="0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制造厂商：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ZIM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2"/>
        <w:gridCol w:w="2873"/>
        <w:gridCol w:w="1991"/>
        <w:gridCol w:w="2176"/>
      </w:tblGrid>
      <w:tr w14:paraId="0DF48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  <w:vMerge w:val="restart"/>
            <w:vAlign w:val="center"/>
          </w:tcPr>
          <w:p w14:paraId="029F7A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8" w:name="_Toc13270"/>
            <w:bookmarkStart w:id="9" w:name="_Toc22478"/>
            <w:bookmarkStart w:id="10" w:name="_Toc4377"/>
            <w:bookmarkStart w:id="11" w:name="_Toc30091"/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标准器</w:t>
            </w:r>
            <w:bookmarkEnd w:id="8"/>
            <w:bookmarkEnd w:id="9"/>
            <w:bookmarkEnd w:id="10"/>
          </w:p>
        </w:tc>
        <w:tc>
          <w:tcPr>
            <w:tcW w:w="7088" w:type="dxa"/>
            <w:gridSpan w:val="3"/>
            <w:vAlign w:val="center"/>
          </w:tcPr>
          <w:p w14:paraId="313178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12" w:name="_Toc21460"/>
            <w:bookmarkStart w:id="13" w:name="_Toc8686"/>
            <w:bookmarkStart w:id="14" w:name="_Toc30116"/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气体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排放速率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校准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：</w:t>
            </w:r>
            <w:bookmarkEnd w:id="12"/>
            <w:bookmarkEnd w:id="13"/>
            <w:bookmarkEnd w:id="14"/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差分吸收激光雷达</w:t>
            </w:r>
          </w:p>
        </w:tc>
      </w:tr>
      <w:tr w14:paraId="733AD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  <w:vMerge w:val="continue"/>
          </w:tcPr>
          <w:p w14:paraId="156FBB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15" w:name="_Toc6623"/>
            <w:bookmarkStart w:id="16" w:name="_Toc12878"/>
            <w:bookmarkStart w:id="17" w:name="_Toc20487"/>
            <w:bookmarkStart w:id="18" w:name="_Toc950"/>
          </w:p>
        </w:tc>
        <w:tc>
          <w:tcPr>
            <w:tcW w:w="7088" w:type="dxa"/>
            <w:gridSpan w:val="3"/>
            <w:vAlign w:val="center"/>
          </w:tcPr>
          <w:p w14:paraId="30A44F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气体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空间浓度校准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：激光测距仪/钢尺</w:t>
            </w:r>
          </w:p>
        </w:tc>
      </w:tr>
      <w:tr w14:paraId="76337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3AF7F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测量范围</w:t>
            </w:r>
            <w:bookmarkEnd w:id="15"/>
            <w:bookmarkEnd w:id="16"/>
            <w:bookmarkEnd w:id="17"/>
            <w:bookmarkEnd w:id="18"/>
          </w:p>
        </w:tc>
        <w:tc>
          <w:tcPr>
            <w:tcW w:w="2860" w:type="dxa"/>
          </w:tcPr>
          <w:p w14:paraId="1110B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kg/h</w:t>
            </w:r>
          </w:p>
        </w:tc>
        <w:tc>
          <w:tcPr>
            <w:tcW w:w="2111" w:type="dxa"/>
          </w:tcPr>
          <w:p w14:paraId="366BF8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19" w:name="_Toc29790"/>
            <w:bookmarkStart w:id="20" w:name="_Toc2763"/>
            <w:bookmarkStart w:id="21" w:name="_Toc21172"/>
            <w:bookmarkStart w:id="22" w:name="_Toc6643"/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气体种类</w:t>
            </w:r>
            <w:bookmarkEnd w:id="19"/>
            <w:bookmarkEnd w:id="20"/>
            <w:bookmarkEnd w:id="21"/>
            <w:bookmarkEnd w:id="22"/>
          </w:p>
        </w:tc>
        <w:tc>
          <w:tcPr>
            <w:tcW w:w="2117" w:type="dxa"/>
          </w:tcPr>
          <w:p w14:paraId="1A418F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甲烷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、二氧化碳</w:t>
            </w:r>
          </w:p>
        </w:tc>
      </w:tr>
      <w:tr w14:paraId="19F07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dxa"/>
          </w:tcPr>
          <w:p w14:paraId="4A3996E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23" w:name="_Toc18974"/>
            <w:bookmarkStart w:id="24" w:name="_Toc28753"/>
            <w:bookmarkStart w:id="25" w:name="_Toc32155"/>
            <w:bookmarkStart w:id="26" w:name="_Toc6261"/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地址</w:t>
            </w:r>
          </w:p>
        </w:tc>
        <w:tc>
          <w:tcPr>
            <w:tcW w:w="7088" w:type="dxa"/>
            <w:gridSpan w:val="3"/>
          </w:tcPr>
          <w:p w14:paraId="32891AC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郑州计量先进技术研究院</w:t>
            </w:r>
          </w:p>
        </w:tc>
      </w:tr>
      <w:bookmarkEnd w:id="11"/>
      <w:tr w14:paraId="35EBF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43AA7962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气体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排放速率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校准</w:t>
            </w:r>
            <w:bookmarkEnd w:id="23"/>
            <w:bookmarkEnd w:id="24"/>
            <w:bookmarkEnd w:id="25"/>
            <w:bookmarkEnd w:id="26"/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（甲烷）</w:t>
            </w:r>
          </w:p>
          <w:p w14:paraId="36037AC0">
            <w:pPr>
              <w:pStyle w:val="2"/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="840" w:leftChars="0" w:hanging="42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示值误差</w:t>
            </w:r>
          </w:p>
          <w:tbl>
            <w:tblPr>
              <w:tblStyle w:val="5"/>
              <w:tblW w:w="5000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67"/>
              <w:gridCol w:w="361"/>
              <w:gridCol w:w="544"/>
              <w:gridCol w:w="544"/>
              <w:gridCol w:w="545"/>
              <w:gridCol w:w="545"/>
              <w:gridCol w:w="545"/>
              <w:gridCol w:w="545"/>
              <w:gridCol w:w="545"/>
              <w:gridCol w:w="545"/>
              <w:gridCol w:w="545"/>
              <w:gridCol w:w="545"/>
              <w:gridCol w:w="545"/>
              <w:gridCol w:w="545"/>
              <w:gridCol w:w="630"/>
            </w:tblGrid>
            <w:tr w14:paraId="12995CA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462" w:type="pct"/>
                  <w:vMerge w:val="restart"/>
                  <w:vAlign w:val="center"/>
                </w:tcPr>
                <w:p w14:paraId="02C79857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bookmarkStart w:id="27" w:name="_Toc21160"/>
                  <w:bookmarkStart w:id="28" w:name="_Toc24031"/>
                  <w:bookmarkStart w:id="29" w:name="_Toc773"/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校准点</w:t>
                  </w:r>
                  <w:bookmarkEnd w:id="27"/>
                  <w:bookmarkEnd w:id="28"/>
                  <w:bookmarkEnd w:id="29"/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（kg/h）</w:t>
                  </w:r>
                </w:p>
              </w:tc>
              <w:tc>
                <w:tcPr>
                  <w:tcW w:w="217" w:type="pct"/>
                  <w:vMerge w:val="restart"/>
                  <w:vAlign w:val="center"/>
                </w:tcPr>
                <w:p w14:paraId="3DCADDD1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bookmarkStart w:id="30" w:name="_Toc10557"/>
                  <w:bookmarkStart w:id="31" w:name="_Toc13988"/>
                  <w:bookmarkStart w:id="32" w:name="_Toc15821"/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测量次数</w:t>
                  </w:r>
                  <w:bookmarkEnd w:id="30"/>
                  <w:bookmarkEnd w:id="31"/>
                  <w:bookmarkEnd w:id="32"/>
                </w:p>
              </w:tc>
              <w:tc>
                <w:tcPr>
                  <w:tcW w:w="1969" w:type="pct"/>
                  <w:gridSpan w:val="6"/>
                  <w:vAlign w:val="center"/>
                </w:tcPr>
                <w:p w14:paraId="4E00D956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被校准系统示值（kg/h）</w:t>
                  </w:r>
                  <w:bookmarkStart w:id="33" w:name="_Toc6948"/>
                  <w:bookmarkStart w:id="34" w:name="_Toc826"/>
                  <w:bookmarkStart w:id="35" w:name="_Toc23045"/>
                </w:p>
              </w:tc>
              <w:tc>
                <w:tcPr>
                  <w:tcW w:w="1970" w:type="pct"/>
                  <w:gridSpan w:val="6"/>
                  <w:vAlign w:val="center"/>
                </w:tcPr>
                <w:p w14:paraId="17062175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标准器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示值</w:t>
                  </w:r>
                  <w:bookmarkEnd w:id="33"/>
                  <w:bookmarkEnd w:id="34"/>
                  <w:bookmarkEnd w:id="35"/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（kg/h）</w:t>
                  </w:r>
                </w:p>
              </w:tc>
              <w:tc>
                <w:tcPr>
                  <w:tcW w:w="379" w:type="pct"/>
                  <w:vMerge w:val="restart"/>
                  <w:vAlign w:val="center"/>
                </w:tcPr>
                <w:p w14:paraId="6913D267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示值误差</w:t>
                  </w: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（</w:t>
                  </w: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%</w:t>
                  </w: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）</w:t>
                  </w:r>
                </w:p>
              </w:tc>
            </w:tr>
            <w:tr w14:paraId="3D8A97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462" w:type="pct"/>
                  <w:vMerge w:val="continue"/>
                  <w:vAlign w:val="center"/>
                </w:tcPr>
                <w:p w14:paraId="688548C7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17" w:type="pct"/>
                  <w:vMerge w:val="continue"/>
                  <w:vAlign w:val="center"/>
                </w:tcPr>
                <w:p w14:paraId="62362C89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27" w:type="pct"/>
                  <w:vAlign w:val="center"/>
                </w:tcPr>
                <w:p w14:paraId="7A74A84F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327" w:type="pct"/>
                  <w:vAlign w:val="center"/>
                </w:tcPr>
                <w:p w14:paraId="1C8CF1E5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328" w:type="pct"/>
                  <w:vAlign w:val="center"/>
                </w:tcPr>
                <w:p w14:paraId="6B815B1A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328" w:type="pct"/>
                  <w:vAlign w:val="center"/>
                </w:tcPr>
                <w:p w14:paraId="5DFE2E9E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328" w:type="pct"/>
                  <w:vAlign w:val="center"/>
                </w:tcPr>
                <w:p w14:paraId="1A933785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328" w:type="pct"/>
                  <w:vAlign w:val="center"/>
                </w:tcPr>
                <w:p w14:paraId="11FF5C84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平均值</w:t>
                  </w:r>
                </w:p>
              </w:tc>
              <w:tc>
                <w:tcPr>
                  <w:tcW w:w="328" w:type="pct"/>
                  <w:vAlign w:val="center"/>
                </w:tcPr>
                <w:p w14:paraId="0A8C4CC2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328" w:type="pct"/>
                  <w:vAlign w:val="center"/>
                </w:tcPr>
                <w:p w14:paraId="14562BB8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328" w:type="pct"/>
                  <w:vAlign w:val="center"/>
                </w:tcPr>
                <w:p w14:paraId="0F64DF5F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328" w:type="pct"/>
                  <w:vAlign w:val="center"/>
                </w:tcPr>
                <w:p w14:paraId="3E7B2613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328" w:type="pct"/>
                  <w:vAlign w:val="center"/>
                </w:tcPr>
                <w:p w14:paraId="41254912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328" w:type="pct"/>
                  <w:vAlign w:val="center"/>
                </w:tcPr>
                <w:p w14:paraId="130CEDBB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平均值</w:t>
                  </w:r>
                </w:p>
              </w:tc>
              <w:tc>
                <w:tcPr>
                  <w:tcW w:w="379" w:type="pct"/>
                  <w:vMerge w:val="continue"/>
                  <w:vAlign w:val="center"/>
                </w:tcPr>
                <w:p w14:paraId="0BBBA11E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4169685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462" w:type="pct"/>
                  <w:vAlign w:val="center"/>
                </w:tcPr>
                <w:p w14:paraId="2A6EF551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20</w:t>
                  </w:r>
                </w:p>
              </w:tc>
              <w:tc>
                <w:tcPr>
                  <w:tcW w:w="217" w:type="pct"/>
                  <w:vAlign w:val="center"/>
                </w:tcPr>
                <w:p w14:paraId="029B9157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327" w:type="pct"/>
                  <w:vAlign w:val="center"/>
                </w:tcPr>
                <w:p w14:paraId="0ABD0DF6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15.89</w:t>
                  </w:r>
                </w:p>
              </w:tc>
              <w:tc>
                <w:tcPr>
                  <w:tcW w:w="327" w:type="pct"/>
                  <w:vAlign w:val="center"/>
                </w:tcPr>
                <w:p w14:paraId="7F5ED985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20.63</w:t>
                  </w:r>
                </w:p>
              </w:tc>
              <w:tc>
                <w:tcPr>
                  <w:tcW w:w="328" w:type="pct"/>
                  <w:vAlign w:val="center"/>
                </w:tcPr>
                <w:p w14:paraId="34BD2066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17.57</w:t>
                  </w:r>
                </w:p>
              </w:tc>
              <w:tc>
                <w:tcPr>
                  <w:tcW w:w="328" w:type="pct"/>
                  <w:vAlign w:val="center"/>
                </w:tcPr>
                <w:p w14:paraId="2D3D5F53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17.36</w:t>
                  </w:r>
                </w:p>
              </w:tc>
              <w:tc>
                <w:tcPr>
                  <w:tcW w:w="328" w:type="pct"/>
                  <w:vAlign w:val="center"/>
                </w:tcPr>
                <w:p w14:paraId="06F37942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19.45</w:t>
                  </w:r>
                </w:p>
              </w:tc>
              <w:tc>
                <w:tcPr>
                  <w:tcW w:w="328" w:type="pct"/>
                  <w:vAlign w:val="center"/>
                </w:tcPr>
                <w:p w14:paraId="4C6198A9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18.97</w:t>
                  </w:r>
                </w:p>
              </w:tc>
              <w:tc>
                <w:tcPr>
                  <w:tcW w:w="328" w:type="pct"/>
                  <w:vAlign w:val="center"/>
                </w:tcPr>
                <w:p w14:paraId="2F41F6C6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14.47</w:t>
                  </w:r>
                </w:p>
              </w:tc>
              <w:tc>
                <w:tcPr>
                  <w:tcW w:w="328" w:type="pct"/>
                  <w:vAlign w:val="center"/>
                </w:tcPr>
                <w:p w14:paraId="4A597FB4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21.47</w:t>
                  </w:r>
                </w:p>
              </w:tc>
              <w:tc>
                <w:tcPr>
                  <w:tcW w:w="328" w:type="pct"/>
                  <w:vAlign w:val="center"/>
                </w:tcPr>
                <w:p w14:paraId="3E55EE8A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21.41</w:t>
                  </w:r>
                </w:p>
              </w:tc>
              <w:tc>
                <w:tcPr>
                  <w:tcW w:w="328" w:type="pct"/>
                  <w:vAlign w:val="center"/>
                </w:tcPr>
                <w:p w14:paraId="3D413D1C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17.57</w:t>
                  </w:r>
                </w:p>
              </w:tc>
              <w:tc>
                <w:tcPr>
                  <w:tcW w:w="328" w:type="pct"/>
                  <w:vAlign w:val="center"/>
                </w:tcPr>
                <w:p w14:paraId="601D706F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17.48</w:t>
                  </w:r>
                </w:p>
              </w:tc>
              <w:tc>
                <w:tcPr>
                  <w:tcW w:w="328" w:type="pct"/>
                  <w:vAlign w:val="center"/>
                </w:tcPr>
                <w:p w14:paraId="3D8E9642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18.18</w:t>
                  </w:r>
                </w:p>
              </w:tc>
              <w:tc>
                <w:tcPr>
                  <w:tcW w:w="379" w:type="pct"/>
                  <w:vAlign w:val="center"/>
                </w:tcPr>
                <w:p w14:paraId="10AA6717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4.12</w:t>
                  </w:r>
                </w:p>
              </w:tc>
            </w:tr>
          </w:tbl>
          <w:p w14:paraId="1EDBC920">
            <w:pPr>
              <w:pStyle w:val="2"/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="840" w:leftChars="0" w:hanging="42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36" w:name="_Toc21636"/>
            <w:bookmarkStart w:id="37" w:name="_Toc13700"/>
            <w:bookmarkStart w:id="38" w:name="_Toc18478"/>
            <w:bookmarkStart w:id="39" w:name="_Toc31060"/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示值重复性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3"/>
              <w:gridCol w:w="1343"/>
              <w:gridCol w:w="963"/>
              <w:gridCol w:w="964"/>
              <w:gridCol w:w="964"/>
              <w:gridCol w:w="964"/>
              <w:gridCol w:w="974"/>
              <w:gridCol w:w="1001"/>
            </w:tblGrid>
            <w:tr w14:paraId="642876A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85" w:type="dxa"/>
                  <w:vAlign w:val="center"/>
                </w:tcPr>
                <w:p w14:paraId="755ED353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360" w:lineRule="auto"/>
                    <w:jc w:val="left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校准点（kg/h）</w:t>
                  </w:r>
                </w:p>
              </w:tc>
              <w:tc>
                <w:tcPr>
                  <w:tcW w:w="1396" w:type="dxa"/>
                  <w:vAlign w:val="center"/>
                </w:tcPr>
                <w:p w14:paraId="2B8E658F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360" w:lineRule="auto"/>
                    <w:jc w:val="left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测量次数</w:t>
                  </w:r>
                </w:p>
              </w:tc>
              <w:tc>
                <w:tcPr>
                  <w:tcW w:w="1013" w:type="dxa"/>
                  <w:vAlign w:val="center"/>
                </w:tcPr>
                <w:p w14:paraId="76117D39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360" w:lineRule="auto"/>
                    <w:jc w:val="left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1014" w:type="dxa"/>
                  <w:vAlign w:val="center"/>
                </w:tcPr>
                <w:p w14:paraId="198B56FC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360" w:lineRule="auto"/>
                    <w:jc w:val="left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1014" w:type="dxa"/>
                  <w:vAlign w:val="center"/>
                </w:tcPr>
                <w:p w14:paraId="48B0D4D9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360" w:lineRule="auto"/>
                    <w:jc w:val="left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1015" w:type="dxa"/>
                  <w:vAlign w:val="center"/>
                </w:tcPr>
                <w:p w14:paraId="724B2923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360" w:lineRule="auto"/>
                    <w:jc w:val="left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1027" w:type="dxa"/>
                  <w:vAlign w:val="center"/>
                </w:tcPr>
                <w:p w14:paraId="018EBA24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360" w:lineRule="auto"/>
                    <w:jc w:val="left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1027" w:type="dxa"/>
                  <w:vAlign w:val="center"/>
                </w:tcPr>
                <w:p w14:paraId="16A98931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360" w:lineRule="auto"/>
                    <w:jc w:val="left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重复性（%）</w:t>
                  </w:r>
                </w:p>
              </w:tc>
            </w:tr>
            <w:tr w14:paraId="08F96A9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85" w:type="dxa"/>
                  <w:vAlign w:val="center"/>
                </w:tcPr>
                <w:p w14:paraId="55213518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360" w:lineRule="auto"/>
                    <w:jc w:val="left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20</w:t>
                  </w:r>
                </w:p>
              </w:tc>
              <w:tc>
                <w:tcPr>
                  <w:tcW w:w="1396" w:type="dxa"/>
                  <w:vAlign w:val="center"/>
                </w:tcPr>
                <w:p w14:paraId="78FC1EB4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360" w:lineRule="auto"/>
                    <w:jc w:val="left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排放速率（kg/h）</w:t>
                  </w:r>
                </w:p>
              </w:tc>
              <w:tc>
                <w:tcPr>
                  <w:tcW w:w="1013" w:type="dxa"/>
                  <w:shd w:val="clear" w:color="auto" w:fill="auto"/>
                  <w:vAlign w:val="center"/>
                </w:tcPr>
                <w:p w14:paraId="74115D0F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15.89</w:t>
                  </w:r>
                </w:p>
              </w:tc>
              <w:tc>
                <w:tcPr>
                  <w:tcW w:w="1014" w:type="dxa"/>
                  <w:shd w:val="clear" w:color="auto" w:fill="auto"/>
                  <w:vAlign w:val="center"/>
                </w:tcPr>
                <w:p w14:paraId="604B6956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20.63</w:t>
                  </w:r>
                </w:p>
              </w:tc>
              <w:tc>
                <w:tcPr>
                  <w:tcW w:w="1014" w:type="dxa"/>
                  <w:shd w:val="clear" w:color="auto" w:fill="auto"/>
                  <w:vAlign w:val="center"/>
                </w:tcPr>
                <w:p w14:paraId="6039F6E9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17.57</w:t>
                  </w:r>
                </w:p>
              </w:tc>
              <w:tc>
                <w:tcPr>
                  <w:tcW w:w="1015" w:type="dxa"/>
                  <w:shd w:val="clear" w:color="auto" w:fill="auto"/>
                  <w:vAlign w:val="center"/>
                </w:tcPr>
                <w:p w14:paraId="65EB80A1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17.36</w:t>
                  </w:r>
                </w:p>
              </w:tc>
              <w:tc>
                <w:tcPr>
                  <w:tcW w:w="1027" w:type="dxa"/>
                  <w:vAlign w:val="center"/>
                </w:tcPr>
                <w:p w14:paraId="4B660F24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left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w:t>19.45</w:t>
                  </w:r>
                </w:p>
              </w:tc>
              <w:tc>
                <w:tcPr>
                  <w:tcW w:w="1027" w:type="dxa"/>
                  <w:vAlign w:val="center"/>
                </w:tcPr>
                <w:p w14:paraId="1D2C7766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360" w:lineRule="auto"/>
                    <w:jc w:val="left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10.23</w:t>
                  </w:r>
                </w:p>
              </w:tc>
            </w:tr>
            <w:bookmarkEnd w:id="36"/>
            <w:bookmarkEnd w:id="37"/>
            <w:bookmarkEnd w:id="38"/>
            <w:bookmarkEnd w:id="39"/>
          </w:tbl>
          <w:p w14:paraId="09A200FF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="0" w:leftChars="0" w:firstLine="480" w:firstLineChars="20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空间分辨率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校准</w:t>
            </w:r>
          </w:p>
          <w:p w14:paraId="24B56620">
            <w:pPr>
              <w:pStyle w:val="2"/>
              <w:keepNext w:val="0"/>
              <w:keepLines w:val="0"/>
              <w:pageBreakBefore w:val="0"/>
              <w:widowControl w:val="0"/>
              <w:numPr>
                <w:ilvl w:val="1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="840" w:leftChars="0" w:hanging="420" w:firstLineChars="0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  <w:t>示值误差</w:t>
            </w:r>
          </w:p>
          <w:tbl>
            <w:tblPr>
              <w:tblStyle w:val="5"/>
              <w:tblW w:w="4997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15"/>
              <w:gridCol w:w="395"/>
              <w:gridCol w:w="530"/>
              <w:gridCol w:w="530"/>
              <w:gridCol w:w="531"/>
              <w:gridCol w:w="531"/>
              <w:gridCol w:w="531"/>
              <w:gridCol w:w="531"/>
              <w:gridCol w:w="531"/>
              <w:gridCol w:w="531"/>
              <w:gridCol w:w="531"/>
              <w:gridCol w:w="531"/>
              <w:gridCol w:w="531"/>
              <w:gridCol w:w="621"/>
              <w:gridCol w:w="726"/>
            </w:tblGrid>
            <w:tr w14:paraId="06A2D9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97" w:type="pct"/>
                  <w:vMerge w:val="restart"/>
                  <w:vAlign w:val="center"/>
                </w:tcPr>
                <w:p w14:paraId="6A8F5554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校准点</w:t>
                  </w: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（m）</w:t>
                  </w:r>
                </w:p>
              </w:tc>
              <w:tc>
                <w:tcPr>
                  <w:tcW w:w="219" w:type="pct"/>
                  <w:vMerge w:val="restart"/>
                  <w:vAlign w:val="center"/>
                </w:tcPr>
                <w:p w14:paraId="6D4BA290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测量次数</w:t>
                  </w:r>
                </w:p>
              </w:tc>
              <w:tc>
                <w:tcPr>
                  <w:tcW w:w="1472" w:type="pct"/>
                  <w:gridSpan w:val="5"/>
                  <w:vAlign w:val="center"/>
                </w:tcPr>
                <w:p w14:paraId="3D259B54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被校准系统示值（</w:t>
                  </w: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m</w:t>
                  </w: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）</w:t>
                  </w:r>
                </w:p>
              </w:tc>
              <w:tc>
                <w:tcPr>
                  <w:tcW w:w="633" w:type="pct"/>
                  <w:vAlign w:val="center"/>
                </w:tcPr>
                <w:p w14:paraId="221C8A7A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1472" w:type="pct"/>
                  <w:gridSpan w:val="5"/>
                  <w:vAlign w:val="center"/>
                </w:tcPr>
                <w:p w14:paraId="1A066837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标准器</w:t>
                  </w:r>
                  <w:r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示值</w:t>
                  </w: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（</w:t>
                  </w: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m</w:t>
                  </w: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）</w:t>
                  </w:r>
                </w:p>
              </w:tc>
              <w:tc>
                <w:tcPr>
                  <w:tcW w:w="402" w:type="pct"/>
                  <w:vAlign w:val="center"/>
                </w:tcPr>
                <w:p w14:paraId="2129986C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402" w:type="pct"/>
                  <w:vMerge w:val="restart"/>
                  <w:vAlign w:val="center"/>
                </w:tcPr>
                <w:p w14:paraId="6EBFA3F0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示值误差</w:t>
                  </w: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（</w:t>
                  </w: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%</w:t>
                  </w: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）</w:t>
                  </w:r>
                </w:p>
              </w:tc>
            </w:tr>
            <w:tr w14:paraId="010F576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97" w:type="pct"/>
                  <w:vMerge w:val="continue"/>
                  <w:vAlign w:val="center"/>
                </w:tcPr>
                <w:p w14:paraId="23227EDD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19" w:type="pct"/>
                  <w:vMerge w:val="continue"/>
                  <w:vAlign w:val="center"/>
                </w:tcPr>
                <w:p w14:paraId="1145EE3D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94" w:type="pct"/>
                  <w:vAlign w:val="center"/>
                </w:tcPr>
                <w:p w14:paraId="4203A21F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294" w:type="pct"/>
                  <w:vAlign w:val="center"/>
                </w:tcPr>
                <w:p w14:paraId="182FE9AA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294" w:type="pct"/>
                  <w:vAlign w:val="center"/>
                </w:tcPr>
                <w:p w14:paraId="7072A720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294" w:type="pct"/>
                  <w:vAlign w:val="center"/>
                </w:tcPr>
                <w:p w14:paraId="1DE7321D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295" w:type="pct"/>
                  <w:vAlign w:val="center"/>
                </w:tcPr>
                <w:p w14:paraId="2B782ACE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633" w:type="pct"/>
                  <w:vAlign w:val="center"/>
                </w:tcPr>
                <w:p w14:paraId="293A33F3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平均值</w:t>
                  </w:r>
                </w:p>
              </w:tc>
              <w:tc>
                <w:tcPr>
                  <w:tcW w:w="294" w:type="pct"/>
                  <w:vAlign w:val="center"/>
                </w:tcPr>
                <w:p w14:paraId="15427681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1</w:t>
                  </w:r>
                </w:p>
              </w:tc>
              <w:tc>
                <w:tcPr>
                  <w:tcW w:w="294" w:type="pct"/>
                  <w:vAlign w:val="center"/>
                </w:tcPr>
                <w:p w14:paraId="06A20FC5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2</w:t>
                  </w:r>
                </w:p>
              </w:tc>
              <w:tc>
                <w:tcPr>
                  <w:tcW w:w="294" w:type="pct"/>
                  <w:vAlign w:val="center"/>
                </w:tcPr>
                <w:p w14:paraId="094DDAF2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</w:t>
                  </w:r>
                </w:p>
              </w:tc>
              <w:tc>
                <w:tcPr>
                  <w:tcW w:w="294" w:type="pct"/>
                  <w:vAlign w:val="center"/>
                </w:tcPr>
                <w:p w14:paraId="78910916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4</w:t>
                  </w:r>
                </w:p>
              </w:tc>
              <w:tc>
                <w:tcPr>
                  <w:tcW w:w="295" w:type="pct"/>
                  <w:vAlign w:val="center"/>
                </w:tcPr>
                <w:p w14:paraId="71C0889E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402" w:type="pct"/>
                  <w:vAlign w:val="center"/>
                </w:tcPr>
                <w:p w14:paraId="06B3A1E4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平均值</w:t>
                  </w:r>
                </w:p>
              </w:tc>
              <w:tc>
                <w:tcPr>
                  <w:tcW w:w="402" w:type="pct"/>
                  <w:vMerge w:val="continue"/>
                  <w:vAlign w:val="center"/>
                </w:tcPr>
                <w:p w14:paraId="73AF2776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 w14:paraId="30369D2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97" w:type="pct"/>
                  <w:vAlign w:val="center"/>
                </w:tcPr>
                <w:p w14:paraId="6562A393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3.75</w:t>
                  </w:r>
                </w:p>
              </w:tc>
              <w:tc>
                <w:tcPr>
                  <w:tcW w:w="219" w:type="pct"/>
                  <w:vAlign w:val="center"/>
                </w:tcPr>
                <w:p w14:paraId="4E62E2C1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5</w:t>
                  </w:r>
                </w:p>
              </w:tc>
              <w:tc>
                <w:tcPr>
                  <w:tcW w:w="294" w:type="pct"/>
                  <w:vAlign w:val="center"/>
                </w:tcPr>
                <w:p w14:paraId="42BA1C76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3.75</w:t>
                  </w:r>
                </w:p>
              </w:tc>
              <w:tc>
                <w:tcPr>
                  <w:tcW w:w="294" w:type="pct"/>
                  <w:vAlign w:val="center"/>
                </w:tcPr>
                <w:p w14:paraId="642546D2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3.75</w:t>
                  </w:r>
                </w:p>
              </w:tc>
              <w:tc>
                <w:tcPr>
                  <w:tcW w:w="294" w:type="pct"/>
                  <w:vAlign w:val="center"/>
                </w:tcPr>
                <w:p w14:paraId="36991787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3.75</w:t>
                  </w:r>
                </w:p>
              </w:tc>
              <w:tc>
                <w:tcPr>
                  <w:tcW w:w="294" w:type="pct"/>
                  <w:vAlign w:val="center"/>
                </w:tcPr>
                <w:p w14:paraId="0AD3EDBA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3.75</w:t>
                  </w:r>
                </w:p>
              </w:tc>
              <w:tc>
                <w:tcPr>
                  <w:tcW w:w="295" w:type="pct"/>
                  <w:vAlign w:val="center"/>
                </w:tcPr>
                <w:p w14:paraId="098EC7C3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3.75</w:t>
                  </w:r>
                </w:p>
              </w:tc>
              <w:tc>
                <w:tcPr>
                  <w:tcW w:w="633" w:type="pct"/>
                  <w:vAlign w:val="center"/>
                </w:tcPr>
                <w:p w14:paraId="177F570C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3.75</w:t>
                  </w:r>
                </w:p>
              </w:tc>
              <w:tc>
                <w:tcPr>
                  <w:tcW w:w="294" w:type="pct"/>
                  <w:vAlign w:val="center"/>
                </w:tcPr>
                <w:p w14:paraId="219030C1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3.77</w:t>
                  </w:r>
                </w:p>
              </w:tc>
              <w:tc>
                <w:tcPr>
                  <w:tcW w:w="294" w:type="pct"/>
                  <w:vAlign w:val="center"/>
                </w:tcPr>
                <w:p w14:paraId="04BE6C48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3.75</w:t>
                  </w:r>
                </w:p>
              </w:tc>
              <w:tc>
                <w:tcPr>
                  <w:tcW w:w="294" w:type="pct"/>
                  <w:vAlign w:val="center"/>
                </w:tcPr>
                <w:p w14:paraId="5742E625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3.73</w:t>
                  </w:r>
                </w:p>
              </w:tc>
              <w:tc>
                <w:tcPr>
                  <w:tcW w:w="294" w:type="pct"/>
                  <w:vAlign w:val="center"/>
                </w:tcPr>
                <w:p w14:paraId="0729DC0E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3.78</w:t>
                  </w:r>
                </w:p>
              </w:tc>
              <w:tc>
                <w:tcPr>
                  <w:tcW w:w="295" w:type="pct"/>
                  <w:vAlign w:val="center"/>
                </w:tcPr>
                <w:p w14:paraId="31640BCB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3.74</w:t>
                  </w:r>
                </w:p>
              </w:tc>
              <w:tc>
                <w:tcPr>
                  <w:tcW w:w="402" w:type="pct"/>
                  <w:vAlign w:val="center"/>
                </w:tcPr>
                <w:p w14:paraId="06D5B525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3.754</w:t>
                  </w:r>
                </w:p>
              </w:tc>
              <w:tc>
                <w:tcPr>
                  <w:tcW w:w="402" w:type="pct"/>
                  <w:vAlign w:val="center"/>
                </w:tcPr>
                <w:p w14:paraId="7F90F1D0">
                  <w:pPr>
                    <w:pStyle w:val="2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Lines="0" w:after="0" w:afterLines="0" w:line="240" w:lineRule="auto"/>
                    <w:ind w:firstLine="0" w:firstLineChars="0"/>
                    <w:jc w:val="center"/>
                    <w:textAlignment w:val="auto"/>
                    <w:outlineLvl w:val="9"/>
                    <w:rPr>
                      <w:rFonts w:hint="default" w:ascii="Times New Roman" w:hAnsi="Times New Roman" w:eastAsia="宋体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cs="Times New Roman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  <w:t>0.11</w:t>
                  </w:r>
                </w:p>
              </w:tc>
            </w:tr>
          </w:tbl>
          <w:p w14:paraId="2E08BD2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438AD7E2"/>
    <w:p w14:paraId="7A786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校准员：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/>
          <w:sz w:val="28"/>
          <w:szCs w:val="28"/>
          <w:lang w:val="en-US" w:eastAsia="zh-CN"/>
        </w:rPr>
        <w:t>核验员：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</w:t>
      </w:r>
    </w:p>
    <w:p w14:paraId="04B9C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日  期：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/>
          <w:sz w:val="28"/>
          <w:szCs w:val="28"/>
          <w:lang w:val="en-US" w:eastAsia="zh-CN"/>
        </w:rPr>
        <w:t>日  期：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</w:t>
      </w:r>
    </w:p>
    <w:p w14:paraId="3EDBE2FB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836344"/>
    <w:multiLevelType w:val="multilevel"/>
    <w:tmpl w:val="28836344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17B89"/>
    <w:rsid w:val="28A15125"/>
    <w:rsid w:val="3E712942"/>
    <w:rsid w:val="42C817D4"/>
    <w:rsid w:val="42FC1675"/>
    <w:rsid w:val="51040FB1"/>
    <w:rsid w:val="692C4A1B"/>
    <w:rsid w:val="6BC81516"/>
    <w:rsid w:val="7008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Times New Roman"/>
      <w:szCs w:val="20"/>
      <w:lang w:val="zh-CN" w:eastAsia="zh-CN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632</Words>
  <Characters>793</Characters>
  <Lines>0</Lines>
  <Paragraphs>0</Paragraphs>
  <TotalTime>4</TotalTime>
  <ScaleCrop>false</ScaleCrop>
  <LinksUpToDate>false</LinksUpToDate>
  <CharactersWithSpaces>878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2025-08-28T14:40:00Z</dcterms:created>
  <dc:creator>liang</dc:creator>
  <cp:lastModifiedBy>lw</cp:lastModifiedBy>
  <dcterms:modified xsi:type="dcterms:W3CDTF">2025-08-29T01:10:08Z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eyJoZGlkIjoiM2QwNTQ3OTkwOTkxYjcxZTlkMGFiZmE5MGFlZDk5YmYiLCJ1c2VySWQiOiIzODI0NDk4NTgifQ==</vt:lpwstr>
  </property>
  <property fmtid="{D5CDD505-2E9C-101B-9397-08002B2CF9AE}" pid="4" name="ICV">
    <vt:lpwstr>313908F33EF84985A0DB1D5E08AF24D3_12</vt:lpwstr>
  </property>
</Properties>
</file>