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E6592">
      <w:pPr>
        <w:keepNext w:val="0"/>
        <w:keepLines w:val="0"/>
        <w:widowControl/>
        <w:suppressLineNumbers w:val="0"/>
        <w:spacing w:line="360" w:lineRule="auto"/>
        <w:jc w:val="center"/>
        <w:rPr>
          <w:rFonts w:hint="default" w:ascii="Times New Roman" w:hAnsi="Times New Roman" w:eastAsia="宋体" w:cs="Times New Roman"/>
          <w:b/>
          <w:bCs/>
          <w:color w:val="000000"/>
          <w:kern w:val="0"/>
          <w:sz w:val="43"/>
          <w:szCs w:val="43"/>
          <w:lang w:val="en-US" w:eastAsia="zh-CN" w:bidi="ar"/>
        </w:rPr>
      </w:pPr>
    </w:p>
    <w:p w14:paraId="660435DF">
      <w:pPr>
        <w:keepNext w:val="0"/>
        <w:keepLines w:val="0"/>
        <w:widowControl/>
        <w:suppressLineNumbers w:val="0"/>
        <w:spacing w:line="360" w:lineRule="auto"/>
        <w:jc w:val="center"/>
        <w:rPr>
          <w:rFonts w:hint="default" w:ascii="Times New Roman" w:hAnsi="Times New Roman" w:eastAsia="宋体" w:cs="Times New Roman"/>
          <w:b/>
          <w:bCs/>
          <w:color w:val="000000"/>
          <w:kern w:val="0"/>
          <w:sz w:val="43"/>
          <w:szCs w:val="43"/>
          <w:lang w:val="en-US" w:eastAsia="zh-CN" w:bidi="ar"/>
        </w:rPr>
      </w:pPr>
    </w:p>
    <w:p w14:paraId="64F2AA2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rPr>
      </w:pPr>
      <w:r>
        <w:rPr>
          <w:rFonts w:hint="eastAsia" w:ascii="黑体" w:hAnsi="黑体" w:eastAsia="黑体" w:cs="黑体"/>
          <w:b w:val="0"/>
          <w:bCs w:val="0"/>
          <w:color w:val="000000"/>
          <w:kern w:val="0"/>
          <w:sz w:val="43"/>
          <w:szCs w:val="43"/>
          <w:lang w:val="en-US" w:eastAsia="zh-CN" w:bidi="ar"/>
        </w:rPr>
        <w:t>JJF XXX—XXXX</w:t>
      </w:r>
    </w:p>
    <w:p w14:paraId="7048585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color w:val="000000"/>
          <w:kern w:val="0"/>
          <w:sz w:val="43"/>
          <w:szCs w:val="43"/>
          <w:lang w:val="en-US" w:eastAsia="zh-CN" w:bidi="ar"/>
        </w:rPr>
      </w:pPr>
      <w:r>
        <w:rPr>
          <w:rFonts w:hint="eastAsia" w:ascii="黑体" w:hAnsi="黑体" w:eastAsia="黑体" w:cs="黑体"/>
          <w:b w:val="0"/>
          <w:bCs w:val="0"/>
          <w:color w:val="000000"/>
          <w:kern w:val="0"/>
          <w:sz w:val="43"/>
          <w:szCs w:val="43"/>
          <w:lang w:val="en-US" w:eastAsia="zh-CN" w:bidi="ar"/>
        </w:rPr>
        <w:t>《企业温室气体排放计量器具配备</w:t>
      </w:r>
    </w:p>
    <w:p w14:paraId="799EC64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rPr>
      </w:pPr>
      <w:r>
        <w:rPr>
          <w:rFonts w:hint="eastAsia" w:ascii="黑体" w:hAnsi="黑体" w:eastAsia="黑体" w:cs="黑体"/>
          <w:b w:val="0"/>
          <w:bCs w:val="0"/>
          <w:color w:val="000000"/>
          <w:kern w:val="0"/>
          <w:sz w:val="43"/>
          <w:szCs w:val="43"/>
          <w:lang w:val="en-US" w:eastAsia="zh-CN" w:bidi="ar"/>
        </w:rPr>
        <w:t>和管理规范 发电设施》</w:t>
      </w:r>
    </w:p>
    <w:p w14:paraId="719276DD">
      <w:pPr>
        <w:keepNext w:val="0"/>
        <w:keepLines w:val="0"/>
        <w:widowControl/>
        <w:suppressLineNumbers w:val="0"/>
        <w:spacing w:line="360" w:lineRule="auto"/>
        <w:jc w:val="center"/>
        <w:rPr>
          <w:rFonts w:hint="eastAsia" w:ascii="黑体" w:hAnsi="宋体" w:eastAsia="黑体" w:cs="黑体"/>
          <w:color w:val="000000"/>
          <w:kern w:val="0"/>
          <w:sz w:val="43"/>
          <w:szCs w:val="43"/>
          <w:lang w:val="en-US" w:eastAsia="zh-CN" w:bidi="ar"/>
        </w:rPr>
      </w:pPr>
    </w:p>
    <w:p w14:paraId="52955928">
      <w:pPr>
        <w:keepNext w:val="0"/>
        <w:keepLines w:val="0"/>
        <w:widowControl/>
        <w:suppressLineNumbers w:val="0"/>
        <w:spacing w:line="360" w:lineRule="auto"/>
        <w:jc w:val="center"/>
        <w:rPr>
          <w:rFonts w:hint="eastAsia" w:ascii="黑体" w:hAnsi="宋体" w:eastAsia="黑体" w:cs="黑体"/>
          <w:color w:val="000000"/>
          <w:kern w:val="0"/>
          <w:sz w:val="43"/>
          <w:szCs w:val="43"/>
          <w:lang w:val="en-US" w:eastAsia="zh-CN" w:bidi="ar"/>
        </w:rPr>
      </w:pPr>
    </w:p>
    <w:p w14:paraId="5B9F3914">
      <w:pPr>
        <w:keepNext w:val="0"/>
        <w:keepLines w:val="0"/>
        <w:widowControl/>
        <w:suppressLineNumbers w:val="0"/>
        <w:spacing w:line="360" w:lineRule="auto"/>
        <w:jc w:val="center"/>
        <w:rPr>
          <w:rFonts w:hint="eastAsia" w:ascii="黑体" w:hAnsi="宋体" w:eastAsia="黑体" w:cs="黑体"/>
          <w:color w:val="000000"/>
          <w:kern w:val="0"/>
          <w:sz w:val="52"/>
          <w:szCs w:val="52"/>
          <w:lang w:val="en-US" w:eastAsia="zh-CN" w:bidi="ar"/>
        </w:rPr>
      </w:pPr>
      <w:r>
        <w:rPr>
          <w:rFonts w:hint="eastAsia" w:ascii="黑体" w:hAnsi="宋体" w:eastAsia="黑体" w:cs="黑体"/>
          <w:color w:val="000000"/>
          <w:kern w:val="0"/>
          <w:sz w:val="52"/>
          <w:szCs w:val="52"/>
          <w:lang w:val="en-US" w:eastAsia="zh-CN" w:bidi="ar"/>
        </w:rPr>
        <w:t>编</w:t>
      </w:r>
    </w:p>
    <w:p w14:paraId="49EAC451">
      <w:pPr>
        <w:keepNext w:val="0"/>
        <w:keepLines w:val="0"/>
        <w:widowControl/>
        <w:suppressLineNumbers w:val="0"/>
        <w:spacing w:line="360" w:lineRule="auto"/>
        <w:jc w:val="center"/>
        <w:rPr>
          <w:rFonts w:hint="eastAsia" w:ascii="黑体" w:hAnsi="宋体" w:eastAsia="黑体" w:cs="黑体"/>
          <w:color w:val="000000"/>
          <w:kern w:val="0"/>
          <w:sz w:val="52"/>
          <w:szCs w:val="52"/>
          <w:lang w:val="en-US" w:eastAsia="zh-CN" w:bidi="ar"/>
        </w:rPr>
      </w:pPr>
      <w:r>
        <w:rPr>
          <w:rFonts w:hint="eastAsia" w:ascii="黑体" w:hAnsi="宋体" w:eastAsia="黑体" w:cs="黑体"/>
          <w:color w:val="000000"/>
          <w:kern w:val="0"/>
          <w:sz w:val="52"/>
          <w:szCs w:val="52"/>
          <w:lang w:val="en-US" w:eastAsia="zh-CN" w:bidi="ar"/>
        </w:rPr>
        <w:t>制</w:t>
      </w:r>
    </w:p>
    <w:p w14:paraId="0DF276DD">
      <w:pPr>
        <w:keepNext w:val="0"/>
        <w:keepLines w:val="0"/>
        <w:widowControl/>
        <w:suppressLineNumbers w:val="0"/>
        <w:spacing w:line="360" w:lineRule="auto"/>
        <w:jc w:val="center"/>
        <w:rPr>
          <w:rFonts w:hint="eastAsia" w:ascii="黑体" w:hAnsi="宋体" w:eastAsia="黑体" w:cs="黑体"/>
          <w:color w:val="000000"/>
          <w:kern w:val="0"/>
          <w:sz w:val="52"/>
          <w:szCs w:val="52"/>
          <w:lang w:val="en-US" w:eastAsia="zh-CN" w:bidi="ar"/>
        </w:rPr>
      </w:pPr>
      <w:r>
        <w:rPr>
          <w:rFonts w:hint="eastAsia" w:ascii="黑体" w:hAnsi="宋体" w:eastAsia="黑体" w:cs="黑体"/>
          <w:color w:val="000000"/>
          <w:kern w:val="0"/>
          <w:sz w:val="52"/>
          <w:szCs w:val="52"/>
          <w:lang w:val="en-US" w:eastAsia="zh-CN" w:bidi="ar"/>
        </w:rPr>
        <w:t>说</w:t>
      </w:r>
    </w:p>
    <w:p w14:paraId="27337300">
      <w:pPr>
        <w:keepNext w:val="0"/>
        <w:keepLines w:val="0"/>
        <w:widowControl/>
        <w:suppressLineNumbers w:val="0"/>
        <w:spacing w:line="360" w:lineRule="auto"/>
        <w:jc w:val="center"/>
        <w:rPr>
          <w:rFonts w:hint="eastAsia" w:ascii="黑体" w:hAnsi="宋体" w:eastAsia="黑体" w:cs="黑体"/>
          <w:color w:val="000000"/>
          <w:kern w:val="0"/>
          <w:sz w:val="52"/>
          <w:szCs w:val="52"/>
          <w:lang w:val="en-US" w:eastAsia="zh-CN" w:bidi="ar"/>
        </w:rPr>
      </w:pPr>
      <w:r>
        <w:rPr>
          <w:rFonts w:hint="eastAsia" w:ascii="黑体" w:hAnsi="宋体" w:eastAsia="黑体" w:cs="黑体"/>
          <w:color w:val="000000"/>
          <w:kern w:val="0"/>
          <w:sz w:val="52"/>
          <w:szCs w:val="52"/>
          <w:lang w:val="en-US" w:eastAsia="zh-CN" w:bidi="ar"/>
        </w:rPr>
        <w:t>明</w:t>
      </w:r>
    </w:p>
    <w:p w14:paraId="391AAC33">
      <w:pPr>
        <w:keepNext w:val="0"/>
        <w:keepLines w:val="0"/>
        <w:widowControl/>
        <w:suppressLineNumbers w:val="0"/>
        <w:spacing w:line="360" w:lineRule="auto"/>
        <w:jc w:val="center"/>
        <w:rPr>
          <w:rFonts w:hint="eastAsia" w:ascii="黑体" w:hAnsi="宋体" w:eastAsia="黑体" w:cs="黑体"/>
          <w:color w:val="000000"/>
          <w:kern w:val="0"/>
          <w:sz w:val="43"/>
          <w:szCs w:val="43"/>
          <w:lang w:val="en-US" w:eastAsia="zh-CN" w:bidi="ar"/>
        </w:rPr>
      </w:pPr>
    </w:p>
    <w:p w14:paraId="32557246">
      <w:pPr>
        <w:keepNext w:val="0"/>
        <w:keepLines w:val="0"/>
        <w:widowControl/>
        <w:suppressLineNumbers w:val="0"/>
        <w:spacing w:line="360" w:lineRule="auto"/>
        <w:jc w:val="center"/>
        <w:rPr>
          <w:rFonts w:hint="eastAsia" w:ascii="黑体" w:hAnsi="宋体" w:eastAsia="黑体" w:cs="黑体"/>
          <w:color w:val="000000"/>
          <w:kern w:val="0"/>
          <w:sz w:val="43"/>
          <w:szCs w:val="43"/>
          <w:lang w:val="en-US" w:eastAsia="zh-CN" w:bidi="ar"/>
        </w:rPr>
      </w:pPr>
    </w:p>
    <w:p w14:paraId="747AEE79">
      <w:pPr>
        <w:keepNext w:val="0"/>
        <w:keepLines w:val="0"/>
        <w:widowControl/>
        <w:suppressLineNumbers w:val="0"/>
        <w:spacing w:line="360" w:lineRule="auto"/>
        <w:jc w:val="center"/>
        <w:rPr>
          <w:rFonts w:hint="eastAsia" w:ascii="黑体" w:hAnsi="宋体" w:eastAsia="黑体" w:cs="黑体"/>
          <w:color w:val="000000"/>
          <w:kern w:val="0"/>
          <w:sz w:val="43"/>
          <w:szCs w:val="43"/>
          <w:lang w:val="en-US" w:eastAsia="zh-CN" w:bidi="ar"/>
        </w:rPr>
      </w:pPr>
    </w:p>
    <w:p w14:paraId="095C85C0">
      <w:pPr>
        <w:keepNext w:val="0"/>
        <w:keepLines w:val="0"/>
        <w:widowControl/>
        <w:suppressLineNumbers w:val="0"/>
        <w:spacing w:line="360" w:lineRule="auto"/>
        <w:jc w:val="center"/>
        <w:rPr>
          <w:rFonts w:hint="eastAsia" w:ascii="黑体" w:hAnsi="宋体" w:eastAsia="黑体" w:cs="黑体"/>
          <w:color w:val="000000"/>
          <w:kern w:val="0"/>
          <w:sz w:val="43"/>
          <w:szCs w:val="43"/>
          <w:lang w:val="en-US" w:eastAsia="zh-CN" w:bidi="ar"/>
        </w:rPr>
      </w:pPr>
    </w:p>
    <w:p w14:paraId="26B78178">
      <w:pPr>
        <w:keepNext w:val="0"/>
        <w:keepLines w:val="0"/>
        <w:widowControl/>
        <w:suppressLineNumbers w:val="0"/>
        <w:spacing w:line="360" w:lineRule="auto"/>
        <w:jc w:val="center"/>
        <w:rPr>
          <w:rFonts w:hint="eastAsia" w:ascii="黑体" w:hAnsi="宋体" w:eastAsia="黑体" w:cs="黑体"/>
          <w:color w:val="000000"/>
          <w:kern w:val="0"/>
          <w:sz w:val="43"/>
          <w:szCs w:val="43"/>
          <w:lang w:val="en-US" w:eastAsia="zh-CN" w:bidi="ar"/>
        </w:rPr>
      </w:pPr>
    </w:p>
    <w:p w14:paraId="343519E1">
      <w:pPr>
        <w:keepNext w:val="0"/>
        <w:keepLines w:val="0"/>
        <w:widowControl/>
        <w:suppressLineNumbers w:val="0"/>
        <w:spacing w:line="360" w:lineRule="auto"/>
        <w:jc w:val="center"/>
      </w:pPr>
      <w:r>
        <w:rPr>
          <w:rFonts w:hint="eastAsia" w:ascii="宋体" w:hAnsi="宋体" w:eastAsia="宋体" w:cs="宋体"/>
          <w:b/>
          <w:bCs/>
          <w:color w:val="000000"/>
          <w:kern w:val="0"/>
          <w:sz w:val="31"/>
          <w:szCs w:val="31"/>
          <w:lang w:val="en-US" w:eastAsia="zh-CN" w:bidi="ar"/>
        </w:rPr>
        <w:t>规范起草组</w:t>
      </w:r>
    </w:p>
    <w:p w14:paraId="3B3CA416">
      <w:pPr>
        <w:keepNext w:val="0"/>
        <w:keepLines w:val="0"/>
        <w:widowControl/>
        <w:suppressLineNumbers w:val="0"/>
        <w:spacing w:line="360" w:lineRule="auto"/>
        <w:jc w:val="center"/>
      </w:pPr>
      <w:r>
        <w:rPr>
          <w:rFonts w:hint="default" w:ascii="Times New Roman" w:hAnsi="Times New Roman" w:eastAsia="宋体" w:cs="Times New Roman"/>
          <w:b/>
          <w:bCs/>
          <w:color w:val="000000"/>
          <w:kern w:val="0"/>
          <w:sz w:val="31"/>
          <w:szCs w:val="31"/>
          <w:lang w:val="en-US" w:eastAsia="zh-CN" w:bidi="ar"/>
        </w:rPr>
        <w:t>202</w:t>
      </w:r>
      <w:r>
        <w:rPr>
          <w:rFonts w:hint="eastAsia" w:cs="Times New Roman"/>
          <w:b/>
          <w:bCs/>
          <w:color w:val="000000"/>
          <w:kern w:val="0"/>
          <w:sz w:val="31"/>
          <w:szCs w:val="31"/>
          <w:lang w:val="en-US" w:eastAsia="zh-CN" w:bidi="ar"/>
        </w:rPr>
        <w:t>5</w:t>
      </w:r>
      <w:r>
        <w:rPr>
          <w:rFonts w:hint="default" w:ascii="Times New Roman" w:hAnsi="Times New Roman" w:eastAsia="宋体" w:cs="Times New Roman"/>
          <w:b/>
          <w:bCs/>
          <w:color w:val="000000"/>
          <w:kern w:val="0"/>
          <w:sz w:val="31"/>
          <w:szCs w:val="31"/>
          <w:lang w:val="en-US" w:eastAsia="zh-CN" w:bidi="ar"/>
        </w:rPr>
        <w:t>年</w:t>
      </w:r>
      <w:r>
        <w:rPr>
          <w:rFonts w:hint="eastAsia" w:cs="Times New Roman"/>
          <w:b/>
          <w:bCs/>
          <w:color w:val="000000"/>
          <w:kern w:val="0"/>
          <w:sz w:val="31"/>
          <w:szCs w:val="31"/>
          <w:lang w:val="en-US" w:eastAsia="zh-CN" w:bidi="ar"/>
        </w:rPr>
        <w:t>4</w:t>
      </w:r>
      <w:r>
        <w:rPr>
          <w:rFonts w:hint="default" w:ascii="Times New Roman" w:hAnsi="Times New Roman" w:eastAsia="宋体" w:cs="Times New Roman"/>
          <w:b/>
          <w:bCs/>
          <w:color w:val="000000"/>
          <w:kern w:val="0"/>
          <w:sz w:val="31"/>
          <w:szCs w:val="31"/>
          <w:lang w:val="en-US" w:eastAsia="zh-CN" w:bidi="ar"/>
        </w:rPr>
        <w:t>月</w:t>
      </w:r>
    </w:p>
    <w:p w14:paraId="2DF7BA44">
      <w:pPr>
        <w:jc w:val="both"/>
        <w:rPr>
          <w:rFonts w:hint="eastAsia" w:ascii="仿宋_GB2312" w:eastAsia="仿宋_GB2312"/>
          <w:b/>
          <w:bCs/>
          <w:sz w:val="44"/>
          <w:szCs w:val="44"/>
        </w:rPr>
      </w:pPr>
    </w:p>
    <w:p w14:paraId="271AEF82">
      <w:pPr>
        <w:jc w:val="both"/>
        <w:rPr>
          <w:rFonts w:hint="eastAsia" w:ascii="仿宋_GB2312" w:eastAsia="仿宋_GB2312"/>
          <w:b/>
          <w:bCs/>
          <w:sz w:val="44"/>
          <w:szCs w:val="44"/>
        </w:rPr>
        <w:sectPr>
          <w:pgSz w:w="11906" w:h="16838"/>
          <w:pgMar w:top="1440" w:right="1800" w:bottom="1440" w:left="1800" w:header="851" w:footer="992" w:gutter="0"/>
          <w:pgNumType w:fmt="decimal"/>
          <w:cols w:space="425" w:num="1"/>
          <w:docGrid w:type="lines" w:linePitch="312" w:charSpace="0"/>
        </w:sectPr>
      </w:pPr>
    </w:p>
    <w:p w14:paraId="4BE4643E">
      <w:pPr>
        <w:keepNext w:val="0"/>
        <w:keepLines w:val="0"/>
        <w:widowControl/>
        <w:suppressLineNumbers w:val="0"/>
        <w:spacing w:line="360" w:lineRule="auto"/>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《企业温室气体排放计量器具配备和管理规范 发电设施》</w:t>
      </w:r>
    </w:p>
    <w:p w14:paraId="0B24EEE5">
      <w:pPr>
        <w:keepNext w:val="0"/>
        <w:keepLines w:val="0"/>
        <w:widowControl/>
        <w:suppressLineNumbers w:val="0"/>
        <w:spacing w:line="360" w:lineRule="auto"/>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编制说明</w:t>
      </w:r>
    </w:p>
    <w:p w14:paraId="0DEF47F4">
      <w:pPr>
        <w:keepNext w:val="0"/>
        <w:keepLines w:val="0"/>
        <w:pageBreakBefore w:val="0"/>
        <w:widowControl w:val="0"/>
        <w:kinsoku/>
        <w:wordWrap/>
        <w:overflowPunct/>
        <w:topLinePunct w:val="0"/>
        <w:autoSpaceDE/>
        <w:autoSpaceDN/>
        <w:bidi w:val="0"/>
        <w:adjustRightInd/>
        <w:snapToGrid/>
        <w:spacing w:beforeLines="50" w:after="157" w:afterLines="50" w:line="360" w:lineRule="auto"/>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一、任务来源</w:t>
      </w:r>
    </w:p>
    <w:p w14:paraId="4724AF13">
      <w:pPr>
        <w:pStyle w:val="19"/>
        <w:keepNext w:val="0"/>
        <w:keepLines w:val="0"/>
        <w:pageBreakBefore w:val="0"/>
        <w:widowControl w:val="0"/>
        <w:kinsoku/>
        <w:wordWrap/>
        <w:overflowPunct/>
        <w:topLinePunct w:val="0"/>
        <w:bidi w:val="0"/>
        <w:adjustRightInd w:val="0"/>
        <w:spacing w:line="360" w:lineRule="auto"/>
        <w:ind w:firstLine="560"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2024年5月31日</w:t>
      </w:r>
      <w:r>
        <w:rPr>
          <w:rFonts w:hint="eastAsia" w:ascii="Times New Roman" w:eastAsia="仿宋_GB2312" w:cs="Times New Roman"/>
          <w:sz w:val="28"/>
          <w:szCs w:val="28"/>
          <w:lang w:eastAsia="zh-CN"/>
        </w:rPr>
        <w:t>，</w:t>
      </w:r>
      <w:r>
        <w:rPr>
          <w:rFonts w:hint="eastAsia" w:ascii="Times New Roman" w:eastAsia="仿宋_GB2312" w:cs="Times New Roman"/>
          <w:sz w:val="28"/>
          <w:szCs w:val="28"/>
          <w:lang w:val="en-US" w:eastAsia="zh-CN"/>
        </w:rPr>
        <w:t>国家</w:t>
      </w:r>
      <w:r>
        <w:rPr>
          <w:rFonts w:hint="eastAsia" w:ascii="Times New Roman" w:eastAsia="仿宋_GB2312" w:cs="Times New Roman"/>
          <w:sz w:val="28"/>
          <w:szCs w:val="28"/>
          <w:lang w:eastAsia="zh-CN"/>
        </w:rPr>
        <w:t>市场监管总局</w:t>
      </w:r>
      <w:r>
        <w:rPr>
          <w:rFonts w:hint="eastAsia" w:ascii="Times New Roman" w:eastAsia="仿宋_GB2312" w:cs="Times New Roman"/>
          <w:sz w:val="28"/>
          <w:szCs w:val="28"/>
          <w:lang w:val="en-US" w:eastAsia="zh-CN"/>
        </w:rPr>
        <w:t>印发《</w:t>
      </w:r>
      <w:r>
        <w:rPr>
          <w:rFonts w:hint="eastAsia" w:ascii="Times New Roman" w:eastAsia="仿宋_GB2312" w:cs="Times New Roman"/>
          <w:sz w:val="28"/>
          <w:szCs w:val="28"/>
          <w:lang w:eastAsia="zh-CN"/>
        </w:rPr>
        <w:t>2024年国家计量技术规范制定、修订及宣贯计划的通知》，对主要起草单位广东省计量科学研究院、中国计量科学研究院下达了起草任务，《企业温室气体排放计量器具配备和管理规范 发电设施》正式批准立项，任务归口全国碳达峰碳中和计量技术委员会碳排放量计量分技术委员会管理。</w:t>
      </w:r>
    </w:p>
    <w:p w14:paraId="47A86DB3">
      <w:pPr>
        <w:keepNext w:val="0"/>
        <w:keepLines w:val="0"/>
        <w:pageBreakBefore w:val="0"/>
        <w:widowControl w:val="0"/>
        <w:kinsoku/>
        <w:wordWrap/>
        <w:overflowPunct/>
        <w:topLinePunct w:val="0"/>
        <w:autoSpaceDE/>
        <w:autoSpaceDN/>
        <w:bidi w:val="0"/>
        <w:adjustRightInd/>
        <w:snapToGrid/>
        <w:spacing w:beforeLines="50" w:after="157" w:afterLines="50" w:line="360" w:lineRule="auto"/>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二、</w:t>
      </w:r>
      <w:r>
        <w:rPr>
          <w:rFonts w:hint="default" w:ascii="Times New Roman" w:hAnsi="Times New Roman" w:eastAsia="仿宋_GB2312" w:cs="Times New Roman"/>
          <w:b/>
          <w:color w:val="000000"/>
          <w:kern w:val="0"/>
          <w:sz w:val="28"/>
          <w:szCs w:val="28"/>
          <w:lang w:val="en-US" w:eastAsia="zh-CN"/>
        </w:rPr>
        <w:t>编制</w:t>
      </w:r>
      <w:r>
        <w:rPr>
          <w:rFonts w:hint="default" w:ascii="Times New Roman" w:hAnsi="Times New Roman" w:eastAsia="仿宋_GB2312" w:cs="Times New Roman"/>
          <w:b/>
          <w:color w:val="000000"/>
          <w:kern w:val="0"/>
          <w:sz w:val="28"/>
          <w:szCs w:val="28"/>
        </w:rPr>
        <w:t>背景</w:t>
      </w:r>
    </w:p>
    <w:p w14:paraId="2A3F3E6D">
      <w:pPr>
        <w:spacing w:before="50" w:line="360" w:lineRule="auto"/>
        <w:ind w:firstLine="573"/>
        <w:rPr>
          <w:rFonts w:hint="default" w:ascii="Times New Roman" w:hAnsi="Times New Roman" w:eastAsia="仿宋_GB2312" w:cs="Times New Roman"/>
          <w:i w:val="0"/>
          <w:iCs w:val="0"/>
          <w:caps w:val="0"/>
          <w:color w:val="000000"/>
          <w:spacing w:val="0"/>
          <w:kern w:val="0"/>
          <w:sz w:val="28"/>
          <w:szCs w:val="28"/>
          <w:shd w:val="clear"/>
        </w:rPr>
      </w:pPr>
      <w:r>
        <w:rPr>
          <w:rFonts w:hint="default" w:ascii="Times New Roman" w:hAnsi="Times New Roman" w:eastAsia="仿宋_GB2312" w:cs="Times New Roman"/>
          <w:i w:val="0"/>
          <w:iCs w:val="0"/>
          <w:caps w:val="0"/>
          <w:color w:val="000000"/>
          <w:spacing w:val="0"/>
          <w:kern w:val="0"/>
          <w:sz w:val="28"/>
          <w:szCs w:val="28"/>
          <w:shd w:val="clear"/>
        </w:rPr>
        <w:t>全球变暖是当前全世界共同面临的重大环境问题之一，主要是由于人类活动如化石燃料燃烧向大气中排放了大量以二氧化碳为代表的温室气体，导致地表温度持续升高，并引发海平面上升和极端天气频发等一系列衍生问题，严重威胁人类的可持续发展。为控制二氧化碳排放，走生态优先、绿色低碳的高质量发展道路，我国于2020年9月提出2030年实现碳达峰，2060年实现碳中和的双碳目标。随着双碳目标的提出，我国的生态文明建设已经进入以降碳为重点战略的关键时期，正由能源消耗总量和强度“双控”逐步转向碳排放总量和强度“双控”。</w:t>
      </w:r>
    </w:p>
    <w:p w14:paraId="60FB74E5">
      <w:pPr>
        <w:spacing w:before="50" w:line="360" w:lineRule="auto"/>
        <w:ind w:firstLine="573"/>
        <w:rPr>
          <w:rFonts w:hint="default" w:ascii="Times New Roman" w:hAnsi="Times New Roman" w:eastAsia="仿宋_GB2312" w:cs="Times New Roman"/>
          <w:i w:val="0"/>
          <w:iCs w:val="0"/>
          <w:caps w:val="0"/>
          <w:color w:val="000000"/>
          <w:spacing w:val="0"/>
          <w:kern w:val="0"/>
          <w:sz w:val="28"/>
          <w:szCs w:val="28"/>
          <w:shd w:val="clear"/>
        </w:rPr>
      </w:pPr>
      <w:r>
        <w:rPr>
          <w:rFonts w:hint="default" w:ascii="Times New Roman" w:hAnsi="Times New Roman" w:eastAsia="仿宋_GB2312" w:cs="Times New Roman"/>
          <w:i w:val="0"/>
          <w:iCs w:val="0"/>
          <w:caps w:val="0"/>
          <w:color w:val="000000"/>
          <w:spacing w:val="0"/>
          <w:kern w:val="0"/>
          <w:sz w:val="28"/>
          <w:szCs w:val="28"/>
          <w:shd w:val="clear"/>
        </w:rPr>
        <w:t>碳交易市场是我国实施积极应对气候变化国家战略的重要组成部分，也是落实我国碳达峰目标与碳中和愿景的重要工具。电力行业是我国碳排放大户，成为首个纳入全国碳交易市场的行业，2022年纳入碳市场的火电企业2162家，覆盖约45亿吨二氧化碳排放量，占全国二氧化碳排放量的40%以上。火力发电企业作为电力行业的主要排放源头，已经成为我国开展双碳工作的重要抓手，也是实现双碳目标的主要“责任人”。</w:t>
      </w:r>
    </w:p>
    <w:p w14:paraId="6ECCA509">
      <w:pPr>
        <w:spacing w:before="50" w:line="360" w:lineRule="auto"/>
        <w:ind w:firstLine="573"/>
        <w:rPr>
          <w:rFonts w:hint="default" w:ascii="Times New Roman" w:hAnsi="Times New Roman" w:eastAsia="仿宋_GB2312" w:cs="Times New Roman"/>
          <w:i w:val="0"/>
          <w:iCs w:val="0"/>
          <w:caps w:val="0"/>
          <w:color w:val="000000"/>
          <w:spacing w:val="0"/>
          <w:kern w:val="0"/>
          <w:sz w:val="28"/>
          <w:szCs w:val="28"/>
          <w:shd w:val="clear"/>
        </w:rPr>
      </w:pPr>
      <w:r>
        <w:rPr>
          <w:rFonts w:hint="default" w:ascii="Times New Roman" w:hAnsi="Times New Roman" w:eastAsia="仿宋_GB2312" w:cs="Times New Roman"/>
          <w:i w:val="0"/>
          <w:iCs w:val="0"/>
          <w:caps w:val="0"/>
          <w:color w:val="000000"/>
          <w:spacing w:val="0"/>
          <w:kern w:val="0"/>
          <w:sz w:val="28"/>
          <w:szCs w:val="28"/>
          <w:shd w:val="clear"/>
        </w:rPr>
        <w:t>碳排放统计核算是科学制定国家政策、评估考核工作进展、参与国际谈判履约等的数据依据，也是企业参与碳交易市场的重要前提。《中共中央国务院关于完整准确全面贯彻新发展理念做好碳达峰碳中和工作的意见》和《2030年前碳达峰行动方案》中明确提出统一规范的碳排放统计核算体系是双碳目标达成的关键一环。计量是实现单位统一和量值准确可靠的活动，是实现温室气体排放“可测量、可报告、可核查”的重要基础和保障。开展企业</w:t>
      </w:r>
      <w:r>
        <w:rPr>
          <w:rFonts w:hint="eastAsia" w:eastAsia="仿宋_GB2312" w:cs="Times New Roman"/>
          <w:i w:val="0"/>
          <w:iCs w:val="0"/>
          <w:caps w:val="0"/>
          <w:color w:val="000000"/>
          <w:spacing w:val="0"/>
          <w:kern w:val="0"/>
          <w:sz w:val="28"/>
          <w:szCs w:val="28"/>
          <w:shd w:val="clear"/>
          <w:lang w:val="en-US" w:eastAsia="zh-CN"/>
        </w:rPr>
        <w:t>发电设施</w:t>
      </w:r>
      <w:r>
        <w:rPr>
          <w:rFonts w:hint="default" w:ascii="Times New Roman" w:hAnsi="Times New Roman" w:eastAsia="仿宋_GB2312" w:cs="Times New Roman"/>
          <w:i w:val="0"/>
          <w:iCs w:val="0"/>
          <w:caps w:val="0"/>
          <w:color w:val="000000"/>
          <w:spacing w:val="0"/>
          <w:kern w:val="0"/>
          <w:sz w:val="28"/>
          <w:szCs w:val="28"/>
          <w:shd w:val="clear"/>
        </w:rPr>
        <w:t>的碳排放计量工作，有利于通过发挥计量的基础性作用，保障碳排放统计核算数据的准确可靠，推动碳排放“双控”政策的实施。目前在企业</w:t>
      </w:r>
      <w:r>
        <w:rPr>
          <w:rFonts w:hint="eastAsia" w:eastAsia="仿宋_GB2312" w:cs="Times New Roman"/>
          <w:i w:val="0"/>
          <w:iCs w:val="0"/>
          <w:caps w:val="0"/>
          <w:color w:val="000000"/>
          <w:spacing w:val="0"/>
          <w:kern w:val="0"/>
          <w:sz w:val="28"/>
          <w:szCs w:val="28"/>
          <w:shd w:val="clear"/>
          <w:lang w:val="en-US" w:eastAsia="zh-CN"/>
        </w:rPr>
        <w:t>发电设施</w:t>
      </w:r>
      <w:r>
        <w:rPr>
          <w:rFonts w:hint="default" w:ascii="Times New Roman" w:hAnsi="Times New Roman" w:eastAsia="仿宋_GB2312" w:cs="Times New Roman"/>
          <w:i w:val="0"/>
          <w:iCs w:val="0"/>
          <w:caps w:val="0"/>
          <w:color w:val="000000"/>
          <w:spacing w:val="0"/>
          <w:kern w:val="0"/>
          <w:sz w:val="28"/>
          <w:szCs w:val="28"/>
          <w:shd w:val="clear"/>
        </w:rPr>
        <w:t>开展碳排放计量的方法主要有核算法和实测法两种，国内以核算法为主，实测法为辅，在美国实测法应用更为广泛，而欧盟地区实测法和核算法并行。无论是核算法或实测法，均需要使用碳排放计量器具测量相关参数，如在核算法中为计算排放因子需要使用元素分析仪测定煤炭元素碳含量，使用氧弹量热计测定煤炭低位发热量，在实测法中需要使用烟气连续排放监测系统实时测定二氧化碳浓度、流量等。因此，碳排放计量器具是节能减排的“眼睛”，是准确计量碳排放量、监测能源消耗情况的重要工具，加强碳排放计量器具的配备及管理为摸清碳排放底数、促进碳市场公平交易提供重要的技术保障。</w:t>
      </w:r>
    </w:p>
    <w:p w14:paraId="7DA49F74">
      <w:pPr>
        <w:spacing w:before="50" w:line="360" w:lineRule="auto"/>
        <w:ind w:firstLine="573"/>
        <w:rPr>
          <w:rFonts w:hint="default" w:ascii="Times New Roman" w:hAnsi="Times New Roman" w:eastAsia="仿宋_GB2312" w:cs="Times New Roman"/>
          <w:i w:val="0"/>
          <w:iCs w:val="0"/>
          <w:caps w:val="0"/>
          <w:color w:val="000000"/>
          <w:spacing w:val="0"/>
          <w:kern w:val="0"/>
          <w:sz w:val="28"/>
          <w:szCs w:val="28"/>
          <w:shd w:val="clear"/>
        </w:rPr>
      </w:pPr>
      <w:r>
        <w:rPr>
          <w:rFonts w:hint="default" w:ascii="Times New Roman" w:hAnsi="Times New Roman" w:eastAsia="仿宋_GB2312" w:cs="Times New Roman"/>
          <w:i w:val="0"/>
          <w:iCs w:val="0"/>
          <w:caps w:val="0"/>
          <w:color w:val="000000"/>
          <w:spacing w:val="0"/>
          <w:kern w:val="0"/>
          <w:sz w:val="28"/>
          <w:szCs w:val="28"/>
          <w:shd w:val="clear"/>
        </w:rPr>
        <w:t>目前，国家层面尚未出台关于碳排放计量器具配备和管理的标准或规范，为响应企业</w:t>
      </w:r>
      <w:r>
        <w:rPr>
          <w:rFonts w:hint="eastAsia" w:eastAsia="仿宋_GB2312" w:cs="Times New Roman"/>
          <w:i w:val="0"/>
          <w:iCs w:val="0"/>
          <w:caps w:val="0"/>
          <w:color w:val="000000"/>
          <w:spacing w:val="0"/>
          <w:kern w:val="0"/>
          <w:sz w:val="28"/>
          <w:szCs w:val="28"/>
          <w:shd w:val="clear"/>
          <w:lang w:val="en-US" w:eastAsia="zh-CN"/>
        </w:rPr>
        <w:t>发电设施</w:t>
      </w:r>
      <w:r>
        <w:rPr>
          <w:rFonts w:hint="default" w:ascii="Times New Roman" w:hAnsi="Times New Roman" w:eastAsia="仿宋_GB2312" w:cs="Times New Roman"/>
          <w:i w:val="0"/>
          <w:iCs w:val="0"/>
          <w:caps w:val="0"/>
          <w:color w:val="000000"/>
          <w:spacing w:val="0"/>
          <w:kern w:val="0"/>
          <w:sz w:val="28"/>
          <w:szCs w:val="28"/>
          <w:shd w:val="clear"/>
        </w:rPr>
        <w:t>开展碳排放计量工作的迫切需求，有必要制定《企业温室气体排放计量器具配备和管理规范 发电设施》，提升企业</w:t>
      </w:r>
      <w:r>
        <w:rPr>
          <w:rFonts w:hint="eastAsia" w:eastAsia="仿宋_GB2312" w:cs="Times New Roman"/>
          <w:i w:val="0"/>
          <w:iCs w:val="0"/>
          <w:caps w:val="0"/>
          <w:color w:val="000000"/>
          <w:spacing w:val="0"/>
          <w:kern w:val="0"/>
          <w:sz w:val="28"/>
          <w:szCs w:val="28"/>
          <w:shd w:val="clear"/>
          <w:lang w:val="en-US" w:eastAsia="zh-CN"/>
        </w:rPr>
        <w:t>发电设施</w:t>
      </w:r>
      <w:r>
        <w:rPr>
          <w:rFonts w:hint="default" w:ascii="Times New Roman" w:hAnsi="Times New Roman" w:eastAsia="仿宋_GB2312" w:cs="Times New Roman"/>
          <w:i w:val="0"/>
          <w:iCs w:val="0"/>
          <w:caps w:val="0"/>
          <w:color w:val="000000"/>
          <w:spacing w:val="0"/>
          <w:kern w:val="0"/>
          <w:sz w:val="28"/>
          <w:szCs w:val="28"/>
          <w:shd w:val="clear"/>
        </w:rPr>
        <w:t>碳排放计量器具的配备和管理水平，引导企业逐步提高碳排放数据的可靠性和准确性。</w:t>
      </w:r>
    </w:p>
    <w:p w14:paraId="65935105">
      <w:pPr>
        <w:keepNext w:val="0"/>
        <w:keepLines w:val="0"/>
        <w:pageBreakBefore w:val="0"/>
        <w:widowControl w:val="0"/>
        <w:kinsoku/>
        <w:wordWrap/>
        <w:overflowPunct/>
        <w:topLinePunct w:val="0"/>
        <w:autoSpaceDE/>
        <w:autoSpaceDN/>
        <w:bidi w:val="0"/>
        <w:adjustRightInd/>
        <w:snapToGrid/>
        <w:spacing w:beforeLines="50" w:after="157" w:afterLines="50" w:line="360" w:lineRule="auto"/>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rPr>
        <w:t>三、编制</w:t>
      </w:r>
      <w:r>
        <w:rPr>
          <w:rFonts w:hint="default" w:ascii="Times New Roman" w:hAnsi="Times New Roman" w:eastAsia="仿宋_GB2312" w:cs="Times New Roman"/>
          <w:b/>
          <w:color w:val="000000"/>
          <w:kern w:val="0"/>
          <w:sz w:val="28"/>
          <w:szCs w:val="28"/>
          <w:lang w:val="en-US" w:eastAsia="zh-CN"/>
        </w:rPr>
        <w:t>意义</w:t>
      </w:r>
    </w:p>
    <w:p w14:paraId="24465AE1">
      <w:pPr>
        <w:spacing w:line="360" w:lineRule="auto"/>
        <w:ind w:firstLine="480"/>
        <w:rPr>
          <w:rFonts w:hint="default" w:ascii="Times New Roman" w:hAnsi="Times New Roman" w:eastAsia="仿宋_GB2312" w:cs="Times New Roman"/>
          <w:i w:val="0"/>
          <w:iCs w:val="0"/>
          <w:caps w:val="0"/>
          <w:color w:val="000000"/>
          <w:spacing w:val="0"/>
          <w:kern w:val="0"/>
          <w:sz w:val="28"/>
          <w:szCs w:val="28"/>
          <w:shd w:val="clear"/>
        </w:rPr>
      </w:pPr>
      <w:r>
        <w:rPr>
          <w:rFonts w:hint="default" w:ascii="Times New Roman" w:hAnsi="Times New Roman" w:eastAsia="仿宋_GB2312" w:cs="Times New Roman"/>
          <w:i w:val="0"/>
          <w:iCs w:val="0"/>
          <w:caps w:val="0"/>
          <w:color w:val="000000"/>
          <w:spacing w:val="0"/>
          <w:kern w:val="0"/>
          <w:sz w:val="28"/>
          <w:szCs w:val="28"/>
          <w:shd w:val="clear"/>
        </w:rPr>
        <w:t>2022年10月，市场监管总局联合国家发展改革委等九部门联合印发《建立健全碳达峰碳中和标准计量体系实施方案》，要求加快支撑双碳战略目标的计量与标准体系建设，提出加强计量管理体系建设，加快制定碳计量器具配备和管理相关标准、规范。为推动企业建立健全碳计量体系，国家市场监管总局联合工信部于2023年2月8日发布《关于促进企业计量能力提升的指导意见》，提出研究建立重点排放单位碳计量审查制度，为企业碳排放“可测量、可报告、可核查”提供计量支撑，服务国家碳排放统计核算体系的建立和完善。</w:t>
      </w:r>
    </w:p>
    <w:p w14:paraId="2793627C">
      <w:pPr>
        <w:spacing w:line="360" w:lineRule="auto"/>
        <w:ind w:firstLine="480"/>
        <w:rPr>
          <w:rFonts w:hint="default" w:ascii="Times New Roman" w:hAnsi="Times New Roman" w:eastAsia="仿宋_GB2312" w:cs="Times New Roman"/>
          <w:i w:val="0"/>
          <w:iCs w:val="0"/>
          <w:caps w:val="0"/>
          <w:color w:val="000000"/>
          <w:spacing w:val="0"/>
          <w:kern w:val="0"/>
          <w:sz w:val="28"/>
          <w:szCs w:val="28"/>
          <w:shd w:val="clear"/>
        </w:rPr>
      </w:pPr>
      <w:r>
        <w:rPr>
          <w:rFonts w:hint="default" w:ascii="Times New Roman" w:hAnsi="Times New Roman" w:eastAsia="仿宋_GB2312" w:cs="Times New Roman"/>
          <w:i w:val="0"/>
          <w:iCs w:val="0"/>
          <w:caps w:val="0"/>
          <w:color w:val="000000"/>
          <w:spacing w:val="0"/>
          <w:kern w:val="0"/>
          <w:sz w:val="28"/>
          <w:szCs w:val="28"/>
          <w:shd w:val="clear"/>
        </w:rPr>
        <w:t>目前，国家正在制定国家计量技术规范《重点排放单位碳排放计量审查规范》，针对重点排放单位提出了碳排放计量器具的相关要求，各行业的配备和管理细则作为配套文件支撑。山东省已发布JJF（鲁）143-2022《企业碳排放计量器具配备及管理技术规范》</w:t>
      </w:r>
      <w:r>
        <w:rPr>
          <w:rFonts w:hint="eastAsia" w:eastAsia="仿宋_GB2312" w:cs="Times New Roman"/>
          <w:i w:val="0"/>
          <w:iCs w:val="0"/>
          <w:caps w:val="0"/>
          <w:color w:val="000000"/>
          <w:spacing w:val="0"/>
          <w:kern w:val="0"/>
          <w:sz w:val="28"/>
          <w:szCs w:val="28"/>
          <w:shd w:val="clear"/>
          <w:lang w:eastAsia="zh-CN"/>
        </w:rPr>
        <w:t>。</w:t>
      </w:r>
      <w:r>
        <w:rPr>
          <w:rFonts w:hint="default" w:ascii="Times New Roman" w:hAnsi="Times New Roman" w:eastAsia="仿宋_GB2312" w:cs="Times New Roman"/>
          <w:i w:val="0"/>
          <w:iCs w:val="0"/>
          <w:caps w:val="0"/>
          <w:color w:val="000000"/>
          <w:spacing w:val="0"/>
          <w:kern w:val="0"/>
          <w:sz w:val="28"/>
          <w:szCs w:val="28"/>
          <w:shd w:val="clear"/>
        </w:rPr>
        <w:t>广东省于2023年初提出《企业温室气体排放计量器具配备和管理规范 发电设施》的立项申请。</w:t>
      </w:r>
    </w:p>
    <w:p w14:paraId="30E9AC4A">
      <w:pPr>
        <w:spacing w:line="360" w:lineRule="auto"/>
        <w:ind w:firstLine="480"/>
        <w:rPr>
          <w:rFonts w:hint="default" w:ascii="Times New Roman" w:hAnsi="Times New Roman" w:eastAsia="仿宋_GB2312" w:cs="Times New Roman"/>
          <w:i w:val="0"/>
          <w:iCs w:val="0"/>
          <w:caps w:val="0"/>
          <w:color w:val="000000"/>
          <w:spacing w:val="0"/>
          <w:kern w:val="0"/>
          <w:sz w:val="28"/>
          <w:szCs w:val="28"/>
          <w:shd w:val="clear"/>
        </w:rPr>
      </w:pPr>
      <w:r>
        <w:rPr>
          <w:rFonts w:hint="default" w:ascii="Times New Roman" w:hAnsi="Times New Roman" w:eastAsia="仿宋_GB2312" w:cs="Times New Roman"/>
          <w:i w:val="0"/>
          <w:iCs w:val="0"/>
          <w:caps w:val="0"/>
          <w:color w:val="000000"/>
          <w:spacing w:val="0"/>
          <w:kern w:val="0"/>
          <w:sz w:val="28"/>
          <w:szCs w:val="28"/>
          <w:shd w:val="clear"/>
        </w:rPr>
        <w:t>我国碳排放计量主要有核算法和直接测量法。火电行业碳排放核算法依据生态环境部发布的《企业温室气体排放核算方法与报告指南 发电设施》（环办气候函〔2022〕485号）规定的计算公式及数据监测要求，共涉及8项参数，分别是：燃料消耗量、燃料元素碳含量、燃煤水分、燃料低位发热量、燃料单位热值含碳量、燃料碳氧化率、外购使用电量、电网排放因子。其碳计量器具主要为相关参数测量用计量器具或测量仪器，包括皮带秤、流量计、元素分析仪、氧弹热量计等。而用于直接测量法的温室气体在线监测系统在我国处于探索和发展阶段。生态环境部在2021年印发《碳监测评估试点工作方案》（环办监测函〔2021〕435号），在火电行业选取了国家能源集团、中国华电集团、上海电力等3个集团下属18家火电企业的22台机组开展二氧化碳排放在线监测试点工作，未来我国将形成“核算为主、监测为辅”的碳监测数据支撑体系，温室气体排放在线监测系统的使用将越来越广泛。</w:t>
      </w:r>
    </w:p>
    <w:p w14:paraId="5508C016">
      <w:pPr>
        <w:spacing w:line="360" w:lineRule="auto"/>
        <w:ind w:firstLine="48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i w:val="0"/>
          <w:iCs w:val="0"/>
          <w:caps w:val="0"/>
          <w:color w:val="000000"/>
          <w:spacing w:val="0"/>
          <w:kern w:val="0"/>
          <w:sz w:val="28"/>
          <w:szCs w:val="28"/>
          <w:shd w:val="clear"/>
        </w:rPr>
        <w:t>因此，为保障碳排放数据的准确可靠，需要对企业</w:t>
      </w:r>
      <w:r>
        <w:rPr>
          <w:rFonts w:hint="eastAsia" w:eastAsia="仿宋_GB2312" w:cs="Times New Roman"/>
          <w:i w:val="0"/>
          <w:iCs w:val="0"/>
          <w:caps w:val="0"/>
          <w:color w:val="000000"/>
          <w:spacing w:val="0"/>
          <w:kern w:val="0"/>
          <w:sz w:val="28"/>
          <w:szCs w:val="28"/>
          <w:shd w:val="clear"/>
          <w:lang w:val="en-US" w:eastAsia="zh-CN"/>
        </w:rPr>
        <w:t>发电设施</w:t>
      </w:r>
      <w:r>
        <w:rPr>
          <w:rFonts w:hint="default" w:ascii="Times New Roman" w:hAnsi="Times New Roman" w:eastAsia="仿宋_GB2312" w:cs="Times New Roman"/>
          <w:i w:val="0"/>
          <w:iCs w:val="0"/>
          <w:caps w:val="0"/>
          <w:color w:val="000000"/>
          <w:spacing w:val="0"/>
          <w:kern w:val="0"/>
          <w:sz w:val="28"/>
          <w:szCs w:val="28"/>
          <w:shd w:val="clear"/>
        </w:rPr>
        <w:t>碳排放计量器具配备提出规范性要求，提升器具管理水平，从而保障企业</w:t>
      </w:r>
      <w:r>
        <w:rPr>
          <w:rFonts w:hint="eastAsia" w:eastAsia="仿宋_GB2312" w:cs="Times New Roman"/>
          <w:i w:val="0"/>
          <w:iCs w:val="0"/>
          <w:caps w:val="0"/>
          <w:color w:val="000000"/>
          <w:spacing w:val="0"/>
          <w:kern w:val="0"/>
          <w:sz w:val="28"/>
          <w:szCs w:val="28"/>
          <w:shd w:val="clear"/>
          <w:lang w:val="en-US" w:eastAsia="zh-CN"/>
        </w:rPr>
        <w:t>电力</w:t>
      </w:r>
      <w:r>
        <w:rPr>
          <w:rFonts w:hint="default" w:ascii="Times New Roman" w:hAnsi="Times New Roman" w:eastAsia="仿宋_GB2312" w:cs="Times New Roman"/>
          <w:i w:val="0"/>
          <w:iCs w:val="0"/>
          <w:caps w:val="0"/>
          <w:color w:val="000000"/>
          <w:spacing w:val="0"/>
          <w:kern w:val="0"/>
          <w:sz w:val="28"/>
          <w:szCs w:val="28"/>
          <w:shd w:val="clear"/>
        </w:rPr>
        <w:t>碳排放数据质量，确保碳交易市场的健康有序，助力</w:t>
      </w:r>
      <w:r>
        <w:rPr>
          <w:rFonts w:hint="eastAsia" w:eastAsia="仿宋_GB2312" w:cs="Times New Roman"/>
          <w:i w:val="0"/>
          <w:iCs w:val="0"/>
          <w:caps w:val="0"/>
          <w:color w:val="000000"/>
          <w:spacing w:val="0"/>
          <w:kern w:val="0"/>
          <w:sz w:val="28"/>
          <w:szCs w:val="28"/>
          <w:shd w:val="clear"/>
          <w:lang w:val="en-US" w:eastAsia="zh-CN"/>
        </w:rPr>
        <w:t>发电</w:t>
      </w:r>
      <w:r>
        <w:rPr>
          <w:rFonts w:hint="default" w:ascii="Times New Roman" w:hAnsi="Times New Roman" w:eastAsia="仿宋_GB2312" w:cs="Times New Roman"/>
          <w:i w:val="0"/>
          <w:iCs w:val="0"/>
          <w:caps w:val="0"/>
          <w:color w:val="000000"/>
          <w:spacing w:val="0"/>
          <w:kern w:val="0"/>
          <w:sz w:val="28"/>
          <w:szCs w:val="28"/>
          <w:shd w:val="clear"/>
        </w:rPr>
        <w:t>行业双碳目标的实现。</w:t>
      </w:r>
    </w:p>
    <w:p w14:paraId="228746BE">
      <w:pPr>
        <w:keepNext w:val="0"/>
        <w:keepLines w:val="0"/>
        <w:pageBreakBefore w:val="0"/>
        <w:widowControl w:val="0"/>
        <w:kinsoku/>
        <w:wordWrap/>
        <w:overflowPunct/>
        <w:topLinePunct w:val="0"/>
        <w:autoSpaceDE/>
        <w:autoSpaceDN/>
        <w:bidi w:val="0"/>
        <w:adjustRightInd/>
        <w:snapToGrid/>
        <w:spacing w:beforeLines="50" w:after="157" w:afterLines="50" w:line="360" w:lineRule="auto"/>
        <w:textAlignment w:val="auto"/>
        <w:rPr>
          <w:rFonts w:hint="eastAsia" w:ascii="Times New Roman" w:hAnsi="Times New Roman" w:eastAsia="仿宋_GB2312" w:cs="Times New Roman"/>
          <w:b/>
          <w:color w:val="000000"/>
          <w:kern w:val="0"/>
          <w:sz w:val="28"/>
          <w:szCs w:val="28"/>
          <w:lang w:val="en-US" w:eastAsia="zh-CN"/>
        </w:rPr>
      </w:pPr>
      <w:r>
        <w:rPr>
          <w:rFonts w:hint="eastAsia" w:eastAsia="仿宋_GB2312" w:cs="Times New Roman"/>
          <w:b/>
          <w:color w:val="000000"/>
          <w:kern w:val="0"/>
          <w:sz w:val="28"/>
          <w:szCs w:val="28"/>
          <w:lang w:val="en-US" w:eastAsia="zh-CN"/>
        </w:rPr>
        <w:t>四</w:t>
      </w:r>
      <w:r>
        <w:rPr>
          <w:rFonts w:hint="default" w:ascii="Times New Roman" w:hAnsi="Times New Roman" w:eastAsia="仿宋_GB2312" w:cs="Times New Roman"/>
          <w:b/>
          <w:color w:val="000000"/>
          <w:kern w:val="0"/>
          <w:sz w:val="28"/>
          <w:szCs w:val="28"/>
        </w:rPr>
        <w:t>、</w:t>
      </w:r>
      <w:r>
        <w:rPr>
          <w:rFonts w:hint="eastAsia" w:eastAsia="仿宋_GB2312" w:cs="Times New Roman"/>
          <w:b/>
          <w:color w:val="000000"/>
          <w:kern w:val="0"/>
          <w:sz w:val="28"/>
          <w:szCs w:val="28"/>
          <w:lang w:val="en-US" w:eastAsia="zh-CN"/>
        </w:rPr>
        <w:t>编制依据</w:t>
      </w:r>
    </w:p>
    <w:p w14:paraId="55F5D339">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eastAsia="仿宋_GB2312"/>
          <w:sz w:val="28"/>
          <w:szCs w:val="28"/>
          <w:lang w:val="en-US" w:eastAsia="zh-CN"/>
        </w:rPr>
      </w:pPr>
      <w:r>
        <w:rPr>
          <w:rFonts w:hint="default" w:eastAsia="仿宋_GB2312" w:cs="Times New Roman"/>
          <w:color w:val="000000"/>
          <w:kern w:val="0"/>
          <w:sz w:val="28"/>
          <w:szCs w:val="28"/>
          <w:highlight w:val="none"/>
          <w:lang w:val="en-US" w:eastAsia="zh-CN"/>
        </w:rPr>
        <w:t>JJF 1071–2010《国家计量校准规范编写规则》、JJF 1001–2011《通用计量术语及定义》等共同构成本规范制定工作的基础性系列规范。本文件在编制中</w:t>
      </w:r>
      <w:r>
        <w:rPr>
          <w:rFonts w:hint="eastAsia" w:eastAsia="仿宋_GB2312" w:cs="Times New Roman"/>
          <w:color w:val="000000"/>
          <w:kern w:val="0"/>
          <w:sz w:val="28"/>
          <w:szCs w:val="28"/>
          <w:highlight w:val="none"/>
          <w:lang w:val="en-US" w:eastAsia="zh-CN"/>
        </w:rPr>
        <w:t>重点参考了</w:t>
      </w:r>
      <w:r>
        <w:rPr>
          <w:rFonts w:hint="default" w:eastAsia="仿宋_GB2312" w:cs="Times New Roman"/>
          <w:color w:val="000000"/>
          <w:kern w:val="0"/>
          <w:sz w:val="28"/>
          <w:szCs w:val="28"/>
          <w:highlight w:val="none"/>
          <w:lang w:val="en-US" w:eastAsia="zh-CN"/>
        </w:rPr>
        <w:t>JJF 1356</w:t>
      </w:r>
      <w:r>
        <w:rPr>
          <w:rFonts w:hint="default" w:eastAsia="仿宋_GB2312"/>
          <w:sz w:val="28"/>
          <w:szCs w:val="28"/>
        </w:rPr>
        <w:t>–</w:t>
      </w:r>
      <w:r>
        <w:rPr>
          <w:rFonts w:hint="default" w:eastAsia="仿宋_GB2312" w:cs="Times New Roman"/>
          <w:color w:val="000000"/>
          <w:kern w:val="0"/>
          <w:sz w:val="28"/>
          <w:szCs w:val="28"/>
          <w:highlight w:val="none"/>
          <w:lang w:val="en-US" w:eastAsia="zh-CN"/>
        </w:rPr>
        <w:t>2012《重点用能单位能源计量审查规范》、</w:t>
      </w:r>
      <w:r>
        <w:rPr>
          <w:rFonts w:hint="default" w:eastAsia="仿宋_GB2312"/>
          <w:sz w:val="28"/>
          <w:szCs w:val="28"/>
        </w:rPr>
        <w:t>GB 32150–2015《工业企业温室气体排放核算和报告总则》</w:t>
      </w:r>
      <w:r>
        <w:rPr>
          <w:rFonts w:hint="eastAsia" w:eastAsia="仿宋_GB2312"/>
          <w:sz w:val="28"/>
          <w:szCs w:val="28"/>
          <w:lang w:eastAsia="zh-CN"/>
        </w:rPr>
        <w:t>、</w:t>
      </w:r>
      <w:r>
        <w:rPr>
          <w:rFonts w:hint="default" w:eastAsia="仿宋_GB2312" w:cs="Times New Roman"/>
          <w:color w:val="000000"/>
          <w:kern w:val="0"/>
          <w:sz w:val="28"/>
          <w:szCs w:val="28"/>
          <w:highlight w:val="none"/>
          <w:lang w:val="en-US" w:eastAsia="zh-CN"/>
        </w:rPr>
        <w:t>GB 17167</w:t>
      </w:r>
      <w:r>
        <w:rPr>
          <w:rFonts w:hint="default" w:eastAsia="仿宋_GB2312"/>
          <w:sz w:val="28"/>
          <w:szCs w:val="28"/>
        </w:rPr>
        <w:t>–</w:t>
      </w:r>
      <w:r>
        <w:rPr>
          <w:rFonts w:hint="default" w:eastAsia="仿宋_GB2312" w:cs="Times New Roman"/>
          <w:color w:val="000000"/>
          <w:kern w:val="0"/>
          <w:sz w:val="28"/>
          <w:szCs w:val="28"/>
          <w:highlight w:val="none"/>
          <w:lang w:val="en-US" w:eastAsia="zh-CN"/>
        </w:rPr>
        <w:t>2006《用能单位能源计量器具配备和管理通则》</w:t>
      </w:r>
      <w:r>
        <w:rPr>
          <w:rFonts w:hint="eastAsia" w:eastAsia="仿宋_GB2312" w:cs="Times New Roman"/>
          <w:color w:val="000000"/>
          <w:kern w:val="0"/>
          <w:sz w:val="28"/>
          <w:szCs w:val="28"/>
          <w:highlight w:val="none"/>
          <w:lang w:val="en-US" w:eastAsia="zh-CN"/>
        </w:rPr>
        <w:t>、</w:t>
      </w:r>
      <w:r>
        <w:rPr>
          <w:rFonts w:hint="default" w:eastAsia="仿宋_GB2312" w:cs="Times New Roman"/>
          <w:color w:val="000000"/>
          <w:kern w:val="0"/>
          <w:sz w:val="28"/>
          <w:szCs w:val="28"/>
          <w:highlight w:val="none"/>
          <w:lang w:val="en-US" w:eastAsia="zh-CN"/>
        </w:rPr>
        <w:t>GB/T 21369</w:t>
      </w:r>
      <w:r>
        <w:rPr>
          <w:rFonts w:hint="default" w:eastAsia="仿宋_GB2312"/>
          <w:sz w:val="28"/>
          <w:szCs w:val="28"/>
        </w:rPr>
        <w:t>–</w:t>
      </w:r>
      <w:r>
        <w:rPr>
          <w:rFonts w:hint="default" w:eastAsia="仿宋_GB2312" w:cs="Times New Roman"/>
          <w:color w:val="000000"/>
          <w:kern w:val="0"/>
          <w:sz w:val="28"/>
          <w:szCs w:val="28"/>
          <w:highlight w:val="none"/>
          <w:lang w:val="en-US" w:eastAsia="zh-CN"/>
        </w:rPr>
        <w:t>2008《火力发电企业能源计量器具配备和管理要求》</w:t>
      </w:r>
      <w:r>
        <w:rPr>
          <w:rFonts w:hint="eastAsia" w:eastAsia="仿宋_GB2312" w:cs="Times New Roman"/>
          <w:color w:val="000000"/>
          <w:kern w:val="0"/>
          <w:sz w:val="28"/>
          <w:szCs w:val="28"/>
          <w:highlight w:val="none"/>
          <w:lang w:val="en-US" w:eastAsia="zh-CN"/>
        </w:rPr>
        <w:t>和</w:t>
      </w:r>
      <w:r>
        <w:rPr>
          <w:rFonts w:hint="default" w:eastAsia="仿宋_GB2312"/>
          <w:sz w:val="28"/>
          <w:szCs w:val="28"/>
        </w:rPr>
        <w:t>T/CMA CC199–2024《企业温室气体排放计量器具配备和管理通则》</w:t>
      </w:r>
      <w:r>
        <w:rPr>
          <w:rFonts w:hint="eastAsia" w:eastAsia="仿宋_GB2312"/>
          <w:sz w:val="28"/>
          <w:szCs w:val="28"/>
          <w:lang w:val="en-US" w:eastAsia="zh-CN"/>
        </w:rPr>
        <w:t>等文件</w:t>
      </w:r>
      <w:r>
        <w:rPr>
          <w:rFonts w:hint="default" w:eastAsia="仿宋_GB2312" w:cs="Times New Roman"/>
          <w:color w:val="000000"/>
          <w:kern w:val="0"/>
          <w:sz w:val="28"/>
          <w:szCs w:val="28"/>
          <w:highlight w:val="none"/>
          <w:lang w:val="en-US" w:eastAsia="zh-CN"/>
        </w:rPr>
        <w:t>的</w:t>
      </w:r>
      <w:r>
        <w:rPr>
          <w:rFonts w:hint="default" w:eastAsia="仿宋_GB2312"/>
          <w:sz w:val="28"/>
          <w:szCs w:val="28"/>
        </w:rPr>
        <w:t>内容</w:t>
      </w:r>
      <w:r>
        <w:rPr>
          <w:rFonts w:hint="eastAsia" w:eastAsia="仿宋_GB2312"/>
          <w:sz w:val="28"/>
          <w:szCs w:val="28"/>
          <w:lang w:val="en-US" w:eastAsia="zh-CN"/>
        </w:rPr>
        <w:t>和技术指标</w:t>
      </w:r>
      <w:r>
        <w:rPr>
          <w:rFonts w:hint="default" w:eastAsia="仿宋_GB2312"/>
          <w:sz w:val="28"/>
          <w:szCs w:val="28"/>
          <w:lang w:val="en-US" w:eastAsia="zh-CN"/>
        </w:rPr>
        <w:t>。</w:t>
      </w:r>
    </w:p>
    <w:p w14:paraId="6D3494A7">
      <w:pPr>
        <w:keepNext w:val="0"/>
        <w:keepLines w:val="0"/>
        <w:pageBreakBefore w:val="0"/>
        <w:widowControl w:val="0"/>
        <w:kinsoku/>
        <w:wordWrap/>
        <w:overflowPunct/>
        <w:topLinePunct w:val="0"/>
        <w:autoSpaceDE/>
        <w:autoSpaceDN/>
        <w:bidi w:val="0"/>
        <w:adjustRightInd/>
        <w:snapToGrid/>
        <w:spacing w:beforeLines="50" w:after="157" w:afterLines="50" w:line="360" w:lineRule="auto"/>
        <w:textAlignment w:val="auto"/>
        <w:rPr>
          <w:rFonts w:hint="default" w:ascii="Times New Roman" w:hAnsi="Times New Roman" w:eastAsia="仿宋_GB2312" w:cs="Times New Roman"/>
          <w:b/>
          <w:color w:val="000000"/>
          <w:kern w:val="0"/>
          <w:sz w:val="28"/>
          <w:szCs w:val="28"/>
        </w:rPr>
      </w:pPr>
      <w:r>
        <w:rPr>
          <w:rFonts w:hint="eastAsia" w:eastAsia="仿宋_GB2312" w:cs="Times New Roman"/>
          <w:b/>
          <w:color w:val="000000"/>
          <w:kern w:val="0"/>
          <w:sz w:val="28"/>
          <w:szCs w:val="28"/>
          <w:lang w:val="en-US" w:eastAsia="zh-CN"/>
        </w:rPr>
        <w:t>五</w:t>
      </w:r>
      <w:r>
        <w:rPr>
          <w:rFonts w:hint="default" w:ascii="Times New Roman" w:hAnsi="Times New Roman" w:eastAsia="仿宋_GB2312" w:cs="Times New Roman"/>
          <w:b/>
          <w:color w:val="000000"/>
          <w:kern w:val="0"/>
          <w:sz w:val="28"/>
          <w:szCs w:val="28"/>
        </w:rPr>
        <w:t>、编制过程</w:t>
      </w:r>
    </w:p>
    <w:p w14:paraId="7BA7A5B4">
      <w:pPr>
        <w:spacing w:line="360" w:lineRule="auto"/>
        <w:ind w:firstLine="560" w:firstLineChars="200"/>
        <w:rPr>
          <w:rFonts w:hint="default" w:ascii="Times New Roman" w:hAnsi="Times New Roman" w:eastAsia="仿宋_GB2312" w:cs="Times New Roman"/>
          <w:color w:val="000000"/>
          <w:kern w:val="0"/>
          <w:sz w:val="28"/>
          <w:szCs w:val="28"/>
          <w:lang w:val="en-US" w:eastAsia="zh-CN"/>
        </w:rPr>
      </w:pPr>
      <w:r>
        <w:rPr>
          <w:rFonts w:hint="eastAsia" w:eastAsia="仿宋_GB2312" w:cs="Times New Roman"/>
          <w:color w:val="000000"/>
          <w:kern w:val="0"/>
          <w:sz w:val="28"/>
          <w:szCs w:val="28"/>
          <w:lang w:val="en-US" w:eastAsia="zh-CN"/>
        </w:rPr>
        <w:t>1. 前期准备：2023年8月至2024年5月，组织人员开展前期调研工作，完成资料收集，进行规范的可行性分析，初步形成规范的各项内容。</w:t>
      </w:r>
    </w:p>
    <w:p w14:paraId="2A8E15CF">
      <w:pPr>
        <w:spacing w:line="360" w:lineRule="auto"/>
        <w:ind w:firstLine="560" w:firstLineChars="200"/>
        <w:rPr>
          <w:rFonts w:hint="default" w:ascii="Times New Roman" w:hAnsi="Times New Roman" w:eastAsia="仿宋_GB2312" w:cs="Times New Roman"/>
          <w:color w:val="000000"/>
          <w:kern w:val="0"/>
          <w:sz w:val="28"/>
          <w:szCs w:val="28"/>
        </w:rPr>
      </w:pPr>
      <w:r>
        <w:rPr>
          <w:rFonts w:hint="eastAsia" w:eastAsia="仿宋_GB2312" w:cs="Times New Roman"/>
          <w:color w:val="000000"/>
          <w:kern w:val="0"/>
          <w:sz w:val="28"/>
          <w:szCs w:val="28"/>
          <w:lang w:val="en-US" w:eastAsia="zh-CN"/>
        </w:rPr>
        <w:t>2</w:t>
      </w:r>
      <w:r>
        <w:rPr>
          <w:rFonts w:hint="default" w:ascii="Times New Roman" w:hAnsi="Times New Roman" w:eastAsia="仿宋_GB2312" w:cs="Times New Roman"/>
          <w:color w:val="000000"/>
          <w:kern w:val="0"/>
          <w:sz w:val="28"/>
          <w:szCs w:val="28"/>
        </w:rPr>
        <w:t>. 立项批准：202</w:t>
      </w:r>
      <w:r>
        <w:rPr>
          <w:rFonts w:hint="eastAsia"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rPr>
        <w:t>年</w:t>
      </w:r>
      <w:r>
        <w:rPr>
          <w:rFonts w:hint="eastAsia"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月，全国碳达峰碳中和计量技术委员会碳排放量计量分技术委员会收到国家市场监督管理总局下发的《2024年国家计量技术规范制定、修订计划》，批准《企业温室气体排放计量器具配备和管理规范 发电设施》正式立项。</w:t>
      </w:r>
    </w:p>
    <w:p w14:paraId="7AD78D99">
      <w:pPr>
        <w:spacing w:line="360" w:lineRule="auto"/>
        <w:ind w:firstLine="560" w:firstLineChars="200"/>
        <w:rPr>
          <w:rFonts w:hint="default" w:ascii="Times New Roman" w:hAnsi="Times New Roman" w:eastAsia="仿宋_GB2312" w:cs="Times New Roman"/>
          <w:color w:val="000000"/>
          <w:kern w:val="0"/>
          <w:sz w:val="28"/>
          <w:szCs w:val="28"/>
        </w:rPr>
      </w:pPr>
      <w:r>
        <w:rPr>
          <w:rFonts w:hint="eastAsia"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rPr>
        <w:t>. 组建编制组：202</w:t>
      </w:r>
      <w:r>
        <w:rPr>
          <w:rFonts w:hint="eastAsia"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rPr>
        <w:t>年</w:t>
      </w:r>
      <w:r>
        <w:rPr>
          <w:rFonts w:hint="eastAsia"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月，</w:t>
      </w:r>
      <w:r>
        <w:rPr>
          <w:rFonts w:hint="eastAsia" w:eastAsia="仿宋_GB2312" w:cs="Times New Roman"/>
          <w:color w:val="000000"/>
          <w:kern w:val="0"/>
          <w:sz w:val="28"/>
          <w:szCs w:val="28"/>
          <w:lang w:val="en-US" w:eastAsia="zh-CN"/>
        </w:rPr>
        <w:t>广东省</w:t>
      </w:r>
      <w:r>
        <w:rPr>
          <w:rFonts w:hint="default" w:ascii="Times New Roman" w:hAnsi="Times New Roman" w:eastAsia="仿宋_GB2312" w:cs="Times New Roman"/>
          <w:color w:val="000000"/>
          <w:kern w:val="0"/>
          <w:sz w:val="28"/>
          <w:szCs w:val="28"/>
        </w:rPr>
        <w:t>计量科学研究院联合相关单位组建了《企业温室气体排放计量器具配备和管理规范 发电设施》编制组，主要起草单位</w:t>
      </w:r>
      <w:r>
        <w:rPr>
          <w:rFonts w:hint="eastAsia" w:eastAsia="仿宋_GB2312" w:cs="Times New Roman"/>
          <w:color w:val="000000"/>
          <w:kern w:val="0"/>
          <w:sz w:val="28"/>
          <w:szCs w:val="28"/>
          <w:lang w:val="en-US" w:eastAsia="zh-CN"/>
        </w:rPr>
        <w:t>为</w:t>
      </w:r>
      <w:r>
        <w:rPr>
          <w:rFonts w:hint="default" w:ascii="Times New Roman" w:hAnsi="Times New Roman" w:eastAsia="仿宋_GB2312" w:cs="Times New Roman"/>
          <w:color w:val="000000"/>
          <w:kern w:val="0"/>
          <w:sz w:val="28"/>
          <w:szCs w:val="28"/>
        </w:rPr>
        <w:t>广东省计量科学研究院、中国计量科学研究院</w:t>
      </w:r>
      <w:r>
        <w:rPr>
          <w:rFonts w:hint="eastAsia"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参加起草单位</w:t>
      </w:r>
      <w:r>
        <w:rPr>
          <w:rFonts w:hint="eastAsia" w:eastAsia="仿宋_GB2312" w:cs="Times New Roman"/>
          <w:color w:val="000000"/>
          <w:kern w:val="0"/>
          <w:sz w:val="28"/>
          <w:szCs w:val="28"/>
          <w:lang w:val="en-US" w:eastAsia="zh-CN"/>
        </w:rPr>
        <w:t>为</w:t>
      </w:r>
      <w:r>
        <w:rPr>
          <w:rFonts w:hint="default" w:ascii="Times New Roman" w:hAnsi="Times New Roman" w:eastAsia="仿宋_GB2312" w:cs="Times New Roman"/>
          <w:color w:val="000000"/>
          <w:kern w:val="0"/>
          <w:sz w:val="28"/>
          <w:szCs w:val="28"/>
        </w:rPr>
        <w:t>郑州计量先进技术研究院、内蒙古计量测试研究院、珠海经济特区广珠发电有限责任公司。</w:t>
      </w:r>
    </w:p>
    <w:p w14:paraId="43070908">
      <w:pPr>
        <w:spacing w:line="360" w:lineRule="auto"/>
        <w:ind w:firstLine="560" w:firstLineChars="200"/>
        <w:rPr>
          <w:rFonts w:hint="eastAsia" w:eastAsia="仿宋_GB2312" w:cs="Times New Roman"/>
          <w:color w:val="000000"/>
          <w:kern w:val="0"/>
          <w:sz w:val="28"/>
          <w:szCs w:val="28"/>
          <w:lang w:val="en-US" w:eastAsia="zh-CN"/>
        </w:rPr>
      </w:pPr>
      <w:r>
        <w:rPr>
          <w:rFonts w:hint="eastAsia" w:eastAsia="仿宋_GB2312" w:cs="Times New Roman"/>
          <w:color w:val="000000"/>
          <w:kern w:val="0"/>
          <w:sz w:val="28"/>
          <w:szCs w:val="28"/>
          <w:lang w:val="en-US" w:eastAsia="zh-CN"/>
        </w:rPr>
        <w:t>4. 首次会议：</w:t>
      </w:r>
      <w:r>
        <w:rPr>
          <w:rFonts w:hint="default" w:ascii="Times New Roman" w:hAnsi="Times New Roman" w:eastAsia="仿宋_GB2312" w:cs="Times New Roman"/>
          <w:color w:val="000000"/>
          <w:kern w:val="0"/>
          <w:sz w:val="28"/>
          <w:szCs w:val="28"/>
        </w:rPr>
        <w:t>202</w:t>
      </w:r>
      <w:r>
        <w:rPr>
          <w:rFonts w:hint="eastAsia"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rPr>
        <w:t>年</w:t>
      </w:r>
      <w:r>
        <w:rPr>
          <w:rFonts w:hint="eastAsia" w:eastAsia="仿宋_GB2312" w:cs="Times New Roman"/>
          <w:color w:val="000000"/>
          <w:kern w:val="0"/>
          <w:sz w:val="28"/>
          <w:szCs w:val="28"/>
          <w:lang w:val="en-US" w:eastAsia="zh-CN"/>
        </w:rPr>
        <w:t>7</w:t>
      </w:r>
      <w:r>
        <w:rPr>
          <w:rFonts w:hint="default" w:ascii="Times New Roman" w:hAnsi="Times New Roman" w:eastAsia="仿宋_GB2312" w:cs="Times New Roman"/>
          <w:color w:val="000000"/>
          <w:kern w:val="0"/>
          <w:sz w:val="28"/>
          <w:szCs w:val="28"/>
        </w:rPr>
        <w:t>月，</w:t>
      </w:r>
      <w:r>
        <w:rPr>
          <w:rFonts w:hint="eastAsia" w:eastAsia="仿宋_GB2312" w:cs="Times New Roman"/>
          <w:color w:val="000000"/>
          <w:kern w:val="0"/>
          <w:sz w:val="28"/>
          <w:szCs w:val="28"/>
          <w:lang w:val="en-US" w:eastAsia="zh-CN"/>
        </w:rPr>
        <w:t>广东省计量科学研究院</w:t>
      </w:r>
      <w:r>
        <w:rPr>
          <w:rFonts w:hint="default" w:ascii="Times New Roman" w:hAnsi="Times New Roman" w:eastAsia="仿宋_GB2312" w:cs="Times New Roman"/>
          <w:color w:val="000000"/>
          <w:kern w:val="0"/>
          <w:sz w:val="28"/>
          <w:szCs w:val="28"/>
        </w:rPr>
        <w:t>组织召开</w:t>
      </w:r>
      <w:r>
        <w:rPr>
          <w:rFonts w:hint="eastAsia" w:eastAsia="仿宋_GB2312" w:cs="Times New Roman"/>
          <w:color w:val="000000"/>
          <w:kern w:val="0"/>
          <w:sz w:val="28"/>
          <w:szCs w:val="28"/>
          <w:lang w:val="en-US" w:eastAsia="zh-CN"/>
        </w:rPr>
        <w:t>首次</w:t>
      </w:r>
      <w:r>
        <w:rPr>
          <w:rFonts w:hint="default" w:ascii="Times New Roman" w:hAnsi="Times New Roman" w:eastAsia="仿宋_GB2312" w:cs="Times New Roman"/>
          <w:color w:val="000000"/>
          <w:kern w:val="0"/>
          <w:sz w:val="28"/>
          <w:szCs w:val="28"/>
        </w:rPr>
        <w:t>编制组会议</w:t>
      </w:r>
      <w:r>
        <w:rPr>
          <w:rFonts w:hint="eastAsia" w:eastAsia="仿宋_GB2312" w:cs="Times New Roman"/>
          <w:color w:val="000000"/>
          <w:kern w:val="0"/>
          <w:sz w:val="28"/>
          <w:szCs w:val="28"/>
          <w:lang w:val="en-US" w:eastAsia="zh-CN"/>
        </w:rPr>
        <w:t>，会议就规范包含的内容、主要技术指标等问题进行了讨论，商定了规范起草的主要思路和起草原则，确定了各起草人员的具体工作分工。</w:t>
      </w:r>
    </w:p>
    <w:p w14:paraId="337CE41E">
      <w:pPr>
        <w:widowControl w:val="0"/>
        <w:numPr>
          <w:ilvl w:val="0"/>
          <w:numId w:val="0"/>
        </w:numPr>
        <w:spacing w:line="360" w:lineRule="auto"/>
        <w:ind w:firstLine="560" w:firstLineChars="200"/>
        <w:jc w:val="both"/>
        <w:rPr>
          <w:rFonts w:hint="eastAsia" w:eastAsia="仿宋_GB2312" w:cs="Times New Roman"/>
          <w:color w:val="000000"/>
          <w:kern w:val="0"/>
          <w:sz w:val="28"/>
          <w:szCs w:val="28"/>
          <w:lang w:val="en-US" w:eastAsia="zh-CN"/>
        </w:rPr>
      </w:pPr>
      <w:r>
        <w:rPr>
          <w:rFonts w:hint="eastAsia" w:eastAsia="仿宋_GB2312" w:cs="Times New Roman"/>
          <w:color w:val="000000"/>
          <w:kern w:val="0"/>
          <w:sz w:val="28"/>
          <w:szCs w:val="28"/>
          <w:lang w:val="en-US" w:eastAsia="zh-CN"/>
        </w:rPr>
        <w:t xml:space="preserve">5. </w:t>
      </w:r>
      <w:r>
        <w:rPr>
          <w:rFonts w:hint="default" w:ascii="Times New Roman" w:hAnsi="Times New Roman" w:eastAsia="仿宋_GB2312" w:cs="Times New Roman"/>
          <w:color w:val="000000"/>
          <w:kern w:val="0"/>
          <w:sz w:val="28"/>
          <w:szCs w:val="28"/>
        </w:rPr>
        <w:t>第二次会议</w:t>
      </w:r>
      <w:r>
        <w:rPr>
          <w:rFonts w:hint="eastAsia" w:eastAsia="仿宋_GB2312" w:cs="Times New Roman"/>
          <w:color w:val="000000"/>
          <w:kern w:val="0"/>
          <w:sz w:val="28"/>
          <w:szCs w:val="28"/>
          <w:lang w:val="en-US" w:eastAsia="zh-CN"/>
        </w:rPr>
        <w:t>：2025年1月，广东省计量科学研究院</w:t>
      </w:r>
      <w:r>
        <w:rPr>
          <w:rFonts w:hint="default" w:ascii="Times New Roman" w:hAnsi="Times New Roman" w:eastAsia="仿宋_GB2312" w:cs="Times New Roman"/>
          <w:color w:val="000000"/>
          <w:kern w:val="0"/>
          <w:sz w:val="28"/>
          <w:szCs w:val="28"/>
        </w:rPr>
        <w:t>组织召开第二次编制组会议，就首次会议后完成的草稿进行了讨论，进一步明确了规范起草的主要思路和起草原则。</w:t>
      </w:r>
    </w:p>
    <w:p w14:paraId="6D03895D">
      <w:pPr>
        <w:widowControl w:val="0"/>
        <w:numPr>
          <w:ilvl w:val="0"/>
          <w:numId w:val="0"/>
        </w:numPr>
        <w:spacing w:line="360" w:lineRule="auto"/>
        <w:ind w:firstLine="560" w:firstLineChars="200"/>
        <w:jc w:val="both"/>
        <w:rPr>
          <w:rFonts w:hint="default" w:ascii="Times New Roman" w:hAnsi="Times New Roman" w:eastAsia="仿宋_GB2312" w:cs="Times New Roman"/>
          <w:color w:val="000000"/>
          <w:kern w:val="0"/>
          <w:sz w:val="28"/>
          <w:szCs w:val="28"/>
        </w:rPr>
      </w:pPr>
      <w:r>
        <w:rPr>
          <w:rFonts w:hint="eastAsia" w:eastAsia="仿宋_GB2312" w:cs="Times New Roman"/>
          <w:color w:val="000000"/>
          <w:kern w:val="0"/>
          <w:sz w:val="28"/>
          <w:szCs w:val="28"/>
          <w:lang w:val="en-US" w:eastAsia="zh-CN"/>
        </w:rPr>
        <w:t>6</w:t>
      </w:r>
      <w:r>
        <w:rPr>
          <w:rFonts w:hint="default" w:ascii="Times New Roman" w:hAnsi="Times New Roman" w:eastAsia="仿宋_GB2312" w:cs="Times New Roman"/>
          <w:color w:val="000000"/>
          <w:kern w:val="0"/>
          <w:sz w:val="28"/>
          <w:szCs w:val="28"/>
        </w:rPr>
        <w:t>. 第三次会议</w:t>
      </w:r>
      <w:r>
        <w:rPr>
          <w:rFonts w:hint="eastAsia" w:eastAsia="仿宋_GB2312" w:cs="Times New Roman"/>
          <w:color w:val="000000"/>
          <w:kern w:val="0"/>
          <w:sz w:val="28"/>
          <w:szCs w:val="28"/>
          <w:lang w:eastAsia="zh-CN"/>
        </w:rPr>
        <w:t>：</w:t>
      </w:r>
      <w:r>
        <w:rPr>
          <w:rFonts w:hint="eastAsia" w:eastAsia="仿宋_GB2312" w:cs="Times New Roman"/>
          <w:color w:val="000000"/>
          <w:kern w:val="0"/>
          <w:sz w:val="28"/>
          <w:szCs w:val="28"/>
          <w:lang w:val="en-US" w:eastAsia="zh-CN"/>
        </w:rPr>
        <w:t>2025年4月，广东省计量科学研究院</w:t>
      </w:r>
      <w:r>
        <w:rPr>
          <w:rFonts w:hint="default" w:ascii="Times New Roman" w:hAnsi="Times New Roman" w:eastAsia="仿宋_GB2312" w:cs="Times New Roman"/>
          <w:color w:val="000000"/>
          <w:kern w:val="0"/>
          <w:sz w:val="28"/>
          <w:szCs w:val="28"/>
        </w:rPr>
        <w:t>组织召开第三次编制组会议，</w:t>
      </w:r>
      <w:r>
        <w:rPr>
          <w:rFonts w:hint="eastAsia" w:eastAsia="仿宋_GB2312" w:cs="Times New Roman"/>
          <w:color w:val="000000"/>
          <w:kern w:val="0"/>
          <w:sz w:val="28"/>
          <w:szCs w:val="28"/>
          <w:lang w:val="en-US" w:eastAsia="zh-CN"/>
        </w:rPr>
        <w:t>经编制组讨论修改后形成征求意见稿</w:t>
      </w:r>
      <w:r>
        <w:rPr>
          <w:rFonts w:hint="default" w:ascii="Times New Roman" w:hAnsi="Times New Roman" w:eastAsia="仿宋_GB2312" w:cs="Times New Roman"/>
          <w:color w:val="000000"/>
          <w:kern w:val="0"/>
          <w:sz w:val="28"/>
          <w:szCs w:val="28"/>
        </w:rPr>
        <w:t>。</w:t>
      </w:r>
    </w:p>
    <w:p w14:paraId="01A41509">
      <w:pPr>
        <w:pStyle w:val="23"/>
        <w:keepNext w:val="0"/>
        <w:keepLines w:val="0"/>
        <w:pageBreakBefore w:val="0"/>
        <w:widowControl w:val="0"/>
        <w:kinsoku/>
        <w:wordWrap/>
        <w:overflowPunct/>
        <w:topLinePunct w:val="0"/>
        <w:autoSpaceDE/>
        <w:autoSpaceDN/>
        <w:bidi w:val="0"/>
        <w:adjustRightInd/>
        <w:snapToGrid/>
        <w:spacing w:beforeLines="50" w:after="157" w:afterLines="50" w:line="360" w:lineRule="auto"/>
        <w:ind w:firstLine="0" w:firstLineChars="0"/>
        <w:textAlignment w:val="auto"/>
        <w:rPr>
          <w:rFonts w:hint="default" w:ascii="Times New Roman" w:hAnsi="Times New Roman" w:eastAsia="仿宋_GB2312" w:cs="Times New Roman"/>
          <w:b/>
          <w:color w:val="000000"/>
          <w:kern w:val="0"/>
          <w:sz w:val="28"/>
          <w:szCs w:val="28"/>
        </w:rPr>
      </w:pPr>
      <w:r>
        <w:rPr>
          <w:rFonts w:hint="eastAsia" w:eastAsia="仿宋_GB2312" w:cs="Times New Roman"/>
          <w:b/>
          <w:color w:val="000000"/>
          <w:kern w:val="0"/>
          <w:sz w:val="28"/>
          <w:szCs w:val="28"/>
          <w:lang w:val="en-US" w:eastAsia="zh-CN"/>
        </w:rPr>
        <w:t>六</w:t>
      </w:r>
      <w:r>
        <w:rPr>
          <w:rFonts w:hint="default" w:ascii="Times New Roman" w:hAnsi="Times New Roman" w:eastAsia="仿宋_GB2312" w:cs="Times New Roman"/>
          <w:b/>
          <w:color w:val="000000"/>
          <w:kern w:val="0"/>
          <w:sz w:val="28"/>
          <w:szCs w:val="28"/>
        </w:rPr>
        <w:t>、规范主要内容</w:t>
      </w:r>
    </w:p>
    <w:p w14:paraId="769195F6">
      <w:pPr>
        <w:pStyle w:val="23"/>
        <w:bidi w:val="0"/>
        <w:rPr>
          <w:rFonts w:hint="eastAsia"/>
          <w:sz w:val="28"/>
          <w:szCs w:val="28"/>
          <w:lang w:val="en-US" w:eastAsia="zh-CN"/>
        </w:rPr>
      </w:pPr>
      <w:r>
        <w:rPr>
          <w:rFonts w:hint="eastAsia"/>
          <w:sz w:val="28"/>
          <w:szCs w:val="28"/>
          <w:lang w:val="en-US" w:eastAsia="zh-CN"/>
        </w:rPr>
        <w:t>《企业温室气体排放计量器具配备和管理规范 发电设施》的主要内容如下。</w:t>
      </w:r>
    </w:p>
    <w:p w14:paraId="317192D4">
      <w:pPr>
        <w:pStyle w:val="23"/>
        <w:bidi w:val="0"/>
        <w:rPr>
          <w:rFonts w:hint="default"/>
          <w:sz w:val="28"/>
          <w:szCs w:val="28"/>
          <w:lang w:val="en-US" w:eastAsia="zh-CN"/>
        </w:rPr>
      </w:pPr>
      <w:r>
        <w:rPr>
          <w:rFonts w:hint="default"/>
          <w:sz w:val="28"/>
          <w:szCs w:val="28"/>
          <w:lang w:val="en-US" w:eastAsia="zh-CN"/>
        </w:rPr>
        <w:t>1</w:t>
      </w:r>
      <w:r>
        <w:rPr>
          <w:rFonts w:hint="eastAsia"/>
          <w:sz w:val="28"/>
          <w:szCs w:val="28"/>
          <w:lang w:val="en-US" w:eastAsia="zh-CN"/>
        </w:rPr>
        <w:t>.</w:t>
      </w:r>
      <w:r>
        <w:rPr>
          <w:rFonts w:hint="default"/>
          <w:sz w:val="28"/>
          <w:szCs w:val="28"/>
          <w:lang w:val="en-US" w:eastAsia="zh-CN"/>
        </w:rPr>
        <w:t xml:space="preserve"> 范围</w:t>
      </w:r>
    </w:p>
    <w:p w14:paraId="1E58AD57">
      <w:pPr>
        <w:pStyle w:val="23"/>
        <w:bidi w:val="0"/>
        <w:rPr>
          <w:rFonts w:hint="default"/>
          <w:sz w:val="28"/>
          <w:szCs w:val="28"/>
          <w:lang w:val="en-US" w:eastAsia="zh-CN"/>
        </w:rPr>
      </w:pPr>
      <w:r>
        <w:rPr>
          <w:rFonts w:hint="default"/>
          <w:sz w:val="28"/>
          <w:szCs w:val="28"/>
          <w:lang w:val="en-US" w:eastAsia="zh-CN"/>
        </w:rPr>
        <w:t>本规范适用于年度温室气体排放量不少于2.6万吨二氧化碳当量的重点排放单位（含自备电厂）使用燃煤、燃油和燃气等化石燃料及掺烧化石燃料的纯凝发电机组和热电联产机组等发电设施。其他排放单位发电设施可参照本规范执行。</w:t>
      </w:r>
    </w:p>
    <w:p w14:paraId="6A85F91A">
      <w:pPr>
        <w:pStyle w:val="23"/>
        <w:bidi w:val="0"/>
        <w:rPr>
          <w:rFonts w:hint="default"/>
          <w:sz w:val="28"/>
          <w:szCs w:val="28"/>
          <w:lang w:val="en-US" w:eastAsia="zh-CN"/>
        </w:rPr>
      </w:pPr>
      <w:r>
        <w:rPr>
          <w:rFonts w:hint="default"/>
          <w:sz w:val="28"/>
          <w:szCs w:val="28"/>
          <w:lang w:val="en-US" w:eastAsia="zh-CN"/>
        </w:rPr>
        <w:t>2</w:t>
      </w:r>
      <w:r>
        <w:rPr>
          <w:rFonts w:hint="eastAsia"/>
          <w:sz w:val="28"/>
          <w:szCs w:val="28"/>
          <w:lang w:val="en-US" w:eastAsia="zh-CN"/>
        </w:rPr>
        <w:t>.</w:t>
      </w:r>
      <w:r>
        <w:rPr>
          <w:rFonts w:hint="default"/>
          <w:sz w:val="28"/>
          <w:szCs w:val="28"/>
          <w:lang w:val="en-US" w:eastAsia="zh-CN"/>
        </w:rPr>
        <w:t xml:space="preserve"> 引用文件</w:t>
      </w:r>
    </w:p>
    <w:p w14:paraId="60075025">
      <w:pPr>
        <w:pStyle w:val="23"/>
        <w:bidi w:val="0"/>
        <w:rPr>
          <w:rFonts w:hint="default"/>
          <w:sz w:val="28"/>
          <w:szCs w:val="28"/>
          <w:lang w:val="en-US" w:eastAsia="zh-CN"/>
        </w:rPr>
      </w:pPr>
      <w:r>
        <w:rPr>
          <w:rFonts w:hint="eastAsia"/>
          <w:sz w:val="28"/>
          <w:szCs w:val="28"/>
          <w:lang w:val="en-US" w:eastAsia="zh-CN"/>
        </w:rPr>
        <w:t>参考引用了</w:t>
      </w:r>
      <w:r>
        <w:rPr>
          <w:rFonts w:hint="default"/>
          <w:sz w:val="28"/>
          <w:szCs w:val="28"/>
          <w:lang w:val="en-US" w:eastAsia="zh-CN"/>
        </w:rPr>
        <w:t>GB/T 32150–2015《工业企业温室气体排放核算和报告总则》</w:t>
      </w:r>
      <w:r>
        <w:rPr>
          <w:rFonts w:hint="eastAsia"/>
          <w:sz w:val="28"/>
          <w:szCs w:val="28"/>
          <w:lang w:val="en-US" w:eastAsia="zh-CN"/>
        </w:rPr>
        <w:t>、</w:t>
      </w:r>
      <w:bookmarkStart w:id="0" w:name="_GoBack"/>
      <w:bookmarkEnd w:id="0"/>
      <w:r>
        <w:rPr>
          <w:rFonts w:hint="default"/>
          <w:sz w:val="28"/>
          <w:szCs w:val="28"/>
          <w:lang w:val="en-US" w:eastAsia="zh-CN"/>
        </w:rPr>
        <w:t>T/CMA CC199–2024《企业温室气体排放计量器具配备和管理通则》</w:t>
      </w:r>
      <w:r>
        <w:rPr>
          <w:rFonts w:hint="eastAsia"/>
          <w:sz w:val="28"/>
          <w:szCs w:val="28"/>
          <w:lang w:val="en-US" w:eastAsia="zh-CN"/>
        </w:rPr>
        <w:t>、《企业温室气体排放核算与报告指南 发电设施》。</w:t>
      </w:r>
    </w:p>
    <w:p w14:paraId="427F6828">
      <w:pPr>
        <w:pStyle w:val="23"/>
        <w:bidi w:val="0"/>
        <w:rPr>
          <w:rFonts w:hint="default"/>
          <w:sz w:val="28"/>
          <w:szCs w:val="28"/>
          <w:lang w:val="en-US" w:eastAsia="zh-CN"/>
        </w:rPr>
      </w:pPr>
      <w:r>
        <w:rPr>
          <w:rFonts w:hint="default"/>
          <w:sz w:val="28"/>
          <w:szCs w:val="28"/>
          <w:lang w:val="en-US" w:eastAsia="zh-CN"/>
        </w:rPr>
        <w:t>3</w:t>
      </w:r>
      <w:r>
        <w:rPr>
          <w:rFonts w:hint="eastAsia"/>
          <w:sz w:val="28"/>
          <w:szCs w:val="28"/>
          <w:lang w:val="en-US" w:eastAsia="zh-CN"/>
        </w:rPr>
        <w:t>.</w:t>
      </w:r>
      <w:r>
        <w:rPr>
          <w:rFonts w:hint="default"/>
          <w:sz w:val="28"/>
          <w:szCs w:val="28"/>
          <w:lang w:val="en-US" w:eastAsia="zh-CN"/>
        </w:rPr>
        <w:t xml:space="preserve"> 术语和定义</w:t>
      </w:r>
    </w:p>
    <w:p w14:paraId="27C179FE">
      <w:pPr>
        <w:pStyle w:val="23"/>
        <w:bidi w:val="0"/>
        <w:rPr>
          <w:rFonts w:hint="default"/>
          <w:sz w:val="28"/>
          <w:szCs w:val="28"/>
          <w:lang w:val="en-US" w:eastAsia="zh-CN"/>
        </w:rPr>
      </w:pPr>
      <w:r>
        <w:rPr>
          <w:rFonts w:hint="eastAsia"/>
          <w:sz w:val="28"/>
          <w:szCs w:val="28"/>
          <w:lang w:val="en-US" w:eastAsia="zh-CN"/>
        </w:rPr>
        <w:t>主要包括</w:t>
      </w:r>
      <w:r>
        <w:rPr>
          <w:rFonts w:hint="default"/>
          <w:sz w:val="28"/>
          <w:szCs w:val="28"/>
          <w:lang w:val="en-US" w:eastAsia="zh-CN"/>
        </w:rPr>
        <w:t>温室气体</w:t>
      </w:r>
      <w:r>
        <w:rPr>
          <w:rFonts w:hint="eastAsia"/>
          <w:sz w:val="28"/>
          <w:szCs w:val="28"/>
          <w:lang w:val="en-US" w:eastAsia="zh-CN"/>
        </w:rPr>
        <w:t>、</w:t>
      </w:r>
      <w:r>
        <w:rPr>
          <w:rFonts w:hint="default"/>
          <w:sz w:val="28"/>
          <w:szCs w:val="28"/>
          <w:lang w:val="en-US" w:eastAsia="zh-CN"/>
        </w:rPr>
        <w:t>发电设施</w:t>
      </w:r>
      <w:r>
        <w:rPr>
          <w:rFonts w:hint="eastAsia"/>
          <w:sz w:val="28"/>
          <w:szCs w:val="28"/>
          <w:lang w:val="en-US" w:eastAsia="zh-CN"/>
        </w:rPr>
        <w:t>、</w:t>
      </w:r>
      <w:r>
        <w:rPr>
          <w:rFonts w:hint="default"/>
          <w:sz w:val="28"/>
          <w:szCs w:val="28"/>
          <w:lang w:val="en-US" w:eastAsia="zh-CN"/>
        </w:rPr>
        <w:t>二氧化碳当量</w:t>
      </w:r>
      <w:r>
        <w:rPr>
          <w:rFonts w:hint="eastAsia"/>
          <w:sz w:val="28"/>
          <w:szCs w:val="28"/>
          <w:lang w:val="en-US" w:eastAsia="zh-CN"/>
        </w:rPr>
        <w:t>、</w:t>
      </w:r>
      <w:r>
        <w:rPr>
          <w:rFonts w:hint="default"/>
          <w:sz w:val="28"/>
          <w:szCs w:val="28"/>
          <w:lang w:val="en-US" w:eastAsia="zh-CN"/>
        </w:rPr>
        <w:t>计算法</w:t>
      </w:r>
      <w:r>
        <w:rPr>
          <w:rFonts w:hint="eastAsia"/>
          <w:sz w:val="28"/>
          <w:szCs w:val="28"/>
          <w:lang w:val="en-US" w:eastAsia="zh-CN"/>
        </w:rPr>
        <w:t>、</w:t>
      </w:r>
      <w:r>
        <w:rPr>
          <w:rFonts w:hint="default"/>
          <w:sz w:val="28"/>
          <w:szCs w:val="28"/>
          <w:lang w:val="en-US" w:eastAsia="zh-CN"/>
        </w:rPr>
        <w:t>实测法</w:t>
      </w:r>
      <w:r>
        <w:rPr>
          <w:rFonts w:hint="eastAsia"/>
          <w:sz w:val="28"/>
          <w:szCs w:val="28"/>
          <w:lang w:val="en-US" w:eastAsia="zh-CN"/>
        </w:rPr>
        <w:t>、</w:t>
      </w:r>
      <w:r>
        <w:rPr>
          <w:rFonts w:hint="default"/>
          <w:sz w:val="28"/>
          <w:szCs w:val="28"/>
          <w:lang w:val="en-US" w:eastAsia="zh-CN"/>
        </w:rPr>
        <w:t>温室气体排放计量器具</w:t>
      </w:r>
      <w:r>
        <w:rPr>
          <w:rFonts w:hint="eastAsia"/>
          <w:sz w:val="28"/>
          <w:szCs w:val="28"/>
          <w:lang w:val="en-US" w:eastAsia="zh-CN"/>
        </w:rPr>
        <w:t>、</w:t>
      </w:r>
      <w:r>
        <w:rPr>
          <w:rFonts w:hint="default"/>
          <w:sz w:val="28"/>
          <w:szCs w:val="28"/>
          <w:lang w:val="en-US" w:eastAsia="zh-CN"/>
        </w:rPr>
        <w:t>温室气体排放计量器具配备率</w:t>
      </w:r>
      <w:r>
        <w:rPr>
          <w:rFonts w:hint="eastAsia"/>
          <w:sz w:val="28"/>
          <w:szCs w:val="28"/>
          <w:lang w:val="en-US" w:eastAsia="zh-CN"/>
        </w:rPr>
        <w:t>、</w:t>
      </w:r>
      <w:r>
        <w:rPr>
          <w:rFonts w:hint="default"/>
          <w:sz w:val="28"/>
          <w:szCs w:val="28"/>
          <w:lang w:val="en-US" w:eastAsia="zh-CN"/>
        </w:rPr>
        <w:t>活动数据</w:t>
      </w:r>
      <w:r>
        <w:rPr>
          <w:rFonts w:hint="eastAsia"/>
          <w:sz w:val="28"/>
          <w:szCs w:val="28"/>
          <w:lang w:val="en-US" w:eastAsia="zh-CN"/>
        </w:rPr>
        <w:t>、</w:t>
      </w:r>
      <w:r>
        <w:rPr>
          <w:rFonts w:hint="default"/>
          <w:sz w:val="28"/>
          <w:szCs w:val="28"/>
          <w:lang w:val="en-US" w:eastAsia="zh-CN"/>
        </w:rPr>
        <w:t>排放因子</w:t>
      </w:r>
      <w:r>
        <w:rPr>
          <w:rFonts w:hint="eastAsia"/>
          <w:sz w:val="28"/>
          <w:szCs w:val="28"/>
          <w:lang w:val="en-US" w:eastAsia="zh-CN"/>
        </w:rPr>
        <w:t>、</w:t>
      </w:r>
      <w:r>
        <w:rPr>
          <w:rFonts w:hint="default"/>
          <w:sz w:val="28"/>
          <w:szCs w:val="28"/>
          <w:lang w:val="en-US" w:eastAsia="zh-CN"/>
        </w:rPr>
        <w:t>源流</w:t>
      </w:r>
      <w:r>
        <w:rPr>
          <w:rFonts w:hint="eastAsia"/>
          <w:sz w:val="28"/>
          <w:szCs w:val="28"/>
          <w:lang w:val="en-US" w:eastAsia="zh-CN"/>
        </w:rPr>
        <w:t>等。</w:t>
      </w:r>
    </w:p>
    <w:p w14:paraId="6D0AB88A">
      <w:pPr>
        <w:pStyle w:val="23"/>
        <w:bidi w:val="0"/>
        <w:rPr>
          <w:rFonts w:hint="default"/>
          <w:sz w:val="28"/>
          <w:szCs w:val="28"/>
          <w:lang w:val="en-US" w:eastAsia="zh-CN"/>
        </w:rPr>
      </w:pPr>
      <w:r>
        <w:rPr>
          <w:rFonts w:hint="default"/>
          <w:sz w:val="28"/>
          <w:szCs w:val="28"/>
          <w:lang w:val="en-US" w:eastAsia="zh-CN"/>
        </w:rPr>
        <w:t>4</w:t>
      </w:r>
      <w:r>
        <w:rPr>
          <w:rFonts w:hint="eastAsia"/>
          <w:sz w:val="28"/>
          <w:szCs w:val="28"/>
          <w:lang w:val="en-US" w:eastAsia="zh-CN"/>
        </w:rPr>
        <w:t>.</w:t>
      </w:r>
      <w:r>
        <w:rPr>
          <w:rFonts w:hint="default"/>
          <w:sz w:val="28"/>
          <w:szCs w:val="28"/>
          <w:lang w:val="en-US" w:eastAsia="zh-CN"/>
        </w:rPr>
        <w:t xml:space="preserve"> 温室气体排放计量边界</w:t>
      </w:r>
    </w:p>
    <w:p w14:paraId="7C7B7320">
      <w:pPr>
        <w:pStyle w:val="23"/>
        <w:bidi w:val="0"/>
        <w:rPr>
          <w:rFonts w:hint="default"/>
          <w:sz w:val="28"/>
          <w:szCs w:val="28"/>
          <w:lang w:val="en-US" w:eastAsia="zh-CN"/>
        </w:rPr>
      </w:pPr>
      <w:r>
        <w:rPr>
          <w:rFonts w:hint="eastAsia"/>
          <w:sz w:val="28"/>
          <w:szCs w:val="28"/>
          <w:lang w:val="en-US" w:eastAsia="zh-CN"/>
        </w:rPr>
        <w:t>明确了企业发电设施的温室气体排放计量范围和边界。</w:t>
      </w:r>
    </w:p>
    <w:p w14:paraId="1F65EC80">
      <w:pPr>
        <w:pStyle w:val="23"/>
        <w:bidi w:val="0"/>
        <w:rPr>
          <w:rFonts w:hint="default"/>
          <w:sz w:val="28"/>
          <w:szCs w:val="28"/>
          <w:lang w:val="en-US" w:eastAsia="zh-CN"/>
        </w:rPr>
      </w:pPr>
      <w:r>
        <w:rPr>
          <w:rFonts w:hint="default"/>
          <w:sz w:val="28"/>
          <w:szCs w:val="28"/>
          <w:lang w:val="en-US" w:eastAsia="zh-CN"/>
        </w:rPr>
        <w:t>5</w:t>
      </w:r>
      <w:r>
        <w:rPr>
          <w:rFonts w:hint="eastAsia"/>
          <w:sz w:val="28"/>
          <w:szCs w:val="28"/>
          <w:lang w:val="en-US" w:eastAsia="zh-CN"/>
        </w:rPr>
        <w:t>.</w:t>
      </w:r>
      <w:r>
        <w:rPr>
          <w:rFonts w:hint="default"/>
          <w:sz w:val="28"/>
          <w:szCs w:val="28"/>
          <w:lang w:val="en-US" w:eastAsia="zh-CN"/>
        </w:rPr>
        <w:t xml:space="preserve"> 碳源流流向图及温室气体排放计量采集点网络图</w:t>
      </w:r>
    </w:p>
    <w:p w14:paraId="6203B34C">
      <w:pPr>
        <w:pStyle w:val="23"/>
        <w:bidi w:val="0"/>
        <w:rPr>
          <w:rFonts w:hint="default"/>
          <w:sz w:val="28"/>
          <w:szCs w:val="28"/>
          <w:lang w:val="en-US" w:eastAsia="zh-CN"/>
        </w:rPr>
      </w:pPr>
      <w:r>
        <w:rPr>
          <w:rFonts w:hint="eastAsia"/>
          <w:sz w:val="28"/>
          <w:szCs w:val="28"/>
          <w:lang w:val="en-US" w:eastAsia="zh-CN"/>
        </w:rPr>
        <w:t>提供了企业</w:t>
      </w:r>
      <w:r>
        <w:rPr>
          <w:rFonts w:hint="default"/>
          <w:sz w:val="28"/>
          <w:szCs w:val="28"/>
          <w:lang w:val="en-US" w:eastAsia="zh-CN"/>
        </w:rPr>
        <w:t>发电设施碳源流流向示例</w:t>
      </w:r>
      <w:r>
        <w:rPr>
          <w:rFonts w:hint="eastAsia"/>
          <w:sz w:val="28"/>
          <w:szCs w:val="28"/>
          <w:lang w:val="en-US" w:eastAsia="zh-CN"/>
        </w:rPr>
        <w:t>图和</w:t>
      </w:r>
      <w:r>
        <w:rPr>
          <w:rFonts w:hint="default"/>
          <w:sz w:val="28"/>
          <w:szCs w:val="28"/>
          <w:lang w:val="en-US" w:eastAsia="zh-CN"/>
        </w:rPr>
        <w:t>温室气体排放计量采集点网络示例</w:t>
      </w:r>
      <w:r>
        <w:rPr>
          <w:rFonts w:hint="eastAsia"/>
          <w:sz w:val="28"/>
          <w:szCs w:val="28"/>
          <w:lang w:val="en-US" w:eastAsia="zh-CN"/>
        </w:rPr>
        <w:t>图。</w:t>
      </w:r>
    </w:p>
    <w:p w14:paraId="48E3CB5E">
      <w:pPr>
        <w:pStyle w:val="23"/>
        <w:bidi w:val="0"/>
        <w:rPr>
          <w:rFonts w:hint="default"/>
          <w:sz w:val="28"/>
          <w:szCs w:val="28"/>
          <w:lang w:val="en-US" w:eastAsia="zh-CN"/>
        </w:rPr>
      </w:pPr>
      <w:r>
        <w:rPr>
          <w:rFonts w:hint="default"/>
          <w:sz w:val="28"/>
          <w:szCs w:val="28"/>
          <w:lang w:val="en-US" w:eastAsia="zh-CN"/>
        </w:rPr>
        <w:t>6</w:t>
      </w:r>
      <w:r>
        <w:rPr>
          <w:rFonts w:hint="eastAsia"/>
          <w:sz w:val="28"/>
          <w:szCs w:val="28"/>
          <w:lang w:val="en-US" w:eastAsia="zh-CN"/>
        </w:rPr>
        <w:t>.</w:t>
      </w:r>
      <w:r>
        <w:rPr>
          <w:rFonts w:hint="default"/>
          <w:sz w:val="28"/>
          <w:szCs w:val="28"/>
          <w:lang w:val="en-US" w:eastAsia="zh-CN"/>
        </w:rPr>
        <w:t xml:space="preserve"> 温室气体排放计量器具配备</w:t>
      </w:r>
    </w:p>
    <w:p w14:paraId="471454DB">
      <w:pPr>
        <w:pStyle w:val="23"/>
        <w:bidi w:val="0"/>
        <w:rPr>
          <w:rFonts w:hint="default"/>
          <w:sz w:val="28"/>
          <w:szCs w:val="28"/>
          <w:lang w:val="en-US" w:eastAsia="zh-CN"/>
        </w:rPr>
      </w:pPr>
      <w:r>
        <w:rPr>
          <w:rFonts w:hint="eastAsia"/>
          <w:sz w:val="28"/>
          <w:szCs w:val="28"/>
          <w:lang w:val="en-US" w:eastAsia="zh-CN"/>
        </w:rPr>
        <w:t>规定了</w:t>
      </w:r>
      <w:r>
        <w:rPr>
          <w:rFonts w:hint="default"/>
          <w:sz w:val="28"/>
          <w:szCs w:val="28"/>
          <w:lang w:val="en-US" w:eastAsia="zh-CN"/>
        </w:rPr>
        <w:t>温室气体的种类</w:t>
      </w:r>
      <w:r>
        <w:rPr>
          <w:rFonts w:hint="eastAsia"/>
          <w:sz w:val="28"/>
          <w:szCs w:val="28"/>
          <w:lang w:val="en-US" w:eastAsia="zh-CN"/>
        </w:rPr>
        <w:t>、</w:t>
      </w:r>
      <w:r>
        <w:rPr>
          <w:rFonts w:hint="default"/>
          <w:sz w:val="28"/>
          <w:szCs w:val="28"/>
          <w:lang w:val="en-US" w:eastAsia="zh-CN"/>
        </w:rPr>
        <w:t>温室气体排放计量方法</w:t>
      </w:r>
      <w:r>
        <w:rPr>
          <w:rFonts w:hint="eastAsia"/>
          <w:sz w:val="28"/>
          <w:szCs w:val="28"/>
          <w:lang w:val="en-US" w:eastAsia="zh-CN"/>
        </w:rPr>
        <w:t>、</w:t>
      </w:r>
      <w:r>
        <w:rPr>
          <w:rFonts w:hint="default"/>
          <w:sz w:val="28"/>
          <w:szCs w:val="28"/>
          <w:lang w:val="en-US" w:eastAsia="zh-CN"/>
        </w:rPr>
        <w:t>温室气体排放计量器具配备原则</w:t>
      </w:r>
      <w:r>
        <w:rPr>
          <w:rFonts w:hint="eastAsia"/>
          <w:sz w:val="28"/>
          <w:szCs w:val="28"/>
          <w:lang w:val="en-US" w:eastAsia="zh-CN"/>
        </w:rPr>
        <w:t>、</w:t>
      </w:r>
      <w:r>
        <w:rPr>
          <w:rFonts w:hint="default"/>
          <w:sz w:val="28"/>
          <w:szCs w:val="28"/>
          <w:lang w:val="en-US" w:eastAsia="zh-CN"/>
        </w:rPr>
        <w:t>温室气体排放计量器具配备率</w:t>
      </w:r>
      <w:r>
        <w:rPr>
          <w:rFonts w:hint="eastAsia"/>
          <w:sz w:val="28"/>
          <w:szCs w:val="28"/>
          <w:lang w:val="en-US" w:eastAsia="zh-CN"/>
        </w:rPr>
        <w:t>、</w:t>
      </w:r>
      <w:r>
        <w:rPr>
          <w:rFonts w:hint="default"/>
          <w:sz w:val="28"/>
          <w:szCs w:val="28"/>
          <w:lang w:val="en-US" w:eastAsia="zh-CN"/>
        </w:rPr>
        <w:t>温室气体排放计量器具准确度等级或最大允许误差</w:t>
      </w:r>
      <w:r>
        <w:rPr>
          <w:rFonts w:hint="eastAsia"/>
          <w:sz w:val="28"/>
          <w:szCs w:val="28"/>
          <w:lang w:val="en-US" w:eastAsia="zh-CN"/>
        </w:rPr>
        <w:t>。</w:t>
      </w:r>
    </w:p>
    <w:p w14:paraId="2A217346">
      <w:pPr>
        <w:pStyle w:val="23"/>
        <w:bidi w:val="0"/>
        <w:rPr>
          <w:rFonts w:hint="default"/>
          <w:sz w:val="28"/>
          <w:szCs w:val="28"/>
          <w:lang w:val="en-US" w:eastAsia="zh-CN"/>
        </w:rPr>
      </w:pPr>
      <w:r>
        <w:rPr>
          <w:rFonts w:hint="default"/>
          <w:sz w:val="28"/>
          <w:szCs w:val="28"/>
          <w:lang w:val="en-US" w:eastAsia="zh-CN"/>
        </w:rPr>
        <w:t>7</w:t>
      </w:r>
      <w:r>
        <w:rPr>
          <w:rFonts w:hint="eastAsia"/>
          <w:sz w:val="28"/>
          <w:szCs w:val="28"/>
          <w:lang w:val="en-US" w:eastAsia="zh-CN"/>
        </w:rPr>
        <w:t>.</w:t>
      </w:r>
      <w:r>
        <w:rPr>
          <w:rFonts w:hint="default"/>
          <w:sz w:val="28"/>
          <w:szCs w:val="28"/>
          <w:lang w:val="en-US" w:eastAsia="zh-CN"/>
        </w:rPr>
        <w:t xml:space="preserve"> 温室气体排放计量器具的管理要求</w:t>
      </w:r>
    </w:p>
    <w:p w14:paraId="3EA01B19">
      <w:pPr>
        <w:pStyle w:val="23"/>
        <w:bidi w:val="0"/>
        <w:rPr>
          <w:rFonts w:hint="default"/>
          <w:sz w:val="28"/>
          <w:szCs w:val="28"/>
          <w:lang w:val="en-US" w:eastAsia="zh-CN"/>
        </w:rPr>
      </w:pPr>
      <w:r>
        <w:rPr>
          <w:rFonts w:hint="eastAsia"/>
          <w:sz w:val="28"/>
          <w:szCs w:val="28"/>
          <w:lang w:val="en-US" w:eastAsia="zh-CN"/>
        </w:rPr>
        <w:t>明确了</w:t>
      </w:r>
      <w:r>
        <w:rPr>
          <w:rFonts w:hint="default"/>
          <w:sz w:val="28"/>
          <w:szCs w:val="28"/>
          <w:lang w:val="en-US" w:eastAsia="zh-CN"/>
        </w:rPr>
        <w:t>温室气体排放计量管理制度</w:t>
      </w:r>
      <w:r>
        <w:rPr>
          <w:rFonts w:hint="eastAsia"/>
          <w:sz w:val="28"/>
          <w:szCs w:val="28"/>
          <w:lang w:val="en-US" w:eastAsia="zh-CN"/>
        </w:rPr>
        <w:t>、</w:t>
      </w:r>
      <w:r>
        <w:rPr>
          <w:rFonts w:hint="default"/>
          <w:sz w:val="28"/>
          <w:szCs w:val="28"/>
          <w:lang w:val="en-US" w:eastAsia="zh-CN"/>
        </w:rPr>
        <w:t>温室气体排放计量人员</w:t>
      </w:r>
      <w:r>
        <w:rPr>
          <w:rFonts w:hint="eastAsia"/>
          <w:sz w:val="28"/>
          <w:szCs w:val="28"/>
          <w:lang w:val="en-US" w:eastAsia="zh-CN"/>
        </w:rPr>
        <w:t>和</w:t>
      </w:r>
      <w:r>
        <w:rPr>
          <w:rFonts w:hint="default"/>
          <w:sz w:val="28"/>
          <w:szCs w:val="28"/>
          <w:lang w:val="en-US" w:eastAsia="zh-CN"/>
        </w:rPr>
        <w:t>温室气体排放计量器具</w:t>
      </w:r>
      <w:r>
        <w:rPr>
          <w:rFonts w:hint="eastAsia"/>
          <w:sz w:val="28"/>
          <w:szCs w:val="28"/>
          <w:lang w:val="en-US" w:eastAsia="zh-CN"/>
        </w:rPr>
        <w:t>相关管理要求。</w:t>
      </w:r>
    </w:p>
    <w:p w14:paraId="5DF2AAE0">
      <w:pPr>
        <w:pStyle w:val="23"/>
        <w:bidi w:val="0"/>
        <w:rPr>
          <w:rFonts w:hint="default"/>
          <w:sz w:val="28"/>
          <w:szCs w:val="28"/>
          <w:lang w:val="en-US" w:eastAsia="zh-CN"/>
        </w:rPr>
      </w:pPr>
      <w:r>
        <w:rPr>
          <w:rFonts w:hint="default"/>
          <w:sz w:val="28"/>
          <w:szCs w:val="28"/>
          <w:lang w:val="en-US" w:eastAsia="zh-CN"/>
        </w:rPr>
        <w:t>8</w:t>
      </w:r>
      <w:r>
        <w:rPr>
          <w:rFonts w:hint="eastAsia"/>
          <w:sz w:val="28"/>
          <w:szCs w:val="28"/>
          <w:lang w:val="en-US" w:eastAsia="zh-CN"/>
        </w:rPr>
        <w:t>.</w:t>
      </w:r>
      <w:r>
        <w:rPr>
          <w:rFonts w:hint="default"/>
          <w:sz w:val="28"/>
          <w:szCs w:val="28"/>
          <w:lang w:val="en-US" w:eastAsia="zh-CN"/>
        </w:rPr>
        <w:t xml:space="preserve"> 温室气体排放计量数据</w:t>
      </w:r>
    </w:p>
    <w:p w14:paraId="100F21C7">
      <w:pPr>
        <w:pStyle w:val="23"/>
        <w:bidi w:val="0"/>
        <w:rPr>
          <w:rFonts w:hint="default"/>
          <w:sz w:val="28"/>
          <w:szCs w:val="28"/>
          <w:lang w:val="en-US" w:eastAsia="zh-CN"/>
        </w:rPr>
      </w:pPr>
      <w:r>
        <w:rPr>
          <w:rFonts w:hint="eastAsia"/>
          <w:sz w:val="28"/>
          <w:szCs w:val="28"/>
          <w:lang w:val="en-US" w:eastAsia="zh-CN"/>
        </w:rPr>
        <w:t>明确了温</w:t>
      </w:r>
      <w:r>
        <w:rPr>
          <w:rFonts w:hint="default"/>
          <w:sz w:val="28"/>
          <w:szCs w:val="28"/>
          <w:lang w:val="en-US" w:eastAsia="zh-CN"/>
        </w:rPr>
        <w:t>室气体排放计量数据采集</w:t>
      </w:r>
      <w:r>
        <w:rPr>
          <w:rFonts w:hint="eastAsia"/>
          <w:sz w:val="28"/>
          <w:szCs w:val="28"/>
          <w:lang w:val="en-US" w:eastAsia="zh-CN"/>
        </w:rPr>
        <w:t>、</w:t>
      </w:r>
      <w:r>
        <w:rPr>
          <w:rFonts w:hint="default"/>
          <w:sz w:val="28"/>
          <w:szCs w:val="28"/>
          <w:lang w:val="en-US" w:eastAsia="zh-CN"/>
        </w:rPr>
        <w:t>处理</w:t>
      </w:r>
      <w:r>
        <w:rPr>
          <w:rFonts w:hint="eastAsia"/>
          <w:sz w:val="28"/>
          <w:szCs w:val="28"/>
          <w:lang w:val="en-US" w:eastAsia="zh-CN"/>
        </w:rPr>
        <w:t>及</w:t>
      </w:r>
      <w:r>
        <w:rPr>
          <w:rFonts w:hint="default"/>
          <w:sz w:val="28"/>
          <w:szCs w:val="28"/>
          <w:lang w:val="en-US" w:eastAsia="zh-CN"/>
        </w:rPr>
        <w:t>数据质量控制</w:t>
      </w:r>
      <w:r>
        <w:rPr>
          <w:rFonts w:hint="eastAsia"/>
          <w:sz w:val="28"/>
          <w:szCs w:val="28"/>
          <w:lang w:val="en-US" w:eastAsia="zh-CN"/>
        </w:rPr>
        <w:t>相关要求。</w:t>
      </w:r>
    </w:p>
    <w:p w14:paraId="58346D54">
      <w:pPr>
        <w:keepNext w:val="0"/>
        <w:keepLines w:val="0"/>
        <w:pageBreakBefore w:val="0"/>
        <w:widowControl w:val="0"/>
        <w:kinsoku/>
        <w:wordWrap/>
        <w:overflowPunct/>
        <w:topLinePunct w:val="0"/>
        <w:autoSpaceDE/>
        <w:autoSpaceDN/>
        <w:bidi w:val="0"/>
        <w:adjustRightInd/>
        <w:snapToGrid/>
        <w:spacing w:beforeLines="50" w:after="157" w:afterLines="50" w:line="360" w:lineRule="auto"/>
        <w:textAlignment w:val="auto"/>
        <w:rPr>
          <w:rFonts w:hint="default" w:ascii="Times New Roman" w:hAnsi="Times New Roman" w:eastAsia="仿宋_GB2312" w:cs="Times New Roman"/>
          <w:b/>
          <w:color w:val="000000"/>
          <w:kern w:val="0"/>
          <w:sz w:val="28"/>
          <w:szCs w:val="28"/>
        </w:rPr>
      </w:pPr>
      <w:r>
        <w:rPr>
          <w:rFonts w:hint="eastAsia" w:eastAsia="仿宋_GB2312" w:cs="Times New Roman"/>
          <w:b/>
          <w:color w:val="000000"/>
          <w:kern w:val="0"/>
          <w:sz w:val="28"/>
          <w:szCs w:val="28"/>
          <w:lang w:val="en-US" w:eastAsia="zh-CN"/>
        </w:rPr>
        <w:t>七</w:t>
      </w:r>
      <w:r>
        <w:rPr>
          <w:rFonts w:hint="default" w:ascii="Times New Roman" w:hAnsi="Times New Roman" w:eastAsia="仿宋_GB2312" w:cs="Times New Roman"/>
          <w:b/>
          <w:color w:val="000000"/>
          <w:kern w:val="0"/>
          <w:sz w:val="28"/>
          <w:szCs w:val="28"/>
        </w:rPr>
        <w:t>、与有关的现行法律、规范和强制性国家标准的关系</w:t>
      </w:r>
    </w:p>
    <w:p w14:paraId="4F44A22C">
      <w:pPr>
        <w:spacing w:line="360" w:lineRule="auto"/>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本规范与现行法律、法规和强制性国家标准一致。</w:t>
      </w:r>
    </w:p>
    <w:p w14:paraId="62A021F8">
      <w:pPr>
        <w:keepNext w:val="0"/>
        <w:keepLines w:val="0"/>
        <w:pageBreakBefore w:val="0"/>
        <w:widowControl w:val="0"/>
        <w:kinsoku/>
        <w:wordWrap/>
        <w:overflowPunct/>
        <w:topLinePunct w:val="0"/>
        <w:autoSpaceDE/>
        <w:autoSpaceDN/>
        <w:bidi w:val="0"/>
        <w:adjustRightInd/>
        <w:snapToGrid/>
        <w:spacing w:beforeLines="50" w:after="157" w:afterLines="50" w:line="360" w:lineRule="auto"/>
        <w:textAlignment w:val="auto"/>
        <w:rPr>
          <w:rFonts w:hint="default" w:ascii="Times New Roman" w:hAnsi="Times New Roman" w:eastAsia="仿宋_GB2312" w:cs="Times New Roman"/>
          <w:b/>
          <w:color w:val="000000"/>
          <w:kern w:val="0"/>
          <w:sz w:val="28"/>
          <w:szCs w:val="28"/>
        </w:rPr>
      </w:pPr>
      <w:r>
        <w:rPr>
          <w:rFonts w:hint="eastAsia" w:eastAsia="仿宋_GB2312" w:cs="Times New Roman"/>
          <w:b/>
          <w:color w:val="000000"/>
          <w:kern w:val="0"/>
          <w:sz w:val="28"/>
          <w:szCs w:val="28"/>
          <w:lang w:val="en-US" w:eastAsia="zh-CN"/>
        </w:rPr>
        <w:t>八</w:t>
      </w:r>
      <w:r>
        <w:rPr>
          <w:rFonts w:hint="default" w:ascii="Times New Roman" w:hAnsi="Times New Roman" w:eastAsia="仿宋_GB2312" w:cs="Times New Roman"/>
          <w:b/>
          <w:color w:val="000000"/>
          <w:kern w:val="0"/>
          <w:sz w:val="28"/>
          <w:szCs w:val="28"/>
        </w:rPr>
        <w:t>、重大分歧意见的处理经过和依据</w:t>
      </w:r>
    </w:p>
    <w:p w14:paraId="61C44F02">
      <w:pPr>
        <w:spacing w:line="360" w:lineRule="auto"/>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本规范在制定过程中无重大意见分歧。</w:t>
      </w:r>
    </w:p>
    <w:p w14:paraId="3DEBA6BD">
      <w:pPr>
        <w:keepNext w:val="0"/>
        <w:keepLines w:val="0"/>
        <w:pageBreakBefore w:val="0"/>
        <w:widowControl w:val="0"/>
        <w:kinsoku/>
        <w:wordWrap/>
        <w:overflowPunct/>
        <w:topLinePunct w:val="0"/>
        <w:autoSpaceDE/>
        <w:autoSpaceDN/>
        <w:bidi w:val="0"/>
        <w:adjustRightInd/>
        <w:snapToGrid/>
        <w:spacing w:beforeLines="50" w:after="157" w:afterLines="50" w:line="360" w:lineRule="auto"/>
        <w:textAlignment w:val="auto"/>
        <w:rPr>
          <w:rFonts w:hint="default" w:ascii="Times New Roman" w:hAnsi="Times New Roman" w:eastAsia="仿宋_GB2312" w:cs="Times New Roman"/>
          <w:b/>
          <w:color w:val="000000"/>
          <w:kern w:val="0"/>
          <w:sz w:val="28"/>
          <w:szCs w:val="28"/>
        </w:rPr>
      </w:pPr>
      <w:r>
        <w:rPr>
          <w:rFonts w:hint="eastAsia" w:eastAsia="仿宋_GB2312" w:cs="Times New Roman"/>
          <w:b/>
          <w:color w:val="000000"/>
          <w:kern w:val="0"/>
          <w:sz w:val="28"/>
          <w:szCs w:val="28"/>
          <w:lang w:val="en-US" w:eastAsia="zh-CN"/>
        </w:rPr>
        <w:t>九</w:t>
      </w:r>
      <w:r>
        <w:rPr>
          <w:rFonts w:hint="default" w:ascii="Times New Roman" w:hAnsi="Times New Roman" w:eastAsia="仿宋_GB2312" w:cs="Times New Roman"/>
          <w:b/>
          <w:color w:val="000000"/>
          <w:kern w:val="0"/>
          <w:sz w:val="28"/>
          <w:szCs w:val="28"/>
        </w:rPr>
        <w:t>、其他应予以说明的事项</w:t>
      </w:r>
    </w:p>
    <w:p w14:paraId="759E7CAA">
      <w:pPr>
        <w:spacing w:line="360" w:lineRule="auto"/>
        <w:ind w:firstLine="560" w:firstLineChars="200"/>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color w:val="000000"/>
          <w:kern w:val="0"/>
          <w:sz w:val="28"/>
          <w:szCs w:val="28"/>
        </w:rPr>
        <w:t>本规范不涉及专利、著作权等知识产权内容。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27ADE">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7EA23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87EA23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395ED"/>
    <w:multiLevelType w:val="singleLevel"/>
    <w:tmpl w:val="C5F395ED"/>
    <w:lvl w:ilvl="0" w:tentative="0">
      <w:start w:val="1"/>
      <w:numFmt w:val="decimal"/>
      <w:pStyle w:val="22"/>
      <w:suff w:val="nothing"/>
      <w:lvlText w:val="6.%1"/>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NjAzOWNjZGEwMDI2N2YxNmFjY2QwZDAzZWQ3YjIifQ=="/>
  </w:docVars>
  <w:rsids>
    <w:rsidRoot w:val="00B54640"/>
    <w:rsid w:val="00002AA3"/>
    <w:rsid w:val="000111A8"/>
    <w:rsid w:val="00024AD0"/>
    <w:rsid w:val="000432E4"/>
    <w:rsid w:val="00045408"/>
    <w:rsid w:val="00065747"/>
    <w:rsid w:val="00072F9E"/>
    <w:rsid w:val="0007518D"/>
    <w:rsid w:val="00081136"/>
    <w:rsid w:val="000967E5"/>
    <w:rsid w:val="000E2DB0"/>
    <w:rsid w:val="000E5EEA"/>
    <w:rsid w:val="00100600"/>
    <w:rsid w:val="0010628C"/>
    <w:rsid w:val="00117225"/>
    <w:rsid w:val="00125ED1"/>
    <w:rsid w:val="001261FB"/>
    <w:rsid w:val="001459EA"/>
    <w:rsid w:val="001B240D"/>
    <w:rsid w:val="001B7FCF"/>
    <w:rsid w:val="001E60B2"/>
    <w:rsid w:val="001E66BB"/>
    <w:rsid w:val="001F49A2"/>
    <w:rsid w:val="00223F43"/>
    <w:rsid w:val="00251635"/>
    <w:rsid w:val="002570E7"/>
    <w:rsid w:val="00263B08"/>
    <w:rsid w:val="00270389"/>
    <w:rsid w:val="00277F67"/>
    <w:rsid w:val="002A4354"/>
    <w:rsid w:val="002B33FD"/>
    <w:rsid w:val="002C51E6"/>
    <w:rsid w:val="002C669B"/>
    <w:rsid w:val="002E48F8"/>
    <w:rsid w:val="002F3A23"/>
    <w:rsid w:val="002F4F4A"/>
    <w:rsid w:val="002F62C6"/>
    <w:rsid w:val="0032722A"/>
    <w:rsid w:val="003573A8"/>
    <w:rsid w:val="00381661"/>
    <w:rsid w:val="0038241B"/>
    <w:rsid w:val="00394E55"/>
    <w:rsid w:val="00395198"/>
    <w:rsid w:val="003C5A51"/>
    <w:rsid w:val="003D013C"/>
    <w:rsid w:val="003D2031"/>
    <w:rsid w:val="00401C38"/>
    <w:rsid w:val="004860B6"/>
    <w:rsid w:val="004A1A3B"/>
    <w:rsid w:val="004B3375"/>
    <w:rsid w:val="005251DD"/>
    <w:rsid w:val="00562E3C"/>
    <w:rsid w:val="005652D8"/>
    <w:rsid w:val="00574624"/>
    <w:rsid w:val="005A612F"/>
    <w:rsid w:val="00613688"/>
    <w:rsid w:val="006153FD"/>
    <w:rsid w:val="0062394B"/>
    <w:rsid w:val="006242C0"/>
    <w:rsid w:val="006271FF"/>
    <w:rsid w:val="00662957"/>
    <w:rsid w:val="006701C4"/>
    <w:rsid w:val="00687895"/>
    <w:rsid w:val="00696AF4"/>
    <w:rsid w:val="006B1DD1"/>
    <w:rsid w:val="006D7356"/>
    <w:rsid w:val="006F02C0"/>
    <w:rsid w:val="007031ED"/>
    <w:rsid w:val="0071685C"/>
    <w:rsid w:val="00722AA5"/>
    <w:rsid w:val="00733A45"/>
    <w:rsid w:val="0073635D"/>
    <w:rsid w:val="00750174"/>
    <w:rsid w:val="0077158A"/>
    <w:rsid w:val="00771DEF"/>
    <w:rsid w:val="00773570"/>
    <w:rsid w:val="007B25BD"/>
    <w:rsid w:val="007B2834"/>
    <w:rsid w:val="007C5393"/>
    <w:rsid w:val="007D5260"/>
    <w:rsid w:val="007E5E98"/>
    <w:rsid w:val="00826FCD"/>
    <w:rsid w:val="00850060"/>
    <w:rsid w:val="008579E9"/>
    <w:rsid w:val="008653E2"/>
    <w:rsid w:val="00874983"/>
    <w:rsid w:val="00893810"/>
    <w:rsid w:val="008B4210"/>
    <w:rsid w:val="008C3162"/>
    <w:rsid w:val="008C4F78"/>
    <w:rsid w:val="008D28EC"/>
    <w:rsid w:val="008E19E6"/>
    <w:rsid w:val="009048DA"/>
    <w:rsid w:val="00913326"/>
    <w:rsid w:val="0092603E"/>
    <w:rsid w:val="00946452"/>
    <w:rsid w:val="00946591"/>
    <w:rsid w:val="00955312"/>
    <w:rsid w:val="00957A50"/>
    <w:rsid w:val="009751AB"/>
    <w:rsid w:val="009770CA"/>
    <w:rsid w:val="009D2AF8"/>
    <w:rsid w:val="009E17C5"/>
    <w:rsid w:val="009E339B"/>
    <w:rsid w:val="009E44E4"/>
    <w:rsid w:val="009E7041"/>
    <w:rsid w:val="009F2C31"/>
    <w:rsid w:val="00A012B3"/>
    <w:rsid w:val="00A04927"/>
    <w:rsid w:val="00A05AE6"/>
    <w:rsid w:val="00A567A6"/>
    <w:rsid w:val="00A64693"/>
    <w:rsid w:val="00A7623B"/>
    <w:rsid w:val="00A80411"/>
    <w:rsid w:val="00A86118"/>
    <w:rsid w:val="00AA116A"/>
    <w:rsid w:val="00AB7160"/>
    <w:rsid w:val="00AC1AB0"/>
    <w:rsid w:val="00AC772D"/>
    <w:rsid w:val="00AE5608"/>
    <w:rsid w:val="00B05475"/>
    <w:rsid w:val="00B07C01"/>
    <w:rsid w:val="00B2138A"/>
    <w:rsid w:val="00B4181C"/>
    <w:rsid w:val="00B54640"/>
    <w:rsid w:val="00B63A7B"/>
    <w:rsid w:val="00B743BA"/>
    <w:rsid w:val="00B7465D"/>
    <w:rsid w:val="00B82E98"/>
    <w:rsid w:val="00B8579F"/>
    <w:rsid w:val="00B86C46"/>
    <w:rsid w:val="00B874B7"/>
    <w:rsid w:val="00BA7BCA"/>
    <w:rsid w:val="00BB3955"/>
    <w:rsid w:val="00BC1746"/>
    <w:rsid w:val="00BC7D1B"/>
    <w:rsid w:val="00BD3C91"/>
    <w:rsid w:val="00BE40E0"/>
    <w:rsid w:val="00BF1A73"/>
    <w:rsid w:val="00C44DF3"/>
    <w:rsid w:val="00CD2418"/>
    <w:rsid w:val="00CF0364"/>
    <w:rsid w:val="00CF4109"/>
    <w:rsid w:val="00CF61EA"/>
    <w:rsid w:val="00D25C02"/>
    <w:rsid w:val="00D77E8B"/>
    <w:rsid w:val="00DA3C85"/>
    <w:rsid w:val="00DA5E07"/>
    <w:rsid w:val="00DB2A21"/>
    <w:rsid w:val="00DD070C"/>
    <w:rsid w:val="00DD1151"/>
    <w:rsid w:val="00DD3E9D"/>
    <w:rsid w:val="00DE0F1F"/>
    <w:rsid w:val="00E20DC2"/>
    <w:rsid w:val="00E70CBD"/>
    <w:rsid w:val="00E71A9D"/>
    <w:rsid w:val="00E82372"/>
    <w:rsid w:val="00EA0A61"/>
    <w:rsid w:val="00EB224D"/>
    <w:rsid w:val="00EE2740"/>
    <w:rsid w:val="00F20547"/>
    <w:rsid w:val="00F447F0"/>
    <w:rsid w:val="00F47556"/>
    <w:rsid w:val="00F52297"/>
    <w:rsid w:val="00F53ABF"/>
    <w:rsid w:val="00F6753A"/>
    <w:rsid w:val="00F73BA8"/>
    <w:rsid w:val="00F748FC"/>
    <w:rsid w:val="00FD6F04"/>
    <w:rsid w:val="01CB58C2"/>
    <w:rsid w:val="048C6EE4"/>
    <w:rsid w:val="05FC223C"/>
    <w:rsid w:val="061C3F4A"/>
    <w:rsid w:val="072E02D5"/>
    <w:rsid w:val="0757482B"/>
    <w:rsid w:val="07B94603"/>
    <w:rsid w:val="0922463B"/>
    <w:rsid w:val="0A700A33"/>
    <w:rsid w:val="0B59666F"/>
    <w:rsid w:val="0B725411"/>
    <w:rsid w:val="0C82271A"/>
    <w:rsid w:val="0E08495E"/>
    <w:rsid w:val="0EAA7C1C"/>
    <w:rsid w:val="0F1709AA"/>
    <w:rsid w:val="118C0FA3"/>
    <w:rsid w:val="11F052D6"/>
    <w:rsid w:val="13F83153"/>
    <w:rsid w:val="14E06A25"/>
    <w:rsid w:val="191A0873"/>
    <w:rsid w:val="1AF40481"/>
    <w:rsid w:val="1D0417DD"/>
    <w:rsid w:val="1D8E3A41"/>
    <w:rsid w:val="1DC174AD"/>
    <w:rsid w:val="20240065"/>
    <w:rsid w:val="227F16C6"/>
    <w:rsid w:val="23993581"/>
    <w:rsid w:val="24EF4B49"/>
    <w:rsid w:val="252512E3"/>
    <w:rsid w:val="28722A91"/>
    <w:rsid w:val="2BF63D51"/>
    <w:rsid w:val="2C9D5212"/>
    <w:rsid w:val="2EBC4A66"/>
    <w:rsid w:val="2F39109A"/>
    <w:rsid w:val="2F996633"/>
    <w:rsid w:val="32F10A57"/>
    <w:rsid w:val="333D0C66"/>
    <w:rsid w:val="33CC6B7F"/>
    <w:rsid w:val="340F71F4"/>
    <w:rsid w:val="34854882"/>
    <w:rsid w:val="38014AC7"/>
    <w:rsid w:val="38B00893"/>
    <w:rsid w:val="3B1D6917"/>
    <w:rsid w:val="3B5D5B82"/>
    <w:rsid w:val="3BEB24E7"/>
    <w:rsid w:val="3CA05E05"/>
    <w:rsid w:val="3EAA0C79"/>
    <w:rsid w:val="3F1C2A13"/>
    <w:rsid w:val="3F4A1C1A"/>
    <w:rsid w:val="40D52048"/>
    <w:rsid w:val="41774FF8"/>
    <w:rsid w:val="417C1E33"/>
    <w:rsid w:val="430C716C"/>
    <w:rsid w:val="43684434"/>
    <w:rsid w:val="44C32274"/>
    <w:rsid w:val="45173816"/>
    <w:rsid w:val="476E1BC4"/>
    <w:rsid w:val="49306CF7"/>
    <w:rsid w:val="49540343"/>
    <w:rsid w:val="4AC67B9D"/>
    <w:rsid w:val="4C835885"/>
    <w:rsid w:val="4C8C3872"/>
    <w:rsid w:val="4E5959D6"/>
    <w:rsid w:val="4EE96D5A"/>
    <w:rsid w:val="4F1B3781"/>
    <w:rsid w:val="50175937"/>
    <w:rsid w:val="505A792C"/>
    <w:rsid w:val="511B6357"/>
    <w:rsid w:val="51790C79"/>
    <w:rsid w:val="544F332D"/>
    <w:rsid w:val="54C21E15"/>
    <w:rsid w:val="55DE5100"/>
    <w:rsid w:val="56517337"/>
    <w:rsid w:val="57AC6B77"/>
    <w:rsid w:val="59484FC5"/>
    <w:rsid w:val="5F1B2360"/>
    <w:rsid w:val="5F7359DB"/>
    <w:rsid w:val="5FE25A0A"/>
    <w:rsid w:val="629965C8"/>
    <w:rsid w:val="66AE5085"/>
    <w:rsid w:val="66E02478"/>
    <w:rsid w:val="678F3CB2"/>
    <w:rsid w:val="67DE73E1"/>
    <w:rsid w:val="69C81D37"/>
    <w:rsid w:val="6B380BB3"/>
    <w:rsid w:val="6C661592"/>
    <w:rsid w:val="6C77554D"/>
    <w:rsid w:val="6D964261"/>
    <w:rsid w:val="6DCA3571"/>
    <w:rsid w:val="6E1A1003"/>
    <w:rsid w:val="71A44693"/>
    <w:rsid w:val="72507332"/>
    <w:rsid w:val="73B36106"/>
    <w:rsid w:val="74601B33"/>
    <w:rsid w:val="7553672D"/>
    <w:rsid w:val="770E2B74"/>
    <w:rsid w:val="77C47DAA"/>
    <w:rsid w:val="7B4133D2"/>
    <w:rsid w:val="7C456D3F"/>
    <w:rsid w:val="7CC55E61"/>
    <w:rsid w:val="7DE94297"/>
    <w:rsid w:val="7DFC3B04"/>
    <w:rsid w:val="7FFF2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7"/>
    <w:autoRedefine/>
    <w:qFormat/>
    <w:uiPriority w:val="0"/>
    <w:pPr>
      <w:spacing w:after="120"/>
      <w:ind w:left="420" w:leftChars="200"/>
    </w:pPr>
    <w:rPr>
      <w:szCs w:val="20"/>
    </w:rPr>
  </w:style>
  <w:style w:type="paragraph" w:styleId="5">
    <w:name w:val="Body Text Indent 2"/>
    <w:basedOn w:val="1"/>
    <w:link w:val="18"/>
    <w:autoRedefine/>
    <w:qFormat/>
    <w:uiPriority w:val="0"/>
    <w:pPr>
      <w:spacing w:after="120" w:line="480" w:lineRule="auto"/>
      <w:ind w:left="420" w:leftChars="200"/>
    </w:pPr>
  </w:style>
  <w:style w:type="paragraph" w:styleId="6">
    <w:name w:val="Balloon Text"/>
    <w:basedOn w:val="1"/>
    <w:link w:val="15"/>
    <w:autoRedefine/>
    <w:qFormat/>
    <w:uiPriority w:val="0"/>
    <w:rPr>
      <w:sz w:val="18"/>
      <w:szCs w:val="18"/>
    </w:rPr>
  </w:style>
  <w:style w:type="paragraph" w:styleId="7">
    <w:name w:val="footer"/>
    <w:basedOn w:val="1"/>
    <w:link w:val="14"/>
    <w:autoRedefine/>
    <w:qFormat/>
    <w:uiPriority w:val="99"/>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customStyle="1" w:styleId="13">
    <w:name w:val="页眉 Char"/>
    <w:basedOn w:val="11"/>
    <w:link w:val="8"/>
    <w:autoRedefine/>
    <w:qFormat/>
    <w:uiPriority w:val="0"/>
    <w:rPr>
      <w:kern w:val="2"/>
      <w:sz w:val="18"/>
      <w:szCs w:val="18"/>
    </w:rPr>
  </w:style>
  <w:style w:type="character" w:customStyle="1" w:styleId="14">
    <w:name w:val="页脚 Char"/>
    <w:basedOn w:val="11"/>
    <w:link w:val="7"/>
    <w:qFormat/>
    <w:uiPriority w:val="99"/>
    <w:rPr>
      <w:kern w:val="2"/>
      <w:sz w:val="18"/>
      <w:szCs w:val="18"/>
    </w:rPr>
  </w:style>
  <w:style w:type="character" w:customStyle="1" w:styleId="15">
    <w:name w:val="批注框文本 Char"/>
    <w:basedOn w:val="11"/>
    <w:link w:val="6"/>
    <w:qFormat/>
    <w:uiPriority w:val="0"/>
    <w:rPr>
      <w:kern w:val="2"/>
      <w:sz w:val="18"/>
      <w:szCs w:val="18"/>
    </w:rPr>
  </w:style>
  <w:style w:type="paragraph" w:styleId="16">
    <w:name w:val="List Paragraph"/>
    <w:basedOn w:val="1"/>
    <w:autoRedefine/>
    <w:qFormat/>
    <w:uiPriority w:val="34"/>
    <w:pPr>
      <w:ind w:firstLine="420" w:firstLineChars="200"/>
    </w:pPr>
  </w:style>
  <w:style w:type="character" w:customStyle="1" w:styleId="17">
    <w:name w:val="正文文本缩进 Char"/>
    <w:basedOn w:val="11"/>
    <w:link w:val="4"/>
    <w:qFormat/>
    <w:uiPriority w:val="0"/>
    <w:rPr>
      <w:kern w:val="2"/>
      <w:sz w:val="21"/>
    </w:rPr>
  </w:style>
  <w:style w:type="character" w:customStyle="1" w:styleId="18">
    <w:name w:val="正文文本缩进 2 Char"/>
    <w:basedOn w:val="11"/>
    <w:link w:val="5"/>
    <w:qFormat/>
    <w:uiPriority w:val="0"/>
    <w:rPr>
      <w:kern w:val="2"/>
      <w:sz w:val="21"/>
      <w:szCs w:val="24"/>
    </w:rPr>
  </w:style>
  <w:style w:type="paragraph" w:customStyle="1" w:styleId="1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0">
    <w:name w:val="Char Char1 Char Char Char Char Char Char Char"/>
    <w:basedOn w:val="1"/>
    <w:qFormat/>
    <w:uiPriority w:val="0"/>
    <w:pPr>
      <w:widowControl/>
      <w:spacing w:after="160" w:line="240" w:lineRule="exact"/>
      <w:jc w:val="left"/>
    </w:pPr>
    <w:rPr>
      <w:rFonts w:ascii="Tahoma" w:hAnsi="Tahoma" w:eastAsia="Times New Roman" w:cs="Tahoma"/>
      <w:kern w:val="0"/>
      <w:sz w:val="20"/>
      <w:szCs w:val="20"/>
      <w:lang w:eastAsia="en-US"/>
    </w:rPr>
  </w:style>
  <w:style w:type="character" w:customStyle="1" w:styleId="21">
    <w:name w:val="标题 3 Char"/>
    <w:basedOn w:val="11"/>
    <w:link w:val="2"/>
    <w:qFormat/>
    <w:uiPriority w:val="9"/>
    <w:rPr>
      <w:rFonts w:ascii="宋体" w:hAnsi="宋体" w:cs="宋体"/>
      <w:b/>
      <w:bCs/>
      <w:sz w:val="27"/>
      <w:szCs w:val="27"/>
    </w:rPr>
  </w:style>
  <w:style w:type="paragraph" w:customStyle="1" w:styleId="22">
    <w:name w:val="5.1 标题"/>
    <w:basedOn w:val="1"/>
    <w:qFormat/>
    <w:uiPriority w:val="0"/>
    <w:pPr>
      <w:numPr>
        <w:ilvl w:val="0"/>
        <w:numId w:val="1"/>
      </w:numPr>
    </w:pPr>
    <w:rPr>
      <w:rFonts w:eastAsia="仿宋_GB2312"/>
      <w:color w:val="000000"/>
      <w:kern w:val="0"/>
      <w:sz w:val="28"/>
      <w:szCs w:val="28"/>
    </w:rPr>
  </w:style>
  <w:style w:type="paragraph" w:customStyle="1" w:styleId="23">
    <w:name w:val="正文1"/>
    <w:basedOn w:val="1"/>
    <w:qFormat/>
    <w:uiPriority w:val="0"/>
    <w:pPr>
      <w:spacing w:line="360" w:lineRule="auto"/>
      <w:ind w:firstLine="640" w:firstLineChars="200"/>
    </w:pPr>
    <w:rPr>
      <w:rFonts w:eastAsia="仿宋_GB2312"/>
      <w:color w:val="000000"/>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3629</Words>
  <Characters>3861</Characters>
  <Lines>22</Lines>
  <Paragraphs>6</Paragraphs>
  <TotalTime>5</TotalTime>
  <ScaleCrop>false</ScaleCrop>
  <LinksUpToDate>false</LinksUpToDate>
  <CharactersWithSpaces>3897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2020-04-14T03:09:00Z</dcterms:created>
  <dc:creator>Think</dc:creator>
  <cp:lastModifiedBy>董平</cp:lastModifiedBy>
  <cp:lastPrinted>2025-03-10T11:30:00Z</cp:lastPrinted>
  <dcterms:modified xsi:type="dcterms:W3CDTF">2025-08-20T08:28:21Z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EB13556A374D4FFE95D37787D2BC8814_13</vt:lpwstr>
  </property>
  <property fmtid="{D5CDD505-2E9C-101B-9397-08002B2CF9AE}" pid="4" name="KSOTemplateDocerSaveRecord">
    <vt:lpwstr>eyJoZGlkIjoiMGMxNGIxMjg0MTZhNzBjYzZiOTM1OTM4OWU2M2E2YmYiLCJ1c2VySWQiOiIxOTkwNzk3NDUifQ==</vt:lpwstr>
  </property>
</Properties>
</file>