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BD0A0">
      <w:pPr>
        <w:jc w:val="center"/>
        <w:rPr>
          <w:rFonts w:ascii="黑体" w:hAnsi="黑体" w:eastAsia="黑体" w:cs="黑体"/>
          <w:color w:val="auto"/>
          <w:kern w:val="0"/>
          <w:sz w:val="52"/>
          <w:szCs w:val="52"/>
          <w:lang w:bidi="ar"/>
        </w:rPr>
      </w:pPr>
    </w:p>
    <w:p w14:paraId="3C48F1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44"/>
          <w:szCs w:val="44"/>
        </w:rPr>
      </w:pPr>
      <w:r>
        <w:rPr>
          <w:rFonts w:hint="eastAsia" w:ascii="黑体" w:hAnsi="黑体" w:eastAsia="黑体" w:cs="黑体"/>
          <w:b w:val="0"/>
          <w:bCs w:val="0"/>
          <w:sz w:val="44"/>
          <w:szCs w:val="44"/>
        </w:rPr>
        <w:t>国家计量技术规范</w:t>
      </w:r>
    </w:p>
    <w:p w14:paraId="252F92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44"/>
          <w:szCs w:val="44"/>
        </w:rPr>
      </w:pPr>
      <w:r>
        <w:rPr>
          <w:rFonts w:hint="eastAsia" w:ascii="黑体" w:hAnsi="黑体" w:eastAsia="黑体" w:cs="黑体"/>
          <w:b w:val="0"/>
          <w:bCs w:val="0"/>
          <w:sz w:val="44"/>
          <w:szCs w:val="44"/>
        </w:rPr>
        <w:t>《液体</w:t>
      </w:r>
      <w:r>
        <w:rPr>
          <w:rFonts w:hint="eastAsia" w:ascii="黑体" w:hAnsi="黑体" w:eastAsia="黑体" w:cs="黑体"/>
          <w:b w:val="0"/>
          <w:bCs w:val="0"/>
          <w:sz w:val="44"/>
          <w:szCs w:val="44"/>
          <w:lang w:val="en-US" w:eastAsia="zh-CN"/>
        </w:rPr>
        <w:t>科里奥利质量</w:t>
      </w:r>
      <w:r>
        <w:rPr>
          <w:rFonts w:hint="eastAsia" w:ascii="黑体" w:hAnsi="黑体" w:eastAsia="黑体" w:cs="黑体"/>
          <w:b w:val="0"/>
          <w:bCs w:val="0"/>
          <w:sz w:val="44"/>
          <w:szCs w:val="44"/>
        </w:rPr>
        <w:t>流量计型式评价大纲》</w:t>
      </w:r>
    </w:p>
    <w:p w14:paraId="628F57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cs="黑体"/>
          <w:color w:val="auto"/>
          <w:kern w:val="0"/>
          <w:sz w:val="32"/>
          <w:szCs w:val="32"/>
          <w:lang w:bidi="ar"/>
        </w:rPr>
      </w:pPr>
      <w:r>
        <w:rPr>
          <w:rFonts w:hint="eastAsia" w:ascii="宋体" w:hAnsi="宋体" w:cs="宋体"/>
          <w:color w:val="auto"/>
          <w:kern w:val="0"/>
          <w:sz w:val="32"/>
          <w:szCs w:val="32"/>
          <w:lang w:bidi="ar"/>
        </w:rPr>
        <w:t>（</w:t>
      </w:r>
      <w:r>
        <w:rPr>
          <w:rFonts w:hint="eastAsia" w:ascii="黑体" w:hAnsi="黑体" w:eastAsia="黑体" w:cs="黑体"/>
          <w:color w:val="auto"/>
          <w:kern w:val="0"/>
          <w:sz w:val="32"/>
          <w:szCs w:val="32"/>
          <w:lang w:val="en-US" w:eastAsia="zh-CN" w:bidi="ar"/>
        </w:rPr>
        <w:t>征求意见</w:t>
      </w:r>
      <w:r>
        <w:rPr>
          <w:rFonts w:hint="eastAsia" w:ascii="黑体" w:hAnsi="黑体" w:eastAsia="黑体" w:cs="黑体"/>
          <w:color w:val="auto"/>
          <w:kern w:val="0"/>
          <w:sz w:val="32"/>
          <w:szCs w:val="32"/>
          <w:lang w:bidi="ar"/>
        </w:rPr>
        <w:t>稿</w:t>
      </w:r>
      <w:r>
        <w:rPr>
          <w:rFonts w:hint="eastAsia" w:ascii="宋体" w:hAnsi="宋体" w:cs="宋体"/>
          <w:color w:val="auto"/>
          <w:kern w:val="0"/>
          <w:sz w:val="32"/>
          <w:szCs w:val="32"/>
          <w:lang w:bidi="ar"/>
        </w:rPr>
        <w:t>）</w:t>
      </w:r>
    </w:p>
    <w:p w14:paraId="34C27CC5">
      <w:pPr>
        <w:pStyle w:val="19"/>
        <w:tabs>
          <w:tab w:val="left" w:pos="420"/>
          <w:tab w:val="right" w:pos="8280"/>
        </w:tabs>
        <w:spacing w:before="702" w:beforeLines="150"/>
        <w:ind w:firstLine="0" w:firstLineChars="0"/>
        <w:jc w:val="center"/>
        <w:rPr>
          <w:rFonts w:hint="eastAsia" w:eastAsia="隶书" w:cs="Times New Roman"/>
          <w:sz w:val="44"/>
          <w:szCs w:val="44"/>
        </w:rPr>
      </w:pPr>
      <w:r>
        <w:rPr>
          <w:rFonts w:hint="eastAsia" w:eastAsia="隶书" w:cs="Times New Roman"/>
          <w:sz w:val="44"/>
          <w:szCs w:val="44"/>
          <w:lang w:val="en-US" w:eastAsia="zh-CN"/>
        </w:rPr>
        <w:t>修订</w:t>
      </w:r>
      <w:r>
        <w:rPr>
          <w:rFonts w:hint="eastAsia" w:eastAsia="隶书" w:cs="Times New Roman"/>
          <w:sz w:val="44"/>
          <w:szCs w:val="44"/>
        </w:rPr>
        <w:t>编</w:t>
      </w:r>
      <w:r>
        <w:rPr>
          <w:rFonts w:hint="eastAsia" w:eastAsia="隶书" w:cs="Times New Roman"/>
          <w:sz w:val="44"/>
          <w:szCs w:val="44"/>
          <w:lang w:val="en-US" w:eastAsia="zh-CN"/>
        </w:rPr>
        <w:t>写</w:t>
      </w:r>
      <w:r>
        <w:rPr>
          <w:rFonts w:hint="eastAsia" w:eastAsia="隶书" w:cs="Times New Roman"/>
          <w:sz w:val="44"/>
          <w:szCs w:val="44"/>
        </w:rPr>
        <w:t>说明</w:t>
      </w:r>
    </w:p>
    <w:p w14:paraId="0C4B4B11">
      <w:pPr>
        <w:jc w:val="center"/>
        <w:rPr>
          <w:rFonts w:ascii="黑体" w:hAnsi="黑体" w:eastAsia="黑体" w:cs="黑体"/>
          <w:color w:val="auto"/>
          <w:kern w:val="0"/>
          <w:sz w:val="52"/>
          <w:szCs w:val="52"/>
          <w:lang w:bidi="ar"/>
        </w:rPr>
      </w:pPr>
    </w:p>
    <w:p w14:paraId="7A6E54AB">
      <w:pPr>
        <w:jc w:val="center"/>
        <w:rPr>
          <w:rFonts w:ascii="黑体" w:hAnsi="黑体" w:eastAsia="黑体" w:cs="黑体"/>
          <w:color w:val="auto"/>
          <w:kern w:val="0"/>
          <w:sz w:val="52"/>
          <w:szCs w:val="52"/>
          <w:lang w:bidi="ar"/>
        </w:rPr>
      </w:pPr>
    </w:p>
    <w:p w14:paraId="02695D60">
      <w:pPr>
        <w:jc w:val="center"/>
        <w:rPr>
          <w:rFonts w:ascii="黑体" w:hAnsi="黑体" w:eastAsia="黑体" w:cs="黑体"/>
          <w:color w:val="auto"/>
          <w:kern w:val="0"/>
          <w:sz w:val="52"/>
          <w:szCs w:val="52"/>
          <w:lang w:bidi="ar"/>
        </w:rPr>
      </w:pPr>
    </w:p>
    <w:p w14:paraId="44F5835B">
      <w:pPr>
        <w:jc w:val="center"/>
        <w:rPr>
          <w:rFonts w:ascii="黑体" w:hAnsi="黑体" w:eastAsia="黑体" w:cs="黑体"/>
          <w:color w:val="auto"/>
          <w:kern w:val="0"/>
          <w:sz w:val="52"/>
          <w:szCs w:val="52"/>
          <w:lang w:bidi="ar"/>
        </w:rPr>
      </w:pPr>
    </w:p>
    <w:p w14:paraId="247E9F9A">
      <w:pPr>
        <w:jc w:val="center"/>
        <w:rPr>
          <w:rFonts w:ascii="黑体" w:hAnsi="黑体" w:eastAsia="黑体" w:cs="黑体"/>
          <w:color w:val="auto"/>
          <w:kern w:val="0"/>
          <w:sz w:val="52"/>
          <w:szCs w:val="52"/>
          <w:lang w:bidi="ar"/>
        </w:rPr>
      </w:pPr>
    </w:p>
    <w:p w14:paraId="15FD5E25">
      <w:pPr>
        <w:jc w:val="center"/>
        <w:rPr>
          <w:rFonts w:ascii="黑体" w:hAnsi="黑体" w:eastAsia="黑体" w:cs="黑体"/>
          <w:color w:val="auto"/>
          <w:kern w:val="0"/>
          <w:sz w:val="52"/>
          <w:szCs w:val="52"/>
          <w:lang w:bidi="ar"/>
        </w:rPr>
      </w:pPr>
    </w:p>
    <w:p w14:paraId="1E0C996F">
      <w:pPr>
        <w:jc w:val="center"/>
        <w:rPr>
          <w:rFonts w:ascii="黑体" w:hAnsi="黑体" w:eastAsia="黑体" w:cs="黑体"/>
          <w:color w:val="auto"/>
          <w:sz w:val="28"/>
          <w:szCs w:val="28"/>
        </w:rPr>
      </w:pPr>
      <w:r>
        <w:rPr>
          <w:rFonts w:hint="eastAsia" w:ascii="黑体" w:hAnsi="黑体" w:eastAsia="黑体" w:cs="黑体"/>
          <w:color w:val="auto"/>
          <w:sz w:val="28"/>
          <w:szCs w:val="28"/>
        </w:rPr>
        <w:t>大纲起草组</w:t>
      </w:r>
    </w:p>
    <w:p w14:paraId="34FB18FA">
      <w:pPr>
        <w:jc w:val="center"/>
        <w:rPr>
          <w:rFonts w:ascii="黑体" w:hAnsi="黑体" w:eastAsia="黑体" w:cs="黑体"/>
          <w:color w:val="auto"/>
          <w:sz w:val="28"/>
          <w:szCs w:val="28"/>
        </w:rPr>
      </w:pPr>
      <w:r>
        <w:rPr>
          <w:rFonts w:hint="eastAsia" w:ascii="黑体" w:hAnsi="黑体" w:eastAsia="黑体" w:cs="黑体"/>
          <w:color w:val="auto"/>
          <w:sz w:val="28"/>
          <w:szCs w:val="28"/>
        </w:rPr>
        <w:t>202</w:t>
      </w:r>
      <w:r>
        <w:rPr>
          <w:rFonts w:hint="eastAsia" w:ascii="黑体" w:hAnsi="黑体" w:eastAsia="黑体" w:cs="黑体"/>
          <w:color w:val="auto"/>
          <w:sz w:val="28"/>
          <w:szCs w:val="28"/>
          <w:lang w:val="en-US" w:eastAsia="zh-CN"/>
        </w:rPr>
        <w:t>5</w:t>
      </w:r>
      <w:r>
        <w:rPr>
          <w:rFonts w:hint="eastAsia" w:ascii="黑体" w:hAnsi="黑体" w:eastAsia="黑体" w:cs="黑体"/>
          <w:color w:val="auto"/>
          <w:sz w:val="28"/>
          <w:szCs w:val="28"/>
        </w:rPr>
        <w:t>年</w:t>
      </w:r>
      <w:r>
        <w:rPr>
          <w:rFonts w:hint="eastAsia" w:ascii="黑体" w:hAnsi="黑体" w:eastAsia="黑体" w:cs="黑体"/>
          <w:color w:val="auto"/>
          <w:sz w:val="28"/>
          <w:szCs w:val="28"/>
          <w:lang w:val="en-US" w:eastAsia="zh-CN"/>
        </w:rPr>
        <w:t>9</w:t>
      </w:r>
      <w:r>
        <w:rPr>
          <w:rFonts w:hint="eastAsia" w:ascii="黑体" w:hAnsi="黑体" w:eastAsia="黑体" w:cs="黑体"/>
          <w:color w:val="auto"/>
          <w:sz w:val="28"/>
          <w:szCs w:val="28"/>
        </w:rPr>
        <w:t>月</w:t>
      </w:r>
    </w:p>
    <w:p w14:paraId="21AC18E4">
      <w:pPr>
        <w:jc w:val="center"/>
        <w:rPr>
          <w:rFonts w:asciiTheme="minorEastAsia" w:hAnsiTheme="minorEastAsia" w:cstheme="minorEastAsia"/>
          <w:color w:val="auto"/>
          <w:kern w:val="0"/>
          <w:sz w:val="28"/>
          <w:szCs w:val="28"/>
          <w:lang w:bidi="ar"/>
        </w:rPr>
      </w:pPr>
    </w:p>
    <w:p w14:paraId="57BBEB5C">
      <w:pPr>
        <w:spacing w:before="156" w:beforeLines="50" w:after="156" w:afterLines="50"/>
        <w:jc w:val="center"/>
        <w:rPr>
          <w:rFonts w:hint="eastAsia" w:ascii="黑体" w:hAnsi="黑体" w:eastAsia="黑体" w:cs="黑体"/>
          <w:color w:val="auto"/>
          <w:kern w:val="0"/>
          <w:sz w:val="32"/>
          <w:szCs w:val="32"/>
          <w:lang w:bidi="ar"/>
        </w:rPr>
        <w:sectPr>
          <w:pgSz w:w="11906" w:h="16838"/>
          <w:pgMar w:top="1440" w:right="1800" w:bottom="1440" w:left="1800" w:header="851" w:footer="992" w:gutter="0"/>
          <w:cols w:space="425" w:num="1"/>
          <w:docGrid w:type="lines" w:linePitch="312" w:charSpace="0"/>
        </w:sectPr>
      </w:pPr>
    </w:p>
    <w:p w14:paraId="2B1CA1F7">
      <w:pPr>
        <w:spacing w:before="156" w:beforeLines="50" w:after="156" w:afterLines="50"/>
        <w:jc w:val="center"/>
        <w:rPr>
          <w:rFonts w:hint="eastAsia"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《液体科里奥利质量流量计型式评价大纲》</w:t>
      </w:r>
    </w:p>
    <w:p w14:paraId="354DC078">
      <w:pPr>
        <w:spacing w:before="156" w:beforeLines="50" w:after="156" w:afterLines="50"/>
        <w:jc w:val="center"/>
        <w:rPr>
          <w:rFonts w:ascii="黑体" w:hAnsi="黑体" w:eastAsia="黑体" w:cs="黑体"/>
          <w:color w:val="auto"/>
          <w:kern w:val="0"/>
          <w:sz w:val="32"/>
          <w:szCs w:val="32"/>
          <w:lang w:bidi="ar"/>
        </w:rPr>
      </w:pPr>
      <w:bookmarkStart w:id="2" w:name="_GoBack"/>
      <w:bookmarkEnd w:id="2"/>
      <w:r>
        <w:rPr>
          <w:rFonts w:hint="eastAsia" w:ascii="黑体" w:hAnsi="黑体" w:eastAsia="黑体" w:cs="黑体"/>
          <w:color w:val="auto"/>
          <w:kern w:val="0"/>
          <w:sz w:val="32"/>
          <w:szCs w:val="32"/>
          <w:lang w:val="en-US" w:eastAsia="zh-CN" w:bidi="ar"/>
        </w:rPr>
        <w:t>修订</w:t>
      </w:r>
      <w:r>
        <w:rPr>
          <w:rFonts w:hint="eastAsia" w:ascii="黑体" w:hAnsi="黑体" w:eastAsia="黑体" w:cs="黑体"/>
          <w:color w:val="auto"/>
          <w:kern w:val="0"/>
          <w:sz w:val="32"/>
          <w:szCs w:val="32"/>
          <w:lang w:bidi="ar"/>
        </w:rPr>
        <w:t>编</w:t>
      </w:r>
      <w:r>
        <w:rPr>
          <w:rFonts w:hint="eastAsia" w:ascii="黑体" w:hAnsi="黑体" w:eastAsia="黑体" w:cs="黑体"/>
          <w:color w:val="auto"/>
          <w:kern w:val="0"/>
          <w:sz w:val="32"/>
          <w:szCs w:val="32"/>
          <w:lang w:val="en-US" w:eastAsia="zh-CN" w:bidi="ar"/>
        </w:rPr>
        <w:t>写</w:t>
      </w:r>
      <w:r>
        <w:rPr>
          <w:rFonts w:hint="eastAsia" w:ascii="黑体" w:hAnsi="黑体" w:eastAsia="黑体" w:cs="黑体"/>
          <w:color w:val="auto"/>
          <w:kern w:val="0"/>
          <w:sz w:val="32"/>
          <w:szCs w:val="32"/>
          <w:lang w:bidi="ar"/>
        </w:rPr>
        <w:t>说明</w:t>
      </w:r>
    </w:p>
    <w:p w14:paraId="1AA9971F">
      <w:pPr>
        <w:numPr>
          <w:ilvl w:val="0"/>
          <w:numId w:val="2"/>
        </w:numPr>
        <w:spacing w:before="156" w:beforeLines="50" w:after="156" w:afterLines="50"/>
        <w:jc w:val="left"/>
        <w:rPr>
          <w:rFonts w:ascii="黑体" w:hAnsi="黑体" w:eastAsia="黑体" w:cs="黑体"/>
          <w:color w:val="auto"/>
          <w:kern w:val="0"/>
          <w:sz w:val="28"/>
          <w:szCs w:val="28"/>
          <w:lang w:bidi="ar"/>
        </w:rPr>
      </w:pPr>
      <w:r>
        <w:rPr>
          <w:rFonts w:hint="eastAsia" w:ascii="黑体" w:hAnsi="黑体" w:eastAsia="黑体" w:cs="黑体"/>
          <w:color w:val="auto"/>
          <w:kern w:val="0"/>
          <w:sz w:val="28"/>
          <w:szCs w:val="28"/>
          <w:lang w:bidi="ar"/>
        </w:rPr>
        <w:t>任务来源</w:t>
      </w:r>
    </w:p>
    <w:p w14:paraId="4A914D33">
      <w:pPr>
        <w:pStyle w:val="9"/>
        <w:bidi w:val="0"/>
        <w:rPr>
          <w:rFonts w:hint="eastAsia"/>
          <w:color w:val="auto"/>
        </w:rPr>
      </w:pPr>
      <w:bookmarkStart w:id="0" w:name="_Hlk149420113"/>
      <w:r>
        <w:rPr>
          <w:color w:val="auto"/>
        </w:rPr>
        <w:t>根据国家市场监督管理总局</w:t>
      </w:r>
      <w:r>
        <w:rPr>
          <w:rFonts w:hint="eastAsia"/>
          <w:color w:val="auto"/>
          <w:lang w:eastAsia="zh-CN"/>
        </w:rPr>
        <w:t>办公厅市监计量发(2025)45号“2025年国家计量技术规范项目制定、修订及宣贯计划的通知”，</w:t>
      </w:r>
      <w:r>
        <w:rPr>
          <w:color w:val="auto"/>
        </w:rPr>
        <w:t>由</w:t>
      </w:r>
      <w:r>
        <w:rPr>
          <w:rFonts w:hint="eastAsia"/>
          <w:color w:val="auto"/>
        </w:rPr>
        <w:t>全国流量计量技术委员会液体流量分技术委员会</w:t>
      </w:r>
      <w:r>
        <w:rPr>
          <w:color w:val="auto"/>
        </w:rPr>
        <w:t>（MTC3</w:t>
      </w:r>
      <w:r>
        <w:rPr>
          <w:rFonts w:hint="eastAsia"/>
          <w:color w:val="auto"/>
          <w:lang w:val="en-US" w:eastAsia="zh-CN"/>
        </w:rPr>
        <w:t>/SC1</w:t>
      </w:r>
      <w:r>
        <w:rPr>
          <w:color w:val="auto"/>
        </w:rPr>
        <w:t>）组织</w:t>
      </w:r>
      <w:r>
        <w:rPr>
          <w:rFonts w:hint="eastAsia"/>
          <w:color w:val="auto"/>
          <w:lang w:val="en-US" w:eastAsia="zh-CN"/>
        </w:rPr>
        <w:t>制</w:t>
      </w:r>
      <w:r>
        <w:rPr>
          <w:color w:val="auto"/>
        </w:rPr>
        <w:t>订《</w:t>
      </w:r>
      <w:r>
        <w:rPr>
          <w:rFonts w:hint="eastAsia"/>
          <w:color w:val="auto"/>
        </w:rPr>
        <w:t>液体科里奥利质量流量计型式评价大纲</w:t>
      </w:r>
      <w:r>
        <w:rPr>
          <w:color w:val="auto"/>
        </w:rPr>
        <w:t>》国家计量</w:t>
      </w:r>
      <w:r>
        <w:rPr>
          <w:rFonts w:hint="eastAsia"/>
          <w:color w:val="auto"/>
          <w:lang w:val="en-US" w:eastAsia="zh-CN"/>
        </w:rPr>
        <w:t>技术规范</w:t>
      </w:r>
      <w:r>
        <w:rPr>
          <w:color w:val="auto"/>
        </w:rPr>
        <w:t>，替代JJG1</w:t>
      </w:r>
      <w:r>
        <w:rPr>
          <w:rFonts w:hint="eastAsia"/>
          <w:color w:val="auto"/>
          <w:lang w:val="en-US" w:eastAsia="zh-CN"/>
        </w:rPr>
        <w:t>581</w:t>
      </w:r>
      <w:r>
        <w:rPr>
          <w:color w:val="auto"/>
        </w:rPr>
        <w:t>《</w:t>
      </w:r>
      <w:r>
        <w:rPr>
          <w:rFonts w:hint="eastAsia"/>
          <w:color w:val="auto"/>
        </w:rPr>
        <w:t>科里奥利质量流量计型式评价大纲</w:t>
      </w:r>
      <w:r>
        <w:rPr>
          <w:color w:val="auto"/>
        </w:rPr>
        <w:t>》中</w:t>
      </w:r>
      <w:r>
        <w:rPr>
          <w:rFonts w:hint="eastAsia"/>
          <w:color w:val="auto"/>
        </w:rPr>
        <w:t>液体科里奥利质量流量计对应</w:t>
      </w:r>
      <w:r>
        <w:rPr>
          <w:color w:val="auto"/>
        </w:rPr>
        <w:t>部分</w:t>
      </w:r>
      <w:r>
        <w:rPr>
          <w:rFonts w:hint="eastAsia"/>
          <w:color w:val="auto"/>
        </w:rPr>
        <w:t>的</w:t>
      </w:r>
      <w:r>
        <w:rPr>
          <w:color w:val="auto"/>
        </w:rPr>
        <w:t>内容。</w:t>
      </w:r>
      <w:bookmarkEnd w:id="0"/>
    </w:p>
    <w:p w14:paraId="7134EB08">
      <w:pPr>
        <w:pStyle w:val="9"/>
        <w:bidi w:val="0"/>
        <w:rPr>
          <w:rFonts w:hint="eastAsia"/>
          <w:color w:val="auto"/>
        </w:rPr>
      </w:pPr>
      <w:r>
        <w:rPr>
          <w:rFonts w:hint="eastAsia"/>
          <w:color w:val="auto"/>
        </w:rPr>
        <w:t>规程修订起草组由中国计量科学研究院、</w:t>
      </w:r>
      <w:r>
        <w:rPr>
          <w:rFonts w:hint="eastAsia"/>
          <w:color w:val="auto"/>
          <w:lang w:val="en-US" w:eastAsia="zh-CN"/>
        </w:rPr>
        <w:t>辽宁</w:t>
      </w:r>
      <w:r>
        <w:rPr>
          <w:rFonts w:hint="eastAsia"/>
          <w:color w:val="auto"/>
        </w:rPr>
        <w:t>省计量测试科学研究院等单位组成。</w:t>
      </w:r>
      <w:r>
        <w:rPr>
          <w:color w:val="auto"/>
        </w:rPr>
        <w:t>修订工作计划于202</w:t>
      </w:r>
      <w:r>
        <w:rPr>
          <w:rFonts w:hint="eastAsia"/>
          <w:color w:val="auto"/>
          <w:lang w:val="en-US" w:eastAsia="zh-CN"/>
        </w:rPr>
        <w:t>5</w:t>
      </w:r>
      <w:r>
        <w:rPr>
          <w:color w:val="auto"/>
        </w:rPr>
        <w:t>年年内完成。</w:t>
      </w:r>
    </w:p>
    <w:p w14:paraId="3264F018">
      <w:pPr>
        <w:pStyle w:val="9"/>
        <w:bidi w:val="0"/>
        <w:rPr>
          <w:color w:val="auto"/>
        </w:rPr>
      </w:pPr>
      <w:r>
        <w:rPr>
          <w:rFonts w:hint="eastAsia"/>
          <w:color w:val="auto"/>
        </w:rPr>
        <w:t>按照国家市场监督管理总局20</w:t>
      </w:r>
      <w:r>
        <w:rPr>
          <w:color w:val="auto"/>
        </w:rPr>
        <w:t>20</w:t>
      </w:r>
      <w:r>
        <w:rPr>
          <w:rFonts w:hint="eastAsia"/>
          <w:color w:val="auto"/>
        </w:rPr>
        <w:t>年第4</w:t>
      </w:r>
      <w:r>
        <w:rPr>
          <w:color w:val="auto"/>
        </w:rPr>
        <w:t>2</w:t>
      </w:r>
      <w:r>
        <w:rPr>
          <w:rFonts w:hint="eastAsia"/>
          <w:color w:val="auto"/>
        </w:rPr>
        <w:t>号文件《市场监管总局关于调整实施强制管理的计量器具目录的公告》要求和JJF 1051-2009《计量器具命名与分类编码分类编码》要求，本大纲适用于分类编码为12183500、口径范围DN</w:t>
      </w:r>
      <w:r>
        <w:rPr>
          <w:color w:val="auto"/>
        </w:rPr>
        <w:t>300</w:t>
      </w:r>
      <w:r>
        <w:rPr>
          <w:rFonts w:hint="eastAsia"/>
          <w:color w:val="auto"/>
        </w:rPr>
        <w:t>以下的液体</w:t>
      </w:r>
      <w:r>
        <w:rPr>
          <w:rFonts w:hint="eastAsia"/>
          <w:color w:val="auto"/>
          <w:lang w:val="en-US" w:eastAsia="zh-CN"/>
        </w:rPr>
        <w:t>科里奥利质量</w:t>
      </w:r>
      <w:r>
        <w:rPr>
          <w:rFonts w:hint="eastAsia"/>
          <w:color w:val="auto"/>
        </w:rPr>
        <w:t>流量计的型式评价试验。</w:t>
      </w:r>
    </w:p>
    <w:p w14:paraId="7DE2B675">
      <w:pPr>
        <w:numPr>
          <w:ilvl w:val="0"/>
          <w:numId w:val="2"/>
        </w:numPr>
        <w:spacing w:before="156" w:beforeLines="50" w:after="156" w:afterLines="50"/>
        <w:jc w:val="left"/>
        <w:rPr>
          <w:rFonts w:ascii="黑体" w:hAnsi="黑体" w:eastAsia="黑体" w:cs="黑体"/>
          <w:color w:val="auto"/>
          <w:kern w:val="0"/>
          <w:sz w:val="28"/>
          <w:szCs w:val="28"/>
          <w:lang w:bidi="ar"/>
        </w:rPr>
      </w:pPr>
      <w:r>
        <w:rPr>
          <w:rFonts w:hint="eastAsia" w:ascii="黑体" w:hAnsi="黑体" w:eastAsia="黑体" w:cs="黑体"/>
          <w:color w:val="auto"/>
          <w:kern w:val="0"/>
          <w:sz w:val="28"/>
          <w:szCs w:val="28"/>
          <w:lang w:bidi="ar"/>
        </w:rPr>
        <w:t>大纲修订的必要性</w:t>
      </w:r>
    </w:p>
    <w:p w14:paraId="67329FE5">
      <w:pPr>
        <w:pStyle w:val="9"/>
        <w:bidi w:val="0"/>
        <w:rPr>
          <w:rFonts w:hint="eastAsia"/>
          <w:color w:val="auto"/>
        </w:rPr>
      </w:pPr>
      <w:r>
        <w:rPr>
          <w:rFonts w:hint="eastAsia"/>
          <w:color w:val="auto"/>
          <w:lang w:val="en-US" w:eastAsia="zh-CN"/>
        </w:rPr>
        <w:t>科里奥利质量</w:t>
      </w:r>
      <w:r>
        <w:rPr>
          <w:rFonts w:hint="eastAsia"/>
          <w:color w:val="auto"/>
        </w:rPr>
        <w:t>流量计作为</w:t>
      </w:r>
      <w:r>
        <w:rPr>
          <w:rFonts w:hint="eastAsia"/>
          <w:color w:val="auto"/>
          <w:lang w:val="en-US" w:eastAsia="zh-CN"/>
        </w:rPr>
        <w:t>石油及其他液体产品</w:t>
      </w:r>
      <w:r>
        <w:rPr>
          <w:rFonts w:hint="eastAsia"/>
          <w:color w:val="auto"/>
        </w:rPr>
        <w:t>贸易结算的重要计量器具，其计量准确性直接影响到我国各类液体介质交易的精准性，关系到国计民生、安全生产等多个方面，是社会经济平稳运行的重要基础。</w:t>
      </w:r>
      <w:r>
        <w:rPr>
          <w:rFonts w:hint="eastAsia"/>
          <w:color w:val="auto"/>
          <w:lang w:eastAsia="zh-CN"/>
        </w:rPr>
        <w:t>国家市场监督管理总局</w:t>
      </w:r>
      <w:r>
        <w:rPr>
          <w:rFonts w:hint="eastAsia"/>
          <w:color w:val="auto"/>
        </w:rPr>
        <w:t>一直将以销售为目的的流量计列入《实施强制管理的计量器具目录》实施P+V强制管理，需获得型式批准后方能生产；用于贸易结算、环境监测的，经法定计量检定机构检定合格后方能使用。</w:t>
      </w:r>
      <w:r>
        <w:rPr>
          <w:rFonts w:hint="eastAsia"/>
          <w:color w:val="auto"/>
          <w:lang w:val="en-US" w:eastAsia="zh-CN"/>
        </w:rPr>
        <w:t>原大纲中样机的选择方式及数量偏多，对企业造成了一定的经济负担，部分试验项目不能达到预期的试验目的，</w:t>
      </w:r>
      <w:r>
        <w:rPr>
          <w:rFonts w:hint="eastAsia"/>
          <w:color w:val="auto"/>
        </w:rPr>
        <w:t>为了更好地满足国内科里奥利质量流量计</w:t>
      </w:r>
      <w:r>
        <w:rPr>
          <w:rFonts w:hint="eastAsia"/>
          <w:color w:val="auto"/>
          <w:lang w:val="en-US" w:eastAsia="zh-CN"/>
        </w:rPr>
        <w:t>型式批准的需求</w:t>
      </w:r>
      <w:r>
        <w:rPr>
          <w:rFonts w:hint="eastAsia"/>
          <w:color w:val="auto"/>
        </w:rPr>
        <w:t>，保证科里奥利质量流量计的</w:t>
      </w:r>
      <w:r>
        <w:rPr>
          <w:rFonts w:hint="eastAsia"/>
          <w:color w:val="auto"/>
          <w:lang w:val="en-US" w:eastAsia="zh-CN"/>
        </w:rPr>
        <w:t>产品质量</w:t>
      </w:r>
      <w:r>
        <w:rPr>
          <w:rFonts w:hint="eastAsia"/>
          <w:color w:val="auto"/>
        </w:rPr>
        <w:t>，并依据2024年5月1日起实施的《国家计量技术规范管理办法》规定的“积极推动采用国际法制计量组织（OIML）发布的国际计量规范及有关国际组织发布的国际技术文件”的要求，有必要</w:t>
      </w:r>
      <w:r>
        <w:rPr>
          <w:rFonts w:hint="eastAsia"/>
          <w:color w:val="auto"/>
          <w:lang w:eastAsia="zh-CN"/>
        </w:rPr>
        <w:t>对</w:t>
      </w:r>
      <w:r>
        <w:rPr>
          <w:rFonts w:hint="eastAsia"/>
          <w:color w:val="auto"/>
        </w:rPr>
        <w:t>液体科里奥利质量流量计</w:t>
      </w:r>
      <w:r>
        <w:rPr>
          <w:rFonts w:hint="eastAsia"/>
          <w:color w:val="auto"/>
          <w:lang w:val="en-US" w:eastAsia="zh-CN"/>
        </w:rPr>
        <w:t>型式评价大纲</w:t>
      </w:r>
      <w:r>
        <w:rPr>
          <w:rFonts w:hint="eastAsia"/>
          <w:color w:val="auto"/>
        </w:rPr>
        <w:t>进行完善，替代JJ</w:t>
      </w:r>
      <w:r>
        <w:rPr>
          <w:rFonts w:hint="eastAsia"/>
          <w:color w:val="auto"/>
          <w:lang w:val="en-US" w:eastAsia="zh-CN"/>
        </w:rPr>
        <w:t>F1591</w:t>
      </w:r>
      <w:r>
        <w:rPr>
          <w:rFonts w:hint="eastAsia"/>
          <w:color w:val="auto"/>
        </w:rPr>
        <w:t>《科里奥利质量流量计</w:t>
      </w:r>
      <w:r>
        <w:rPr>
          <w:rFonts w:hint="eastAsia"/>
          <w:color w:val="auto"/>
          <w:lang w:val="en-US" w:eastAsia="zh-CN"/>
        </w:rPr>
        <w:t>型式评价大纲</w:t>
      </w:r>
      <w:r>
        <w:rPr>
          <w:rFonts w:hint="eastAsia"/>
          <w:color w:val="auto"/>
        </w:rPr>
        <w:t>》中对应部分。</w:t>
      </w:r>
      <w:r>
        <w:rPr>
          <w:rFonts w:hint="eastAsia"/>
          <w:color w:val="auto"/>
          <w:lang w:val="en-US" w:eastAsia="zh-CN"/>
        </w:rPr>
        <w:t>相较于</w:t>
      </w:r>
      <w:r>
        <w:rPr>
          <w:rFonts w:hint="eastAsia"/>
          <w:color w:val="auto"/>
        </w:rPr>
        <w:t>20</w:t>
      </w:r>
      <w:r>
        <w:rPr>
          <w:rFonts w:hint="eastAsia"/>
          <w:color w:val="auto"/>
          <w:lang w:val="en-US" w:eastAsia="zh-CN"/>
        </w:rPr>
        <w:t>16</w:t>
      </w:r>
      <w:r>
        <w:rPr>
          <w:rFonts w:hint="eastAsia"/>
          <w:color w:val="auto"/>
        </w:rPr>
        <w:t>年发布并实施</w:t>
      </w:r>
      <w:r>
        <w:rPr>
          <w:rFonts w:hint="eastAsia"/>
          <w:color w:val="auto"/>
          <w:lang w:eastAsia="zh-CN"/>
        </w:rPr>
        <w:t>的</w:t>
      </w:r>
      <w:r>
        <w:rPr>
          <w:rFonts w:hint="eastAsia"/>
          <w:color w:val="auto"/>
        </w:rPr>
        <w:t>JJ</w:t>
      </w:r>
      <w:r>
        <w:rPr>
          <w:rFonts w:hint="eastAsia"/>
          <w:color w:val="auto"/>
          <w:lang w:val="en-US" w:eastAsia="zh-CN"/>
        </w:rPr>
        <w:t>F1591</w:t>
      </w:r>
      <w:r>
        <w:rPr>
          <w:rFonts w:hint="eastAsia"/>
          <w:color w:val="auto"/>
          <w:lang w:eastAsia="zh-CN"/>
        </w:rPr>
        <w:t>—</w:t>
      </w:r>
      <w:r>
        <w:rPr>
          <w:rFonts w:hint="eastAsia"/>
          <w:color w:val="auto"/>
        </w:rPr>
        <w:t>20</w:t>
      </w:r>
      <w:r>
        <w:rPr>
          <w:rFonts w:hint="eastAsia"/>
          <w:color w:val="auto"/>
          <w:lang w:val="en-US" w:eastAsia="zh-CN"/>
        </w:rPr>
        <w:t>16</w:t>
      </w:r>
      <w:r>
        <w:rPr>
          <w:rFonts w:hint="eastAsia"/>
          <w:color w:val="auto"/>
        </w:rPr>
        <w:t>《科里奥利质量流量计</w:t>
      </w:r>
      <w:r>
        <w:rPr>
          <w:rFonts w:hint="eastAsia"/>
          <w:color w:val="auto"/>
          <w:lang w:val="en-US" w:eastAsia="zh-CN"/>
        </w:rPr>
        <w:t>型式评价大纲</w:t>
      </w:r>
      <w:r>
        <w:rPr>
          <w:rFonts w:hint="eastAsia"/>
          <w:color w:val="auto"/>
        </w:rPr>
        <w:t>》，</w:t>
      </w:r>
      <w:r>
        <w:rPr>
          <w:rFonts w:hint="eastAsia"/>
          <w:color w:val="auto"/>
          <w:lang w:val="en-US" w:eastAsia="zh-CN"/>
        </w:rPr>
        <w:t>近年来国产</w:t>
      </w:r>
      <w:r>
        <w:rPr>
          <w:rFonts w:hint="eastAsia"/>
          <w:color w:val="auto"/>
        </w:rPr>
        <w:t>科里奥利质量流量计</w:t>
      </w:r>
      <w:r>
        <w:rPr>
          <w:rFonts w:hint="eastAsia"/>
          <w:color w:val="auto"/>
          <w:lang w:val="en-US" w:eastAsia="zh-CN"/>
        </w:rPr>
        <w:t>在</w:t>
      </w:r>
      <w:r>
        <w:rPr>
          <w:rFonts w:hint="eastAsia"/>
          <w:color w:val="auto"/>
        </w:rPr>
        <w:t>准确度、介质适用范围、使用寿命，稳定性</w:t>
      </w:r>
      <w:r>
        <w:rPr>
          <w:rFonts w:hint="eastAsia"/>
          <w:color w:val="auto"/>
          <w:lang w:val="en-US" w:eastAsia="zh-CN"/>
        </w:rPr>
        <w:t>等方面取得了长足的进步</w:t>
      </w:r>
      <w:r>
        <w:rPr>
          <w:rFonts w:hint="eastAsia"/>
          <w:color w:val="auto"/>
        </w:rPr>
        <w:t>。</w:t>
      </w:r>
      <w:r>
        <w:rPr>
          <w:rFonts w:hint="eastAsia"/>
          <w:color w:val="auto"/>
          <w:lang w:val="en-US" w:eastAsia="zh-CN"/>
        </w:rPr>
        <w:t>检测质量流量计的</w:t>
      </w:r>
      <w:r>
        <w:rPr>
          <w:rFonts w:hint="eastAsia"/>
          <w:color w:val="auto"/>
        </w:rPr>
        <w:t>液体流量标准装置及相关技术取得了较大的发展，对于流量标准装置不确定度评定的认识水平、评定方法也有了显著提</w:t>
      </w:r>
      <w:r>
        <w:rPr>
          <w:rFonts w:hint="eastAsia"/>
          <w:color w:val="auto"/>
          <w:lang w:eastAsia="zh-CN"/>
        </w:rPr>
        <w:t>高。</w:t>
      </w:r>
      <w:r>
        <w:rPr>
          <w:rFonts w:hint="eastAsia"/>
          <w:color w:val="auto"/>
        </w:rPr>
        <w:t>本次制定《液体科里奥利质量流量计</w:t>
      </w:r>
      <w:r>
        <w:rPr>
          <w:rFonts w:hint="eastAsia"/>
          <w:color w:val="auto"/>
          <w:lang w:val="en-US" w:eastAsia="zh-CN"/>
        </w:rPr>
        <w:t>型式评价大纲</w:t>
      </w:r>
      <w:r>
        <w:rPr>
          <w:rFonts w:hint="eastAsia"/>
          <w:color w:val="auto"/>
        </w:rPr>
        <w:t>》将替代测量介质为液体的科里奥利质量流量计部分，参考GB/T 20728-2021《封闭管道中流体流量的测量 科里奥利流量计的选型、安装和使用指南》</w:t>
      </w:r>
      <w:r>
        <w:rPr>
          <w:rFonts w:hint="eastAsia"/>
          <w:color w:val="auto"/>
          <w:lang w:eastAsia="zh-CN"/>
        </w:rPr>
        <w:t>、</w:t>
      </w:r>
      <w:r>
        <w:rPr>
          <w:rFonts w:hint="eastAsia"/>
          <w:color w:val="auto"/>
        </w:rPr>
        <w:t>《OIML R</w:t>
      </w:r>
      <w:r>
        <w:rPr>
          <w:rFonts w:hint="eastAsia"/>
          <w:color w:val="auto"/>
          <w:lang w:val="en-US" w:eastAsia="zh-CN"/>
        </w:rPr>
        <w:t>117-2019 非水液体的动态测量系统</w:t>
      </w:r>
      <w:r>
        <w:rPr>
          <w:rFonts w:hint="eastAsia"/>
          <w:color w:val="auto"/>
        </w:rPr>
        <w:t>》</w:t>
      </w:r>
      <w:r>
        <w:rPr>
          <w:rFonts w:hint="eastAsia"/>
          <w:color w:val="auto"/>
          <w:lang w:val="en-US" w:eastAsia="zh-CN"/>
        </w:rPr>
        <w:t>进行制定。</w:t>
      </w:r>
    </w:p>
    <w:p w14:paraId="64145157">
      <w:pPr>
        <w:numPr>
          <w:ilvl w:val="0"/>
          <w:numId w:val="2"/>
        </w:numPr>
        <w:spacing w:before="156" w:beforeLines="50" w:after="156" w:afterLines="50"/>
        <w:jc w:val="left"/>
        <w:rPr>
          <w:rFonts w:ascii="黑体" w:hAnsi="黑体" w:eastAsia="黑体" w:cs="黑体"/>
          <w:color w:val="auto"/>
          <w:kern w:val="0"/>
          <w:sz w:val="28"/>
          <w:szCs w:val="28"/>
          <w:lang w:bidi="ar"/>
        </w:rPr>
      </w:pPr>
      <w:r>
        <w:rPr>
          <w:rFonts w:hint="eastAsia" w:ascii="黑体" w:hAnsi="黑体" w:eastAsia="黑体" w:cs="黑体"/>
          <w:color w:val="auto"/>
          <w:kern w:val="0"/>
          <w:sz w:val="28"/>
          <w:szCs w:val="28"/>
          <w:lang w:val="en-US" w:eastAsia="zh-CN" w:bidi="ar"/>
        </w:rPr>
        <w:t>大纲</w:t>
      </w:r>
      <w:r>
        <w:rPr>
          <w:rFonts w:hint="eastAsia" w:ascii="黑体" w:hAnsi="黑体" w:eastAsia="黑体" w:cs="黑体"/>
          <w:color w:val="auto"/>
          <w:kern w:val="0"/>
          <w:sz w:val="28"/>
          <w:szCs w:val="28"/>
          <w:lang w:bidi="ar"/>
        </w:rPr>
        <w:t>修订的技术依据及主要原则</w:t>
      </w:r>
    </w:p>
    <w:p w14:paraId="7694F905">
      <w:pPr>
        <w:pStyle w:val="10"/>
        <w:bidi w:val="0"/>
        <w:rPr>
          <w:rFonts w:hint="eastAsia"/>
          <w:color w:val="auto"/>
          <w:lang w:val="en-US" w:eastAsia="zh-CN"/>
        </w:rPr>
      </w:pPr>
      <w:r>
        <w:rPr>
          <w:rFonts w:hint="eastAsia"/>
          <w:color w:val="auto"/>
          <w:lang w:val="en-US" w:eastAsia="zh-CN"/>
        </w:rPr>
        <w:t>1、大纲修订的主要技术依据</w:t>
      </w:r>
    </w:p>
    <w:p w14:paraId="1A6FAFC2">
      <w:pPr>
        <w:pStyle w:val="9"/>
        <w:bidi w:val="0"/>
        <w:rPr>
          <w:rFonts w:hint="eastAsia"/>
          <w:color w:val="auto"/>
        </w:rPr>
      </w:pPr>
      <w:r>
        <w:rPr>
          <w:rFonts w:hint="eastAsia"/>
          <w:color w:val="auto"/>
        </w:rPr>
        <w:t>JJF 1051 计量器具命名与分类编码</w:t>
      </w:r>
    </w:p>
    <w:p w14:paraId="10EC6985">
      <w:pPr>
        <w:pStyle w:val="9"/>
        <w:bidi w:val="0"/>
        <w:rPr>
          <w:rFonts w:hint="eastAsia"/>
          <w:color w:val="auto"/>
        </w:rPr>
      </w:pPr>
      <w:r>
        <w:rPr>
          <w:rFonts w:hint="eastAsia"/>
          <w:color w:val="auto"/>
        </w:rPr>
        <w:t>JJF 1182  计量器具软件测评指南</w:t>
      </w:r>
    </w:p>
    <w:p w14:paraId="7965ECE3">
      <w:pPr>
        <w:pStyle w:val="9"/>
        <w:bidi w:val="0"/>
        <w:rPr>
          <w:rFonts w:hint="eastAsia"/>
          <w:color w:val="auto"/>
        </w:rPr>
      </w:pPr>
      <w:r>
        <w:rPr>
          <w:rFonts w:hint="eastAsia"/>
          <w:color w:val="auto"/>
        </w:rPr>
        <w:t>GB/T 2423.1 电工电子产品环境试验 第2部分</w:t>
      </w:r>
      <w:r>
        <w:rPr>
          <w:rFonts w:hint="eastAsia"/>
          <w:color w:val="auto"/>
          <w:lang w:eastAsia="zh-CN"/>
        </w:rPr>
        <w:t>：</w:t>
      </w:r>
      <w:r>
        <w:rPr>
          <w:rFonts w:hint="eastAsia"/>
          <w:color w:val="auto"/>
        </w:rPr>
        <w:t xml:space="preserve"> 试验方法 试验A: 低温</w:t>
      </w:r>
    </w:p>
    <w:p w14:paraId="3D7F2BAE">
      <w:pPr>
        <w:pStyle w:val="9"/>
        <w:bidi w:val="0"/>
        <w:rPr>
          <w:rFonts w:hint="eastAsia"/>
          <w:color w:val="auto"/>
        </w:rPr>
      </w:pPr>
      <w:r>
        <w:rPr>
          <w:rFonts w:hint="eastAsia"/>
          <w:color w:val="auto"/>
        </w:rPr>
        <w:t>GB/T 2423.2 电工电子产品环境试验 第2部分</w:t>
      </w:r>
      <w:r>
        <w:rPr>
          <w:rFonts w:hint="eastAsia"/>
          <w:color w:val="auto"/>
          <w:lang w:eastAsia="zh-CN"/>
        </w:rPr>
        <w:t>：</w:t>
      </w:r>
      <w:r>
        <w:rPr>
          <w:rFonts w:hint="eastAsia"/>
          <w:color w:val="auto"/>
        </w:rPr>
        <w:t xml:space="preserve"> 试验方法 试验B: 高温</w:t>
      </w:r>
    </w:p>
    <w:p w14:paraId="55641AE6">
      <w:pPr>
        <w:pStyle w:val="9"/>
        <w:bidi w:val="0"/>
        <w:rPr>
          <w:rFonts w:hint="eastAsia"/>
          <w:color w:val="auto"/>
        </w:rPr>
      </w:pPr>
      <w:r>
        <w:rPr>
          <w:rFonts w:hint="eastAsia"/>
          <w:color w:val="auto"/>
        </w:rPr>
        <w:t>GB/T 2423.3 环境试验 第2部分：试验方法 试验Cab</w:t>
      </w:r>
      <w:r>
        <w:rPr>
          <w:rFonts w:hint="eastAsia"/>
          <w:color w:val="auto"/>
          <w:lang w:eastAsia="zh-CN"/>
        </w:rPr>
        <w:t>：</w:t>
      </w:r>
      <w:r>
        <w:rPr>
          <w:rFonts w:hint="eastAsia"/>
          <w:color w:val="auto"/>
        </w:rPr>
        <w:t xml:space="preserve"> 恒定湿热试验</w:t>
      </w:r>
    </w:p>
    <w:p w14:paraId="5F2AB6FE">
      <w:pPr>
        <w:pStyle w:val="9"/>
        <w:bidi w:val="0"/>
        <w:rPr>
          <w:rFonts w:hint="eastAsia"/>
          <w:color w:val="auto"/>
        </w:rPr>
      </w:pPr>
      <w:r>
        <w:rPr>
          <w:rFonts w:hint="eastAsia"/>
          <w:color w:val="auto"/>
        </w:rPr>
        <w:t>GB/T 17626.2 电磁兼容 试验和测量技术 静电放电抗扰度试验</w:t>
      </w:r>
    </w:p>
    <w:p w14:paraId="3D475BF6">
      <w:pPr>
        <w:pStyle w:val="9"/>
        <w:bidi w:val="0"/>
        <w:rPr>
          <w:rFonts w:hint="eastAsia"/>
          <w:color w:val="auto"/>
        </w:rPr>
      </w:pPr>
      <w:r>
        <w:rPr>
          <w:rFonts w:hint="eastAsia"/>
          <w:color w:val="auto"/>
        </w:rPr>
        <w:t>GB/T 17626.4 电磁兼容 试验和测量技术 电快速瞬变脉冲群抗扰度试验</w:t>
      </w:r>
    </w:p>
    <w:p w14:paraId="05BC94DB">
      <w:pPr>
        <w:pStyle w:val="9"/>
        <w:bidi w:val="0"/>
        <w:rPr>
          <w:rFonts w:hint="eastAsia"/>
          <w:color w:val="auto"/>
        </w:rPr>
      </w:pPr>
      <w:r>
        <w:rPr>
          <w:rFonts w:hint="eastAsia"/>
          <w:color w:val="auto"/>
        </w:rPr>
        <w:t>GB/T 17626.5 电磁兼容 试验和测量技术 浪涌（冲击）抗扰度试验</w:t>
      </w:r>
    </w:p>
    <w:p w14:paraId="39D04D99">
      <w:pPr>
        <w:pStyle w:val="9"/>
        <w:bidi w:val="0"/>
        <w:rPr>
          <w:rFonts w:hint="eastAsia"/>
          <w:color w:val="auto"/>
        </w:rPr>
      </w:pPr>
      <w:r>
        <w:rPr>
          <w:rFonts w:hint="eastAsia"/>
          <w:color w:val="auto"/>
        </w:rPr>
        <w:t>GB/T 17626.11电磁兼容 试验和测量技术 第11部分：对每相输入电流小于或等于16 A设备的电压暂降、短时中断和电压变化抗扰度试验GB/T 20728 封闭管道中流体流量的测量 科里奥利流量计的选型、安装和使用指南</w:t>
      </w:r>
    </w:p>
    <w:p w14:paraId="7443792F">
      <w:pPr>
        <w:pStyle w:val="9"/>
        <w:bidi w:val="0"/>
        <w:rPr>
          <w:color w:val="auto"/>
        </w:rPr>
      </w:pPr>
      <w:r>
        <w:rPr>
          <w:rFonts w:hint="eastAsia"/>
          <w:color w:val="auto"/>
        </w:rPr>
        <w:t>GB/T 31130-2014 科里奥利质量流量计</w:t>
      </w:r>
    </w:p>
    <w:p w14:paraId="5188F36F">
      <w:pPr>
        <w:pStyle w:val="10"/>
        <w:bidi w:val="0"/>
        <w:rPr>
          <w:rFonts w:hint="eastAsia"/>
          <w:color w:val="auto"/>
          <w:lang w:val="en-US" w:eastAsia="zh-CN"/>
        </w:rPr>
      </w:pPr>
      <w:r>
        <w:rPr>
          <w:rFonts w:hint="eastAsia"/>
          <w:color w:val="auto"/>
          <w:lang w:val="en-US" w:eastAsia="zh-CN"/>
        </w:rPr>
        <w:t>2、大纲修订的主要原则</w:t>
      </w:r>
    </w:p>
    <w:p w14:paraId="496B5156">
      <w:pPr>
        <w:pStyle w:val="9"/>
        <w:bidi w:val="0"/>
        <w:rPr>
          <w:color w:val="auto"/>
        </w:rPr>
      </w:pPr>
      <w:r>
        <w:rPr>
          <w:rFonts w:hint="eastAsia"/>
          <w:color w:val="auto"/>
        </w:rPr>
        <w:t>本大纲参考了《GB/T 20728</w:t>
      </w:r>
      <w:r>
        <w:rPr>
          <w:rFonts w:hint="eastAsia"/>
          <w:color w:val="auto"/>
          <w:lang w:val="en-US" w:eastAsia="zh-CN"/>
        </w:rPr>
        <w:t>-2021</w:t>
      </w:r>
      <w:r>
        <w:rPr>
          <w:rFonts w:hint="eastAsia"/>
          <w:color w:val="auto"/>
        </w:rPr>
        <w:t>》、《OIML R</w:t>
      </w:r>
      <w:r>
        <w:rPr>
          <w:rFonts w:hint="eastAsia"/>
          <w:color w:val="auto"/>
          <w:lang w:val="en-US" w:eastAsia="zh-CN"/>
        </w:rPr>
        <w:t>117-2019 非水液体的动态测量系统</w:t>
      </w:r>
      <w:r>
        <w:rPr>
          <w:rFonts w:hint="eastAsia"/>
          <w:color w:val="auto"/>
        </w:rPr>
        <w:t>》、《GB/T 31130-2014》，并综合我国液体</w:t>
      </w:r>
      <w:r>
        <w:rPr>
          <w:rFonts w:hint="eastAsia"/>
          <w:color w:val="auto"/>
          <w:lang w:val="en-US" w:eastAsia="zh-CN"/>
        </w:rPr>
        <w:t>科里奥利质量</w:t>
      </w:r>
      <w:r>
        <w:rPr>
          <w:rFonts w:hint="eastAsia"/>
          <w:color w:val="auto"/>
        </w:rPr>
        <w:t>流量计的现状进行制订的。</w:t>
      </w:r>
    </w:p>
    <w:p w14:paraId="6782FD6A">
      <w:pPr>
        <w:pStyle w:val="9"/>
        <w:bidi w:val="0"/>
        <w:rPr>
          <w:color w:val="auto"/>
        </w:rPr>
      </w:pPr>
      <w:r>
        <w:rPr>
          <w:rFonts w:hint="eastAsia"/>
          <w:color w:val="auto"/>
        </w:rPr>
        <w:t>本大纲按照JJF 1015-2014《计量器具型式评价通用规范》、JJF 1016-2014《计量器具型式评价大纲编写导则》要求编写。适用于液体</w:t>
      </w:r>
      <w:r>
        <w:rPr>
          <w:rFonts w:hint="eastAsia"/>
          <w:color w:val="auto"/>
          <w:lang w:val="en-US" w:eastAsia="zh-CN"/>
        </w:rPr>
        <w:t>科里奥利质量</w:t>
      </w:r>
      <w:r>
        <w:rPr>
          <w:rFonts w:hint="eastAsia"/>
          <w:color w:val="auto"/>
        </w:rPr>
        <w:t>流量计的型式评价试验。</w:t>
      </w:r>
    </w:p>
    <w:p w14:paraId="7A09B7A1">
      <w:pPr>
        <w:pStyle w:val="9"/>
        <w:bidi w:val="0"/>
        <w:rPr>
          <w:color w:val="auto"/>
        </w:rPr>
      </w:pPr>
      <w:r>
        <w:rPr>
          <w:rFonts w:hint="eastAsia"/>
          <w:color w:val="auto"/>
        </w:rPr>
        <w:t>在编制过程中起草小组掌握以下几个原则：</w:t>
      </w:r>
    </w:p>
    <w:p w14:paraId="73E13E36">
      <w:pPr>
        <w:pStyle w:val="9"/>
        <w:bidi w:val="0"/>
        <w:rPr>
          <w:color w:val="auto"/>
        </w:rPr>
      </w:pPr>
      <w:r>
        <w:rPr>
          <w:rFonts w:hint="eastAsia"/>
          <w:color w:val="auto"/>
        </w:rPr>
        <w:t>(1)应结合国内现状，按实际</w:t>
      </w:r>
      <w:r>
        <w:rPr>
          <w:rFonts w:hint="eastAsia"/>
          <w:color w:val="auto"/>
          <w:lang w:val="en-US" w:eastAsia="zh-CN"/>
        </w:rPr>
        <w:t>试验</w:t>
      </w:r>
      <w:r>
        <w:rPr>
          <w:rFonts w:hint="eastAsia"/>
          <w:color w:val="auto"/>
        </w:rPr>
        <w:t>来决定指标；</w:t>
      </w:r>
    </w:p>
    <w:p w14:paraId="2424FDCC">
      <w:pPr>
        <w:pStyle w:val="9"/>
        <w:bidi w:val="0"/>
        <w:rPr>
          <w:color w:val="auto"/>
        </w:rPr>
      </w:pPr>
      <w:r>
        <w:rPr>
          <w:rFonts w:hint="eastAsia"/>
          <w:color w:val="auto"/>
        </w:rPr>
        <w:t>(2)要体现目前企业生产技术的共性；</w:t>
      </w:r>
    </w:p>
    <w:p w14:paraId="57E5FC83">
      <w:pPr>
        <w:pStyle w:val="9"/>
        <w:bidi w:val="0"/>
        <w:rPr>
          <w:color w:val="auto"/>
        </w:rPr>
      </w:pPr>
      <w:r>
        <w:rPr>
          <w:rFonts w:hint="eastAsia"/>
          <w:color w:val="auto"/>
        </w:rPr>
        <w:t>(3)在型式评价试验实施时的可操作性、科学性和可行性。</w:t>
      </w:r>
    </w:p>
    <w:p w14:paraId="0D5D3E48">
      <w:pPr>
        <w:pStyle w:val="9"/>
        <w:bidi w:val="0"/>
        <w:rPr>
          <w:color w:val="auto"/>
        </w:rPr>
      </w:pPr>
      <w:r>
        <w:rPr>
          <w:rFonts w:hint="eastAsia"/>
          <w:color w:val="auto"/>
        </w:rPr>
        <w:t>液体</w:t>
      </w:r>
      <w:r>
        <w:rPr>
          <w:rFonts w:hint="eastAsia"/>
          <w:color w:val="auto"/>
          <w:lang w:val="en-US" w:eastAsia="zh-CN"/>
        </w:rPr>
        <w:t>科里奥利质量</w:t>
      </w:r>
      <w:r>
        <w:rPr>
          <w:rFonts w:hint="eastAsia"/>
          <w:color w:val="auto"/>
        </w:rPr>
        <w:t>流量计的型式评价大纲需从国内实际情况出发，使型式评价工作能够顺利进行。液体</w:t>
      </w:r>
      <w:r>
        <w:rPr>
          <w:rFonts w:hint="eastAsia"/>
          <w:color w:val="auto"/>
          <w:lang w:val="en-US" w:eastAsia="zh-CN"/>
        </w:rPr>
        <w:t>科里奥利</w:t>
      </w:r>
      <w:r>
        <w:rPr>
          <w:rFonts w:hint="eastAsia"/>
          <w:color w:val="auto"/>
        </w:rPr>
        <w:t>流量计的型式评价大纲既要体现严肃性和公正性，又要符合中国目前的实际情况，要求具有高度可操作性、可执行性和实用性，</w:t>
      </w:r>
      <w:bookmarkStart w:id="1" w:name="_Hlk81236918"/>
      <w:r>
        <w:rPr>
          <w:rFonts w:hint="eastAsia"/>
          <w:color w:val="auto"/>
        </w:rPr>
        <w:t>流量计型式评价实验室</w:t>
      </w:r>
      <w:bookmarkEnd w:id="1"/>
      <w:r>
        <w:rPr>
          <w:rFonts w:hint="eastAsia"/>
          <w:color w:val="auto"/>
        </w:rPr>
        <w:t>在原有的型式评价试验装置的基础上不需要投入很大的资金改造或者升级来满足新大纲在试验装置方面要求。</w:t>
      </w:r>
    </w:p>
    <w:p w14:paraId="13F5E5AA">
      <w:pPr>
        <w:pStyle w:val="9"/>
        <w:bidi w:val="0"/>
        <w:rPr>
          <w:color w:val="auto"/>
        </w:rPr>
      </w:pPr>
      <w:r>
        <w:rPr>
          <w:rFonts w:hint="eastAsia"/>
          <w:color w:val="auto"/>
        </w:rPr>
        <w:t>与现行国际国内标准和文件保持一致，结合生产、使用及标准装置现状确定技术指标和</w:t>
      </w:r>
      <w:r>
        <w:rPr>
          <w:rFonts w:hint="eastAsia"/>
          <w:color w:val="auto"/>
          <w:lang w:val="en-US" w:eastAsia="zh-CN"/>
        </w:rPr>
        <w:t>试验</w:t>
      </w:r>
      <w:r>
        <w:rPr>
          <w:rFonts w:hint="eastAsia"/>
          <w:color w:val="auto"/>
        </w:rPr>
        <w:t>方法，使之科学、合理、可行。</w:t>
      </w:r>
    </w:p>
    <w:p w14:paraId="47C7F8BC">
      <w:pPr>
        <w:numPr>
          <w:ilvl w:val="0"/>
          <w:numId w:val="2"/>
        </w:numPr>
        <w:spacing w:before="156" w:beforeLines="50" w:after="156" w:afterLines="50"/>
        <w:jc w:val="left"/>
        <w:rPr>
          <w:rFonts w:ascii="黑体" w:hAnsi="黑体" w:eastAsia="黑体" w:cs="黑体"/>
          <w:color w:val="auto"/>
          <w:kern w:val="0"/>
          <w:sz w:val="28"/>
          <w:szCs w:val="28"/>
          <w:lang w:bidi="ar"/>
        </w:rPr>
      </w:pPr>
      <w:r>
        <w:rPr>
          <w:rFonts w:hint="eastAsia" w:ascii="黑体" w:hAnsi="黑体" w:eastAsia="黑体" w:cs="黑体"/>
          <w:color w:val="auto"/>
          <w:kern w:val="0"/>
          <w:sz w:val="28"/>
          <w:szCs w:val="28"/>
          <w:lang w:val="en-US" w:eastAsia="zh-CN" w:bidi="ar"/>
        </w:rPr>
        <w:t>大纲</w:t>
      </w:r>
      <w:r>
        <w:rPr>
          <w:rFonts w:hint="eastAsia" w:ascii="黑体" w:hAnsi="黑体" w:eastAsia="黑体" w:cs="黑体"/>
          <w:color w:val="auto"/>
          <w:kern w:val="0"/>
          <w:sz w:val="28"/>
          <w:szCs w:val="28"/>
          <w:lang w:bidi="ar"/>
        </w:rPr>
        <w:t>修订过程</w:t>
      </w:r>
    </w:p>
    <w:p w14:paraId="6EB08A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Times New Roman"/>
          <w:color w:val="auto"/>
          <w:sz w:val="24"/>
        </w:rPr>
      </w:pPr>
      <w:r>
        <w:rPr>
          <w:rFonts w:hint="eastAsia" w:ascii="黑体" w:hAnsi="黑体" w:eastAsia="黑体" w:cs="Times New Roman"/>
          <w:color w:val="auto"/>
          <w:sz w:val="24"/>
        </w:rPr>
        <w:t xml:space="preserve">第一阶段：起草工作和试验验证阶段 </w:t>
      </w:r>
    </w:p>
    <w:p w14:paraId="5B9CD1FB">
      <w:pPr>
        <w:pStyle w:val="9"/>
        <w:bidi w:val="0"/>
        <w:rPr>
          <w:rFonts w:hint="default"/>
          <w:color w:val="auto"/>
          <w:lang w:val="en-US" w:eastAsia="zh-CN"/>
        </w:rPr>
      </w:pPr>
      <w:r>
        <w:rPr>
          <w:rFonts w:hint="eastAsia"/>
          <w:color w:val="auto"/>
          <w:lang w:val="en-US" w:eastAsia="zh-CN"/>
        </w:rPr>
        <w:t>1.2024年12月起草组完成了项目申报材料及大纲草稿；</w:t>
      </w:r>
    </w:p>
    <w:p w14:paraId="23EA599D">
      <w:pPr>
        <w:pStyle w:val="9"/>
        <w:bidi w:val="0"/>
        <w:rPr>
          <w:color w:val="auto"/>
        </w:rPr>
      </w:pPr>
      <w:r>
        <w:rPr>
          <w:rFonts w:hint="eastAsia"/>
          <w:color w:val="auto"/>
          <w:lang w:val="en-US" w:eastAsia="zh-CN"/>
        </w:rPr>
        <w:t>2.</w:t>
      </w:r>
      <w:r>
        <w:rPr>
          <w:rFonts w:hint="eastAsia"/>
          <w:color w:val="auto"/>
        </w:rPr>
        <w:t>20</w:t>
      </w:r>
      <w:r>
        <w:rPr>
          <w:color w:val="auto"/>
        </w:rPr>
        <w:t>2</w:t>
      </w:r>
      <w:r>
        <w:rPr>
          <w:rFonts w:hint="eastAsia"/>
          <w:color w:val="auto"/>
          <w:lang w:val="en-US" w:eastAsia="zh-CN"/>
        </w:rPr>
        <w:t>5</w:t>
      </w:r>
      <w:r>
        <w:rPr>
          <w:rFonts w:hint="eastAsia"/>
          <w:color w:val="auto"/>
        </w:rPr>
        <w:t>年</w:t>
      </w:r>
      <w:r>
        <w:rPr>
          <w:rFonts w:hint="eastAsia"/>
          <w:color w:val="auto"/>
          <w:lang w:val="en-US" w:eastAsia="zh-CN"/>
        </w:rPr>
        <w:t>初，</w:t>
      </w:r>
      <w:r>
        <w:rPr>
          <w:rFonts w:hint="eastAsia"/>
          <w:color w:val="auto"/>
        </w:rPr>
        <w:t>在</w:t>
      </w:r>
      <w:r>
        <w:rPr>
          <w:color w:val="auto"/>
        </w:rPr>
        <w:t>经过前期调研与讨论后，</w:t>
      </w:r>
      <w:r>
        <w:rPr>
          <w:rFonts w:hint="eastAsia"/>
          <w:color w:val="auto"/>
        </w:rPr>
        <w:t>本</w:t>
      </w:r>
      <w:r>
        <w:rPr>
          <w:rFonts w:hint="eastAsia"/>
          <w:color w:val="auto"/>
          <w:lang w:val="en-US" w:eastAsia="zh-CN"/>
        </w:rPr>
        <w:t>大纲</w:t>
      </w:r>
      <w:r>
        <w:rPr>
          <w:rFonts w:hint="eastAsia"/>
          <w:color w:val="auto"/>
        </w:rPr>
        <w:t>承担起草单位中国计量科学研究院</w:t>
      </w:r>
      <w:r>
        <w:rPr>
          <w:color w:val="auto"/>
        </w:rPr>
        <w:t>成立了规程起草组</w:t>
      </w:r>
      <w:r>
        <w:rPr>
          <w:rFonts w:hint="eastAsia"/>
          <w:color w:val="auto"/>
        </w:rPr>
        <w:t>；</w:t>
      </w:r>
    </w:p>
    <w:p w14:paraId="57ACEF50">
      <w:pPr>
        <w:pStyle w:val="9"/>
        <w:bidi w:val="0"/>
        <w:rPr>
          <w:color w:val="auto"/>
        </w:rPr>
      </w:pPr>
      <w:r>
        <w:rPr>
          <w:rFonts w:hint="eastAsia"/>
          <w:color w:val="auto"/>
          <w:lang w:val="en-US" w:eastAsia="zh-CN"/>
        </w:rPr>
        <w:t>3.</w:t>
      </w:r>
      <w:r>
        <w:rPr>
          <w:rFonts w:hint="eastAsia"/>
          <w:color w:val="auto"/>
        </w:rPr>
        <w:t>2</w:t>
      </w:r>
      <w:r>
        <w:rPr>
          <w:color w:val="auto"/>
        </w:rPr>
        <w:t>02</w:t>
      </w:r>
      <w:r>
        <w:rPr>
          <w:rFonts w:hint="eastAsia"/>
          <w:color w:val="auto"/>
          <w:lang w:val="en-US" w:eastAsia="zh-CN"/>
        </w:rPr>
        <w:t>5</w:t>
      </w:r>
      <w:r>
        <w:rPr>
          <w:color w:val="auto"/>
        </w:rPr>
        <w:t>年</w:t>
      </w:r>
      <w:r>
        <w:rPr>
          <w:rFonts w:hint="eastAsia"/>
          <w:color w:val="auto"/>
          <w:lang w:val="en-US" w:eastAsia="zh-CN"/>
        </w:rPr>
        <w:t>1</w:t>
      </w:r>
      <w:r>
        <w:rPr>
          <w:color w:val="auto"/>
        </w:rPr>
        <w:t>月</w:t>
      </w:r>
      <w:r>
        <w:rPr>
          <w:rFonts w:hint="eastAsia"/>
          <w:color w:val="auto"/>
          <w:lang w:val="en-US" w:eastAsia="zh-CN"/>
        </w:rPr>
        <w:t>23</w:t>
      </w:r>
      <w:r>
        <w:rPr>
          <w:color w:val="auto"/>
        </w:rPr>
        <w:t>日</w:t>
      </w:r>
      <w:r>
        <w:rPr>
          <w:rFonts w:hint="eastAsia"/>
          <w:color w:val="auto"/>
        </w:rPr>
        <w:t>召开了起草组首次线</w:t>
      </w:r>
      <w:r>
        <w:rPr>
          <w:rFonts w:hint="eastAsia"/>
          <w:color w:val="auto"/>
          <w:lang w:val="en-US" w:eastAsia="zh-CN"/>
        </w:rPr>
        <w:t>上</w:t>
      </w:r>
      <w:r>
        <w:rPr>
          <w:rFonts w:hint="eastAsia"/>
          <w:color w:val="auto"/>
        </w:rPr>
        <w:t>会议，初步讨论了</w:t>
      </w:r>
      <w:r>
        <w:rPr>
          <w:rFonts w:hint="eastAsia"/>
          <w:color w:val="auto"/>
          <w:lang w:val="en-US" w:eastAsia="zh-CN"/>
        </w:rPr>
        <w:t>大纲</w:t>
      </w:r>
      <w:r>
        <w:rPr>
          <w:rFonts w:hint="eastAsia"/>
          <w:color w:val="auto"/>
        </w:rPr>
        <w:t>修订的思路及主体框架；</w:t>
      </w:r>
      <w:r>
        <w:rPr>
          <w:rFonts w:hint="eastAsia"/>
          <w:color w:val="auto"/>
          <w:lang w:val="en-US" w:eastAsia="zh-CN"/>
        </w:rPr>
        <w:t>对新大纲的适用范围、流量计准确度等级、重复性指标、试验流量范围等修订要点进行了讨论</w:t>
      </w:r>
      <w:r>
        <w:rPr>
          <w:rFonts w:hint="eastAsia"/>
          <w:color w:val="auto"/>
        </w:rPr>
        <w:t>；</w:t>
      </w:r>
    </w:p>
    <w:p w14:paraId="3EE91472">
      <w:pPr>
        <w:pStyle w:val="9"/>
        <w:bidi w:val="0"/>
        <w:rPr>
          <w:color w:val="auto"/>
        </w:rPr>
      </w:pPr>
      <w:r>
        <w:rPr>
          <w:rFonts w:hint="eastAsia"/>
          <w:color w:val="auto"/>
          <w:lang w:val="en-US" w:eastAsia="zh-CN"/>
        </w:rPr>
        <w:t>4.</w:t>
      </w:r>
      <w:r>
        <w:rPr>
          <w:rFonts w:hint="eastAsia"/>
          <w:color w:val="auto"/>
        </w:rPr>
        <w:t>2</w:t>
      </w:r>
      <w:r>
        <w:rPr>
          <w:color w:val="auto"/>
        </w:rPr>
        <w:t>02</w:t>
      </w:r>
      <w:r>
        <w:rPr>
          <w:rFonts w:hint="eastAsia"/>
          <w:color w:val="auto"/>
          <w:lang w:val="en-US" w:eastAsia="zh-CN"/>
        </w:rPr>
        <w:t>5</w:t>
      </w:r>
      <w:r>
        <w:rPr>
          <w:color w:val="auto"/>
        </w:rPr>
        <w:t>年</w:t>
      </w:r>
      <w:r>
        <w:rPr>
          <w:rFonts w:hint="eastAsia"/>
          <w:color w:val="auto"/>
          <w:lang w:val="en-US" w:eastAsia="zh-CN"/>
        </w:rPr>
        <w:t>4</w:t>
      </w:r>
      <w:r>
        <w:rPr>
          <w:color w:val="auto"/>
        </w:rPr>
        <w:t>月</w:t>
      </w:r>
      <w:r>
        <w:rPr>
          <w:rFonts w:hint="eastAsia"/>
          <w:color w:val="auto"/>
        </w:rPr>
        <w:t>1</w:t>
      </w:r>
      <w:r>
        <w:rPr>
          <w:rFonts w:hint="eastAsia"/>
          <w:color w:val="auto"/>
          <w:lang w:val="en-US" w:eastAsia="zh-CN"/>
        </w:rPr>
        <w:t>6</w:t>
      </w:r>
      <w:r>
        <w:rPr>
          <w:color w:val="auto"/>
        </w:rPr>
        <w:t>日在</w:t>
      </w:r>
      <w:r>
        <w:rPr>
          <w:rFonts w:hint="eastAsia"/>
          <w:color w:val="auto"/>
          <w:lang w:val="en-US" w:eastAsia="zh-CN"/>
        </w:rPr>
        <w:t>上饶市</w:t>
      </w:r>
      <w:r>
        <w:rPr>
          <w:color w:val="auto"/>
        </w:rPr>
        <w:t>召开起草组</w:t>
      </w:r>
      <w:r>
        <w:rPr>
          <w:rFonts w:hint="eastAsia"/>
          <w:color w:val="auto"/>
        </w:rPr>
        <w:t>第</w:t>
      </w:r>
      <w:r>
        <w:rPr>
          <w:rFonts w:hint="eastAsia"/>
          <w:color w:val="auto"/>
          <w:lang w:val="en-US" w:eastAsia="zh-CN"/>
        </w:rPr>
        <w:t>一</w:t>
      </w:r>
      <w:r>
        <w:rPr>
          <w:color w:val="auto"/>
        </w:rPr>
        <w:t>次</w:t>
      </w:r>
      <w:r>
        <w:rPr>
          <w:rFonts w:hint="eastAsia"/>
          <w:color w:val="auto"/>
        </w:rPr>
        <w:t>线下</w:t>
      </w:r>
      <w:r>
        <w:rPr>
          <w:color w:val="auto"/>
        </w:rPr>
        <w:t>会议，就</w:t>
      </w:r>
      <w:r>
        <w:rPr>
          <w:rFonts w:hint="eastAsia"/>
          <w:color w:val="auto"/>
          <w:lang w:val="en-US" w:eastAsia="zh-CN"/>
        </w:rPr>
        <w:t>大纲</w:t>
      </w:r>
      <w:r>
        <w:rPr>
          <w:color w:val="auto"/>
        </w:rPr>
        <w:t>应包含的内容、主要技术指标等问题进行了讨论，对下阶段工作进行了分工，</w:t>
      </w:r>
      <w:r>
        <w:rPr>
          <w:rFonts w:hint="eastAsia"/>
          <w:color w:val="auto"/>
          <w:lang w:val="en-US" w:eastAsia="zh-CN"/>
        </w:rPr>
        <w:t>并对</w:t>
      </w:r>
      <w:r>
        <w:rPr>
          <w:color w:val="auto"/>
        </w:rPr>
        <w:t>重要</w:t>
      </w:r>
      <w:r>
        <w:rPr>
          <w:rFonts w:hint="eastAsia"/>
          <w:color w:val="auto"/>
          <w:lang w:val="en-US" w:eastAsia="zh-CN"/>
        </w:rPr>
        <w:t>试验</w:t>
      </w:r>
      <w:r>
        <w:rPr>
          <w:rFonts w:hint="eastAsia"/>
          <w:color w:val="auto"/>
        </w:rPr>
        <w:t>项目进行了工作部署；</w:t>
      </w:r>
    </w:p>
    <w:p w14:paraId="6A8802C9">
      <w:pPr>
        <w:pStyle w:val="9"/>
        <w:bidi w:val="0"/>
        <w:rPr>
          <w:color w:val="auto"/>
        </w:rPr>
      </w:pPr>
      <w:r>
        <w:rPr>
          <w:rFonts w:hint="eastAsia"/>
          <w:color w:val="auto"/>
          <w:lang w:val="en-US" w:eastAsia="zh-CN"/>
        </w:rPr>
        <w:t>5.</w:t>
      </w:r>
      <w:r>
        <w:rPr>
          <w:color w:val="auto"/>
        </w:rPr>
        <w:t>202</w:t>
      </w:r>
      <w:r>
        <w:rPr>
          <w:rFonts w:hint="eastAsia"/>
          <w:color w:val="auto"/>
          <w:lang w:val="en-US" w:eastAsia="zh-CN"/>
        </w:rPr>
        <w:t>5</w:t>
      </w:r>
      <w:r>
        <w:rPr>
          <w:color w:val="auto"/>
        </w:rPr>
        <w:t>年</w:t>
      </w:r>
      <w:r>
        <w:rPr>
          <w:rFonts w:hint="eastAsia"/>
          <w:color w:val="auto"/>
          <w:lang w:val="en-US" w:eastAsia="zh-CN"/>
        </w:rPr>
        <w:t>4</w:t>
      </w:r>
      <w:r>
        <w:rPr>
          <w:color w:val="auto"/>
        </w:rPr>
        <w:t>月至2023年</w:t>
      </w:r>
      <w:r>
        <w:rPr>
          <w:rFonts w:hint="eastAsia"/>
          <w:color w:val="auto"/>
          <w:lang w:val="en-US" w:eastAsia="zh-CN"/>
        </w:rPr>
        <w:t>8</w:t>
      </w:r>
      <w:r>
        <w:rPr>
          <w:color w:val="auto"/>
        </w:rPr>
        <w:t>月，</w:t>
      </w:r>
      <w:r>
        <w:rPr>
          <w:rFonts w:hint="eastAsia"/>
          <w:color w:val="auto"/>
        </w:rPr>
        <w:t>起草组开展了进一步的</w:t>
      </w:r>
      <w:r>
        <w:rPr>
          <w:color w:val="auto"/>
        </w:rPr>
        <w:t>调研、</w:t>
      </w:r>
      <w:r>
        <w:rPr>
          <w:rFonts w:hint="eastAsia"/>
          <w:color w:val="auto"/>
          <w:lang w:val="en-US" w:eastAsia="zh-CN"/>
        </w:rPr>
        <w:t>试验</w:t>
      </w:r>
      <w:r>
        <w:rPr>
          <w:color w:val="auto"/>
        </w:rPr>
        <w:t>和</w:t>
      </w:r>
      <w:r>
        <w:rPr>
          <w:rFonts w:hint="eastAsia"/>
          <w:color w:val="auto"/>
        </w:rPr>
        <w:t>编写</w:t>
      </w:r>
      <w:r>
        <w:rPr>
          <w:color w:val="auto"/>
        </w:rPr>
        <w:t>工作，形成</w:t>
      </w:r>
      <w:r>
        <w:rPr>
          <w:rFonts w:hint="eastAsia"/>
          <w:color w:val="auto"/>
        </w:rPr>
        <w:t>了</w:t>
      </w:r>
      <w:r>
        <w:rPr>
          <w:rFonts w:hint="eastAsia"/>
          <w:color w:val="auto"/>
          <w:lang w:val="en-US" w:eastAsia="zh-CN"/>
        </w:rPr>
        <w:t>大纲草</w:t>
      </w:r>
      <w:r>
        <w:rPr>
          <w:color w:val="auto"/>
        </w:rPr>
        <w:t>稿V</w:t>
      </w:r>
      <w:r>
        <w:rPr>
          <w:rFonts w:hint="eastAsia"/>
          <w:color w:val="auto"/>
          <w:lang w:val="en-US" w:eastAsia="zh-CN"/>
        </w:rPr>
        <w:t>2</w:t>
      </w:r>
      <w:r>
        <w:rPr>
          <w:rFonts w:hint="eastAsia"/>
          <w:color w:val="auto"/>
        </w:rPr>
        <w:t>.0版</w:t>
      </w:r>
      <w:r>
        <w:rPr>
          <w:color w:val="auto"/>
        </w:rPr>
        <w:t>；</w:t>
      </w:r>
    </w:p>
    <w:p w14:paraId="2FC5413F">
      <w:pPr>
        <w:pStyle w:val="9"/>
        <w:bidi w:val="0"/>
        <w:rPr>
          <w:color w:val="auto"/>
        </w:rPr>
      </w:pPr>
      <w:r>
        <w:rPr>
          <w:rFonts w:hint="eastAsia"/>
          <w:color w:val="auto"/>
          <w:lang w:val="en-US" w:eastAsia="zh-CN"/>
        </w:rPr>
        <w:t>6.</w:t>
      </w:r>
      <w:r>
        <w:rPr>
          <w:color w:val="auto"/>
        </w:rPr>
        <w:t>202</w:t>
      </w:r>
      <w:r>
        <w:rPr>
          <w:rFonts w:hint="eastAsia"/>
          <w:color w:val="auto"/>
          <w:lang w:val="en-US" w:eastAsia="zh-CN"/>
        </w:rPr>
        <w:t>8</w:t>
      </w:r>
      <w:r>
        <w:rPr>
          <w:color w:val="auto"/>
        </w:rPr>
        <w:t>年</w:t>
      </w:r>
      <w:r>
        <w:rPr>
          <w:rFonts w:hint="eastAsia"/>
          <w:color w:val="auto"/>
          <w:lang w:val="en-US" w:eastAsia="zh-CN"/>
        </w:rPr>
        <w:t>8</w:t>
      </w:r>
      <w:r>
        <w:rPr>
          <w:color w:val="auto"/>
        </w:rPr>
        <w:t>月</w:t>
      </w:r>
      <w:r>
        <w:rPr>
          <w:rFonts w:hint="eastAsia"/>
          <w:color w:val="auto"/>
        </w:rPr>
        <w:t>2</w:t>
      </w:r>
      <w:r>
        <w:rPr>
          <w:rFonts w:hint="eastAsia"/>
          <w:color w:val="auto"/>
          <w:lang w:val="en-US" w:eastAsia="zh-CN"/>
        </w:rPr>
        <w:t>0</w:t>
      </w:r>
      <w:r>
        <w:rPr>
          <w:color w:val="auto"/>
        </w:rPr>
        <w:t>日，起草组在</w:t>
      </w:r>
      <w:r>
        <w:rPr>
          <w:rFonts w:hint="eastAsia"/>
          <w:color w:val="auto"/>
          <w:lang w:val="en-US" w:eastAsia="zh-CN"/>
        </w:rPr>
        <w:t>贵阳</w:t>
      </w:r>
      <w:r>
        <w:rPr>
          <w:rFonts w:hint="eastAsia"/>
          <w:color w:val="auto"/>
        </w:rPr>
        <w:t>市</w:t>
      </w:r>
      <w:r>
        <w:rPr>
          <w:color w:val="auto"/>
        </w:rPr>
        <w:t>召开了</w:t>
      </w:r>
      <w:r>
        <w:rPr>
          <w:rFonts w:hint="eastAsia"/>
          <w:color w:val="auto"/>
          <w:lang w:val="en-US" w:eastAsia="zh-CN"/>
        </w:rPr>
        <w:t>第二次</w:t>
      </w:r>
      <w:r>
        <w:rPr>
          <w:color w:val="auto"/>
        </w:rPr>
        <w:t>规程</w:t>
      </w:r>
      <w:r>
        <w:rPr>
          <w:rFonts w:hint="eastAsia"/>
          <w:color w:val="auto"/>
        </w:rPr>
        <w:t>起草组线下</w:t>
      </w:r>
      <w:r>
        <w:rPr>
          <w:color w:val="auto"/>
        </w:rPr>
        <w:t>会议</w:t>
      </w:r>
      <w:r>
        <w:rPr>
          <w:rFonts w:hint="eastAsia"/>
          <w:color w:val="auto"/>
        </w:rPr>
        <w:t>。</w:t>
      </w:r>
      <w:r>
        <w:rPr>
          <w:color w:val="auto"/>
        </w:rPr>
        <w:t>会上较为充分</w:t>
      </w:r>
      <w:r>
        <w:rPr>
          <w:rFonts w:hint="eastAsia"/>
          <w:color w:val="auto"/>
          <w:lang w:eastAsia="zh-CN"/>
        </w:rPr>
        <w:t>地</w:t>
      </w:r>
      <w:r>
        <w:rPr>
          <w:color w:val="auto"/>
        </w:rPr>
        <w:t>交换了意见，参编</w:t>
      </w:r>
      <w:r>
        <w:rPr>
          <w:rFonts w:hint="eastAsia"/>
          <w:color w:val="auto"/>
        </w:rPr>
        <w:t>成员</w:t>
      </w:r>
      <w:r>
        <w:rPr>
          <w:color w:val="auto"/>
        </w:rPr>
        <w:t>针对</w:t>
      </w:r>
      <w:r>
        <w:rPr>
          <w:rFonts w:hint="eastAsia"/>
          <w:color w:val="auto"/>
          <w:lang w:val="en-US" w:eastAsia="zh-CN"/>
        </w:rPr>
        <w:t>周期稳定度、检定流量点选取</w:t>
      </w:r>
      <w:r>
        <w:rPr>
          <w:color w:val="auto"/>
        </w:rPr>
        <w:t>等关键</w:t>
      </w:r>
      <w:r>
        <w:rPr>
          <w:rFonts w:hint="eastAsia"/>
          <w:color w:val="auto"/>
          <w:lang w:eastAsia="zh-CN"/>
        </w:rPr>
        <w:t>部分作</w:t>
      </w:r>
      <w:r>
        <w:rPr>
          <w:color w:val="auto"/>
        </w:rPr>
        <w:t>了报告，根据讨论结果</w:t>
      </w:r>
      <w:r>
        <w:rPr>
          <w:rFonts w:hint="eastAsia"/>
          <w:color w:val="auto"/>
        </w:rPr>
        <w:t>，</w:t>
      </w:r>
      <w:r>
        <w:rPr>
          <w:color w:val="auto"/>
        </w:rPr>
        <w:t>进一步修改</w:t>
      </w:r>
      <w:r>
        <w:rPr>
          <w:rFonts w:hint="eastAsia"/>
          <w:color w:val="auto"/>
          <w:lang w:val="en-US" w:eastAsia="zh-CN"/>
        </w:rPr>
        <w:t>大纲</w:t>
      </w:r>
      <w:r>
        <w:rPr>
          <w:color w:val="auto"/>
        </w:rPr>
        <w:t>，</w:t>
      </w:r>
      <w:r>
        <w:rPr>
          <w:rFonts w:hint="eastAsia"/>
          <w:color w:val="auto"/>
        </w:rPr>
        <w:t>推动形成</w:t>
      </w:r>
      <w:r>
        <w:rPr>
          <w:rFonts w:hint="eastAsia"/>
          <w:color w:val="auto"/>
          <w:lang w:val="en-US" w:eastAsia="zh-CN"/>
        </w:rPr>
        <w:t>大纲</w:t>
      </w:r>
      <w:r>
        <w:rPr>
          <w:color w:val="auto"/>
        </w:rPr>
        <w:t>初稿V</w:t>
      </w:r>
      <w:r>
        <w:rPr>
          <w:rFonts w:hint="eastAsia"/>
          <w:color w:val="auto"/>
          <w:lang w:val="en-US" w:eastAsia="zh-CN"/>
        </w:rPr>
        <w:t>3</w:t>
      </w:r>
      <w:r>
        <w:rPr>
          <w:rFonts w:hint="eastAsia"/>
          <w:color w:val="auto"/>
        </w:rPr>
        <w:t>.0版</w:t>
      </w:r>
      <w:r>
        <w:rPr>
          <w:color w:val="auto"/>
        </w:rPr>
        <w:t>；</w:t>
      </w:r>
    </w:p>
    <w:p w14:paraId="2A013035">
      <w:pPr>
        <w:pStyle w:val="9"/>
        <w:bidi w:val="0"/>
        <w:rPr>
          <w:color w:val="auto"/>
        </w:rPr>
      </w:pPr>
      <w:r>
        <w:rPr>
          <w:rFonts w:hint="eastAsia"/>
          <w:color w:val="auto"/>
          <w:lang w:val="en-US" w:eastAsia="zh-CN"/>
        </w:rPr>
        <w:t>7.</w:t>
      </w:r>
      <w:r>
        <w:rPr>
          <w:color w:val="auto"/>
        </w:rPr>
        <w:t>202</w:t>
      </w:r>
      <w:r>
        <w:rPr>
          <w:rFonts w:hint="eastAsia"/>
          <w:color w:val="auto"/>
          <w:lang w:val="en-US" w:eastAsia="zh-CN"/>
        </w:rPr>
        <w:t>5</w:t>
      </w:r>
      <w:r>
        <w:rPr>
          <w:color w:val="auto"/>
        </w:rPr>
        <w:t>年</w:t>
      </w:r>
      <w:r>
        <w:rPr>
          <w:rFonts w:hint="eastAsia"/>
          <w:color w:val="auto"/>
          <w:lang w:val="en-US" w:eastAsia="zh-CN"/>
        </w:rPr>
        <w:t>9</w:t>
      </w:r>
      <w:r>
        <w:rPr>
          <w:color w:val="auto"/>
        </w:rPr>
        <w:t>月</w:t>
      </w:r>
      <w:r>
        <w:rPr>
          <w:rFonts w:hint="eastAsia"/>
          <w:color w:val="auto"/>
          <w:lang w:val="en-US" w:eastAsia="zh-CN"/>
        </w:rPr>
        <w:t>13-20</w:t>
      </w:r>
      <w:r>
        <w:rPr>
          <w:rFonts w:hint="eastAsia"/>
          <w:color w:val="auto"/>
        </w:rPr>
        <w:t>日</w:t>
      </w:r>
      <w:r>
        <w:rPr>
          <w:color w:val="auto"/>
        </w:rPr>
        <w:t>，针对规程初稿V</w:t>
      </w:r>
      <w:r>
        <w:rPr>
          <w:rFonts w:hint="eastAsia"/>
          <w:color w:val="auto"/>
          <w:lang w:val="en-US" w:eastAsia="zh-CN"/>
        </w:rPr>
        <w:t>3</w:t>
      </w:r>
      <w:r>
        <w:rPr>
          <w:color w:val="auto"/>
        </w:rPr>
        <w:t>.0版，起草组通过腾讯会议召开了起草组扩大会议</w:t>
      </w:r>
      <w:r>
        <w:rPr>
          <w:rFonts w:hint="eastAsia"/>
          <w:color w:val="auto"/>
        </w:rPr>
        <w:t>、规程</w:t>
      </w:r>
      <w:r>
        <w:rPr>
          <w:rFonts w:hint="eastAsia"/>
          <w:color w:val="auto"/>
          <w:lang w:val="en-US" w:eastAsia="zh-CN"/>
        </w:rPr>
        <w:t>与大纲</w:t>
      </w:r>
      <w:r>
        <w:rPr>
          <w:rFonts w:hint="eastAsia"/>
          <w:color w:val="auto"/>
        </w:rPr>
        <w:t>研讨会。与会</w:t>
      </w:r>
      <w:r>
        <w:rPr>
          <w:color w:val="auto"/>
        </w:rPr>
        <w:t>代表以计量技术机构和</w:t>
      </w:r>
      <w:r>
        <w:rPr>
          <w:rFonts w:hint="eastAsia"/>
          <w:color w:val="auto"/>
          <w:lang w:val="en-US" w:eastAsia="zh-CN"/>
        </w:rPr>
        <w:t>流量计</w:t>
      </w:r>
      <w:r>
        <w:rPr>
          <w:color w:val="auto"/>
        </w:rPr>
        <w:t>生产企业为主，会上较为充分</w:t>
      </w:r>
      <w:r>
        <w:rPr>
          <w:rFonts w:hint="eastAsia"/>
          <w:color w:val="auto"/>
          <w:lang w:eastAsia="zh-CN"/>
        </w:rPr>
        <w:t>地</w:t>
      </w:r>
      <w:r>
        <w:rPr>
          <w:color w:val="auto"/>
        </w:rPr>
        <w:t>交换了意见</w:t>
      </w:r>
      <w:r>
        <w:rPr>
          <w:rFonts w:hint="eastAsia"/>
          <w:color w:val="auto"/>
        </w:rPr>
        <w:t>。起草组根据与会代表提出的修改意见，于202</w:t>
      </w:r>
      <w:r>
        <w:rPr>
          <w:rFonts w:hint="eastAsia"/>
          <w:color w:val="auto"/>
          <w:lang w:val="en-US" w:eastAsia="zh-CN"/>
        </w:rPr>
        <w:t>5</w:t>
      </w:r>
      <w:r>
        <w:rPr>
          <w:rFonts w:hint="eastAsia"/>
          <w:color w:val="auto"/>
        </w:rPr>
        <w:t>年</w:t>
      </w:r>
      <w:r>
        <w:rPr>
          <w:rFonts w:hint="eastAsia"/>
          <w:color w:val="auto"/>
          <w:lang w:val="en-US" w:eastAsia="zh-CN"/>
        </w:rPr>
        <w:t>9</w:t>
      </w:r>
      <w:r>
        <w:rPr>
          <w:rFonts w:hint="eastAsia"/>
          <w:color w:val="auto"/>
        </w:rPr>
        <w:t>月底形成</w:t>
      </w:r>
      <w:r>
        <w:rPr>
          <w:rFonts w:hint="eastAsia"/>
          <w:color w:val="auto"/>
          <w:lang w:val="en-US" w:eastAsia="zh-CN"/>
        </w:rPr>
        <w:t>大纲</w:t>
      </w:r>
      <w:r>
        <w:rPr>
          <w:rFonts w:hint="eastAsia"/>
          <w:color w:val="auto"/>
        </w:rPr>
        <w:t>征求意见稿</w:t>
      </w:r>
      <w:r>
        <w:rPr>
          <w:color w:val="auto"/>
        </w:rPr>
        <w:t>V</w:t>
      </w:r>
      <w:r>
        <w:rPr>
          <w:rFonts w:hint="eastAsia"/>
          <w:color w:val="auto"/>
          <w:lang w:val="en-US" w:eastAsia="zh-CN"/>
        </w:rPr>
        <w:t>4</w:t>
      </w:r>
      <w:r>
        <w:rPr>
          <w:rFonts w:hint="eastAsia"/>
          <w:color w:val="auto"/>
        </w:rPr>
        <w:t>.0版。</w:t>
      </w:r>
    </w:p>
    <w:p w14:paraId="04384E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Times New Roman"/>
          <w:color w:val="auto"/>
          <w:sz w:val="24"/>
        </w:rPr>
      </w:pPr>
      <w:r>
        <w:rPr>
          <w:rFonts w:hint="eastAsia" w:ascii="黑体" w:hAnsi="黑体" w:eastAsia="黑体" w:cs="Times New Roman"/>
          <w:color w:val="auto"/>
          <w:sz w:val="24"/>
        </w:rPr>
        <w:t>第二阶段：征求意见阶段</w:t>
      </w:r>
    </w:p>
    <w:p w14:paraId="4BCD3876">
      <w:pPr>
        <w:pStyle w:val="9"/>
        <w:bidi w:val="0"/>
        <w:rPr>
          <w:color w:val="auto"/>
        </w:rPr>
      </w:pPr>
      <w:r>
        <w:rPr>
          <w:rFonts w:hint="eastAsia"/>
          <w:color w:val="auto"/>
          <w:lang w:val="en-US" w:eastAsia="zh-CN"/>
        </w:rPr>
        <w:t>1.</w:t>
      </w:r>
      <w:r>
        <w:rPr>
          <w:color w:val="auto"/>
        </w:rPr>
        <w:t>202</w:t>
      </w:r>
      <w:r>
        <w:rPr>
          <w:rFonts w:hint="eastAsia"/>
          <w:color w:val="auto"/>
          <w:lang w:val="en-US" w:eastAsia="zh-CN"/>
        </w:rPr>
        <w:t>5</w:t>
      </w:r>
      <w:r>
        <w:rPr>
          <w:color w:val="auto"/>
        </w:rPr>
        <w:t>年</w:t>
      </w:r>
      <w:r>
        <w:rPr>
          <w:rFonts w:hint="eastAsia"/>
          <w:color w:val="auto"/>
          <w:lang w:val="en-US" w:eastAsia="zh-CN"/>
        </w:rPr>
        <w:t>X</w:t>
      </w:r>
      <w:r>
        <w:rPr>
          <w:rFonts w:hint="eastAsia"/>
          <w:color w:val="auto"/>
        </w:rPr>
        <w:t>月底</w:t>
      </w:r>
      <w:r>
        <w:rPr>
          <w:color w:val="auto"/>
        </w:rPr>
        <w:t>，起草组根据</w:t>
      </w:r>
      <w:r>
        <w:rPr>
          <w:rFonts w:hint="eastAsia"/>
          <w:color w:val="auto"/>
        </w:rPr>
        <w:t>扩大</w:t>
      </w:r>
      <w:r>
        <w:rPr>
          <w:color w:val="auto"/>
        </w:rPr>
        <w:t>会议中各位代表提出的问题，进一步修改</w:t>
      </w:r>
      <w:r>
        <w:rPr>
          <w:rFonts w:hint="eastAsia"/>
          <w:color w:val="auto"/>
          <w:lang w:val="en-US" w:eastAsia="zh-CN"/>
        </w:rPr>
        <w:t>大纲</w:t>
      </w:r>
      <w:r>
        <w:rPr>
          <w:rFonts w:hint="eastAsia"/>
          <w:color w:val="auto"/>
        </w:rPr>
        <w:t>，</w:t>
      </w:r>
      <w:r>
        <w:rPr>
          <w:color w:val="auto"/>
        </w:rPr>
        <w:t>形成</w:t>
      </w:r>
      <w:r>
        <w:rPr>
          <w:rFonts w:hint="eastAsia"/>
          <w:color w:val="auto"/>
          <w:lang w:val="en-US" w:eastAsia="zh-CN"/>
        </w:rPr>
        <w:t>大纲</w:t>
      </w:r>
      <w:r>
        <w:rPr>
          <w:color w:val="auto"/>
        </w:rPr>
        <w:t>征求意见稿V</w:t>
      </w:r>
      <w:r>
        <w:rPr>
          <w:rFonts w:hint="eastAsia"/>
          <w:color w:val="auto"/>
          <w:lang w:val="en-US" w:eastAsia="zh-CN"/>
        </w:rPr>
        <w:t>5</w:t>
      </w:r>
      <w:r>
        <w:rPr>
          <w:rFonts w:hint="eastAsia"/>
          <w:color w:val="auto"/>
        </w:rPr>
        <w:t>.0版</w:t>
      </w:r>
      <w:r>
        <w:rPr>
          <w:color w:val="auto"/>
        </w:rPr>
        <w:t>；</w:t>
      </w:r>
    </w:p>
    <w:p w14:paraId="041DC948">
      <w:pPr>
        <w:pStyle w:val="9"/>
        <w:bidi w:val="0"/>
        <w:rPr>
          <w:color w:val="auto"/>
        </w:rPr>
      </w:pPr>
      <w:r>
        <w:rPr>
          <w:rFonts w:hint="eastAsia"/>
          <w:color w:val="auto"/>
          <w:lang w:val="en-US" w:eastAsia="zh-CN"/>
        </w:rPr>
        <w:t>2.</w:t>
      </w:r>
      <w:r>
        <w:rPr>
          <w:color w:val="auto"/>
        </w:rPr>
        <w:t>202</w:t>
      </w:r>
      <w:r>
        <w:rPr>
          <w:rFonts w:hint="eastAsia"/>
          <w:color w:val="auto"/>
          <w:lang w:val="en-US" w:eastAsia="zh-CN"/>
        </w:rPr>
        <w:t>5</w:t>
      </w:r>
      <w:r>
        <w:rPr>
          <w:color w:val="auto"/>
        </w:rPr>
        <w:t>年</w:t>
      </w:r>
      <w:r>
        <w:rPr>
          <w:rFonts w:hint="eastAsia"/>
          <w:color w:val="auto"/>
          <w:lang w:val="en-US" w:eastAsia="zh-CN"/>
        </w:rPr>
        <w:t>X</w:t>
      </w:r>
      <w:r>
        <w:rPr>
          <w:color w:val="auto"/>
        </w:rPr>
        <w:t>月</w:t>
      </w:r>
      <w:r>
        <w:rPr>
          <w:rFonts w:hint="eastAsia"/>
          <w:color w:val="auto"/>
          <w:lang w:val="en-US" w:eastAsia="zh-CN"/>
        </w:rPr>
        <w:t>X</w:t>
      </w:r>
      <w:r>
        <w:rPr>
          <w:rFonts w:hint="eastAsia"/>
          <w:color w:val="auto"/>
        </w:rPr>
        <w:t>日</w:t>
      </w:r>
      <w:r>
        <w:rPr>
          <w:rFonts w:hint="eastAsia"/>
          <w:color w:val="auto"/>
          <w:lang w:eastAsia="zh-CN"/>
        </w:rPr>
        <w:t>～</w:t>
      </w: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X</w:t>
      </w:r>
      <w:r>
        <w:rPr>
          <w:rFonts w:hint="eastAsia"/>
          <w:color w:val="auto"/>
        </w:rPr>
        <w:t>月</w:t>
      </w:r>
      <w:r>
        <w:rPr>
          <w:rFonts w:hint="eastAsia"/>
          <w:color w:val="auto"/>
          <w:lang w:val="en-US" w:eastAsia="zh-CN"/>
        </w:rPr>
        <w:t>X</w:t>
      </w:r>
      <w:r>
        <w:rPr>
          <w:rFonts w:hint="eastAsia"/>
          <w:color w:val="auto"/>
        </w:rPr>
        <w:t>日</w:t>
      </w:r>
      <w:r>
        <w:rPr>
          <w:color w:val="auto"/>
        </w:rPr>
        <w:t>，</w:t>
      </w:r>
      <w:r>
        <w:rPr>
          <w:rFonts w:hint="eastAsia"/>
          <w:color w:val="auto"/>
        </w:rPr>
        <w:t>JJ</w:t>
      </w:r>
      <w:r>
        <w:rPr>
          <w:rFonts w:hint="eastAsia"/>
          <w:color w:val="auto"/>
          <w:lang w:val="en-US" w:eastAsia="zh-CN"/>
        </w:rPr>
        <w:t>F</w:t>
      </w:r>
      <w:r>
        <w:rPr>
          <w:rFonts w:hint="eastAsia"/>
          <w:color w:val="auto"/>
        </w:rPr>
        <w:t>XXXX-202X《</w:t>
      </w:r>
      <w:r>
        <w:rPr>
          <w:rFonts w:hint="eastAsia"/>
          <w:color w:val="auto"/>
          <w:lang w:val="en-US" w:eastAsia="zh-CN"/>
        </w:rPr>
        <w:t>液体科里奥利质量流量计型式评价大纲</w:t>
      </w:r>
      <w:r>
        <w:rPr>
          <w:rFonts w:hint="eastAsia"/>
          <w:color w:val="auto"/>
        </w:rPr>
        <w:t>》（征求意见稿）由全国流量计量技术委员会在中国计量协会官网对外发布，同时，起草组也向各个省级技术机构发送电子邮件征求意见，通过工业计量、计量资讯速递等微信公众号进行了意见征集推送。</w:t>
      </w:r>
    </w:p>
    <w:p w14:paraId="3799AC70">
      <w:pPr>
        <w:pStyle w:val="9"/>
        <w:bidi w:val="0"/>
        <w:rPr>
          <w:color w:val="auto"/>
        </w:rPr>
      </w:pPr>
      <w:r>
        <w:rPr>
          <w:rFonts w:hint="eastAsia"/>
          <w:color w:val="auto"/>
          <w:lang w:val="en-US" w:eastAsia="zh-CN"/>
        </w:rPr>
        <w:t>3.</w:t>
      </w:r>
      <w:r>
        <w:rPr>
          <w:rFonts w:hint="eastAsia"/>
          <w:color w:val="auto"/>
        </w:rPr>
        <w:t>经过对广泛征求意见汇总和小结，起草小组对征集到的</w:t>
      </w:r>
      <w:r>
        <w:rPr>
          <w:rFonts w:hint="eastAsia"/>
          <w:color w:val="auto"/>
          <w:lang w:val="en-US" w:eastAsia="zh-CN"/>
        </w:rPr>
        <w:t>XX</w:t>
      </w:r>
      <w:r>
        <w:rPr>
          <w:rFonts w:hint="eastAsia"/>
          <w:color w:val="auto"/>
        </w:rPr>
        <w:t>条意见逐条进行了讨论，并进行了妥善处理（详见“征求意见汇总”），对</w:t>
      </w:r>
      <w:r>
        <w:rPr>
          <w:rFonts w:hint="eastAsia"/>
          <w:color w:val="auto"/>
          <w:lang w:val="en-US" w:eastAsia="zh-CN"/>
        </w:rPr>
        <w:t>大纲</w:t>
      </w:r>
      <w:r>
        <w:rPr>
          <w:rFonts w:hint="eastAsia"/>
          <w:color w:val="auto"/>
        </w:rPr>
        <w:t>内容进行了补充和完善，在综合了返回意见后，结合验证试验报告形成报审稿。</w:t>
      </w:r>
    </w:p>
    <w:p w14:paraId="7CDD73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Times New Roman"/>
          <w:color w:val="auto"/>
          <w:sz w:val="24"/>
        </w:rPr>
      </w:pPr>
      <w:r>
        <w:rPr>
          <w:rFonts w:hint="eastAsia" w:ascii="黑体" w:hAnsi="黑体" w:eastAsia="黑体" w:cs="Times New Roman"/>
          <w:color w:val="auto"/>
          <w:sz w:val="24"/>
        </w:rPr>
        <w:t xml:space="preserve">第三阶段： 审查报审报批阶段  </w:t>
      </w:r>
    </w:p>
    <w:p w14:paraId="293BACCE">
      <w:pPr>
        <w:pStyle w:val="9"/>
        <w:bidi w:val="0"/>
        <w:rPr>
          <w:color w:val="auto"/>
        </w:rPr>
      </w:pPr>
      <w:r>
        <w:rPr>
          <w:rFonts w:hint="eastAsia"/>
          <w:color w:val="auto"/>
          <w:lang w:val="en-US" w:eastAsia="zh-CN"/>
        </w:rPr>
        <w:t>1.</w:t>
      </w: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X</w:t>
      </w:r>
      <w:r>
        <w:rPr>
          <w:rFonts w:hint="eastAsia"/>
          <w:color w:val="auto"/>
        </w:rPr>
        <w:t>月</w:t>
      </w:r>
      <w:r>
        <w:rPr>
          <w:rFonts w:hint="eastAsia"/>
          <w:color w:val="auto"/>
          <w:lang w:val="en-US" w:eastAsia="zh-CN"/>
        </w:rPr>
        <w:t>X</w:t>
      </w:r>
      <w:r>
        <w:rPr>
          <w:rFonts w:hint="eastAsia"/>
          <w:color w:val="auto"/>
        </w:rPr>
        <w:t>日，提交技术委员会委员秘书处送审资料。待审定。</w:t>
      </w:r>
    </w:p>
    <w:p w14:paraId="01D38F13">
      <w:pPr>
        <w:pStyle w:val="9"/>
        <w:bidi w:val="0"/>
        <w:rPr>
          <w:rFonts w:hint="eastAsia"/>
          <w:color w:val="auto"/>
        </w:rPr>
      </w:pPr>
      <w:r>
        <w:rPr>
          <w:rFonts w:hint="eastAsia"/>
          <w:color w:val="auto"/>
          <w:lang w:val="en-US" w:eastAsia="zh-CN"/>
        </w:rPr>
        <w:t>2.</w:t>
      </w: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X</w:t>
      </w:r>
      <w:r>
        <w:rPr>
          <w:rFonts w:hint="eastAsia"/>
          <w:color w:val="auto"/>
        </w:rPr>
        <w:t>月</w:t>
      </w:r>
      <w:r>
        <w:rPr>
          <w:rFonts w:hint="eastAsia"/>
          <w:color w:val="auto"/>
          <w:lang w:val="en-US" w:eastAsia="zh-CN"/>
        </w:rPr>
        <w:t>X</w:t>
      </w:r>
      <w:r>
        <w:rPr>
          <w:rFonts w:hint="eastAsia"/>
          <w:color w:val="auto"/>
        </w:rPr>
        <w:t>日，MTC3/SC1召开全体委员预审定会。</w:t>
      </w:r>
    </w:p>
    <w:p w14:paraId="17BE7B35">
      <w:pPr>
        <w:pStyle w:val="9"/>
        <w:bidi w:val="0"/>
        <w:rPr>
          <w:rFonts w:hint="eastAsia"/>
          <w:color w:val="auto"/>
        </w:rPr>
      </w:pPr>
      <w:r>
        <w:rPr>
          <w:rFonts w:hint="eastAsia"/>
          <w:color w:val="auto"/>
          <w:lang w:val="en-US" w:eastAsia="zh-CN"/>
        </w:rPr>
        <w:t>3.</w:t>
      </w: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X</w:t>
      </w:r>
      <w:r>
        <w:rPr>
          <w:rFonts w:hint="eastAsia"/>
          <w:color w:val="auto"/>
        </w:rPr>
        <w:t>月，根据MTC3</w:t>
      </w:r>
      <w:r>
        <w:rPr>
          <w:color w:val="auto"/>
        </w:rPr>
        <w:t>/SC1</w:t>
      </w:r>
      <w:r>
        <w:rPr>
          <w:rFonts w:hint="eastAsia"/>
          <w:color w:val="auto"/>
        </w:rPr>
        <w:t>审定意见，修改形成报批稿，向总局报批。</w:t>
      </w:r>
    </w:p>
    <w:p w14:paraId="4220DE6E">
      <w:pPr>
        <w:numPr>
          <w:ilvl w:val="0"/>
          <w:numId w:val="2"/>
        </w:numPr>
        <w:spacing w:before="156" w:beforeLines="50" w:after="156" w:afterLines="50"/>
        <w:jc w:val="left"/>
        <w:rPr>
          <w:rFonts w:ascii="黑体" w:hAnsi="黑体" w:eastAsia="黑体" w:cs="黑体"/>
          <w:color w:val="auto"/>
          <w:kern w:val="0"/>
          <w:sz w:val="28"/>
          <w:szCs w:val="28"/>
          <w:lang w:bidi="ar"/>
        </w:rPr>
      </w:pPr>
      <w:r>
        <w:rPr>
          <w:rFonts w:hint="eastAsia" w:ascii="黑体" w:hAnsi="黑体" w:eastAsia="黑体" w:cs="黑体"/>
          <w:color w:val="auto"/>
          <w:kern w:val="0"/>
          <w:sz w:val="28"/>
          <w:szCs w:val="28"/>
          <w:lang w:bidi="ar"/>
        </w:rPr>
        <w:t>大纲修订的主要技术内容</w:t>
      </w:r>
    </w:p>
    <w:p w14:paraId="6CE15E3D">
      <w:pPr>
        <w:pStyle w:val="9"/>
        <w:ind w:firstLine="480"/>
        <w:rPr>
          <w:rFonts w:cstheme="minorBidi"/>
          <w:color w:val="auto"/>
        </w:rPr>
      </w:pPr>
      <w:r>
        <w:rPr>
          <w:rFonts w:hint="eastAsia" w:cstheme="minorBidi"/>
          <w:color w:val="auto"/>
        </w:rPr>
        <w:t>本</w:t>
      </w:r>
      <w:r>
        <w:rPr>
          <w:rFonts w:hint="eastAsia" w:cstheme="minorBidi"/>
          <w:color w:val="auto"/>
          <w:lang w:val="en-US" w:eastAsia="zh-CN"/>
        </w:rPr>
        <w:t>大纲</w:t>
      </w:r>
      <w:r>
        <w:rPr>
          <w:rFonts w:hint="eastAsia" w:cstheme="minorBidi"/>
          <w:color w:val="auto"/>
        </w:rPr>
        <w:t>在参考JJ</w:t>
      </w:r>
      <w:r>
        <w:rPr>
          <w:rFonts w:hint="eastAsia" w:cstheme="minorBidi"/>
          <w:color w:val="auto"/>
          <w:lang w:val="en-US" w:eastAsia="zh-CN"/>
        </w:rPr>
        <w:t>F</w:t>
      </w:r>
      <w:r>
        <w:rPr>
          <w:rFonts w:hint="eastAsia" w:cstheme="minorBidi"/>
          <w:color w:val="auto"/>
        </w:rPr>
        <w:t>1</w:t>
      </w:r>
      <w:r>
        <w:rPr>
          <w:rFonts w:hint="eastAsia" w:cstheme="minorBidi"/>
          <w:color w:val="auto"/>
          <w:lang w:val="en-US" w:eastAsia="zh-CN"/>
        </w:rPr>
        <w:t>591</w:t>
      </w:r>
      <w:r>
        <w:rPr>
          <w:rFonts w:hint="eastAsia" w:cstheme="minorBidi"/>
          <w:color w:val="auto"/>
        </w:rPr>
        <w:t>-20</w:t>
      </w:r>
      <w:r>
        <w:rPr>
          <w:rFonts w:hint="eastAsia" w:cstheme="minorBidi"/>
          <w:color w:val="auto"/>
          <w:lang w:val="en-US" w:eastAsia="zh-CN"/>
        </w:rPr>
        <w:t>16</w:t>
      </w:r>
      <w:r>
        <w:rPr>
          <w:rFonts w:hint="eastAsia" w:cstheme="minorBidi"/>
          <w:color w:val="auto"/>
        </w:rPr>
        <w:t>《</w:t>
      </w:r>
      <w:r>
        <w:rPr>
          <w:rFonts w:hint="eastAsia" w:cstheme="minorBidi"/>
          <w:color w:val="auto"/>
          <w:lang w:val="en-US" w:eastAsia="zh-CN"/>
        </w:rPr>
        <w:t>科里奥利质量流量计型式评价大纲</w:t>
      </w:r>
      <w:r>
        <w:rPr>
          <w:rFonts w:hint="eastAsia" w:cstheme="minorBidi"/>
          <w:color w:val="auto"/>
        </w:rPr>
        <w:t>》中</w:t>
      </w:r>
      <w:r>
        <w:rPr>
          <w:rFonts w:hint="eastAsia" w:cstheme="minorBidi"/>
          <w:color w:val="auto"/>
          <w:lang w:val="en-US" w:eastAsia="zh-CN"/>
        </w:rPr>
        <w:t>液体</w:t>
      </w:r>
      <w:r>
        <w:rPr>
          <w:rFonts w:hint="eastAsia" w:cstheme="minorBidi"/>
          <w:color w:val="auto"/>
        </w:rPr>
        <w:t>部分要求基础上，主要变化如下：</w:t>
      </w:r>
    </w:p>
    <w:p w14:paraId="6D707F41">
      <w:pPr>
        <w:pStyle w:val="9"/>
        <w:numPr>
          <w:ilvl w:val="0"/>
          <w:numId w:val="3"/>
        </w:numPr>
        <w:ind w:firstLine="480"/>
        <w:rPr>
          <w:color w:val="auto"/>
        </w:rPr>
      </w:pPr>
      <w:r>
        <w:rPr>
          <w:rFonts w:hint="eastAsia"/>
          <w:color w:val="auto"/>
          <w:lang w:val="en-US" w:eastAsia="zh-CN"/>
        </w:rPr>
        <w:t>流量计准确度等级调整。</w:t>
      </w:r>
      <w:r>
        <w:rPr>
          <w:color w:val="auto"/>
        </w:rPr>
        <w:t>准确度等级</w:t>
      </w:r>
      <w:r>
        <w:rPr>
          <w:rFonts w:hint="eastAsia"/>
          <w:color w:val="auto"/>
          <w:lang w:val="en-US" w:eastAsia="zh-CN"/>
        </w:rPr>
        <w:t>增加了0.1级，删除了0.25级和1.5级</w:t>
      </w:r>
      <w:r>
        <w:rPr>
          <w:color w:val="auto"/>
        </w:rPr>
        <w:t>。</w:t>
      </w:r>
      <w:r>
        <w:rPr>
          <w:rFonts w:hint="eastAsia"/>
          <w:color w:val="auto"/>
          <w:lang w:val="en-US" w:eastAsia="zh-CN"/>
        </w:rPr>
        <w:t>随着国内液体科里奥利质量流量计制造水平的快速发展，起草组调研了大量流量计生产厂家及用户，国内市场迫切希望0.1级科里奥利质量流量计的许可，而</w:t>
      </w:r>
      <w:r>
        <w:rPr>
          <w:rFonts w:hint="default" w:ascii="Times New Roman" w:hAnsi="Times New Roman" w:eastAsia="宋体" w:cs="Times New Roman"/>
          <w:color w:val="auto"/>
          <w:lang w:val="en-US" w:eastAsia="zh-CN"/>
        </w:rPr>
        <w:t>0.25级和1.5级</w:t>
      </w:r>
      <w:r>
        <w:rPr>
          <w:rFonts w:hint="eastAsia" w:cs="Times New Roman"/>
          <w:color w:val="auto"/>
          <w:lang w:val="en-US" w:eastAsia="zh-CN"/>
        </w:rPr>
        <w:t>经调研后发现，市场几乎没有该等级科里奥利质量流量计在售，用户端需求也完全可由其他等级流量计代替。</w:t>
      </w:r>
    </w:p>
    <w:p w14:paraId="011C17D8">
      <w:pPr>
        <w:pStyle w:val="9"/>
        <w:numPr>
          <w:ilvl w:val="0"/>
          <w:numId w:val="3"/>
        </w:numPr>
        <w:ind w:firstLine="480"/>
        <w:rPr>
          <w:color w:val="auto"/>
        </w:rPr>
      </w:pPr>
      <w:r>
        <w:rPr>
          <w:rFonts w:hint="eastAsia" w:ascii="Times New Roman" w:hAnsi="Times New Roman" w:cs="Times New Roman"/>
          <w:color w:val="auto"/>
          <w:sz w:val="24"/>
          <w:lang w:val="en-US" w:eastAsia="zh-CN"/>
        </w:rPr>
        <w:t>重复性要求调整。</w:t>
      </w:r>
      <w:r>
        <w:rPr>
          <w:rFonts w:hint="eastAsia" w:ascii="Times New Roman" w:hAnsi="Times New Roman" w:cs="Times New Roman"/>
          <w:color w:val="auto"/>
          <w:sz w:val="24"/>
        </w:rPr>
        <w:t>重复性由不得超过相应准确度等级规定的最大允许误差绝对值的1/2改为1/3</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一直以来大量的实验室检测数据可体现科里奥利质量流量计具有良好的重复性，JJ</w:t>
      </w:r>
      <w:r>
        <w:rPr>
          <w:rFonts w:hint="eastAsia" w:cs="Times New Roman"/>
          <w:color w:val="auto"/>
          <w:sz w:val="24"/>
          <w:lang w:val="en-US" w:eastAsia="zh-CN"/>
        </w:rPr>
        <w:t>F1591</w:t>
      </w:r>
      <w:r>
        <w:rPr>
          <w:rFonts w:hint="eastAsia" w:ascii="Times New Roman" w:hAnsi="Times New Roman" w:cs="Times New Roman"/>
          <w:color w:val="auto"/>
          <w:sz w:val="24"/>
          <w:lang w:val="en-US" w:eastAsia="zh-CN"/>
        </w:rPr>
        <w:t>-20</w:t>
      </w:r>
      <w:r>
        <w:rPr>
          <w:rFonts w:hint="eastAsia" w:cs="Times New Roman"/>
          <w:color w:val="auto"/>
          <w:sz w:val="24"/>
          <w:lang w:val="en-US" w:eastAsia="zh-CN"/>
        </w:rPr>
        <w:t>16</w:t>
      </w:r>
      <w:r>
        <w:rPr>
          <w:rFonts w:hint="eastAsia" w:ascii="Times New Roman" w:hAnsi="Times New Roman" w:cs="Times New Roman"/>
          <w:color w:val="auto"/>
          <w:sz w:val="24"/>
          <w:lang w:val="en-US" w:eastAsia="zh-CN"/>
        </w:rPr>
        <w:t>中的重复性要求偏低，且不符合行业内通用的1/3重复性要求，故本次修订予以调整，经系列试验验证调整后的重复性指标合理。</w:t>
      </w:r>
    </w:p>
    <w:p w14:paraId="31EEFE43">
      <w:pPr>
        <w:pStyle w:val="9"/>
        <w:numPr>
          <w:ilvl w:val="0"/>
          <w:numId w:val="3"/>
        </w:numPr>
        <w:ind w:firstLine="480"/>
        <w:rPr>
          <w:rFonts w:hint="eastAsia" w:ascii="Times New Roman" w:hAnsi="Times New Roman" w:cs="Times New Roman"/>
          <w:color w:val="auto"/>
          <w:sz w:val="24"/>
        </w:rPr>
      </w:pPr>
      <w:r>
        <w:rPr>
          <w:rFonts w:hint="eastAsia" w:ascii="Times New Roman" w:hAnsi="Times New Roman" w:cs="Times New Roman"/>
          <w:color w:val="auto"/>
          <w:sz w:val="24"/>
        </w:rPr>
        <w:t>调整</w:t>
      </w:r>
      <w:r>
        <w:rPr>
          <w:rFonts w:hint="eastAsia" w:cs="Times New Roman"/>
          <w:color w:val="auto"/>
          <w:sz w:val="24"/>
          <w:lang w:val="en-US" w:eastAsia="zh-CN"/>
        </w:rPr>
        <w:t>试验</w:t>
      </w:r>
      <w:r>
        <w:rPr>
          <w:rFonts w:hint="eastAsia" w:ascii="Times New Roman" w:hAnsi="Times New Roman" w:cs="Times New Roman"/>
          <w:color w:val="auto"/>
          <w:sz w:val="24"/>
        </w:rPr>
        <w:t>流量点及试验顺序</w:t>
      </w:r>
      <w:r>
        <w:rPr>
          <w:rFonts w:hint="eastAsia" w:cs="Times New Roman"/>
          <w:color w:val="auto"/>
          <w:sz w:val="24"/>
          <w:lang w:eastAsia="zh-CN"/>
        </w:rPr>
        <w:t>。</w:t>
      </w:r>
      <w:r>
        <w:rPr>
          <w:rFonts w:hint="eastAsia" w:cs="Times New Roman"/>
          <w:color w:val="auto"/>
          <w:sz w:val="24"/>
          <w:lang w:val="en-US" w:eastAsia="zh-CN"/>
        </w:rPr>
        <w:t>原大纲</w:t>
      </w:r>
      <w:r>
        <w:rPr>
          <w:rFonts w:hint="eastAsia" w:ascii="Times New Roman" w:hAnsi="Times New Roman" w:cs="Times New Roman"/>
          <w:color w:val="auto"/>
          <w:sz w:val="24"/>
          <w:lang w:val="en-US" w:eastAsia="zh-CN"/>
        </w:rPr>
        <w:t>中流量点试验顺序为由大流量点到小流量点最后再</w:t>
      </w:r>
      <w:r>
        <w:rPr>
          <w:rFonts w:hint="eastAsia" w:cs="Times New Roman"/>
          <w:color w:val="auto"/>
          <w:sz w:val="24"/>
          <w:lang w:val="en-US" w:eastAsia="zh-CN"/>
        </w:rPr>
        <w:t>测</w:t>
      </w:r>
      <w:r>
        <w:rPr>
          <w:rFonts w:hint="eastAsia" w:ascii="Times New Roman" w:hAnsi="Times New Roman" w:cs="Times New Roman"/>
          <w:color w:val="auto"/>
          <w:sz w:val="24"/>
          <w:lang w:val="en-US" w:eastAsia="zh-CN"/>
        </w:rPr>
        <w:t>一遍大流量点</w:t>
      </w:r>
      <w:r>
        <w:rPr>
          <w:rFonts w:hint="eastAsia" w:cs="Times New Roman"/>
          <w:color w:val="auto"/>
          <w:sz w:val="24"/>
          <w:lang w:val="en-US" w:eastAsia="zh-CN"/>
        </w:rPr>
        <w:t>。</w:t>
      </w:r>
      <w:r>
        <w:rPr>
          <w:rFonts w:hint="eastAsia" w:ascii="Times New Roman" w:hAnsi="Times New Roman" w:cs="Times New Roman"/>
          <w:color w:val="auto"/>
          <w:sz w:val="24"/>
          <w:lang w:val="en-US" w:eastAsia="zh-CN"/>
        </w:rPr>
        <w:t>通过历年大量实验数据和流量计测量原理可知，流量计的零点稳定度对小流量的影响更大，</w:t>
      </w:r>
      <w:r>
        <w:rPr>
          <w:rFonts w:hint="eastAsia" w:cs="Times New Roman"/>
          <w:color w:val="auto"/>
          <w:sz w:val="24"/>
          <w:lang w:val="en-US" w:eastAsia="zh-CN"/>
        </w:rPr>
        <w:t>测</w:t>
      </w:r>
      <w:r>
        <w:rPr>
          <w:rFonts w:hint="eastAsia" w:ascii="Times New Roman" w:hAnsi="Times New Roman" w:cs="Times New Roman"/>
          <w:color w:val="auto"/>
          <w:sz w:val="24"/>
          <w:lang w:val="en-US" w:eastAsia="zh-CN"/>
        </w:rPr>
        <w:t>两遍大流量点的意义不大，故调整为由小到大最后</w:t>
      </w:r>
      <w:r>
        <w:rPr>
          <w:rFonts w:hint="eastAsia" w:cs="Times New Roman"/>
          <w:color w:val="auto"/>
          <w:sz w:val="24"/>
          <w:lang w:val="en-US" w:eastAsia="zh-CN"/>
        </w:rPr>
        <w:t>测</w:t>
      </w:r>
      <w:r>
        <w:rPr>
          <w:rFonts w:hint="eastAsia" w:ascii="Times New Roman" w:hAnsi="Times New Roman" w:cs="Times New Roman"/>
          <w:color w:val="auto"/>
          <w:sz w:val="24"/>
          <w:lang w:val="en-US" w:eastAsia="zh-CN"/>
        </w:rPr>
        <w:t>一遍小流量点的顺序。</w:t>
      </w:r>
    </w:p>
    <w:p w14:paraId="3E760202">
      <w:pPr>
        <w:pStyle w:val="9"/>
        <w:numPr>
          <w:ilvl w:val="0"/>
          <w:numId w:val="3"/>
        </w:numPr>
        <w:ind w:firstLine="480"/>
        <w:rPr>
          <w:color w:val="auto"/>
        </w:rPr>
      </w:pPr>
      <w:r>
        <w:rPr>
          <w:rFonts w:hint="eastAsia"/>
          <w:color w:val="auto"/>
          <w:lang w:val="en-US" w:eastAsia="zh-CN"/>
        </w:rPr>
        <w:t>样机的数量及使用方式调整。按单一规格产品申请的，公称通径小于100mm的提供1~3台样机，公称通径大于等于100mm的提供1台样机。按</w:t>
      </w:r>
      <w:r>
        <w:rPr>
          <w:rFonts w:hint="eastAsia"/>
          <w:color w:val="auto"/>
          <w:sz w:val="24"/>
          <w:szCs w:val="24"/>
          <w:highlight w:val="none"/>
        </w:rPr>
        <w:t>系列产品申请的，每一系列产品中抽取</w:t>
      </w:r>
      <w:r>
        <w:rPr>
          <w:rFonts w:hint="eastAsia"/>
          <w:color w:val="auto"/>
          <w:sz w:val="24"/>
          <w:szCs w:val="24"/>
          <w:highlight w:val="none"/>
          <w:lang w:val="en-US" w:eastAsia="zh-CN"/>
        </w:rPr>
        <w:t>不超过</w:t>
      </w:r>
      <w:r>
        <w:rPr>
          <w:rFonts w:hint="eastAsia"/>
          <w:color w:val="auto"/>
          <w:sz w:val="24"/>
          <w:szCs w:val="24"/>
          <w:highlight w:val="none"/>
        </w:rPr>
        <w:t>三</w:t>
      </w:r>
      <w:r>
        <w:rPr>
          <w:rFonts w:hint="eastAsia"/>
          <w:color w:val="auto"/>
          <w:sz w:val="24"/>
          <w:szCs w:val="24"/>
          <w:highlight w:val="none"/>
          <w:lang w:eastAsia="zh-CN"/>
        </w:rPr>
        <w:t>个</w:t>
      </w:r>
      <w:r>
        <w:rPr>
          <w:rFonts w:hint="eastAsia"/>
          <w:color w:val="auto"/>
          <w:sz w:val="24"/>
          <w:szCs w:val="24"/>
          <w:highlight w:val="none"/>
        </w:rPr>
        <w:t>有代表性规格的产</w:t>
      </w:r>
      <w:r>
        <w:rPr>
          <w:rFonts w:hint="eastAsia"/>
          <w:color w:val="auto"/>
          <w:sz w:val="24"/>
          <w:szCs w:val="24"/>
          <w:highlight w:val="none"/>
          <w:lang w:val="en-US" w:eastAsia="zh-CN"/>
        </w:rPr>
        <w:t>品，</w:t>
      </w:r>
      <w:r>
        <w:rPr>
          <w:rFonts w:hint="eastAsia"/>
          <w:color w:val="auto"/>
          <w:sz w:val="24"/>
          <w:szCs w:val="24"/>
          <w:highlight w:val="none"/>
        </w:rPr>
        <w:t>每种规格提供试验样机数量按单一产品的原则执行</w:t>
      </w:r>
      <w:r>
        <w:rPr>
          <w:rFonts w:hint="eastAsia"/>
          <w:color w:val="auto"/>
          <w:sz w:val="24"/>
          <w:szCs w:val="24"/>
          <w:highlight w:val="none"/>
          <w:lang w:eastAsia="zh-CN"/>
        </w:rPr>
        <w:t>。</w:t>
      </w:r>
      <w:r>
        <w:rPr>
          <w:rFonts w:hint="eastAsia"/>
          <w:color w:val="auto"/>
          <w:sz w:val="24"/>
          <w:szCs w:val="24"/>
          <w:highlight w:val="none"/>
          <w:lang w:val="en-US" w:eastAsia="zh-CN"/>
        </w:rPr>
        <w:t>样机还应包含不同的供电方式及组合型式。</w:t>
      </w:r>
      <w:r>
        <w:rPr>
          <w:rFonts w:hint="eastAsia"/>
          <w:color w:val="auto"/>
          <w:lang w:val="en-US" w:eastAsia="zh-CN"/>
        </w:rPr>
        <w:t>按要求的样机数量进行试验，至少1台样机完成全部试验项目。对于型式评价合格的产品样机，至少将1台样机按JJF 1015中6.1.1的规定进行封样并交由申请单位保存。</w:t>
      </w:r>
    </w:p>
    <w:p w14:paraId="73C52B38">
      <w:pPr>
        <w:pStyle w:val="9"/>
        <w:numPr>
          <w:ilvl w:val="0"/>
          <w:numId w:val="3"/>
        </w:numPr>
        <w:ind w:firstLine="480"/>
        <w:rPr>
          <w:color w:val="auto"/>
        </w:rPr>
      </w:pPr>
      <w:r>
        <w:rPr>
          <w:rFonts w:hint="eastAsia"/>
          <w:color w:val="auto"/>
          <w:lang w:val="en-US" w:eastAsia="zh-CN"/>
        </w:rPr>
        <w:t>明确了不同输出方式均需对计量性能进行实验。</w:t>
      </w:r>
    </w:p>
    <w:p w14:paraId="3CFB2D99">
      <w:pPr>
        <w:pStyle w:val="9"/>
        <w:numPr>
          <w:ilvl w:val="0"/>
          <w:numId w:val="3"/>
        </w:numPr>
        <w:ind w:firstLine="480"/>
        <w:rPr>
          <w:color w:val="auto"/>
        </w:rPr>
      </w:pPr>
      <w:r>
        <w:rPr>
          <w:rFonts w:hint="eastAsia"/>
          <w:color w:val="auto"/>
          <w:lang w:val="en-US" w:eastAsia="zh-CN"/>
        </w:rPr>
        <w:t>增加了软件标识管理要求。</w:t>
      </w:r>
    </w:p>
    <w:p w14:paraId="2EF13E33">
      <w:pPr>
        <w:pStyle w:val="9"/>
        <w:numPr>
          <w:ilvl w:val="0"/>
          <w:numId w:val="3"/>
        </w:numPr>
        <w:ind w:firstLine="480"/>
        <w:rPr>
          <w:color w:val="auto"/>
        </w:rPr>
      </w:pPr>
      <w:r>
        <w:rPr>
          <w:rFonts w:hint="eastAsia" w:ascii="Times New Roman" w:hAnsi="Times New Roman" w:cs="Times New Roman"/>
          <w:color w:val="auto"/>
          <w:sz w:val="24"/>
        </w:rPr>
        <w:t>给出了常用装置质量流量计算公式</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完善了空气浮力修正的数学模型</w:t>
      </w:r>
      <w:r>
        <w:rPr>
          <w:rFonts w:hint="eastAsia" w:ascii="Times New Roman" w:hAnsi="Times New Roman" w:cs="Times New Roman"/>
          <w:color w:val="auto"/>
          <w:sz w:val="24"/>
        </w:rPr>
        <w:t>。</w:t>
      </w:r>
    </w:p>
    <w:p w14:paraId="4B486963">
      <w:pPr>
        <w:pStyle w:val="9"/>
        <w:numPr>
          <w:ilvl w:val="0"/>
          <w:numId w:val="3"/>
        </w:numPr>
        <w:ind w:firstLine="480"/>
        <w:rPr>
          <w:color w:val="auto"/>
        </w:rPr>
      </w:pPr>
      <w:r>
        <w:rPr>
          <w:rFonts w:hint="eastAsia" w:ascii="Times New Roman" w:hAnsi="Times New Roman" w:cs="Times New Roman"/>
          <w:color w:val="auto"/>
          <w:sz w:val="24"/>
          <w:lang w:val="en-US" w:eastAsia="zh-CN"/>
        </w:rPr>
        <w:t>细化了铭牌信息的要求。</w:t>
      </w:r>
    </w:p>
    <w:p w14:paraId="722C773E">
      <w:pPr>
        <w:pStyle w:val="9"/>
        <w:numPr>
          <w:ilvl w:val="0"/>
          <w:numId w:val="3"/>
        </w:numPr>
        <w:ind w:firstLine="480"/>
        <w:rPr>
          <w:color w:val="auto"/>
        </w:rPr>
      </w:pPr>
      <w:r>
        <w:rPr>
          <w:rFonts w:hint="eastAsia" w:ascii="Times New Roman" w:hAnsi="Times New Roman" w:cs="Times New Roman"/>
          <w:color w:val="auto"/>
          <w:sz w:val="24"/>
          <w:lang w:val="en-US" w:eastAsia="zh-CN"/>
        </w:rPr>
        <w:t>针对标准装置不同用途的配套设备提出了详细的技术要求。</w:t>
      </w:r>
    </w:p>
    <w:p w14:paraId="05375D7F">
      <w:pPr>
        <w:pStyle w:val="9"/>
        <w:numPr>
          <w:ilvl w:val="0"/>
          <w:numId w:val="3"/>
        </w:numPr>
        <w:ind w:firstLine="480"/>
        <w:rPr>
          <w:color w:val="auto"/>
        </w:rPr>
      </w:pPr>
      <w:r>
        <w:rPr>
          <w:rFonts w:hint="eastAsia" w:cs="Times New Roman"/>
          <w:color w:val="auto"/>
          <w:sz w:val="24"/>
          <w:lang w:val="en-US" w:eastAsia="zh-CN"/>
        </w:rPr>
        <w:t>删除了</w:t>
      </w:r>
      <w:r>
        <w:rPr>
          <w:rFonts w:hint="eastAsia" w:cs="Times New Roman"/>
          <w:color w:val="auto"/>
          <w:sz w:val="24"/>
          <w:szCs w:val="24"/>
          <w:lang w:val="en-US" w:eastAsia="zh-CN"/>
        </w:rPr>
        <w:t>零点稳定度要求、振动要求。</w:t>
      </w:r>
    </w:p>
    <w:p w14:paraId="44F97A5E">
      <w:pPr>
        <w:spacing w:line="360" w:lineRule="auto"/>
        <w:ind w:firstLine="480" w:firstLineChars="200"/>
        <w:jc w:val="left"/>
        <w:rPr>
          <w:rFonts w:ascii="Times New Roman" w:hAnsi="Times New Roman" w:cs="Times New Roman"/>
          <w:color w:val="auto"/>
          <w:kern w:val="0"/>
          <w:sz w:val="24"/>
          <w:lang w:bidi="ar"/>
        </w:rPr>
      </w:pPr>
      <w:r>
        <w:rPr>
          <w:rFonts w:hint="eastAsia" w:ascii="Times New Roman" w:hAnsi="Times New Roman" w:eastAsia="宋体" w:cs="Times New Roman"/>
          <w:color w:val="auto"/>
          <w:kern w:val="0"/>
          <w:sz w:val="24"/>
          <w:szCs w:val="20"/>
          <w:lang w:val="en-US" w:eastAsia="zh-CN" w:bidi="ar-SA"/>
        </w:rPr>
        <w:t>11.完善了规范性内容。主要体现在附录中，如给出了建议水密度取值方法，空气密度、原油和石油产品压缩系数、密度、膨胀系数计算公式以及修正方法等。</w:t>
      </w:r>
    </w:p>
    <w:p w14:paraId="446029AF">
      <w:pPr>
        <w:spacing w:line="360" w:lineRule="auto"/>
        <w:jc w:val="left"/>
        <w:rPr>
          <w:rFonts w:hint="eastAsia" w:ascii="Times New Roman" w:hAnsi="Times New Roman" w:cs="Times New Roman"/>
          <w:color w:val="auto"/>
          <w:kern w:val="0"/>
          <w:sz w:val="24"/>
          <w:lang w:bidi="ar"/>
        </w:rPr>
      </w:pPr>
      <w:r>
        <w:rPr>
          <w:rFonts w:hint="eastAsia" w:ascii="Times New Roman" w:hAnsi="Times New Roman" w:cs="Times New Roman"/>
          <w:color w:val="auto"/>
          <w:kern w:val="0"/>
          <w:sz w:val="24"/>
          <w:lang w:bidi="ar"/>
        </w:rPr>
        <w:t>型式评价项目一览表如下所示：</w:t>
      </w:r>
    </w:p>
    <w:tbl>
      <w:tblPr>
        <w:tblStyle w:val="6"/>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4"/>
        <w:gridCol w:w="840"/>
        <w:gridCol w:w="1494"/>
        <w:gridCol w:w="1092"/>
        <w:gridCol w:w="1087"/>
        <w:gridCol w:w="1157"/>
        <w:gridCol w:w="1184"/>
        <w:gridCol w:w="1179"/>
        <w:tblGridChange w:id="0">
          <w:tblGrid>
            <w:gridCol w:w="3"/>
            <w:gridCol w:w="481"/>
            <w:gridCol w:w="3"/>
            <w:gridCol w:w="837"/>
            <w:gridCol w:w="1494"/>
            <w:gridCol w:w="3"/>
            <w:gridCol w:w="1089"/>
            <w:gridCol w:w="1087"/>
            <w:gridCol w:w="1157"/>
            <w:gridCol w:w="1184"/>
            <w:gridCol w:w="1179"/>
          </w:tblGrid>
        </w:tblGridChange>
      </w:tblGrid>
      <w:tr w14:paraId="3C5DD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90" w:hRule="atLeast"/>
          <w:tblHeader/>
          <w:jc w:val="center"/>
        </w:trPr>
        <w:tc>
          <w:tcPr>
            <w:tcW w:w="284" w:type="pct"/>
            <w:tcBorders>
              <w:top w:val="single" w:color="000000" w:sz="4" w:space="0"/>
              <w:left w:val="single" w:color="000000" w:sz="4" w:space="0"/>
              <w:bottom w:val="single" w:color="000000" w:sz="4" w:space="0"/>
              <w:right w:val="single" w:color="000000" w:sz="4" w:space="0"/>
            </w:tcBorders>
            <w:vAlign w:val="center"/>
          </w:tcPr>
          <w:p w14:paraId="69B00A5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序  号</w:t>
            </w:r>
          </w:p>
        </w:tc>
        <w:tc>
          <w:tcPr>
            <w:tcW w:w="1370" w:type="pct"/>
            <w:gridSpan w:val="2"/>
            <w:tcBorders>
              <w:top w:val="single" w:color="000000" w:sz="4" w:space="0"/>
              <w:left w:val="single" w:color="000000" w:sz="4" w:space="0"/>
              <w:bottom w:val="single" w:color="auto" w:sz="4" w:space="0"/>
              <w:right w:val="single" w:color="000000" w:sz="4" w:space="0"/>
            </w:tcBorders>
            <w:vAlign w:val="center"/>
          </w:tcPr>
          <w:p w14:paraId="25CB315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项目名称</w:t>
            </w:r>
          </w:p>
        </w:tc>
        <w:tc>
          <w:tcPr>
            <w:tcW w:w="641" w:type="pct"/>
            <w:tcBorders>
              <w:top w:val="single" w:color="000000" w:sz="4" w:space="0"/>
              <w:left w:val="single" w:color="000000" w:sz="4" w:space="0"/>
              <w:bottom w:val="single" w:color="000000" w:sz="4" w:space="0"/>
              <w:right w:val="single" w:color="auto" w:sz="4" w:space="0"/>
            </w:tcBorders>
            <w:vAlign w:val="center"/>
          </w:tcPr>
          <w:p w14:paraId="3BF3A55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技术要求</w:t>
            </w:r>
          </w:p>
        </w:tc>
        <w:tc>
          <w:tcPr>
            <w:tcW w:w="638" w:type="pct"/>
            <w:tcBorders>
              <w:top w:val="single" w:color="000000" w:sz="4" w:space="0"/>
              <w:left w:val="single" w:color="auto" w:sz="4" w:space="0"/>
              <w:bottom w:val="single" w:color="000000" w:sz="4" w:space="0"/>
              <w:right w:val="single" w:color="auto" w:sz="4" w:space="0"/>
            </w:tcBorders>
            <w:vAlign w:val="center"/>
          </w:tcPr>
          <w:p w14:paraId="1DDD52B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评价方法</w:t>
            </w:r>
          </w:p>
        </w:tc>
        <w:tc>
          <w:tcPr>
            <w:tcW w:w="679" w:type="pct"/>
            <w:tcBorders>
              <w:top w:val="single" w:color="000000" w:sz="4" w:space="0"/>
              <w:left w:val="single" w:color="auto" w:sz="4" w:space="0"/>
              <w:bottom w:val="single" w:color="000000" w:sz="4" w:space="0"/>
              <w:right w:val="single" w:color="000000" w:sz="4" w:space="0"/>
            </w:tcBorders>
            <w:vAlign w:val="center"/>
          </w:tcPr>
          <w:p w14:paraId="677D4F6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评价方式</w:t>
            </w:r>
          </w:p>
        </w:tc>
        <w:tc>
          <w:tcPr>
            <w:tcW w:w="695" w:type="pct"/>
            <w:tcBorders>
              <w:top w:val="single" w:color="000000" w:sz="4" w:space="0"/>
              <w:left w:val="single" w:color="000000" w:sz="4" w:space="0"/>
              <w:bottom w:val="single" w:color="000000" w:sz="4" w:space="0"/>
              <w:right w:val="single" w:color="000000" w:sz="4" w:space="0"/>
            </w:tcBorders>
            <w:vAlign w:val="center"/>
          </w:tcPr>
          <w:p w14:paraId="503D5EE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样机数量</w:t>
            </w:r>
          </w:p>
        </w:tc>
        <w:tc>
          <w:tcPr>
            <w:tcW w:w="692" w:type="pct"/>
            <w:tcBorders>
              <w:top w:val="single" w:color="000000" w:sz="4" w:space="0"/>
              <w:left w:val="single" w:color="000000" w:sz="4" w:space="0"/>
              <w:bottom w:val="single" w:color="000000" w:sz="4" w:space="0"/>
              <w:right w:val="single" w:color="000000" w:sz="4" w:space="0"/>
            </w:tcBorders>
            <w:vAlign w:val="center"/>
          </w:tcPr>
          <w:p w14:paraId="298D15BB">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rPr>
              <w:t>备  注</w:t>
            </w:r>
          </w:p>
        </w:tc>
      </w:tr>
      <w:tr w14:paraId="66F06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90" w:hRule="atLeast"/>
          <w:jc w:val="center"/>
        </w:trPr>
        <w:tc>
          <w:tcPr>
            <w:tcW w:w="4307" w:type="pct"/>
            <w:gridSpan w:val="7"/>
            <w:tcBorders>
              <w:top w:val="single" w:color="000000" w:sz="4" w:space="0"/>
              <w:left w:val="single" w:color="000000" w:sz="4" w:space="0"/>
              <w:bottom w:val="single" w:color="000000" w:sz="4" w:space="0"/>
              <w:right w:val="single" w:color="000000" w:sz="4" w:space="0"/>
            </w:tcBorders>
            <w:vAlign w:val="center"/>
          </w:tcPr>
          <w:p w14:paraId="724B03DD">
            <w:pPr>
              <w:keepNext w:val="0"/>
              <w:keepLines w:val="0"/>
              <w:suppressLineNumbers w:val="0"/>
              <w:spacing w:before="0" w:beforeAutospacing="0" w:after="0" w:afterAutospacing="0"/>
              <w:ind w:left="0" w:right="0"/>
              <w:textAlignment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一、</w:t>
            </w:r>
            <w:r>
              <w:rPr>
                <w:rFonts w:hint="default" w:ascii="Times New Roman" w:hAnsi="Times New Roman" w:eastAsia="宋体" w:cs="Times New Roman"/>
                <w:color w:val="auto"/>
                <w:kern w:val="0"/>
                <w:szCs w:val="21"/>
              </w:rPr>
              <w:t>法制管理</w:t>
            </w:r>
          </w:p>
        </w:tc>
        <w:tc>
          <w:tcPr>
            <w:tcW w:w="692" w:type="pct"/>
            <w:tcBorders>
              <w:top w:val="single" w:color="000000" w:sz="4" w:space="0"/>
              <w:left w:val="single" w:color="000000" w:sz="4" w:space="0"/>
              <w:bottom w:val="single" w:color="000000" w:sz="4" w:space="0"/>
              <w:right w:val="single" w:color="000000" w:sz="4" w:space="0"/>
            </w:tcBorders>
            <w:vAlign w:val="center"/>
          </w:tcPr>
          <w:p w14:paraId="7BC9EE03">
            <w:pPr>
              <w:keepNext w:val="0"/>
              <w:keepLines w:val="0"/>
              <w:suppressLineNumbers w:val="0"/>
              <w:spacing w:before="0" w:beforeAutospacing="0" w:after="0" w:afterAutospacing="0"/>
              <w:ind w:left="0" w:right="0"/>
              <w:textAlignment w:val="center"/>
              <w:rPr>
                <w:rFonts w:hint="eastAsia" w:ascii="Times New Roman" w:hAnsi="Times New Roman" w:eastAsia="宋体" w:cs="Times New Roman"/>
                <w:color w:val="auto"/>
                <w:kern w:val="0"/>
                <w:szCs w:val="21"/>
              </w:rPr>
            </w:pPr>
          </w:p>
        </w:tc>
      </w:tr>
      <w:tr w14:paraId="380DA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90" w:hRule="atLeast"/>
          <w:jc w:val="center"/>
        </w:trPr>
        <w:tc>
          <w:tcPr>
            <w:tcW w:w="284" w:type="pct"/>
            <w:tcBorders>
              <w:top w:val="single" w:color="000000" w:sz="4" w:space="0"/>
              <w:left w:val="single" w:color="000000" w:sz="4" w:space="0"/>
              <w:bottom w:val="single" w:color="000000" w:sz="4" w:space="0"/>
              <w:right w:val="single" w:color="000000" w:sz="4" w:space="0"/>
            </w:tcBorders>
            <w:vAlign w:val="center"/>
          </w:tcPr>
          <w:p w14:paraId="7978C0E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w:t>
            </w:r>
          </w:p>
        </w:tc>
        <w:tc>
          <w:tcPr>
            <w:tcW w:w="1370" w:type="pct"/>
            <w:gridSpan w:val="2"/>
            <w:tcBorders>
              <w:top w:val="single" w:color="000000" w:sz="4" w:space="0"/>
              <w:left w:val="single" w:color="000000" w:sz="4" w:space="0"/>
              <w:bottom w:val="single" w:color="auto" w:sz="4" w:space="0"/>
              <w:right w:val="single" w:color="000000" w:sz="4" w:space="0"/>
            </w:tcBorders>
            <w:vAlign w:val="center"/>
          </w:tcPr>
          <w:p w14:paraId="6113F363">
            <w:pPr>
              <w:keepNext w:val="0"/>
              <w:keepLines w:val="0"/>
              <w:widowControl w:val="0"/>
              <w:suppressLineNumbers w:val="0"/>
              <w:spacing w:before="0" w:beforeAutospacing="0" w:after="0" w:afterAutospacing="0"/>
              <w:ind w:left="0" w:leftChars="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计量单位</w:t>
            </w:r>
          </w:p>
        </w:tc>
        <w:tc>
          <w:tcPr>
            <w:tcW w:w="641" w:type="pct"/>
            <w:tcBorders>
              <w:top w:val="single" w:color="000000" w:sz="4" w:space="0"/>
              <w:left w:val="single" w:color="000000" w:sz="4" w:space="0"/>
              <w:bottom w:val="single" w:color="000000" w:sz="4" w:space="0"/>
              <w:right w:val="single" w:color="auto" w:sz="4" w:space="0"/>
            </w:tcBorders>
            <w:vAlign w:val="center"/>
          </w:tcPr>
          <w:p w14:paraId="169E492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5</w:t>
            </w:r>
            <w:r>
              <w:rPr>
                <w:rFonts w:hint="default" w:ascii="Times New Roman" w:hAnsi="Times New Roman" w:eastAsia="宋体" w:cs="Times New Roman"/>
                <w:color w:val="auto"/>
                <w:kern w:val="0"/>
                <w:szCs w:val="21"/>
              </w:rPr>
              <w:t>.1</w:t>
            </w:r>
          </w:p>
        </w:tc>
        <w:tc>
          <w:tcPr>
            <w:tcW w:w="638" w:type="pct"/>
            <w:tcBorders>
              <w:top w:val="single" w:color="000000" w:sz="4" w:space="0"/>
              <w:left w:val="single" w:color="auto" w:sz="4" w:space="0"/>
              <w:bottom w:val="single" w:color="000000" w:sz="4" w:space="0"/>
              <w:right w:val="single" w:color="auto" w:sz="4" w:space="0"/>
            </w:tcBorders>
            <w:vAlign w:val="center"/>
          </w:tcPr>
          <w:p w14:paraId="162E96A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目 测</w:t>
            </w:r>
          </w:p>
        </w:tc>
        <w:tc>
          <w:tcPr>
            <w:tcW w:w="679" w:type="pct"/>
            <w:tcBorders>
              <w:top w:val="single" w:color="000000" w:sz="4" w:space="0"/>
              <w:left w:val="single" w:color="auto" w:sz="4" w:space="0"/>
              <w:bottom w:val="single" w:color="000000" w:sz="4" w:space="0"/>
              <w:right w:val="single" w:color="000000" w:sz="4" w:space="0"/>
            </w:tcBorders>
            <w:vAlign w:val="center"/>
          </w:tcPr>
          <w:p w14:paraId="2E2B5DC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观察项目</w:t>
            </w:r>
          </w:p>
        </w:tc>
        <w:tc>
          <w:tcPr>
            <w:tcW w:w="695" w:type="pct"/>
            <w:tcBorders>
              <w:top w:val="single" w:color="000000" w:sz="4" w:space="0"/>
              <w:left w:val="single" w:color="000000" w:sz="4" w:space="0"/>
              <w:bottom w:val="single" w:color="000000" w:sz="4" w:space="0"/>
              <w:right w:val="single" w:color="000000" w:sz="4" w:space="0"/>
            </w:tcBorders>
            <w:vAlign w:val="center"/>
          </w:tcPr>
          <w:p w14:paraId="1EBD705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全部</w:t>
            </w:r>
          </w:p>
        </w:tc>
        <w:tc>
          <w:tcPr>
            <w:tcW w:w="692" w:type="pct"/>
            <w:tcBorders>
              <w:top w:val="single" w:color="000000" w:sz="4" w:space="0"/>
              <w:left w:val="single" w:color="000000" w:sz="4" w:space="0"/>
              <w:bottom w:val="single" w:color="000000" w:sz="4" w:space="0"/>
              <w:right w:val="single" w:color="000000" w:sz="4" w:space="0"/>
            </w:tcBorders>
            <w:vAlign w:val="center"/>
          </w:tcPr>
          <w:p w14:paraId="3E9216F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p>
        </w:tc>
      </w:tr>
      <w:tr w14:paraId="54823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90" w:hRule="atLeast"/>
          <w:jc w:val="center"/>
        </w:trPr>
        <w:tc>
          <w:tcPr>
            <w:tcW w:w="284" w:type="pct"/>
            <w:tcBorders>
              <w:top w:val="single" w:color="000000" w:sz="4" w:space="0"/>
              <w:left w:val="single" w:color="000000" w:sz="4" w:space="0"/>
              <w:bottom w:val="single" w:color="000000" w:sz="4" w:space="0"/>
              <w:right w:val="single" w:color="000000" w:sz="4" w:space="0"/>
            </w:tcBorders>
            <w:vAlign w:val="center"/>
          </w:tcPr>
          <w:p w14:paraId="6790D41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2</w:t>
            </w:r>
          </w:p>
        </w:tc>
        <w:tc>
          <w:tcPr>
            <w:tcW w:w="1370" w:type="pct"/>
            <w:gridSpan w:val="2"/>
            <w:tcBorders>
              <w:top w:val="single" w:color="000000" w:sz="4" w:space="0"/>
              <w:left w:val="single" w:color="000000" w:sz="4" w:space="0"/>
              <w:bottom w:val="single" w:color="auto" w:sz="4" w:space="0"/>
              <w:right w:val="single" w:color="000000" w:sz="4" w:space="0"/>
            </w:tcBorders>
            <w:vAlign w:val="center"/>
          </w:tcPr>
          <w:p w14:paraId="0DE3B92E">
            <w:pPr>
              <w:keepNext w:val="0"/>
              <w:keepLines w:val="0"/>
              <w:widowControl w:val="0"/>
              <w:suppressLineNumbers w:val="0"/>
              <w:spacing w:before="0" w:beforeAutospacing="0" w:after="0" w:afterAutospacing="0"/>
              <w:ind w:left="0" w:leftChars="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外部结构</w:t>
            </w:r>
            <w:r>
              <w:rPr>
                <w:rFonts w:hint="eastAsia" w:ascii="Times New Roman" w:hAnsi="Times New Roman" w:eastAsia="宋体" w:cs="Times New Roman"/>
                <w:color w:val="auto"/>
                <w:kern w:val="0"/>
                <w:sz w:val="21"/>
                <w:szCs w:val="21"/>
                <w:lang w:val="en-US" w:eastAsia="zh-CN" w:bidi="ar-SA"/>
              </w:rPr>
              <w:t>设计要求</w:t>
            </w:r>
          </w:p>
        </w:tc>
        <w:tc>
          <w:tcPr>
            <w:tcW w:w="641" w:type="pct"/>
            <w:tcBorders>
              <w:top w:val="single" w:color="000000" w:sz="4" w:space="0"/>
              <w:left w:val="single" w:color="000000" w:sz="4" w:space="0"/>
              <w:bottom w:val="single" w:color="000000" w:sz="4" w:space="0"/>
              <w:right w:val="single" w:color="auto" w:sz="4" w:space="0"/>
            </w:tcBorders>
            <w:vAlign w:val="center"/>
          </w:tcPr>
          <w:p w14:paraId="3B478F8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5</w:t>
            </w:r>
            <w:r>
              <w:rPr>
                <w:rFonts w:hint="default" w:ascii="Times New Roman" w:hAnsi="Times New Roman" w:eastAsia="宋体" w:cs="Times New Roman"/>
                <w:color w:val="auto"/>
                <w:kern w:val="0"/>
                <w:szCs w:val="21"/>
              </w:rPr>
              <w:t>.</w:t>
            </w:r>
            <w:r>
              <w:rPr>
                <w:rFonts w:hint="eastAsia" w:ascii="Times New Roman" w:hAnsi="Times New Roman" w:eastAsia="宋体" w:cs="Times New Roman"/>
                <w:color w:val="auto"/>
                <w:kern w:val="0"/>
                <w:szCs w:val="21"/>
              </w:rPr>
              <w:t>2</w:t>
            </w:r>
          </w:p>
        </w:tc>
        <w:tc>
          <w:tcPr>
            <w:tcW w:w="638" w:type="pct"/>
            <w:tcBorders>
              <w:top w:val="single" w:color="000000" w:sz="4" w:space="0"/>
              <w:left w:val="single" w:color="auto" w:sz="4" w:space="0"/>
              <w:bottom w:val="single" w:color="000000" w:sz="4" w:space="0"/>
              <w:right w:val="single" w:color="auto" w:sz="4" w:space="0"/>
            </w:tcBorders>
            <w:vAlign w:val="center"/>
          </w:tcPr>
          <w:p w14:paraId="5472D3F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目 测</w:t>
            </w:r>
          </w:p>
        </w:tc>
        <w:tc>
          <w:tcPr>
            <w:tcW w:w="679" w:type="pct"/>
            <w:tcBorders>
              <w:top w:val="single" w:color="000000" w:sz="4" w:space="0"/>
              <w:left w:val="single" w:color="auto" w:sz="4" w:space="0"/>
              <w:bottom w:val="single" w:color="000000" w:sz="4" w:space="0"/>
              <w:right w:val="single" w:color="000000" w:sz="4" w:space="0"/>
            </w:tcBorders>
            <w:vAlign w:val="center"/>
          </w:tcPr>
          <w:p w14:paraId="06BEEC7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rPr>
            </w:pPr>
            <w:r>
              <w:rPr>
                <w:rFonts w:hint="eastAsia" w:ascii="Times New Roman" w:hAnsi="Times New Roman" w:eastAsia="宋体" w:cs="Times New Roman"/>
                <w:color w:val="auto"/>
                <w:kern w:val="0"/>
                <w:szCs w:val="21"/>
              </w:rPr>
              <w:t>观察项目</w:t>
            </w:r>
          </w:p>
        </w:tc>
        <w:tc>
          <w:tcPr>
            <w:tcW w:w="695" w:type="pct"/>
            <w:tcBorders>
              <w:top w:val="single" w:color="000000" w:sz="4" w:space="0"/>
              <w:left w:val="single" w:color="000000" w:sz="4" w:space="0"/>
              <w:bottom w:val="single" w:color="000000" w:sz="4" w:space="0"/>
              <w:right w:val="single" w:color="000000" w:sz="4" w:space="0"/>
            </w:tcBorders>
            <w:vAlign w:val="center"/>
          </w:tcPr>
          <w:p w14:paraId="2141DA0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全部</w:t>
            </w:r>
          </w:p>
        </w:tc>
        <w:tc>
          <w:tcPr>
            <w:tcW w:w="692" w:type="pct"/>
            <w:tcBorders>
              <w:top w:val="single" w:color="000000" w:sz="4" w:space="0"/>
              <w:left w:val="single" w:color="000000" w:sz="4" w:space="0"/>
              <w:bottom w:val="single" w:color="000000" w:sz="4" w:space="0"/>
              <w:right w:val="single" w:color="000000" w:sz="4" w:space="0"/>
            </w:tcBorders>
            <w:vAlign w:val="center"/>
          </w:tcPr>
          <w:p w14:paraId="6DA9CB9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p>
        </w:tc>
      </w:tr>
      <w:tr w14:paraId="30845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90" w:hRule="atLeast"/>
          <w:jc w:val="center"/>
        </w:trPr>
        <w:tc>
          <w:tcPr>
            <w:tcW w:w="284" w:type="pct"/>
            <w:tcBorders>
              <w:top w:val="single" w:color="000000" w:sz="4" w:space="0"/>
              <w:left w:val="single" w:color="000000" w:sz="4" w:space="0"/>
              <w:bottom w:val="single" w:color="000000" w:sz="4" w:space="0"/>
              <w:right w:val="single" w:color="000000" w:sz="4" w:space="0"/>
            </w:tcBorders>
            <w:vAlign w:val="center"/>
          </w:tcPr>
          <w:p w14:paraId="5F949EC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3</w:t>
            </w:r>
          </w:p>
        </w:tc>
        <w:tc>
          <w:tcPr>
            <w:tcW w:w="1370" w:type="pct"/>
            <w:gridSpan w:val="2"/>
            <w:tcBorders>
              <w:top w:val="single" w:color="000000" w:sz="4" w:space="0"/>
              <w:left w:val="single" w:color="000000" w:sz="4" w:space="0"/>
              <w:bottom w:val="single" w:color="auto" w:sz="4" w:space="0"/>
              <w:right w:val="single" w:color="000000" w:sz="4" w:space="0"/>
            </w:tcBorders>
            <w:vAlign w:val="center"/>
          </w:tcPr>
          <w:p w14:paraId="08B6EB73">
            <w:pPr>
              <w:keepNext w:val="0"/>
              <w:keepLines w:val="0"/>
              <w:widowControl w:val="0"/>
              <w:suppressLineNumbers w:val="0"/>
              <w:spacing w:before="0" w:beforeAutospacing="0" w:after="0" w:afterAutospacing="0"/>
              <w:ind w:left="0" w:leftChars="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标志和标识</w:t>
            </w:r>
          </w:p>
        </w:tc>
        <w:tc>
          <w:tcPr>
            <w:tcW w:w="641" w:type="pct"/>
            <w:tcBorders>
              <w:top w:val="single" w:color="000000" w:sz="4" w:space="0"/>
              <w:left w:val="single" w:color="000000" w:sz="4" w:space="0"/>
              <w:bottom w:val="single" w:color="000000" w:sz="4" w:space="0"/>
              <w:right w:val="single" w:color="auto" w:sz="4" w:space="0"/>
            </w:tcBorders>
            <w:vAlign w:val="center"/>
          </w:tcPr>
          <w:p w14:paraId="632740B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5</w:t>
            </w:r>
            <w:r>
              <w:rPr>
                <w:rFonts w:hint="default" w:ascii="Times New Roman" w:hAnsi="Times New Roman" w:eastAsia="宋体" w:cs="Times New Roman"/>
                <w:color w:val="auto"/>
                <w:kern w:val="0"/>
                <w:szCs w:val="21"/>
              </w:rPr>
              <w:t>.3</w:t>
            </w:r>
          </w:p>
        </w:tc>
        <w:tc>
          <w:tcPr>
            <w:tcW w:w="638" w:type="pct"/>
            <w:tcBorders>
              <w:top w:val="single" w:color="000000" w:sz="4" w:space="0"/>
              <w:left w:val="single" w:color="auto" w:sz="4" w:space="0"/>
              <w:bottom w:val="single" w:color="000000" w:sz="4" w:space="0"/>
              <w:right w:val="single" w:color="auto" w:sz="4" w:space="0"/>
            </w:tcBorders>
            <w:vAlign w:val="center"/>
          </w:tcPr>
          <w:p w14:paraId="2674DC6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目 测</w:t>
            </w:r>
          </w:p>
        </w:tc>
        <w:tc>
          <w:tcPr>
            <w:tcW w:w="679" w:type="pct"/>
            <w:tcBorders>
              <w:top w:val="single" w:color="000000" w:sz="4" w:space="0"/>
              <w:left w:val="single" w:color="auto" w:sz="4" w:space="0"/>
              <w:bottom w:val="single" w:color="000000" w:sz="4" w:space="0"/>
              <w:right w:val="single" w:color="000000" w:sz="4" w:space="0"/>
            </w:tcBorders>
            <w:vAlign w:val="center"/>
          </w:tcPr>
          <w:p w14:paraId="5E09E77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rPr>
            </w:pPr>
            <w:r>
              <w:rPr>
                <w:rFonts w:hint="eastAsia" w:ascii="Times New Roman" w:hAnsi="Times New Roman" w:eastAsia="宋体" w:cs="Times New Roman"/>
                <w:color w:val="auto"/>
                <w:kern w:val="0"/>
                <w:szCs w:val="21"/>
              </w:rPr>
              <w:t>观察项目</w:t>
            </w:r>
          </w:p>
        </w:tc>
        <w:tc>
          <w:tcPr>
            <w:tcW w:w="695" w:type="pct"/>
            <w:tcBorders>
              <w:top w:val="single" w:color="000000" w:sz="4" w:space="0"/>
              <w:left w:val="single" w:color="000000" w:sz="4" w:space="0"/>
              <w:bottom w:val="single" w:color="000000" w:sz="4" w:space="0"/>
              <w:right w:val="single" w:color="000000" w:sz="4" w:space="0"/>
            </w:tcBorders>
            <w:vAlign w:val="center"/>
          </w:tcPr>
          <w:p w14:paraId="6AC6966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全部</w:t>
            </w:r>
          </w:p>
        </w:tc>
        <w:tc>
          <w:tcPr>
            <w:tcW w:w="692" w:type="pct"/>
            <w:tcBorders>
              <w:top w:val="single" w:color="000000" w:sz="4" w:space="0"/>
              <w:left w:val="single" w:color="000000" w:sz="4" w:space="0"/>
              <w:bottom w:val="single" w:color="000000" w:sz="4" w:space="0"/>
              <w:right w:val="single" w:color="000000" w:sz="4" w:space="0"/>
            </w:tcBorders>
            <w:vAlign w:val="center"/>
          </w:tcPr>
          <w:p w14:paraId="3E95E3A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p>
        </w:tc>
      </w:tr>
      <w:tr w14:paraId="12B65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90" w:hRule="atLeast"/>
          <w:jc w:val="center"/>
        </w:trPr>
        <w:tc>
          <w:tcPr>
            <w:tcW w:w="284" w:type="pct"/>
            <w:tcBorders>
              <w:top w:val="single" w:color="000000" w:sz="4" w:space="0"/>
              <w:left w:val="single" w:color="000000" w:sz="4" w:space="0"/>
              <w:bottom w:val="single" w:color="000000" w:sz="4" w:space="0"/>
              <w:right w:val="single" w:color="000000" w:sz="4" w:space="0"/>
            </w:tcBorders>
            <w:vAlign w:val="center"/>
          </w:tcPr>
          <w:p w14:paraId="23292CE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4</w:t>
            </w:r>
          </w:p>
        </w:tc>
        <w:tc>
          <w:tcPr>
            <w:tcW w:w="1370" w:type="pct"/>
            <w:gridSpan w:val="2"/>
            <w:tcBorders>
              <w:top w:val="single" w:color="000000" w:sz="4" w:space="0"/>
              <w:left w:val="single" w:color="000000" w:sz="4" w:space="0"/>
              <w:bottom w:val="single" w:color="000000" w:sz="4" w:space="0"/>
              <w:right w:val="single" w:color="000000" w:sz="4" w:space="0"/>
            </w:tcBorders>
            <w:vAlign w:val="center"/>
          </w:tcPr>
          <w:p w14:paraId="3D2D8E4B">
            <w:pPr>
              <w:keepNext w:val="0"/>
              <w:keepLines w:val="0"/>
              <w:widowControl w:val="0"/>
              <w:suppressLineNumbers w:val="0"/>
              <w:spacing w:before="0" w:beforeAutospacing="0" w:after="0" w:afterAutospacing="0"/>
              <w:ind w:left="0" w:leftChars="0" w:right="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保护装置和封印</w:t>
            </w:r>
          </w:p>
        </w:tc>
        <w:tc>
          <w:tcPr>
            <w:tcW w:w="641" w:type="pct"/>
            <w:tcBorders>
              <w:top w:val="single" w:color="000000" w:sz="4" w:space="0"/>
              <w:left w:val="single" w:color="000000" w:sz="4" w:space="0"/>
              <w:bottom w:val="single" w:color="000000" w:sz="4" w:space="0"/>
              <w:right w:val="single" w:color="auto" w:sz="4" w:space="0"/>
            </w:tcBorders>
            <w:vAlign w:val="center"/>
          </w:tcPr>
          <w:p w14:paraId="6F303AB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5</w:t>
            </w:r>
            <w:r>
              <w:rPr>
                <w:rFonts w:hint="default" w:ascii="Times New Roman" w:hAnsi="Times New Roman" w:eastAsia="宋体" w:cs="Times New Roman"/>
                <w:color w:val="auto"/>
                <w:kern w:val="0"/>
                <w:szCs w:val="21"/>
              </w:rPr>
              <w:t>.</w:t>
            </w:r>
            <w:r>
              <w:rPr>
                <w:rFonts w:hint="eastAsia" w:ascii="Times New Roman" w:hAnsi="Times New Roman" w:eastAsia="宋体" w:cs="Times New Roman"/>
                <w:color w:val="auto"/>
                <w:kern w:val="0"/>
                <w:szCs w:val="21"/>
              </w:rPr>
              <w:t>4</w:t>
            </w:r>
          </w:p>
        </w:tc>
        <w:tc>
          <w:tcPr>
            <w:tcW w:w="638" w:type="pct"/>
            <w:tcBorders>
              <w:top w:val="single" w:color="000000" w:sz="4" w:space="0"/>
              <w:left w:val="single" w:color="auto" w:sz="4" w:space="0"/>
              <w:bottom w:val="single" w:color="000000" w:sz="4" w:space="0"/>
              <w:right w:val="single" w:color="auto" w:sz="4" w:space="0"/>
            </w:tcBorders>
            <w:vAlign w:val="center"/>
          </w:tcPr>
          <w:p w14:paraId="5F9A350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目 测</w:t>
            </w:r>
          </w:p>
        </w:tc>
        <w:tc>
          <w:tcPr>
            <w:tcW w:w="679" w:type="pct"/>
            <w:tcBorders>
              <w:top w:val="single" w:color="000000" w:sz="4" w:space="0"/>
              <w:left w:val="single" w:color="auto" w:sz="4" w:space="0"/>
              <w:bottom w:val="single" w:color="000000" w:sz="4" w:space="0"/>
              <w:right w:val="single" w:color="000000" w:sz="4" w:space="0"/>
            </w:tcBorders>
            <w:vAlign w:val="center"/>
          </w:tcPr>
          <w:p w14:paraId="54ABE75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rPr>
            </w:pPr>
            <w:r>
              <w:rPr>
                <w:rFonts w:hint="eastAsia" w:ascii="Times New Roman" w:hAnsi="Times New Roman" w:eastAsia="宋体" w:cs="Times New Roman"/>
                <w:color w:val="auto"/>
                <w:kern w:val="0"/>
                <w:szCs w:val="21"/>
              </w:rPr>
              <w:t>观察项目</w:t>
            </w:r>
          </w:p>
        </w:tc>
        <w:tc>
          <w:tcPr>
            <w:tcW w:w="695" w:type="pct"/>
            <w:tcBorders>
              <w:top w:val="single" w:color="000000" w:sz="4" w:space="0"/>
              <w:left w:val="single" w:color="000000" w:sz="4" w:space="0"/>
              <w:bottom w:val="single" w:color="000000" w:sz="4" w:space="0"/>
              <w:right w:val="single" w:color="000000" w:sz="4" w:space="0"/>
            </w:tcBorders>
            <w:vAlign w:val="center"/>
          </w:tcPr>
          <w:p w14:paraId="4ABF26F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全部</w:t>
            </w:r>
          </w:p>
        </w:tc>
        <w:tc>
          <w:tcPr>
            <w:tcW w:w="692" w:type="pct"/>
            <w:tcBorders>
              <w:top w:val="single" w:color="000000" w:sz="4" w:space="0"/>
              <w:left w:val="single" w:color="000000" w:sz="4" w:space="0"/>
              <w:bottom w:val="single" w:color="000000" w:sz="4" w:space="0"/>
              <w:right w:val="single" w:color="000000" w:sz="4" w:space="0"/>
            </w:tcBorders>
            <w:vAlign w:val="center"/>
          </w:tcPr>
          <w:p w14:paraId="48E7D1A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p>
        </w:tc>
      </w:tr>
      <w:tr w14:paraId="67927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90" w:hRule="atLeast"/>
          <w:jc w:val="center"/>
        </w:trPr>
        <w:tc>
          <w:tcPr>
            <w:tcW w:w="2295" w:type="pct"/>
            <w:gridSpan w:val="4"/>
            <w:tcBorders>
              <w:top w:val="single" w:color="000000" w:sz="4" w:space="0"/>
              <w:left w:val="single" w:color="000000" w:sz="4" w:space="0"/>
              <w:bottom w:val="single" w:color="000000" w:sz="4" w:space="0"/>
              <w:right w:val="single" w:color="auto" w:sz="4" w:space="0"/>
            </w:tcBorders>
            <w:vAlign w:val="center"/>
          </w:tcPr>
          <w:p w14:paraId="0CB397A8">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二、</w:t>
            </w:r>
            <w:r>
              <w:rPr>
                <w:rFonts w:hint="default" w:ascii="Times New Roman" w:hAnsi="Times New Roman" w:eastAsia="宋体" w:cs="Times New Roman"/>
                <w:color w:val="auto"/>
                <w:kern w:val="0"/>
                <w:szCs w:val="21"/>
              </w:rPr>
              <w:t>计量性能要求</w:t>
            </w:r>
          </w:p>
        </w:tc>
        <w:tc>
          <w:tcPr>
            <w:tcW w:w="638" w:type="pct"/>
            <w:tcBorders>
              <w:top w:val="single" w:color="000000" w:sz="4" w:space="0"/>
              <w:left w:val="single" w:color="auto" w:sz="4" w:space="0"/>
              <w:bottom w:val="single" w:color="000000" w:sz="4" w:space="0"/>
              <w:right w:val="single" w:color="auto" w:sz="4" w:space="0"/>
            </w:tcBorders>
          </w:tcPr>
          <w:p w14:paraId="2DCC886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p>
        </w:tc>
        <w:tc>
          <w:tcPr>
            <w:tcW w:w="1374" w:type="pct"/>
            <w:gridSpan w:val="2"/>
            <w:tcBorders>
              <w:top w:val="single" w:color="000000" w:sz="4" w:space="0"/>
              <w:left w:val="single" w:color="auto" w:sz="4" w:space="0"/>
              <w:bottom w:val="single" w:color="000000" w:sz="4" w:space="0"/>
              <w:right w:val="single" w:color="000000" w:sz="4" w:space="0"/>
            </w:tcBorders>
            <w:vAlign w:val="center"/>
          </w:tcPr>
          <w:p w14:paraId="41FA7DD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p>
        </w:tc>
        <w:tc>
          <w:tcPr>
            <w:tcW w:w="692" w:type="pct"/>
            <w:tcBorders>
              <w:top w:val="single" w:color="000000" w:sz="4" w:space="0"/>
              <w:left w:val="single" w:color="auto" w:sz="4" w:space="0"/>
              <w:bottom w:val="single" w:color="000000" w:sz="4" w:space="0"/>
              <w:right w:val="single" w:color="000000" w:sz="4" w:space="0"/>
            </w:tcBorders>
            <w:vAlign w:val="center"/>
          </w:tcPr>
          <w:p w14:paraId="4372C95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p>
        </w:tc>
      </w:tr>
      <w:tr w14:paraId="26610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90" w:hRule="atLeast"/>
          <w:jc w:val="center"/>
        </w:trPr>
        <w:tc>
          <w:tcPr>
            <w:tcW w:w="284" w:type="pct"/>
            <w:tcBorders>
              <w:top w:val="single" w:color="000000" w:sz="4" w:space="0"/>
              <w:left w:val="single" w:color="000000" w:sz="4" w:space="0"/>
              <w:bottom w:val="single" w:color="000000" w:sz="4" w:space="0"/>
              <w:right w:val="single" w:color="000000" w:sz="4" w:space="0"/>
            </w:tcBorders>
            <w:vAlign w:val="center"/>
          </w:tcPr>
          <w:p w14:paraId="1BCF380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w:t>
            </w:r>
          </w:p>
        </w:tc>
        <w:tc>
          <w:tcPr>
            <w:tcW w:w="1370" w:type="pct"/>
            <w:gridSpan w:val="2"/>
            <w:tcBorders>
              <w:top w:val="single" w:color="000000" w:sz="4" w:space="0"/>
              <w:left w:val="single" w:color="000000" w:sz="4" w:space="0"/>
              <w:bottom w:val="single" w:color="000000" w:sz="4" w:space="0"/>
              <w:right w:val="single" w:color="000000" w:sz="4" w:space="0"/>
            </w:tcBorders>
            <w:vAlign w:val="center"/>
          </w:tcPr>
          <w:p w14:paraId="6808126C">
            <w:pPr>
              <w:keepNext w:val="0"/>
              <w:keepLines w:val="0"/>
              <w:widowControl w:val="0"/>
              <w:suppressLineNumbers w:val="0"/>
              <w:spacing w:before="0" w:beforeAutospacing="0" w:after="0" w:afterAutospacing="0"/>
              <w:ind w:left="0" w:leftChars="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最大允许误差</w:t>
            </w:r>
            <w:r>
              <w:rPr>
                <w:rFonts w:hint="eastAsia" w:ascii="Times New Roman" w:hAnsi="Times New Roman" w:eastAsia="宋体" w:cs="Times New Roman"/>
                <w:color w:val="auto"/>
                <w:kern w:val="0"/>
                <w:sz w:val="21"/>
                <w:szCs w:val="21"/>
                <w:lang w:val="en-US" w:eastAsia="zh-CN" w:bidi="ar-SA"/>
              </w:rPr>
              <w:t>和重复性</w:t>
            </w:r>
          </w:p>
        </w:tc>
        <w:tc>
          <w:tcPr>
            <w:tcW w:w="641" w:type="pct"/>
            <w:tcBorders>
              <w:top w:val="single" w:color="000000" w:sz="4" w:space="0"/>
              <w:left w:val="single" w:color="000000" w:sz="4" w:space="0"/>
              <w:bottom w:val="single" w:color="000000" w:sz="4" w:space="0"/>
              <w:right w:val="single" w:color="auto" w:sz="4" w:space="0"/>
            </w:tcBorders>
            <w:vAlign w:val="center"/>
          </w:tcPr>
          <w:p w14:paraId="77663048">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rPr>
              <w:t>6.1</w:t>
            </w:r>
            <w:r>
              <w:rPr>
                <w:rFonts w:hint="eastAsia"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6.2</w:t>
            </w:r>
          </w:p>
        </w:tc>
        <w:tc>
          <w:tcPr>
            <w:tcW w:w="638" w:type="pct"/>
            <w:tcBorders>
              <w:top w:val="single" w:color="000000" w:sz="4" w:space="0"/>
              <w:left w:val="single" w:color="auto" w:sz="4" w:space="0"/>
              <w:bottom w:val="single" w:color="000000" w:sz="4" w:space="0"/>
              <w:right w:val="single" w:color="auto" w:sz="4" w:space="0"/>
            </w:tcBorders>
            <w:vAlign w:val="center"/>
          </w:tcPr>
          <w:p w14:paraId="281AF5CD">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rPr>
              <w:t>10.2.1</w:t>
            </w:r>
          </w:p>
        </w:tc>
        <w:tc>
          <w:tcPr>
            <w:tcW w:w="679" w:type="pct"/>
            <w:tcBorders>
              <w:top w:val="single" w:color="000000" w:sz="4" w:space="0"/>
              <w:left w:val="single" w:color="auto" w:sz="4" w:space="0"/>
              <w:bottom w:val="single" w:color="000000" w:sz="4" w:space="0"/>
              <w:right w:val="single" w:color="000000" w:sz="4" w:space="0"/>
            </w:tcBorders>
            <w:vAlign w:val="center"/>
          </w:tcPr>
          <w:p w14:paraId="44D10A0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试验项目</w:t>
            </w:r>
          </w:p>
        </w:tc>
        <w:tc>
          <w:tcPr>
            <w:tcW w:w="695" w:type="pct"/>
            <w:tcBorders>
              <w:top w:val="single" w:color="000000" w:sz="4" w:space="0"/>
              <w:left w:val="single" w:color="000000" w:sz="4" w:space="0"/>
              <w:bottom w:val="single" w:color="000000" w:sz="4" w:space="0"/>
              <w:right w:val="single" w:color="000000" w:sz="4" w:space="0"/>
            </w:tcBorders>
            <w:vAlign w:val="center"/>
          </w:tcPr>
          <w:p w14:paraId="34A797B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全部</w:t>
            </w:r>
          </w:p>
        </w:tc>
        <w:tc>
          <w:tcPr>
            <w:tcW w:w="692" w:type="pct"/>
            <w:tcBorders>
              <w:top w:val="single" w:color="000000" w:sz="4" w:space="0"/>
              <w:left w:val="single" w:color="000000" w:sz="4" w:space="0"/>
              <w:bottom w:val="single" w:color="000000" w:sz="4" w:space="0"/>
              <w:right w:val="single" w:color="000000" w:sz="4" w:space="0"/>
            </w:tcBorders>
            <w:vAlign w:val="center"/>
          </w:tcPr>
          <w:p w14:paraId="307B159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p>
        </w:tc>
      </w:tr>
      <w:tr w14:paraId="1DB81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90" w:hRule="atLeast"/>
          <w:jc w:val="center"/>
        </w:trPr>
        <w:tc>
          <w:tcPr>
            <w:tcW w:w="2295" w:type="pct"/>
            <w:gridSpan w:val="4"/>
            <w:tcBorders>
              <w:top w:val="single" w:color="000000" w:sz="4" w:space="0"/>
              <w:left w:val="single" w:color="000000" w:sz="4" w:space="0"/>
              <w:bottom w:val="single" w:color="000000" w:sz="4" w:space="0"/>
              <w:right w:val="single" w:color="auto" w:sz="4" w:space="0"/>
            </w:tcBorders>
            <w:vAlign w:val="center"/>
          </w:tcPr>
          <w:p w14:paraId="49953FD0">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三、</w:t>
            </w:r>
            <w:r>
              <w:rPr>
                <w:rFonts w:hint="default" w:ascii="Times New Roman" w:hAnsi="Times New Roman" w:eastAsia="宋体" w:cs="Times New Roman"/>
                <w:color w:val="auto"/>
                <w:kern w:val="0"/>
                <w:szCs w:val="21"/>
              </w:rPr>
              <w:t>通用技术要求</w:t>
            </w:r>
          </w:p>
        </w:tc>
        <w:tc>
          <w:tcPr>
            <w:tcW w:w="638" w:type="pct"/>
            <w:tcBorders>
              <w:top w:val="single" w:color="000000" w:sz="4" w:space="0"/>
              <w:left w:val="single" w:color="auto" w:sz="4" w:space="0"/>
              <w:bottom w:val="single" w:color="000000" w:sz="4" w:space="0"/>
              <w:right w:val="single" w:color="auto" w:sz="4" w:space="0"/>
            </w:tcBorders>
          </w:tcPr>
          <w:p w14:paraId="29A935C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p>
        </w:tc>
        <w:tc>
          <w:tcPr>
            <w:tcW w:w="1374" w:type="pct"/>
            <w:gridSpan w:val="2"/>
            <w:tcBorders>
              <w:top w:val="single" w:color="000000" w:sz="4" w:space="0"/>
              <w:left w:val="single" w:color="auto" w:sz="4" w:space="0"/>
              <w:bottom w:val="single" w:color="000000" w:sz="4" w:space="0"/>
              <w:right w:val="single" w:color="000000" w:sz="4" w:space="0"/>
            </w:tcBorders>
            <w:vAlign w:val="center"/>
          </w:tcPr>
          <w:p w14:paraId="130DFAB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p>
        </w:tc>
        <w:tc>
          <w:tcPr>
            <w:tcW w:w="692" w:type="pct"/>
            <w:tcBorders>
              <w:top w:val="single" w:color="000000" w:sz="4" w:space="0"/>
              <w:left w:val="single" w:color="auto" w:sz="4" w:space="0"/>
              <w:bottom w:val="single" w:color="000000" w:sz="4" w:space="0"/>
              <w:right w:val="single" w:color="000000" w:sz="4" w:space="0"/>
            </w:tcBorders>
            <w:vAlign w:val="center"/>
          </w:tcPr>
          <w:p w14:paraId="60E052F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p>
        </w:tc>
      </w:tr>
      <w:tr w14:paraId="7410D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90" w:hRule="atLeast"/>
          <w:jc w:val="center"/>
        </w:trPr>
        <w:tc>
          <w:tcPr>
            <w:tcW w:w="284" w:type="pct"/>
            <w:tcBorders>
              <w:top w:val="single" w:color="000000" w:sz="4" w:space="0"/>
              <w:left w:val="single" w:color="000000" w:sz="4" w:space="0"/>
              <w:bottom w:val="single" w:color="000000" w:sz="4" w:space="0"/>
              <w:right w:val="single" w:color="000000" w:sz="4" w:space="0"/>
            </w:tcBorders>
            <w:vAlign w:val="center"/>
          </w:tcPr>
          <w:p w14:paraId="643B3DD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eastAsia"/>
                <w:color w:val="auto"/>
                <w:kern w:val="0"/>
                <w:szCs w:val="21"/>
                <w:lang w:val="en-US" w:eastAsia="zh-CN"/>
              </w:rPr>
              <w:t>1</w:t>
            </w:r>
          </w:p>
        </w:tc>
        <w:tc>
          <w:tcPr>
            <w:tcW w:w="1370" w:type="pct"/>
            <w:gridSpan w:val="2"/>
            <w:tcBorders>
              <w:top w:val="single" w:color="000000" w:sz="4" w:space="0"/>
              <w:left w:val="single" w:color="000000" w:sz="4" w:space="0"/>
              <w:bottom w:val="single" w:color="000000" w:sz="4" w:space="0"/>
              <w:right w:val="single" w:color="000000" w:sz="4" w:space="0"/>
            </w:tcBorders>
            <w:vAlign w:val="center"/>
          </w:tcPr>
          <w:p w14:paraId="5A9CEE14">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lang w:eastAsia="zh-CN"/>
              </w:rPr>
            </w:pPr>
            <w:r>
              <w:rPr>
                <w:rFonts w:hint="eastAsia"/>
                <w:color w:val="auto"/>
                <w:kern w:val="0"/>
                <w:szCs w:val="21"/>
                <w:lang w:val="en-US" w:eastAsia="zh-CN"/>
              </w:rPr>
              <w:t>外观与铭牌</w:t>
            </w:r>
          </w:p>
        </w:tc>
        <w:tc>
          <w:tcPr>
            <w:tcW w:w="641" w:type="pct"/>
            <w:tcBorders>
              <w:top w:val="single" w:color="000000" w:sz="4" w:space="0"/>
              <w:left w:val="single" w:color="000000" w:sz="4" w:space="0"/>
              <w:bottom w:val="single" w:color="000000" w:sz="4" w:space="0"/>
              <w:right w:val="single" w:color="auto" w:sz="4" w:space="0"/>
            </w:tcBorders>
            <w:vAlign w:val="center"/>
          </w:tcPr>
          <w:p w14:paraId="33D3B80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cs="Times New Roman"/>
                <w:color w:val="auto"/>
                <w:kern w:val="0"/>
                <w:szCs w:val="21"/>
              </w:rPr>
              <w:t>7.</w:t>
            </w:r>
            <w:r>
              <w:rPr>
                <w:rFonts w:hint="default" w:ascii="Times New Roman" w:hAnsi="Times New Roman" w:cs="Times New Roman"/>
                <w:color w:val="auto"/>
                <w:kern w:val="0"/>
                <w:szCs w:val="21"/>
                <w:lang w:val="en-US" w:eastAsia="zh-CN"/>
              </w:rPr>
              <w:t>1</w:t>
            </w:r>
          </w:p>
        </w:tc>
        <w:tc>
          <w:tcPr>
            <w:tcW w:w="638" w:type="pct"/>
            <w:tcBorders>
              <w:top w:val="single" w:color="000000" w:sz="4" w:space="0"/>
              <w:left w:val="single" w:color="auto" w:sz="4" w:space="0"/>
              <w:bottom w:val="single" w:color="000000" w:sz="4" w:space="0"/>
              <w:right w:val="single" w:color="auto" w:sz="4" w:space="0"/>
            </w:tcBorders>
            <w:vAlign w:val="center"/>
          </w:tcPr>
          <w:p w14:paraId="2004B26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cs="Times New Roman"/>
                <w:color w:val="auto"/>
                <w:kern w:val="0"/>
                <w:szCs w:val="21"/>
              </w:rPr>
              <w:t>目 测</w:t>
            </w:r>
          </w:p>
        </w:tc>
        <w:tc>
          <w:tcPr>
            <w:tcW w:w="679" w:type="pct"/>
            <w:tcBorders>
              <w:top w:val="single" w:color="000000" w:sz="4" w:space="0"/>
              <w:left w:val="single" w:color="auto" w:sz="4" w:space="0"/>
              <w:bottom w:val="single" w:color="000000" w:sz="4" w:space="0"/>
              <w:right w:val="single" w:color="000000" w:sz="4" w:space="0"/>
            </w:tcBorders>
            <w:vAlign w:val="center"/>
          </w:tcPr>
          <w:p w14:paraId="77E5D56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eastAsia"/>
                <w:color w:val="auto"/>
                <w:kern w:val="0"/>
                <w:szCs w:val="21"/>
              </w:rPr>
              <w:t>观察项目</w:t>
            </w:r>
          </w:p>
        </w:tc>
        <w:tc>
          <w:tcPr>
            <w:tcW w:w="695" w:type="pct"/>
            <w:tcBorders>
              <w:top w:val="single" w:color="000000" w:sz="4" w:space="0"/>
              <w:left w:val="single" w:color="000000" w:sz="4" w:space="0"/>
              <w:bottom w:val="single" w:color="000000" w:sz="4" w:space="0"/>
              <w:right w:val="single" w:color="000000" w:sz="4" w:space="0"/>
            </w:tcBorders>
            <w:vAlign w:val="center"/>
          </w:tcPr>
          <w:p w14:paraId="4C34F16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eastAsia" w:ascii="Times New Roman" w:eastAsia="宋体"/>
                <w:color w:val="auto"/>
                <w:kern w:val="0"/>
                <w:szCs w:val="21"/>
                <w:lang w:val="en-US" w:eastAsia="zh-CN"/>
              </w:rPr>
              <w:t>全部</w:t>
            </w:r>
          </w:p>
        </w:tc>
        <w:tc>
          <w:tcPr>
            <w:tcW w:w="692" w:type="pct"/>
            <w:tcBorders>
              <w:top w:val="single" w:color="000000" w:sz="4" w:space="0"/>
              <w:left w:val="single" w:color="000000" w:sz="4" w:space="0"/>
              <w:bottom w:val="single" w:color="000000" w:sz="4" w:space="0"/>
              <w:right w:val="single" w:color="000000" w:sz="4" w:space="0"/>
            </w:tcBorders>
            <w:vAlign w:val="center"/>
          </w:tcPr>
          <w:p w14:paraId="7FF483D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p>
        </w:tc>
      </w:tr>
      <w:tr w14:paraId="1D820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90" w:hRule="atLeast"/>
          <w:jc w:val="center"/>
        </w:trPr>
        <w:tc>
          <w:tcPr>
            <w:tcW w:w="284" w:type="pct"/>
            <w:tcBorders>
              <w:top w:val="single" w:color="000000" w:sz="4" w:space="0"/>
              <w:left w:val="single" w:color="000000" w:sz="4" w:space="0"/>
              <w:bottom w:val="single" w:color="000000" w:sz="4" w:space="0"/>
              <w:right w:val="single" w:color="000000" w:sz="4" w:space="0"/>
            </w:tcBorders>
            <w:vAlign w:val="center"/>
          </w:tcPr>
          <w:p w14:paraId="69E6F88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eastAsia"/>
                <w:strike w:val="0"/>
                <w:dstrike w:val="0"/>
                <w:color w:val="auto"/>
                <w:kern w:val="0"/>
                <w:szCs w:val="21"/>
                <w:lang w:val="en-US" w:eastAsia="zh-CN"/>
              </w:rPr>
              <w:t>2</w:t>
            </w:r>
          </w:p>
        </w:tc>
        <w:tc>
          <w:tcPr>
            <w:tcW w:w="1370" w:type="pct"/>
            <w:gridSpan w:val="2"/>
            <w:tcBorders>
              <w:top w:val="single" w:color="000000" w:sz="4" w:space="0"/>
              <w:left w:val="single" w:color="000000" w:sz="4" w:space="0"/>
              <w:bottom w:val="single" w:color="000000" w:sz="4" w:space="0"/>
              <w:right w:val="single" w:color="000000" w:sz="4" w:space="0"/>
            </w:tcBorders>
            <w:vAlign w:val="center"/>
          </w:tcPr>
          <w:p w14:paraId="4155B1D3">
            <w:pPr>
              <w:pStyle w:val="5"/>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eastAsia"/>
                <w:strike w:val="0"/>
                <w:dstrike w:val="0"/>
                <w:color w:val="auto"/>
                <w:kern w:val="0"/>
                <w:sz w:val="21"/>
                <w:szCs w:val="21"/>
                <w:lang w:val="en-US" w:eastAsia="zh-CN"/>
              </w:rPr>
              <w:t>显示</w:t>
            </w:r>
          </w:p>
        </w:tc>
        <w:tc>
          <w:tcPr>
            <w:tcW w:w="641" w:type="pct"/>
            <w:tcBorders>
              <w:top w:val="single" w:color="000000" w:sz="4" w:space="0"/>
              <w:left w:val="single" w:color="000000" w:sz="4" w:space="0"/>
              <w:bottom w:val="single" w:color="000000" w:sz="4" w:space="0"/>
              <w:right w:val="single" w:color="auto" w:sz="4" w:space="0"/>
            </w:tcBorders>
            <w:vAlign w:val="center"/>
          </w:tcPr>
          <w:p w14:paraId="6F99812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cs="Times New Roman"/>
                <w:strike w:val="0"/>
                <w:dstrike w:val="0"/>
                <w:color w:val="auto"/>
                <w:kern w:val="0"/>
                <w:szCs w:val="21"/>
                <w:lang w:val="en-US" w:eastAsia="zh-CN"/>
              </w:rPr>
              <w:t>7.2</w:t>
            </w:r>
          </w:p>
        </w:tc>
        <w:tc>
          <w:tcPr>
            <w:tcW w:w="638" w:type="pct"/>
            <w:tcBorders>
              <w:top w:val="single" w:color="000000" w:sz="4" w:space="0"/>
              <w:left w:val="single" w:color="auto" w:sz="4" w:space="0"/>
              <w:bottom w:val="single" w:color="000000" w:sz="4" w:space="0"/>
              <w:right w:val="single" w:color="auto" w:sz="4" w:space="0"/>
            </w:tcBorders>
            <w:vAlign w:val="center"/>
          </w:tcPr>
          <w:p w14:paraId="191112E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cs="Times New Roman"/>
                <w:color w:val="auto"/>
                <w:kern w:val="0"/>
                <w:szCs w:val="21"/>
              </w:rPr>
              <w:t>目 测</w:t>
            </w:r>
          </w:p>
        </w:tc>
        <w:tc>
          <w:tcPr>
            <w:tcW w:w="679" w:type="pct"/>
            <w:tcBorders>
              <w:top w:val="single" w:color="000000" w:sz="4" w:space="0"/>
              <w:left w:val="single" w:color="auto" w:sz="4" w:space="0"/>
              <w:bottom w:val="single" w:color="000000" w:sz="4" w:space="0"/>
              <w:right w:val="single" w:color="000000" w:sz="4" w:space="0"/>
            </w:tcBorders>
            <w:vAlign w:val="center"/>
          </w:tcPr>
          <w:p w14:paraId="48ACDA9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Cs w:val="20"/>
              </w:rPr>
            </w:pPr>
            <w:r>
              <w:rPr>
                <w:rFonts w:hint="eastAsia"/>
                <w:color w:val="auto"/>
                <w:kern w:val="0"/>
                <w:szCs w:val="21"/>
              </w:rPr>
              <w:t>观察项目</w:t>
            </w:r>
          </w:p>
        </w:tc>
        <w:tc>
          <w:tcPr>
            <w:tcW w:w="695" w:type="pct"/>
            <w:tcBorders>
              <w:top w:val="single" w:color="000000" w:sz="4" w:space="0"/>
              <w:left w:val="single" w:color="000000" w:sz="4" w:space="0"/>
              <w:bottom w:val="single" w:color="000000" w:sz="4" w:space="0"/>
              <w:right w:val="single" w:color="000000" w:sz="4" w:space="0"/>
            </w:tcBorders>
            <w:vAlign w:val="center"/>
          </w:tcPr>
          <w:p w14:paraId="43AEC74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eastAsia" w:ascii="Times New Roman" w:eastAsia="宋体"/>
                <w:color w:val="auto"/>
                <w:kern w:val="0"/>
                <w:szCs w:val="21"/>
                <w:lang w:val="en-US" w:eastAsia="zh-CN"/>
              </w:rPr>
              <w:t>全部</w:t>
            </w:r>
          </w:p>
        </w:tc>
        <w:tc>
          <w:tcPr>
            <w:tcW w:w="692" w:type="pct"/>
            <w:tcBorders>
              <w:top w:val="single" w:color="000000" w:sz="4" w:space="0"/>
              <w:left w:val="single" w:color="000000" w:sz="4" w:space="0"/>
              <w:bottom w:val="single" w:color="000000" w:sz="4" w:space="0"/>
              <w:right w:val="single" w:color="000000" w:sz="4" w:space="0"/>
            </w:tcBorders>
            <w:vAlign w:val="center"/>
          </w:tcPr>
          <w:p w14:paraId="3462E89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p>
        </w:tc>
      </w:tr>
      <w:tr w14:paraId="0111E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90" w:hRule="atLeast"/>
          <w:jc w:val="center"/>
        </w:trPr>
        <w:tc>
          <w:tcPr>
            <w:tcW w:w="284" w:type="pct"/>
            <w:tcBorders>
              <w:top w:val="single" w:color="000000" w:sz="4" w:space="0"/>
              <w:left w:val="single" w:color="000000" w:sz="4" w:space="0"/>
              <w:bottom w:val="single" w:color="000000" w:sz="4" w:space="0"/>
              <w:right w:val="single" w:color="000000" w:sz="4" w:space="0"/>
            </w:tcBorders>
            <w:vAlign w:val="center"/>
          </w:tcPr>
          <w:p w14:paraId="3562EFF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trike/>
                <w:dstrike w:val="0"/>
                <w:color w:val="auto"/>
                <w:kern w:val="0"/>
                <w:szCs w:val="21"/>
              </w:rPr>
            </w:pPr>
            <w:r>
              <w:rPr>
                <w:rFonts w:hint="eastAsia"/>
                <w:strike w:val="0"/>
                <w:dstrike w:val="0"/>
                <w:color w:val="auto"/>
                <w:kern w:val="0"/>
                <w:szCs w:val="21"/>
                <w:lang w:val="en-US" w:eastAsia="zh-CN"/>
              </w:rPr>
              <w:t>3</w:t>
            </w:r>
          </w:p>
        </w:tc>
        <w:tc>
          <w:tcPr>
            <w:tcW w:w="1370" w:type="pct"/>
            <w:gridSpan w:val="2"/>
            <w:tcBorders>
              <w:top w:val="single" w:color="000000" w:sz="4" w:space="0"/>
              <w:left w:val="single" w:color="000000" w:sz="4" w:space="0"/>
              <w:bottom w:val="single" w:color="000000" w:sz="4" w:space="0"/>
              <w:right w:val="single" w:color="000000" w:sz="4" w:space="0"/>
            </w:tcBorders>
            <w:vAlign w:val="center"/>
          </w:tcPr>
          <w:p w14:paraId="0A9F02A1">
            <w:pPr>
              <w:pStyle w:val="5"/>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trike w:val="0"/>
                <w:dstrike w:val="0"/>
                <w:color w:val="auto"/>
                <w:kern w:val="0"/>
                <w:sz w:val="21"/>
                <w:szCs w:val="21"/>
                <w:lang w:val="en-US" w:eastAsia="zh-CN" w:bidi="ar-SA"/>
              </w:rPr>
            </w:pPr>
            <w:r>
              <w:rPr>
                <w:rFonts w:hint="eastAsia"/>
                <w:color w:val="auto"/>
                <w:sz w:val="21"/>
                <w:szCs w:val="21"/>
                <w:lang w:val="en-US" w:eastAsia="zh-CN"/>
              </w:rPr>
              <w:t>耐压强度</w:t>
            </w:r>
          </w:p>
        </w:tc>
        <w:tc>
          <w:tcPr>
            <w:tcW w:w="641" w:type="pct"/>
            <w:tcBorders>
              <w:top w:val="single" w:color="000000" w:sz="4" w:space="0"/>
              <w:left w:val="single" w:color="000000" w:sz="4" w:space="0"/>
              <w:bottom w:val="single" w:color="000000" w:sz="4" w:space="0"/>
              <w:right w:val="single" w:color="auto" w:sz="4" w:space="0"/>
            </w:tcBorders>
            <w:vAlign w:val="center"/>
          </w:tcPr>
          <w:p w14:paraId="511BC09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trike w:val="0"/>
                <w:dstrike w:val="0"/>
                <w:color w:val="auto"/>
                <w:kern w:val="0"/>
                <w:szCs w:val="21"/>
                <w:lang w:val="en-US" w:eastAsia="zh-CN"/>
              </w:rPr>
            </w:pPr>
            <w:r>
              <w:rPr>
                <w:rFonts w:hint="default" w:ascii="Times New Roman" w:hAnsi="Times New Roman" w:cs="Times New Roman"/>
                <w:strike w:val="0"/>
                <w:dstrike w:val="0"/>
                <w:color w:val="auto"/>
                <w:kern w:val="0"/>
                <w:szCs w:val="21"/>
                <w:lang w:val="en-US" w:eastAsia="zh-CN"/>
              </w:rPr>
              <w:t>7.3</w:t>
            </w:r>
          </w:p>
        </w:tc>
        <w:tc>
          <w:tcPr>
            <w:tcW w:w="638" w:type="pct"/>
            <w:tcBorders>
              <w:top w:val="single" w:color="000000" w:sz="4" w:space="0"/>
              <w:left w:val="single" w:color="auto" w:sz="4" w:space="0"/>
              <w:bottom w:val="single" w:color="000000" w:sz="4" w:space="0"/>
              <w:right w:val="single" w:color="auto" w:sz="4" w:space="0"/>
            </w:tcBorders>
            <w:vAlign w:val="center"/>
          </w:tcPr>
          <w:p w14:paraId="6DBCEA8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trike w:val="0"/>
                <w:dstrike w:val="0"/>
                <w:color w:val="auto"/>
                <w:kern w:val="0"/>
                <w:szCs w:val="21"/>
              </w:rPr>
            </w:pPr>
            <w:r>
              <w:rPr>
                <w:rFonts w:hint="default" w:ascii="Times New Roman" w:hAnsi="Times New Roman" w:cs="Times New Roman"/>
                <w:color w:val="auto"/>
                <w:kern w:val="0"/>
                <w:sz w:val="21"/>
                <w:szCs w:val="21"/>
                <w:lang w:val="en-US" w:eastAsia="zh-CN" w:bidi="ar-SA"/>
              </w:rPr>
              <w:t>10.3</w:t>
            </w:r>
          </w:p>
        </w:tc>
        <w:tc>
          <w:tcPr>
            <w:tcW w:w="679" w:type="pct"/>
            <w:tcBorders>
              <w:top w:val="single" w:color="000000" w:sz="4" w:space="0"/>
              <w:left w:val="single" w:color="auto" w:sz="4" w:space="0"/>
              <w:bottom w:val="single" w:color="000000" w:sz="4" w:space="0"/>
              <w:right w:val="single" w:color="000000" w:sz="4" w:space="0"/>
            </w:tcBorders>
            <w:vAlign w:val="center"/>
          </w:tcPr>
          <w:p w14:paraId="559DC79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trike w:val="0"/>
                <w:dstrike w:val="0"/>
                <w:color w:val="auto"/>
                <w:szCs w:val="20"/>
              </w:rPr>
            </w:pPr>
            <w:r>
              <w:rPr>
                <w:rFonts w:hint="eastAsia"/>
                <w:color w:val="auto"/>
                <w:kern w:val="0"/>
                <w:szCs w:val="21"/>
              </w:rPr>
              <w:t>试验项目</w:t>
            </w:r>
          </w:p>
        </w:tc>
        <w:tc>
          <w:tcPr>
            <w:tcW w:w="695" w:type="pct"/>
            <w:tcBorders>
              <w:top w:val="single" w:color="000000" w:sz="4" w:space="0"/>
              <w:left w:val="single" w:color="000000" w:sz="4" w:space="0"/>
              <w:bottom w:val="single" w:color="000000" w:sz="4" w:space="0"/>
              <w:right w:val="single" w:color="000000" w:sz="4" w:space="0"/>
            </w:tcBorders>
            <w:vAlign w:val="center"/>
          </w:tcPr>
          <w:p w14:paraId="6A07A30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trike w:val="0"/>
                <w:dstrike w:val="0"/>
                <w:color w:val="auto"/>
                <w:kern w:val="0"/>
                <w:szCs w:val="21"/>
              </w:rPr>
            </w:pPr>
            <w:r>
              <w:rPr>
                <w:rFonts w:hint="eastAsia" w:ascii="Times New Roman" w:eastAsia="宋体"/>
                <w:color w:val="auto"/>
                <w:kern w:val="0"/>
                <w:szCs w:val="21"/>
                <w:lang w:val="en-US" w:eastAsia="zh-CN"/>
              </w:rPr>
              <w:t>全部</w:t>
            </w:r>
          </w:p>
        </w:tc>
        <w:tc>
          <w:tcPr>
            <w:tcW w:w="692" w:type="pct"/>
            <w:tcBorders>
              <w:top w:val="single" w:color="000000" w:sz="4" w:space="0"/>
              <w:left w:val="single" w:color="000000" w:sz="4" w:space="0"/>
              <w:bottom w:val="single" w:color="000000" w:sz="4" w:space="0"/>
              <w:right w:val="single" w:color="000000" w:sz="4" w:space="0"/>
            </w:tcBorders>
            <w:vAlign w:val="center"/>
          </w:tcPr>
          <w:p w14:paraId="79E89F2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trike w:val="0"/>
                <w:dstrike w:val="0"/>
                <w:color w:val="auto"/>
                <w:kern w:val="0"/>
                <w:szCs w:val="21"/>
              </w:rPr>
            </w:pPr>
            <w:r>
              <w:rPr>
                <w:rFonts w:hint="eastAsia"/>
                <w:strike w:val="0"/>
                <w:dstrike w:val="0"/>
                <w:color w:val="auto"/>
                <w:kern w:val="0"/>
                <w:szCs w:val="21"/>
                <w:lang w:val="en-US" w:eastAsia="zh-CN"/>
              </w:rPr>
              <w:t>提供证书免于试验</w:t>
            </w:r>
          </w:p>
        </w:tc>
      </w:tr>
      <w:tr w14:paraId="716FD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623" w:hRule="atLeast"/>
          <w:jc w:val="center"/>
        </w:trPr>
        <w:tc>
          <w:tcPr>
            <w:tcW w:w="284" w:type="pct"/>
            <w:vMerge w:val="restart"/>
            <w:tcBorders>
              <w:top w:val="single" w:color="000000" w:sz="4" w:space="0"/>
              <w:left w:val="single" w:color="000000" w:sz="4" w:space="0"/>
              <w:right w:val="single" w:color="000000" w:sz="4" w:space="0"/>
            </w:tcBorders>
            <w:vAlign w:val="center"/>
          </w:tcPr>
          <w:p w14:paraId="5142A8D7">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4</w:t>
            </w:r>
          </w:p>
        </w:tc>
        <w:tc>
          <w:tcPr>
            <w:tcW w:w="493" w:type="pct"/>
            <w:vMerge w:val="restart"/>
            <w:tcBorders>
              <w:top w:val="single" w:color="000000" w:sz="4" w:space="0"/>
              <w:left w:val="single" w:color="000000" w:sz="4" w:space="0"/>
              <w:right w:val="single" w:color="auto" w:sz="4" w:space="0"/>
            </w:tcBorders>
            <w:vAlign w:val="center"/>
          </w:tcPr>
          <w:p w14:paraId="73F3F2B7">
            <w:pPr>
              <w:keepNext w:val="0"/>
              <w:keepLines w:val="0"/>
              <w:widowControl w:val="0"/>
              <w:suppressLineNumbers w:val="0"/>
              <w:spacing w:before="0" w:beforeAutospacing="0" w:after="0" w:afterAutospacing="0"/>
              <w:ind w:left="0" w:leftChars="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功能</w:t>
            </w:r>
            <w:r>
              <w:rPr>
                <w:rFonts w:hint="eastAsia" w:ascii="Times New Roman" w:hAnsi="Times New Roman" w:eastAsia="宋体" w:cs="Times New Roman"/>
                <w:color w:val="auto"/>
                <w:kern w:val="0"/>
                <w:sz w:val="21"/>
                <w:szCs w:val="21"/>
                <w:lang w:val="en-US" w:eastAsia="zh-CN" w:bidi="ar-SA"/>
              </w:rPr>
              <w:t>性要求</w:t>
            </w:r>
          </w:p>
        </w:tc>
        <w:tc>
          <w:tcPr>
            <w:tcW w:w="877" w:type="pct"/>
            <w:tcBorders>
              <w:top w:val="single" w:color="000000" w:sz="4" w:space="0"/>
              <w:left w:val="single" w:color="auto" w:sz="4" w:space="0"/>
              <w:bottom w:val="single" w:color="000000" w:sz="4" w:space="0"/>
              <w:right w:val="single" w:color="000000" w:sz="4" w:space="0"/>
            </w:tcBorders>
            <w:shd w:val="clear" w:color="auto" w:fill="auto"/>
            <w:vAlign w:val="center"/>
          </w:tcPr>
          <w:p w14:paraId="46F2033C">
            <w:pPr>
              <w:pStyle w:val="5"/>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trike w:val="0"/>
                <w:dstrike w:val="0"/>
                <w:color w:val="auto"/>
                <w:kern w:val="0"/>
                <w:sz w:val="21"/>
                <w:szCs w:val="21"/>
                <w:lang w:val="en-US" w:eastAsia="zh-CN" w:bidi="ar-SA"/>
              </w:rPr>
            </w:pPr>
            <w:r>
              <w:rPr>
                <w:rFonts w:hint="eastAsia"/>
                <w:strike w:val="0"/>
                <w:dstrike w:val="0"/>
                <w:color w:val="auto"/>
                <w:kern w:val="0"/>
                <w:sz w:val="21"/>
                <w:szCs w:val="21"/>
                <w:lang w:val="en-US" w:eastAsia="zh-CN"/>
              </w:rPr>
              <w:t>保护功能</w:t>
            </w:r>
          </w:p>
        </w:tc>
        <w:tc>
          <w:tcPr>
            <w:tcW w:w="641" w:type="pct"/>
            <w:tcBorders>
              <w:top w:val="single" w:color="000000" w:sz="4" w:space="0"/>
              <w:left w:val="single" w:color="000000" w:sz="4" w:space="0"/>
              <w:bottom w:val="single" w:color="000000" w:sz="4" w:space="0"/>
              <w:right w:val="single" w:color="auto" w:sz="4" w:space="0"/>
            </w:tcBorders>
            <w:shd w:val="clear" w:color="auto" w:fill="auto"/>
            <w:vAlign w:val="center"/>
          </w:tcPr>
          <w:p w14:paraId="5CE2DC1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trike w:val="0"/>
                <w:dstrike w:val="0"/>
                <w:color w:val="auto"/>
                <w:kern w:val="0"/>
                <w:sz w:val="21"/>
                <w:szCs w:val="21"/>
                <w:lang w:val="en-US" w:eastAsia="zh-CN" w:bidi="ar-SA"/>
              </w:rPr>
            </w:pPr>
            <w:r>
              <w:rPr>
                <w:rFonts w:hint="eastAsia"/>
                <w:strike w:val="0"/>
                <w:dstrike w:val="0"/>
                <w:color w:val="auto"/>
                <w:kern w:val="0"/>
                <w:szCs w:val="21"/>
                <w:lang w:val="en-US" w:eastAsia="zh-CN"/>
              </w:rPr>
              <w:t>7.4.1</w:t>
            </w:r>
          </w:p>
        </w:tc>
        <w:tc>
          <w:tcPr>
            <w:tcW w:w="638" w:type="pct"/>
            <w:tcBorders>
              <w:top w:val="single" w:color="000000" w:sz="4" w:space="0"/>
              <w:left w:val="single" w:color="auto" w:sz="4" w:space="0"/>
              <w:bottom w:val="single" w:color="000000" w:sz="4" w:space="0"/>
              <w:right w:val="single" w:color="auto" w:sz="4" w:space="0"/>
            </w:tcBorders>
            <w:shd w:val="clear" w:color="auto" w:fill="auto"/>
            <w:vAlign w:val="center"/>
          </w:tcPr>
          <w:p w14:paraId="4D301C6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trike w:val="0"/>
                <w:dstrike w:val="0"/>
                <w:color w:val="auto"/>
                <w:kern w:val="0"/>
                <w:sz w:val="21"/>
                <w:szCs w:val="21"/>
                <w:lang w:val="en-US" w:eastAsia="zh-CN" w:bidi="ar-SA"/>
              </w:rPr>
            </w:pPr>
            <w:r>
              <w:rPr>
                <w:rFonts w:hint="eastAsia"/>
                <w:color w:val="auto"/>
                <w:kern w:val="0"/>
                <w:szCs w:val="21"/>
              </w:rPr>
              <w:t>目 测</w:t>
            </w:r>
          </w:p>
        </w:tc>
        <w:tc>
          <w:tcPr>
            <w:tcW w:w="679" w:type="pct"/>
            <w:tcBorders>
              <w:top w:val="single" w:color="000000" w:sz="4" w:space="0"/>
              <w:left w:val="single" w:color="auto" w:sz="4" w:space="0"/>
              <w:bottom w:val="single" w:color="000000" w:sz="4" w:space="0"/>
              <w:right w:val="single" w:color="000000" w:sz="4" w:space="0"/>
            </w:tcBorders>
            <w:shd w:val="clear" w:color="auto" w:fill="auto"/>
            <w:vAlign w:val="center"/>
          </w:tcPr>
          <w:p w14:paraId="295AA2D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trike w:val="0"/>
                <w:dstrike w:val="0"/>
                <w:color w:val="auto"/>
                <w:kern w:val="2"/>
                <w:sz w:val="21"/>
                <w:szCs w:val="20"/>
                <w:lang w:val="en-US" w:eastAsia="zh-CN" w:bidi="ar-SA"/>
              </w:rPr>
            </w:pPr>
            <w:r>
              <w:rPr>
                <w:rFonts w:hint="eastAsia"/>
                <w:color w:val="auto"/>
                <w:kern w:val="0"/>
                <w:szCs w:val="21"/>
              </w:rPr>
              <w:t>观察项目</w:t>
            </w:r>
          </w:p>
        </w:tc>
        <w:tc>
          <w:tcPr>
            <w:tcW w:w="695" w:type="pct"/>
            <w:tcBorders>
              <w:top w:val="single" w:color="000000" w:sz="4" w:space="0"/>
              <w:left w:val="single" w:color="000000" w:sz="4" w:space="0"/>
              <w:bottom w:val="single" w:color="auto" w:sz="4" w:space="0"/>
              <w:right w:val="single" w:color="000000" w:sz="4" w:space="0"/>
            </w:tcBorders>
            <w:shd w:val="clear" w:color="auto" w:fill="auto"/>
            <w:vAlign w:val="center"/>
          </w:tcPr>
          <w:p w14:paraId="39985AF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trike w:val="0"/>
                <w:dstrike w:val="0"/>
                <w:color w:val="auto"/>
                <w:kern w:val="0"/>
                <w:sz w:val="21"/>
                <w:szCs w:val="21"/>
                <w:lang w:val="en-US" w:eastAsia="zh-CN" w:bidi="ar-SA"/>
              </w:rPr>
            </w:pPr>
            <w:r>
              <w:rPr>
                <w:rFonts w:hint="eastAsia" w:ascii="Times New Roman" w:eastAsia="宋体"/>
                <w:color w:val="auto"/>
                <w:kern w:val="0"/>
                <w:szCs w:val="21"/>
                <w:lang w:val="en-US" w:eastAsia="zh-CN"/>
              </w:rPr>
              <w:t>全部</w:t>
            </w:r>
          </w:p>
        </w:tc>
        <w:tc>
          <w:tcPr>
            <w:tcW w:w="692" w:type="pct"/>
            <w:tcBorders>
              <w:top w:val="single" w:color="000000" w:sz="4" w:space="0"/>
              <w:left w:val="single" w:color="000000" w:sz="4" w:space="0"/>
              <w:right w:val="single" w:color="000000" w:sz="4" w:space="0"/>
            </w:tcBorders>
            <w:vAlign w:val="center"/>
          </w:tcPr>
          <w:p w14:paraId="27A5F50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p>
        </w:tc>
      </w:tr>
      <w:tr w14:paraId="0FDC7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623" w:hRule="atLeast"/>
          <w:jc w:val="center"/>
        </w:trPr>
        <w:tc>
          <w:tcPr>
            <w:tcW w:w="284" w:type="pct"/>
            <w:vMerge w:val="continue"/>
            <w:tcBorders>
              <w:left w:val="single" w:color="000000" w:sz="4" w:space="0"/>
              <w:right w:val="single" w:color="000000" w:sz="4" w:space="0"/>
            </w:tcBorders>
            <w:vAlign w:val="center"/>
          </w:tcPr>
          <w:p w14:paraId="21DD7FF0">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rPr>
            </w:pPr>
          </w:p>
        </w:tc>
        <w:tc>
          <w:tcPr>
            <w:tcW w:w="493" w:type="pct"/>
            <w:vMerge w:val="continue"/>
            <w:tcBorders>
              <w:left w:val="single" w:color="000000" w:sz="4" w:space="0"/>
              <w:right w:val="single" w:color="auto" w:sz="4" w:space="0"/>
            </w:tcBorders>
            <w:vAlign w:val="center"/>
          </w:tcPr>
          <w:p w14:paraId="20B8F1C3">
            <w:pPr>
              <w:keepNext w:val="0"/>
              <w:keepLines w:val="0"/>
              <w:widowControl w:val="0"/>
              <w:suppressLineNumbers w:val="0"/>
              <w:spacing w:before="0" w:beforeAutospacing="0" w:after="0" w:afterAutospacing="0"/>
              <w:ind w:left="0" w:leftChars="0" w:right="0"/>
              <w:jc w:val="center"/>
              <w:rPr>
                <w:rFonts w:hint="default" w:ascii="Times New Roman" w:hAnsi="Times New Roman" w:eastAsia="宋体" w:cs="Times New Roman"/>
                <w:color w:val="auto"/>
                <w:kern w:val="0"/>
                <w:sz w:val="21"/>
                <w:szCs w:val="21"/>
                <w:lang w:val="en-US" w:eastAsia="zh-CN" w:bidi="ar-SA"/>
              </w:rPr>
            </w:pPr>
          </w:p>
        </w:tc>
        <w:tc>
          <w:tcPr>
            <w:tcW w:w="877" w:type="pct"/>
            <w:tcBorders>
              <w:top w:val="single" w:color="000000" w:sz="4" w:space="0"/>
              <w:left w:val="single" w:color="auto" w:sz="4" w:space="0"/>
              <w:bottom w:val="single" w:color="000000" w:sz="4" w:space="0"/>
              <w:right w:val="single" w:color="000000" w:sz="4" w:space="0"/>
            </w:tcBorders>
            <w:shd w:val="clear" w:color="auto" w:fill="auto"/>
            <w:vAlign w:val="center"/>
          </w:tcPr>
          <w:p w14:paraId="3606FF7F">
            <w:pPr>
              <w:pStyle w:val="5"/>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trike w:val="0"/>
                <w:dstrike w:val="0"/>
                <w:color w:val="auto"/>
                <w:kern w:val="0"/>
                <w:sz w:val="21"/>
                <w:szCs w:val="21"/>
                <w:lang w:val="en-US" w:eastAsia="zh-CN" w:bidi="ar-SA"/>
              </w:rPr>
            </w:pPr>
            <w:r>
              <w:rPr>
                <w:rFonts w:hint="eastAsia" w:ascii="Times New Roman" w:eastAsia="宋体"/>
                <w:color w:val="auto"/>
                <w:kern w:val="0"/>
                <w:sz w:val="21"/>
                <w:szCs w:val="21"/>
                <w:lang w:val="en-US" w:eastAsia="zh-CN"/>
              </w:rPr>
              <w:t>防护功能</w:t>
            </w:r>
          </w:p>
        </w:tc>
        <w:tc>
          <w:tcPr>
            <w:tcW w:w="641" w:type="pct"/>
            <w:tcBorders>
              <w:top w:val="single" w:color="000000" w:sz="4" w:space="0"/>
              <w:left w:val="single" w:color="000000" w:sz="4" w:space="0"/>
              <w:bottom w:val="single" w:color="000000" w:sz="4" w:space="0"/>
              <w:right w:val="single" w:color="auto" w:sz="4" w:space="0"/>
            </w:tcBorders>
            <w:shd w:val="clear" w:color="auto" w:fill="auto"/>
            <w:vAlign w:val="center"/>
          </w:tcPr>
          <w:p w14:paraId="7C2EAA5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trike w:val="0"/>
                <w:dstrike w:val="0"/>
                <w:color w:val="auto"/>
                <w:kern w:val="0"/>
                <w:sz w:val="21"/>
                <w:szCs w:val="21"/>
                <w:lang w:val="en-US" w:eastAsia="zh-CN" w:bidi="ar-SA"/>
              </w:rPr>
            </w:pPr>
            <w:r>
              <w:rPr>
                <w:rFonts w:hint="eastAsia"/>
                <w:strike w:val="0"/>
                <w:dstrike w:val="0"/>
                <w:color w:val="auto"/>
                <w:kern w:val="0"/>
                <w:szCs w:val="21"/>
                <w:lang w:val="en-US" w:eastAsia="zh-CN"/>
              </w:rPr>
              <w:t>7.4.2</w:t>
            </w:r>
          </w:p>
        </w:tc>
        <w:tc>
          <w:tcPr>
            <w:tcW w:w="638" w:type="pct"/>
            <w:tcBorders>
              <w:top w:val="single" w:color="000000" w:sz="4" w:space="0"/>
              <w:left w:val="single" w:color="auto" w:sz="4" w:space="0"/>
              <w:bottom w:val="single" w:color="000000" w:sz="4" w:space="0"/>
              <w:right w:val="single" w:color="auto" w:sz="4" w:space="0"/>
            </w:tcBorders>
            <w:shd w:val="clear" w:color="auto" w:fill="auto"/>
            <w:vAlign w:val="center"/>
          </w:tcPr>
          <w:p w14:paraId="164AFBFC">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目 测</w:t>
            </w:r>
          </w:p>
        </w:tc>
        <w:tc>
          <w:tcPr>
            <w:tcW w:w="679" w:type="pct"/>
            <w:tcBorders>
              <w:top w:val="single" w:color="000000" w:sz="4" w:space="0"/>
              <w:left w:val="single" w:color="auto" w:sz="4" w:space="0"/>
              <w:bottom w:val="single" w:color="000000" w:sz="4" w:space="0"/>
              <w:right w:val="single" w:color="000000" w:sz="4" w:space="0"/>
            </w:tcBorders>
            <w:shd w:val="clear" w:color="auto" w:fill="auto"/>
            <w:vAlign w:val="center"/>
          </w:tcPr>
          <w:p w14:paraId="5B57FDEE">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0"/>
                <w:lang w:val="en-US" w:eastAsia="zh-CN" w:bidi="ar-SA"/>
              </w:rPr>
            </w:pPr>
            <w:r>
              <w:rPr>
                <w:rFonts w:hint="eastAsia"/>
                <w:color w:val="auto"/>
                <w:kern w:val="0"/>
                <w:szCs w:val="21"/>
              </w:rPr>
              <w:t>观察项目</w:t>
            </w:r>
          </w:p>
        </w:tc>
        <w:tc>
          <w:tcPr>
            <w:tcW w:w="695" w:type="pct"/>
            <w:tcBorders>
              <w:top w:val="single" w:color="000000" w:sz="4" w:space="0"/>
              <w:left w:val="single" w:color="000000" w:sz="4" w:space="0"/>
              <w:bottom w:val="single" w:color="auto" w:sz="4" w:space="0"/>
              <w:right w:val="single" w:color="000000" w:sz="4" w:space="0"/>
            </w:tcBorders>
            <w:shd w:val="clear" w:color="auto" w:fill="auto"/>
            <w:vAlign w:val="center"/>
          </w:tcPr>
          <w:p w14:paraId="2CF717E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trike w:val="0"/>
                <w:dstrike w:val="0"/>
                <w:color w:val="auto"/>
                <w:kern w:val="0"/>
                <w:sz w:val="21"/>
                <w:szCs w:val="21"/>
                <w:lang w:val="en-US" w:eastAsia="zh-CN" w:bidi="ar-SA"/>
              </w:rPr>
            </w:pPr>
            <w:r>
              <w:rPr>
                <w:rFonts w:hint="eastAsia" w:ascii="Times New Roman" w:eastAsia="宋体"/>
                <w:color w:val="auto"/>
                <w:kern w:val="0"/>
                <w:szCs w:val="21"/>
                <w:lang w:val="en-US" w:eastAsia="zh-CN"/>
              </w:rPr>
              <w:t>全部</w:t>
            </w:r>
          </w:p>
        </w:tc>
        <w:tc>
          <w:tcPr>
            <w:tcW w:w="692" w:type="pct"/>
            <w:tcBorders>
              <w:top w:val="single" w:color="000000" w:sz="4" w:space="0"/>
              <w:left w:val="single" w:color="000000" w:sz="4" w:space="0"/>
              <w:right w:val="single" w:color="000000" w:sz="4" w:space="0"/>
            </w:tcBorders>
            <w:vAlign w:val="center"/>
          </w:tcPr>
          <w:p w14:paraId="093D386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p>
        </w:tc>
      </w:tr>
      <w:tr w14:paraId="30346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623" w:hRule="atLeast"/>
          <w:jc w:val="center"/>
        </w:trPr>
        <w:tc>
          <w:tcPr>
            <w:tcW w:w="284" w:type="pct"/>
            <w:vMerge w:val="continue"/>
            <w:tcBorders>
              <w:left w:val="single" w:color="000000" w:sz="4" w:space="0"/>
              <w:right w:val="single" w:color="000000" w:sz="4" w:space="0"/>
            </w:tcBorders>
            <w:vAlign w:val="center"/>
          </w:tcPr>
          <w:p w14:paraId="24C2C36F">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rPr>
            </w:pPr>
          </w:p>
        </w:tc>
        <w:tc>
          <w:tcPr>
            <w:tcW w:w="493" w:type="pct"/>
            <w:vMerge w:val="continue"/>
            <w:tcBorders>
              <w:left w:val="single" w:color="000000" w:sz="4" w:space="0"/>
              <w:right w:val="single" w:color="auto" w:sz="4" w:space="0"/>
            </w:tcBorders>
            <w:vAlign w:val="center"/>
          </w:tcPr>
          <w:p w14:paraId="538DB73C">
            <w:pPr>
              <w:keepNext w:val="0"/>
              <w:keepLines w:val="0"/>
              <w:widowControl w:val="0"/>
              <w:suppressLineNumbers w:val="0"/>
              <w:spacing w:before="0" w:beforeAutospacing="0" w:after="0" w:afterAutospacing="0"/>
              <w:ind w:left="0" w:leftChars="0" w:right="0"/>
              <w:jc w:val="center"/>
              <w:rPr>
                <w:rFonts w:hint="default" w:ascii="Times New Roman" w:hAnsi="Times New Roman" w:eastAsia="宋体" w:cs="Times New Roman"/>
                <w:color w:val="auto"/>
                <w:kern w:val="0"/>
                <w:sz w:val="21"/>
                <w:szCs w:val="21"/>
                <w:lang w:val="en-US" w:eastAsia="zh-CN" w:bidi="ar-SA"/>
              </w:rPr>
            </w:pPr>
          </w:p>
        </w:tc>
        <w:tc>
          <w:tcPr>
            <w:tcW w:w="877" w:type="pct"/>
            <w:tcBorders>
              <w:top w:val="single" w:color="000000" w:sz="4" w:space="0"/>
              <w:left w:val="single" w:color="auto" w:sz="4" w:space="0"/>
              <w:bottom w:val="single" w:color="000000" w:sz="4" w:space="0"/>
              <w:right w:val="single" w:color="000000" w:sz="4" w:space="0"/>
            </w:tcBorders>
            <w:shd w:val="clear" w:color="auto" w:fill="auto"/>
            <w:vAlign w:val="center"/>
          </w:tcPr>
          <w:p w14:paraId="4184EF21">
            <w:pPr>
              <w:pStyle w:val="5"/>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trike w:val="0"/>
                <w:dstrike w:val="0"/>
                <w:color w:val="auto"/>
                <w:kern w:val="0"/>
                <w:sz w:val="21"/>
                <w:szCs w:val="21"/>
                <w:lang w:val="en-US" w:eastAsia="zh-CN" w:bidi="ar-SA"/>
              </w:rPr>
            </w:pPr>
            <w:r>
              <w:rPr>
                <w:rFonts w:hint="eastAsia" w:ascii="Times New Roman" w:eastAsia="宋体"/>
                <w:color w:val="auto"/>
                <w:sz w:val="21"/>
                <w:szCs w:val="21"/>
                <w:lang w:val="en-US" w:eastAsia="zh-CN"/>
              </w:rPr>
              <w:t>信号输出</w:t>
            </w:r>
          </w:p>
        </w:tc>
        <w:tc>
          <w:tcPr>
            <w:tcW w:w="641" w:type="pct"/>
            <w:tcBorders>
              <w:top w:val="single" w:color="000000" w:sz="4" w:space="0"/>
              <w:left w:val="single" w:color="000000" w:sz="4" w:space="0"/>
              <w:bottom w:val="single" w:color="000000" w:sz="4" w:space="0"/>
              <w:right w:val="single" w:color="auto" w:sz="4" w:space="0"/>
            </w:tcBorders>
            <w:shd w:val="clear" w:color="auto" w:fill="auto"/>
            <w:vAlign w:val="center"/>
          </w:tcPr>
          <w:p w14:paraId="3184ADF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trike w:val="0"/>
                <w:dstrike w:val="0"/>
                <w:color w:val="auto"/>
                <w:kern w:val="0"/>
                <w:sz w:val="21"/>
                <w:szCs w:val="21"/>
                <w:lang w:val="en-US" w:eastAsia="zh-CN" w:bidi="ar-SA"/>
              </w:rPr>
            </w:pPr>
            <w:r>
              <w:rPr>
                <w:rFonts w:hint="eastAsia"/>
                <w:strike w:val="0"/>
                <w:dstrike w:val="0"/>
                <w:color w:val="auto"/>
                <w:kern w:val="0"/>
                <w:szCs w:val="21"/>
                <w:lang w:val="en-US" w:eastAsia="zh-CN"/>
              </w:rPr>
              <w:t>7.4.3</w:t>
            </w:r>
          </w:p>
        </w:tc>
        <w:tc>
          <w:tcPr>
            <w:tcW w:w="638" w:type="pct"/>
            <w:tcBorders>
              <w:top w:val="single" w:color="000000" w:sz="4" w:space="0"/>
              <w:left w:val="single" w:color="auto" w:sz="4" w:space="0"/>
              <w:bottom w:val="single" w:color="000000" w:sz="4" w:space="0"/>
              <w:right w:val="single" w:color="auto" w:sz="4" w:space="0"/>
            </w:tcBorders>
            <w:shd w:val="clear" w:color="auto" w:fill="auto"/>
            <w:vAlign w:val="center"/>
          </w:tcPr>
          <w:p w14:paraId="5E4FA741">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目 测</w:t>
            </w:r>
          </w:p>
        </w:tc>
        <w:tc>
          <w:tcPr>
            <w:tcW w:w="679" w:type="pct"/>
            <w:tcBorders>
              <w:top w:val="single" w:color="000000" w:sz="4" w:space="0"/>
              <w:left w:val="single" w:color="auto" w:sz="4" w:space="0"/>
              <w:bottom w:val="single" w:color="000000" w:sz="4" w:space="0"/>
              <w:right w:val="single" w:color="000000" w:sz="4" w:space="0"/>
            </w:tcBorders>
            <w:shd w:val="clear" w:color="auto" w:fill="auto"/>
            <w:vAlign w:val="center"/>
          </w:tcPr>
          <w:p w14:paraId="5A7B0B08">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0"/>
                <w:lang w:val="en-US" w:eastAsia="zh-CN" w:bidi="ar-SA"/>
              </w:rPr>
            </w:pPr>
            <w:r>
              <w:rPr>
                <w:rFonts w:hint="eastAsia"/>
                <w:color w:val="auto"/>
                <w:kern w:val="0"/>
                <w:szCs w:val="21"/>
              </w:rPr>
              <w:t>观察项目</w:t>
            </w:r>
          </w:p>
        </w:tc>
        <w:tc>
          <w:tcPr>
            <w:tcW w:w="695" w:type="pct"/>
            <w:tcBorders>
              <w:top w:val="single" w:color="000000" w:sz="4" w:space="0"/>
              <w:left w:val="single" w:color="000000" w:sz="4" w:space="0"/>
              <w:bottom w:val="single" w:color="auto" w:sz="4" w:space="0"/>
              <w:right w:val="single" w:color="000000" w:sz="4" w:space="0"/>
            </w:tcBorders>
            <w:shd w:val="clear" w:color="auto" w:fill="auto"/>
            <w:vAlign w:val="center"/>
          </w:tcPr>
          <w:p w14:paraId="5E19B33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strike w:val="0"/>
                <w:dstrike w:val="0"/>
                <w:color w:val="auto"/>
                <w:kern w:val="0"/>
                <w:sz w:val="21"/>
                <w:szCs w:val="21"/>
                <w:lang w:val="en-US" w:eastAsia="zh-CN" w:bidi="ar-SA"/>
              </w:rPr>
            </w:pPr>
            <w:r>
              <w:rPr>
                <w:rFonts w:hint="eastAsia" w:ascii="Times New Roman" w:eastAsia="宋体"/>
                <w:color w:val="auto"/>
                <w:kern w:val="0"/>
                <w:szCs w:val="21"/>
                <w:lang w:val="en-US" w:eastAsia="zh-CN"/>
              </w:rPr>
              <w:t>全部</w:t>
            </w:r>
          </w:p>
        </w:tc>
        <w:tc>
          <w:tcPr>
            <w:tcW w:w="692" w:type="pct"/>
            <w:tcBorders>
              <w:top w:val="single" w:color="000000" w:sz="4" w:space="0"/>
              <w:left w:val="single" w:color="000000" w:sz="4" w:space="0"/>
              <w:right w:val="single" w:color="000000" w:sz="4" w:space="0"/>
            </w:tcBorders>
            <w:vAlign w:val="center"/>
          </w:tcPr>
          <w:p w14:paraId="10C8D37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p>
        </w:tc>
      </w:tr>
      <w:tr w14:paraId="740BB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623" w:hRule="atLeast"/>
          <w:jc w:val="center"/>
        </w:trPr>
        <w:tc>
          <w:tcPr>
            <w:tcW w:w="284" w:type="pct"/>
            <w:vMerge w:val="continue"/>
            <w:tcBorders>
              <w:left w:val="single" w:color="000000" w:sz="4" w:space="0"/>
              <w:right w:val="single" w:color="000000" w:sz="4" w:space="0"/>
            </w:tcBorders>
            <w:vAlign w:val="center"/>
          </w:tcPr>
          <w:p w14:paraId="5957EB05">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rPr>
            </w:pPr>
          </w:p>
        </w:tc>
        <w:tc>
          <w:tcPr>
            <w:tcW w:w="493" w:type="pct"/>
            <w:vMerge w:val="continue"/>
            <w:tcBorders>
              <w:left w:val="single" w:color="000000" w:sz="4" w:space="0"/>
              <w:right w:val="single" w:color="auto" w:sz="4" w:space="0"/>
            </w:tcBorders>
            <w:vAlign w:val="center"/>
          </w:tcPr>
          <w:p w14:paraId="5E15710F">
            <w:pPr>
              <w:keepNext w:val="0"/>
              <w:keepLines w:val="0"/>
              <w:widowControl w:val="0"/>
              <w:suppressLineNumbers w:val="0"/>
              <w:spacing w:before="0" w:beforeAutospacing="0" w:after="0" w:afterAutospacing="0"/>
              <w:ind w:left="0" w:leftChars="0" w:right="0"/>
              <w:jc w:val="center"/>
              <w:rPr>
                <w:rFonts w:hint="default" w:ascii="Times New Roman" w:hAnsi="Times New Roman" w:eastAsia="宋体" w:cs="Times New Roman"/>
                <w:color w:val="auto"/>
                <w:kern w:val="0"/>
                <w:sz w:val="21"/>
                <w:szCs w:val="21"/>
                <w:lang w:val="en-US" w:eastAsia="zh-CN" w:bidi="ar-SA"/>
              </w:rPr>
            </w:pPr>
          </w:p>
        </w:tc>
        <w:tc>
          <w:tcPr>
            <w:tcW w:w="877" w:type="pct"/>
            <w:tcBorders>
              <w:top w:val="single" w:color="000000" w:sz="4" w:space="0"/>
              <w:left w:val="single" w:color="auto" w:sz="4" w:space="0"/>
              <w:bottom w:val="single" w:color="000000" w:sz="4" w:space="0"/>
              <w:right w:val="single" w:color="000000" w:sz="4" w:space="0"/>
            </w:tcBorders>
            <w:shd w:val="clear" w:color="auto" w:fill="auto"/>
            <w:vAlign w:val="center"/>
          </w:tcPr>
          <w:p w14:paraId="5059A5B1">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压力损失</w:t>
            </w:r>
          </w:p>
        </w:tc>
        <w:tc>
          <w:tcPr>
            <w:tcW w:w="641" w:type="pct"/>
            <w:tcBorders>
              <w:top w:val="single" w:color="000000" w:sz="4" w:space="0"/>
              <w:left w:val="single" w:color="000000" w:sz="4" w:space="0"/>
              <w:bottom w:val="single" w:color="000000" w:sz="4" w:space="0"/>
              <w:right w:val="single" w:color="auto" w:sz="4" w:space="0"/>
            </w:tcBorders>
            <w:shd w:val="clear" w:color="auto" w:fill="auto"/>
            <w:vAlign w:val="center"/>
          </w:tcPr>
          <w:p w14:paraId="63AE67CC">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eastAsia="宋体"/>
                <w:strike w:val="0"/>
                <w:dstrike w:val="0"/>
                <w:color w:val="auto"/>
                <w:kern w:val="0"/>
                <w:szCs w:val="21"/>
                <w:lang w:val="en-US" w:eastAsia="zh-CN"/>
              </w:rPr>
              <w:t>7.4</w:t>
            </w:r>
            <w:r>
              <w:rPr>
                <w:rFonts w:hint="eastAsia"/>
                <w:color w:val="auto"/>
                <w:kern w:val="0"/>
                <w:szCs w:val="21"/>
                <w:lang w:val="en-US" w:eastAsia="zh-CN"/>
              </w:rPr>
              <w:t>.4</w:t>
            </w:r>
          </w:p>
        </w:tc>
        <w:tc>
          <w:tcPr>
            <w:tcW w:w="638" w:type="pct"/>
            <w:tcBorders>
              <w:top w:val="single" w:color="000000" w:sz="4" w:space="0"/>
              <w:left w:val="single" w:color="auto" w:sz="4" w:space="0"/>
              <w:bottom w:val="single" w:color="000000" w:sz="4" w:space="0"/>
              <w:right w:val="single" w:color="auto" w:sz="4" w:space="0"/>
            </w:tcBorders>
            <w:shd w:val="clear" w:color="auto" w:fill="auto"/>
            <w:vAlign w:val="center"/>
          </w:tcPr>
          <w:p w14:paraId="0630E7D7">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10.2.2</w:t>
            </w:r>
          </w:p>
        </w:tc>
        <w:tc>
          <w:tcPr>
            <w:tcW w:w="679" w:type="pct"/>
            <w:tcBorders>
              <w:top w:val="single" w:color="000000" w:sz="4" w:space="0"/>
              <w:left w:val="single" w:color="auto" w:sz="4" w:space="0"/>
              <w:bottom w:val="single" w:color="000000" w:sz="4" w:space="0"/>
              <w:right w:val="single" w:color="000000" w:sz="4" w:space="0"/>
            </w:tcBorders>
            <w:shd w:val="clear" w:color="auto" w:fill="auto"/>
            <w:vAlign w:val="center"/>
          </w:tcPr>
          <w:p w14:paraId="02A1C12D">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0"/>
                <w:lang w:val="en-US" w:eastAsia="zh-CN" w:bidi="ar-SA"/>
              </w:rPr>
            </w:pPr>
            <w:r>
              <w:rPr>
                <w:rFonts w:hint="eastAsia"/>
                <w:color w:val="auto"/>
                <w:kern w:val="0"/>
                <w:szCs w:val="21"/>
              </w:rPr>
              <w:t>试验项目</w:t>
            </w:r>
          </w:p>
        </w:tc>
        <w:tc>
          <w:tcPr>
            <w:tcW w:w="695" w:type="pct"/>
            <w:tcBorders>
              <w:top w:val="single" w:color="000000" w:sz="4" w:space="0"/>
              <w:left w:val="single" w:color="000000" w:sz="4" w:space="0"/>
              <w:bottom w:val="single" w:color="auto" w:sz="4" w:space="0"/>
              <w:right w:val="single" w:color="000000" w:sz="4" w:space="0"/>
            </w:tcBorders>
            <w:shd w:val="clear" w:color="auto" w:fill="auto"/>
            <w:vAlign w:val="center"/>
          </w:tcPr>
          <w:p w14:paraId="5C379D80">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eastAsia="宋体"/>
                <w:color w:val="auto"/>
                <w:kern w:val="0"/>
                <w:szCs w:val="21"/>
                <w:lang w:val="en-US" w:eastAsia="zh-CN"/>
              </w:rPr>
              <w:t>全部</w:t>
            </w:r>
          </w:p>
        </w:tc>
        <w:tc>
          <w:tcPr>
            <w:tcW w:w="692" w:type="pct"/>
            <w:tcBorders>
              <w:top w:val="single" w:color="000000" w:sz="4" w:space="0"/>
              <w:left w:val="single" w:color="000000" w:sz="4" w:space="0"/>
              <w:right w:val="single" w:color="000000" w:sz="4" w:space="0"/>
            </w:tcBorders>
            <w:vAlign w:val="center"/>
          </w:tcPr>
          <w:p w14:paraId="4D841A8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p>
        </w:tc>
      </w:tr>
      <w:tr w14:paraId="3EEF2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90" w:hRule="atLeast"/>
          <w:jc w:val="center"/>
        </w:trPr>
        <w:tc>
          <w:tcPr>
            <w:tcW w:w="284" w:type="pct"/>
            <w:vMerge w:val="restart"/>
            <w:tcBorders>
              <w:top w:val="single" w:color="000000" w:sz="4" w:space="0"/>
              <w:left w:val="single" w:color="000000" w:sz="4" w:space="0"/>
              <w:right w:val="single" w:color="000000" w:sz="4" w:space="0"/>
            </w:tcBorders>
            <w:vAlign w:val="center"/>
          </w:tcPr>
          <w:p w14:paraId="2056560F">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5</w:t>
            </w:r>
          </w:p>
        </w:tc>
        <w:tc>
          <w:tcPr>
            <w:tcW w:w="493" w:type="pct"/>
            <w:vMerge w:val="restart"/>
            <w:tcBorders>
              <w:top w:val="single" w:color="000000" w:sz="4" w:space="0"/>
              <w:left w:val="single" w:color="000000" w:sz="4" w:space="0"/>
              <w:right w:val="single" w:color="auto" w:sz="4" w:space="0"/>
            </w:tcBorders>
            <w:vAlign w:val="center"/>
          </w:tcPr>
          <w:p w14:paraId="3D4A8B09">
            <w:pPr>
              <w:keepNext w:val="0"/>
              <w:keepLines w:val="0"/>
              <w:widowControl/>
              <w:numPr>
                <w:ilvl w:val="0"/>
                <w:numId w:val="0"/>
              </w:numPr>
              <w:suppressLineNumbers w:val="0"/>
              <w:spacing w:before="0" w:beforeLines="0" w:beforeAutospacing="0" w:after="0" w:afterLines="0" w:afterAutospacing="0"/>
              <w:ind w:left="0" w:right="0"/>
              <w:jc w:val="center"/>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安全</w:t>
            </w:r>
          </w:p>
          <w:p w14:paraId="3C2ECD88">
            <w:pPr>
              <w:keepNext w:val="0"/>
              <w:keepLines w:val="0"/>
              <w:widowControl/>
              <w:numPr>
                <w:ilvl w:val="0"/>
                <w:numId w:val="0"/>
              </w:numPr>
              <w:suppressLineNumbers w:val="0"/>
              <w:spacing w:before="0" w:beforeLines="0" w:beforeAutospacing="0" w:after="0" w:afterLines="0" w:afterAutospacing="0"/>
              <w:ind w:left="0" w:right="0"/>
              <w:jc w:val="center"/>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性能</w:t>
            </w:r>
          </w:p>
        </w:tc>
        <w:tc>
          <w:tcPr>
            <w:tcW w:w="877" w:type="pct"/>
            <w:tcBorders>
              <w:top w:val="single" w:color="000000" w:sz="4" w:space="0"/>
              <w:left w:val="single" w:color="auto" w:sz="4" w:space="0"/>
              <w:bottom w:val="single" w:color="000000" w:sz="4" w:space="0"/>
              <w:right w:val="single" w:color="000000" w:sz="4" w:space="0"/>
            </w:tcBorders>
            <w:vAlign w:val="center"/>
          </w:tcPr>
          <w:p w14:paraId="47BE0250">
            <w:pPr>
              <w:pStyle w:val="14"/>
              <w:keepNext w:val="0"/>
              <w:keepLines w:val="0"/>
              <w:widowControl/>
              <w:suppressLineNumbers w:val="0"/>
              <w:spacing w:before="0" w:beforeAutospacing="0" w:after="0" w:afterAutospacing="0"/>
              <w:ind w:left="0" w:leftChars="0" w:right="0" w:rightChars="0"/>
              <w:jc w:val="center"/>
              <w:outlineLvl w:val="9"/>
              <w:rPr>
                <w:rFonts w:hint="default" w:ascii="Times New Roman" w:hAnsi="Times New Roman" w:eastAsia="宋体" w:cs="Times New Roman"/>
                <w:color w:val="auto"/>
                <w:kern w:val="2"/>
                <w:sz w:val="21"/>
                <w:szCs w:val="21"/>
                <w:lang w:val="en-US" w:eastAsia="zh-CN" w:bidi="ar-SA"/>
              </w:rPr>
            </w:pPr>
            <w:r>
              <w:rPr>
                <w:rFonts w:hint="eastAsia" w:eastAsia="宋体"/>
                <w:color w:val="auto"/>
                <w:szCs w:val="21"/>
              </w:rPr>
              <w:t>绝缘电阻</w:t>
            </w:r>
          </w:p>
        </w:tc>
        <w:tc>
          <w:tcPr>
            <w:tcW w:w="641" w:type="pct"/>
            <w:tcBorders>
              <w:top w:val="single" w:color="000000" w:sz="4" w:space="0"/>
              <w:left w:val="single" w:color="000000" w:sz="4" w:space="0"/>
              <w:bottom w:val="single" w:color="000000" w:sz="4" w:space="0"/>
              <w:right w:val="single" w:color="auto" w:sz="4" w:space="0"/>
            </w:tcBorders>
            <w:vAlign w:val="center"/>
          </w:tcPr>
          <w:p w14:paraId="2BC78FD4">
            <w:pPr>
              <w:pStyle w:val="5"/>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color w:val="auto"/>
                <w:kern w:val="0"/>
                <w:sz w:val="21"/>
                <w:szCs w:val="21"/>
              </w:rPr>
              <w:t>7.</w:t>
            </w:r>
            <w:r>
              <w:rPr>
                <w:rFonts w:hint="eastAsia"/>
                <w:color w:val="auto"/>
                <w:kern w:val="0"/>
                <w:sz w:val="21"/>
                <w:szCs w:val="21"/>
                <w:lang w:val="en-US" w:eastAsia="zh-CN"/>
              </w:rPr>
              <w:t>5</w:t>
            </w:r>
            <w:r>
              <w:rPr>
                <w:rFonts w:hint="eastAsia"/>
                <w:color w:val="auto"/>
                <w:kern w:val="0"/>
                <w:sz w:val="21"/>
                <w:szCs w:val="21"/>
              </w:rPr>
              <w:t>.1</w:t>
            </w:r>
          </w:p>
        </w:tc>
        <w:tc>
          <w:tcPr>
            <w:tcW w:w="638" w:type="pct"/>
            <w:tcBorders>
              <w:top w:val="single" w:color="000000" w:sz="4" w:space="0"/>
              <w:left w:val="single" w:color="auto" w:sz="4" w:space="0"/>
              <w:bottom w:val="single" w:color="000000" w:sz="4" w:space="0"/>
              <w:right w:val="single" w:color="auto" w:sz="4" w:space="0"/>
            </w:tcBorders>
            <w:vAlign w:val="center"/>
          </w:tcPr>
          <w:p w14:paraId="4E7C1860">
            <w:pPr>
              <w:pStyle w:val="5"/>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rPr>
              <w:t>10</w:t>
            </w:r>
            <w:r>
              <w:rPr>
                <w:rFonts w:hint="default"/>
                <w:color w:val="auto"/>
                <w:kern w:val="0"/>
                <w:sz w:val="21"/>
                <w:szCs w:val="21"/>
              </w:rPr>
              <w:t>.</w:t>
            </w:r>
            <w:r>
              <w:rPr>
                <w:rFonts w:hint="eastAsia"/>
                <w:color w:val="auto"/>
                <w:kern w:val="0"/>
                <w:sz w:val="21"/>
                <w:szCs w:val="21"/>
                <w:lang w:val="en-US" w:eastAsia="zh-CN"/>
              </w:rPr>
              <w:t>4.</w:t>
            </w:r>
            <w:r>
              <w:rPr>
                <w:rFonts w:hint="eastAsia"/>
                <w:color w:val="auto"/>
                <w:kern w:val="0"/>
                <w:sz w:val="21"/>
                <w:szCs w:val="21"/>
              </w:rPr>
              <w:t>1</w:t>
            </w:r>
          </w:p>
        </w:tc>
        <w:tc>
          <w:tcPr>
            <w:tcW w:w="679" w:type="pct"/>
            <w:tcBorders>
              <w:top w:val="single" w:color="000000" w:sz="4" w:space="0"/>
              <w:left w:val="single" w:color="auto" w:sz="4" w:space="0"/>
              <w:bottom w:val="single" w:color="auto" w:sz="4" w:space="0"/>
              <w:right w:val="single" w:color="000000" w:sz="4" w:space="0"/>
            </w:tcBorders>
            <w:vAlign w:val="center"/>
          </w:tcPr>
          <w:p w14:paraId="6F3874D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Cs w:val="20"/>
              </w:rPr>
            </w:pPr>
            <w:r>
              <w:rPr>
                <w:rFonts w:hint="eastAsia"/>
                <w:color w:val="auto"/>
                <w:kern w:val="0"/>
                <w:szCs w:val="21"/>
              </w:rPr>
              <w:t>试验项目</w:t>
            </w:r>
          </w:p>
        </w:tc>
        <w:tc>
          <w:tcPr>
            <w:tcW w:w="695" w:type="pct"/>
            <w:tcBorders>
              <w:top w:val="single" w:color="000000" w:sz="4" w:space="0"/>
              <w:left w:val="single" w:color="000000" w:sz="4" w:space="0"/>
              <w:bottom w:val="single" w:color="auto" w:sz="4" w:space="0"/>
              <w:right w:val="single" w:color="000000" w:sz="4" w:space="0"/>
            </w:tcBorders>
            <w:vAlign w:val="center"/>
          </w:tcPr>
          <w:p w14:paraId="3C19A82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eastAsia" w:ascii="Times New Roman" w:eastAsia="宋体"/>
                <w:color w:val="auto"/>
                <w:kern w:val="0"/>
                <w:szCs w:val="21"/>
                <w:lang w:val="en-US" w:eastAsia="zh-CN"/>
              </w:rPr>
              <w:t>≥1</w:t>
            </w:r>
          </w:p>
        </w:tc>
        <w:tc>
          <w:tcPr>
            <w:tcW w:w="692" w:type="pct"/>
            <w:vMerge w:val="restart"/>
            <w:tcBorders>
              <w:top w:val="single" w:color="000000" w:sz="4" w:space="0"/>
              <w:left w:val="single" w:color="000000" w:sz="4" w:space="0"/>
              <w:right w:val="single" w:color="000000" w:sz="4" w:space="0"/>
            </w:tcBorders>
            <w:vAlign w:val="center"/>
          </w:tcPr>
          <w:p w14:paraId="241B4B94">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外电源</w:t>
            </w:r>
            <w:r>
              <w:rPr>
                <w:rFonts w:hint="default" w:ascii="Times New Roman" w:hAnsi="Times New Roman" w:eastAsia="宋体" w:cs="Times New Roman"/>
                <w:color w:val="auto"/>
                <w:kern w:val="0"/>
                <w:szCs w:val="21"/>
              </w:rPr>
              <w:t>供电的流量计适用</w:t>
            </w:r>
          </w:p>
        </w:tc>
      </w:tr>
      <w:tr w14:paraId="41BA3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90" w:hRule="atLeast"/>
          <w:jc w:val="center"/>
        </w:trPr>
        <w:tc>
          <w:tcPr>
            <w:tcW w:w="284" w:type="pct"/>
            <w:vMerge w:val="continue"/>
            <w:tcBorders>
              <w:left w:val="single" w:color="000000" w:sz="4" w:space="0"/>
              <w:bottom w:val="single" w:color="000000" w:sz="4" w:space="0"/>
              <w:right w:val="single" w:color="000000" w:sz="4" w:space="0"/>
            </w:tcBorders>
            <w:vAlign w:val="center"/>
          </w:tcPr>
          <w:p w14:paraId="7DDE3722">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493" w:type="pct"/>
            <w:vMerge w:val="continue"/>
            <w:tcBorders>
              <w:left w:val="single" w:color="000000" w:sz="4" w:space="0"/>
              <w:bottom w:val="single" w:color="000000" w:sz="4" w:space="0"/>
              <w:right w:val="single" w:color="auto" w:sz="4" w:space="0"/>
            </w:tcBorders>
            <w:vAlign w:val="center"/>
          </w:tcPr>
          <w:p w14:paraId="65B6BD63">
            <w:pPr>
              <w:keepNext w:val="0"/>
              <w:keepLines w:val="0"/>
              <w:widowControl/>
              <w:numPr>
                <w:ilvl w:val="0"/>
                <w:numId w:val="0"/>
              </w:numPr>
              <w:suppressLineNumbers w:val="0"/>
              <w:snapToGrid w:val="0"/>
              <w:spacing w:before="0" w:beforeLines="0" w:beforeAutospacing="0" w:after="0" w:afterLines="0" w:afterAutospacing="0"/>
              <w:ind w:left="0" w:right="0"/>
              <w:jc w:val="center"/>
              <w:outlineLvl w:val="9"/>
              <w:rPr>
                <w:rFonts w:hint="default" w:ascii="Times New Roman" w:hAnsi="Times New Roman" w:eastAsia="宋体" w:cs="Times New Roman"/>
                <w:color w:val="auto"/>
                <w:kern w:val="2"/>
                <w:sz w:val="21"/>
                <w:szCs w:val="21"/>
                <w:highlight w:val="yellow"/>
                <w:lang w:val="en-US" w:eastAsia="zh-CN" w:bidi="ar-SA"/>
              </w:rPr>
            </w:pPr>
          </w:p>
        </w:tc>
        <w:tc>
          <w:tcPr>
            <w:tcW w:w="877" w:type="pct"/>
            <w:tcBorders>
              <w:top w:val="single" w:color="000000" w:sz="4" w:space="0"/>
              <w:left w:val="single" w:color="auto" w:sz="4" w:space="0"/>
              <w:bottom w:val="single" w:color="000000" w:sz="4" w:space="0"/>
              <w:right w:val="single" w:color="000000" w:sz="4" w:space="0"/>
            </w:tcBorders>
            <w:vAlign w:val="center"/>
          </w:tcPr>
          <w:p w14:paraId="4755CF78">
            <w:pPr>
              <w:pStyle w:val="14"/>
              <w:keepNext w:val="0"/>
              <w:keepLines w:val="0"/>
              <w:widowControl/>
              <w:suppressLineNumbers w:val="0"/>
              <w:snapToGrid w:val="0"/>
              <w:spacing w:before="0" w:beforeAutospacing="0" w:after="0" w:afterAutospacing="0"/>
              <w:ind w:left="0" w:leftChars="0" w:right="0" w:rightChars="0"/>
              <w:jc w:val="center"/>
              <w:outlineLvl w:val="9"/>
              <w:rPr>
                <w:rFonts w:hint="default" w:ascii="Times New Roman" w:hAnsi="Times New Roman" w:eastAsia="宋体" w:cs="Times New Roman"/>
                <w:color w:val="auto"/>
                <w:kern w:val="2"/>
                <w:sz w:val="21"/>
                <w:szCs w:val="21"/>
                <w:lang w:val="en-US" w:eastAsia="zh-CN" w:bidi="ar-SA"/>
              </w:rPr>
            </w:pPr>
            <w:r>
              <w:rPr>
                <w:rFonts w:hint="eastAsia" w:eastAsia="宋体"/>
                <w:color w:val="auto"/>
                <w:szCs w:val="21"/>
              </w:rPr>
              <w:t>绝缘强度</w:t>
            </w:r>
          </w:p>
        </w:tc>
        <w:tc>
          <w:tcPr>
            <w:tcW w:w="641" w:type="pct"/>
            <w:tcBorders>
              <w:top w:val="single" w:color="000000" w:sz="4" w:space="0"/>
              <w:left w:val="single" w:color="000000" w:sz="4" w:space="0"/>
              <w:bottom w:val="single" w:color="000000" w:sz="4" w:space="0"/>
              <w:right w:val="single" w:color="auto" w:sz="4" w:space="0"/>
            </w:tcBorders>
            <w:vAlign w:val="center"/>
          </w:tcPr>
          <w:p w14:paraId="4870218F">
            <w:pPr>
              <w:pStyle w:val="14"/>
              <w:keepNext w:val="0"/>
              <w:keepLines w:val="0"/>
              <w:widowControl/>
              <w:suppressLineNumbers w:val="0"/>
              <w:spacing w:before="0" w:beforeAutospacing="0" w:after="0" w:afterAutospacing="0"/>
              <w:ind w:left="0" w:leftChars="0" w:right="0" w:rightChars="0"/>
              <w:jc w:val="center"/>
              <w:outlineLvl w:val="9"/>
              <w:rPr>
                <w:rFonts w:hint="default" w:ascii="Times New Roman" w:hAnsi="Times New Roman" w:eastAsia="黑体" w:cs="Times New Roman"/>
                <w:color w:val="auto"/>
                <w:kern w:val="2"/>
                <w:sz w:val="21"/>
                <w:szCs w:val="21"/>
                <w:lang w:val="en-US" w:eastAsia="zh-CN" w:bidi="ar-SA"/>
              </w:rPr>
            </w:pPr>
            <w:r>
              <w:rPr>
                <w:rFonts w:hint="default"/>
                <w:color w:val="auto"/>
                <w:szCs w:val="21"/>
              </w:rPr>
              <w:t>7.</w:t>
            </w:r>
            <w:r>
              <w:rPr>
                <w:rFonts w:hint="eastAsia"/>
                <w:color w:val="auto"/>
                <w:szCs w:val="21"/>
                <w:lang w:val="en-US" w:eastAsia="zh-CN"/>
              </w:rPr>
              <w:t>5</w:t>
            </w:r>
            <w:r>
              <w:rPr>
                <w:rFonts w:hint="eastAsia"/>
                <w:color w:val="auto"/>
                <w:szCs w:val="21"/>
              </w:rPr>
              <w:t>.2</w:t>
            </w:r>
          </w:p>
        </w:tc>
        <w:tc>
          <w:tcPr>
            <w:tcW w:w="638" w:type="pct"/>
            <w:tcBorders>
              <w:top w:val="single" w:color="000000" w:sz="4" w:space="0"/>
              <w:left w:val="single" w:color="auto" w:sz="4" w:space="0"/>
              <w:bottom w:val="single" w:color="000000" w:sz="4" w:space="0"/>
              <w:right w:val="single" w:color="auto" w:sz="4" w:space="0"/>
            </w:tcBorders>
            <w:vAlign w:val="center"/>
          </w:tcPr>
          <w:p w14:paraId="0EA44FA0">
            <w:pPr>
              <w:pStyle w:val="14"/>
              <w:keepNext w:val="0"/>
              <w:keepLines w:val="0"/>
              <w:widowControl/>
              <w:suppressLineNumbers w:val="0"/>
              <w:spacing w:before="0" w:beforeAutospacing="0" w:after="0" w:afterAutospacing="0"/>
              <w:ind w:left="0" w:leftChars="0" w:right="0" w:rightChars="0"/>
              <w:jc w:val="center"/>
              <w:outlineLvl w:val="9"/>
              <w:rPr>
                <w:rFonts w:hint="default" w:ascii="Times New Roman" w:hAnsi="Times New Roman" w:eastAsia="黑体" w:cs="Times New Roman"/>
                <w:color w:val="auto"/>
                <w:kern w:val="2"/>
                <w:sz w:val="21"/>
                <w:szCs w:val="21"/>
                <w:lang w:val="en-US" w:eastAsia="zh-CN" w:bidi="ar-SA"/>
              </w:rPr>
            </w:pPr>
            <w:r>
              <w:rPr>
                <w:rFonts w:hint="eastAsia"/>
                <w:color w:val="auto"/>
                <w:szCs w:val="21"/>
              </w:rPr>
              <w:t>10</w:t>
            </w:r>
            <w:r>
              <w:rPr>
                <w:rFonts w:hint="default"/>
                <w:color w:val="auto"/>
                <w:szCs w:val="21"/>
              </w:rPr>
              <w:t>.</w:t>
            </w:r>
            <w:r>
              <w:rPr>
                <w:rFonts w:hint="eastAsia"/>
                <w:color w:val="auto"/>
                <w:szCs w:val="21"/>
                <w:lang w:val="en-US" w:eastAsia="zh-CN"/>
              </w:rPr>
              <w:t>4</w:t>
            </w:r>
            <w:r>
              <w:rPr>
                <w:rFonts w:hint="eastAsia"/>
                <w:color w:val="auto"/>
                <w:szCs w:val="21"/>
              </w:rPr>
              <w:t>.2</w:t>
            </w:r>
          </w:p>
        </w:tc>
        <w:tc>
          <w:tcPr>
            <w:tcW w:w="679" w:type="pct"/>
            <w:tcBorders>
              <w:top w:val="single" w:color="auto" w:sz="4" w:space="0"/>
              <w:left w:val="single" w:color="auto" w:sz="4" w:space="0"/>
              <w:bottom w:val="single" w:color="000000" w:sz="4" w:space="0"/>
              <w:right w:val="single" w:color="000000" w:sz="4" w:space="0"/>
            </w:tcBorders>
            <w:vAlign w:val="center"/>
          </w:tcPr>
          <w:p w14:paraId="6BD0EA6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Cs w:val="20"/>
              </w:rPr>
            </w:pPr>
            <w:r>
              <w:rPr>
                <w:rFonts w:hint="eastAsia"/>
                <w:color w:val="auto"/>
                <w:kern w:val="0"/>
                <w:szCs w:val="21"/>
              </w:rPr>
              <w:t>试验项目</w:t>
            </w:r>
          </w:p>
        </w:tc>
        <w:tc>
          <w:tcPr>
            <w:tcW w:w="695" w:type="pct"/>
            <w:tcBorders>
              <w:top w:val="single" w:color="auto" w:sz="4" w:space="0"/>
              <w:left w:val="single" w:color="000000" w:sz="4" w:space="0"/>
              <w:bottom w:val="single" w:color="000000" w:sz="4" w:space="0"/>
              <w:right w:val="single" w:color="000000" w:sz="4" w:space="0"/>
            </w:tcBorders>
            <w:vAlign w:val="center"/>
          </w:tcPr>
          <w:p w14:paraId="55B365BE">
            <w:pPr>
              <w:keepNext w:val="0"/>
              <w:keepLines w:val="0"/>
              <w:suppressLineNumbers w:val="0"/>
              <w:snapToGrid w:val="0"/>
              <w:spacing w:before="0" w:beforeAutospacing="0" w:after="0" w:afterAutospacing="0"/>
              <w:ind w:left="0" w:leftChars="0" w:right="0" w:rightChars="0"/>
              <w:jc w:val="center"/>
              <w:rPr>
                <w:rFonts w:hint="default" w:ascii="Times New Roman" w:hAnsi="Times New Roman" w:eastAsia="宋体" w:cs="Times New Roman"/>
                <w:color w:val="auto"/>
                <w:szCs w:val="21"/>
              </w:rPr>
            </w:pPr>
            <w:r>
              <w:rPr>
                <w:rFonts w:hint="eastAsia" w:ascii="Times New Roman" w:eastAsia="宋体"/>
                <w:color w:val="auto"/>
                <w:kern w:val="0"/>
                <w:szCs w:val="21"/>
                <w:lang w:val="en-US" w:eastAsia="zh-CN"/>
              </w:rPr>
              <w:t>≥1</w:t>
            </w:r>
          </w:p>
        </w:tc>
        <w:tc>
          <w:tcPr>
            <w:tcW w:w="692" w:type="pct"/>
            <w:vMerge w:val="continue"/>
            <w:tcBorders>
              <w:left w:val="single" w:color="000000" w:sz="4" w:space="0"/>
              <w:bottom w:val="single" w:color="000000" w:sz="4" w:space="0"/>
              <w:right w:val="single" w:color="000000" w:sz="4" w:space="0"/>
            </w:tcBorders>
            <w:vAlign w:val="center"/>
          </w:tcPr>
          <w:p w14:paraId="2143F9B0">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Cs w:val="21"/>
              </w:rPr>
            </w:pPr>
          </w:p>
        </w:tc>
      </w:tr>
      <w:tr w14:paraId="62D31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90" w:hRule="atLeast"/>
          <w:jc w:val="center"/>
        </w:trPr>
        <w:tc>
          <w:tcPr>
            <w:tcW w:w="284" w:type="pct"/>
            <w:vMerge w:val="restart"/>
            <w:tcBorders>
              <w:top w:val="single" w:color="000000" w:sz="4" w:space="0"/>
              <w:left w:val="single" w:color="000000" w:sz="4" w:space="0"/>
              <w:right w:val="single" w:color="000000" w:sz="4" w:space="0"/>
            </w:tcBorders>
            <w:vAlign w:val="center"/>
          </w:tcPr>
          <w:p w14:paraId="603C0FA4">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6</w:t>
            </w:r>
          </w:p>
        </w:tc>
        <w:tc>
          <w:tcPr>
            <w:tcW w:w="493" w:type="pct"/>
            <w:vMerge w:val="restart"/>
            <w:tcBorders>
              <w:top w:val="single" w:color="000000" w:sz="4" w:space="0"/>
              <w:left w:val="single" w:color="000000" w:sz="4" w:space="0"/>
              <w:right w:val="single" w:color="auto" w:sz="4" w:space="0"/>
            </w:tcBorders>
            <w:vAlign w:val="center"/>
          </w:tcPr>
          <w:p w14:paraId="7D656B90">
            <w:pPr>
              <w:keepNext w:val="0"/>
              <w:keepLines w:val="0"/>
              <w:widowControl w:val="0"/>
              <w:suppressLineNumbers w:val="0"/>
              <w:spacing w:before="0" w:beforeAutospacing="0" w:after="0" w:afterAutospacing="0"/>
              <w:ind w:left="0" w:leftChars="0" w:right="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贮存环境适应性</w:t>
            </w:r>
          </w:p>
        </w:tc>
        <w:tc>
          <w:tcPr>
            <w:tcW w:w="877" w:type="pct"/>
            <w:tcBorders>
              <w:top w:val="single" w:color="000000" w:sz="4" w:space="0"/>
              <w:left w:val="single" w:color="auto" w:sz="4" w:space="0"/>
              <w:bottom w:val="single" w:color="000000" w:sz="4" w:space="0"/>
              <w:right w:val="single" w:color="000000" w:sz="4" w:space="0"/>
            </w:tcBorders>
            <w:vAlign w:val="center"/>
          </w:tcPr>
          <w:p w14:paraId="35271EF8">
            <w:pPr>
              <w:pStyle w:val="18"/>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strike w:val="0"/>
                <w:color w:val="auto"/>
                <w:kern w:val="0"/>
                <w:sz w:val="21"/>
                <w:szCs w:val="21"/>
                <w:lang w:val="en-US" w:eastAsia="zh-CN" w:bidi="ar-SA"/>
              </w:rPr>
            </w:pPr>
            <w:r>
              <w:rPr>
                <w:rFonts w:hint="default" w:ascii="Times New Roman" w:hAnsi="Times New Roman" w:eastAsia="宋体"/>
                <w:strike w:val="0"/>
                <w:color w:val="auto"/>
                <w:kern w:val="0"/>
                <w:szCs w:val="21"/>
              </w:rPr>
              <w:t>低温</w:t>
            </w:r>
          </w:p>
        </w:tc>
        <w:tc>
          <w:tcPr>
            <w:tcW w:w="641" w:type="pct"/>
            <w:tcBorders>
              <w:top w:val="single" w:color="000000" w:sz="4" w:space="0"/>
              <w:left w:val="single" w:color="000000" w:sz="4" w:space="0"/>
              <w:bottom w:val="single" w:color="000000" w:sz="4" w:space="0"/>
              <w:right w:val="single" w:color="auto" w:sz="4" w:space="0"/>
            </w:tcBorders>
            <w:vAlign w:val="center"/>
          </w:tcPr>
          <w:p w14:paraId="0BA6BC4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trike w:val="0"/>
                <w:color w:val="auto"/>
                <w:kern w:val="0"/>
                <w:szCs w:val="21"/>
              </w:rPr>
            </w:pPr>
            <w:r>
              <w:rPr>
                <w:rFonts w:hint="default"/>
                <w:strike w:val="0"/>
                <w:color w:val="auto"/>
                <w:kern w:val="0"/>
                <w:szCs w:val="21"/>
              </w:rPr>
              <w:t>7.</w:t>
            </w:r>
            <w:r>
              <w:rPr>
                <w:rFonts w:hint="eastAsia"/>
                <w:strike w:val="0"/>
                <w:color w:val="auto"/>
                <w:kern w:val="0"/>
                <w:szCs w:val="21"/>
                <w:lang w:val="en-US" w:eastAsia="zh-CN"/>
              </w:rPr>
              <w:t>6</w:t>
            </w:r>
            <w:r>
              <w:rPr>
                <w:rFonts w:hint="eastAsia"/>
                <w:strike w:val="0"/>
                <w:color w:val="auto"/>
                <w:kern w:val="0"/>
                <w:szCs w:val="21"/>
              </w:rPr>
              <w:t>.1</w:t>
            </w:r>
          </w:p>
        </w:tc>
        <w:tc>
          <w:tcPr>
            <w:tcW w:w="638" w:type="pct"/>
            <w:tcBorders>
              <w:top w:val="single" w:color="000000" w:sz="4" w:space="0"/>
              <w:left w:val="single" w:color="auto" w:sz="4" w:space="0"/>
              <w:bottom w:val="single" w:color="000000" w:sz="4" w:space="0"/>
              <w:right w:val="single" w:color="auto" w:sz="4" w:space="0"/>
            </w:tcBorders>
            <w:vAlign w:val="center"/>
          </w:tcPr>
          <w:p w14:paraId="71E61C6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trike w:val="0"/>
                <w:color w:val="auto"/>
                <w:kern w:val="0"/>
                <w:szCs w:val="21"/>
                <w:lang w:val="en-US" w:eastAsia="zh-CN"/>
              </w:rPr>
            </w:pPr>
            <w:r>
              <w:rPr>
                <w:rFonts w:hint="eastAsia"/>
                <w:strike w:val="0"/>
                <w:color w:val="auto"/>
                <w:kern w:val="0"/>
                <w:szCs w:val="21"/>
              </w:rPr>
              <w:t>10</w:t>
            </w:r>
            <w:r>
              <w:rPr>
                <w:rFonts w:hint="default"/>
                <w:strike w:val="0"/>
                <w:color w:val="auto"/>
                <w:kern w:val="0"/>
                <w:szCs w:val="21"/>
              </w:rPr>
              <w:t>.</w:t>
            </w:r>
            <w:r>
              <w:rPr>
                <w:rFonts w:hint="eastAsia"/>
                <w:strike w:val="0"/>
                <w:color w:val="auto"/>
                <w:kern w:val="0"/>
                <w:szCs w:val="21"/>
                <w:lang w:val="en-US" w:eastAsia="zh-CN"/>
              </w:rPr>
              <w:t>5.4.1</w:t>
            </w:r>
          </w:p>
        </w:tc>
        <w:tc>
          <w:tcPr>
            <w:tcW w:w="679" w:type="pct"/>
            <w:tcBorders>
              <w:top w:val="single" w:color="000000" w:sz="4" w:space="0"/>
              <w:left w:val="single" w:color="auto" w:sz="4" w:space="0"/>
              <w:bottom w:val="single" w:color="000000" w:sz="4" w:space="0"/>
              <w:right w:val="single" w:color="000000" w:sz="4" w:space="0"/>
            </w:tcBorders>
            <w:vAlign w:val="center"/>
          </w:tcPr>
          <w:p w14:paraId="299F450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trike w:val="0"/>
                <w:color w:val="auto"/>
                <w:szCs w:val="20"/>
              </w:rPr>
            </w:pPr>
            <w:r>
              <w:rPr>
                <w:rFonts w:hint="eastAsia"/>
                <w:strike w:val="0"/>
                <w:color w:val="auto"/>
                <w:kern w:val="0"/>
                <w:szCs w:val="21"/>
              </w:rPr>
              <w:t>试验项目</w:t>
            </w:r>
          </w:p>
        </w:tc>
        <w:tc>
          <w:tcPr>
            <w:tcW w:w="695" w:type="pct"/>
            <w:tcBorders>
              <w:top w:val="single" w:color="000000" w:sz="4" w:space="0"/>
              <w:left w:val="single" w:color="000000" w:sz="4" w:space="0"/>
              <w:bottom w:val="single" w:color="auto" w:sz="4" w:space="0"/>
              <w:right w:val="single" w:color="000000" w:sz="4" w:space="0"/>
            </w:tcBorders>
            <w:vAlign w:val="center"/>
          </w:tcPr>
          <w:p w14:paraId="5A7073D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trike w:val="0"/>
                <w:color w:val="auto"/>
                <w:kern w:val="0"/>
                <w:szCs w:val="21"/>
              </w:rPr>
            </w:pPr>
            <w:r>
              <w:rPr>
                <w:rFonts w:hint="eastAsia" w:ascii="Times New Roman" w:eastAsia="宋体"/>
                <w:strike w:val="0"/>
                <w:color w:val="auto"/>
                <w:kern w:val="0"/>
                <w:szCs w:val="21"/>
                <w:lang w:val="en-US" w:eastAsia="zh-CN"/>
              </w:rPr>
              <w:t>≥1</w:t>
            </w:r>
          </w:p>
        </w:tc>
        <w:tc>
          <w:tcPr>
            <w:tcW w:w="692" w:type="pct"/>
            <w:tcBorders>
              <w:top w:val="single" w:color="000000" w:sz="4" w:space="0"/>
              <w:left w:val="single" w:color="000000" w:sz="4" w:space="0"/>
              <w:bottom w:val="single" w:color="auto" w:sz="4" w:space="0"/>
              <w:right w:val="single" w:color="000000" w:sz="4" w:space="0"/>
            </w:tcBorders>
            <w:vAlign w:val="center"/>
          </w:tcPr>
          <w:p w14:paraId="1043185D">
            <w:pPr>
              <w:keepNext w:val="0"/>
              <w:keepLines w:val="0"/>
              <w:suppressLineNumbers w:val="0"/>
              <w:spacing w:before="0" w:beforeAutospacing="0" w:after="0" w:afterAutospacing="0"/>
              <w:ind w:left="0" w:right="0"/>
              <w:jc w:val="center"/>
              <w:rPr>
                <w:rFonts w:hint="default" w:ascii="Times New Roman" w:hAnsi="Times New Roman" w:eastAsia="宋体" w:cs="Times New Roman"/>
                <w:strike/>
                <w:color w:val="auto"/>
                <w:kern w:val="0"/>
                <w:szCs w:val="21"/>
              </w:rPr>
            </w:pPr>
          </w:p>
        </w:tc>
      </w:tr>
      <w:tr w14:paraId="6E984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90" w:hRule="atLeast"/>
          <w:jc w:val="center"/>
        </w:trPr>
        <w:tc>
          <w:tcPr>
            <w:tcW w:w="284" w:type="pct"/>
            <w:vMerge w:val="continue"/>
            <w:tcBorders>
              <w:left w:val="single" w:color="000000" w:sz="4" w:space="0"/>
              <w:right w:val="single" w:color="000000" w:sz="4" w:space="0"/>
            </w:tcBorders>
            <w:vAlign w:val="center"/>
          </w:tcPr>
          <w:p w14:paraId="7315D9E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p>
        </w:tc>
        <w:tc>
          <w:tcPr>
            <w:tcW w:w="493" w:type="pct"/>
            <w:vMerge w:val="continue"/>
            <w:tcBorders>
              <w:left w:val="single" w:color="000000" w:sz="4" w:space="0"/>
              <w:right w:val="single" w:color="auto" w:sz="4" w:space="0"/>
            </w:tcBorders>
            <w:vAlign w:val="center"/>
          </w:tcPr>
          <w:p w14:paraId="54E1F424">
            <w:pPr>
              <w:keepNext w:val="0"/>
              <w:keepLines w:val="0"/>
              <w:widowControl w:val="0"/>
              <w:suppressLineNumbers w:val="0"/>
              <w:spacing w:before="0" w:beforeAutospacing="0" w:after="0" w:afterAutospacing="0"/>
              <w:ind w:left="0" w:leftChars="0" w:right="0"/>
              <w:jc w:val="center"/>
              <w:rPr>
                <w:rFonts w:hint="default" w:ascii="Times New Roman" w:hAnsi="Times New Roman" w:eastAsia="宋体" w:cs="Times New Roman"/>
                <w:color w:val="auto"/>
                <w:kern w:val="0"/>
                <w:sz w:val="21"/>
                <w:szCs w:val="21"/>
                <w:lang w:val="en-US" w:eastAsia="zh-CN" w:bidi="ar-SA"/>
              </w:rPr>
            </w:pPr>
          </w:p>
        </w:tc>
        <w:tc>
          <w:tcPr>
            <w:tcW w:w="877" w:type="pct"/>
            <w:tcBorders>
              <w:top w:val="single" w:color="000000" w:sz="4" w:space="0"/>
              <w:left w:val="single" w:color="auto" w:sz="4" w:space="0"/>
              <w:bottom w:val="single" w:color="000000" w:sz="4" w:space="0"/>
              <w:right w:val="single" w:color="000000" w:sz="4" w:space="0"/>
            </w:tcBorders>
            <w:vAlign w:val="center"/>
          </w:tcPr>
          <w:p w14:paraId="6633135F">
            <w:pPr>
              <w:pStyle w:val="18"/>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strike w:val="0"/>
                <w:color w:val="auto"/>
                <w:kern w:val="0"/>
                <w:sz w:val="21"/>
                <w:szCs w:val="21"/>
                <w:lang w:val="en-US" w:eastAsia="zh-CN" w:bidi="ar-SA"/>
              </w:rPr>
            </w:pPr>
            <w:r>
              <w:rPr>
                <w:rFonts w:hint="default" w:ascii="Times New Roman" w:hAnsi="Times New Roman" w:eastAsia="宋体"/>
                <w:strike w:val="0"/>
                <w:color w:val="auto"/>
                <w:kern w:val="0"/>
                <w:szCs w:val="21"/>
              </w:rPr>
              <w:t>高温</w:t>
            </w:r>
          </w:p>
        </w:tc>
        <w:tc>
          <w:tcPr>
            <w:tcW w:w="641" w:type="pct"/>
            <w:tcBorders>
              <w:top w:val="single" w:color="000000" w:sz="4" w:space="0"/>
              <w:left w:val="single" w:color="000000" w:sz="4" w:space="0"/>
              <w:bottom w:val="single" w:color="000000" w:sz="4" w:space="0"/>
              <w:right w:val="single" w:color="auto" w:sz="4" w:space="0"/>
            </w:tcBorders>
            <w:vAlign w:val="center"/>
          </w:tcPr>
          <w:p w14:paraId="19BE23E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trike w:val="0"/>
                <w:color w:val="auto"/>
                <w:kern w:val="0"/>
                <w:szCs w:val="21"/>
              </w:rPr>
            </w:pPr>
            <w:r>
              <w:rPr>
                <w:rFonts w:hint="default"/>
                <w:strike w:val="0"/>
                <w:color w:val="auto"/>
                <w:kern w:val="0"/>
                <w:szCs w:val="21"/>
              </w:rPr>
              <w:t>7.</w:t>
            </w:r>
            <w:r>
              <w:rPr>
                <w:rFonts w:hint="eastAsia"/>
                <w:strike w:val="0"/>
                <w:color w:val="auto"/>
                <w:kern w:val="0"/>
                <w:szCs w:val="21"/>
                <w:lang w:val="en-US" w:eastAsia="zh-CN"/>
              </w:rPr>
              <w:t>6</w:t>
            </w:r>
            <w:r>
              <w:rPr>
                <w:rFonts w:hint="eastAsia"/>
                <w:strike w:val="0"/>
                <w:color w:val="auto"/>
                <w:kern w:val="0"/>
                <w:szCs w:val="21"/>
              </w:rPr>
              <w:t>.2</w:t>
            </w:r>
          </w:p>
        </w:tc>
        <w:tc>
          <w:tcPr>
            <w:tcW w:w="638" w:type="pct"/>
            <w:tcBorders>
              <w:top w:val="single" w:color="000000" w:sz="4" w:space="0"/>
              <w:left w:val="single" w:color="auto" w:sz="4" w:space="0"/>
              <w:bottom w:val="single" w:color="000000" w:sz="4" w:space="0"/>
              <w:right w:val="single" w:color="auto" w:sz="4" w:space="0"/>
            </w:tcBorders>
            <w:vAlign w:val="center"/>
          </w:tcPr>
          <w:p w14:paraId="5C04EAC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trike w:val="0"/>
                <w:color w:val="auto"/>
                <w:kern w:val="0"/>
                <w:szCs w:val="21"/>
                <w:lang w:val="en-US" w:eastAsia="zh-CN"/>
              </w:rPr>
            </w:pPr>
            <w:r>
              <w:rPr>
                <w:rFonts w:hint="eastAsia"/>
                <w:strike w:val="0"/>
                <w:color w:val="auto"/>
                <w:kern w:val="0"/>
                <w:szCs w:val="21"/>
                <w:lang w:val="en-US" w:eastAsia="zh-CN"/>
              </w:rPr>
              <w:t>10.5.4.2</w:t>
            </w:r>
          </w:p>
        </w:tc>
        <w:tc>
          <w:tcPr>
            <w:tcW w:w="679" w:type="pct"/>
            <w:tcBorders>
              <w:top w:val="single" w:color="000000" w:sz="4" w:space="0"/>
              <w:left w:val="single" w:color="auto" w:sz="4" w:space="0"/>
              <w:bottom w:val="single" w:color="000000" w:sz="4" w:space="0"/>
              <w:right w:val="single" w:color="000000" w:sz="4" w:space="0"/>
            </w:tcBorders>
            <w:vAlign w:val="center"/>
          </w:tcPr>
          <w:p w14:paraId="7286189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trike w:val="0"/>
                <w:color w:val="auto"/>
                <w:szCs w:val="20"/>
              </w:rPr>
            </w:pPr>
            <w:r>
              <w:rPr>
                <w:rFonts w:hint="eastAsia"/>
                <w:strike w:val="0"/>
                <w:color w:val="auto"/>
                <w:kern w:val="0"/>
                <w:szCs w:val="21"/>
              </w:rPr>
              <w:t>试验项目</w:t>
            </w:r>
          </w:p>
        </w:tc>
        <w:tc>
          <w:tcPr>
            <w:tcW w:w="695" w:type="pct"/>
            <w:tcBorders>
              <w:top w:val="single" w:color="auto" w:sz="4" w:space="0"/>
              <w:left w:val="single" w:color="000000" w:sz="4" w:space="0"/>
              <w:bottom w:val="single" w:color="auto" w:sz="4" w:space="0"/>
              <w:right w:val="single" w:color="000000" w:sz="4" w:space="0"/>
            </w:tcBorders>
            <w:vAlign w:val="center"/>
          </w:tcPr>
          <w:p w14:paraId="761032C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trike w:val="0"/>
                <w:color w:val="auto"/>
                <w:kern w:val="0"/>
                <w:szCs w:val="21"/>
              </w:rPr>
            </w:pPr>
            <w:r>
              <w:rPr>
                <w:rFonts w:hint="eastAsia" w:ascii="Times New Roman" w:eastAsia="宋体"/>
                <w:strike w:val="0"/>
                <w:color w:val="auto"/>
                <w:kern w:val="0"/>
                <w:szCs w:val="21"/>
                <w:lang w:val="en-US" w:eastAsia="zh-CN"/>
              </w:rPr>
              <w:t>≥1</w:t>
            </w:r>
          </w:p>
        </w:tc>
        <w:tc>
          <w:tcPr>
            <w:tcW w:w="692" w:type="pct"/>
            <w:tcBorders>
              <w:top w:val="single" w:color="auto" w:sz="4" w:space="0"/>
              <w:left w:val="single" w:color="000000" w:sz="4" w:space="0"/>
              <w:bottom w:val="single" w:color="auto" w:sz="4" w:space="0"/>
              <w:right w:val="single" w:color="000000" w:sz="4" w:space="0"/>
            </w:tcBorders>
            <w:vAlign w:val="center"/>
          </w:tcPr>
          <w:p w14:paraId="40D24BBD">
            <w:pPr>
              <w:keepNext w:val="0"/>
              <w:keepLines w:val="0"/>
              <w:suppressLineNumbers w:val="0"/>
              <w:spacing w:before="0" w:beforeAutospacing="0" w:after="0" w:afterAutospacing="0"/>
              <w:ind w:left="0" w:right="0"/>
              <w:jc w:val="center"/>
              <w:rPr>
                <w:rFonts w:hint="default" w:ascii="Times New Roman" w:hAnsi="Times New Roman" w:eastAsia="宋体" w:cs="Times New Roman"/>
                <w:strike/>
                <w:color w:val="auto"/>
                <w:kern w:val="0"/>
                <w:szCs w:val="21"/>
              </w:rPr>
            </w:pPr>
          </w:p>
        </w:tc>
      </w:tr>
      <w:tr w14:paraId="0019D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90" w:hRule="atLeast"/>
          <w:jc w:val="center"/>
        </w:trPr>
        <w:tc>
          <w:tcPr>
            <w:tcW w:w="284" w:type="pct"/>
            <w:vMerge w:val="continue"/>
            <w:tcBorders>
              <w:left w:val="single" w:color="000000" w:sz="4" w:space="0"/>
              <w:right w:val="single" w:color="000000" w:sz="4" w:space="0"/>
            </w:tcBorders>
            <w:vAlign w:val="center"/>
          </w:tcPr>
          <w:p w14:paraId="3EB3C40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p>
        </w:tc>
        <w:tc>
          <w:tcPr>
            <w:tcW w:w="493" w:type="pct"/>
            <w:vMerge w:val="continue"/>
            <w:tcBorders>
              <w:left w:val="single" w:color="000000" w:sz="4" w:space="0"/>
              <w:right w:val="single" w:color="auto" w:sz="4" w:space="0"/>
            </w:tcBorders>
            <w:vAlign w:val="center"/>
          </w:tcPr>
          <w:p w14:paraId="12EB2DE7">
            <w:pPr>
              <w:keepNext w:val="0"/>
              <w:keepLines w:val="0"/>
              <w:widowControl w:val="0"/>
              <w:suppressLineNumbers w:val="0"/>
              <w:spacing w:before="0" w:beforeAutospacing="0" w:after="0" w:afterAutospacing="0"/>
              <w:ind w:left="0" w:leftChars="0" w:right="0"/>
              <w:jc w:val="center"/>
              <w:rPr>
                <w:rFonts w:hint="default" w:ascii="Times New Roman" w:hAnsi="Times New Roman" w:eastAsia="宋体" w:cs="Times New Roman"/>
                <w:color w:val="auto"/>
                <w:kern w:val="0"/>
                <w:sz w:val="21"/>
                <w:szCs w:val="21"/>
                <w:lang w:val="en-US" w:eastAsia="zh-CN" w:bidi="ar-SA"/>
              </w:rPr>
            </w:pPr>
          </w:p>
        </w:tc>
        <w:tc>
          <w:tcPr>
            <w:tcW w:w="877" w:type="pct"/>
            <w:tcBorders>
              <w:top w:val="single" w:color="000000" w:sz="4" w:space="0"/>
              <w:left w:val="single" w:color="auto" w:sz="4" w:space="0"/>
              <w:bottom w:val="single" w:color="000000" w:sz="4" w:space="0"/>
              <w:right w:val="single" w:color="000000" w:sz="4" w:space="0"/>
            </w:tcBorders>
            <w:vAlign w:val="center"/>
          </w:tcPr>
          <w:p w14:paraId="7FBCC08F">
            <w:pPr>
              <w:pStyle w:val="18"/>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strike w:val="0"/>
                <w:color w:val="auto"/>
                <w:kern w:val="0"/>
                <w:sz w:val="21"/>
                <w:szCs w:val="21"/>
                <w:lang w:val="en-US" w:eastAsia="zh-CN" w:bidi="ar-SA"/>
              </w:rPr>
            </w:pPr>
            <w:r>
              <w:rPr>
                <w:rFonts w:hint="default" w:ascii="Times New Roman" w:hAnsi="Times New Roman" w:eastAsia="宋体"/>
                <w:strike w:val="0"/>
                <w:color w:val="auto"/>
                <w:kern w:val="0"/>
                <w:szCs w:val="21"/>
              </w:rPr>
              <w:t>恒定湿热</w:t>
            </w:r>
          </w:p>
        </w:tc>
        <w:tc>
          <w:tcPr>
            <w:tcW w:w="641" w:type="pct"/>
            <w:tcBorders>
              <w:top w:val="single" w:color="000000" w:sz="4" w:space="0"/>
              <w:left w:val="single" w:color="000000" w:sz="4" w:space="0"/>
              <w:bottom w:val="single" w:color="000000" w:sz="4" w:space="0"/>
              <w:right w:val="single" w:color="auto" w:sz="4" w:space="0"/>
            </w:tcBorders>
            <w:vAlign w:val="center"/>
          </w:tcPr>
          <w:p w14:paraId="4874B5E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trike w:val="0"/>
                <w:color w:val="auto"/>
                <w:kern w:val="0"/>
                <w:szCs w:val="21"/>
              </w:rPr>
            </w:pPr>
            <w:r>
              <w:rPr>
                <w:rFonts w:hint="default"/>
                <w:strike w:val="0"/>
                <w:color w:val="auto"/>
                <w:kern w:val="0"/>
                <w:szCs w:val="21"/>
              </w:rPr>
              <w:t>7.</w:t>
            </w:r>
            <w:r>
              <w:rPr>
                <w:rFonts w:hint="eastAsia"/>
                <w:strike w:val="0"/>
                <w:color w:val="auto"/>
                <w:kern w:val="0"/>
                <w:szCs w:val="21"/>
                <w:lang w:val="en-US" w:eastAsia="zh-CN"/>
              </w:rPr>
              <w:t>6</w:t>
            </w:r>
            <w:r>
              <w:rPr>
                <w:rFonts w:hint="eastAsia"/>
                <w:strike w:val="0"/>
                <w:color w:val="auto"/>
                <w:kern w:val="0"/>
                <w:szCs w:val="21"/>
              </w:rPr>
              <w:t>.3</w:t>
            </w:r>
          </w:p>
        </w:tc>
        <w:tc>
          <w:tcPr>
            <w:tcW w:w="638" w:type="pct"/>
            <w:tcBorders>
              <w:top w:val="single" w:color="000000" w:sz="4" w:space="0"/>
              <w:left w:val="single" w:color="auto" w:sz="4" w:space="0"/>
              <w:bottom w:val="single" w:color="000000" w:sz="4" w:space="0"/>
              <w:right w:val="single" w:color="auto" w:sz="4" w:space="0"/>
            </w:tcBorders>
            <w:vAlign w:val="center"/>
          </w:tcPr>
          <w:p w14:paraId="0C3DB37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trike w:val="0"/>
                <w:color w:val="auto"/>
                <w:kern w:val="0"/>
                <w:szCs w:val="21"/>
                <w:lang w:val="en-US" w:eastAsia="zh-CN"/>
              </w:rPr>
            </w:pPr>
            <w:r>
              <w:rPr>
                <w:rFonts w:hint="eastAsia"/>
                <w:strike w:val="0"/>
                <w:color w:val="auto"/>
                <w:kern w:val="0"/>
                <w:szCs w:val="21"/>
              </w:rPr>
              <w:t>10</w:t>
            </w:r>
            <w:r>
              <w:rPr>
                <w:rFonts w:hint="default"/>
                <w:strike w:val="0"/>
                <w:color w:val="auto"/>
                <w:kern w:val="0"/>
                <w:szCs w:val="21"/>
              </w:rPr>
              <w:t>.</w:t>
            </w:r>
            <w:r>
              <w:rPr>
                <w:rFonts w:hint="eastAsia"/>
                <w:strike w:val="0"/>
                <w:color w:val="auto"/>
                <w:kern w:val="0"/>
                <w:szCs w:val="21"/>
                <w:lang w:val="en-US" w:eastAsia="zh-CN"/>
              </w:rPr>
              <w:t>5.4.3</w:t>
            </w:r>
          </w:p>
        </w:tc>
        <w:tc>
          <w:tcPr>
            <w:tcW w:w="679" w:type="pct"/>
            <w:tcBorders>
              <w:top w:val="single" w:color="000000" w:sz="4" w:space="0"/>
              <w:left w:val="single" w:color="auto" w:sz="4" w:space="0"/>
              <w:bottom w:val="single" w:color="000000" w:sz="4" w:space="0"/>
              <w:right w:val="single" w:color="000000" w:sz="4" w:space="0"/>
            </w:tcBorders>
            <w:vAlign w:val="center"/>
          </w:tcPr>
          <w:p w14:paraId="2AF3B51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trike w:val="0"/>
                <w:color w:val="auto"/>
                <w:szCs w:val="20"/>
              </w:rPr>
            </w:pPr>
            <w:r>
              <w:rPr>
                <w:rFonts w:hint="eastAsia"/>
                <w:strike w:val="0"/>
                <w:color w:val="auto"/>
                <w:kern w:val="0"/>
                <w:szCs w:val="21"/>
              </w:rPr>
              <w:t>试验项目</w:t>
            </w:r>
          </w:p>
        </w:tc>
        <w:tc>
          <w:tcPr>
            <w:tcW w:w="695" w:type="pct"/>
            <w:tcBorders>
              <w:top w:val="single" w:color="auto" w:sz="4" w:space="0"/>
              <w:left w:val="single" w:color="000000" w:sz="4" w:space="0"/>
              <w:right w:val="single" w:color="000000" w:sz="4" w:space="0"/>
            </w:tcBorders>
            <w:vAlign w:val="center"/>
          </w:tcPr>
          <w:p w14:paraId="3D86668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trike w:val="0"/>
                <w:color w:val="auto"/>
                <w:kern w:val="0"/>
                <w:szCs w:val="21"/>
              </w:rPr>
            </w:pPr>
            <w:r>
              <w:rPr>
                <w:rFonts w:hint="eastAsia" w:ascii="Times New Roman" w:eastAsia="宋体"/>
                <w:strike w:val="0"/>
                <w:color w:val="auto"/>
                <w:kern w:val="0"/>
                <w:szCs w:val="21"/>
                <w:lang w:val="en-US" w:eastAsia="zh-CN"/>
              </w:rPr>
              <w:t>≥1</w:t>
            </w:r>
          </w:p>
        </w:tc>
        <w:tc>
          <w:tcPr>
            <w:tcW w:w="692" w:type="pct"/>
            <w:tcBorders>
              <w:top w:val="single" w:color="auto" w:sz="4" w:space="0"/>
              <w:left w:val="single" w:color="000000" w:sz="4" w:space="0"/>
              <w:right w:val="single" w:color="000000" w:sz="4" w:space="0"/>
            </w:tcBorders>
            <w:vAlign w:val="center"/>
          </w:tcPr>
          <w:p w14:paraId="41D9C8FE">
            <w:pPr>
              <w:keepNext w:val="0"/>
              <w:keepLines w:val="0"/>
              <w:suppressLineNumbers w:val="0"/>
              <w:spacing w:before="0" w:beforeAutospacing="0" w:after="0" w:afterAutospacing="0"/>
              <w:ind w:left="0" w:right="0"/>
              <w:jc w:val="center"/>
              <w:rPr>
                <w:rFonts w:hint="default" w:ascii="Times New Roman" w:hAnsi="Times New Roman" w:eastAsia="宋体" w:cs="Times New Roman"/>
                <w:strike/>
                <w:color w:val="auto"/>
                <w:kern w:val="0"/>
                <w:szCs w:val="21"/>
              </w:rPr>
            </w:pPr>
          </w:p>
        </w:tc>
      </w:tr>
      <w:tr w14:paraId="64ACB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90" w:hRule="atLeast"/>
          <w:jc w:val="center"/>
        </w:trPr>
        <w:tc>
          <w:tcPr>
            <w:tcW w:w="284" w:type="pct"/>
            <w:vMerge w:val="restart"/>
            <w:tcBorders>
              <w:top w:val="single" w:color="000000" w:sz="4" w:space="0"/>
              <w:left w:val="single" w:color="000000" w:sz="4" w:space="0"/>
              <w:right w:val="single" w:color="000000" w:sz="4" w:space="0"/>
            </w:tcBorders>
            <w:vAlign w:val="center"/>
          </w:tcPr>
          <w:p w14:paraId="57F4F143">
            <w:pPr>
              <w:keepNext w:val="0"/>
              <w:keepLines w:val="0"/>
              <w:widowControl/>
              <w:suppressLineNumbers w:val="0"/>
              <w:autoSpaceDE w:val="0"/>
              <w:autoSpaceDN w:val="0"/>
              <w:spacing w:before="0" w:beforeAutospacing="0" w:after="0" w:afterAutospacing="0"/>
              <w:ind w:left="0" w:right="0"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7</w:t>
            </w:r>
          </w:p>
        </w:tc>
        <w:tc>
          <w:tcPr>
            <w:tcW w:w="493" w:type="pct"/>
            <w:vMerge w:val="restart"/>
            <w:tcBorders>
              <w:top w:val="single" w:color="000000" w:sz="4" w:space="0"/>
              <w:left w:val="single" w:color="000000" w:sz="4" w:space="0"/>
              <w:right w:val="single" w:color="auto" w:sz="4" w:space="0"/>
            </w:tcBorders>
            <w:vAlign w:val="center"/>
          </w:tcPr>
          <w:p w14:paraId="35F2A6B4">
            <w:pPr>
              <w:keepNext w:val="0"/>
              <w:keepLines w:val="0"/>
              <w:widowControl/>
              <w:suppressLineNumbers w:val="0"/>
              <w:autoSpaceDE w:val="0"/>
              <w:autoSpaceDN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电磁兼容适</w:t>
            </w:r>
            <w:r>
              <w:rPr>
                <w:rFonts w:hint="eastAsia" w:ascii="宋体" w:hAnsi="宋体" w:eastAsia="宋体" w:cs="宋体"/>
                <w:color w:val="auto"/>
                <w:kern w:val="0"/>
                <w:sz w:val="21"/>
                <w:szCs w:val="21"/>
                <w:lang w:val="en-US" w:eastAsia="zh-CN" w:bidi="ar-SA"/>
              </w:rPr>
              <w:t>应性</w:t>
            </w:r>
          </w:p>
        </w:tc>
        <w:tc>
          <w:tcPr>
            <w:tcW w:w="877" w:type="pct"/>
            <w:tcBorders>
              <w:top w:val="single" w:color="000000" w:sz="4" w:space="0"/>
              <w:left w:val="single" w:color="auto" w:sz="4" w:space="0"/>
              <w:bottom w:val="single" w:color="000000" w:sz="4" w:space="0"/>
              <w:right w:val="single" w:color="000000" w:sz="4" w:space="0"/>
            </w:tcBorders>
            <w:vAlign w:val="center"/>
          </w:tcPr>
          <w:p w14:paraId="38281A1E">
            <w:pPr>
              <w:pStyle w:val="18"/>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olor w:val="auto"/>
                <w:kern w:val="0"/>
                <w:szCs w:val="21"/>
              </w:rPr>
              <w:t>静电放电抗扰度</w:t>
            </w:r>
          </w:p>
        </w:tc>
        <w:tc>
          <w:tcPr>
            <w:tcW w:w="641" w:type="pct"/>
            <w:tcBorders>
              <w:top w:val="single" w:color="000000" w:sz="4" w:space="0"/>
              <w:left w:val="single" w:color="000000" w:sz="4" w:space="0"/>
              <w:bottom w:val="single" w:color="000000" w:sz="4" w:space="0"/>
              <w:right w:val="single" w:color="auto" w:sz="4" w:space="0"/>
            </w:tcBorders>
            <w:vAlign w:val="center"/>
          </w:tcPr>
          <w:p w14:paraId="737CC165">
            <w:pPr>
              <w:pStyle w:val="18"/>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olor w:val="auto"/>
                <w:kern w:val="0"/>
                <w:szCs w:val="21"/>
              </w:rPr>
              <w:t>7.</w:t>
            </w:r>
            <w:r>
              <w:rPr>
                <w:rFonts w:hint="eastAsia" w:ascii="Times New Roman" w:hAnsi="Times New Roman" w:eastAsia="宋体"/>
                <w:color w:val="auto"/>
                <w:kern w:val="0"/>
                <w:szCs w:val="21"/>
                <w:lang w:val="en-US" w:eastAsia="zh-CN"/>
              </w:rPr>
              <w:t>7</w:t>
            </w:r>
            <w:r>
              <w:rPr>
                <w:rFonts w:hint="eastAsia" w:ascii="Times New Roman" w:hAnsi="Times New Roman" w:eastAsia="宋体"/>
                <w:color w:val="auto"/>
                <w:kern w:val="0"/>
                <w:szCs w:val="21"/>
              </w:rPr>
              <w:t>.1</w:t>
            </w:r>
          </w:p>
        </w:tc>
        <w:tc>
          <w:tcPr>
            <w:tcW w:w="638" w:type="pct"/>
            <w:tcBorders>
              <w:top w:val="single" w:color="000000" w:sz="4" w:space="0"/>
              <w:left w:val="single" w:color="auto" w:sz="4" w:space="0"/>
              <w:bottom w:val="single" w:color="000000" w:sz="4" w:space="0"/>
              <w:right w:val="single" w:color="auto" w:sz="4" w:space="0"/>
            </w:tcBorders>
            <w:vAlign w:val="center"/>
          </w:tcPr>
          <w:p w14:paraId="3A40F93A">
            <w:pPr>
              <w:pStyle w:val="18"/>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olor w:val="auto"/>
                <w:kern w:val="0"/>
                <w:szCs w:val="21"/>
              </w:rPr>
              <w:t>10.</w:t>
            </w:r>
            <w:r>
              <w:rPr>
                <w:rFonts w:hint="eastAsia" w:ascii="Times New Roman" w:hAnsi="Times New Roman" w:eastAsia="宋体"/>
                <w:color w:val="auto"/>
                <w:kern w:val="0"/>
                <w:szCs w:val="21"/>
                <w:lang w:val="en-US" w:eastAsia="zh-CN"/>
              </w:rPr>
              <w:t>6</w:t>
            </w:r>
            <w:r>
              <w:rPr>
                <w:rFonts w:hint="eastAsia" w:ascii="Times New Roman" w:hAnsi="Times New Roman" w:eastAsia="宋体"/>
                <w:color w:val="auto"/>
                <w:kern w:val="0"/>
                <w:szCs w:val="21"/>
              </w:rPr>
              <w:t>.1</w:t>
            </w:r>
          </w:p>
        </w:tc>
        <w:tc>
          <w:tcPr>
            <w:tcW w:w="679" w:type="pct"/>
            <w:tcBorders>
              <w:top w:val="single" w:color="000000" w:sz="4" w:space="0"/>
              <w:left w:val="single" w:color="auto" w:sz="4" w:space="0"/>
              <w:bottom w:val="single" w:color="auto" w:sz="4" w:space="0"/>
              <w:right w:val="single" w:color="000000" w:sz="4" w:space="0"/>
            </w:tcBorders>
            <w:vAlign w:val="center"/>
          </w:tcPr>
          <w:p w14:paraId="3506823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Cs w:val="20"/>
              </w:rPr>
            </w:pPr>
            <w:r>
              <w:rPr>
                <w:rFonts w:hint="eastAsia"/>
                <w:color w:val="auto"/>
                <w:kern w:val="0"/>
                <w:szCs w:val="21"/>
              </w:rPr>
              <w:t>试验项目</w:t>
            </w:r>
          </w:p>
        </w:tc>
        <w:tc>
          <w:tcPr>
            <w:tcW w:w="695" w:type="pct"/>
            <w:tcBorders>
              <w:top w:val="single" w:color="000000" w:sz="4" w:space="0"/>
              <w:left w:val="single" w:color="000000" w:sz="4" w:space="0"/>
              <w:bottom w:val="single" w:color="auto" w:sz="4" w:space="0"/>
              <w:right w:val="single" w:color="000000" w:sz="4" w:space="0"/>
            </w:tcBorders>
            <w:vAlign w:val="center"/>
          </w:tcPr>
          <w:p w14:paraId="7DF4F334">
            <w:pPr>
              <w:keepNext w:val="0"/>
              <w:keepLines w:val="0"/>
              <w:widowControl/>
              <w:suppressLineNumbers w:val="0"/>
              <w:autoSpaceDE w:val="0"/>
              <w:autoSpaceDN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宋体" w:eastAsia="宋体" w:cs="Times New Roman"/>
                <w:color w:val="auto"/>
                <w:kern w:val="0"/>
                <w:sz w:val="21"/>
                <w:szCs w:val="21"/>
                <w:lang w:val="en-US" w:eastAsia="zh-CN" w:bidi="ar-SA"/>
              </w:rPr>
              <w:t>≥1</w:t>
            </w:r>
          </w:p>
        </w:tc>
        <w:tc>
          <w:tcPr>
            <w:tcW w:w="692" w:type="pct"/>
            <w:tcBorders>
              <w:top w:val="single" w:color="000000" w:sz="4" w:space="0"/>
              <w:left w:val="single" w:color="000000" w:sz="4" w:space="0"/>
              <w:right w:val="single" w:color="000000" w:sz="4" w:space="0"/>
            </w:tcBorders>
            <w:vAlign w:val="center"/>
          </w:tcPr>
          <w:p w14:paraId="045768E3">
            <w:pPr>
              <w:keepNext w:val="0"/>
              <w:keepLines w:val="0"/>
              <w:widowControl/>
              <w:suppressLineNumbers w:val="0"/>
              <w:autoSpaceDE w:val="0"/>
              <w:autoSpaceDN w:val="0"/>
              <w:spacing w:before="0" w:beforeAutospacing="0" w:after="0" w:afterAutospacing="0"/>
              <w:ind w:left="0" w:right="0" w:firstLine="0" w:firstLineChars="0"/>
              <w:jc w:val="center"/>
              <w:rPr>
                <w:rFonts w:hint="eastAsia" w:ascii="Times New Roman" w:hAnsi="Times New Roman" w:eastAsia="宋体" w:cs="Times New Roman"/>
                <w:color w:val="auto"/>
                <w:kern w:val="0"/>
                <w:sz w:val="21"/>
                <w:szCs w:val="21"/>
                <w:lang w:val="en-US" w:eastAsia="zh-CN" w:bidi="ar-SA"/>
              </w:rPr>
            </w:pPr>
          </w:p>
        </w:tc>
      </w:tr>
      <w:tr w14:paraId="08876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90" w:hRule="atLeast"/>
          <w:jc w:val="center"/>
        </w:trPr>
        <w:tc>
          <w:tcPr>
            <w:tcW w:w="284" w:type="pct"/>
            <w:vMerge w:val="continue"/>
            <w:tcBorders>
              <w:left w:val="single" w:color="000000" w:sz="4" w:space="0"/>
              <w:right w:val="single" w:color="000000" w:sz="4" w:space="0"/>
            </w:tcBorders>
            <w:vAlign w:val="center"/>
          </w:tcPr>
          <w:p w14:paraId="747C5674">
            <w:pPr>
              <w:keepNext w:val="0"/>
              <w:keepLines w:val="0"/>
              <w:widowControl/>
              <w:suppressLineNumbers w:val="0"/>
              <w:autoSpaceDE w:val="0"/>
              <w:autoSpaceDN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1"/>
                <w:lang w:val="en-US" w:eastAsia="zh-CN" w:bidi="ar-SA"/>
              </w:rPr>
            </w:pPr>
          </w:p>
        </w:tc>
        <w:tc>
          <w:tcPr>
            <w:tcW w:w="493" w:type="pct"/>
            <w:vMerge w:val="continue"/>
            <w:tcBorders>
              <w:left w:val="single" w:color="000000" w:sz="4" w:space="0"/>
              <w:right w:val="single" w:color="auto" w:sz="4" w:space="0"/>
            </w:tcBorders>
            <w:vAlign w:val="center"/>
          </w:tcPr>
          <w:p w14:paraId="76064119">
            <w:pPr>
              <w:keepNext w:val="0"/>
              <w:keepLines w:val="0"/>
              <w:widowControl/>
              <w:suppressLineNumbers w:val="0"/>
              <w:autoSpaceDE w:val="0"/>
              <w:autoSpaceDN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1"/>
                <w:lang w:val="en-US" w:eastAsia="zh-CN" w:bidi="ar-SA"/>
              </w:rPr>
            </w:pPr>
          </w:p>
        </w:tc>
        <w:tc>
          <w:tcPr>
            <w:tcW w:w="877" w:type="pct"/>
            <w:tcBorders>
              <w:top w:val="single" w:color="000000" w:sz="4" w:space="0"/>
              <w:left w:val="single" w:color="auto" w:sz="4" w:space="0"/>
              <w:bottom w:val="single" w:color="000000" w:sz="4" w:space="0"/>
              <w:right w:val="single" w:color="000000" w:sz="4" w:space="0"/>
            </w:tcBorders>
            <w:vAlign w:val="center"/>
          </w:tcPr>
          <w:p w14:paraId="2D85646A">
            <w:pPr>
              <w:pStyle w:val="18"/>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olor w:val="auto"/>
                <w:kern w:val="0"/>
                <w:szCs w:val="21"/>
              </w:rPr>
              <w:t>电快速瞬变脉冲群抗扰度</w:t>
            </w:r>
          </w:p>
        </w:tc>
        <w:tc>
          <w:tcPr>
            <w:tcW w:w="641" w:type="pct"/>
            <w:tcBorders>
              <w:top w:val="single" w:color="000000" w:sz="4" w:space="0"/>
              <w:left w:val="single" w:color="000000" w:sz="4" w:space="0"/>
              <w:bottom w:val="single" w:color="000000" w:sz="4" w:space="0"/>
              <w:right w:val="single" w:color="auto" w:sz="4" w:space="0"/>
            </w:tcBorders>
            <w:vAlign w:val="center"/>
          </w:tcPr>
          <w:p w14:paraId="6F6B6EB4">
            <w:pPr>
              <w:pStyle w:val="18"/>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olor w:val="auto"/>
                <w:kern w:val="0"/>
                <w:szCs w:val="21"/>
              </w:rPr>
              <w:t>7.</w:t>
            </w:r>
            <w:r>
              <w:rPr>
                <w:rFonts w:hint="eastAsia" w:ascii="Times New Roman" w:hAnsi="Times New Roman" w:eastAsia="宋体"/>
                <w:color w:val="auto"/>
                <w:kern w:val="0"/>
                <w:szCs w:val="21"/>
                <w:lang w:val="en-US" w:eastAsia="zh-CN"/>
              </w:rPr>
              <w:t>7</w:t>
            </w:r>
            <w:r>
              <w:rPr>
                <w:rFonts w:hint="eastAsia" w:ascii="Times New Roman" w:hAnsi="Times New Roman" w:eastAsia="宋体"/>
                <w:color w:val="auto"/>
                <w:kern w:val="0"/>
                <w:szCs w:val="21"/>
              </w:rPr>
              <w:t>.</w:t>
            </w:r>
            <w:r>
              <w:rPr>
                <w:rFonts w:hint="eastAsia" w:ascii="Times New Roman" w:hAnsi="Times New Roman" w:eastAsia="宋体"/>
                <w:color w:val="auto"/>
                <w:kern w:val="0"/>
                <w:szCs w:val="21"/>
                <w:lang w:val="en-US" w:eastAsia="zh-CN"/>
              </w:rPr>
              <w:t>2</w:t>
            </w:r>
          </w:p>
        </w:tc>
        <w:tc>
          <w:tcPr>
            <w:tcW w:w="638" w:type="pct"/>
            <w:tcBorders>
              <w:top w:val="single" w:color="000000" w:sz="4" w:space="0"/>
              <w:left w:val="single" w:color="auto" w:sz="4" w:space="0"/>
              <w:bottom w:val="single" w:color="000000" w:sz="4" w:space="0"/>
              <w:right w:val="single" w:color="auto" w:sz="4" w:space="0"/>
            </w:tcBorders>
            <w:vAlign w:val="center"/>
          </w:tcPr>
          <w:p w14:paraId="4C605298">
            <w:pPr>
              <w:pStyle w:val="18"/>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olor w:val="auto"/>
                <w:kern w:val="0"/>
                <w:szCs w:val="21"/>
              </w:rPr>
              <w:t>10.</w:t>
            </w:r>
            <w:r>
              <w:rPr>
                <w:rFonts w:hint="eastAsia" w:ascii="Times New Roman" w:hAnsi="Times New Roman" w:eastAsia="宋体"/>
                <w:color w:val="auto"/>
                <w:kern w:val="0"/>
                <w:szCs w:val="21"/>
                <w:lang w:val="en-US" w:eastAsia="zh-CN"/>
              </w:rPr>
              <w:t>6</w:t>
            </w:r>
            <w:r>
              <w:rPr>
                <w:rFonts w:hint="eastAsia" w:ascii="Times New Roman" w:hAnsi="Times New Roman" w:eastAsia="宋体"/>
                <w:color w:val="auto"/>
                <w:kern w:val="0"/>
                <w:szCs w:val="21"/>
              </w:rPr>
              <w:t>.</w:t>
            </w:r>
            <w:r>
              <w:rPr>
                <w:rFonts w:hint="eastAsia" w:ascii="Times New Roman" w:hAnsi="Times New Roman" w:eastAsia="宋体"/>
                <w:color w:val="auto"/>
                <w:kern w:val="0"/>
                <w:szCs w:val="21"/>
                <w:lang w:val="en-US" w:eastAsia="zh-CN"/>
              </w:rPr>
              <w:t>2</w:t>
            </w:r>
          </w:p>
        </w:tc>
        <w:tc>
          <w:tcPr>
            <w:tcW w:w="679" w:type="pct"/>
            <w:tcBorders>
              <w:top w:val="single" w:color="000000" w:sz="4" w:space="0"/>
              <w:left w:val="single" w:color="auto" w:sz="4" w:space="0"/>
              <w:bottom w:val="single" w:color="000000" w:sz="4" w:space="0"/>
              <w:right w:val="single" w:color="000000" w:sz="4" w:space="0"/>
            </w:tcBorders>
            <w:vAlign w:val="center"/>
          </w:tcPr>
          <w:p w14:paraId="133355B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rPr>
            </w:pPr>
            <w:r>
              <w:rPr>
                <w:rFonts w:hint="eastAsia" w:ascii="Times New Roman" w:hAnsi="Times New Roman" w:eastAsia="宋体" w:cs="Times New Roman"/>
                <w:color w:val="auto"/>
                <w:kern w:val="0"/>
                <w:szCs w:val="21"/>
              </w:rPr>
              <w:t>试验项目</w:t>
            </w:r>
          </w:p>
        </w:tc>
        <w:tc>
          <w:tcPr>
            <w:tcW w:w="695" w:type="pct"/>
            <w:tcBorders>
              <w:top w:val="single" w:color="000000" w:sz="4" w:space="0"/>
              <w:left w:val="single" w:color="000000" w:sz="4" w:space="0"/>
              <w:bottom w:val="single" w:color="auto" w:sz="4" w:space="0"/>
              <w:right w:val="single" w:color="000000" w:sz="4" w:space="0"/>
            </w:tcBorders>
            <w:vAlign w:val="center"/>
          </w:tcPr>
          <w:p w14:paraId="36A4BA1B">
            <w:pPr>
              <w:keepNext w:val="0"/>
              <w:keepLines w:val="0"/>
              <w:widowControl/>
              <w:suppressLineNumbers w:val="0"/>
              <w:autoSpaceDE w:val="0"/>
              <w:autoSpaceDN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宋体" w:eastAsia="宋体" w:cs="Times New Roman"/>
                <w:color w:val="auto"/>
                <w:kern w:val="0"/>
                <w:sz w:val="21"/>
                <w:szCs w:val="21"/>
                <w:lang w:val="en-US" w:eastAsia="zh-CN" w:bidi="ar-SA"/>
              </w:rPr>
              <w:t>≥1</w:t>
            </w:r>
          </w:p>
        </w:tc>
        <w:tc>
          <w:tcPr>
            <w:tcW w:w="692" w:type="pct"/>
            <w:vMerge w:val="restart"/>
            <w:tcBorders>
              <w:top w:val="single" w:color="000000" w:sz="4" w:space="0"/>
              <w:left w:val="single" w:color="000000" w:sz="4" w:space="0"/>
              <w:right w:val="single" w:color="000000" w:sz="4" w:space="0"/>
            </w:tcBorders>
            <w:vAlign w:val="center"/>
          </w:tcPr>
          <w:p w14:paraId="6824138C">
            <w:pPr>
              <w:keepNext w:val="0"/>
              <w:keepLines w:val="0"/>
              <w:widowControl/>
              <w:suppressLineNumbers w:val="0"/>
              <w:autoSpaceDE w:val="0"/>
              <w:autoSpaceDN w:val="0"/>
              <w:spacing w:before="0" w:beforeAutospacing="0" w:after="0" w:afterAutospacing="0"/>
              <w:ind w:left="0" w:right="0"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交流</w:t>
            </w:r>
            <w:r>
              <w:rPr>
                <w:rFonts w:hint="default" w:ascii="Times New Roman" w:hAnsi="Times New Roman" w:eastAsia="宋体" w:cs="Times New Roman"/>
                <w:color w:val="auto"/>
                <w:kern w:val="0"/>
                <w:sz w:val="21"/>
                <w:szCs w:val="21"/>
                <w:lang w:val="en-US" w:eastAsia="zh-CN" w:bidi="ar-SA"/>
              </w:rPr>
              <w:t>供电的流量计适用</w:t>
            </w:r>
          </w:p>
        </w:tc>
      </w:tr>
      <w:tr w14:paraId="040CE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90" w:hRule="atLeast"/>
          <w:jc w:val="center"/>
        </w:trPr>
        <w:tc>
          <w:tcPr>
            <w:tcW w:w="284" w:type="pct"/>
            <w:vMerge w:val="continue"/>
            <w:tcBorders>
              <w:left w:val="single" w:color="000000" w:sz="4" w:space="0"/>
              <w:right w:val="single" w:color="000000" w:sz="4" w:space="0"/>
            </w:tcBorders>
            <w:vAlign w:val="center"/>
          </w:tcPr>
          <w:p w14:paraId="2A9189EF">
            <w:pPr>
              <w:keepNext w:val="0"/>
              <w:keepLines w:val="0"/>
              <w:widowControl/>
              <w:suppressLineNumbers w:val="0"/>
              <w:autoSpaceDE w:val="0"/>
              <w:autoSpaceDN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1"/>
                <w:lang w:val="en-US" w:eastAsia="zh-CN" w:bidi="ar-SA"/>
              </w:rPr>
            </w:pPr>
          </w:p>
        </w:tc>
        <w:tc>
          <w:tcPr>
            <w:tcW w:w="493" w:type="pct"/>
            <w:vMerge w:val="continue"/>
            <w:tcBorders>
              <w:left w:val="single" w:color="000000" w:sz="4" w:space="0"/>
              <w:right w:val="single" w:color="auto" w:sz="4" w:space="0"/>
            </w:tcBorders>
            <w:vAlign w:val="center"/>
          </w:tcPr>
          <w:p w14:paraId="7569058A">
            <w:pPr>
              <w:keepNext w:val="0"/>
              <w:keepLines w:val="0"/>
              <w:widowControl/>
              <w:suppressLineNumbers w:val="0"/>
              <w:autoSpaceDE w:val="0"/>
              <w:autoSpaceDN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1"/>
                <w:lang w:val="en-US" w:eastAsia="zh-CN" w:bidi="ar-SA"/>
              </w:rPr>
            </w:pPr>
          </w:p>
        </w:tc>
        <w:tc>
          <w:tcPr>
            <w:tcW w:w="877" w:type="pct"/>
            <w:tcBorders>
              <w:top w:val="single" w:color="000000" w:sz="4" w:space="0"/>
              <w:left w:val="single" w:color="auto" w:sz="4" w:space="0"/>
              <w:bottom w:val="single" w:color="000000" w:sz="4" w:space="0"/>
              <w:right w:val="single" w:color="000000" w:sz="4" w:space="0"/>
            </w:tcBorders>
            <w:vAlign w:val="center"/>
          </w:tcPr>
          <w:p w14:paraId="40682D70">
            <w:pPr>
              <w:pStyle w:val="18"/>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olor w:val="auto"/>
                <w:kern w:val="0"/>
                <w:szCs w:val="21"/>
              </w:rPr>
              <w:t>浪涌（冲击）抗扰度</w:t>
            </w:r>
          </w:p>
        </w:tc>
        <w:tc>
          <w:tcPr>
            <w:tcW w:w="641" w:type="pct"/>
            <w:tcBorders>
              <w:top w:val="single" w:color="000000" w:sz="4" w:space="0"/>
              <w:left w:val="single" w:color="000000" w:sz="4" w:space="0"/>
              <w:bottom w:val="single" w:color="000000" w:sz="4" w:space="0"/>
              <w:right w:val="single" w:color="auto" w:sz="4" w:space="0"/>
            </w:tcBorders>
            <w:vAlign w:val="center"/>
          </w:tcPr>
          <w:p w14:paraId="48A4AC3D">
            <w:pPr>
              <w:pStyle w:val="18"/>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olor w:val="auto"/>
                <w:kern w:val="0"/>
                <w:szCs w:val="21"/>
              </w:rPr>
              <w:t>7.</w:t>
            </w:r>
            <w:r>
              <w:rPr>
                <w:rFonts w:hint="eastAsia" w:ascii="Times New Roman" w:hAnsi="Times New Roman" w:eastAsia="宋体"/>
                <w:color w:val="auto"/>
                <w:kern w:val="0"/>
                <w:szCs w:val="21"/>
                <w:lang w:val="en-US" w:eastAsia="zh-CN"/>
              </w:rPr>
              <w:t>7</w:t>
            </w:r>
            <w:r>
              <w:rPr>
                <w:rFonts w:hint="eastAsia" w:ascii="Times New Roman" w:hAnsi="Times New Roman" w:eastAsia="宋体"/>
                <w:color w:val="auto"/>
                <w:kern w:val="0"/>
                <w:szCs w:val="21"/>
              </w:rPr>
              <w:t>.</w:t>
            </w:r>
            <w:r>
              <w:rPr>
                <w:rFonts w:hint="eastAsia" w:ascii="Times New Roman" w:hAnsi="Times New Roman" w:eastAsia="宋体"/>
                <w:color w:val="auto"/>
                <w:kern w:val="0"/>
                <w:szCs w:val="21"/>
                <w:lang w:val="en-US" w:eastAsia="zh-CN"/>
              </w:rPr>
              <w:t>3</w:t>
            </w:r>
          </w:p>
        </w:tc>
        <w:tc>
          <w:tcPr>
            <w:tcW w:w="638" w:type="pct"/>
            <w:tcBorders>
              <w:top w:val="single" w:color="000000" w:sz="4" w:space="0"/>
              <w:left w:val="single" w:color="auto" w:sz="4" w:space="0"/>
              <w:bottom w:val="single" w:color="000000" w:sz="4" w:space="0"/>
              <w:right w:val="single" w:color="auto" w:sz="4" w:space="0"/>
            </w:tcBorders>
            <w:vAlign w:val="center"/>
          </w:tcPr>
          <w:p w14:paraId="3AA480E1">
            <w:pPr>
              <w:pStyle w:val="18"/>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olor w:val="auto"/>
                <w:kern w:val="0"/>
                <w:szCs w:val="21"/>
              </w:rPr>
              <w:t>10.</w:t>
            </w:r>
            <w:r>
              <w:rPr>
                <w:rFonts w:hint="eastAsia" w:ascii="Times New Roman" w:hAnsi="Times New Roman" w:eastAsia="宋体"/>
                <w:color w:val="auto"/>
                <w:kern w:val="0"/>
                <w:szCs w:val="21"/>
                <w:lang w:val="en-US" w:eastAsia="zh-CN"/>
              </w:rPr>
              <w:t>6</w:t>
            </w:r>
            <w:r>
              <w:rPr>
                <w:rFonts w:hint="eastAsia" w:ascii="Times New Roman" w:hAnsi="Times New Roman" w:eastAsia="宋体"/>
                <w:color w:val="auto"/>
                <w:kern w:val="0"/>
                <w:szCs w:val="21"/>
              </w:rPr>
              <w:t>.</w:t>
            </w:r>
            <w:r>
              <w:rPr>
                <w:rFonts w:hint="eastAsia" w:ascii="Times New Roman" w:hAnsi="Times New Roman" w:eastAsia="宋体"/>
                <w:color w:val="auto"/>
                <w:kern w:val="0"/>
                <w:szCs w:val="21"/>
                <w:lang w:val="en-US" w:eastAsia="zh-CN"/>
              </w:rPr>
              <w:t>3</w:t>
            </w:r>
          </w:p>
        </w:tc>
        <w:tc>
          <w:tcPr>
            <w:tcW w:w="679" w:type="pct"/>
            <w:tcBorders>
              <w:top w:val="single" w:color="000000" w:sz="4" w:space="0"/>
              <w:left w:val="single" w:color="auto" w:sz="4" w:space="0"/>
              <w:bottom w:val="single" w:color="000000" w:sz="4" w:space="0"/>
              <w:right w:val="single" w:color="000000" w:sz="4" w:space="0"/>
            </w:tcBorders>
            <w:vAlign w:val="center"/>
          </w:tcPr>
          <w:p w14:paraId="2EBFBC0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rPr>
            </w:pPr>
            <w:r>
              <w:rPr>
                <w:rFonts w:hint="eastAsia" w:ascii="Times New Roman" w:hAnsi="Times New Roman" w:eastAsia="宋体" w:cs="Times New Roman"/>
                <w:color w:val="auto"/>
                <w:kern w:val="0"/>
                <w:szCs w:val="21"/>
              </w:rPr>
              <w:t>试验项目</w:t>
            </w:r>
          </w:p>
        </w:tc>
        <w:tc>
          <w:tcPr>
            <w:tcW w:w="695" w:type="pct"/>
            <w:tcBorders>
              <w:top w:val="single" w:color="auto" w:sz="4" w:space="0"/>
              <w:left w:val="single" w:color="000000" w:sz="4" w:space="0"/>
              <w:bottom w:val="single" w:color="auto" w:sz="4" w:space="0"/>
              <w:right w:val="single" w:color="000000" w:sz="4" w:space="0"/>
            </w:tcBorders>
            <w:vAlign w:val="center"/>
          </w:tcPr>
          <w:p w14:paraId="4E3D4FF8">
            <w:pPr>
              <w:keepNext w:val="0"/>
              <w:keepLines w:val="0"/>
              <w:widowControl/>
              <w:suppressLineNumbers w:val="0"/>
              <w:autoSpaceDE w:val="0"/>
              <w:autoSpaceDN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宋体" w:eastAsia="宋体" w:cs="Times New Roman"/>
                <w:color w:val="auto"/>
                <w:kern w:val="0"/>
                <w:sz w:val="21"/>
                <w:szCs w:val="21"/>
                <w:lang w:val="en-US" w:eastAsia="zh-CN" w:bidi="ar-SA"/>
              </w:rPr>
              <w:t>≥1</w:t>
            </w:r>
          </w:p>
        </w:tc>
        <w:tc>
          <w:tcPr>
            <w:tcW w:w="692" w:type="pct"/>
            <w:vMerge w:val="continue"/>
            <w:tcBorders>
              <w:left w:val="single" w:color="000000" w:sz="4" w:space="0"/>
              <w:right w:val="single" w:color="000000" w:sz="4" w:space="0"/>
            </w:tcBorders>
            <w:vAlign w:val="center"/>
          </w:tcPr>
          <w:p w14:paraId="5E14212B">
            <w:pPr>
              <w:keepNext w:val="0"/>
              <w:keepLines w:val="0"/>
              <w:widowControl/>
              <w:suppressLineNumbers w:val="0"/>
              <w:autoSpaceDE w:val="0"/>
              <w:autoSpaceDN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1"/>
                <w:lang w:val="en-US" w:eastAsia="zh-CN" w:bidi="ar-SA"/>
              </w:rPr>
            </w:pPr>
          </w:p>
        </w:tc>
      </w:tr>
      <w:tr w14:paraId="66048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90" w:hRule="atLeast"/>
          <w:jc w:val="center"/>
        </w:trPr>
        <w:tc>
          <w:tcPr>
            <w:tcW w:w="284" w:type="pct"/>
            <w:vMerge w:val="continue"/>
            <w:tcBorders>
              <w:left w:val="single" w:color="000000" w:sz="4" w:space="0"/>
              <w:right w:val="single" w:color="000000" w:sz="4" w:space="0"/>
            </w:tcBorders>
            <w:vAlign w:val="center"/>
          </w:tcPr>
          <w:p w14:paraId="0ADF5326">
            <w:pPr>
              <w:keepNext w:val="0"/>
              <w:keepLines w:val="0"/>
              <w:widowControl/>
              <w:suppressLineNumbers w:val="0"/>
              <w:autoSpaceDE w:val="0"/>
              <w:autoSpaceDN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1"/>
                <w:lang w:val="en-US" w:eastAsia="zh-CN" w:bidi="ar-SA"/>
              </w:rPr>
            </w:pPr>
          </w:p>
        </w:tc>
        <w:tc>
          <w:tcPr>
            <w:tcW w:w="493" w:type="pct"/>
            <w:vMerge w:val="continue"/>
            <w:tcBorders>
              <w:left w:val="single" w:color="000000" w:sz="4" w:space="0"/>
              <w:right w:val="single" w:color="auto" w:sz="4" w:space="0"/>
            </w:tcBorders>
            <w:vAlign w:val="center"/>
          </w:tcPr>
          <w:p w14:paraId="3CAA4EC1">
            <w:pPr>
              <w:keepNext w:val="0"/>
              <w:keepLines w:val="0"/>
              <w:widowControl/>
              <w:suppressLineNumbers w:val="0"/>
              <w:autoSpaceDE w:val="0"/>
              <w:autoSpaceDN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1"/>
                <w:lang w:val="en-US" w:eastAsia="zh-CN" w:bidi="ar-SA"/>
              </w:rPr>
            </w:pPr>
          </w:p>
        </w:tc>
        <w:tc>
          <w:tcPr>
            <w:tcW w:w="877" w:type="pct"/>
            <w:tcBorders>
              <w:top w:val="single" w:color="000000" w:sz="4" w:space="0"/>
              <w:left w:val="single" w:color="auto" w:sz="4" w:space="0"/>
              <w:bottom w:val="single" w:color="000000" w:sz="4" w:space="0"/>
              <w:right w:val="single" w:color="000000" w:sz="4" w:space="0"/>
            </w:tcBorders>
            <w:vAlign w:val="center"/>
          </w:tcPr>
          <w:p w14:paraId="6BB13629">
            <w:pPr>
              <w:pStyle w:val="18"/>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olor w:val="auto"/>
                <w:kern w:val="0"/>
                <w:szCs w:val="21"/>
              </w:rPr>
              <w:t>电压暂降和短时中断抗扰度</w:t>
            </w:r>
          </w:p>
        </w:tc>
        <w:tc>
          <w:tcPr>
            <w:tcW w:w="641" w:type="pct"/>
            <w:tcBorders>
              <w:top w:val="single" w:color="000000" w:sz="4" w:space="0"/>
              <w:left w:val="single" w:color="000000" w:sz="4" w:space="0"/>
              <w:bottom w:val="single" w:color="000000" w:sz="4" w:space="0"/>
              <w:right w:val="single" w:color="auto" w:sz="4" w:space="0"/>
            </w:tcBorders>
            <w:vAlign w:val="center"/>
          </w:tcPr>
          <w:p w14:paraId="639EF5E3">
            <w:pPr>
              <w:pStyle w:val="18"/>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olor w:val="auto"/>
                <w:kern w:val="0"/>
                <w:szCs w:val="21"/>
              </w:rPr>
              <w:t>7.</w:t>
            </w:r>
            <w:r>
              <w:rPr>
                <w:rFonts w:hint="eastAsia" w:ascii="Times New Roman" w:hAnsi="Times New Roman" w:eastAsia="宋体"/>
                <w:color w:val="auto"/>
                <w:kern w:val="0"/>
                <w:szCs w:val="21"/>
                <w:lang w:val="en-US" w:eastAsia="zh-CN"/>
              </w:rPr>
              <w:t>7</w:t>
            </w:r>
            <w:r>
              <w:rPr>
                <w:rFonts w:hint="eastAsia" w:ascii="Times New Roman" w:hAnsi="Times New Roman" w:eastAsia="宋体"/>
                <w:color w:val="auto"/>
                <w:kern w:val="0"/>
                <w:szCs w:val="21"/>
              </w:rPr>
              <w:t>.</w:t>
            </w:r>
            <w:r>
              <w:rPr>
                <w:rFonts w:hint="eastAsia" w:ascii="Times New Roman" w:hAnsi="Times New Roman" w:eastAsia="宋体"/>
                <w:color w:val="auto"/>
                <w:kern w:val="0"/>
                <w:szCs w:val="21"/>
                <w:lang w:val="en-US" w:eastAsia="zh-CN"/>
              </w:rPr>
              <w:t>4</w:t>
            </w:r>
          </w:p>
        </w:tc>
        <w:tc>
          <w:tcPr>
            <w:tcW w:w="638" w:type="pct"/>
            <w:tcBorders>
              <w:top w:val="single" w:color="000000" w:sz="4" w:space="0"/>
              <w:left w:val="single" w:color="auto" w:sz="4" w:space="0"/>
              <w:bottom w:val="single" w:color="000000" w:sz="4" w:space="0"/>
              <w:right w:val="single" w:color="auto" w:sz="4" w:space="0"/>
            </w:tcBorders>
            <w:vAlign w:val="center"/>
          </w:tcPr>
          <w:p w14:paraId="5E8AC5ED">
            <w:pPr>
              <w:pStyle w:val="18"/>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olor w:val="auto"/>
                <w:kern w:val="0"/>
                <w:szCs w:val="21"/>
              </w:rPr>
              <w:t>10.</w:t>
            </w:r>
            <w:r>
              <w:rPr>
                <w:rFonts w:hint="eastAsia" w:ascii="Times New Roman" w:hAnsi="Times New Roman" w:eastAsia="宋体"/>
                <w:color w:val="auto"/>
                <w:kern w:val="0"/>
                <w:szCs w:val="21"/>
                <w:lang w:val="en-US" w:eastAsia="zh-CN"/>
              </w:rPr>
              <w:t>6</w:t>
            </w:r>
            <w:r>
              <w:rPr>
                <w:rFonts w:hint="eastAsia" w:ascii="Times New Roman" w:hAnsi="Times New Roman" w:eastAsia="宋体"/>
                <w:color w:val="auto"/>
                <w:kern w:val="0"/>
                <w:szCs w:val="21"/>
              </w:rPr>
              <w:t>.</w:t>
            </w:r>
            <w:r>
              <w:rPr>
                <w:rFonts w:hint="eastAsia" w:ascii="Times New Roman" w:hAnsi="Times New Roman" w:eastAsia="宋体"/>
                <w:color w:val="auto"/>
                <w:kern w:val="0"/>
                <w:szCs w:val="21"/>
                <w:lang w:val="en-US" w:eastAsia="zh-CN"/>
              </w:rPr>
              <w:t>4</w:t>
            </w:r>
          </w:p>
        </w:tc>
        <w:tc>
          <w:tcPr>
            <w:tcW w:w="679" w:type="pct"/>
            <w:tcBorders>
              <w:top w:val="single" w:color="000000" w:sz="4" w:space="0"/>
              <w:left w:val="single" w:color="auto" w:sz="4" w:space="0"/>
              <w:bottom w:val="single" w:color="000000" w:sz="4" w:space="0"/>
              <w:right w:val="single" w:color="000000" w:sz="4" w:space="0"/>
            </w:tcBorders>
            <w:vAlign w:val="center"/>
          </w:tcPr>
          <w:p w14:paraId="46254301">
            <w:pPr>
              <w:keepNext w:val="0"/>
              <w:keepLines w:val="0"/>
              <w:widowControl/>
              <w:suppressLineNumbers w:val="0"/>
              <w:autoSpaceDE w:val="0"/>
              <w:autoSpaceDN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试验项目</w:t>
            </w:r>
          </w:p>
        </w:tc>
        <w:tc>
          <w:tcPr>
            <w:tcW w:w="695" w:type="pct"/>
            <w:tcBorders>
              <w:top w:val="single" w:color="auto" w:sz="4" w:space="0"/>
              <w:left w:val="single" w:color="000000" w:sz="4" w:space="0"/>
              <w:right w:val="single" w:color="000000" w:sz="4" w:space="0"/>
            </w:tcBorders>
            <w:vAlign w:val="center"/>
          </w:tcPr>
          <w:p w14:paraId="478D1E69">
            <w:pPr>
              <w:keepNext w:val="0"/>
              <w:keepLines w:val="0"/>
              <w:widowControl/>
              <w:suppressLineNumbers w:val="0"/>
              <w:autoSpaceDE w:val="0"/>
              <w:autoSpaceDN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宋体" w:eastAsia="宋体" w:cs="Times New Roman"/>
                <w:color w:val="auto"/>
                <w:kern w:val="0"/>
                <w:sz w:val="21"/>
                <w:szCs w:val="21"/>
                <w:lang w:val="en-US" w:eastAsia="zh-CN" w:bidi="ar-SA"/>
              </w:rPr>
              <w:t>≥1</w:t>
            </w:r>
          </w:p>
        </w:tc>
        <w:tc>
          <w:tcPr>
            <w:tcW w:w="692" w:type="pct"/>
            <w:vMerge w:val="continue"/>
            <w:tcBorders>
              <w:left w:val="single" w:color="000000" w:sz="4" w:space="0"/>
              <w:right w:val="single" w:color="000000" w:sz="4" w:space="0"/>
            </w:tcBorders>
            <w:vAlign w:val="center"/>
          </w:tcPr>
          <w:p w14:paraId="5C7E4198">
            <w:pPr>
              <w:keepNext w:val="0"/>
              <w:keepLines w:val="0"/>
              <w:widowControl/>
              <w:suppressLineNumbers w:val="0"/>
              <w:autoSpaceDE w:val="0"/>
              <w:autoSpaceDN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1"/>
                <w:lang w:val="en-US" w:eastAsia="zh-CN" w:bidi="ar-SA"/>
              </w:rPr>
            </w:pPr>
          </w:p>
        </w:tc>
      </w:tr>
      <w:tr w14:paraId="19C5B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284" w:type="pct"/>
            <w:tcBorders>
              <w:left w:val="single" w:color="000000" w:sz="4" w:space="0"/>
              <w:right w:val="single" w:color="000000" w:sz="4" w:space="0"/>
            </w:tcBorders>
            <w:vAlign w:val="center"/>
          </w:tcPr>
          <w:p w14:paraId="1E79A12F">
            <w:pPr>
              <w:keepNext w:val="0"/>
              <w:keepLines w:val="0"/>
              <w:widowControl/>
              <w:suppressLineNumbers w:val="0"/>
              <w:autoSpaceDE w:val="0"/>
              <w:autoSpaceDN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8</w:t>
            </w:r>
          </w:p>
        </w:tc>
        <w:tc>
          <w:tcPr>
            <w:tcW w:w="1370" w:type="pct"/>
            <w:gridSpan w:val="2"/>
            <w:tcBorders>
              <w:left w:val="single" w:color="000000" w:sz="4" w:space="0"/>
              <w:right w:val="single" w:color="000000" w:sz="4" w:space="0"/>
            </w:tcBorders>
            <w:vAlign w:val="center"/>
          </w:tcPr>
          <w:p w14:paraId="15A2082A">
            <w:pPr>
              <w:pStyle w:val="18"/>
              <w:keepNext w:val="0"/>
              <w:keepLines w:val="0"/>
              <w:widowControl/>
              <w:suppressLineNumbers w:val="0"/>
              <w:spacing w:before="0" w:beforeAutospacing="0" w:after="0" w:afterAutospacing="0"/>
              <w:ind w:left="0" w:leftChars="0" w:right="0" w:rightChars="0" w:firstLine="0" w:firstLineChars="0"/>
              <w:jc w:val="center"/>
              <w:rPr>
                <w:rFonts w:hint="eastAsia" w:ascii="Times New Roman" w:hAnsi="Times New Roman" w:eastAsia="宋体" w:cstheme="minorBidi"/>
                <w:color w:val="auto"/>
                <w:kern w:val="0"/>
                <w:sz w:val="21"/>
                <w:szCs w:val="21"/>
                <w:lang w:val="en-US" w:eastAsia="zh-CN" w:bidi="ar-SA"/>
              </w:rPr>
            </w:pPr>
            <w:r>
              <w:rPr>
                <w:rFonts w:hint="eastAsia" w:ascii="Times New Roman" w:hAnsi="Times New Roman" w:eastAsia="宋体"/>
                <w:color w:val="auto"/>
                <w:kern w:val="0"/>
                <w:szCs w:val="21"/>
                <w:lang w:val="en-US" w:eastAsia="zh-CN"/>
              </w:rPr>
              <w:t>电源适应性</w:t>
            </w:r>
          </w:p>
        </w:tc>
        <w:tc>
          <w:tcPr>
            <w:tcW w:w="641" w:type="pct"/>
            <w:tcBorders>
              <w:top w:val="single" w:color="000000" w:sz="4" w:space="0"/>
              <w:left w:val="single" w:color="000000" w:sz="4" w:space="0"/>
              <w:bottom w:val="single" w:color="000000" w:sz="4" w:space="0"/>
              <w:right w:val="single" w:color="auto" w:sz="4" w:space="0"/>
            </w:tcBorders>
            <w:vAlign w:val="center"/>
          </w:tcPr>
          <w:p w14:paraId="3CC788A7">
            <w:pPr>
              <w:pStyle w:val="18"/>
              <w:keepNext w:val="0"/>
              <w:keepLines w:val="0"/>
              <w:widowControl/>
              <w:suppressLineNumbers w:val="0"/>
              <w:spacing w:before="0" w:beforeAutospacing="0" w:after="0" w:afterAutospacing="0"/>
              <w:ind w:left="0" w:leftChars="0" w:right="0" w:rightChars="0" w:firstLine="0" w:firstLineChars="0"/>
              <w:jc w:val="center"/>
              <w:rPr>
                <w:rFonts w:hint="eastAsia" w:ascii="Times New Roman" w:hAnsi="Times New Roman" w:eastAsia="宋体" w:cstheme="minorBidi"/>
                <w:color w:val="auto"/>
                <w:kern w:val="0"/>
                <w:sz w:val="21"/>
                <w:szCs w:val="21"/>
                <w:lang w:val="en-US" w:eastAsia="zh-CN" w:bidi="ar-SA"/>
              </w:rPr>
            </w:pPr>
            <w:r>
              <w:rPr>
                <w:rFonts w:hint="eastAsia" w:ascii="Times New Roman" w:hAnsi="Times New Roman" w:eastAsia="宋体"/>
                <w:color w:val="auto"/>
                <w:kern w:val="0"/>
                <w:szCs w:val="21"/>
                <w:lang w:val="en-US" w:eastAsia="zh-CN"/>
              </w:rPr>
              <w:t>7.8</w:t>
            </w:r>
          </w:p>
        </w:tc>
        <w:tc>
          <w:tcPr>
            <w:tcW w:w="638" w:type="pct"/>
            <w:tcBorders>
              <w:top w:val="single" w:color="000000" w:sz="4" w:space="0"/>
              <w:left w:val="single" w:color="auto" w:sz="4" w:space="0"/>
              <w:bottom w:val="single" w:color="000000" w:sz="4" w:space="0"/>
              <w:right w:val="single" w:color="auto" w:sz="4" w:space="0"/>
            </w:tcBorders>
            <w:vAlign w:val="center"/>
          </w:tcPr>
          <w:p w14:paraId="4CE2E540">
            <w:pPr>
              <w:pStyle w:val="18"/>
              <w:keepNext w:val="0"/>
              <w:keepLines w:val="0"/>
              <w:widowControl/>
              <w:suppressLineNumbers w:val="0"/>
              <w:spacing w:before="0" w:beforeAutospacing="0" w:after="0" w:afterAutospacing="0"/>
              <w:ind w:left="0" w:leftChars="0" w:right="0" w:rightChars="0" w:firstLine="0" w:firstLineChars="0"/>
              <w:jc w:val="center"/>
              <w:rPr>
                <w:rFonts w:hint="eastAsia" w:ascii="Times New Roman" w:hAnsi="Times New Roman" w:eastAsia="宋体" w:cstheme="minorBidi"/>
                <w:color w:val="auto"/>
                <w:kern w:val="0"/>
                <w:sz w:val="21"/>
                <w:szCs w:val="21"/>
                <w:lang w:val="en-US" w:eastAsia="zh-CN" w:bidi="ar-SA"/>
              </w:rPr>
            </w:pPr>
            <w:r>
              <w:rPr>
                <w:rFonts w:hint="eastAsia" w:ascii="Times New Roman" w:hAnsi="Times New Roman" w:eastAsia="宋体"/>
                <w:color w:val="auto"/>
                <w:kern w:val="0"/>
                <w:szCs w:val="21"/>
                <w:lang w:val="en-US" w:eastAsia="zh-CN"/>
              </w:rPr>
              <w:t>10.7</w:t>
            </w:r>
          </w:p>
        </w:tc>
        <w:tc>
          <w:tcPr>
            <w:tcW w:w="679" w:type="pct"/>
            <w:tcBorders>
              <w:top w:val="single" w:color="000000" w:sz="4" w:space="0"/>
              <w:left w:val="single" w:color="auto" w:sz="4" w:space="0"/>
              <w:bottom w:val="single" w:color="000000" w:sz="4" w:space="0"/>
              <w:right w:val="single" w:color="000000" w:sz="4" w:space="0"/>
            </w:tcBorders>
            <w:vAlign w:val="center"/>
          </w:tcPr>
          <w:p w14:paraId="0837D1B7">
            <w:pPr>
              <w:pStyle w:val="18"/>
              <w:keepNext w:val="0"/>
              <w:keepLines w:val="0"/>
              <w:widowControl/>
              <w:suppressLineNumbers w:val="0"/>
              <w:spacing w:before="0" w:beforeAutospacing="0" w:after="0" w:afterAutospacing="0"/>
              <w:ind w:left="0" w:leftChars="0" w:right="0" w:rightChars="0" w:firstLine="0" w:firstLineChars="0"/>
              <w:jc w:val="center"/>
              <w:rPr>
                <w:rFonts w:hint="eastAsia" w:ascii="Times New Roman" w:hAnsi="Times New Roman" w:eastAsia="宋体" w:cstheme="minorBidi"/>
                <w:color w:val="auto"/>
                <w:kern w:val="0"/>
                <w:sz w:val="21"/>
                <w:szCs w:val="21"/>
                <w:lang w:val="en-US" w:eastAsia="zh-CN" w:bidi="ar-SA"/>
              </w:rPr>
            </w:pPr>
            <w:r>
              <w:rPr>
                <w:rFonts w:hint="eastAsia" w:eastAsia="宋体" w:cs="宋体"/>
                <w:color w:val="auto"/>
                <w:kern w:val="0"/>
                <w:szCs w:val="21"/>
              </w:rPr>
              <w:t>试验项目</w:t>
            </w:r>
          </w:p>
        </w:tc>
        <w:tc>
          <w:tcPr>
            <w:tcW w:w="695" w:type="pct"/>
            <w:tcBorders>
              <w:left w:val="single" w:color="000000" w:sz="4" w:space="0"/>
              <w:right w:val="single" w:color="000000" w:sz="4" w:space="0"/>
            </w:tcBorders>
            <w:vAlign w:val="center"/>
          </w:tcPr>
          <w:p w14:paraId="6B9DDEB8">
            <w:pPr>
              <w:pStyle w:val="18"/>
              <w:keepNext w:val="0"/>
              <w:keepLines w:val="0"/>
              <w:widowControl/>
              <w:suppressLineNumbers w:val="0"/>
              <w:spacing w:before="0" w:beforeAutospacing="0" w:after="0" w:afterAutospacing="0"/>
              <w:ind w:left="0" w:leftChars="0" w:right="0" w:rightChars="0" w:firstLine="0" w:firstLineChars="0"/>
              <w:jc w:val="center"/>
              <w:rPr>
                <w:rFonts w:hint="eastAsia" w:ascii="Times New Roman" w:hAnsi="Times New Roman" w:eastAsia="宋体" w:cstheme="minorBidi"/>
                <w:color w:val="auto"/>
                <w:kern w:val="0"/>
                <w:sz w:val="21"/>
                <w:szCs w:val="21"/>
                <w:lang w:val="en-US" w:eastAsia="zh-CN" w:bidi="ar-SA"/>
              </w:rPr>
            </w:pPr>
            <w:r>
              <w:rPr>
                <w:rFonts w:hint="eastAsia" w:ascii="Times New Roman" w:eastAsia="宋体"/>
                <w:color w:val="auto"/>
                <w:kern w:val="0"/>
                <w:szCs w:val="21"/>
                <w:lang w:val="en-US" w:eastAsia="zh-CN"/>
              </w:rPr>
              <w:t>≥1</w:t>
            </w:r>
          </w:p>
        </w:tc>
        <w:tc>
          <w:tcPr>
            <w:tcW w:w="692" w:type="pct"/>
            <w:tcBorders>
              <w:left w:val="single" w:color="000000" w:sz="4" w:space="0"/>
              <w:right w:val="single" w:color="000000" w:sz="4" w:space="0"/>
            </w:tcBorders>
            <w:vAlign w:val="center"/>
          </w:tcPr>
          <w:p w14:paraId="562BE140">
            <w:pPr>
              <w:keepNext w:val="0"/>
              <w:keepLines w:val="0"/>
              <w:widowControl/>
              <w:suppressLineNumbers w:val="0"/>
              <w:autoSpaceDE w:val="0"/>
              <w:autoSpaceDN w:val="0"/>
              <w:spacing w:before="0" w:beforeAutospacing="0" w:after="0" w:afterAutospacing="0"/>
              <w:ind w:left="0" w:right="0" w:firstLine="0" w:firstLineChars="0"/>
              <w:jc w:val="center"/>
              <w:rPr>
                <w:rFonts w:hint="eastAsia" w:ascii="Times New Roman" w:hAnsi="Times New Roman" w:eastAsia="宋体" w:cs="Times New Roman"/>
                <w:color w:val="auto"/>
                <w:kern w:val="0"/>
                <w:sz w:val="21"/>
                <w:szCs w:val="21"/>
                <w:lang w:val="en-US" w:eastAsia="zh-CN" w:bidi="ar-SA"/>
              </w:rPr>
            </w:pPr>
          </w:p>
        </w:tc>
      </w:tr>
      <w:tr w14:paraId="1654D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auto"/>
          <w:trHeight w:val="490" w:hRule="atLeast"/>
          <w:jc w:val="center"/>
        </w:trPr>
        <w:tc>
          <w:tcPr>
            <w:tcW w:w="284" w:type="pct"/>
            <w:tcBorders>
              <w:left w:val="single" w:color="000000" w:sz="4" w:space="0"/>
              <w:right w:val="single" w:color="000000" w:sz="4" w:space="0"/>
            </w:tcBorders>
            <w:vAlign w:val="center"/>
          </w:tcPr>
          <w:p w14:paraId="4D54DC31">
            <w:pPr>
              <w:keepNext w:val="0"/>
              <w:keepLines w:val="0"/>
              <w:widowControl/>
              <w:suppressLineNumbers w:val="0"/>
              <w:autoSpaceDE w:val="0"/>
              <w:autoSpaceDN w:val="0"/>
              <w:spacing w:before="0" w:beforeAutospacing="0" w:after="0" w:afterAutospacing="0"/>
              <w:ind w:left="0" w:right="0"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9</w:t>
            </w:r>
          </w:p>
        </w:tc>
        <w:tc>
          <w:tcPr>
            <w:tcW w:w="1370" w:type="pct"/>
            <w:gridSpan w:val="2"/>
            <w:tcBorders>
              <w:left w:val="single" w:color="000000" w:sz="4" w:space="0"/>
              <w:right w:val="single" w:color="000000" w:sz="4" w:space="0"/>
            </w:tcBorders>
            <w:vAlign w:val="center"/>
          </w:tcPr>
          <w:p w14:paraId="2B776464">
            <w:pPr>
              <w:keepNext w:val="0"/>
              <w:keepLines w:val="0"/>
              <w:widowControl/>
              <w:suppressLineNumbers w:val="0"/>
              <w:autoSpaceDE w:val="0"/>
              <w:autoSpaceDN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软件标识管理要求</w:t>
            </w:r>
          </w:p>
        </w:tc>
        <w:tc>
          <w:tcPr>
            <w:tcW w:w="641" w:type="pct"/>
            <w:tcBorders>
              <w:top w:val="single" w:color="000000" w:sz="4" w:space="0"/>
              <w:left w:val="single" w:color="000000" w:sz="4" w:space="0"/>
              <w:bottom w:val="single" w:color="000000" w:sz="4" w:space="0"/>
              <w:right w:val="single" w:color="auto" w:sz="4" w:space="0"/>
            </w:tcBorders>
            <w:vAlign w:val="center"/>
          </w:tcPr>
          <w:p w14:paraId="39BE25E5">
            <w:pPr>
              <w:pStyle w:val="18"/>
              <w:keepNext w:val="0"/>
              <w:keepLines w:val="0"/>
              <w:widowControl/>
              <w:suppressLineNumbers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olor w:val="auto"/>
                <w:kern w:val="0"/>
                <w:szCs w:val="21"/>
              </w:rPr>
              <w:t>7.</w:t>
            </w:r>
            <w:r>
              <w:rPr>
                <w:rFonts w:hint="default" w:ascii="Times New Roman" w:hAnsi="Times New Roman" w:eastAsia="宋体"/>
                <w:color w:val="auto"/>
                <w:kern w:val="0"/>
                <w:szCs w:val="21"/>
                <w:lang w:val="en-US" w:eastAsia="zh-CN"/>
              </w:rPr>
              <w:t>9</w:t>
            </w:r>
          </w:p>
        </w:tc>
        <w:tc>
          <w:tcPr>
            <w:tcW w:w="638" w:type="pct"/>
            <w:tcBorders>
              <w:top w:val="single" w:color="000000" w:sz="4" w:space="0"/>
              <w:left w:val="single" w:color="auto" w:sz="4" w:space="0"/>
              <w:bottom w:val="single" w:color="000000" w:sz="4" w:space="0"/>
              <w:right w:val="single" w:color="auto" w:sz="4" w:space="0"/>
            </w:tcBorders>
            <w:vAlign w:val="center"/>
          </w:tcPr>
          <w:p w14:paraId="61405782">
            <w:pPr>
              <w:pStyle w:val="18"/>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olor w:val="auto"/>
                <w:kern w:val="0"/>
                <w:szCs w:val="21"/>
                <w:lang w:val="en-US" w:eastAsia="zh-CN"/>
              </w:rPr>
              <w:t>10.8</w:t>
            </w:r>
          </w:p>
        </w:tc>
        <w:tc>
          <w:tcPr>
            <w:tcW w:w="679" w:type="pct"/>
            <w:tcBorders>
              <w:top w:val="single" w:color="000000" w:sz="4" w:space="0"/>
              <w:left w:val="single" w:color="auto" w:sz="4" w:space="0"/>
              <w:bottom w:val="single" w:color="000000" w:sz="4" w:space="0"/>
              <w:right w:val="single" w:color="000000" w:sz="4" w:space="0"/>
            </w:tcBorders>
            <w:vAlign w:val="center"/>
          </w:tcPr>
          <w:p w14:paraId="12F91048">
            <w:pPr>
              <w:keepNext w:val="0"/>
              <w:keepLines w:val="0"/>
              <w:widowControl/>
              <w:suppressLineNumbers w:val="0"/>
              <w:autoSpaceDE w:val="0"/>
              <w:autoSpaceDN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观察项目</w:t>
            </w:r>
          </w:p>
        </w:tc>
        <w:tc>
          <w:tcPr>
            <w:tcW w:w="695" w:type="pct"/>
            <w:tcBorders>
              <w:left w:val="single" w:color="000000" w:sz="4" w:space="0"/>
              <w:right w:val="single" w:color="000000" w:sz="4" w:space="0"/>
            </w:tcBorders>
            <w:vAlign w:val="center"/>
          </w:tcPr>
          <w:p w14:paraId="6D54C2C2">
            <w:pPr>
              <w:keepNext w:val="0"/>
              <w:keepLines w:val="0"/>
              <w:widowControl/>
              <w:suppressLineNumbers w:val="0"/>
              <w:autoSpaceDE w:val="0"/>
              <w:autoSpaceDN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宋体" w:eastAsia="宋体" w:cs="Times New Roman"/>
                <w:color w:val="auto"/>
                <w:kern w:val="0"/>
                <w:sz w:val="21"/>
                <w:szCs w:val="21"/>
                <w:lang w:val="en-US" w:eastAsia="zh-CN" w:bidi="ar-SA"/>
              </w:rPr>
              <w:t>全部</w:t>
            </w:r>
          </w:p>
        </w:tc>
        <w:tc>
          <w:tcPr>
            <w:tcW w:w="692" w:type="pct"/>
            <w:tcBorders>
              <w:left w:val="single" w:color="000000" w:sz="4" w:space="0"/>
              <w:right w:val="single" w:color="000000" w:sz="4" w:space="0"/>
            </w:tcBorders>
            <w:vAlign w:val="center"/>
          </w:tcPr>
          <w:p w14:paraId="12B79908">
            <w:pPr>
              <w:rPr>
                <w:rFonts w:hint="eastAsia" w:ascii="Times New Roman" w:hAnsi="Times New Roman" w:eastAsia="宋体" w:cs="Times New Roman"/>
                <w:color w:val="auto"/>
                <w:kern w:val="0"/>
                <w:sz w:val="21"/>
                <w:szCs w:val="21"/>
                <w:lang w:val="en-US" w:eastAsia="zh-CN" w:bidi="ar-SA"/>
              </w:rPr>
            </w:pPr>
            <w:r>
              <w:rPr>
                <w:rFonts w:hint="eastAsia" w:eastAsia="宋体" w:cs="宋体"/>
                <w:color w:val="auto"/>
                <w:shd w:val="clear" w:color="auto" w:fill="FFFFFF"/>
              </w:rPr>
              <w:t>通过目测或通信接口查询验证</w:t>
            </w:r>
          </w:p>
        </w:tc>
      </w:tr>
      <w:tr w14:paraId="29276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90" w:hRule="atLeast"/>
          <w:jc w:val="center"/>
        </w:trPr>
        <w:tc>
          <w:tcPr>
            <w:tcW w:w="284" w:type="pct"/>
            <w:tcBorders>
              <w:left w:val="single" w:color="000000" w:sz="4" w:space="0"/>
              <w:bottom w:val="single" w:color="000000" w:sz="4" w:space="0"/>
              <w:right w:val="single" w:color="000000" w:sz="4" w:space="0"/>
            </w:tcBorders>
            <w:vAlign w:val="center"/>
          </w:tcPr>
          <w:p w14:paraId="145270DC">
            <w:pPr>
              <w:keepNext w:val="0"/>
              <w:keepLines w:val="0"/>
              <w:widowControl/>
              <w:suppressLineNumbers w:val="0"/>
              <w:autoSpaceDE w:val="0"/>
              <w:autoSpaceDN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10</w:t>
            </w:r>
          </w:p>
        </w:tc>
        <w:tc>
          <w:tcPr>
            <w:tcW w:w="1370" w:type="pct"/>
            <w:gridSpan w:val="2"/>
            <w:tcBorders>
              <w:left w:val="single" w:color="000000" w:sz="4" w:space="0"/>
              <w:bottom w:val="single" w:color="000000" w:sz="4" w:space="0"/>
              <w:right w:val="single" w:color="000000" w:sz="4" w:space="0"/>
            </w:tcBorders>
            <w:vAlign w:val="center"/>
          </w:tcPr>
          <w:p w14:paraId="7B691A94">
            <w:pPr>
              <w:keepNext w:val="0"/>
              <w:keepLines w:val="0"/>
              <w:widowControl/>
              <w:suppressLineNumbers w:val="0"/>
              <w:autoSpaceDE w:val="0"/>
              <w:autoSpaceDN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计量性能复测</w:t>
            </w:r>
          </w:p>
        </w:tc>
        <w:tc>
          <w:tcPr>
            <w:tcW w:w="641" w:type="pct"/>
            <w:tcBorders>
              <w:top w:val="single" w:color="000000" w:sz="4" w:space="0"/>
              <w:left w:val="single" w:color="000000" w:sz="4" w:space="0"/>
              <w:bottom w:val="single" w:color="000000" w:sz="4" w:space="0"/>
              <w:right w:val="single" w:color="auto" w:sz="4" w:space="0"/>
            </w:tcBorders>
            <w:vAlign w:val="center"/>
          </w:tcPr>
          <w:p w14:paraId="3F15072B">
            <w:pPr>
              <w:pStyle w:val="18"/>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olor w:val="auto"/>
                <w:kern w:val="0"/>
                <w:szCs w:val="21"/>
                <w:lang w:val="en-US" w:eastAsia="zh-CN"/>
              </w:rPr>
              <w:t>7.1</w:t>
            </w:r>
            <w:r>
              <w:rPr>
                <w:rFonts w:hint="default" w:ascii="Times New Roman" w:hAnsi="Times New Roman" w:eastAsia="宋体"/>
                <w:color w:val="auto"/>
                <w:kern w:val="0"/>
                <w:szCs w:val="21"/>
                <w:lang w:val="en-US" w:eastAsia="zh-CN"/>
              </w:rPr>
              <w:t>0</w:t>
            </w:r>
          </w:p>
        </w:tc>
        <w:tc>
          <w:tcPr>
            <w:tcW w:w="638" w:type="pct"/>
            <w:tcBorders>
              <w:top w:val="single" w:color="000000" w:sz="4" w:space="0"/>
              <w:left w:val="single" w:color="auto" w:sz="4" w:space="0"/>
              <w:bottom w:val="single" w:color="000000" w:sz="4" w:space="0"/>
              <w:right w:val="single" w:color="auto" w:sz="4" w:space="0"/>
            </w:tcBorders>
            <w:vAlign w:val="center"/>
          </w:tcPr>
          <w:p w14:paraId="30AC5071">
            <w:pPr>
              <w:pStyle w:val="18"/>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olor w:val="auto"/>
                <w:kern w:val="0"/>
                <w:szCs w:val="21"/>
                <w:lang w:val="en-US" w:eastAsia="zh-CN"/>
              </w:rPr>
              <w:t>10.9</w:t>
            </w:r>
          </w:p>
        </w:tc>
        <w:tc>
          <w:tcPr>
            <w:tcW w:w="679" w:type="pct"/>
            <w:tcBorders>
              <w:top w:val="single" w:color="000000" w:sz="4" w:space="0"/>
              <w:left w:val="single" w:color="auto" w:sz="4" w:space="0"/>
              <w:bottom w:val="single" w:color="000000" w:sz="4" w:space="0"/>
              <w:right w:val="single" w:color="000000" w:sz="4" w:space="0"/>
            </w:tcBorders>
            <w:vAlign w:val="center"/>
          </w:tcPr>
          <w:p w14:paraId="00C6C88F">
            <w:pPr>
              <w:keepNext w:val="0"/>
              <w:keepLines w:val="0"/>
              <w:widowControl/>
              <w:suppressLineNumbers w:val="0"/>
              <w:autoSpaceDE w:val="0"/>
              <w:autoSpaceDN w:val="0"/>
              <w:spacing w:before="0" w:beforeAutospacing="0" w:after="0" w:afterAutospacing="0"/>
              <w:ind w:left="0" w:right="0"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试验项目</w:t>
            </w:r>
          </w:p>
        </w:tc>
        <w:tc>
          <w:tcPr>
            <w:tcW w:w="695" w:type="pct"/>
            <w:tcBorders>
              <w:left w:val="single" w:color="000000" w:sz="4" w:space="0"/>
              <w:bottom w:val="single" w:color="000000" w:sz="4" w:space="0"/>
              <w:right w:val="single" w:color="000000" w:sz="4" w:space="0"/>
            </w:tcBorders>
            <w:vAlign w:val="center"/>
          </w:tcPr>
          <w:p w14:paraId="6B1DF770">
            <w:pPr>
              <w:keepNext w:val="0"/>
              <w:keepLines w:val="0"/>
              <w:widowControl/>
              <w:suppressLineNumbers w:val="0"/>
              <w:autoSpaceDE w:val="0"/>
              <w:autoSpaceDN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宋体" w:eastAsia="宋体" w:cs="Times New Roman"/>
                <w:color w:val="auto"/>
                <w:kern w:val="0"/>
                <w:sz w:val="21"/>
                <w:szCs w:val="21"/>
                <w:lang w:val="en-US" w:eastAsia="zh-CN" w:bidi="ar-SA"/>
              </w:rPr>
              <w:t>≥1</w:t>
            </w:r>
          </w:p>
        </w:tc>
        <w:tc>
          <w:tcPr>
            <w:tcW w:w="692" w:type="pct"/>
            <w:tcBorders>
              <w:left w:val="single" w:color="000000" w:sz="4" w:space="0"/>
              <w:bottom w:val="single" w:color="000000" w:sz="4" w:space="0"/>
              <w:right w:val="single" w:color="000000" w:sz="4" w:space="0"/>
            </w:tcBorders>
            <w:vAlign w:val="center"/>
          </w:tcPr>
          <w:p w14:paraId="1CD6F3A3">
            <w:pPr>
              <w:keepNext w:val="0"/>
              <w:keepLines w:val="0"/>
              <w:widowControl/>
              <w:suppressLineNumbers w:val="0"/>
              <w:autoSpaceDE w:val="0"/>
              <w:autoSpaceDN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1"/>
                <w:lang w:val="en-US" w:eastAsia="zh-CN" w:bidi="ar-SA"/>
              </w:rPr>
            </w:pPr>
          </w:p>
        </w:tc>
      </w:tr>
    </w:tbl>
    <w:p w14:paraId="0B3E6DC8">
      <w:pPr>
        <w:numPr>
          <w:ilvl w:val="0"/>
          <w:numId w:val="2"/>
        </w:numPr>
        <w:spacing w:before="156" w:beforeLines="50" w:after="156" w:afterLines="50"/>
        <w:jc w:val="left"/>
        <w:rPr>
          <w:rFonts w:hint="eastAsia" w:ascii="黑体" w:hAnsi="黑体" w:eastAsia="黑体" w:cs="黑体"/>
          <w:color w:val="auto"/>
          <w:kern w:val="0"/>
          <w:sz w:val="28"/>
          <w:szCs w:val="28"/>
          <w:lang w:bidi="ar"/>
        </w:rPr>
      </w:pPr>
      <w:r>
        <w:rPr>
          <w:rFonts w:hint="eastAsia" w:ascii="黑体" w:hAnsi="黑体" w:eastAsia="黑体" w:cs="黑体"/>
          <w:color w:val="auto"/>
          <w:kern w:val="0"/>
          <w:sz w:val="28"/>
          <w:szCs w:val="28"/>
          <w:lang w:bidi="ar"/>
        </w:rPr>
        <w:t>知识产权说明（涉及专利的情况声明）</w:t>
      </w:r>
    </w:p>
    <w:p w14:paraId="769F0B63">
      <w:pPr>
        <w:pStyle w:val="9"/>
        <w:bidi w:val="0"/>
        <w:rPr>
          <w:rFonts w:hint="eastAsia"/>
          <w:color w:val="auto"/>
        </w:rPr>
      </w:pPr>
      <w:r>
        <w:rPr>
          <w:rFonts w:hint="eastAsia"/>
          <w:color w:val="auto"/>
        </w:rPr>
        <w:t>本文件不涉及专利问题。</w:t>
      </w:r>
    </w:p>
    <w:p w14:paraId="48F63389">
      <w:pPr>
        <w:numPr>
          <w:ilvl w:val="0"/>
          <w:numId w:val="2"/>
        </w:numPr>
        <w:spacing w:before="156" w:beforeLines="50" w:after="156" w:afterLines="50"/>
        <w:jc w:val="left"/>
        <w:rPr>
          <w:rFonts w:hint="eastAsia" w:ascii="黑体" w:hAnsi="黑体" w:eastAsia="黑体" w:cs="黑体"/>
          <w:color w:val="auto"/>
          <w:kern w:val="0"/>
          <w:sz w:val="28"/>
          <w:szCs w:val="28"/>
          <w:lang w:bidi="ar"/>
        </w:rPr>
      </w:pPr>
      <w:r>
        <w:rPr>
          <w:rFonts w:hint="eastAsia" w:ascii="黑体" w:hAnsi="黑体" w:eastAsia="黑体" w:cs="黑体"/>
          <w:color w:val="auto"/>
          <w:kern w:val="0"/>
          <w:sz w:val="28"/>
          <w:szCs w:val="28"/>
          <w:lang w:bidi="ar"/>
        </w:rPr>
        <w:t>重大分歧意见的处理经过和依据</w:t>
      </w:r>
    </w:p>
    <w:p w14:paraId="10D96D2C">
      <w:pPr>
        <w:pStyle w:val="9"/>
        <w:bidi w:val="0"/>
        <w:rPr>
          <w:rFonts w:hint="eastAsia"/>
          <w:color w:val="auto"/>
        </w:rPr>
      </w:pPr>
      <w:r>
        <w:rPr>
          <w:rFonts w:hint="eastAsia"/>
          <w:color w:val="auto"/>
        </w:rPr>
        <w:t>无。除了个别名词、专业术语名称、性能指标、内容的增加上有过争论</w:t>
      </w:r>
      <w:r>
        <w:rPr>
          <w:rFonts w:hint="eastAsia"/>
          <w:color w:val="auto"/>
          <w:lang w:eastAsia="zh-CN"/>
        </w:rPr>
        <w:t>，</w:t>
      </w:r>
      <w:r>
        <w:rPr>
          <w:rFonts w:hint="eastAsia"/>
          <w:color w:val="auto"/>
        </w:rPr>
        <w:t>最后能够统一认识，起草过程中无重大意见分歧。</w:t>
      </w:r>
    </w:p>
    <w:p w14:paraId="7CAB24FD">
      <w:pPr>
        <w:pStyle w:val="9"/>
        <w:bidi w:val="0"/>
        <w:rPr>
          <w:rFonts w:hint="eastAsia"/>
          <w:color w:val="auto"/>
        </w:rPr>
      </w:pPr>
    </w:p>
    <w:p w14:paraId="1710FBF5">
      <w:pPr>
        <w:keepNext w:val="0"/>
        <w:keepLines w:val="0"/>
        <w:pageBreakBefore w:val="0"/>
        <w:widowControl w:val="0"/>
        <w:kinsoku/>
        <w:wordWrap w:val="0"/>
        <w:overflowPunct/>
        <w:topLinePunct w:val="0"/>
        <w:autoSpaceDE/>
        <w:autoSpaceDN/>
        <w:bidi w:val="0"/>
        <w:adjustRightInd/>
        <w:snapToGrid/>
        <w:spacing w:line="360" w:lineRule="auto"/>
        <w:ind w:firstLine="2891" w:firstLineChars="1200"/>
        <w:jc w:val="right"/>
        <w:textAlignment w:val="auto"/>
        <w:rPr>
          <w:rFonts w:hint="eastAsia" w:ascii="宋体" w:hAnsi="宋体" w:eastAsia="宋体" w:cs="Times New Roman"/>
          <w:b/>
          <w:bCs/>
          <w:color w:val="auto"/>
          <w:sz w:val="24"/>
        </w:rPr>
      </w:pPr>
      <w:r>
        <w:rPr>
          <w:rFonts w:hint="eastAsia" w:ascii="宋体" w:hAnsi="宋体" w:eastAsia="宋体" w:cs="Times New Roman"/>
          <w:b/>
          <w:bCs/>
          <w:color w:val="auto"/>
          <w:sz w:val="24"/>
          <w:lang w:val="en-US" w:eastAsia="zh-CN"/>
        </w:rPr>
        <w:t>大纲</w:t>
      </w:r>
      <w:r>
        <w:rPr>
          <w:rFonts w:ascii="宋体" w:hAnsi="宋体" w:eastAsia="宋体" w:cs="Times New Roman"/>
          <w:b/>
          <w:bCs/>
          <w:color w:val="auto"/>
          <w:sz w:val="24"/>
        </w:rPr>
        <w:t>起草组</w:t>
      </w:r>
      <w:r>
        <w:rPr>
          <w:rFonts w:hint="eastAsia" w:ascii="宋体" w:hAnsi="宋体" w:eastAsia="宋体" w:cs="Times New Roman"/>
          <w:b/>
          <w:bCs/>
          <w:color w:val="auto"/>
          <w:sz w:val="24"/>
        </w:rPr>
        <w:t xml:space="preserve">      </w:t>
      </w:r>
    </w:p>
    <w:p w14:paraId="08B5B179">
      <w:pPr>
        <w:keepNext w:val="0"/>
        <w:keepLines w:val="0"/>
        <w:pageBreakBefore w:val="0"/>
        <w:widowControl w:val="0"/>
        <w:kinsoku/>
        <w:wordWrap w:val="0"/>
        <w:overflowPunct/>
        <w:topLinePunct w:val="0"/>
        <w:autoSpaceDE/>
        <w:autoSpaceDN/>
        <w:bidi w:val="0"/>
        <w:adjustRightInd/>
        <w:snapToGrid/>
        <w:spacing w:line="360" w:lineRule="auto"/>
        <w:ind w:firstLine="2891" w:firstLineChars="1200"/>
        <w:jc w:val="right"/>
        <w:textAlignment w:val="auto"/>
        <w:rPr>
          <w:rFonts w:hint="eastAsia" w:ascii="宋体" w:hAnsi="宋体" w:eastAsia="宋体" w:cs="Times New Roman"/>
          <w:b/>
          <w:bCs/>
          <w:color w:val="auto"/>
          <w:sz w:val="24"/>
        </w:rPr>
      </w:pPr>
      <w:r>
        <w:rPr>
          <w:rFonts w:ascii="宋体" w:hAnsi="宋体" w:eastAsia="宋体" w:cs="Times New Roman"/>
          <w:b/>
          <w:bCs/>
          <w:color w:val="auto"/>
          <w:sz w:val="24"/>
        </w:rPr>
        <w:t xml:space="preserve"> </w:t>
      </w:r>
      <w:r>
        <w:rPr>
          <w:rFonts w:hint="eastAsia" w:ascii="宋体" w:hAnsi="宋体" w:eastAsia="宋体" w:cs="Times New Roman"/>
          <w:b/>
          <w:bCs/>
          <w:color w:val="auto"/>
          <w:sz w:val="24"/>
        </w:rPr>
        <w:t>2</w:t>
      </w:r>
      <w:r>
        <w:rPr>
          <w:rFonts w:ascii="宋体" w:hAnsi="宋体" w:eastAsia="宋体" w:cs="Times New Roman"/>
          <w:b/>
          <w:bCs/>
          <w:color w:val="auto"/>
          <w:sz w:val="24"/>
        </w:rPr>
        <w:t>02</w:t>
      </w:r>
      <w:r>
        <w:rPr>
          <w:rFonts w:hint="eastAsia" w:ascii="宋体" w:hAnsi="宋体" w:eastAsia="宋体" w:cs="Times New Roman"/>
          <w:b/>
          <w:bCs/>
          <w:color w:val="auto"/>
          <w:sz w:val="24"/>
          <w:lang w:val="en-US" w:eastAsia="zh-CN"/>
        </w:rPr>
        <w:t>5</w:t>
      </w:r>
      <w:r>
        <w:rPr>
          <w:rFonts w:ascii="宋体" w:hAnsi="宋体" w:eastAsia="宋体" w:cs="Times New Roman"/>
          <w:b/>
          <w:bCs/>
          <w:color w:val="auto"/>
          <w:sz w:val="24"/>
        </w:rPr>
        <w:t>年</w:t>
      </w:r>
      <w:r>
        <w:rPr>
          <w:rFonts w:hint="eastAsia" w:ascii="宋体" w:hAnsi="宋体" w:eastAsia="宋体" w:cs="Times New Roman"/>
          <w:b/>
          <w:bCs/>
          <w:color w:val="auto"/>
          <w:sz w:val="24"/>
          <w:lang w:val="en-US" w:eastAsia="zh-CN"/>
        </w:rPr>
        <w:t>9</w:t>
      </w:r>
      <w:r>
        <w:rPr>
          <w:rFonts w:ascii="宋体" w:hAnsi="宋体" w:eastAsia="宋体" w:cs="Times New Roman"/>
          <w:b/>
          <w:bCs/>
          <w:color w:val="auto"/>
          <w:sz w:val="24"/>
        </w:rPr>
        <w:t>月</w:t>
      </w:r>
      <w:r>
        <w:rPr>
          <w:rFonts w:hint="eastAsia" w:ascii="宋体" w:hAnsi="宋体" w:eastAsia="宋体" w:cs="Times New Roman"/>
          <w:b/>
          <w:bCs/>
          <w:color w:val="auto"/>
          <w:sz w:val="24"/>
          <w:lang w:val="en-US" w:eastAsia="zh-CN"/>
        </w:rPr>
        <w:t>30</w:t>
      </w:r>
      <w:r>
        <w:rPr>
          <w:rFonts w:ascii="宋体" w:hAnsi="宋体" w:eastAsia="宋体" w:cs="Times New Roman"/>
          <w:b/>
          <w:bCs/>
          <w:color w:val="auto"/>
          <w:sz w:val="24"/>
        </w:rPr>
        <w:t>日</w:t>
      </w:r>
      <w:r>
        <w:rPr>
          <w:rFonts w:hint="eastAsia" w:ascii="宋体" w:hAnsi="宋体" w:eastAsia="宋体" w:cs="Times New Roman"/>
          <w:b/>
          <w:bCs/>
          <w:color w:val="auto"/>
          <w:sz w:val="24"/>
        </w:rPr>
        <w:t xml:space="preserve">   </w:t>
      </w:r>
    </w:p>
    <w:p w14:paraId="55EC92D7">
      <w:pPr>
        <w:pStyle w:val="13"/>
        <w:spacing w:line="360" w:lineRule="auto"/>
        <w:ind w:firstLine="480"/>
        <w:jc w:val="left"/>
        <w:rPr>
          <w:rFonts w:cs="Times New Roman" w:asciiTheme="minorEastAsia" w:hAnsiTheme="minorEastAsia"/>
          <w:color w:val="auto"/>
          <w:kern w:val="0"/>
          <w:sz w:val="24"/>
          <w:lang w:bidi="ar"/>
        </w:rPr>
      </w:pPr>
    </w:p>
    <w:p w14:paraId="2D5B02FF">
      <w:pPr>
        <w:pStyle w:val="13"/>
        <w:spacing w:line="360" w:lineRule="auto"/>
        <w:ind w:firstLine="480"/>
        <w:jc w:val="left"/>
        <w:rPr>
          <w:rFonts w:cs="Times New Roman" w:asciiTheme="minorEastAsia" w:hAnsiTheme="minorEastAsia"/>
          <w:color w:val="auto"/>
          <w:kern w:val="0"/>
          <w:sz w:val="24"/>
          <w:lang w:bidi="ar"/>
        </w:rPr>
      </w:pPr>
    </w:p>
    <w:p w14:paraId="169D71FF">
      <w:pPr>
        <w:pStyle w:val="13"/>
        <w:spacing w:line="360" w:lineRule="auto"/>
        <w:ind w:firstLine="480"/>
        <w:jc w:val="left"/>
        <w:rPr>
          <w:rFonts w:cs="Times New Roman" w:asciiTheme="minorEastAsia" w:hAnsiTheme="minorEastAsia"/>
          <w:color w:val="auto"/>
          <w:kern w:val="0"/>
          <w:sz w:val="24"/>
          <w:lang w:bidi="ar"/>
        </w:rPr>
      </w:pPr>
    </w:p>
    <w:p w14:paraId="5FAAF116">
      <w:pPr>
        <w:pStyle w:val="13"/>
        <w:spacing w:line="360" w:lineRule="auto"/>
        <w:ind w:firstLine="4560" w:firstLineChars="1900"/>
        <w:jc w:val="left"/>
        <w:rPr>
          <w:rFonts w:cs="Times New Roman" w:asciiTheme="minorEastAsia" w:hAnsiTheme="minorEastAsia"/>
          <w:color w:val="auto"/>
          <w:kern w:val="0"/>
          <w:sz w:val="24"/>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A02BA"/>
    <w:multiLevelType w:val="singleLevel"/>
    <w:tmpl w:val="B92A02BA"/>
    <w:lvl w:ilvl="0" w:tentative="0">
      <w:start w:val="1"/>
      <w:numFmt w:val="decimal"/>
      <w:suff w:val="nothing"/>
      <w:lvlText w:val="%1．"/>
      <w:lvlJc w:val="left"/>
      <w:pPr>
        <w:ind w:left="0" w:firstLine="400"/>
      </w:pPr>
      <w:rPr>
        <w:rFonts w:hint="default"/>
      </w:rPr>
    </w:lvl>
  </w:abstractNum>
  <w:abstractNum w:abstractNumId="1">
    <w:nsid w:val="31EB8731"/>
    <w:multiLevelType w:val="singleLevel"/>
    <w:tmpl w:val="31EB8731"/>
    <w:lvl w:ilvl="0" w:tentative="0">
      <w:start w:val="1"/>
      <w:numFmt w:val="chineseCounting"/>
      <w:suff w:val="nothing"/>
      <w:lvlText w:val="%1、"/>
      <w:lvlJc w:val="left"/>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cs="Times New Roman"/>
        <w:b/>
        <w:i w:val="0"/>
        <w:sz w:val="21"/>
      </w:rPr>
    </w:lvl>
    <w:lvl w:ilvl="1" w:tentative="0">
      <w:start w:val="1"/>
      <w:numFmt w:val="decimal"/>
      <w:lvlRestart w:val="0"/>
      <w:suff w:val="space"/>
      <w:lvlText w:val="%2"/>
      <w:lvlJc w:val="left"/>
      <w:pPr>
        <w:ind w:left="0" w:firstLine="0"/>
      </w:pPr>
      <w:rPr>
        <w:rFonts w:hint="eastAsia" w:ascii="黑体" w:hAnsi="Times New Roman" w:eastAsia="黑体"/>
        <w:b w:val="0"/>
        <w:i w:val="0"/>
        <w:sz w:val="28"/>
      </w:rPr>
    </w:lvl>
    <w:lvl w:ilvl="2" w:tentative="0">
      <w:start w:val="1"/>
      <w:numFmt w:val="decimal"/>
      <w:suff w:val="nothing"/>
      <w:lvlText w:val="%1%2.%3　"/>
      <w:lvlJc w:val="left"/>
      <w:pPr>
        <w:ind w:left="0" w:firstLine="0"/>
      </w:pPr>
      <w:rPr>
        <w:rFonts w:hint="eastAsia" w:ascii="宋体" w:hAnsi="Times New Roman" w:eastAsia="宋体"/>
        <w:b w:val="0"/>
        <w:i w:val="0"/>
        <w:sz w:val="24"/>
      </w:rPr>
    </w:lvl>
    <w:lvl w:ilvl="3" w:tentative="0">
      <w:start w:val="1"/>
      <w:numFmt w:val="decimal"/>
      <w:pStyle w:val="17"/>
      <w:suff w:val="nothing"/>
      <w:lvlText w:val="%1%2.%3.%4　"/>
      <w:lvlJc w:val="left"/>
      <w:pPr>
        <w:ind w:left="0" w:firstLine="0"/>
      </w:pPr>
      <w:rPr>
        <w:rFonts w:hint="eastAsia" w:ascii="宋体" w:hAnsi="Times New Roman" w:eastAsia="宋体"/>
        <w:b w:val="0"/>
        <w:i w:val="0"/>
        <w:sz w:val="24"/>
      </w:rPr>
    </w:lvl>
    <w:lvl w:ilvl="4" w:tentative="0">
      <w:start w:val="1"/>
      <w:numFmt w:val="decimal"/>
      <w:suff w:val="nothing"/>
      <w:lvlText w:val="%1%2.%3.%4.%5　"/>
      <w:lvlJc w:val="left"/>
      <w:pPr>
        <w:ind w:left="360" w:firstLine="0"/>
      </w:pPr>
      <w:rPr>
        <w:rFonts w:hint="eastAsia" w:ascii="宋体" w:hAnsi="Times New Roman" w:eastAsia="宋体"/>
        <w:b w:val="0"/>
        <w:i w:val="0"/>
        <w:sz w:val="24"/>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hNDQ1Y2M0N2M2ZDlmMWI2MDVjODU3NGIwYzExYTIifQ=="/>
  </w:docVars>
  <w:rsids>
    <w:rsidRoot w:val="00B620F3"/>
    <w:rsid w:val="00014A2C"/>
    <w:rsid w:val="00015D81"/>
    <w:rsid w:val="00024EEA"/>
    <w:rsid w:val="00053819"/>
    <w:rsid w:val="00055420"/>
    <w:rsid w:val="00055704"/>
    <w:rsid w:val="000714B9"/>
    <w:rsid w:val="0009341F"/>
    <w:rsid w:val="000D3C89"/>
    <w:rsid w:val="000D5462"/>
    <w:rsid w:val="000E3C3F"/>
    <w:rsid w:val="0011182B"/>
    <w:rsid w:val="00116A4B"/>
    <w:rsid w:val="0017480D"/>
    <w:rsid w:val="00182C01"/>
    <w:rsid w:val="00192EEE"/>
    <w:rsid w:val="001A5404"/>
    <w:rsid w:val="001E1556"/>
    <w:rsid w:val="001E3351"/>
    <w:rsid w:val="001E49D6"/>
    <w:rsid w:val="002226FC"/>
    <w:rsid w:val="00223FBB"/>
    <w:rsid w:val="00251D49"/>
    <w:rsid w:val="002541F3"/>
    <w:rsid w:val="002648C2"/>
    <w:rsid w:val="002C61EE"/>
    <w:rsid w:val="002C64DC"/>
    <w:rsid w:val="002C6DE4"/>
    <w:rsid w:val="002D7915"/>
    <w:rsid w:val="002D7DD7"/>
    <w:rsid w:val="002F254C"/>
    <w:rsid w:val="00315299"/>
    <w:rsid w:val="003245C5"/>
    <w:rsid w:val="003866C1"/>
    <w:rsid w:val="003A54C7"/>
    <w:rsid w:val="003A5616"/>
    <w:rsid w:val="003C3E0F"/>
    <w:rsid w:val="003C57F0"/>
    <w:rsid w:val="003E2E74"/>
    <w:rsid w:val="00402F20"/>
    <w:rsid w:val="00405187"/>
    <w:rsid w:val="00405E06"/>
    <w:rsid w:val="00410CCA"/>
    <w:rsid w:val="00416D63"/>
    <w:rsid w:val="00472A27"/>
    <w:rsid w:val="00487CDA"/>
    <w:rsid w:val="00503A12"/>
    <w:rsid w:val="00533195"/>
    <w:rsid w:val="00542B34"/>
    <w:rsid w:val="00564781"/>
    <w:rsid w:val="00573117"/>
    <w:rsid w:val="00573B60"/>
    <w:rsid w:val="005935A1"/>
    <w:rsid w:val="00613E9F"/>
    <w:rsid w:val="006351B1"/>
    <w:rsid w:val="00656C4C"/>
    <w:rsid w:val="006630A4"/>
    <w:rsid w:val="006B4BCD"/>
    <w:rsid w:val="006C7665"/>
    <w:rsid w:val="006E3431"/>
    <w:rsid w:val="007021B0"/>
    <w:rsid w:val="00726538"/>
    <w:rsid w:val="007510B2"/>
    <w:rsid w:val="007952C8"/>
    <w:rsid w:val="00797DA8"/>
    <w:rsid w:val="007A1766"/>
    <w:rsid w:val="007D57B5"/>
    <w:rsid w:val="007E4E28"/>
    <w:rsid w:val="007F244E"/>
    <w:rsid w:val="008123C0"/>
    <w:rsid w:val="00826D73"/>
    <w:rsid w:val="00831E00"/>
    <w:rsid w:val="008729CD"/>
    <w:rsid w:val="00873C32"/>
    <w:rsid w:val="00890839"/>
    <w:rsid w:val="008A66C7"/>
    <w:rsid w:val="008C4B9A"/>
    <w:rsid w:val="009177D3"/>
    <w:rsid w:val="0094408C"/>
    <w:rsid w:val="00944214"/>
    <w:rsid w:val="009511F2"/>
    <w:rsid w:val="00966B77"/>
    <w:rsid w:val="00981CA7"/>
    <w:rsid w:val="00990122"/>
    <w:rsid w:val="009A0644"/>
    <w:rsid w:val="009A3F91"/>
    <w:rsid w:val="009B227A"/>
    <w:rsid w:val="009C1EBE"/>
    <w:rsid w:val="009D332F"/>
    <w:rsid w:val="009D6973"/>
    <w:rsid w:val="009F5602"/>
    <w:rsid w:val="00A0105E"/>
    <w:rsid w:val="00A32287"/>
    <w:rsid w:val="00A50373"/>
    <w:rsid w:val="00A542B1"/>
    <w:rsid w:val="00A57FCB"/>
    <w:rsid w:val="00A60C6D"/>
    <w:rsid w:val="00A62E97"/>
    <w:rsid w:val="00AA51EF"/>
    <w:rsid w:val="00AC58C6"/>
    <w:rsid w:val="00AE1BFD"/>
    <w:rsid w:val="00AF3960"/>
    <w:rsid w:val="00B21142"/>
    <w:rsid w:val="00B3345C"/>
    <w:rsid w:val="00B620F3"/>
    <w:rsid w:val="00B74A2F"/>
    <w:rsid w:val="00B8274D"/>
    <w:rsid w:val="00B87AD2"/>
    <w:rsid w:val="00B9460D"/>
    <w:rsid w:val="00BB167B"/>
    <w:rsid w:val="00BB73E1"/>
    <w:rsid w:val="00BE37FD"/>
    <w:rsid w:val="00BE618E"/>
    <w:rsid w:val="00BF562D"/>
    <w:rsid w:val="00BF7702"/>
    <w:rsid w:val="00C35DC4"/>
    <w:rsid w:val="00C53199"/>
    <w:rsid w:val="00C545E5"/>
    <w:rsid w:val="00C61416"/>
    <w:rsid w:val="00C877AA"/>
    <w:rsid w:val="00CA0610"/>
    <w:rsid w:val="00CA1CE0"/>
    <w:rsid w:val="00CA378A"/>
    <w:rsid w:val="00CC4879"/>
    <w:rsid w:val="00CD198E"/>
    <w:rsid w:val="00CE1E2C"/>
    <w:rsid w:val="00CE4B29"/>
    <w:rsid w:val="00CF7563"/>
    <w:rsid w:val="00D00D1E"/>
    <w:rsid w:val="00D0487E"/>
    <w:rsid w:val="00D116E3"/>
    <w:rsid w:val="00D34473"/>
    <w:rsid w:val="00D5259C"/>
    <w:rsid w:val="00D77E9E"/>
    <w:rsid w:val="00E00C10"/>
    <w:rsid w:val="00E115A1"/>
    <w:rsid w:val="00E27BF0"/>
    <w:rsid w:val="00E52DB9"/>
    <w:rsid w:val="00E7506F"/>
    <w:rsid w:val="00E7688A"/>
    <w:rsid w:val="00EF26B8"/>
    <w:rsid w:val="00EF300B"/>
    <w:rsid w:val="00F076AC"/>
    <w:rsid w:val="00F26A4B"/>
    <w:rsid w:val="00F30EB1"/>
    <w:rsid w:val="00F564F6"/>
    <w:rsid w:val="00F63470"/>
    <w:rsid w:val="00F901DD"/>
    <w:rsid w:val="00F9621F"/>
    <w:rsid w:val="00FB3C43"/>
    <w:rsid w:val="00FB7B7F"/>
    <w:rsid w:val="00FC4480"/>
    <w:rsid w:val="00FD11D8"/>
    <w:rsid w:val="00FF0187"/>
    <w:rsid w:val="00FF7040"/>
    <w:rsid w:val="0224623A"/>
    <w:rsid w:val="02C03403"/>
    <w:rsid w:val="038740AC"/>
    <w:rsid w:val="04BC0AF5"/>
    <w:rsid w:val="06453DE1"/>
    <w:rsid w:val="067B6FE5"/>
    <w:rsid w:val="067D3568"/>
    <w:rsid w:val="071D744A"/>
    <w:rsid w:val="07662685"/>
    <w:rsid w:val="08DC57CD"/>
    <w:rsid w:val="09031851"/>
    <w:rsid w:val="094E2024"/>
    <w:rsid w:val="094E59D0"/>
    <w:rsid w:val="095270D6"/>
    <w:rsid w:val="0A09292C"/>
    <w:rsid w:val="0A1D35CE"/>
    <w:rsid w:val="0BD4077C"/>
    <w:rsid w:val="0C130EA8"/>
    <w:rsid w:val="0D791FF8"/>
    <w:rsid w:val="0DAC6B17"/>
    <w:rsid w:val="0E856DDA"/>
    <w:rsid w:val="0EBE4E88"/>
    <w:rsid w:val="114704C0"/>
    <w:rsid w:val="126921E2"/>
    <w:rsid w:val="12C127A4"/>
    <w:rsid w:val="12E01424"/>
    <w:rsid w:val="14491C31"/>
    <w:rsid w:val="14C973B5"/>
    <w:rsid w:val="14D5648F"/>
    <w:rsid w:val="159A452E"/>
    <w:rsid w:val="15CA0293"/>
    <w:rsid w:val="16BF44A2"/>
    <w:rsid w:val="17432959"/>
    <w:rsid w:val="17471D88"/>
    <w:rsid w:val="17D02CE2"/>
    <w:rsid w:val="18436D67"/>
    <w:rsid w:val="187846C0"/>
    <w:rsid w:val="18D77BB1"/>
    <w:rsid w:val="19DF688A"/>
    <w:rsid w:val="1AA83ACA"/>
    <w:rsid w:val="1AC25CB7"/>
    <w:rsid w:val="1BE50787"/>
    <w:rsid w:val="1BF74948"/>
    <w:rsid w:val="1C3C2C83"/>
    <w:rsid w:val="1C7C5DBF"/>
    <w:rsid w:val="1CBC1802"/>
    <w:rsid w:val="1D206E04"/>
    <w:rsid w:val="1D5A64C5"/>
    <w:rsid w:val="1DAD35FF"/>
    <w:rsid w:val="1DAD66FA"/>
    <w:rsid w:val="1DC6377C"/>
    <w:rsid w:val="1E714CCD"/>
    <w:rsid w:val="1FE057A7"/>
    <w:rsid w:val="203C27CC"/>
    <w:rsid w:val="20776A96"/>
    <w:rsid w:val="22103612"/>
    <w:rsid w:val="2223311C"/>
    <w:rsid w:val="2262174A"/>
    <w:rsid w:val="22B409AB"/>
    <w:rsid w:val="23230842"/>
    <w:rsid w:val="246C3453"/>
    <w:rsid w:val="256D682F"/>
    <w:rsid w:val="27855967"/>
    <w:rsid w:val="28202E3B"/>
    <w:rsid w:val="284D1A1F"/>
    <w:rsid w:val="287578D4"/>
    <w:rsid w:val="28DB7C08"/>
    <w:rsid w:val="29740EA0"/>
    <w:rsid w:val="2A062D51"/>
    <w:rsid w:val="2A544F33"/>
    <w:rsid w:val="2A6B0897"/>
    <w:rsid w:val="2AB22E8E"/>
    <w:rsid w:val="2C9E0937"/>
    <w:rsid w:val="2D773818"/>
    <w:rsid w:val="2DE967DA"/>
    <w:rsid w:val="2E3C5211"/>
    <w:rsid w:val="2EA85480"/>
    <w:rsid w:val="2EC66D77"/>
    <w:rsid w:val="2F0A70C5"/>
    <w:rsid w:val="2F17793E"/>
    <w:rsid w:val="2FE923BD"/>
    <w:rsid w:val="308D5EB4"/>
    <w:rsid w:val="318B0348"/>
    <w:rsid w:val="32093BEA"/>
    <w:rsid w:val="32570F73"/>
    <w:rsid w:val="339F4686"/>
    <w:rsid w:val="34620346"/>
    <w:rsid w:val="349F73AC"/>
    <w:rsid w:val="34D67F04"/>
    <w:rsid w:val="3553631A"/>
    <w:rsid w:val="3566572C"/>
    <w:rsid w:val="35827A5D"/>
    <w:rsid w:val="363C4989"/>
    <w:rsid w:val="364145DA"/>
    <w:rsid w:val="379871B3"/>
    <w:rsid w:val="38322161"/>
    <w:rsid w:val="38CC2D07"/>
    <w:rsid w:val="3B0E05FA"/>
    <w:rsid w:val="3B315F5D"/>
    <w:rsid w:val="3BAD7055"/>
    <w:rsid w:val="3CDE2200"/>
    <w:rsid w:val="3DB52BCA"/>
    <w:rsid w:val="42077494"/>
    <w:rsid w:val="42481450"/>
    <w:rsid w:val="42A3743B"/>
    <w:rsid w:val="4342216F"/>
    <w:rsid w:val="43751271"/>
    <w:rsid w:val="44153F07"/>
    <w:rsid w:val="442F3E60"/>
    <w:rsid w:val="446A06E7"/>
    <w:rsid w:val="44F62A36"/>
    <w:rsid w:val="45013960"/>
    <w:rsid w:val="48D12765"/>
    <w:rsid w:val="48FA2930"/>
    <w:rsid w:val="49C14B3F"/>
    <w:rsid w:val="4BCF1319"/>
    <w:rsid w:val="4C015121"/>
    <w:rsid w:val="4FE65839"/>
    <w:rsid w:val="5058346E"/>
    <w:rsid w:val="50A437C9"/>
    <w:rsid w:val="554B3404"/>
    <w:rsid w:val="554B6000"/>
    <w:rsid w:val="556218AA"/>
    <w:rsid w:val="56634E09"/>
    <w:rsid w:val="570E0960"/>
    <w:rsid w:val="5887578B"/>
    <w:rsid w:val="58C22DDC"/>
    <w:rsid w:val="58CB2A64"/>
    <w:rsid w:val="5A4C56CC"/>
    <w:rsid w:val="5ACF0407"/>
    <w:rsid w:val="5AF1075D"/>
    <w:rsid w:val="5B3A3A10"/>
    <w:rsid w:val="5C231B72"/>
    <w:rsid w:val="5D1B4D35"/>
    <w:rsid w:val="5D4D39B0"/>
    <w:rsid w:val="5D773DF8"/>
    <w:rsid w:val="5E71273A"/>
    <w:rsid w:val="5F3A397E"/>
    <w:rsid w:val="5F7D1DD3"/>
    <w:rsid w:val="60770F8C"/>
    <w:rsid w:val="60797701"/>
    <w:rsid w:val="60EB3EB1"/>
    <w:rsid w:val="626D2C89"/>
    <w:rsid w:val="63F71E2B"/>
    <w:rsid w:val="648F39B5"/>
    <w:rsid w:val="654D4EB8"/>
    <w:rsid w:val="655B1F62"/>
    <w:rsid w:val="65804342"/>
    <w:rsid w:val="66A9059D"/>
    <w:rsid w:val="66C75043"/>
    <w:rsid w:val="6745016B"/>
    <w:rsid w:val="67AB518E"/>
    <w:rsid w:val="68A1337C"/>
    <w:rsid w:val="6A51497D"/>
    <w:rsid w:val="6BA71E69"/>
    <w:rsid w:val="6C657A5F"/>
    <w:rsid w:val="6C8724D2"/>
    <w:rsid w:val="6CA86FD8"/>
    <w:rsid w:val="6CDF252E"/>
    <w:rsid w:val="6D0C17FA"/>
    <w:rsid w:val="6DAF4518"/>
    <w:rsid w:val="6F1B70AC"/>
    <w:rsid w:val="6F334509"/>
    <w:rsid w:val="6FD22142"/>
    <w:rsid w:val="70331648"/>
    <w:rsid w:val="70400F90"/>
    <w:rsid w:val="70AE5CB5"/>
    <w:rsid w:val="71D47165"/>
    <w:rsid w:val="721E3C80"/>
    <w:rsid w:val="72B20165"/>
    <w:rsid w:val="73AE4E7E"/>
    <w:rsid w:val="73E87BD5"/>
    <w:rsid w:val="73EA1698"/>
    <w:rsid w:val="750F7ED8"/>
    <w:rsid w:val="75850D3A"/>
    <w:rsid w:val="762C3392"/>
    <w:rsid w:val="765D4C8F"/>
    <w:rsid w:val="77660596"/>
    <w:rsid w:val="79276FD7"/>
    <w:rsid w:val="7B590C41"/>
    <w:rsid w:val="7BE56C1A"/>
    <w:rsid w:val="7C49110B"/>
    <w:rsid w:val="7C8707C7"/>
    <w:rsid w:val="7CAC2AF0"/>
    <w:rsid w:val="7D3859B0"/>
    <w:rsid w:val="7DEA163E"/>
    <w:rsid w:val="7E173F30"/>
    <w:rsid w:val="7E1F20C0"/>
    <w:rsid w:val="7ED007BD"/>
    <w:rsid w:val="7F5E6D58"/>
    <w:rsid w:val="7F9F6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0"/>
    <w:pPr>
      <w:jc w:val="left"/>
    </w:pPr>
    <w:rPr>
      <w:rFonts w:cstheme="minorBidi"/>
      <w:szCs w:val="24"/>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unhideWhenUsed/>
    <w:qFormat/>
    <w:uiPriority w:val="0"/>
    <w:pPr>
      <w:spacing w:after="120"/>
      <w:ind w:left="420" w:leftChars="200"/>
    </w:pPr>
    <w:rPr>
      <w:rFonts w:cstheme="minorBidi"/>
      <w:sz w:val="16"/>
      <w:szCs w:val="16"/>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MT正文"/>
    <w:qFormat/>
    <w:uiPriority w:val="0"/>
    <w:pPr>
      <w:widowControl w:val="0"/>
      <w:snapToGrid w:val="0"/>
      <w:spacing w:line="360" w:lineRule="auto"/>
      <w:ind w:firstLine="1680" w:firstLineChars="200"/>
      <w:jc w:val="both"/>
    </w:pPr>
    <w:rPr>
      <w:rFonts w:ascii="Times New Roman" w:hAnsi="Times New Roman" w:eastAsia="宋体" w:cs="Times New Roman"/>
      <w:kern w:val="0"/>
      <w:sz w:val="24"/>
      <w:szCs w:val="20"/>
      <w:lang w:val="en-US" w:eastAsia="zh-CN" w:bidi="ar-SA"/>
    </w:rPr>
  </w:style>
  <w:style w:type="paragraph" w:customStyle="1" w:styleId="10">
    <w:name w:val="MT-顶头正文"/>
    <w:basedOn w:val="1"/>
    <w:qFormat/>
    <w:uiPriority w:val="0"/>
    <w:pPr>
      <w:widowControl/>
      <w:spacing w:after="0" w:line="360" w:lineRule="auto"/>
      <w:ind w:firstLine="0" w:firstLineChars="0"/>
      <w:jc w:val="left"/>
    </w:pPr>
    <w:rPr>
      <w:rFonts w:ascii="Times New Roman" w:hAnsi="Times New Roman" w:eastAsia="宋体" w:cs="Times New Roman"/>
      <w:sz w:val="24"/>
    </w:rPr>
  </w:style>
  <w:style w:type="character" w:customStyle="1" w:styleId="11">
    <w:name w:val="页眉 字符"/>
    <w:basedOn w:val="8"/>
    <w:link w:val="4"/>
    <w:qFormat/>
    <w:uiPriority w:val="0"/>
    <w:rPr>
      <w:rFonts w:asciiTheme="minorHAnsi" w:hAnsiTheme="minorHAnsi" w:eastAsiaTheme="minorEastAsia" w:cstheme="minorBidi"/>
      <w:kern w:val="2"/>
      <w:sz w:val="18"/>
      <w:szCs w:val="18"/>
    </w:rPr>
  </w:style>
  <w:style w:type="character" w:customStyle="1" w:styleId="12">
    <w:name w:val="页脚 字符"/>
    <w:basedOn w:val="8"/>
    <w:link w:val="3"/>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 w:type="paragraph" w:customStyle="1" w:styleId="14">
    <w:name w:val="三级条标题 Char"/>
    <w:basedOn w:val="15"/>
    <w:next w:val="18"/>
    <w:qFormat/>
    <w:uiPriority w:val="0"/>
    <w:pPr>
      <w:widowControl/>
      <w:jc w:val="left"/>
      <w:outlineLvl w:val="4"/>
    </w:pPr>
    <w:rPr>
      <w:rFonts w:ascii="Times New Roman" w:hAnsi="Times New Roman" w:eastAsia="黑体" w:cs="Times New Roman"/>
      <w:kern w:val="0"/>
      <w:szCs w:val="20"/>
    </w:rPr>
  </w:style>
  <w:style w:type="paragraph" w:customStyle="1" w:styleId="15">
    <w:name w:val="二级条标题"/>
    <w:basedOn w:val="16"/>
    <w:next w:val="1"/>
    <w:qFormat/>
    <w:uiPriority w:val="0"/>
    <w:pPr>
      <w:ind w:left="0"/>
      <w:outlineLvl w:val="3"/>
    </w:pPr>
  </w:style>
  <w:style w:type="paragraph" w:customStyle="1" w:styleId="16">
    <w:name w:val="一级条标题"/>
    <w:basedOn w:val="17"/>
    <w:next w:val="1"/>
    <w:qFormat/>
    <w:uiPriority w:val="0"/>
    <w:pPr>
      <w:numPr>
        <w:ilvl w:val="0"/>
        <w:numId w:val="0"/>
      </w:numPr>
      <w:spacing w:beforeLines="0" w:afterLines="0"/>
      <w:ind w:left="360"/>
      <w:outlineLvl w:val="2"/>
    </w:pPr>
  </w:style>
  <w:style w:type="paragraph" w:customStyle="1" w:styleId="17">
    <w:name w:val="章标题"/>
    <w:next w:val="1"/>
    <w:qFormat/>
    <w:uiPriority w:val="0"/>
    <w:pPr>
      <w:numPr>
        <w:ilvl w:val="3"/>
        <w:numId w:val="1"/>
      </w:numPr>
      <w:spacing w:beforeLines="50" w:afterLines="50"/>
      <w:jc w:val="both"/>
      <w:outlineLvl w:val="1"/>
    </w:pPr>
    <w:rPr>
      <w:rFonts w:ascii="黑体" w:hAnsi="Times New Roman" w:eastAsia="黑体" w:cstheme="minorBidi"/>
      <w:kern w:val="2"/>
      <w:sz w:val="21"/>
      <w:szCs w:val="22"/>
      <w:lang w:val="en-US" w:eastAsia="zh-CN" w:bidi="ar-SA"/>
    </w:rPr>
  </w:style>
  <w:style w:type="paragraph" w:customStyle="1" w:styleId="18">
    <w:name w:val="段"/>
    <w:qFormat/>
    <w:uiPriority w:val="0"/>
    <w:pPr>
      <w:autoSpaceDE w:val="0"/>
      <w:autoSpaceDN w:val="0"/>
      <w:ind w:firstLine="200" w:firstLineChars="200"/>
      <w:jc w:val="both"/>
    </w:pPr>
    <w:rPr>
      <w:rFonts w:ascii="宋体" w:hAnsi="宋体" w:eastAsia="Times New Roman" w:cstheme="minorBidi"/>
      <w:kern w:val="2"/>
      <w:sz w:val="21"/>
      <w:szCs w:val="22"/>
      <w:lang w:val="en-US" w:eastAsia="zh-CN" w:bidi="ar-SA"/>
    </w:rPr>
  </w:style>
  <w:style w:type="paragraph" w:customStyle="1" w:styleId="19">
    <w:name w:val="mainbody"/>
    <w:autoRedefine/>
    <w:qFormat/>
    <w:uiPriority w:val="0"/>
    <w:pPr>
      <w:widowControl w:val="0"/>
      <w:adjustRightInd w:val="0"/>
      <w:snapToGrid w:val="0"/>
      <w:spacing w:line="360" w:lineRule="auto"/>
      <w:ind w:firstLine="480" w:firstLineChars="200"/>
      <w:jc w:val="both"/>
    </w:pPr>
    <w:rPr>
      <w:rFonts w:ascii="Times New Roman" w:hAnsi="Times New Roman" w:eastAsia="宋体" w:cs="宋体"/>
      <w:sz w:val="24"/>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4273</Words>
  <Characters>4902</Characters>
  <Lines>40</Lines>
  <Paragraphs>11</Paragraphs>
  <TotalTime>0</TotalTime>
  <ScaleCrop>false</ScaleCrop>
  <LinksUpToDate>false</LinksUpToDate>
  <CharactersWithSpaces>4993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2020-10-17T07:21:00Z</dcterms:created>
  <dc:creator>Administrator</dc:creator>
  <cp:lastModifiedBy>AAA</cp:lastModifiedBy>
  <dcterms:modified xsi:type="dcterms:W3CDTF">2025-10-09T14:46:58Z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05B4420B132B4C8CB6DFEE0DC92F73CB_13</vt:lpwstr>
  </property>
  <property fmtid="{D5CDD505-2E9C-101B-9397-08002B2CF9AE}" pid="4" name="KSOTemplateDocerSaveRecord">
    <vt:lpwstr>eyJoZGlkIjoiOTVkNGQ2NmUzOGFjNzc1MTE4OTJhMmU1NDllYzU0NDYiLCJ1c2VySWQiOiI1NTY1NDgzMDcifQ==</vt:lpwstr>
  </property>
</Properties>
</file>