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597C3">
      <w:pPr>
        <w:rPr>
          <w:rFonts w:hint="default" w:ascii="Times New Roman" w:hAnsi="Times New Roman" w:cs="Times New Roman"/>
        </w:rPr>
      </w:pPr>
    </w:p>
    <w:p w14:paraId="2827F8AA">
      <w:pPr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《标准玻璃浮子校准规范》编制说明</w:t>
      </w:r>
    </w:p>
    <w:p w14:paraId="1818668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  任务来源</w:t>
      </w:r>
    </w:p>
    <w:p w14:paraId="2C01F9EA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根据国家市场监督管理总局</w:t>
      </w:r>
      <w:r>
        <w:rPr>
          <w:rFonts w:hint="eastAsia" w:ascii="Times New Roman" w:hAnsi="Times New Roman" w:cs="Times New Roman"/>
          <w:sz w:val="24"/>
          <w:lang w:val="en-US" w:eastAsia="zh-CN"/>
        </w:rPr>
        <w:t>2023年</w:t>
      </w:r>
      <w:r>
        <w:rPr>
          <w:rFonts w:hint="default" w:ascii="Times New Roman" w:hAnsi="Times New Roman" w:cs="Times New Roman"/>
          <w:sz w:val="24"/>
        </w:rPr>
        <w:t>相关计量技术法规修订计划，由全国质量密度计量技术委员会归口，中国计量科学研究院</w:t>
      </w:r>
      <w:r>
        <w:rPr>
          <w:rFonts w:hint="eastAsia" w:ascii="Times New Roman" w:hAnsi="Times New Roman" w:cs="Times New Roman"/>
          <w:sz w:val="24"/>
          <w:lang w:val="en-US" w:eastAsia="zh-CN"/>
        </w:rPr>
        <w:t>作为主要起草单位</w:t>
      </w:r>
      <w:r>
        <w:rPr>
          <w:rFonts w:hint="default" w:ascii="Times New Roman" w:hAnsi="Times New Roman" w:cs="Times New Roman"/>
          <w:sz w:val="24"/>
        </w:rPr>
        <w:t>等，江西计量院、内蒙计量院</w:t>
      </w:r>
      <w:r>
        <w:rPr>
          <w:rFonts w:hint="eastAsia" w:ascii="Times New Roman" w:hAnsi="Times New Roman" w:cs="Times New Roman"/>
          <w:sz w:val="24"/>
          <w:lang w:eastAsia="zh-CN"/>
        </w:rPr>
        <w:t>、</w:t>
      </w:r>
      <w:r>
        <w:rPr>
          <w:rFonts w:hint="eastAsia" w:ascii="Times New Roman" w:hAnsi="Times New Roman" w:cs="Times New Roman"/>
          <w:sz w:val="24"/>
          <w:lang w:val="en-US" w:eastAsia="zh-CN"/>
        </w:rPr>
        <w:t>江苏计量院、云南计量院</w:t>
      </w:r>
      <w:r>
        <w:rPr>
          <w:rFonts w:hint="default" w:ascii="Times New Roman" w:hAnsi="Times New Roman" w:cs="Times New Roman"/>
          <w:sz w:val="24"/>
        </w:rPr>
        <w:t>等作为参加起草单位，承担《标准玻璃浮子校准规范》的修订工作，旨在替代JJF 1709-2018《标准玻璃浮子校准规范》，适应标准玻璃浮子计量校准技术发展及行业应用需求。</w:t>
      </w:r>
    </w:p>
    <w:p w14:paraId="534B524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  规范制定的必要性</w:t>
      </w:r>
    </w:p>
    <w:p w14:paraId="0412D701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标准玻璃浮子是密度梯度管法测量液体密度的核心标定器具，广泛应用于石油化工、食品制药、材料检测等领域——通过其已知密度值标定密度梯度管内液体的密度梯度，进而实现被测样品（如塑料、石油产品等）的密度精准测量。</w:t>
      </w:r>
    </w:p>
    <w:p w14:paraId="46A2E74E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原JJF 1709-2018《标准玻璃浮子校准规范》在实施过程中，逐渐显现出与当前技术水平及行业需求的适配性问题：一是原规范中</w:t>
      </w:r>
      <w:r>
        <w:rPr>
          <w:rFonts w:hint="eastAsia" w:ascii="Times New Roman" w:hAnsi="Times New Roman" w:cs="Times New Roman"/>
          <w:sz w:val="24"/>
          <w:lang w:eastAsia="zh-CN"/>
        </w:rPr>
        <w:t>“</w:t>
      </w:r>
      <w:r>
        <w:rPr>
          <w:rFonts w:hint="default" w:ascii="Times New Roman" w:hAnsi="Times New Roman" w:cs="Times New Roman"/>
          <w:sz w:val="24"/>
        </w:rPr>
        <w:t>采用密度副基准—密度计组作为标准器</w:t>
      </w:r>
      <w:r>
        <w:rPr>
          <w:rFonts w:hint="eastAsia" w:ascii="Times New Roman" w:hAnsi="Times New Roman" w:cs="Times New Roman"/>
          <w:sz w:val="24"/>
          <w:lang w:eastAsia="zh-CN"/>
        </w:rPr>
        <w:t>”</w:t>
      </w:r>
      <w:r>
        <w:rPr>
          <w:rFonts w:hint="default" w:ascii="Times New Roman" w:hAnsi="Times New Roman" w:cs="Times New Roman"/>
          <w:sz w:val="24"/>
        </w:rPr>
        <w:t>的表述已不符合现有计量溯源体系发展，需更新标准器类型；二是原规范未明确静力称量法的详细操作步骤及计算公式，导致实际校准中方法统一性不足；三是缺乏空气密度计算、静力称量法不确定度评定等关键技术支撑文件，影响校准结果的准确性与溯源可靠性；四是直接比较法与静力称量法的配套设备要求未细化，易造成实验室操作差异。</w:t>
      </w:r>
    </w:p>
    <w:p w14:paraId="09A7DC2A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因此，修订并完善《标准玻璃浮子校准规范》，明确校准技术要求、补充校准方法、完善溯源路径，对保证标准玻璃浮子量值准确、统一行业校准方法、支撑下游领域产品质量控制及贸易结算具有重要意义。</w:t>
      </w:r>
    </w:p>
    <w:p w14:paraId="6F8565B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 《标准玻璃浮子校准规范》制定过程</w:t>
      </w:r>
    </w:p>
    <w:p w14:paraId="1843F045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（1）</w:t>
      </w:r>
      <w:r>
        <w:rPr>
          <w:rFonts w:hint="default" w:ascii="Times New Roman" w:hAnsi="Times New Roman" w:cs="Times New Roman"/>
          <w:sz w:val="24"/>
        </w:rPr>
        <w:t>立项与调研阶段（202</w:t>
      </w: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</w:rPr>
        <w:t>年</w:t>
      </w: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</w:rPr>
        <w:t>月—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</w:rPr>
        <w:t>月）：根据国家市场监督管理总局计量技术法规修订计划，成立规范起草小组，明确工作计划与分工。起草小组通过行业调研、实验室走访（覆盖石油化工、计量技术机构等领域），收集标准玻璃浮子实际使用场景、现有校准痛点及技术需求，梳理国内外相关标准（如ISO 1183系列、ASTMD1505-10、JJG86等）的技术要点，为规范修订奠定基础。</w:t>
      </w:r>
    </w:p>
    <w:p w14:paraId="7074C91D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（2）试验验证阶段（202</w:t>
      </w: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</w:rPr>
        <w:t>年</w:t>
      </w:r>
      <w:r>
        <w:rPr>
          <w:rFonts w:hint="eastAsia" w:ascii="Times New Roman" w:hAnsi="Times New Roman" w:cs="Times New Roman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</w:rPr>
        <w:t>月—</w:t>
      </w:r>
      <w:r>
        <w:rPr>
          <w:rFonts w:hint="eastAsia" w:ascii="Times New Roman" w:hAnsi="Times New Roman" w:cs="Times New Roman"/>
          <w:sz w:val="24"/>
          <w:lang w:val="en-US" w:eastAsia="zh-CN"/>
        </w:rPr>
        <w:t>11</w:t>
      </w:r>
      <w:r>
        <w:rPr>
          <w:rFonts w:hint="default" w:ascii="Times New Roman" w:hAnsi="Times New Roman" w:cs="Times New Roman"/>
          <w:sz w:val="24"/>
        </w:rPr>
        <w:t>月）：起草小组针对核心校准方法开展试验验证——一方面验证</w:t>
      </w:r>
      <w:r>
        <w:rPr>
          <w:rFonts w:hint="eastAsia" w:ascii="Times New Roman" w:hAnsi="Times New Roman" w:cs="Times New Roman"/>
          <w:sz w:val="24"/>
          <w:lang w:eastAsia="zh-CN"/>
        </w:rPr>
        <w:t>“</w:t>
      </w:r>
      <w:r>
        <w:rPr>
          <w:rFonts w:hint="default" w:ascii="Times New Roman" w:hAnsi="Times New Roman" w:cs="Times New Roman"/>
          <w:sz w:val="24"/>
        </w:rPr>
        <w:t>液体密度标准物质+实验室振动式液体密度仪</w:t>
      </w:r>
      <w:r>
        <w:rPr>
          <w:rFonts w:hint="eastAsia" w:ascii="Times New Roman" w:hAnsi="Times New Roman" w:cs="Times New Roman"/>
          <w:sz w:val="24"/>
          <w:lang w:eastAsia="zh-CN"/>
        </w:rPr>
        <w:t>”</w:t>
      </w:r>
      <w:r>
        <w:rPr>
          <w:rFonts w:hint="default" w:ascii="Times New Roman" w:hAnsi="Times New Roman" w:cs="Times New Roman"/>
          <w:sz w:val="24"/>
        </w:rPr>
        <w:t>作为标准器的可行性，测试不同密度范围（0.8~2.2）g/cm³浮子的校准重复性与准确性；另一方面细化静力称量法的操作流程（如浮子清洗工艺、恒温控制精度、称量重复性要求），验证其数据处理公式的合理性，同时补充空气密度计算对校准结果的影响分析。</w:t>
      </w:r>
    </w:p>
    <w:p w14:paraId="7AA2275E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（3）初稿编制阶段（202</w:t>
      </w: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</w:rPr>
        <w:t>年</w:t>
      </w:r>
      <w:r>
        <w:rPr>
          <w:rFonts w:hint="eastAsia" w:ascii="Times New Roman" w:hAnsi="Times New Roman" w:cs="Times New Roman"/>
          <w:sz w:val="24"/>
          <w:lang w:val="en-US" w:eastAsia="zh-CN"/>
        </w:rPr>
        <w:t>11</w:t>
      </w:r>
      <w:r>
        <w:rPr>
          <w:rFonts w:hint="default" w:ascii="Times New Roman" w:hAnsi="Times New Roman" w:cs="Times New Roman"/>
          <w:sz w:val="24"/>
        </w:rPr>
        <w:t>月—202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</w:rPr>
        <w:t>年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</w:rPr>
        <w:t>月）：基于调研与试验数据，起草小组按照JJF 1071—2010《国家计量校准规范编写规则》，完成《标准玻璃浮子校准规范（初稿）》，明确范围、引用文献、术语、计量特性、校准条件、校准方法等核心内容，新增静力称量法相关技术条款。</w:t>
      </w:r>
    </w:p>
    <w:p w14:paraId="52C8D701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>（4）征求意见阶段（202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</w:rPr>
        <w:t>年</w:t>
      </w:r>
      <w:r>
        <w:rPr>
          <w:rFonts w:hint="eastAsia" w:ascii="Times New Roman" w:hAnsi="Times New Roman" w:cs="Times New Roman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</w:rPr>
        <w:t>月—</w:t>
      </w:r>
      <w:r>
        <w:rPr>
          <w:rFonts w:hint="eastAsia" w:ascii="Times New Roman" w:hAnsi="Times New Roman" w:cs="Times New Roman"/>
          <w:sz w:val="24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</w:rPr>
        <w:t>月）：组织计量技术机构、行业应用企业及相关专家对初稿进行讨论，针对</w:t>
      </w:r>
      <w:r>
        <w:rPr>
          <w:rFonts w:hint="eastAsia" w:ascii="Times New Roman" w:hAnsi="Times New Roman" w:cs="Times New Roman"/>
          <w:sz w:val="24"/>
          <w:lang w:eastAsia="zh-CN"/>
        </w:rPr>
        <w:t>“</w:t>
      </w:r>
      <w:r>
        <w:rPr>
          <w:rFonts w:hint="default" w:ascii="Times New Roman" w:hAnsi="Times New Roman" w:cs="Times New Roman"/>
          <w:sz w:val="24"/>
        </w:rPr>
        <w:t>校准介质选择</w:t>
      </w:r>
      <w:r>
        <w:rPr>
          <w:rFonts w:hint="eastAsia" w:ascii="Times New Roman" w:hAnsi="Times New Roman" w:cs="Times New Roman"/>
          <w:sz w:val="24"/>
          <w:lang w:eastAsia="zh-CN"/>
        </w:rPr>
        <w:t>”、“</w:t>
      </w:r>
      <w:r>
        <w:rPr>
          <w:rFonts w:hint="default" w:ascii="Times New Roman" w:hAnsi="Times New Roman" w:cs="Times New Roman"/>
          <w:sz w:val="24"/>
        </w:rPr>
        <w:t>不确定度评定细节</w:t>
      </w:r>
      <w:r>
        <w:rPr>
          <w:rFonts w:hint="eastAsia" w:ascii="Times New Roman" w:hAnsi="Times New Roman" w:cs="Times New Roman"/>
          <w:sz w:val="24"/>
          <w:lang w:eastAsia="zh-CN"/>
        </w:rPr>
        <w:t>”、“</w:t>
      </w:r>
      <w:r>
        <w:rPr>
          <w:rFonts w:hint="default" w:ascii="Times New Roman" w:hAnsi="Times New Roman" w:cs="Times New Roman"/>
          <w:sz w:val="24"/>
        </w:rPr>
        <w:t>记录格式完整性</w:t>
      </w:r>
      <w:r>
        <w:rPr>
          <w:rFonts w:hint="eastAsia" w:ascii="Times New Roman" w:hAnsi="Times New Roman" w:cs="Times New Roman"/>
          <w:sz w:val="24"/>
          <w:lang w:eastAsia="zh-CN"/>
        </w:rPr>
        <w:t>”</w:t>
      </w:r>
      <w:r>
        <w:rPr>
          <w:rFonts w:hint="default" w:ascii="Times New Roman" w:hAnsi="Times New Roman" w:cs="Times New Roman"/>
          <w:sz w:val="24"/>
        </w:rPr>
        <w:t>等问题收集意见，修改完善后形成《标准玻璃浮子校准规范（征求意见稿）》。</w:t>
      </w:r>
    </w:p>
    <w:p w14:paraId="2489257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  规范制定的主要技术依据及原则</w:t>
      </w:r>
    </w:p>
    <w:p w14:paraId="15CF03F3">
      <w:pPr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4.1  依据</w:t>
      </w:r>
    </w:p>
    <w:p w14:paraId="141BE433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《本规范修订主要依据以下文件：</w:t>
      </w:r>
    </w:p>
    <w:p w14:paraId="6FE886E8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计量基础规范：JJF 1001—2011《通用计量术语及定义》、JJF 1059.1—2011《测量不确定度评定与表示》、JJF 1071—2010《国家计量校准规范编写规则》；</w:t>
      </w:r>
    </w:p>
    <w:p w14:paraId="69692A4F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相关计量技术法规：JJG86《标准玻璃浮计》、JJF 1229—2021《质量密度计量名词术语及定义》；</w:t>
      </w:r>
    </w:p>
    <w:p w14:paraId="113233AC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国际及行业标准：ISO 1183-1：2025《塑料—非泡沫塑料的密度测定方法—第1部分：浸渍法、液体相对密度瓶法和滴定法》、ISO 1183-2：2019《塑料—非泡沫塑料的密度测定方法—第2部分：密度梯度管法》、ASTMD1505-10《用密度梯度法测定塑料密度的试验方法》。</w:t>
      </w:r>
    </w:p>
    <w:p w14:paraId="2AC8C9FF">
      <w:pPr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4.2  原则</w:t>
      </w:r>
    </w:p>
    <w:p w14:paraId="3A440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规范修订过程中，起草小组严格遵循以下原则，确保技术先进性与实际可操作性：</w:t>
      </w:r>
    </w:p>
    <w:p w14:paraId="50ADE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</w:rPr>
        <w:t>溯源合理性：删除原规范中</w:t>
      </w:r>
      <w:r>
        <w:rPr>
          <w:rFonts w:hint="eastAsia" w:ascii="Times New Roman" w:hAnsi="Times New Roman" w:cs="Times New Roman"/>
          <w:sz w:val="24"/>
          <w:lang w:eastAsia="zh-CN"/>
        </w:rPr>
        <w:t>“</w:t>
      </w:r>
      <w:r>
        <w:rPr>
          <w:rFonts w:hint="default" w:ascii="Times New Roman" w:hAnsi="Times New Roman" w:cs="Times New Roman"/>
          <w:sz w:val="24"/>
        </w:rPr>
        <w:t>密度副基准—密度计组</w:t>
      </w:r>
      <w:r>
        <w:rPr>
          <w:rFonts w:hint="eastAsia" w:ascii="Times New Roman" w:hAnsi="Times New Roman" w:cs="Times New Roman"/>
          <w:sz w:val="24"/>
          <w:lang w:eastAsia="zh-CN"/>
        </w:rPr>
        <w:t>”</w:t>
      </w:r>
      <w:r>
        <w:rPr>
          <w:rFonts w:hint="default" w:ascii="Times New Roman" w:hAnsi="Times New Roman" w:cs="Times New Roman"/>
          <w:sz w:val="24"/>
        </w:rPr>
        <w:t>的表述，新增</w:t>
      </w:r>
      <w:r>
        <w:rPr>
          <w:rFonts w:hint="eastAsia" w:ascii="Times New Roman" w:hAnsi="Times New Roman" w:cs="Times New Roman"/>
          <w:sz w:val="24"/>
          <w:lang w:eastAsia="zh-CN"/>
        </w:rPr>
        <w:t>“</w:t>
      </w:r>
      <w:r>
        <w:rPr>
          <w:rFonts w:hint="default" w:ascii="Times New Roman" w:hAnsi="Times New Roman" w:cs="Times New Roman"/>
          <w:sz w:val="24"/>
        </w:rPr>
        <w:t>液体密度标准物</w:t>
      </w:r>
      <w:r>
        <w:rPr>
          <w:rFonts w:hint="eastAsia" w:ascii="Times New Roman" w:hAnsi="Times New Roman" w:cs="Times New Roman"/>
          <w:sz w:val="24"/>
          <w:lang w:val="en-US" w:eastAsia="zh-CN"/>
        </w:rPr>
        <w:t>质</w:t>
      </w:r>
      <w:r>
        <w:rPr>
          <w:rFonts w:hint="default" w:ascii="Times New Roman" w:hAnsi="Times New Roman" w:cs="Times New Roman"/>
          <w:sz w:val="24"/>
        </w:rPr>
        <w:t>+实验室振动式液体密度仪</w:t>
      </w:r>
      <w:r>
        <w:rPr>
          <w:rFonts w:hint="eastAsia" w:ascii="Times New Roman" w:hAnsi="Times New Roman" w:cs="Times New Roman"/>
          <w:sz w:val="24"/>
          <w:lang w:eastAsia="zh-CN"/>
        </w:rPr>
        <w:t>”</w:t>
      </w:r>
      <w:r>
        <w:rPr>
          <w:rFonts w:hint="default" w:ascii="Times New Roman" w:hAnsi="Times New Roman" w:cs="Times New Roman"/>
          <w:sz w:val="24"/>
        </w:rPr>
        <w:t>作为标准器，统一量值溯源至国家有证标准物质，简化溯源路径的同时保证可靠性；</w:t>
      </w:r>
    </w:p>
    <w:p w14:paraId="15ED7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</w:rPr>
        <w:t>方法完整性：补充静力称量法的详细操作步骤（如浮子空气中/液体中称量流程、恒温控制要求）及数据处理公式（体积、真空质量、密度计算式），与直接比较法形成互补，覆盖不同实验室条件的需求；</w:t>
      </w:r>
    </w:p>
    <w:p w14:paraId="670F0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4"/>
        </w:rPr>
        <w:t>技术支撑性：新增附录（空气密度计算公式、湿空气密度表、静力称量法不确定度评定示例等），为实际校准提供关键技术工具，降低操作误差；</w:t>
      </w:r>
    </w:p>
    <w:p w14:paraId="7C683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</w:rPr>
        <w:t>行业适配性：结合石油化工、制药等行业对浮子密度范围（0.8~2.2）g/cm³的核心需求，明确校准介质选择（如十三烷、酒精水溶液、氟油等），细化配套设备参数（如恒温水浴控温精度、电子天平分辨力）；</w:t>
      </w:r>
    </w:p>
    <w:p w14:paraId="063B6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</w:rPr>
        <w:t>非合格判定性：仅规定计量特性、校准项目及方法，不设定合格性判别指标，仅提供技术参考，适配不同场景下的浮子使用需求。</w:t>
      </w:r>
    </w:p>
    <w:p w14:paraId="3175B6F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  规范的主要内容</w:t>
      </w:r>
    </w:p>
    <w:p w14:paraId="084756CF">
      <w:pPr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5.1  概述</w:t>
      </w:r>
    </w:p>
    <w:p w14:paraId="114287F9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明确标准玻璃浮子的定义（用于密度梯度管中标定液体密度的特制玻璃空心小球）及密度梯度管的测量原理（通过两种或多种液体混合形成自上而下线性变化的密度柱，利用浮子标定密度梯度），同时说明其在石油化工、制药等行业的应用场景，为后续校准技术条款提供背景支撑。</w:t>
      </w:r>
    </w:p>
    <w:p w14:paraId="15F0767D">
      <w:pPr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5.2  计量特性</w:t>
      </w:r>
    </w:p>
    <w:p w14:paraId="27BA0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Toc531750896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规范明确标准玻璃浮子的核心计量特性，确保其满足标定需求：</w:t>
      </w:r>
    </w:p>
    <w:p w14:paraId="1A909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外观</w:t>
      </w:r>
      <w:r>
        <w:rPr>
          <w:rFonts w:hint="default" w:ascii="Times New Roman" w:hAnsi="Times New Roman" w:eastAsia="宋体" w:cs="Times New Roman"/>
          <w:sz w:val="24"/>
          <w:szCs w:val="24"/>
        </w:rPr>
        <w:t>：直径（2～8）mm的充分退火玻璃空心小球，彩色或无色透明，表面无裂纹；</w:t>
      </w:r>
    </w:p>
    <w:p w14:paraId="242B6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标准温度：23℃；</w:t>
      </w:r>
    </w:p>
    <w:p w14:paraId="5E266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密度值：浮子密度值需修约至0.0001g/cm³，保证</w:t>
      </w:r>
      <w:r>
        <w:rPr>
          <w:rFonts w:hint="eastAsia" w:ascii="宋体" w:hAnsi="宋体" w:eastAsia="宋体" w:cs="宋体"/>
          <w:sz w:val="24"/>
          <w:szCs w:val="24"/>
        </w:rPr>
        <w:t>标定精度。</w:t>
      </w:r>
    </w:p>
    <w:p w14:paraId="593D6945">
      <w:pPr>
        <w:snapToGrid w:val="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F8E763D">
      <w:pPr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5.3  校准设备</w:t>
      </w:r>
      <w:bookmarkEnd w:id="0"/>
    </w:p>
    <w:p w14:paraId="06C09A6D">
      <w:pPr>
        <w:pStyle w:val="18"/>
        <w:numPr>
          <w:ilvl w:val="0"/>
          <w:numId w:val="0"/>
        </w:numPr>
        <w:ind w:left="403" w:hanging="403"/>
        <w:rPr>
          <w:rStyle w:val="12"/>
          <w:rFonts w:hint="eastAsia" w:ascii="Times New Roman" w:hAnsi="Times New Roman" w:cs="Times New Roman" w:eastAsiaTheme="minorEastAsia"/>
          <w:lang w:eastAsia="zh-CN"/>
        </w:rPr>
      </w:pPr>
      <w:bookmarkStart w:id="1" w:name="_Toc531750566"/>
      <w:bookmarkStart w:id="2" w:name="_Toc520353828"/>
      <w:bookmarkStart w:id="3" w:name="_Toc522020612"/>
      <w:bookmarkStart w:id="4" w:name="_Toc531750897"/>
      <w:r>
        <w:rPr>
          <w:rFonts w:hint="default" w:ascii="Times New Roman" w:hAnsi="Times New Roman" w:cs="Times New Roman"/>
          <w:sz w:val="24"/>
        </w:rPr>
        <w:t>5.3.1</w:t>
      </w:r>
      <w:bookmarkEnd w:id="1"/>
      <w:bookmarkEnd w:id="2"/>
      <w:bookmarkEnd w:id="3"/>
      <w:bookmarkEnd w:id="4"/>
      <w:r>
        <w:rPr>
          <w:rStyle w:val="12"/>
          <w:rFonts w:hint="default" w:ascii="Times New Roman" w:hAnsi="Times New Roman" w:cs="Times New Roman"/>
        </w:rPr>
        <w:t xml:space="preserve">  </w:t>
      </w:r>
      <w:r>
        <w:rPr>
          <w:rStyle w:val="12"/>
          <w:rFonts w:hint="eastAsia" w:ascii="Times New Roman" w:hAnsi="Times New Roman" w:cs="Times New Roman"/>
          <w:lang w:val="en-US" w:eastAsia="zh-CN"/>
        </w:rPr>
        <w:t>环境条件</w:t>
      </w:r>
    </w:p>
    <w:p w14:paraId="74E9FEF8">
      <w:pPr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实验室温度：（23±3）℃，避免温度波动影响液体密度及浮子体积；</w:t>
      </w:r>
    </w:p>
    <w:p w14:paraId="4DC09C37">
      <w:pPr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配套设施：需配备通风设备、水源及防火设施（因校准介质含酒精、石油产品等易燃物质）。</w:t>
      </w:r>
    </w:p>
    <w:p w14:paraId="5DF79F66">
      <w:pPr>
        <w:snapToGrid w:val="0"/>
        <w:spacing w:line="360" w:lineRule="auto"/>
        <w:jc w:val="left"/>
        <w:rPr>
          <w:rStyle w:val="12"/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>5.3.</w:t>
      </w:r>
      <w:r>
        <w:rPr>
          <w:rFonts w:hint="eastAsia" w:ascii="Times New Roman" w:hAnsi="Times New Roman" w:cs="Times New Roman"/>
          <w:sz w:val="24"/>
          <w:lang w:val="en-US" w:eastAsia="zh-CN"/>
        </w:rPr>
        <w:t>2</w:t>
      </w:r>
      <w:r>
        <w:rPr>
          <w:rStyle w:val="12"/>
          <w:rFonts w:hint="default" w:ascii="Times New Roman" w:hAnsi="Times New Roman" w:cs="Times New Roman"/>
        </w:rPr>
        <w:t xml:space="preserve">  </w:t>
      </w:r>
      <w:r>
        <w:rPr>
          <w:rStyle w:val="12"/>
          <w:rFonts w:hint="eastAsia" w:ascii="Times New Roman" w:hAnsi="Times New Roman" w:cs="Times New Roman"/>
          <w:sz w:val="24"/>
          <w:szCs w:val="32"/>
          <w:lang w:val="en-US" w:eastAsia="zh-CN"/>
        </w:rPr>
        <w:t>标准及配套设备</w:t>
      </w:r>
    </w:p>
    <w:p w14:paraId="6470D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标准器：</w:t>
      </w:r>
    </w:p>
    <w:p w14:paraId="76E69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静力称量法：采用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液体密度标准物质（扩展不确定度优于</w:t>
      </w:r>
      <w:r>
        <w:rPr>
          <w:rFonts w:hint="default" w:ascii="Times New Roman" w:hAnsi="Times New Roman" w:eastAsia="宋体" w:cs="Times New Roman"/>
          <w:i/>
          <w:iCs/>
          <w:color w:val="auto"/>
          <w:sz w:val="24"/>
          <w:lang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=3.3×10⁻² kg/m³，</w:t>
      </w:r>
      <w:r>
        <w:rPr>
          <w:rFonts w:hint="default" w:ascii="Times New Roman" w:hAnsi="Times New Roman" w:eastAsia="宋体" w:cs="Times New Roman"/>
          <w:i/>
          <w:iCs/>
          <w:color w:val="auto"/>
          <w:sz w:val="24"/>
          <w:lang w:eastAsia="zh-CN"/>
        </w:rPr>
        <w:t>k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=2）+实验室振动式液体密度仪（测量范围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650～2000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 xml:space="preserve"> kg/m³，扩展不确定度优于</w:t>
      </w:r>
      <w:r>
        <w:rPr>
          <w:rFonts w:hint="default" w:ascii="Times New Roman" w:hAnsi="Times New Roman" w:eastAsia="宋体" w:cs="Times New Roman"/>
          <w:i/>
          <w:iCs/>
          <w:color w:val="auto"/>
          <w:sz w:val="24"/>
          <w:lang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=6×10⁻² kg/m³，</w:t>
      </w:r>
      <w:r>
        <w:rPr>
          <w:rFonts w:hint="default" w:ascii="Times New Roman" w:hAnsi="Times New Roman" w:eastAsia="宋体" w:cs="Times New Roman"/>
          <w:i/>
          <w:iCs/>
          <w:color w:val="auto"/>
          <w:sz w:val="24"/>
          <w:lang w:eastAsia="zh-CN"/>
        </w:rPr>
        <w:t>k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=2）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，校准前需用液体密度标准物质对振动式密度仪进行校准；</w:t>
      </w:r>
    </w:p>
    <w:p w14:paraId="4B4A6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直接比较法：可选择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一等标准玻璃浮计组（测量范围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650～2000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 xml:space="preserve"> kg/m³）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或与静力称量法相同的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液体密度标准物质+实验室振动式液体密度仪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。</w:t>
      </w:r>
    </w:p>
    <w:p w14:paraId="4F262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校准介质：需清澈无可见颗粒，静力称量法固定采用十三烷，直接比较法根据密度范围选择（如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650~800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 xml:space="preserve"> kg/m³用石油产品混合液，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1840~2000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 xml:space="preserve"> kg/m³用碘化钾-碘化汞水溶液）；</w:t>
      </w:r>
    </w:p>
    <w:p w14:paraId="04D2A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配套设备：明确两种校准方法的专用设备参数（如静力称量法需电子天平分辨力1μg及F1等级砝码，直接比较法需内径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100~120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 xml:space="preserve"> mm的玻璃校准筒），其中恒温水浴控温精度分别为静力称量法（23±0.05）℃、直接比较法（23±0.1）℃。</w:t>
      </w:r>
    </w:p>
    <w:p w14:paraId="78A0B0CC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5.4  校准项</w:t>
      </w:r>
      <w:r>
        <w:rPr>
          <w:rFonts w:hint="default" w:ascii="Times New Roman" w:hAnsi="Times New Roman" w:cs="Times New Roman"/>
          <w:sz w:val="28"/>
          <w:szCs w:val="28"/>
        </w:rPr>
        <w:t>目和校准方法</w:t>
      </w:r>
    </w:p>
    <w:p w14:paraId="04311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bookmarkStart w:id="5" w:name="_Toc531750906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5.4.1 校准项目</w:t>
      </w:r>
    </w:p>
    <w:p w14:paraId="22644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核心校准项目为密度值，辅以外观检查（确认符合5.1要求）。</w:t>
      </w:r>
    </w:p>
    <w:p w14:paraId="60807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5.4.2 校准方法</w:t>
      </w:r>
    </w:p>
    <w:p w14:paraId="3C6AF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（1）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准备工作：浮子用合成洗涤剂/酒精清洗（保证浸润性），玻璃仪器洗涤干燥（器壁不挂水珠），根据浮子密度预判范围配置校准液体，将校准筒放入恒温水浴恒温；</w:t>
      </w:r>
    </w:p>
    <w:p w14:paraId="5341B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（2）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静力称量法（阿基米德原理）：</w:t>
      </w:r>
    </w:p>
    <w:p w14:paraId="3A76BF6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测量浮子在空气中的表观质量（两次称量取平均，记录温湿度、压力）；</w:t>
      </w:r>
    </w:p>
    <w:p w14:paraId="4AAEB0A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用振动式密度仪测量校准介质（十三烷）的密度；</w:t>
      </w:r>
    </w:p>
    <w:p w14:paraId="1AD3E4E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测量浮子在十三烷中的表观质量（两次称量取平均，记录液体温度）；</w:t>
      </w:r>
    </w:p>
    <w:p w14:paraId="40309FA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数据处理：通过联立方程计算浮子23℃体积（式3）、真空质量（式4），最终按密度公式（式5）计算密度值；</w:t>
      </w:r>
    </w:p>
    <w:p w14:paraId="068BF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直接比较法：</w:t>
      </w:r>
    </w:p>
    <w:p w14:paraId="5E9B6A5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将浮子与标准器放入校准筒，调整液体密度使浮子悬浮（上浮加低密度液体，下沉加高密度液体）；</w:t>
      </w:r>
    </w:p>
    <w:p w14:paraId="253B68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恒温15分钟后，用标准浮计或振动式密度仪测量液体密度（两次测量取平均，差值超0.0001 g/cm³需重测）；</w:t>
      </w:r>
    </w:p>
    <w:p w14:paraId="443A253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数据处理：若用一等标准浮计，按式（6）计算（含示值、温度、毛细修正）；若用振动式密度仪，按式（7）计算（含示值修正）。</w:t>
      </w:r>
    </w:p>
    <w:p w14:paraId="13EBD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314AA584">
      <w:pPr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5.5  校准结果</w:t>
      </w:r>
      <w:bookmarkEnd w:id="5"/>
      <w:r>
        <w:rPr>
          <w:rFonts w:hint="default" w:ascii="Times New Roman" w:hAnsi="Times New Roman" w:cs="Times New Roman" w:eastAsiaTheme="minorEastAsia"/>
          <w:sz w:val="28"/>
          <w:szCs w:val="28"/>
        </w:rPr>
        <w:t>和复校时间间隔</w:t>
      </w:r>
    </w:p>
    <w:p w14:paraId="5662DDF3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校准结果表达：校准证书需符合JJF 1071—2010要求，内页明确浮子标准温度（23℃）、密度值、测量不确定度等信息（参考附录G格式）；</w:t>
      </w:r>
    </w:p>
    <w:p w14:paraId="2ABA6307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复校时间间隔：由用户根据使用频率确定，建议常规使用为1年，使用频繁时缩短间隔。</w:t>
      </w:r>
    </w:p>
    <w:p w14:paraId="3B209376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</w:p>
    <w:p w14:paraId="5068B21F">
      <w:pPr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5.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 xml:space="preserve">  附录补充</w:t>
      </w:r>
    </w:p>
    <w:p w14:paraId="50BB5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新增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个附录，为实际校准提供技术支撑：</w:t>
      </w:r>
    </w:p>
    <w:p w14:paraId="22C25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附录 A：静力称量法不确定度评定示例（含测量模型、不确定度来源、灵敏系数计算）；</w:t>
      </w:r>
    </w:p>
    <w:p w14:paraId="2B416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附录 B：静力称量法校准记录参考格式；</w:t>
      </w:r>
    </w:p>
    <w:p w14:paraId="5D42E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附录 C：直接比较法不确定度评定示例；</w:t>
      </w:r>
    </w:p>
    <w:p w14:paraId="4DCE5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附录 D：直接比较法校准记录参考格式；</w:t>
      </w:r>
    </w:p>
    <w:p w14:paraId="2B902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附录 E：空气密度计算公式（CIPM-2007 推荐公式）；</w:t>
      </w:r>
    </w:p>
    <w:p w14:paraId="55FB3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附录 F：湿空气密度表（便于快速查询空气密度）；</w:t>
      </w:r>
    </w:p>
    <w:p w14:paraId="6DD4D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附录 G：校准证书内页参考格式。</w:t>
      </w:r>
    </w:p>
    <w:p w14:paraId="241FBA5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  结束语</w:t>
      </w:r>
    </w:p>
    <w:p w14:paraId="6F330A62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本规范作为JJF 1709-2018的修订版，核心变化包括：删除密度副基准—密度计组相关表述，新增</w:t>
      </w:r>
      <w:r>
        <w:rPr>
          <w:rFonts w:hint="eastAsia" w:ascii="Times New Roman" w:hAnsi="Times New Roman" w:cs="Times New Roman"/>
          <w:sz w:val="24"/>
          <w:lang w:eastAsia="zh-CN"/>
        </w:rPr>
        <w:t>“</w:t>
      </w:r>
      <w:r>
        <w:rPr>
          <w:rFonts w:hint="default" w:ascii="Times New Roman" w:hAnsi="Times New Roman" w:cs="Times New Roman"/>
          <w:sz w:val="24"/>
        </w:rPr>
        <w:t>液体密度标准物质+振动式密度仪</w:t>
      </w:r>
      <w:r>
        <w:rPr>
          <w:rFonts w:hint="eastAsia" w:ascii="Times New Roman" w:hAnsi="Times New Roman" w:cs="Times New Roman"/>
          <w:sz w:val="24"/>
          <w:lang w:eastAsia="zh-CN"/>
        </w:rPr>
        <w:t>”</w:t>
      </w:r>
      <w:r>
        <w:rPr>
          <w:rFonts w:hint="default" w:ascii="Times New Roman" w:hAnsi="Times New Roman" w:cs="Times New Roman"/>
          <w:sz w:val="24"/>
        </w:rPr>
        <w:t>作为标准器；补充静力称量法操作步骤及数据处理公式；新增空气密度计算、不确定度评定示例等附录。修订目的是适配当前计量溯源体系与行业应用需求，统一校准方法、提升校准准确性，同时保持技术条款的灵活性（不做合格性判定）。</w:t>
      </w:r>
    </w:p>
    <w:p w14:paraId="743E47E6">
      <w:pPr>
        <w:spacing w:line="360" w:lineRule="auto"/>
        <w:ind w:firstLine="48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</w:rPr>
        <w:t>恳请各计量技术机构、行业专家对本规范提出宝贵意见，进一步优化技术内容，使其更科学、合理、适用，为标准玻璃浮子量值统一及下游行业质量控制提供有力支撑。</w:t>
      </w:r>
    </w:p>
    <w:p w14:paraId="01154A30">
      <w:pPr>
        <w:rPr>
          <w:rFonts w:hint="default" w:ascii="Times New Roman" w:hAnsi="Times New Roman" w:cs="Times New Roman"/>
        </w:rPr>
      </w:pPr>
    </w:p>
    <w:p w14:paraId="4D9227CA">
      <w:pPr>
        <w:pStyle w:val="3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t xml:space="preserve">               </w:t>
      </w:r>
      <w:r>
        <w:rPr>
          <w:rFonts w:hint="default" w:ascii="Times New Roman" w:hAnsi="Times New Roman" w:cs="Times New Roman"/>
          <w:b w:val="0"/>
        </w:rPr>
        <w:t xml:space="preserve">    </w:t>
      </w:r>
      <w:r>
        <w:rPr>
          <w:rFonts w:hint="default" w:ascii="Times New Roman" w:hAnsi="Times New Roman" w:cs="Times New Roman"/>
          <w:b w:val="0"/>
          <w:sz w:val="24"/>
          <w:szCs w:val="24"/>
        </w:rPr>
        <w:t>《</w:t>
      </w:r>
      <w:r>
        <w:rPr>
          <w:rFonts w:hint="default" w:ascii="Times New Roman" w:hAnsi="Times New Roman" w:cs="Times New Roman"/>
          <w:sz w:val="24"/>
        </w:rPr>
        <w:t>标准玻璃浮子校准规范</w:t>
      </w:r>
      <w:bookmarkStart w:id="6" w:name="_GoBack"/>
      <w:bookmarkEnd w:id="6"/>
      <w:r>
        <w:rPr>
          <w:rFonts w:hint="default" w:ascii="Times New Roman" w:hAnsi="Times New Roman" w:cs="Times New Roman"/>
          <w:sz w:val="24"/>
        </w:rPr>
        <w:t>》</w:t>
      </w:r>
      <w:r>
        <w:rPr>
          <w:rFonts w:hint="default" w:ascii="Times New Roman" w:hAnsi="Times New Roman" w:cs="Times New Roman"/>
          <w:b w:val="0"/>
          <w:sz w:val="24"/>
          <w:szCs w:val="24"/>
        </w:rPr>
        <w:t>校准规范起草小组</w:t>
      </w:r>
    </w:p>
    <w:p w14:paraId="4FD50AA2">
      <w:pPr>
        <w:ind w:firstLine="6000" w:firstLineChars="2500"/>
        <w:rPr>
          <w:rStyle w:val="11"/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sz w:val="24"/>
          <w:szCs w:val="24"/>
          <w:lang w:val="en-US" w:eastAsia="zh-CN"/>
        </w:rPr>
        <w:t>202</w:t>
      </w:r>
      <w:r>
        <w:rPr>
          <w:rFonts w:hint="eastAsia" w:ascii="Times New Roman" w:hAnsi="Times New Roman" w:cs="Times New Roman"/>
          <w:b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sz w:val="24"/>
          <w:szCs w:val="24"/>
          <w:lang w:val="en-US" w:eastAsia="zh-CN"/>
        </w:rPr>
        <w:t>年9月</w:t>
      </w:r>
    </w:p>
    <w:p w14:paraId="32191CA9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BB833A"/>
    <w:multiLevelType w:val="singleLevel"/>
    <w:tmpl w:val="3FBB833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1626689"/>
    <w:multiLevelType w:val="multilevel"/>
    <w:tmpl w:val="51626689"/>
    <w:lvl w:ilvl="0" w:tentative="0">
      <w:start w:val="1"/>
      <w:numFmt w:val="decimal"/>
      <w:pStyle w:val="2"/>
      <w:lvlText w:val="%1"/>
      <w:lvlJc w:val="left"/>
      <w:pPr>
        <w:ind w:left="2628" w:hanging="360"/>
      </w:pPr>
      <w:rPr>
        <w:rFonts w:hint="eastAsia"/>
      </w:rPr>
    </w:lvl>
    <w:lvl w:ilvl="1" w:tentative="0">
      <w:start w:val="1"/>
      <w:numFmt w:val="decimal"/>
      <w:pStyle w:val="18"/>
      <w:isLgl/>
      <w:lvlText w:val="%1.%2"/>
      <w:lvlJc w:val="left"/>
      <w:pPr>
        <w:ind w:left="405" w:hanging="405"/>
      </w:pPr>
      <w:rPr>
        <w:rFonts w:hint="default" w:ascii="黑体" w:hAnsi="黑体" w:eastAsia="黑体"/>
      </w:rPr>
    </w:lvl>
    <w:lvl w:ilvl="2" w:tentative="0">
      <w:start w:val="1"/>
      <w:numFmt w:val="decimal"/>
      <w:isLgl/>
      <w:lvlText w:val="%1.%2.%3"/>
      <w:lvlJc w:val="left"/>
      <w:pPr>
        <w:ind w:left="862" w:hanging="720"/>
      </w:pPr>
      <w:rPr>
        <w:rFonts w:hint="default" w:ascii="黑体" w:hAnsi="黑体" w:eastAsia="黑体" w:cs="Times New Roman"/>
      </w:rPr>
    </w:lvl>
    <w:lvl w:ilvl="3" w:tentative="0">
      <w:start w:val="1"/>
      <w:numFmt w:val="decimal"/>
      <w:isLgl/>
      <w:lvlText w:val="%1.%2.%3.%4"/>
      <w:lvlJc w:val="left"/>
      <w:pPr>
        <w:ind w:left="284" w:hanging="284"/>
      </w:pPr>
      <w:rPr>
        <w:rFonts w:hint="default" w:ascii="黑体" w:hAnsi="黑体" w:eastAsia="黑体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mMmYzNDI5NzdiNTVlNzFmYjdjNGEwYTcwNzY3ZDcifQ=="/>
  </w:docVars>
  <w:rsids>
    <w:rsidRoot w:val="00A63A3B"/>
    <w:rsid w:val="00036FB1"/>
    <w:rsid w:val="0004670F"/>
    <w:rsid w:val="00060BE7"/>
    <w:rsid w:val="0006684E"/>
    <w:rsid w:val="000A4DA1"/>
    <w:rsid w:val="000A6AD6"/>
    <w:rsid w:val="000A7679"/>
    <w:rsid w:val="000C0A22"/>
    <w:rsid w:val="000E33C3"/>
    <w:rsid w:val="000F3AE0"/>
    <w:rsid w:val="001001A7"/>
    <w:rsid w:val="00126CDE"/>
    <w:rsid w:val="001315BA"/>
    <w:rsid w:val="00181158"/>
    <w:rsid w:val="00190584"/>
    <w:rsid w:val="001C2D36"/>
    <w:rsid w:val="001C6563"/>
    <w:rsid w:val="002058EB"/>
    <w:rsid w:val="002306F0"/>
    <w:rsid w:val="002354E3"/>
    <w:rsid w:val="002E4571"/>
    <w:rsid w:val="002E49E1"/>
    <w:rsid w:val="002F2126"/>
    <w:rsid w:val="0030230B"/>
    <w:rsid w:val="00306D59"/>
    <w:rsid w:val="00360E15"/>
    <w:rsid w:val="00397815"/>
    <w:rsid w:val="003B1CD1"/>
    <w:rsid w:val="003C1318"/>
    <w:rsid w:val="00433FD2"/>
    <w:rsid w:val="00454BC7"/>
    <w:rsid w:val="004C014E"/>
    <w:rsid w:val="004C2F78"/>
    <w:rsid w:val="005138BB"/>
    <w:rsid w:val="00545F49"/>
    <w:rsid w:val="005C2780"/>
    <w:rsid w:val="005C791A"/>
    <w:rsid w:val="005F1CC5"/>
    <w:rsid w:val="005F2FF9"/>
    <w:rsid w:val="0064799A"/>
    <w:rsid w:val="006712DC"/>
    <w:rsid w:val="006C6752"/>
    <w:rsid w:val="006D22FC"/>
    <w:rsid w:val="006D7E7E"/>
    <w:rsid w:val="0073345F"/>
    <w:rsid w:val="00751A23"/>
    <w:rsid w:val="00781DBF"/>
    <w:rsid w:val="00781E0F"/>
    <w:rsid w:val="007C2B42"/>
    <w:rsid w:val="007D2F98"/>
    <w:rsid w:val="007D3C84"/>
    <w:rsid w:val="00813B81"/>
    <w:rsid w:val="00832B2D"/>
    <w:rsid w:val="008360D3"/>
    <w:rsid w:val="00843387"/>
    <w:rsid w:val="008531F9"/>
    <w:rsid w:val="00866AFA"/>
    <w:rsid w:val="008A5016"/>
    <w:rsid w:val="008A6ABA"/>
    <w:rsid w:val="008A70C7"/>
    <w:rsid w:val="008A71CC"/>
    <w:rsid w:val="008D0BEF"/>
    <w:rsid w:val="008F22F4"/>
    <w:rsid w:val="009076E9"/>
    <w:rsid w:val="00913B55"/>
    <w:rsid w:val="00915077"/>
    <w:rsid w:val="00953A87"/>
    <w:rsid w:val="00983611"/>
    <w:rsid w:val="00991FD5"/>
    <w:rsid w:val="009A7313"/>
    <w:rsid w:val="009C2728"/>
    <w:rsid w:val="009F349E"/>
    <w:rsid w:val="00A47B67"/>
    <w:rsid w:val="00A63A3B"/>
    <w:rsid w:val="00A96722"/>
    <w:rsid w:val="00AA43A8"/>
    <w:rsid w:val="00AB2966"/>
    <w:rsid w:val="00AB3EB7"/>
    <w:rsid w:val="00AB7C2E"/>
    <w:rsid w:val="00AD1E27"/>
    <w:rsid w:val="00AF6C6C"/>
    <w:rsid w:val="00B139D6"/>
    <w:rsid w:val="00B14630"/>
    <w:rsid w:val="00B24D48"/>
    <w:rsid w:val="00B3668A"/>
    <w:rsid w:val="00BC591C"/>
    <w:rsid w:val="00C42C39"/>
    <w:rsid w:val="00C775C3"/>
    <w:rsid w:val="00C976D8"/>
    <w:rsid w:val="00CA0067"/>
    <w:rsid w:val="00D05B25"/>
    <w:rsid w:val="00D92FBC"/>
    <w:rsid w:val="00DA6C8D"/>
    <w:rsid w:val="00DC5FEE"/>
    <w:rsid w:val="00DD709D"/>
    <w:rsid w:val="00DE339F"/>
    <w:rsid w:val="00E12F43"/>
    <w:rsid w:val="00E42D72"/>
    <w:rsid w:val="00E60498"/>
    <w:rsid w:val="00E66D06"/>
    <w:rsid w:val="00EC2CA5"/>
    <w:rsid w:val="00EC706A"/>
    <w:rsid w:val="00EC7C89"/>
    <w:rsid w:val="00EE5262"/>
    <w:rsid w:val="00F02C5B"/>
    <w:rsid w:val="00F055AE"/>
    <w:rsid w:val="00F102B8"/>
    <w:rsid w:val="00F23825"/>
    <w:rsid w:val="00F74E97"/>
    <w:rsid w:val="00F85C50"/>
    <w:rsid w:val="00FA6E71"/>
    <w:rsid w:val="00FC421E"/>
    <w:rsid w:val="00FD17D7"/>
    <w:rsid w:val="00FD3265"/>
    <w:rsid w:val="0B562151"/>
    <w:rsid w:val="0BAE1D9A"/>
    <w:rsid w:val="0BE510C6"/>
    <w:rsid w:val="0CF334FA"/>
    <w:rsid w:val="0EB34711"/>
    <w:rsid w:val="10AD7F76"/>
    <w:rsid w:val="15C84AC9"/>
    <w:rsid w:val="195F7CF5"/>
    <w:rsid w:val="1D311641"/>
    <w:rsid w:val="1F631E3E"/>
    <w:rsid w:val="1FBD0A7C"/>
    <w:rsid w:val="20AA5C9F"/>
    <w:rsid w:val="21B757FA"/>
    <w:rsid w:val="221F35E2"/>
    <w:rsid w:val="233F7CFC"/>
    <w:rsid w:val="27EE2FE1"/>
    <w:rsid w:val="2C3A004B"/>
    <w:rsid w:val="2E705829"/>
    <w:rsid w:val="356B7310"/>
    <w:rsid w:val="36DF5796"/>
    <w:rsid w:val="37BC20CD"/>
    <w:rsid w:val="37EC543E"/>
    <w:rsid w:val="3AB8017D"/>
    <w:rsid w:val="3B7F4E52"/>
    <w:rsid w:val="40DE6D62"/>
    <w:rsid w:val="40F76644"/>
    <w:rsid w:val="43E83614"/>
    <w:rsid w:val="44707701"/>
    <w:rsid w:val="46D04DCC"/>
    <w:rsid w:val="47B024A3"/>
    <w:rsid w:val="4A647114"/>
    <w:rsid w:val="4B5E132B"/>
    <w:rsid w:val="4ED4276E"/>
    <w:rsid w:val="4F6F3ECE"/>
    <w:rsid w:val="515320EE"/>
    <w:rsid w:val="523A61DE"/>
    <w:rsid w:val="53D076CE"/>
    <w:rsid w:val="53F00DB1"/>
    <w:rsid w:val="54050715"/>
    <w:rsid w:val="562D5373"/>
    <w:rsid w:val="5AC1780D"/>
    <w:rsid w:val="5B8D01A5"/>
    <w:rsid w:val="5C0F3B78"/>
    <w:rsid w:val="5ED4172E"/>
    <w:rsid w:val="5EFA31F7"/>
    <w:rsid w:val="5F852243"/>
    <w:rsid w:val="61AC25CE"/>
    <w:rsid w:val="63B01A69"/>
    <w:rsid w:val="64140393"/>
    <w:rsid w:val="663F41DB"/>
    <w:rsid w:val="6A1E198F"/>
    <w:rsid w:val="6DBB76BC"/>
    <w:rsid w:val="71722272"/>
    <w:rsid w:val="721A5DEC"/>
    <w:rsid w:val="73A16156"/>
    <w:rsid w:val="75D7278D"/>
    <w:rsid w:val="766B0DAB"/>
    <w:rsid w:val="77F53AEB"/>
    <w:rsid w:val="7C287A85"/>
    <w:rsid w:val="7D62188E"/>
    <w:rsid w:val="7E05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Baskerville Old Face" w:hAnsi="Baskerville Old Face" w:eastAsia="宋体" w:cs="Baskerville Old Face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line="360" w:lineRule="auto"/>
      <w:outlineLvl w:val="0"/>
    </w:pPr>
    <w:rPr>
      <w:rFonts w:ascii="黑体" w:eastAsia="黑体"/>
      <w:sz w:val="24"/>
    </w:rPr>
  </w:style>
  <w:style w:type="paragraph" w:styleId="3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 2"/>
    <w:basedOn w:val="1"/>
    <w:link w:val="15"/>
    <w:qFormat/>
    <w:uiPriority w:val="0"/>
    <w:pPr>
      <w:ind w:firstLine="10270" w:firstLineChars="1975"/>
    </w:pPr>
    <w:rPr>
      <w:rFonts w:ascii="宋体" w:hAnsi="Times New Roman" w:cs="Times New Roman"/>
      <w:sz w:val="52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Baskerville Old Face" w:hAnsi="Baskerville Old Face" w:eastAsia="宋体" w:cs="Baskerville Old Face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rFonts w:ascii="黑体" w:hAnsi="宋体" w:eastAsia="黑体"/>
      <w:sz w:val="28"/>
    </w:rPr>
  </w:style>
  <w:style w:type="character" w:styleId="12">
    <w:name w:val="Emphasis"/>
    <w:qFormat/>
    <w:uiPriority w:val="0"/>
  </w:style>
  <w:style w:type="character" w:customStyle="1" w:styleId="13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正文文本缩进 2 Char"/>
    <w:basedOn w:val="10"/>
    <w:link w:val="5"/>
    <w:qFormat/>
    <w:uiPriority w:val="0"/>
    <w:rPr>
      <w:rFonts w:ascii="宋体" w:hAnsi="Times New Roman" w:eastAsia="宋体" w:cs="Times New Roman"/>
      <w:sz w:val="52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?标题3 Char"/>
    <w:link w:val="18"/>
    <w:qFormat/>
    <w:uiPriority w:val="0"/>
    <w:rPr>
      <w:rFonts w:ascii="宋体" w:hAnsi="宋体"/>
      <w:sz w:val="24"/>
      <w:szCs w:val="24"/>
    </w:rPr>
  </w:style>
  <w:style w:type="paragraph" w:customStyle="1" w:styleId="18">
    <w:name w:val="?标题3"/>
    <w:basedOn w:val="19"/>
    <w:link w:val="17"/>
    <w:qFormat/>
    <w:uiPriority w:val="0"/>
    <w:pPr>
      <w:numPr>
        <w:ilvl w:val="1"/>
        <w:numId w:val="1"/>
      </w:numPr>
      <w:spacing w:line="360" w:lineRule="auto"/>
      <w:outlineLvl w:val="0"/>
    </w:pPr>
    <w:rPr>
      <w:rFonts w:ascii="宋体" w:hAnsi="宋体" w:eastAsiaTheme="minorEastAsia" w:cstheme="minorBidi"/>
      <w:sz w:val="24"/>
    </w:rPr>
  </w:style>
  <w:style w:type="paragraph" w:customStyle="1" w:styleId="19">
    <w:name w:val="?标题1"/>
    <w:basedOn w:val="2"/>
    <w:qFormat/>
    <w:uiPriority w:val="0"/>
  </w:style>
  <w:style w:type="character" w:customStyle="1" w:styleId="20">
    <w:name w:val="?附录 Char"/>
    <w:link w:val="21"/>
    <w:qFormat/>
    <w:uiPriority w:val="0"/>
    <w:rPr>
      <w:szCs w:val="24"/>
    </w:rPr>
  </w:style>
  <w:style w:type="paragraph" w:customStyle="1" w:styleId="21">
    <w:name w:val="?附录"/>
    <w:basedOn w:val="1"/>
    <w:next w:val="3"/>
    <w:link w:val="20"/>
    <w:qFormat/>
    <w:uiPriority w:val="0"/>
    <w:pPr>
      <w:tabs>
        <w:tab w:val="left" w:pos="360"/>
      </w:tabs>
      <w:spacing w:line="360" w:lineRule="auto"/>
    </w:pPr>
    <w:rPr>
      <w:rFonts w:asciiTheme="minorHAnsi" w:hAnsiTheme="minorHAnsi" w:eastAsiaTheme="minorEastAsia" w:cstheme="minorBidi"/>
    </w:rPr>
  </w:style>
  <w:style w:type="character" w:customStyle="1" w:styleId="22">
    <w:name w:val="标题 3 Char"/>
    <w:basedOn w:val="10"/>
    <w:link w:val="3"/>
    <w:semiHidden/>
    <w:qFormat/>
    <w:uiPriority w:val="9"/>
    <w:rPr>
      <w:rFonts w:ascii="Baskerville Old Face" w:hAnsi="Baskerville Old Face" w:eastAsia="宋体" w:cs="Baskerville Old Face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922F6-5B73-409D-8345-804BB29FB3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1885</Words>
  <Characters>2221</Characters>
  <Lines>17</Lines>
  <Paragraphs>4</Paragraphs>
  <TotalTime>0</TotalTime>
  <ScaleCrop>false</ScaleCrop>
  <LinksUpToDate>false</LinksUpToDate>
  <CharactersWithSpaces>2337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2019-10-27T14:14:00Z</dcterms:created>
  <dc:creator>Administrator</dc:creator>
  <cp:lastModifiedBy>刘翔</cp:lastModifiedBy>
  <dcterms:modified xsi:type="dcterms:W3CDTF">2025-10-20T16:10:09Z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3D27266D716540A7891249204E224EF0</vt:lpwstr>
  </property>
  <property fmtid="{D5CDD505-2E9C-101B-9397-08002B2CF9AE}" pid="4" name="KSOTemplateDocerSaveRecord">
    <vt:lpwstr>eyJoZGlkIjoiNTc4MDQzNzk3ZjhjZmUxZDQ2NWZkMmViNWQwMzViODAiLCJ1c2VySWQiOiIzNzI2MDI1MTUifQ==</vt:lpwstr>
  </property>
</Properties>
</file>