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67" w:leftChars="-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-314325</wp:posOffset>
            </wp:positionV>
            <wp:extent cx="1714500" cy="702310"/>
            <wp:effectExtent l="0" t="0" r="0" b="2540"/>
            <wp:wrapNone/>
            <wp:docPr id="809078982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078982" name="图片 1"/>
                    <pic:cNvPicPr>
                      <a:picLocks noChangeAspect="true" noChangeArrowheads="true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70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3033395</wp:posOffset>
                </wp:positionH>
                <wp:positionV relativeFrom="paragraph">
                  <wp:posOffset>1155065</wp:posOffset>
                </wp:positionV>
                <wp:extent cx="1819275" cy="409575"/>
                <wp:effectExtent l="0" t="0" r="9525" b="9525"/>
                <wp:wrapSquare wrapText="bothSides"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18192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eastAsia="黑体" w:cs="Times New Roman"/>
                              </w:rPr>
                            </w:pPr>
                            <w:r>
                              <w:rPr>
                                <w:rFonts w:ascii="Times New Roman" w:hAnsi="Times New Roman" w:eastAsia="黑体" w:cs="Times New Roman"/>
                                <w:sz w:val="28"/>
                                <w:szCs w:val="28"/>
                              </w:rPr>
                              <w:t>JJF（吉）</w:t>
                            </w:r>
                            <w:r>
                              <w:rPr>
                                <w:rFonts w:hint="eastAsia" w:ascii="Times New Roman" w:hAnsi="Times New Roman" w:eastAsia="黑体" w:cs="Times New Roman"/>
                                <w:sz w:val="28"/>
                                <w:szCs w:val="28"/>
                              </w:rPr>
                              <w:t>XXX</w:t>
                            </w:r>
                            <w:r>
                              <w:rPr>
                                <w:rFonts w:ascii="Times New Roman" w:hAnsi="Times New Roman" w:eastAsia="黑体" w:cs="Times New Roman"/>
                                <w:sz w:val="28"/>
                                <w:szCs w:val="28"/>
                              </w:rPr>
                              <w:t>—202</w:t>
                            </w:r>
                            <w:r>
                              <w:rPr>
                                <w:rFonts w:hint="eastAsia" w:ascii="Times New Roman" w:hAnsi="Times New Roman" w:eastAsia="黑体" w:cs="Times New Roman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fals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85pt;margin-top:90.95pt;height:32.25pt;width:143.25pt;mso-wrap-distance-bottom:3.6pt;mso-wrap-distance-left:9pt;mso-wrap-distance-right:9pt;mso-wrap-distance-top:3.6pt;z-index:251660288;mso-width-relative:page;mso-height-relative:page;" fillcolor="#FFFFFF" filled="t" stroked="t" coordsize="21600,21600" o:gfxdata="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A+OOky2QAAAAsBAAAPAAAAAAAAAAEAIAAAADgAAABkcnMvZG93&#10;bnJldi54bWxQSwECFAAUAAAACACHTuJA8YY12SICAAA5BAAADgAAAAAAAAABACAAAAA+AQAAZHJz&#10;L2Uyb0RvYy54bWxQSwUGAAAAAAYABgBZAQAA0gUAAAAA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 w:eastAsia="黑体" w:cs="Times New Roman"/>
                        </w:rPr>
                      </w:pPr>
                      <w:r>
                        <w:rPr>
                          <w:rFonts w:ascii="Times New Roman" w:hAnsi="Times New Roman" w:eastAsia="黑体" w:cs="Times New Roman"/>
                          <w:sz w:val="28"/>
                          <w:szCs w:val="28"/>
                        </w:rPr>
                        <w:t>JJF（吉）</w:t>
                      </w:r>
                      <w:r>
                        <w:rPr>
                          <w:rFonts w:hint="eastAsia" w:ascii="Times New Roman" w:hAnsi="Times New Roman" w:eastAsia="黑体" w:cs="Times New Roman"/>
                          <w:sz w:val="28"/>
                          <w:szCs w:val="28"/>
                        </w:rPr>
                        <w:t>XXX</w:t>
                      </w:r>
                      <w:r>
                        <w:rPr>
                          <w:rFonts w:ascii="Times New Roman" w:hAnsi="Times New Roman" w:eastAsia="黑体" w:cs="Times New Roman"/>
                          <w:sz w:val="28"/>
                          <w:szCs w:val="28"/>
                        </w:rPr>
                        <w:t>—202</w:t>
                      </w:r>
                      <w:r>
                        <w:rPr>
                          <w:rFonts w:hint="eastAsia" w:ascii="Times New Roman" w:hAnsi="Times New Roman" w:eastAsia="黑体" w:cs="Times New Roman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14" w:name="_GoBack"/>
      <w:bookmarkEnd w:id="14"/>
      <w:r>
        <w:rPr>
          <w:rFonts w:ascii="Times New Roman" w:hAnsi="Times New Roman" w:cs="Times New Roma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-900430</wp:posOffset>
                </wp:positionH>
                <wp:positionV relativeFrom="paragraph">
                  <wp:posOffset>3755390</wp:posOffset>
                </wp:positionV>
                <wp:extent cx="7622540" cy="847725"/>
                <wp:effectExtent l="0" t="0" r="0" b="9525"/>
                <wp:wrapSquare wrapText="bothSides"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762254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华文中宋" w:eastAsia="黑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黑体" w:hAnsi="华文中宋" w:eastAsia="黑体"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Calibration Specification </w:t>
                            </w:r>
                            <w:r>
                              <w:rPr>
                                <w:rFonts w:hint="eastAsia" w:ascii="黑体" w:hAnsi="华文中宋" w:eastAsia="黑体"/>
                                <w:color w:val="000000" w:themeColor="text1"/>
                                <w:sz w:val="28"/>
                                <w:szCs w:val="28"/>
                                <w:highlight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f</w:t>
                            </w:r>
                            <w:r>
                              <w:rPr>
                                <w:rFonts w:ascii="黑体" w:hAnsi="华文中宋" w:eastAsia="黑体"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or Gas</w:t>
                            </w:r>
                            <w:r>
                              <w:rPr>
                                <w:rFonts w:hint="eastAsia" w:ascii="黑体" w:hAnsi="华文中宋" w:eastAsia="黑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Detectors and </w:t>
                            </w:r>
                            <w:r>
                              <w:rPr>
                                <w:rFonts w:ascii="黑体" w:hAnsi="华文中宋" w:eastAsia="黑体"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Alarms</w:t>
                            </w:r>
                            <w:r>
                              <w:rPr>
                                <w:rFonts w:hint="eastAsia" w:ascii="黑体" w:hAnsi="华文中宋" w:eastAsia="黑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of 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highlight w:val="none"/>
                                <w:lang w:val="en-US" w:eastAsia="zh-CN"/>
                              </w:rPr>
                              <w:t>H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ydrogen</w:t>
                            </w: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  <w:highlight w:val="non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highlight w:val="none"/>
                                <w:lang w:val="en-US" w:eastAsia="zh-CN"/>
                              </w:rPr>
                              <w:t>F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luoride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黑体" w:hAnsi="黑体" w:eastAsia="黑体" w:cs="黑体"/>
                                <w:sz w:val="28"/>
                                <w:szCs w:val="28"/>
                                <w:lang w:val="en"/>
                              </w:rPr>
                            </w:pPr>
                            <w:r>
                              <w:rPr>
                                <w:rFonts w:hint="default" w:ascii="黑体" w:hAnsi="黑体" w:eastAsia="黑体" w:cs="黑体"/>
                                <w:sz w:val="28"/>
                                <w:szCs w:val="28"/>
                                <w:lang w:val="en"/>
                              </w:rPr>
                              <w:t>(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" w:eastAsia="zh-CN"/>
                              </w:rPr>
                              <w:t>报批稿</w:t>
                            </w:r>
                            <w:r>
                              <w:rPr>
                                <w:rFonts w:hint="default" w:ascii="黑体" w:hAnsi="黑体" w:eastAsia="黑体" w:cs="黑体"/>
                                <w:sz w:val="28"/>
                                <w:szCs w:val="28"/>
                                <w:lang w:val="en"/>
                              </w:rPr>
                              <w:t>)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fals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0.9pt;margin-top:295.7pt;height:66.75pt;width:600.2pt;mso-wrap-distance-bottom:3.6pt;mso-wrap-distance-left:9pt;mso-wrap-distance-right:9pt;mso-wrap-distance-top:3.6pt;z-index:251661312;mso-width-relative:page;mso-height-relative:page;" fillcolor="#FFFFFF" filled="t" stroked="t" coordsize="21600,21600" o:gfxdata="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WAAAAZHJz&#10;L1BLAQIUABQAAAAIAIdO4kBsHw/X2wAAAA0BAAAPAAAAAAAAAAEAIAAAADgAAABkcnMvZG93bnJl&#10;di54bWxQSwECFAAUAAAACACHTuJAdUX+wB0CAAA5BAAADgAAAAAAAAABACAAAABAAQAAZHJzL2Uy&#10;b0RvYy54bWxQSwUGAAAAAAYABgBZAQAAzwUAAAAA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华文中宋" w:eastAsia="黑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黑体" w:hAnsi="华文中宋" w:eastAsia="黑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Calibration Specification </w:t>
                      </w:r>
                      <w:r>
                        <w:rPr>
                          <w:rFonts w:hint="eastAsia" w:ascii="黑体" w:hAnsi="华文中宋" w:eastAsia="黑体"/>
                          <w:color w:val="000000" w:themeColor="text1"/>
                          <w:sz w:val="28"/>
                          <w:szCs w:val="28"/>
                          <w:highlight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f</w:t>
                      </w:r>
                      <w:r>
                        <w:rPr>
                          <w:rFonts w:ascii="黑体" w:hAnsi="华文中宋" w:eastAsia="黑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or Gas</w:t>
                      </w:r>
                      <w:r>
                        <w:rPr>
                          <w:rFonts w:hint="eastAsia" w:ascii="黑体" w:hAnsi="华文中宋" w:eastAsia="黑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Detectors and </w:t>
                      </w:r>
                      <w:r>
                        <w:rPr>
                          <w:rFonts w:ascii="黑体" w:hAnsi="华文中宋" w:eastAsia="黑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Alarms</w:t>
                      </w:r>
                      <w:r>
                        <w:rPr>
                          <w:rFonts w:hint="eastAsia" w:ascii="黑体" w:hAnsi="华文中宋" w:eastAsia="黑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of </w:t>
                      </w:r>
                    </w:p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highlight w:val="none"/>
                          <w:lang w:val="en-US" w:eastAsia="zh-CN"/>
                        </w:rPr>
                        <w:t>H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ydrogen</w:t>
                      </w: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  <w:highlight w:val="none"/>
                        </w:rPr>
                        <w:t xml:space="preserve">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highlight w:val="none"/>
                          <w:lang w:val="en-US" w:eastAsia="zh-CN"/>
                        </w:rPr>
                        <w:t>F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luoride</w:t>
                      </w:r>
                    </w:p>
                    <w:p>
                      <w:pPr>
                        <w:jc w:val="center"/>
                        <w:rPr>
                          <w:rFonts w:hint="default" w:ascii="黑体" w:hAnsi="黑体" w:eastAsia="黑体" w:cs="黑体"/>
                          <w:sz w:val="28"/>
                          <w:szCs w:val="28"/>
                          <w:lang w:val="en"/>
                        </w:rPr>
                      </w:pPr>
                      <w:r>
                        <w:rPr>
                          <w:rFonts w:hint="default" w:ascii="黑体" w:hAnsi="黑体" w:eastAsia="黑体" w:cs="黑体"/>
                          <w:sz w:val="28"/>
                          <w:szCs w:val="28"/>
                          <w:lang w:val="en"/>
                        </w:rPr>
                        <w:t>(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" w:eastAsia="zh-CN"/>
                        </w:rPr>
                        <w:t>报批稿</w:t>
                      </w:r>
                      <w:r>
                        <w:rPr>
                          <w:rFonts w:hint="default" w:ascii="黑体" w:hAnsi="黑体" w:eastAsia="黑体" w:cs="黑体"/>
                          <w:sz w:val="28"/>
                          <w:szCs w:val="28"/>
                          <w:lang w:val="en"/>
                        </w:rPr>
                        <w:t>)</w:t>
                      </w:r>
                    </w:p>
                    <w:p>
                      <w:pPr>
                        <w:jc w:val="both"/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</w:pPr>
                    </w:p>
                    <w:p>
                      <w:pPr>
                        <w:jc w:val="center"/>
                        <w:rPr>
                          <w:rFonts w:ascii="黑体" w:hAnsi="黑体" w:eastAsia="黑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-900430</wp:posOffset>
                </wp:positionH>
                <wp:positionV relativeFrom="paragraph">
                  <wp:posOffset>3060065</wp:posOffset>
                </wp:positionV>
                <wp:extent cx="7593965" cy="638175"/>
                <wp:effectExtent l="0" t="0" r="6985" b="9525"/>
                <wp:wrapSquare wrapText="bothSides"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759396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color w:val="000000" w:themeColor="text1"/>
                                <w:sz w:val="52"/>
                                <w:szCs w:val="5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氟化氢</w:t>
                            </w:r>
                            <w:r>
                              <w:rPr>
                                <w:rFonts w:ascii="黑体" w:eastAsia="黑体"/>
                                <w:color w:val="000000" w:themeColor="text1"/>
                                <w:sz w:val="52"/>
                                <w:szCs w:val="5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气体检测报警器</w:t>
                            </w:r>
                            <w:r>
                              <w:rPr>
                                <w:rFonts w:hint="eastAsia" w:ascii="黑体" w:eastAsia="黑体"/>
                                <w:color w:val="000000" w:themeColor="text1"/>
                                <w:sz w:val="52"/>
                                <w:szCs w:val="5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校准规范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fals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0.9pt;margin-top:240.95pt;height:50.25pt;width:597.95pt;mso-wrap-distance-bottom:3.6pt;mso-wrap-distance-left:9pt;mso-wrap-distance-right:9pt;mso-wrap-distance-top:3.6pt;z-index:251662336;mso-width-relative:page;mso-height-relative:page;" fillcolor="#FFFFFF" filled="t" stroked="t" coordsize="21600,21600" o:gfxdata="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BYA&#10;AABkcnMvUEsBAhQAFAAAAAgAh07iQPR/0FDaAAAADQEAAA8AAAAAAAAAAQAgAAAAOAAAAGRycy9k&#10;b3ducmV2LnhtbFBLAQIUABQAAAAIAIdO4kCFkr7cIwIAADcEAAAOAAAAAAAAAAEAIAAAAD8BAABk&#10;cnMvZTJvRG9jLnhtbFBLBQYAAAAABgAGAFkBAADUBQAAAAA=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eastAsia="黑体"/>
                          <w:color w:val="000000" w:themeColor="text1"/>
                          <w:sz w:val="52"/>
                          <w:szCs w:val="5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氟化氢</w:t>
                      </w:r>
                      <w:r>
                        <w:rPr>
                          <w:rFonts w:ascii="黑体" w:eastAsia="黑体"/>
                          <w:color w:val="000000" w:themeColor="text1"/>
                          <w:sz w:val="52"/>
                          <w:szCs w:val="5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气体检测报警器</w:t>
                      </w:r>
                      <w:r>
                        <w:rPr>
                          <w:rFonts w:hint="eastAsia" w:ascii="黑体" w:eastAsia="黑体"/>
                          <w:color w:val="000000" w:themeColor="text1"/>
                          <w:sz w:val="52"/>
                          <w:szCs w:val="5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校准规范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-900430</wp:posOffset>
                </wp:positionH>
                <wp:positionV relativeFrom="paragraph">
                  <wp:posOffset>468630</wp:posOffset>
                </wp:positionV>
                <wp:extent cx="7555865" cy="581025"/>
                <wp:effectExtent l="0" t="0" r="6985" b="9525"/>
                <wp:wrapSquare wrapText="bothSides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755586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方正小标宋简体" w:hAnsi="方正公文小标宋" w:eastAsia="方正小标宋简体"/>
                                <w:spacing w:val="-50"/>
                                <w:w w:val="120"/>
                              </w:rPr>
                            </w:pPr>
                            <w:r>
                              <w:rPr>
                                <w:rFonts w:hint="eastAsia" w:ascii="方正小标宋简体" w:hAnsi="方正公文小标宋" w:eastAsia="方正小标宋简体"/>
                                <w:spacing w:val="-50"/>
                                <w:w w:val="120"/>
                                <w:kern w:val="0"/>
                                <w:sz w:val="52"/>
                                <w:szCs w:val="52"/>
                              </w:rPr>
                              <w:t>吉 林 省 地 方 计 量 技 术 规 范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fals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0.9pt;margin-top:36.9pt;height:45.75pt;width:594.95pt;mso-wrap-distance-bottom:3.6pt;mso-wrap-distance-left:9pt;mso-wrap-distance-right:9pt;mso-wrap-distance-top:3.6pt;z-index:251659264;mso-width-relative:page;mso-height-relative:page;" fillcolor="#FFFFFF" filled="t" stroked="t" coordsize="21600,21600" o:gfxdata="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BYAAABkcnMv&#10;UEsBAhQAFAAAAAgAh07iQAkWY5faAAAADAEAAA8AAAAAAAAAAQAgAAAAOAAAAGRycy9kb3ducmV2&#10;LnhtbFBLAQIUABQAAAAIAIdO4kArBeLHHQIAADcEAAAOAAAAAAAAAAEAIAAAAD8BAABkcnMvZTJv&#10;RG9jLnhtbFBLBQYAAAAABgAGAFkBAADOBQAAAAA=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方正小标宋简体" w:hAnsi="方正公文小标宋" w:eastAsia="方正小标宋简体"/>
                          <w:spacing w:val="-50"/>
                          <w:w w:val="120"/>
                        </w:rPr>
                      </w:pPr>
                      <w:r>
                        <w:rPr>
                          <w:rFonts w:hint="eastAsia" w:ascii="方正小标宋简体" w:hAnsi="方正公文小标宋" w:eastAsia="方正小标宋简体"/>
                          <w:spacing w:val="-50"/>
                          <w:w w:val="120"/>
                          <w:kern w:val="0"/>
                          <w:sz w:val="52"/>
                          <w:szCs w:val="52"/>
                        </w:rPr>
                        <w:t>吉 林 省 地 方 计 量 技 术 规 范</w:t>
                      </w:r>
                    </w:p>
                    <w:p/>
                  </w:txbxContent>
                </v:textbox>
                <w10:wrap type="square"/>
              </v:shape>
            </w:pict>
          </mc:Fallback>
        </mc:AlternateContent>
      </w:r>
    </w:p>
    <w:p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12065</wp:posOffset>
                </wp:positionH>
                <wp:positionV relativeFrom="paragraph">
                  <wp:posOffset>1525270</wp:posOffset>
                </wp:positionV>
                <wp:extent cx="6219825" cy="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98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95pt;margin-top:120.1pt;height:0pt;width:489.75pt;z-index:251669504;mso-width-relative:page;mso-height-relative:page;" filled="f" stroked="t" coordsize="21600,21600" o:gfxdata="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BYAAABkcnMvUEsBAhQAFAAAAAgAh07iQHH2P4HVAAAACQEAAA8AAAAA&#10;AAAAAQAgAAAAOAAAAGRycy9kb3ducmV2LnhtbFBLAQIUABQAAAAIAIdO4kC7hAuCyAEAAGMDAAAO&#10;AAAAAAAAAAEAIAAAADoBAABkcnMvZTJvRG9jLnhtbFBLBQYAAAAABgAGAFkBAAB0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-292735</wp:posOffset>
                </wp:positionH>
                <wp:positionV relativeFrom="paragraph">
                  <wp:posOffset>8268970</wp:posOffset>
                </wp:positionV>
                <wp:extent cx="6219825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98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3.05pt;margin-top:651.1pt;height:0pt;width:489.75pt;z-index:251668480;mso-width-relative:page;mso-height-relative:page;" filled="f" stroked="t" coordsize="21600,21600" o:gfxdata="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FgAAAGRycy9QSwECFAAUAAAACACHTuJAxHKW0tgAAAANAQAADwAA&#10;AAAAAAABACAAAAA4AAAAZHJzL2Rvd25yZXYueG1sUEsBAhQAFAAAAAgAh07iQMFrFVHHAQAAYwMA&#10;AA4AAAAAAAAAAQAgAAAAPQEAAGRycy9lMm9Eb2MueG1sUEsFBgAAAAAGAAYAWQEAAHY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>
                <wp:simplePos x="0" y="0"/>
                <wp:positionH relativeFrom="column">
                  <wp:posOffset>-862330</wp:posOffset>
                </wp:positionH>
                <wp:positionV relativeFrom="paragraph">
                  <wp:posOffset>8402955</wp:posOffset>
                </wp:positionV>
                <wp:extent cx="7555865" cy="466725"/>
                <wp:effectExtent l="0" t="0" r="6985" b="952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755586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方正小标宋简体" w:hAnsi="方正小标宋_GBK" w:eastAsia="方正小标宋简体" w:cs="方正小标宋_GBK"/>
                                <w:w w:val="120"/>
                                <w:sz w:val="44"/>
                                <w:szCs w:val="44"/>
                              </w:rPr>
                              <w:t>吉林省市场监督管理厅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发 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fals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7.9pt;margin-top:661.65pt;height:36.75pt;width:594.95pt;z-index:-251652096;mso-width-relative:page;mso-height-relative:page;" fillcolor="#FFFFFF" filled="t" stroked="t" coordsize="21600,21600" o:gfxdata="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D0ZrFz2wAAAA8BAAAPAAAAAAAAAAEAIAAAADgAAABkcnMvZG93&#10;bnJldi54bWxQSwECFAAUAAAACACHTuJAoNzaqyACAAA3BAAADgAAAAAAAAABACAAAABAAQAAZHJz&#10;L2Uyb0RvYy54bWxQSwUGAAAAAAYABgBZAQAA0gUAAAAA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="方正小标宋简体" w:hAnsi="方正小标宋_GBK" w:eastAsia="方正小标宋简体" w:cs="方正小标宋_GBK"/>
                          <w:w w:val="120"/>
                          <w:sz w:val="44"/>
                          <w:szCs w:val="44"/>
                        </w:rPr>
                        <w:t>吉林省市场监督管理厅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发 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-900430</wp:posOffset>
                </wp:positionH>
                <wp:positionV relativeFrom="paragraph">
                  <wp:posOffset>7879080</wp:posOffset>
                </wp:positionV>
                <wp:extent cx="7504430" cy="304800"/>
                <wp:effectExtent l="0" t="0" r="1270" b="0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750443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  <w:t>202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5-XX-XX发布                              </w:t>
                            </w:r>
                            <w: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  <w:t>202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X-XX-XX实施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fals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0.9pt;margin-top:620.4pt;height:24pt;width:590.9pt;mso-wrap-distance-bottom:3.6pt;mso-wrap-distance-left:9pt;mso-wrap-distance-right:9pt;mso-wrap-distance-top:3.6pt;z-index:251663360;mso-width-relative:page;mso-height-relative:page;" fillcolor="#FFFFFF" filled="t" stroked="t" coordsize="21600,21600" o:gfxdata="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FgAAAGRycy9QSwECFAAUAAAACACHTuJANtyDRNoAAAAPAQAADwAAAAAAAAABACAAAAA4AAAAZHJz&#10;L2Rvd25yZXYueG1sUEsBAhQAFAAAAAgAh07iQAnwEcklAgAANwQAAA4AAAAAAAAAAQAgAAAAPwEA&#10;AGRycy9lMm9Eb2MueG1sUEsFBgAAAAAGAAYAWQEAANYFAAAAAA==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ascii="黑体" w:hAnsi="黑体" w:eastAsia="黑体"/>
                          <w:sz w:val="28"/>
                          <w:szCs w:val="28"/>
                        </w:rPr>
                        <w:t>202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 xml:space="preserve">5-XX-XX发布                              </w:t>
                      </w:r>
                      <w:r>
                        <w:rPr>
                          <w:rFonts w:ascii="黑体" w:hAnsi="黑体" w:eastAsia="黑体"/>
                          <w:sz w:val="28"/>
                          <w:szCs w:val="28"/>
                        </w:rPr>
                        <w:t>202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X-XX-XX实施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</w:rPr>
        <w:br w:type="page"/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  <w:sectPr>
          <w:headerReference r:id="rId4" w:type="first"/>
          <w:footerReference r:id="rId5" w:type="first"/>
          <w:headerReference r:id="rId3" w:type="even"/>
          <w:pgSz w:w="11906" w:h="16838"/>
          <w:pgMar w:top="1361" w:right="1134" w:bottom="1361" w:left="1418" w:header="851" w:footer="992" w:gutter="0"/>
          <w:pgNumType w:fmt="upperRoman" w:start="1"/>
          <w:cols w:space="425" w:num="1"/>
          <w:docGrid w:linePitch="312" w:charSpace="0"/>
        </w:sect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ind w:firstLine="880" w:firstLineChars="200"/>
        <w:jc w:val="left"/>
        <w:rPr>
          <w:rFonts w:ascii="Times New Roman" w:hAnsi="Times New Roman" w:eastAsia="黑体" w:cs="Times New Roman"/>
          <w:kern w:val="0"/>
          <w:sz w:val="44"/>
          <w:szCs w:val="44"/>
        </w:rPr>
      </w:pPr>
      <w:bookmarkStart w:id="0" w:name="_Hlk180583756"/>
      <w:r>
        <w:rPr>
          <w:rFonts w:hint="eastAsia" w:ascii="Times New Roman" w:hAnsi="Times New Roman" w:eastAsia="黑体" w:cs="Times New Roman"/>
          <w:kern w:val="0"/>
          <w:sz w:val="44"/>
          <w:szCs w:val="44"/>
        </w:rPr>
        <w:t>氟化氢气体检测报警器</w:t>
      </w:r>
    </w:p>
    <w:p>
      <w:pPr>
        <w:autoSpaceDE w:val="0"/>
        <w:autoSpaceDN w:val="0"/>
        <w:adjustRightInd w:val="0"/>
        <w:ind w:firstLine="2200" w:firstLineChars="500"/>
        <w:jc w:val="left"/>
        <w:rPr>
          <w:rFonts w:ascii="Times New Roman" w:hAnsi="Times New Roman" w:eastAsia="黑体" w:cs="Times New Roman"/>
          <w:kern w:val="0"/>
          <w:sz w:val="44"/>
          <w:szCs w:val="44"/>
        </w:rPr>
      </w:pPr>
      <w:r>
        <w:rPr>
          <w:rFonts w:ascii="Times New Roman" w:hAnsi="Times New Roman" w:eastAsia="黑体" w:cs="Times New Roman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4185285</wp:posOffset>
                </wp:positionH>
                <wp:positionV relativeFrom="paragraph">
                  <wp:posOffset>30480</wp:posOffset>
                </wp:positionV>
                <wp:extent cx="1914525" cy="724535"/>
                <wp:effectExtent l="0" t="0" r="9525" b="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724535"/>
                        </a:xfrm>
                        <a:prstGeom prst="rect">
                          <a:avLst/>
                        </a:prstGeom>
                        <a:noFill/>
                        <a:ln w="25400" cap="rnd">
                          <a:solidFill>
                            <a:schemeClr val="tx1">
                              <a:alpha val="75000"/>
                            </a:schemeClr>
                          </a:solidFill>
                          <a:prstDash val="sysDot"/>
                          <a:beve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9.55pt;margin-top:2.4pt;height:57.05pt;width:150.75pt;z-index:251666432;v-text-anchor:middle;mso-width-relative:page;mso-height-relative:page;" filled="f" stroked="t" coordsize="21600,21600" o:gfxdata="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BYAAABk&#10;cnMvUEsBAhQAFAAAAAgAh07iQMcbeHnWAAAACQEAAA8AAAAAAAAAAQAgAAAAOAAAAGRycy9kb3du&#10;cmV2LnhtbFBLAQIUABQAAAAIAIdO4kDxSFplXQIAAKAEAAAOAAAAAAAAAAEAIAAAADsBAABkcnMv&#10;ZTJvRG9jLnhtbFBLBQYAAAAABgAGAFkBAAAKBgAAAAA=&#10;">
                <v:fill on="f" focussize="0,0"/>
                <v:stroke weight="2pt" color="#000000 [3213]" opacity="49152f" miterlimit="8" joinstyle="bevel" dashstyle="1 1" endcap="round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黑体" w:cs="Times New Roman"/>
          <w:kern w:val="0"/>
          <w:sz w:val="44"/>
          <w:szCs w:val="44"/>
        </w:rPr>
        <w:t>校准规范</w:t>
      </w:r>
    </w:p>
    <w:p>
      <w:pPr>
        <w:jc w:val="center"/>
        <w:rPr>
          <w:rFonts w:ascii="黑体" w:hAnsi="黑体" w:eastAsia="黑体" w:cs="Times New Roman"/>
          <w:b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 xml:space="preserve">       </w:t>
      </w:r>
      <w:r>
        <w:rPr>
          <w:rFonts w:ascii="黑体" w:hAnsi="黑体" w:eastAsia="黑体" w:cs="Times New Roman"/>
          <w:sz w:val="28"/>
          <w:szCs w:val="28"/>
        </w:rPr>
        <w:t xml:space="preserve">Calibration Specification </w:t>
      </w:r>
      <w:r>
        <w:rPr>
          <w:rFonts w:ascii="黑体" w:hAnsi="黑体" w:eastAsia="黑体" w:cs="Times New Roman"/>
          <w:sz w:val="28"/>
          <w:szCs w:val="28"/>
          <w:highlight w:val="none"/>
        </w:rPr>
        <w:t>f</w:t>
      </w:r>
      <w:r>
        <w:rPr>
          <w:rFonts w:ascii="黑体" w:hAnsi="黑体" w:eastAsia="黑体" w:cs="Times New Roman"/>
          <w:sz w:val="28"/>
          <w:szCs w:val="28"/>
        </w:rPr>
        <w:t xml:space="preserve">or         </w:t>
      </w:r>
      <w:r>
        <w:rPr>
          <w:rFonts w:hint="eastAsia" w:ascii="黑体" w:hAnsi="黑体" w:eastAsia="黑体" w:cs="Times New Roman"/>
          <w:sz w:val="28"/>
          <w:szCs w:val="28"/>
          <w:lang w:val="en-US" w:eastAsia="zh-CN"/>
        </w:rPr>
        <w:t xml:space="preserve"> </w:t>
      </w:r>
      <w:r>
        <w:rPr>
          <w:rFonts w:ascii="黑体" w:hAnsi="黑体" w:eastAsia="黑体" w:cs="Times New Roman"/>
          <w:sz w:val="28"/>
          <w:szCs w:val="28"/>
        </w:rPr>
        <w:t xml:space="preserve"> JJF（吉）</w:t>
      </w:r>
      <w:r>
        <w:rPr>
          <w:rFonts w:hint="eastAsia" w:ascii="黑体" w:hAnsi="黑体" w:eastAsia="黑体" w:cs="Times New Roman"/>
          <w:sz w:val="28"/>
          <w:szCs w:val="28"/>
        </w:rPr>
        <w:t>XXX</w:t>
      </w:r>
      <w:r>
        <w:rPr>
          <w:rFonts w:ascii="黑体" w:hAnsi="黑体" w:eastAsia="黑体" w:cs="Times New Roman"/>
          <w:sz w:val="28"/>
          <w:szCs w:val="28"/>
        </w:rPr>
        <w:t>-202</w:t>
      </w:r>
      <w:r>
        <w:rPr>
          <w:rFonts w:hint="eastAsia" w:ascii="黑体" w:hAnsi="黑体" w:eastAsia="黑体" w:cs="Times New Roman"/>
          <w:sz w:val="28"/>
          <w:szCs w:val="28"/>
        </w:rPr>
        <w:t>5</w:t>
      </w:r>
    </w:p>
    <w:p>
      <w:pPr>
        <w:jc w:val="both"/>
        <w:rPr>
          <w:rFonts w:hint="eastAsia" w:ascii="黑体" w:hAnsi="黑体" w:eastAsia="黑体" w:cs="黑体"/>
          <w:sz w:val="28"/>
          <w:szCs w:val="28"/>
        </w:rPr>
      </w:pPr>
      <w:r>
        <w:rPr>
          <w:rFonts w:ascii="黑体" w:hAnsi="华文中宋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Gas</w:t>
      </w:r>
      <w:r>
        <w:rPr>
          <w:rFonts w:hint="eastAsia" w:ascii="黑体" w:hAnsi="华文中宋" w:eastAsia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Detectors and </w:t>
      </w:r>
      <w:r>
        <w:rPr>
          <w:rFonts w:ascii="黑体" w:hAnsi="华文中宋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Alarms</w:t>
      </w:r>
      <w:r>
        <w:rPr>
          <w:rFonts w:hint="eastAsia" w:ascii="黑体" w:hAnsi="华文中宋" w:eastAsia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of 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H</w:t>
      </w:r>
      <w:r>
        <w:rPr>
          <w:rFonts w:hint="eastAsia" w:ascii="黑体" w:hAnsi="黑体" w:eastAsia="黑体" w:cs="黑体"/>
          <w:sz w:val="28"/>
          <w:szCs w:val="28"/>
        </w:rPr>
        <w:t>ydrogen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F</w:t>
      </w:r>
      <w:r>
        <w:rPr>
          <w:rFonts w:hint="eastAsia" w:ascii="黑体" w:hAnsi="黑体" w:eastAsia="黑体" w:cs="黑体"/>
          <w:sz w:val="28"/>
          <w:szCs w:val="28"/>
        </w:rPr>
        <w:t>luoride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93345</wp:posOffset>
                </wp:positionV>
                <wp:extent cx="621982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98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.05pt;margin-top:7.35pt;height:0pt;width:489.75pt;z-index:251665408;mso-width-relative:page;mso-height-relative:page;" filled="f" stroked="t" coordsize="21600,21600" o:gfxdata="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FgAAAGRycy9QSwECFAAUAAAACACHTuJAvsuICNUAAAAIAQAADwAAAAAA&#10;AAABACAAAAA4AAAAZHJzL2Rvd25yZXYueG1sUEsBAhQAFAAAAAgAh07iQKvajKvHAQAAYwMAAA4A&#10;AAAAAAAAAQAgAAAAOgEAAGRycy9lMm9Eb2MueG1sUEsFBgAAAAAGAAYAWQEAAHM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ind w:firstLine="840" w:firstLineChars="30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eastAsia="黑体" w:cs="Times New Roman"/>
          <w:kern w:val="0"/>
          <w:sz w:val="28"/>
          <w:szCs w:val="28"/>
        </w:rPr>
        <w:t xml:space="preserve">归  口 单 位：  </w:t>
      </w:r>
      <w:r>
        <w:rPr>
          <w:rFonts w:ascii="Times New Roman" w:hAnsi="Times New Roman" w:cs="Times New Roman"/>
          <w:kern w:val="0"/>
          <w:sz w:val="28"/>
          <w:szCs w:val="28"/>
        </w:rPr>
        <w:t>吉林省市场监督管理厅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eastAsia="黑体" w:cs="Times New Roman"/>
          <w:kern w:val="0"/>
          <w:sz w:val="28"/>
          <w:szCs w:val="28"/>
          <w:highlight w:val="yellow"/>
        </w:rPr>
      </w:pPr>
    </w:p>
    <w:p>
      <w:pPr>
        <w:autoSpaceDE w:val="0"/>
        <w:autoSpaceDN w:val="0"/>
        <w:adjustRightInd w:val="0"/>
        <w:spacing w:line="594" w:lineRule="exact"/>
        <w:ind w:firstLine="840" w:firstLineChars="30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eastAsia="黑体" w:cs="Times New Roman"/>
          <w:kern w:val="0"/>
          <w:sz w:val="28"/>
          <w:szCs w:val="28"/>
          <w:highlight w:val="none"/>
        </w:rPr>
        <w:t xml:space="preserve">主要起草单位：  </w:t>
      </w:r>
      <w:r>
        <w:rPr>
          <w:rFonts w:ascii="Times New Roman" w:hAnsi="Times New Roman" w:cs="Times New Roman"/>
          <w:color w:val="000000"/>
          <w:kern w:val="0"/>
          <w:sz w:val="28"/>
        </w:rPr>
        <w:t>长春市计量检定测试技术研究院</w:t>
      </w:r>
    </w:p>
    <w:p>
      <w:pPr>
        <w:autoSpaceDE w:val="0"/>
        <w:autoSpaceDN w:val="0"/>
        <w:adjustRightInd w:val="0"/>
        <w:spacing w:line="594" w:lineRule="exact"/>
        <w:ind w:firstLine="3080" w:firstLineChars="110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lang w:val="en-US" w:eastAsia="zh-CN"/>
        </w:rPr>
        <w:t>吉林省计量科学研究院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ind w:firstLine="560"/>
        <w:jc w:val="left"/>
        <w:rPr>
          <w:rFonts w:ascii="Times New Roman" w:hAnsi="Times New Roman" w:cs="Times New Roman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ind w:firstLine="560"/>
        <w:jc w:val="left"/>
        <w:rPr>
          <w:rFonts w:ascii="Times New Roman" w:hAnsi="Times New Roman" w:cs="Times New Roman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ind w:firstLine="560"/>
        <w:jc w:val="left"/>
        <w:rPr>
          <w:rFonts w:ascii="Times New Roman" w:hAnsi="Times New Roman" w:cs="Times New Roman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ind w:firstLine="56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本规范由</w:t>
      </w:r>
      <w:r>
        <w:rPr>
          <w:rFonts w:ascii="Times New Roman" w:hAnsi="Times New Roman" w:cs="Times New Roman"/>
          <w:color w:val="000000"/>
          <w:kern w:val="0"/>
          <w:sz w:val="28"/>
        </w:rPr>
        <w:t>长春市计量检定测试技术研究院</w:t>
      </w:r>
      <w:r>
        <w:rPr>
          <w:rFonts w:ascii="Times New Roman" w:hAnsi="Times New Roman" w:cs="Times New Roman"/>
          <w:kern w:val="0"/>
          <w:sz w:val="28"/>
          <w:szCs w:val="28"/>
        </w:rPr>
        <w:t>负责解释</w:t>
      </w:r>
    </w:p>
    <w:p>
      <w:pPr>
        <w:autoSpaceDE w:val="0"/>
        <w:autoSpaceDN w:val="0"/>
        <w:adjustRightInd w:val="0"/>
        <w:rPr>
          <w:rFonts w:ascii="Times New Roman" w:hAnsi="Times New Roman" w:eastAsia="黑体" w:cs="Times New Roman"/>
          <w:kern w:val="0"/>
          <w:sz w:val="10"/>
          <w:szCs w:val="10"/>
        </w:rPr>
      </w:pPr>
    </w:p>
    <w:bookmarkEnd w:id="0"/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autoSpaceDE w:val="0"/>
        <w:autoSpaceDN w:val="0"/>
        <w:adjustRightInd w:val="0"/>
        <w:spacing w:line="594" w:lineRule="exact"/>
        <w:ind w:firstLine="560"/>
        <w:jc w:val="left"/>
        <w:rPr>
          <w:rFonts w:ascii="Times New Roman" w:hAnsi="Times New Roman" w:eastAsia="黑体" w:cs="Times New Roman"/>
          <w:kern w:val="0"/>
          <w:sz w:val="28"/>
          <w:szCs w:val="28"/>
        </w:rPr>
      </w:pPr>
      <w:r>
        <w:rPr>
          <w:rFonts w:ascii="Times New Roman" w:hAnsi="Times New Roman" w:eastAsia="黑体" w:cs="Times New Roman"/>
          <w:kern w:val="0"/>
          <w:sz w:val="28"/>
          <w:szCs w:val="28"/>
        </w:rPr>
        <w:t>本规范主要起草人：</w:t>
      </w:r>
    </w:p>
    <w:p>
      <w:pPr>
        <w:autoSpaceDE w:val="0"/>
        <w:autoSpaceDN w:val="0"/>
        <w:adjustRightInd w:val="0"/>
        <w:spacing w:line="594" w:lineRule="exact"/>
        <w:ind w:firstLine="1400" w:firstLineChars="50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cs="宋体"/>
          <w:color w:val="000000"/>
          <w:sz w:val="28"/>
          <w:szCs w:val="28"/>
        </w:rPr>
        <w:t>李  洋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 （</w:t>
      </w:r>
      <w:r>
        <w:rPr>
          <w:rFonts w:ascii="Times New Roman" w:hAnsi="Times New Roman" w:cs="Times New Roman"/>
          <w:color w:val="000000"/>
          <w:kern w:val="0"/>
          <w:sz w:val="28"/>
        </w:rPr>
        <w:t>长春市计量检定测试技术研究院</w:t>
      </w:r>
      <w:r>
        <w:rPr>
          <w:rFonts w:ascii="Times New Roman" w:hAnsi="Times New Roman" w:cs="Times New Roman"/>
          <w:kern w:val="0"/>
          <w:sz w:val="28"/>
          <w:szCs w:val="28"/>
        </w:rPr>
        <w:t>）</w:t>
      </w:r>
    </w:p>
    <w:p>
      <w:pPr>
        <w:autoSpaceDE w:val="0"/>
        <w:autoSpaceDN w:val="0"/>
        <w:adjustRightInd w:val="0"/>
        <w:spacing w:line="594" w:lineRule="exact"/>
        <w:ind w:firstLine="1400" w:firstLineChars="50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cs="宋体"/>
          <w:color w:val="000000"/>
          <w:sz w:val="28"/>
          <w:szCs w:val="28"/>
        </w:rPr>
        <w:t>段长江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 （</w:t>
      </w:r>
      <w:r>
        <w:rPr>
          <w:rFonts w:ascii="Times New Roman" w:hAnsi="Times New Roman" w:cs="Times New Roman"/>
          <w:color w:val="000000"/>
          <w:kern w:val="0"/>
          <w:sz w:val="28"/>
        </w:rPr>
        <w:t>长春市计量检定测试技术研究院</w:t>
      </w:r>
      <w:r>
        <w:rPr>
          <w:rFonts w:ascii="Times New Roman" w:hAnsi="Times New Roman" w:cs="Times New Roman"/>
          <w:kern w:val="0"/>
          <w:sz w:val="28"/>
          <w:szCs w:val="28"/>
        </w:rPr>
        <w:t>）</w:t>
      </w:r>
    </w:p>
    <w:p>
      <w:pPr>
        <w:autoSpaceDE w:val="0"/>
        <w:autoSpaceDN w:val="0"/>
        <w:adjustRightInd w:val="0"/>
        <w:spacing w:line="594" w:lineRule="exact"/>
        <w:ind w:firstLine="1400" w:firstLineChars="50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刘珍池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kern w:val="0"/>
          <w:sz w:val="28"/>
          <w:szCs w:val="28"/>
        </w:rPr>
        <w:t>（</w:t>
      </w:r>
      <w:r>
        <w:rPr>
          <w:rFonts w:hint="eastAsia" w:ascii="Times New Roman" w:hAnsi="Times New Roman" w:cs="Times New Roman"/>
          <w:color w:val="000000"/>
          <w:kern w:val="0"/>
          <w:sz w:val="28"/>
        </w:rPr>
        <w:t>吉林省计量科学</w:t>
      </w:r>
      <w:r>
        <w:rPr>
          <w:rFonts w:ascii="Times New Roman" w:hAnsi="Times New Roman" w:cs="Times New Roman"/>
          <w:color w:val="000000"/>
          <w:kern w:val="0"/>
          <w:sz w:val="28"/>
        </w:rPr>
        <w:t>研究院</w:t>
      </w:r>
      <w:r>
        <w:rPr>
          <w:rFonts w:ascii="Times New Roman" w:hAnsi="Times New Roman" w:cs="Times New Roman"/>
          <w:kern w:val="0"/>
          <w:sz w:val="28"/>
          <w:szCs w:val="28"/>
        </w:rPr>
        <w:t>）</w:t>
      </w:r>
    </w:p>
    <w:p>
      <w:pPr>
        <w:autoSpaceDE w:val="0"/>
        <w:autoSpaceDN w:val="0"/>
        <w:adjustRightInd w:val="0"/>
        <w:spacing w:line="594" w:lineRule="exact"/>
        <w:ind w:firstLine="1400" w:firstLineChars="50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高晓波  （</w:t>
      </w:r>
      <w:r>
        <w:rPr>
          <w:rFonts w:ascii="Times New Roman" w:hAnsi="Times New Roman" w:cs="Times New Roman"/>
          <w:color w:val="000000"/>
          <w:kern w:val="0"/>
          <w:sz w:val="28"/>
        </w:rPr>
        <w:t>长春市计量检定测试技术研究院</w:t>
      </w:r>
      <w:r>
        <w:rPr>
          <w:rFonts w:ascii="Times New Roman" w:hAnsi="Times New Roman" w:cs="Times New Roman"/>
          <w:kern w:val="0"/>
          <w:sz w:val="28"/>
          <w:szCs w:val="28"/>
        </w:rPr>
        <w:t>）</w:t>
      </w:r>
    </w:p>
    <w:p>
      <w:pPr>
        <w:autoSpaceDE w:val="0"/>
        <w:autoSpaceDN w:val="0"/>
        <w:adjustRightInd w:val="0"/>
        <w:spacing w:line="594" w:lineRule="exact"/>
        <w:ind w:firstLine="1400" w:firstLineChars="500"/>
        <w:rPr>
          <w:rFonts w:ascii="Times New Roman" w:hAnsi="Times New Roman" w:eastAsia="黑体" w:cs="Times New Roman"/>
          <w:sz w:val="28"/>
        </w:rPr>
      </w:pPr>
      <w:r>
        <w:rPr>
          <w:rFonts w:ascii="Times New Roman" w:hAnsi="Times New Roman" w:eastAsia="黑体" w:cs="Times New Roman"/>
          <w:sz w:val="28"/>
        </w:rPr>
        <w:t>参加起草人：</w:t>
      </w:r>
    </w:p>
    <w:p>
      <w:pPr>
        <w:autoSpaceDE w:val="0"/>
        <w:autoSpaceDN w:val="0"/>
        <w:adjustRightInd w:val="0"/>
        <w:spacing w:line="594" w:lineRule="exact"/>
        <w:ind w:firstLine="1416" w:firstLineChars="506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左克文  </w:t>
      </w:r>
      <w:r>
        <w:rPr>
          <w:rFonts w:ascii="Times New Roman" w:hAnsi="Times New Roman" w:cs="Times New Roman"/>
          <w:kern w:val="0"/>
          <w:sz w:val="28"/>
          <w:szCs w:val="28"/>
        </w:rPr>
        <w:t>（</w:t>
      </w:r>
      <w:r>
        <w:rPr>
          <w:rFonts w:ascii="Times New Roman" w:hAnsi="Times New Roman" w:cs="Times New Roman"/>
          <w:color w:val="000000"/>
          <w:kern w:val="0"/>
          <w:sz w:val="28"/>
        </w:rPr>
        <w:t>长春市计量检定测试技术研究院</w:t>
      </w:r>
      <w:r>
        <w:rPr>
          <w:rFonts w:ascii="Times New Roman" w:hAnsi="Times New Roman" w:cs="Times New Roman"/>
          <w:kern w:val="0"/>
          <w:sz w:val="28"/>
          <w:szCs w:val="28"/>
        </w:rPr>
        <w:t>）</w:t>
      </w:r>
    </w:p>
    <w:p>
      <w:pPr>
        <w:autoSpaceDE w:val="0"/>
        <w:autoSpaceDN w:val="0"/>
        <w:adjustRightInd w:val="0"/>
        <w:spacing w:line="594" w:lineRule="exact"/>
        <w:ind w:firstLine="1416" w:firstLineChars="506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郭继光  </w:t>
      </w:r>
      <w:r>
        <w:rPr>
          <w:rFonts w:ascii="Times New Roman" w:hAnsi="Times New Roman" w:cs="Times New Roman"/>
          <w:kern w:val="0"/>
          <w:sz w:val="28"/>
          <w:szCs w:val="28"/>
        </w:rPr>
        <w:t>（</w:t>
      </w:r>
      <w:r>
        <w:rPr>
          <w:rFonts w:ascii="Times New Roman" w:hAnsi="Times New Roman" w:cs="Times New Roman"/>
          <w:color w:val="000000"/>
          <w:kern w:val="0"/>
          <w:sz w:val="28"/>
        </w:rPr>
        <w:t>长春市计量检定测试技术研究院</w:t>
      </w:r>
      <w:r>
        <w:rPr>
          <w:rFonts w:ascii="Times New Roman" w:hAnsi="Times New Roman" w:cs="Times New Roman"/>
          <w:kern w:val="0"/>
          <w:sz w:val="28"/>
          <w:szCs w:val="28"/>
        </w:rPr>
        <w:t>）</w:t>
      </w:r>
    </w:p>
    <w:p>
      <w:pPr>
        <w:autoSpaceDE w:val="0"/>
        <w:autoSpaceDN w:val="0"/>
        <w:adjustRightInd w:val="0"/>
        <w:spacing w:line="594" w:lineRule="exact"/>
        <w:ind w:firstLine="1400" w:firstLineChars="500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韩大勇  （</w:t>
      </w:r>
      <w:r>
        <w:rPr>
          <w:rFonts w:ascii="Times New Roman" w:hAnsi="Times New Roman" w:cs="Times New Roman"/>
          <w:color w:val="000000"/>
          <w:kern w:val="0"/>
          <w:sz w:val="28"/>
        </w:rPr>
        <w:t>长春市计量检定测试技术研究院</w:t>
      </w:r>
      <w:r>
        <w:rPr>
          <w:rFonts w:ascii="Times New Roman" w:hAnsi="Times New Roman" w:cs="Times New Roman"/>
          <w:kern w:val="0"/>
          <w:sz w:val="28"/>
          <w:szCs w:val="28"/>
        </w:rPr>
        <w:t>）</w:t>
      </w:r>
    </w:p>
    <w:p>
      <w:pPr>
        <w:autoSpaceDE w:val="0"/>
        <w:autoSpaceDN w:val="0"/>
        <w:adjustRightInd w:val="0"/>
        <w:spacing w:line="594" w:lineRule="exact"/>
        <w:ind w:firstLine="1400" w:firstLineChars="500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李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kern w:val="0"/>
          <w:sz w:val="28"/>
          <w:szCs w:val="28"/>
        </w:rPr>
        <w:t>博  （</w:t>
      </w:r>
      <w:r>
        <w:rPr>
          <w:rFonts w:ascii="Times New Roman" w:hAnsi="Times New Roman" w:cs="Times New Roman"/>
          <w:color w:val="000000"/>
          <w:kern w:val="0"/>
          <w:sz w:val="28"/>
        </w:rPr>
        <w:t>长春市计量检定测试技术研究院</w:t>
      </w:r>
      <w:r>
        <w:rPr>
          <w:rFonts w:ascii="Times New Roman" w:hAnsi="Times New Roman" w:cs="Times New Roman"/>
          <w:kern w:val="0"/>
          <w:sz w:val="28"/>
          <w:szCs w:val="28"/>
        </w:rPr>
        <w:t>）</w:t>
      </w:r>
    </w:p>
    <w:p>
      <w:pPr>
        <w:autoSpaceDE w:val="0"/>
        <w:autoSpaceDN w:val="0"/>
        <w:adjustRightInd w:val="0"/>
        <w:spacing w:line="594" w:lineRule="exact"/>
        <w:ind w:firstLine="1400" w:firstLineChars="500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郝入锦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kern w:val="0"/>
          <w:sz w:val="28"/>
          <w:szCs w:val="28"/>
        </w:rPr>
        <w:t>（</w:t>
      </w:r>
      <w:r>
        <w:rPr>
          <w:rFonts w:ascii="Times New Roman" w:hAnsi="Times New Roman" w:cs="Times New Roman"/>
          <w:color w:val="000000"/>
          <w:kern w:val="0"/>
          <w:sz w:val="28"/>
        </w:rPr>
        <w:t>长春市计量检定测试技术研究院</w:t>
      </w:r>
      <w:r>
        <w:rPr>
          <w:rFonts w:ascii="Times New Roman" w:hAnsi="Times New Roman" w:cs="Times New Roman"/>
          <w:kern w:val="0"/>
          <w:sz w:val="28"/>
          <w:szCs w:val="28"/>
        </w:rPr>
        <w:t>）</w:t>
      </w:r>
    </w:p>
    <w:p>
      <w:pPr>
        <w:autoSpaceDE w:val="0"/>
        <w:autoSpaceDN w:val="0"/>
        <w:adjustRightInd w:val="0"/>
        <w:spacing w:line="594" w:lineRule="exact"/>
        <w:ind w:firstLine="1400" w:firstLineChars="500"/>
        <w:rPr>
          <w:rFonts w:ascii="Times New Roman" w:hAnsi="Times New Roman" w:cs="Times New Roman"/>
          <w:kern w:val="0"/>
          <w:sz w:val="28"/>
          <w:szCs w:val="28"/>
        </w:rPr>
        <w:sectPr>
          <w:headerReference r:id="rId6" w:type="default"/>
          <w:footerReference r:id="rId7" w:type="default"/>
          <w:pgSz w:w="11906" w:h="16838"/>
          <w:pgMar w:top="1134" w:right="1134" w:bottom="1134" w:left="1134" w:header="851" w:footer="992" w:gutter="0"/>
          <w:pgNumType w:fmt="upperRoman" w:start="1"/>
          <w:cols w:space="425" w:num="1"/>
          <w:docGrid w:linePitch="312" w:charSpace="0"/>
        </w:sect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 xml:space="preserve">滕紫龙  </w:t>
      </w:r>
      <w:r>
        <w:rPr>
          <w:rFonts w:ascii="Times New Roman" w:hAnsi="Times New Roman" w:cs="Times New Roman"/>
          <w:kern w:val="0"/>
          <w:sz w:val="28"/>
          <w:szCs w:val="28"/>
        </w:rPr>
        <w:t>（</w:t>
      </w:r>
      <w:r>
        <w:rPr>
          <w:rFonts w:ascii="Times New Roman" w:hAnsi="Times New Roman" w:cs="Times New Roman"/>
          <w:color w:val="000000"/>
          <w:kern w:val="0"/>
          <w:sz w:val="28"/>
        </w:rPr>
        <w:t>长春市计量检定测试技术研究院</w:t>
      </w:r>
      <w:r>
        <w:rPr>
          <w:rFonts w:ascii="Times New Roman" w:hAnsi="Times New Roman" w:cs="Times New Roman"/>
          <w:kern w:val="0"/>
          <w:sz w:val="28"/>
          <w:szCs w:val="28"/>
        </w:rPr>
        <w:t>）</w:t>
      </w:r>
    </w:p>
    <w:p>
      <w:pPr>
        <w:ind w:left="480"/>
        <w:rPr>
          <w:rFonts w:ascii="Times New Roman" w:hAnsi="Times New Roman" w:cs="Times New Roman"/>
        </w:rPr>
      </w:pPr>
      <w:bookmarkStart w:id="1" w:name="_Toc496642768"/>
    </w:p>
    <w:p>
      <w:pPr>
        <w:widowControl/>
        <w:jc w:val="left"/>
        <w:rPr>
          <w:rFonts w:ascii="黑体" w:hAnsi="黑体" w:eastAsia="黑体" w:cs="Times New Roman"/>
          <w:sz w:val="44"/>
          <w:szCs w:val="44"/>
        </w:rPr>
      </w:pPr>
      <w:bookmarkStart w:id="2" w:name="_Toc511807125"/>
      <w:bookmarkStart w:id="3" w:name="_Toc511806822"/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</w:t>
      </w:r>
      <w:r>
        <w:rPr>
          <w:rFonts w:hint="eastAsia" w:ascii="黑体" w:hAnsi="黑体" w:eastAsia="黑体" w:cs="Times New Roman"/>
          <w:sz w:val="44"/>
          <w:szCs w:val="44"/>
        </w:rPr>
        <w:t xml:space="preserve">目 </w:t>
      </w:r>
      <w:r>
        <w:rPr>
          <w:rFonts w:ascii="黑体" w:hAnsi="黑体" w:eastAsia="黑体" w:cs="Times New Roman"/>
          <w:sz w:val="44"/>
          <w:szCs w:val="44"/>
        </w:rPr>
        <w:t xml:space="preserve"> </w:t>
      </w:r>
      <w:r>
        <w:rPr>
          <w:rFonts w:hint="eastAsia" w:ascii="黑体" w:hAnsi="黑体" w:eastAsia="黑体" w:cs="Times New Roman"/>
          <w:sz w:val="44"/>
          <w:szCs w:val="44"/>
        </w:rPr>
        <w:t>录</w:t>
      </w:r>
    </w:p>
    <w:p>
      <w:pPr>
        <w:widowControl/>
        <w:jc w:val="left"/>
        <w:rPr>
          <w:rFonts w:ascii="黑体" w:hAnsi="黑体" w:eastAsia="黑体" w:cs="Times New Roman"/>
          <w:sz w:val="44"/>
          <w:szCs w:val="44"/>
        </w:rPr>
      </w:pP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引言</w:t>
      </w:r>
      <w:r>
        <w:rPr>
          <w:rFonts w:ascii="宋体" w:hAnsi="宋体" w:eastAsia="宋体" w:cs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</w:rPr>
        <w:t>（I</w:t>
      </w:r>
      <w:r>
        <w:rPr>
          <w:rFonts w:ascii="宋体" w:hAnsi="宋体" w:eastAsia="宋体" w:cs="Times New Roman"/>
          <w:sz w:val="24"/>
          <w:szCs w:val="24"/>
        </w:rPr>
        <w:t>I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 xml:space="preserve">1 </w:t>
      </w:r>
      <w:r>
        <w:rPr>
          <w:rFonts w:hint="eastAsia" w:ascii="宋体" w:hAnsi="宋体" w:eastAsia="宋体" w:cs="Times New Roman"/>
          <w:sz w:val="24"/>
          <w:szCs w:val="24"/>
        </w:rPr>
        <w:t>范围</w:t>
      </w:r>
      <w:r>
        <w:rPr>
          <w:rFonts w:ascii="宋体" w:hAnsi="宋体" w:eastAsia="宋体" w:cs="Times New Roman"/>
          <w:sz w:val="24"/>
          <w:szCs w:val="24"/>
        </w:rPr>
        <w:t>………………………………………………………………………………………………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</w:rPr>
        <w:t>（1）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  <w:highlight w:val="none"/>
        </w:rPr>
      </w:pPr>
      <w:r>
        <w:rPr>
          <w:rFonts w:ascii="宋体" w:hAnsi="宋体" w:eastAsia="宋体" w:cs="Times New Roman"/>
          <w:sz w:val="24"/>
          <w:szCs w:val="24"/>
          <w:highlight w:val="none"/>
        </w:rPr>
        <w:t xml:space="preserve">2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引用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文件</w:t>
      </w:r>
      <w:r>
        <w:rPr>
          <w:rFonts w:ascii="宋体" w:hAnsi="宋体" w:eastAsia="宋体" w:cs="Times New Roman"/>
          <w:sz w:val="24"/>
          <w:szCs w:val="24"/>
          <w:highlight w:val="none"/>
        </w:rPr>
        <w:t>…………………………………………………………………………………………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（</w:t>
      </w:r>
      <w:r>
        <w:rPr>
          <w:rFonts w:ascii="宋体" w:hAnsi="宋体" w:eastAsia="宋体" w:cs="Times New Roman"/>
          <w:sz w:val="24"/>
          <w:szCs w:val="24"/>
          <w:highlight w:val="none"/>
        </w:rPr>
        <w:t>1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3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概述</w:t>
      </w:r>
      <w:r>
        <w:rPr>
          <w:rFonts w:ascii="宋体" w:hAnsi="宋体" w:eastAsia="宋体" w:cs="Times New Roman"/>
          <w:sz w:val="24"/>
          <w:szCs w:val="24"/>
          <w:highlight w:val="none"/>
        </w:rPr>
        <w:t>………………………………………………………………………………………………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（</w:t>
      </w:r>
      <w:r>
        <w:rPr>
          <w:rFonts w:ascii="宋体" w:hAnsi="宋体" w:eastAsia="宋体" w:cs="Times New Roman"/>
          <w:sz w:val="24"/>
          <w:szCs w:val="24"/>
          <w:highlight w:val="none"/>
        </w:rPr>
        <w:t>1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）</w:t>
      </w:r>
    </w:p>
    <w:p>
      <w:pPr>
        <w:widowControl/>
        <w:spacing w:line="360" w:lineRule="auto"/>
        <w:jc w:val="distribute"/>
        <w:rPr>
          <w:rFonts w:hint="eastAsia"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4</w:t>
      </w:r>
      <w:r>
        <w:rPr>
          <w:rFonts w:ascii="宋体" w:hAnsi="宋体" w:eastAsia="宋体" w:cs="Times New Roman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计量特性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和报警功能</w:t>
      </w:r>
      <w:r>
        <w:rPr>
          <w:rFonts w:ascii="宋体" w:hAnsi="宋体" w:eastAsia="宋体" w:cs="Times New Roman"/>
          <w:sz w:val="24"/>
          <w:szCs w:val="24"/>
          <w:highlight w:val="none"/>
        </w:rPr>
        <w:t>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（</w:t>
      </w:r>
      <w:r>
        <w:rPr>
          <w:rFonts w:ascii="宋体" w:hAnsi="宋体" w:eastAsia="宋体" w:cs="Times New Roman"/>
          <w:sz w:val="24"/>
          <w:szCs w:val="24"/>
          <w:highlight w:val="none"/>
        </w:rPr>
        <w:t>1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4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  <w:t>.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1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计量特性</w:t>
      </w:r>
      <w:r>
        <w:rPr>
          <w:rFonts w:ascii="宋体" w:hAnsi="宋体" w:eastAsia="宋体" w:cs="Times New Roman"/>
          <w:sz w:val="24"/>
          <w:szCs w:val="24"/>
          <w:highlight w:val="none"/>
        </w:rPr>
        <w:t>………………………………………………………………………………………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（</w:t>
      </w:r>
      <w:r>
        <w:rPr>
          <w:rFonts w:ascii="宋体" w:hAnsi="宋体" w:eastAsia="宋体" w:cs="Times New Roman"/>
          <w:sz w:val="24"/>
          <w:szCs w:val="24"/>
          <w:highlight w:val="none"/>
        </w:rPr>
        <w:t>1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4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  <w:t>.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2 报警功能</w:t>
      </w:r>
      <w:r>
        <w:rPr>
          <w:rFonts w:ascii="宋体" w:hAnsi="宋体" w:eastAsia="宋体" w:cs="Times New Roman"/>
          <w:sz w:val="24"/>
          <w:szCs w:val="24"/>
          <w:highlight w:val="none"/>
        </w:rPr>
        <w:t>………………………………………………………………………………………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（</w:t>
      </w:r>
      <w:r>
        <w:rPr>
          <w:rFonts w:ascii="宋体" w:hAnsi="宋体" w:eastAsia="宋体" w:cs="Times New Roman"/>
          <w:sz w:val="24"/>
          <w:szCs w:val="24"/>
          <w:highlight w:val="none"/>
        </w:rPr>
        <w:t>1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 xml:space="preserve">5 </w:t>
      </w:r>
      <w:r>
        <w:rPr>
          <w:rFonts w:hint="eastAsia" w:ascii="宋体" w:hAnsi="宋体" w:eastAsia="宋体" w:cs="Times New Roman"/>
          <w:sz w:val="24"/>
          <w:szCs w:val="24"/>
        </w:rPr>
        <w:t>校准条件</w:t>
      </w:r>
      <w:r>
        <w:rPr>
          <w:rFonts w:ascii="宋体" w:hAnsi="宋体" w:eastAsia="宋体" w:cs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</w:rPr>
        <w:t>（</w:t>
      </w:r>
      <w:r>
        <w:rPr>
          <w:rFonts w:ascii="宋体" w:hAnsi="宋体" w:eastAsia="宋体" w:cs="Times New Roman"/>
          <w:sz w:val="24"/>
          <w:szCs w:val="24"/>
        </w:rPr>
        <w:t>2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 xml:space="preserve">5.1 </w:t>
      </w:r>
      <w:r>
        <w:rPr>
          <w:rFonts w:hint="eastAsia" w:ascii="宋体" w:hAnsi="宋体" w:eastAsia="宋体" w:cs="Times New Roman"/>
          <w:sz w:val="24"/>
          <w:szCs w:val="24"/>
        </w:rPr>
        <w:t>校准环境条件</w:t>
      </w:r>
      <w:r>
        <w:rPr>
          <w:rFonts w:ascii="宋体" w:hAnsi="宋体" w:eastAsia="宋体" w:cs="Times New Roman"/>
          <w:sz w:val="24"/>
          <w:szCs w:val="24"/>
        </w:rPr>
        <w:t>…………………………………………………………………………………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</w:rPr>
        <w:t>（</w:t>
      </w:r>
      <w:r>
        <w:rPr>
          <w:rFonts w:ascii="宋体" w:hAnsi="宋体" w:eastAsia="宋体" w:cs="Times New Roman"/>
          <w:sz w:val="24"/>
          <w:szCs w:val="24"/>
        </w:rPr>
        <w:t>2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5.2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>校准用计量器具及配套设备</w:t>
      </w:r>
      <w:r>
        <w:rPr>
          <w:rFonts w:ascii="宋体" w:hAnsi="宋体" w:eastAsia="宋体" w:cs="Times New Roman"/>
          <w:sz w:val="24"/>
          <w:szCs w:val="24"/>
        </w:rPr>
        <w:t>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</w:rPr>
        <w:t>（</w:t>
      </w:r>
      <w:r>
        <w:rPr>
          <w:rFonts w:ascii="宋体" w:hAnsi="宋体" w:eastAsia="宋体" w:cs="Times New Roman"/>
          <w:sz w:val="24"/>
          <w:szCs w:val="24"/>
        </w:rPr>
        <w:t>2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 xml:space="preserve">6 </w:t>
      </w:r>
      <w:r>
        <w:rPr>
          <w:rFonts w:hint="eastAsia" w:ascii="宋体" w:hAnsi="宋体" w:eastAsia="宋体" w:cs="Times New Roman"/>
          <w:sz w:val="24"/>
          <w:szCs w:val="24"/>
        </w:rPr>
        <w:t>校准项目和校准方法</w:t>
      </w:r>
      <w:r>
        <w:rPr>
          <w:rFonts w:ascii="宋体" w:hAnsi="宋体" w:eastAsia="宋体" w:cs="Times New Roman"/>
          <w:sz w:val="24"/>
          <w:szCs w:val="24"/>
        </w:rPr>
        <w:t>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</w:rPr>
        <w:t>（</w:t>
      </w:r>
      <w:r>
        <w:rPr>
          <w:rFonts w:ascii="宋体" w:hAnsi="宋体" w:eastAsia="宋体" w:cs="Times New Roman"/>
          <w:sz w:val="24"/>
          <w:szCs w:val="24"/>
        </w:rPr>
        <w:t>2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 xml:space="preserve">6.1 </w:t>
      </w:r>
      <w:r>
        <w:rPr>
          <w:rFonts w:hint="eastAsia" w:ascii="宋体" w:hAnsi="宋体" w:eastAsia="宋体" w:cs="Times New Roman"/>
          <w:sz w:val="24"/>
          <w:szCs w:val="24"/>
        </w:rPr>
        <w:t>仪器的调整</w:t>
      </w:r>
      <w:r>
        <w:rPr>
          <w:rFonts w:ascii="宋体" w:hAnsi="宋体" w:eastAsia="宋体" w:cs="Times New Roman"/>
          <w:sz w:val="24"/>
          <w:szCs w:val="24"/>
        </w:rPr>
        <w:t>……………………………………………………………………………………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</w:rPr>
        <w:t>（</w:t>
      </w:r>
      <w:r>
        <w:rPr>
          <w:rFonts w:ascii="宋体" w:hAnsi="宋体" w:eastAsia="宋体" w:cs="Times New Roman"/>
          <w:sz w:val="24"/>
          <w:szCs w:val="24"/>
        </w:rPr>
        <w:t>2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6.2</w:t>
      </w:r>
      <w:r>
        <w:rPr>
          <w:rFonts w:hint="eastAsia" w:ascii="宋体" w:hAnsi="宋体" w:eastAsia="宋体" w:cs="Times New Roman"/>
          <w:sz w:val="24"/>
          <w:szCs w:val="24"/>
        </w:rPr>
        <w:t>示值误差</w:t>
      </w:r>
      <w:r>
        <w:rPr>
          <w:rFonts w:ascii="宋体" w:hAnsi="宋体" w:eastAsia="宋体" w:cs="Times New Roman"/>
          <w:sz w:val="24"/>
          <w:szCs w:val="24"/>
        </w:rPr>
        <w:t>………………………………………………………………………………………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</w:rPr>
        <w:t>（</w:t>
      </w:r>
      <w:r>
        <w:rPr>
          <w:rFonts w:ascii="宋体" w:hAnsi="宋体" w:eastAsia="宋体" w:cs="Times New Roman"/>
          <w:sz w:val="24"/>
          <w:szCs w:val="24"/>
        </w:rPr>
        <w:t>3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 xml:space="preserve">6.3 </w:t>
      </w:r>
      <w:r>
        <w:rPr>
          <w:rFonts w:hint="eastAsia" w:ascii="宋体" w:hAnsi="宋体" w:eastAsia="宋体" w:cs="Times New Roman"/>
          <w:sz w:val="24"/>
          <w:szCs w:val="24"/>
        </w:rPr>
        <w:t>重复性</w:t>
      </w:r>
      <w:r>
        <w:rPr>
          <w:rFonts w:ascii="宋体" w:hAnsi="宋体" w:eastAsia="宋体" w:cs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</w:rPr>
        <w:t>（3）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 xml:space="preserve">6.4 </w:t>
      </w:r>
      <w:r>
        <w:rPr>
          <w:rFonts w:hint="eastAsia" w:ascii="宋体" w:hAnsi="宋体" w:eastAsia="宋体" w:cs="Times New Roman"/>
          <w:sz w:val="24"/>
          <w:szCs w:val="24"/>
        </w:rPr>
        <w:t>响应时间</w:t>
      </w:r>
      <w:r>
        <w:rPr>
          <w:rFonts w:ascii="宋体" w:hAnsi="宋体" w:eastAsia="宋体" w:cs="Times New Roman"/>
          <w:sz w:val="24"/>
          <w:szCs w:val="24"/>
        </w:rPr>
        <w:t>………………………………………………………………………………………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</w:rPr>
        <w:t>（4）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 xml:space="preserve">6.5 </w:t>
      </w:r>
      <w:r>
        <w:rPr>
          <w:rFonts w:hint="eastAsia" w:ascii="宋体" w:hAnsi="宋体" w:eastAsia="宋体" w:cs="Times New Roman"/>
          <w:sz w:val="24"/>
          <w:szCs w:val="24"/>
        </w:rPr>
        <w:t>报警功能</w:t>
      </w:r>
      <w:r>
        <w:rPr>
          <w:rFonts w:ascii="宋体" w:hAnsi="宋体" w:eastAsia="宋体" w:cs="Times New Roman"/>
          <w:sz w:val="24"/>
          <w:szCs w:val="24"/>
        </w:rPr>
        <w:t>………………………………………………………………………………………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</w:rPr>
        <w:t>（</w:t>
      </w:r>
      <w:r>
        <w:rPr>
          <w:rFonts w:ascii="宋体" w:hAnsi="宋体" w:eastAsia="宋体" w:cs="Times New Roman"/>
          <w:sz w:val="24"/>
          <w:szCs w:val="24"/>
        </w:rPr>
        <w:t>4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 xml:space="preserve">6.6 </w:t>
      </w:r>
      <w:r>
        <w:rPr>
          <w:rFonts w:hint="eastAsia" w:ascii="宋体" w:hAnsi="宋体" w:eastAsia="宋体" w:cs="Times New Roman"/>
          <w:sz w:val="24"/>
          <w:szCs w:val="24"/>
        </w:rPr>
        <w:t>漂移</w:t>
      </w:r>
      <w:r>
        <w:rPr>
          <w:rFonts w:ascii="宋体" w:hAnsi="宋体" w:eastAsia="宋体" w:cs="Times New Roman"/>
          <w:sz w:val="24"/>
          <w:szCs w:val="24"/>
        </w:rPr>
        <w:t>……………………………………………………………………………………………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</w:rPr>
        <w:t>（</w:t>
      </w:r>
      <w:r>
        <w:rPr>
          <w:rFonts w:ascii="宋体" w:hAnsi="宋体" w:eastAsia="宋体" w:cs="Times New Roman"/>
          <w:sz w:val="24"/>
          <w:szCs w:val="24"/>
        </w:rPr>
        <w:t>4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 xml:space="preserve">7 </w:t>
      </w:r>
      <w:r>
        <w:rPr>
          <w:rFonts w:hint="eastAsia" w:ascii="宋体" w:hAnsi="宋体" w:eastAsia="宋体" w:cs="Times New Roman"/>
          <w:sz w:val="24"/>
          <w:szCs w:val="24"/>
        </w:rPr>
        <w:t>校准结果表达</w:t>
      </w:r>
      <w:r>
        <w:rPr>
          <w:rFonts w:ascii="宋体" w:hAnsi="宋体" w:eastAsia="宋体" w:cs="Times New Roman"/>
          <w:sz w:val="24"/>
          <w:szCs w:val="24"/>
        </w:rPr>
        <w:t>……………………………………………………………………………………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</w:rPr>
        <w:t>（4）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 xml:space="preserve">8 </w:t>
      </w:r>
      <w:r>
        <w:rPr>
          <w:rFonts w:hint="eastAsia" w:ascii="宋体" w:hAnsi="宋体" w:eastAsia="宋体" w:cs="Times New Roman"/>
          <w:sz w:val="24"/>
          <w:szCs w:val="24"/>
        </w:rPr>
        <w:t>复校时间间隔</w:t>
      </w:r>
      <w:r>
        <w:rPr>
          <w:rFonts w:ascii="宋体" w:hAnsi="宋体" w:eastAsia="宋体" w:cs="Times New Roman"/>
          <w:sz w:val="24"/>
          <w:szCs w:val="24"/>
        </w:rPr>
        <w:t>……………………………………………………………………………………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</w:rPr>
        <w:t>（</w:t>
      </w:r>
      <w:r>
        <w:rPr>
          <w:rFonts w:ascii="宋体" w:hAnsi="宋体" w:eastAsia="宋体" w:cs="Times New Roman"/>
          <w:sz w:val="24"/>
          <w:szCs w:val="24"/>
        </w:rPr>
        <w:t>5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附录A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>校准记录格式</w:t>
      </w:r>
      <w:r>
        <w:rPr>
          <w:rFonts w:ascii="宋体" w:hAnsi="宋体" w:eastAsia="宋体" w:cs="Times New Roman"/>
          <w:sz w:val="24"/>
          <w:szCs w:val="24"/>
        </w:rPr>
        <w:t>……………………………………………………………………………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</w:rPr>
        <w:t>（</w:t>
      </w:r>
      <w:r>
        <w:rPr>
          <w:rFonts w:ascii="宋体" w:hAnsi="宋体" w:eastAsia="宋体" w:cs="Times New Roman"/>
          <w:sz w:val="24"/>
          <w:szCs w:val="24"/>
        </w:rPr>
        <w:t>6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附录B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>校准证书内页格式</w:t>
      </w:r>
      <w:r>
        <w:rPr>
          <w:rFonts w:ascii="宋体" w:hAnsi="宋体" w:eastAsia="宋体" w:cs="Times New Roman"/>
          <w:sz w:val="24"/>
          <w:szCs w:val="24"/>
        </w:rPr>
        <w:t>………………………………………………………………………</w:t>
      </w:r>
      <w:r>
        <w:rPr>
          <w:rFonts w:hint="eastAsia" w:ascii="宋体" w:hAnsi="宋体" w:eastAsia="宋体" w:cs="Times New Roman"/>
          <w:sz w:val="24"/>
          <w:szCs w:val="24"/>
        </w:rPr>
        <w:t>（</w:t>
      </w:r>
      <w:r>
        <w:rPr>
          <w:rFonts w:ascii="宋体" w:hAnsi="宋体" w:eastAsia="宋体" w:cs="Times New Roman"/>
          <w:sz w:val="24"/>
          <w:szCs w:val="24"/>
        </w:rPr>
        <w:t>7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</w:p>
    <w:p>
      <w:pPr>
        <w:widowControl/>
        <w:spacing w:line="360" w:lineRule="auto"/>
        <w:jc w:val="distribute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附录C</w:t>
      </w:r>
      <w:r>
        <w:rPr>
          <w:rFonts w:ascii="宋体" w:hAnsi="宋体" w:eastAsia="宋体" w:cs="Times New Roman"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sz w:val="24"/>
          <w:szCs w:val="24"/>
        </w:rPr>
        <w:t>氟化氢气体检测报警器示值误差测量结果的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不确定度评定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示例）</w:t>
      </w:r>
      <w:r>
        <w:rPr>
          <w:rFonts w:ascii="宋体" w:hAnsi="宋体" w:eastAsia="宋体" w:cs="Times New Roman"/>
          <w:sz w:val="24"/>
          <w:szCs w:val="24"/>
        </w:rPr>
        <w:t>………………</w:t>
      </w:r>
      <w:r>
        <w:rPr>
          <w:rFonts w:hint="eastAsia" w:ascii="宋体" w:hAnsi="宋体" w:eastAsia="宋体" w:cs="Times New Roman"/>
          <w:sz w:val="24"/>
          <w:szCs w:val="24"/>
        </w:rPr>
        <w:t>（</w:t>
      </w:r>
      <w:r>
        <w:rPr>
          <w:rFonts w:ascii="宋体" w:hAnsi="宋体" w:eastAsia="宋体" w:cs="Times New Roman"/>
          <w:sz w:val="24"/>
          <w:szCs w:val="24"/>
        </w:rPr>
        <w:t>8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</w:p>
    <w:p>
      <w:pPr>
        <w:widowControl/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  <w:sectPr>
          <w:footerReference r:id="rId8" w:type="default"/>
          <w:footerReference r:id="rId9" w:type="even"/>
          <w:pgSz w:w="11906" w:h="16838"/>
          <w:pgMar w:top="1440" w:right="1080" w:bottom="1440" w:left="1080" w:header="851" w:footer="992" w:gutter="0"/>
          <w:pgNumType w:fmt="upperRoman" w:start="1"/>
          <w:cols w:space="425" w:num="1"/>
          <w:docGrid w:linePitch="326" w:charSpace="0"/>
        </w:sectPr>
      </w:pPr>
      <w:bookmarkStart w:id="4" w:name="_Toc12289641"/>
    </w:p>
    <w:p>
      <w:pPr>
        <w:spacing w:before="240" w:beforeLines="100" w:after="240" w:afterLines="100" w:line="594" w:lineRule="exact"/>
        <w:jc w:val="center"/>
        <w:rPr>
          <w:rFonts w:ascii="Times New Roman" w:hAnsi="Times New Roman" w:eastAsia="黑体" w:cs="Times New Roman"/>
          <w:sz w:val="44"/>
          <w:szCs w:val="44"/>
        </w:rPr>
      </w:pPr>
      <w:r>
        <w:rPr>
          <w:rFonts w:ascii="Times New Roman" w:hAnsi="Times New Roman" w:eastAsia="黑体" w:cs="Times New Roman"/>
          <w:sz w:val="44"/>
          <w:szCs w:val="44"/>
        </w:rPr>
        <w:t>引   言</w:t>
      </w:r>
      <w:bookmarkEnd w:id="1"/>
      <w:bookmarkEnd w:id="2"/>
      <w:bookmarkEnd w:id="3"/>
      <w:bookmarkEnd w:id="4"/>
    </w:p>
    <w:p>
      <w:pPr>
        <w:pStyle w:val="4"/>
        <w:kinsoku w:val="0"/>
        <w:overflowPunct w:val="0"/>
        <w:spacing w:line="382" w:lineRule="auto"/>
        <w:ind w:right="418" w:rightChars="199" w:firstLine="654" w:firstLineChars="300"/>
        <w:rPr>
          <w:rFonts w:ascii="宋体" w:hAnsi="宋体" w:eastAsia="宋体" w:cs="宋体"/>
          <w:spacing w:val="-11"/>
          <w:kern w:val="0"/>
          <w:sz w:val="24"/>
          <w:szCs w:val="24"/>
        </w:rPr>
      </w:pPr>
      <w:r>
        <w:rPr>
          <w:rFonts w:ascii="宋体" w:hAnsi="宋体" w:eastAsia="宋体" w:cs="宋体"/>
          <w:spacing w:val="-11"/>
          <w:kern w:val="0"/>
          <w:sz w:val="24"/>
          <w:szCs w:val="24"/>
          <w:highlight w:val="none"/>
        </w:rPr>
        <w:t>J</w:t>
      </w:r>
      <w:r>
        <w:rPr>
          <w:rFonts w:hint="eastAsia" w:ascii="宋体" w:hAnsi="宋体" w:eastAsia="宋体" w:cs="宋体"/>
          <w:spacing w:val="-11"/>
          <w:kern w:val="0"/>
          <w:sz w:val="24"/>
          <w:szCs w:val="24"/>
          <w:highlight w:val="none"/>
          <w:lang w:val="en-US" w:eastAsia="zh-CN"/>
        </w:rPr>
        <w:t>J</w:t>
      </w:r>
      <w:r>
        <w:rPr>
          <w:rFonts w:ascii="宋体" w:hAnsi="宋体" w:eastAsia="宋体" w:cs="宋体"/>
          <w:spacing w:val="-11"/>
          <w:kern w:val="0"/>
          <w:sz w:val="24"/>
          <w:szCs w:val="24"/>
          <w:highlight w:val="none"/>
        </w:rPr>
        <w:t xml:space="preserve">F </w:t>
      </w:r>
      <w:r>
        <w:rPr>
          <w:rFonts w:ascii="宋体" w:hAnsi="宋体" w:eastAsia="宋体" w:cs="宋体"/>
          <w:spacing w:val="-11"/>
          <w:kern w:val="0"/>
          <w:sz w:val="24"/>
          <w:szCs w:val="24"/>
        </w:rPr>
        <w:t>1071 《国家计量校准规范编写规则》、JJF 1001 《通用计量术语及定义》和JJF 1059.1 《测量不确定度评定与表示》共同构成支撑本校准规范制定工作的基础性系列规范。</w:t>
      </w:r>
    </w:p>
    <w:p>
      <w:pPr>
        <w:spacing w:line="360" w:lineRule="auto"/>
        <w:ind w:firstLine="436" w:firstLineChars="200"/>
        <w:rPr>
          <w:rFonts w:hint="default" w:ascii="Times New Roman" w:hAnsi="Times New Roman" w:cs="Times New Roman" w:eastAsiaTheme="minorEastAsia"/>
          <w:sz w:val="24"/>
          <w:lang w:val="en-US" w:eastAsia="zh-CN"/>
        </w:rPr>
      </w:pPr>
      <w:r>
        <w:rPr>
          <w:rFonts w:ascii="宋体" w:hAnsi="宋体" w:eastAsia="宋体" w:cs="宋体"/>
          <w:spacing w:val="-11"/>
          <w:kern w:val="0"/>
          <w:sz w:val="24"/>
          <w:szCs w:val="24"/>
        </w:rPr>
        <w:t>本规范参考了GB/T 50493-2019 《石油化工可燃气体和有毒气体检测报警设计标准》</w:t>
      </w:r>
      <w:r>
        <w:rPr>
          <w:rFonts w:ascii="宋体" w:hAnsi="宋体" w:eastAsia="宋体" w:cs="宋体"/>
          <w:spacing w:val="-11"/>
          <w:kern w:val="0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sz w:val="24"/>
          <w:lang w:val="en-US" w:eastAsia="zh-CN"/>
        </w:rPr>
        <w:t>GB12358-2006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《作业场所环境气体检测报警仪通用技术要求》</w:t>
      </w:r>
      <w:r>
        <w:rPr>
          <w:rFonts w:ascii="宋体" w:hAnsi="宋体" w:eastAsia="宋体" w:cs="宋体"/>
          <w:spacing w:val="-11"/>
          <w:kern w:val="0"/>
          <w:sz w:val="24"/>
          <w:szCs w:val="24"/>
        </w:rPr>
        <w:t>。</w:t>
      </w:r>
    </w:p>
    <w:p>
      <w:pPr>
        <w:pStyle w:val="4"/>
        <w:kinsoku w:val="0"/>
        <w:overflowPunct w:val="0"/>
        <w:spacing w:line="382" w:lineRule="auto"/>
        <w:ind w:left="420" w:leftChars="200" w:right="418" w:rightChars="199"/>
        <w:rPr>
          <w:rFonts w:ascii="宋体" w:hAnsi="宋体" w:eastAsia="宋体" w:cs="宋体"/>
          <w:spacing w:val="-11"/>
          <w:kern w:val="0"/>
          <w:sz w:val="24"/>
          <w:szCs w:val="24"/>
        </w:rPr>
        <w:sectPr>
          <w:footerReference r:id="rId10" w:type="default"/>
          <w:pgSz w:w="11906" w:h="16838"/>
          <w:pgMar w:top="1134" w:right="1134" w:bottom="1134" w:left="1134" w:header="851" w:footer="992" w:gutter="0"/>
          <w:pgNumType w:fmt="upperRoman"/>
          <w:cols w:space="425" w:num="1"/>
          <w:docGrid w:linePitch="326" w:charSpace="0"/>
        </w:sectPr>
      </w:pPr>
      <w:r>
        <w:rPr>
          <w:rFonts w:ascii="宋体" w:hAnsi="宋体" w:eastAsia="宋体" w:cs="宋体"/>
          <w:spacing w:val="-11"/>
          <w:kern w:val="0"/>
          <w:sz w:val="24"/>
          <w:szCs w:val="24"/>
        </w:rPr>
        <w:t>本规范为首次发布</w:t>
      </w:r>
      <w:r>
        <w:rPr>
          <w:rFonts w:hint="eastAsia" w:ascii="宋体" w:hAnsi="宋体" w:eastAsia="宋体" w:cs="宋体"/>
          <w:spacing w:val="-11"/>
          <w:kern w:val="0"/>
          <w:sz w:val="24"/>
          <w:szCs w:val="24"/>
        </w:rPr>
        <w:t>。</w:t>
      </w:r>
    </w:p>
    <w:p>
      <w:pPr>
        <w:pStyle w:val="4"/>
        <w:kinsoku w:val="0"/>
        <w:overflowPunct w:val="0"/>
        <w:spacing w:before="55"/>
        <w:ind w:firstLine="2560" w:firstLineChars="800"/>
        <w:rPr>
          <w:rFonts w:ascii="黑体" w:hAnsi="黑体" w:eastAsia="黑体"/>
          <w:sz w:val="32"/>
        </w:rPr>
      </w:pPr>
      <w:bookmarkStart w:id="5" w:name="_Toc511807160"/>
      <w:bookmarkStart w:id="6" w:name="_Toc511806857"/>
      <w:bookmarkStart w:id="7" w:name="_Toc12289658"/>
      <w:bookmarkStart w:id="8" w:name="_Toc496642795"/>
      <w:r>
        <w:rPr>
          <w:rFonts w:hint="eastAsia" w:ascii="黑体" w:hAnsi="黑体" w:eastAsia="黑体"/>
          <w:sz w:val="32"/>
        </w:rPr>
        <w:t>氟化氢</w:t>
      </w:r>
      <w:r>
        <w:rPr>
          <w:rFonts w:ascii="黑体" w:hAnsi="黑体" w:eastAsia="黑体"/>
          <w:sz w:val="32"/>
        </w:rPr>
        <w:t>气体检测报警器校准规范</w:t>
      </w:r>
    </w:p>
    <w:p>
      <w:pPr>
        <w:spacing w:line="360" w:lineRule="auto"/>
        <w:rPr>
          <w:rFonts w:ascii="Times New Roman" w:hAnsi="Times New Roman" w:eastAsia="黑体" w:cs="Times New Roman"/>
          <w:sz w:val="24"/>
        </w:rPr>
      </w:pPr>
      <w:r>
        <w:rPr>
          <w:rFonts w:ascii="黑体" w:hAnsi="黑体" w:eastAsia="黑体" w:cs="Times New Roman"/>
          <w:b/>
          <w:sz w:val="24"/>
        </w:rPr>
        <w:t xml:space="preserve">1 </w:t>
      </w:r>
      <w:r>
        <w:rPr>
          <w:rFonts w:ascii="Times New Roman" w:hAnsi="Times New Roman" w:eastAsia="黑体" w:cs="Times New Roman"/>
          <w:sz w:val="24"/>
        </w:rPr>
        <w:t>范围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本规范适用于</w:t>
      </w:r>
      <w:r>
        <w:rPr>
          <w:rFonts w:hint="eastAsia" w:ascii="Times New Roman" w:hAnsi="Times New Roman" w:cs="Times New Roman"/>
          <w:sz w:val="24"/>
        </w:rPr>
        <w:t>测量范围</w:t>
      </w:r>
      <w:r>
        <w:rPr>
          <w:rFonts w:hint="eastAsia" w:ascii="宋体" w:hAnsi="宋体" w:eastAsia="宋体" w:cs="宋体"/>
          <w:sz w:val="24"/>
        </w:rPr>
        <w:t>（0</w:t>
      </w:r>
      <w:r>
        <w:rPr>
          <w:rFonts w:ascii="宋体" w:hAnsi="宋体" w:eastAsia="宋体" w:cs="宋体"/>
          <w:bCs/>
          <w:sz w:val="24"/>
        </w:rPr>
        <w:t>～</w:t>
      </w:r>
      <w:r>
        <w:rPr>
          <w:rFonts w:hint="eastAsia" w:ascii="宋体" w:hAnsi="宋体" w:eastAsia="宋体" w:cs="宋体"/>
          <w:sz w:val="24"/>
        </w:rPr>
        <w:t>30）</w:t>
      </w:r>
      <w:r>
        <w:rPr>
          <w:rFonts w:hint="eastAsia" w:ascii="宋体" w:hAnsi="宋体" w:eastAsia="宋体" w:cs="宋体"/>
          <w:spacing w:val="13"/>
          <w:kern w:val="0"/>
          <w:szCs w:val="21"/>
        </w:rPr>
        <w:t>μ</w:t>
      </w:r>
      <w:r>
        <w:rPr>
          <w:rFonts w:ascii="宋体" w:hAnsi="宋体" w:eastAsia="宋体" w:cs="宋体"/>
          <w:spacing w:val="13"/>
          <w:kern w:val="0"/>
          <w:szCs w:val="21"/>
        </w:rPr>
        <w:t>mol/mol</w:t>
      </w:r>
      <w:r>
        <w:rPr>
          <w:rFonts w:hint="eastAsia" w:ascii="Times New Roman" w:hAnsi="Times New Roman" w:eastAsia="宋体" w:cs="Times New Roman"/>
          <w:sz w:val="24"/>
        </w:rPr>
        <w:t>氟化氢</w:t>
      </w:r>
      <w:r>
        <w:rPr>
          <w:rFonts w:hint="eastAsia" w:ascii="Times New Roman" w:hAnsi="Times New Roman" w:cs="Times New Roman"/>
          <w:sz w:val="24"/>
        </w:rPr>
        <w:t>气体检测报警器的校准。</w:t>
      </w:r>
    </w:p>
    <w:p>
      <w:pPr>
        <w:spacing w:line="360" w:lineRule="auto"/>
        <w:rPr>
          <w:rFonts w:ascii="Times New Roman" w:hAnsi="Times New Roman" w:eastAsia="黑体" w:cs="Times New Roman"/>
          <w:sz w:val="24"/>
        </w:rPr>
      </w:pPr>
      <w:r>
        <w:rPr>
          <w:rFonts w:ascii="黑体" w:hAnsi="黑体" w:eastAsia="黑体" w:cs="Times New Roman"/>
          <w:b/>
          <w:sz w:val="24"/>
        </w:rPr>
        <w:t>2</w:t>
      </w:r>
      <w:r>
        <w:rPr>
          <w:rFonts w:ascii="Times New Roman" w:hAnsi="Times New Roman" w:eastAsia="黑体" w:cs="Times New Roman"/>
          <w:sz w:val="24"/>
        </w:rPr>
        <w:t xml:space="preserve"> 引用文件</w:t>
      </w:r>
    </w:p>
    <w:p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GB/T 50493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hint="eastAsia" w:ascii="Times New Roman" w:hAnsi="Times New Roman" w:cs="Times New Roman"/>
          <w:sz w:val="24"/>
        </w:rPr>
        <w:t>石油化工可燃气体和有毒气体检测报警设计标准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GB12358 作业场所环境气体检测报警仪通用技术要求</w:t>
      </w:r>
    </w:p>
    <w:p>
      <w:pPr>
        <w:pStyle w:val="11"/>
        <w:spacing w:before="120"/>
        <w:ind w:firstLine="480"/>
        <w:jc w:val="left"/>
        <w:rPr>
          <w:rFonts w:ascii="Times New Roman" w:hAnsi="Times New Roman" w:eastAsia="宋体"/>
          <w:b w:val="0"/>
          <w:sz w:val="24"/>
          <w:szCs w:val="24"/>
        </w:rPr>
      </w:pPr>
      <w:r>
        <w:rPr>
          <w:rFonts w:ascii="Times New Roman" w:hAnsi="宋体" w:eastAsia="宋体"/>
          <w:b w:val="0"/>
          <w:sz w:val="24"/>
          <w:szCs w:val="24"/>
        </w:rPr>
        <w:t>凡是注明日期的引用文</w:t>
      </w:r>
      <w:r>
        <w:rPr>
          <w:rFonts w:hint="eastAsia" w:ascii="Times New Roman" w:hAnsi="宋体" w:eastAsia="宋体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献</w:t>
      </w:r>
      <w:r>
        <w:rPr>
          <w:rFonts w:ascii="Times New Roman" w:hAnsi="宋体" w:eastAsia="宋体"/>
          <w:b w:val="0"/>
          <w:sz w:val="24"/>
          <w:szCs w:val="24"/>
        </w:rPr>
        <w:t>，仅注日期的版本适用于本规范；凡是不注日期的引用文件，其最新版本（包括所有的修改单）适用本规范。</w:t>
      </w:r>
    </w:p>
    <w:p>
      <w:pPr>
        <w:spacing w:line="360" w:lineRule="auto"/>
        <w:rPr>
          <w:rFonts w:ascii="Times New Roman" w:hAnsi="Times New Roman" w:eastAsia="黑体" w:cs="Times New Roman"/>
          <w:sz w:val="24"/>
        </w:rPr>
      </w:pPr>
      <w:r>
        <w:rPr>
          <w:rFonts w:ascii="黑体" w:hAnsi="黑体" w:eastAsia="黑体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eastAsia="黑体" w:cs="Times New Roman"/>
          <w:sz w:val="24"/>
        </w:rPr>
        <w:t>概述</w:t>
      </w:r>
    </w:p>
    <w:p>
      <w:pPr>
        <w:spacing w:line="360" w:lineRule="auto"/>
        <w:ind w:firstLine="480" w:firstLineChars="200"/>
        <w:rPr>
          <w:rFonts w:ascii="Times New Roman" w:hAnsi="宋体" w:eastAsia="宋体" w:cstheme="majorBid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宋体" w:cstheme="majorBid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氟化氢</w:t>
      </w:r>
      <w:r>
        <w:rPr>
          <w:rFonts w:ascii="Times New Roman" w:hAnsi="宋体" w:eastAsia="宋体" w:cstheme="majorBid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气体</w:t>
      </w:r>
      <w:r>
        <w:rPr>
          <w:rFonts w:hint="eastAsia" w:ascii="Times New Roman" w:hAnsi="宋体" w:eastAsia="宋体" w:cstheme="majorBid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检测</w:t>
      </w:r>
      <w:r>
        <w:rPr>
          <w:rFonts w:ascii="Times New Roman" w:hAnsi="宋体" w:eastAsia="宋体" w:cstheme="majorBid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报警器（以下简称</w:t>
      </w:r>
      <w:r>
        <w:rPr>
          <w:rFonts w:hint="eastAsia" w:ascii="Times New Roman" w:hAnsi="宋体" w:eastAsia="宋体" w:cstheme="majorBid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仪器</w:t>
      </w:r>
      <w:r>
        <w:rPr>
          <w:rFonts w:ascii="Times New Roman" w:hAnsi="宋体" w:eastAsia="宋体" w:cstheme="majorBid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）主要用于检测作业场所环境和生产流程中</w:t>
      </w:r>
      <w:r>
        <w:rPr>
          <w:rFonts w:hint="eastAsia" w:ascii="Times New Roman" w:hAnsi="宋体" w:eastAsia="宋体" w:cstheme="majorBid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氟化氢</w:t>
      </w:r>
      <w:r>
        <w:rPr>
          <w:rFonts w:ascii="Times New Roman" w:hAnsi="宋体" w:eastAsia="宋体" w:cstheme="majorBid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气体的</w:t>
      </w:r>
      <w:r>
        <w:rPr>
          <w:rFonts w:hint="eastAsia" w:ascii="Times New Roman" w:hAnsi="宋体" w:eastAsia="宋体" w:cstheme="majorBid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浓度</w:t>
      </w:r>
      <w:r>
        <w:rPr>
          <w:rFonts w:ascii="Times New Roman" w:hAnsi="宋体" w:eastAsia="宋体" w:cstheme="majorBid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。仪器主要由传感器单元、信号处理单元、控制单元、报警指示单元和显示单元等组成。检测原理主要为电化学传感原理、光学传感原理等</w:t>
      </w:r>
      <w:r>
        <w:rPr>
          <w:rFonts w:hint="eastAsia" w:ascii="Times New Roman" w:hAnsi="宋体" w:eastAsia="宋体" w:cstheme="majorBidi"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宋体" w:eastAsia="宋体" w:cstheme="majorBid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按采样方式分为扩散式和泵吸式，按使用方式分为便携式和固定式。</w:t>
      </w:r>
    </w:p>
    <w:p>
      <w:pPr>
        <w:spacing w:line="360" w:lineRule="auto"/>
        <w:rPr>
          <w:rFonts w:hint="default" w:ascii="黑体" w:hAnsi="黑体" w:eastAsia="黑体" w:cs="黑体"/>
          <w:sz w:val="24"/>
          <w:lang w:val="en-US" w:eastAsia="zh-CN"/>
        </w:rPr>
      </w:pPr>
      <w:r>
        <w:rPr>
          <w:rFonts w:ascii="黑体" w:hAnsi="黑体" w:eastAsia="黑体" w:cs="Times New Roman"/>
          <w:sz w:val="24"/>
        </w:rPr>
        <w:t>4 计量特性</w:t>
      </w:r>
      <w:r>
        <w:rPr>
          <w:rFonts w:hint="eastAsia" w:ascii="黑体" w:hAnsi="黑体" w:eastAsia="黑体" w:cs="黑体"/>
          <w:sz w:val="24"/>
          <w:lang w:val="en-US" w:eastAsia="zh-CN"/>
        </w:rPr>
        <w:t>和报警功能</w:t>
      </w:r>
    </w:p>
    <w:p>
      <w:pPr>
        <w:pStyle w:val="4"/>
        <w:kinsoku w:val="0"/>
        <w:overflowPunct w:val="0"/>
        <w:rPr>
          <w:rFonts w:ascii="Times New Roman" w:hAnsi="宋体" w:eastAsia="宋体" w:cstheme="majorBid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宋体" w:cstheme="majorBidi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4.1 </w:t>
      </w:r>
      <w:r>
        <w:rPr>
          <w:rFonts w:ascii="Times New Roman" w:hAnsi="宋体" w:eastAsia="宋体" w:cstheme="majorBidi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计量特性</w:t>
      </w:r>
    </w:p>
    <w:p>
      <w:pPr>
        <w:pStyle w:val="4"/>
        <w:kinsoku w:val="0"/>
        <w:overflowPunct w:val="0"/>
        <w:spacing w:before="186"/>
        <w:ind w:right="495"/>
        <w:jc w:val="center"/>
        <w:rPr>
          <w:rFonts w:ascii="黑体" w:hAnsi="黑体" w:eastAsia="黑体"/>
        </w:rPr>
      </w:pPr>
      <w:r>
        <w:rPr>
          <w:rFonts w:ascii="黑体" w:hAnsi="黑体" w:eastAsia="黑体"/>
        </w:rPr>
        <w:t>表 1 仪器的计量特性</w:t>
      </w:r>
    </w:p>
    <w:tbl>
      <w:tblPr>
        <w:tblStyle w:val="12"/>
        <w:tblW w:w="87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0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2" w:hRule="atLeast"/>
          <w:jc w:val="center"/>
        </w:trPr>
        <w:tc>
          <w:tcPr>
            <w:tcW w:w="1742" w:type="dxa"/>
            <w:vAlign w:val="center"/>
          </w:tcPr>
          <w:p>
            <w:pPr>
              <w:pStyle w:val="3"/>
              <w:keepNext w:val="0"/>
              <w:keepLine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  <w:t>项目</w:t>
            </w:r>
          </w:p>
        </w:tc>
        <w:tc>
          <w:tcPr>
            <w:tcW w:w="7026" w:type="dxa"/>
            <w:vAlign w:val="center"/>
          </w:tcPr>
          <w:p>
            <w:pPr>
              <w:pStyle w:val="3"/>
              <w:keepNext w:val="0"/>
              <w:keepLine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  <w:t>仪器的计量特性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1742" w:type="dxa"/>
            <w:vAlign w:val="center"/>
          </w:tcPr>
          <w:p>
            <w:pPr>
              <w:pStyle w:val="3"/>
              <w:keepNext w:val="0"/>
              <w:keepLine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  <w:t>示值误差</w:t>
            </w:r>
          </w:p>
        </w:tc>
        <w:tc>
          <w:tcPr>
            <w:tcW w:w="7026" w:type="dxa"/>
            <w:vAlign w:val="center"/>
          </w:tcPr>
          <w:p>
            <w:pPr>
              <w:pStyle w:val="3"/>
              <w:keepNext w:val="0"/>
              <w:keepLine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  <w:t>±2</w:t>
            </w:r>
            <w:r>
              <w:rPr>
                <w:rFonts w:hint="eastAsia"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  <w:t>μ</w:t>
            </w:r>
            <w:r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  <w:t>mol/mol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1742" w:type="dxa"/>
            <w:vAlign w:val="center"/>
          </w:tcPr>
          <w:p>
            <w:pPr>
              <w:pStyle w:val="3"/>
              <w:keepNext w:val="0"/>
              <w:keepLine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  <w:t>重复性</w:t>
            </w:r>
          </w:p>
        </w:tc>
        <w:tc>
          <w:tcPr>
            <w:tcW w:w="7026" w:type="dxa"/>
            <w:vAlign w:val="center"/>
          </w:tcPr>
          <w:p>
            <w:pPr>
              <w:pStyle w:val="3"/>
              <w:keepNext w:val="0"/>
              <w:keepLine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  <w:t>5</w:t>
            </w:r>
            <w:r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  <w:t xml:space="preserve">%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2" w:hRule="atLeast"/>
          <w:jc w:val="center"/>
        </w:trPr>
        <w:tc>
          <w:tcPr>
            <w:tcW w:w="1742" w:type="dxa"/>
            <w:vAlign w:val="center"/>
          </w:tcPr>
          <w:p>
            <w:pPr>
              <w:pStyle w:val="3"/>
              <w:keepNext w:val="0"/>
              <w:keepLine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  <w:t>响应时间</w:t>
            </w:r>
          </w:p>
        </w:tc>
        <w:tc>
          <w:tcPr>
            <w:tcW w:w="7026" w:type="dxa"/>
            <w:vAlign w:val="center"/>
          </w:tcPr>
          <w:p>
            <w:pPr>
              <w:pStyle w:val="3"/>
              <w:keepNext w:val="0"/>
              <w:keepLine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hint="default" w:ascii="宋体" w:hAnsi="宋体" w:eastAsia="宋体" w:cs="宋体"/>
                <w:b w:val="0"/>
                <w:spacing w:val="1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spacing w:val="13"/>
                <w:kern w:val="0"/>
                <w:sz w:val="21"/>
                <w:szCs w:val="21"/>
                <w:lang w:val="en-US" w:eastAsia="zh-CN"/>
              </w:rPr>
              <w:t>扩散式不大于120s；扩散式不大于90s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" w:hRule="atLeast"/>
          <w:jc w:val="center"/>
        </w:trPr>
        <w:tc>
          <w:tcPr>
            <w:tcW w:w="1742" w:type="dxa"/>
            <w:vMerge w:val="restart"/>
            <w:vAlign w:val="center"/>
          </w:tcPr>
          <w:p>
            <w:pPr>
              <w:pStyle w:val="3"/>
              <w:keepNext w:val="0"/>
              <w:keepLine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  <w:t>漂移</w:t>
            </w:r>
          </w:p>
        </w:tc>
        <w:tc>
          <w:tcPr>
            <w:tcW w:w="7026" w:type="dxa"/>
            <w:tcBorders>
              <w:bottom w:val="single" w:color="auto" w:sz="4" w:space="0"/>
            </w:tcBorders>
            <w:vAlign w:val="center"/>
          </w:tcPr>
          <w:p>
            <w:pPr>
              <w:pStyle w:val="3"/>
              <w:keepNext w:val="0"/>
              <w:keepLine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  <w:t>零点漂移：±3%FS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742" w:type="dxa"/>
            <w:vMerge w:val="continue"/>
            <w:vAlign w:val="center"/>
          </w:tcPr>
          <w:p>
            <w:pPr>
              <w:pStyle w:val="3"/>
              <w:keepNext w:val="0"/>
              <w:keepLine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</w:pPr>
          </w:p>
        </w:tc>
        <w:tc>
          <w:tcPr>
            <w:tcW w:w="702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3"/>
              <w:keepNext w:val="0"/>
              <w:keepLines w:val="0"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  <w:t>量程漂移：±5%FS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768" w:type="dxa"/>
            <w:gridSpan w:val="2"/>
            <w:vAlign w:val="center"/>
          </w:tcPr>
          <w:p>
            <w:pPr>
              <w:pStyle w:val="3"/>
              <w:keepNext w:val="0"/>
              <w:keepLines w:val="0"/>
              <w:autoSpaceDE w:val="0"/>
              <w:autoSpaceDN w:val="0"/>
              <w:adjustRightInd w:val="0"/>
              <w:spacing w:before="0" w:after="0" w:line="240" w:lineRule="auto"/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spacing w:val="13"/>
                <w:kern w:val="0"/>
                <w:sz w:val="21"/>
                <w:szCs w:val="21"/>
              </w:rPr>
              <w:t>注：以上指标不适用于合格性判定，仅作参考。</w:t>
            </w:r>
          </w:p>
        </w:tc>
      </w:tr>
    </w:tbl>
    <w:p>
      <w:pPr>
        <w:spacing w:line="360" w:lineRule="auto"/>
        <w:ind w:left="480" w:hanging="480" w:hangingChars="200"/>
        <w:rPr>
          <w:rFonts w:hint="eastAsia" w:cs="Times New Roman" w:asciiTheme="minorEastAsia" w:hAnsiTheme="minorEastAsia"/>
          <w:sz w:val="24"/>
          <w:lang w:val="en-US" w:eastAsia="zh-CN"/>
        </w:rPr>
      </w:pPr>
      <w:r>
        <w:rPr>
          <w:rFonts w:hint="eastAsia" w:cs="Times New Roman" w:asciiTheme="minorEastAsia" w:hAnsiTheme="minorEastAsia"/>
          <w:sz w:val="24"/>
          <w:lang w:val="en-US" w:eastAsia="zh-CN"/>
        </w:rPr>
        <w:t>4.2 报警功能</w:t>
      </w:r>
    </w:p>
    <w:p>
      <w:pPr>
        <w:spacing w:line="360" w:lineRule="auto"/>
        <w:ind w:left="523" w:leftChars="249" w:firstLine="0" w:firstLineChars="0"/>
        <w:rPr>
          <w:rFonts w:ascii="宋体" w:hAnsi="宋体" w:eastAsia="宋体" w:cs="宋体"/>
          <w:bCs/>
          <w:spacing w:val="13"/>
          <w:kern w:val="0"/>
          <w:sz w:val="24"/>
          <w:szCs w:val="24"/>
          <w:highlight w:val="none"/>
        </w:rPr>
      </w:pPr>
      <w:r>
        <w:rPr>
          <w:rFonts w:ascii="宋体" w:hAnsi="宋体" w:eastAsia="宋体" w:cs="宋体"/>
          <w:bCs/>
          <w:spacing w:val="13"/>
          <w:kern w:val="0"/>
          <w:sz w:val="24"/>
          <w:szCs w:val="24"/>
          <w:highlight w:val="none"/>
        </w:rPr>
        <w:t>具应有声、光或震动报警功能的仪器，在其测量范围内应具有报警设定值，当</w:t>
      </w:r>
    </w:p>
    <w:p>
      <w:pPr>
        <w:spacing w:line="360" w:lineRule="auto"/>
        <w:rPr>
          <w:rFonts w:hint="default" w:cs="Times New Roman" w:asciiTheme="minorEastAsia" w:hAnsiTheme="minorEastAsia" w:eastAsiaTheme="minorEastAsia"/>
          <w:sz w:val="24"/>
          <w:highlight w:val="none"/>
          <w:lang w:val="en-US" w:eastAsia="zh-CN"/>
        </w:rPr>
      </w:pPr>
      <w:r>
        <w:rPr>
          <w:rFonts w:ascii="宋体" w:hAnsi="宋体" w:eastAsia="宋体" w:cs="宋体"/>
          <w:bCs/>
          <w:spacing w:val="13"/>
          <w:kern w:val="0"/>
          <w:sz w:val="24"/>
          <w:szCs w:val="24"/>
          <w:highlight w:val="none"/>
        </w:rPr>
        <w:t>仪器示值达到报警设定值时应能自动报警。</w:t>
      </w:r>
    </w:p>
    <w:p>
      <w:pPr>
        <w:spacing w:line="360" w:lineRule="auto"/>
        <w:rPr>
          <w:rFonts w:cs="Times New Roman" w:asciiTheme="minorEastAsia" w:hAnsiTheme="minorEastAsia"/>
          <w:sz w:val="24"/>
        </w:rPr>
      </w:pPr>
    </w:p>
    <w:p>
      <w:pPr>
        <w:tabs>
          <w:tab w:val="left" w:pos="4110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>
      <w:pPr>
        <w:spacing w:line="360" w:lineRule="auto"/>
        <w:rPr>
          <w:rFonts w:ascii="黑体" w:hAnsi="黑体" w:eastAsia="黑体" w:cs="Times New Roman"/>
          <w:sz w:val="24"/>
        </w:rPr>
        <w:sectPr>
          <w:pgSz w:w="11906" w:h="16838"/>
          <w:pgMar w:top="1134" w:right="1134" w:bottom="1134" w:left="1134" w:header="851" w:footer="992" w:gutter="0"/>
          <w:pgNumType w:fmt="decimalFullWidth" w:start="1"/>
          <w:cols w:space="720" w:num="1"/>
          <w:titlePg/>
          <w:docGrid w:type="lines" w:linePitch="312" w:charSpace="0"/>
        </w:sectPr>
      </w:pPr>
    </w:p>
    <w:p>
      <w:pPr>
        <w:spacing w:line="360" w:lineRule="auto"/>
        <w:rPr>
          <w:rFonts w:ascii="Times New Roman" w:hAnsi="Times New Roman" w:eastAsia="黑体" w:cs="Times New Roman"/>
          <w:sz w:val="24"/>
        </w:rPr>
      </w:pPr>
      <w:r>
        <w:rPr>
          <w:rFonts w:ascii="黑体" w:hAnsi="黑体" w:eastAsia="黑体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eastAsia="黑体" w:cs="Times New Roman"/>
          <w:sz w:val="24"/>
        </w:rPr>
        <w:t>校准条件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cs="Times New Roman" w:asciiTheme="minorEastAsia" w:hAnsiTheme="minorEastAsia"/>
          <w:sz w:val="24"/>
        </w:rPr>
        <w:t>5.1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>校准条件</w:t>
      </w:r>
    </w:p>
    <w:p>
      <w:pPr>
        <w:snapToGrid w:val="0"/>
        <w:spacing w:line="360" w:lineRule="auto"/>
        <w:rPr>
          <w:rFonts w:ascii="Times New Roman" w:hAnsi="Times New Roman" w:cs="Times New Roman"/>
          <w:bCs/>
          <w:sz w:val="24"/>
        </w:rPr>
      </w:pPr>
      <w:r>
        <w:rPr>
          <w:rFonts w:ascii="宋体" w:hAnsi="宋体" w:eastAsia="宋体" w:cs="宋体"/>
          <w:bCs/>
          <w:sz w:val="24"/>
        </w:rPr>
        <w:t>5.1.1</w:t>
      </w:r>
      <w:r>
        <w:rPr>
          <w:rFonts w:cs="宋体"/>
          <w:bCs/>
          <w:sz w:val="24"/>
        </w:rPr>
        <w:t xml:space="preserve">  环境温度：（</w:t>
      </w:r>
      <w:r>
        <w:rPr>
          <w:rFonts w:ascii="Times New Roman" w:hAnsi="Times New Roman" w:cs="Times New Roman"/>
          <w:bCs/>
          <w:sz w:val="24"/>
        </w:rPr>
        <w:t>5～40）℃。</w:t>
      </w:r>
    </w:p>
    <w:p>
      <w:pPr>
        <w:snapToGrid w:val="0"/>
        <w:spacing w:line="360" w:lineRule="auto"/>
        <w:rPr>
          <w:rFonts w:ascii="Times New Roman" w:hAnsi="Times New Roman" w:cs="Times New Roman"/>
          <w:bCs/>
          <w:sz w:val="24"/>
        </w:rPr>
      </w:pPr>
      <w:r>
        <w:rPr>
          <w:rFonts w:ascii="宋体" w:hAnsi="宋体" w:eastAsia="宋体" w:cs="Times New Roman"/>
          <w:bCs/>
          <w:sz w:val="24"/>
        </w:rPr>
        <w:t>5.1.2</w:t>
      </w:r>
      <w:r>
        <w:rPr>
          <w:rFonts w:ascii="Times New Roman" w:hAnsi="Times New Roman" w:cs="Times New Roman"/>
          <w:bCs/>
          <w:sz w:val="24"/>
        </w:rPr>
        <w:t xml:space="preserve">  相对湿度：≤85%。</w:t>
      </w:r>
    </w:p>
    <w:p>
      <w:pPr>
        <w:snapToGrid w:val="0"/>
        <w:spacing w:line="360" w:lineRule="auto"/>
        <w:rPr>
          <w:rFonts w:cs="宋体"/>
          <w:bCs/>
          <w:sz w:val="24"/>
        </w:rPr>
      </w:pPr>
      <w:r>
        <w:rPr>
          <w:rFonts w:ascii="宋体" w:hAnsi="宋体" w:eastAsia="宋体" w:cs="宋体"/>
          <w:bCs/>
          <w:sz w:val="24"/>
        </w:rPr>
        <w:t>5.1.3</w:t>
      </w:r>
      <w:r>
        <w:rPr>
          <w:rFonts w:cs="宋体"/>
          <w:bCs/>
          <w:sz w:val="24"/>
        </w:rPr>
        <w:t xml:space="preserve">  应保持通风并采取安全措施，无影响仪器正常工作的电磁场及干扰气体。</w:t>
      </w:r>
    </w:p>
    <w:p>
      <w:pPr>
        <w:spacing w:line="360" w:lineRule="auto"/>
        <w:rPr>
          <w:rFonts w:ascii="Times New Roman" w:hAnsi="Times New Roman" w:eastAsia="黑体" w:cs="Times New Roman"/>
          <w:szCs w:val="21"/>
        </w:rPr>
      </w:pPr>
      <w:r>
        <w:rPr>
          <w:rFonts w:cs="Times New Roman" w:asciiTheme="minorEastAsia" w:hAnsiTheme="minorEastAsia"/>
          <w:sz w:val="24"/>
        </w:rPr>
        <w:t>5.2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cs="宋体"/>
          <w:bCs/>
          <w:sz w:val="24"/>
        </w:rPr>
        <w:t>校准用计量器具及配套设备</w:t>
      </w:r>
      <w:r>
        <w:rPr>
          <w:rFonts w:ascii="Times New Roman" w:hAnsi="Times New Roman" w:cs="Times New Roman"/>
          <w:sz w:val="24"/>
        </w:rPr>
        <w:t xml:space="preserve">   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cs="Times New Roman" w:asciiTheme="minorEastAsia" w:hAnsiTheme="minorEastAsia"/>
          <w:sz w:val="24"/>
        </w:rPr>
        <w:t>5.2.1</w:t>
      </w:r>
      <w:r>
        <w:rPr>
          <w:rFonts w:cs="宋体"/>
          <w:bCs/>
          <w:sz w:val="24"/>
        </w:rPr>
        <w:t>气体标准物质</w:t>
      </w:r>
      <w:r>
        <w:rPr>
          <w:rFonts w:ascii="Times New Roman" w:hAnsi="Times New Roman" w:cs="Times New Roman"/>
          <w:sz w:val="24"/>
        </w:rPr>
        <w:t xml:space="preserve"> 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bCs/>
          <w:i/>
          <w:sz w:val="24"/>
        </w:rPr>
      </w:pPr>
      <w:r>
        <w:rPr>
          <w:rFonts w:hint="eastAsia" w:cs="宋体"/>
          <w:bCs/>
          <w:sz w:val="24"/>
        </w:rPr>
        <w:t>氟化氢</w:t>
      </w:r>
      <w:r>
        <w:rPr>
          <w:rFonts w:cs="宋体"/>
          <w:bCs/>
          <w:sz w:val="24"/>
        </w:rPr>
        <w:t>气体有证标准物质，其相对扩展不确定度应不大于</w:t>
      </w:r>
      <w:r>
        <w:rPr>
          <w:rFonts w:hint="eastAsia" w:ascii="宋体" w:hAnsi="宋体" w:eastAsia="宋体" w:cs="宋体"/>
          <w:bCs/>
          <w:sz w:val="24"/>
        </w:rPr>
        <w:t>3</w:t>
      </w:r>
      <w:r>
        <w:rPr>
          <w:rFonts w:ascii="宋体" w:hAnsi="宋体" w:eastAsia="宋体" w:cs="宋体"/>
          <w:bCs/>
          <w:sz w:val="24"/>
        </w:rPr>
        <w:t>% (</w:t>
      </w:r>
      <w:r>
        <w:rPr>
          <w:rFonts w:ascii="宋体" w:hAnsi="宋体" w:eastAsia="宋体" w:cs="宋体"/>
          <w:bCs/>
          <w:i/>
          <w:sz w:val="24"/>
        </w:rPr>
        <w:t>k</w:t>
      </w:r>
      <w:r>
        <w:rPr>
          <w:rFonts w:ascii="宋体" w:hAnsi="宋体" w:eastAsia="宋体" w:cs="宋体"/>
          <w:bCs/>
          <w:sz w:val="24"/>
        </w:rPr>
        <w:t>=2)</w:t>
      </w:r>
      <w:r>
        <w:rPr>
          <w:rFonts w:ascii="宋体" w:hAnsi="宋体" w:eastAsia="宋体" w:cs="宋体"/>
          <w:bCs/>
          <w:i/>
          <w:sz w:val="24"/>
        </w:rPr>
        <w:t>。</w:t>
      </w:r>
    </w:p>
    <w:p>
      <w:pPr>
        <w:spacing w:line="360" w:lineRule="auto"/>
        <w:ind w:firstLine="480" w:firstLineChars="200"/>
        <w:rPr>
          <w:rFonts w:cs="宋体"/>
          <w:bCs/>
          <w:sz w:val="24"/>
        </w:rPr>
      </w:pPr>
      <w:r>
        <w:rPr>
          <w:rFonts w:cs="宋体"/>
          <w:bCs/>
          <w:sz w:val="24"/>
        </w:rPr>
        <w:t>当采用气体稀释装置时，稀释后标准气体的相对扩展不确定度应满足上述要求。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cs="Times New Roman" w:asciiTheme="minorEastAsia" w:hAnsiTheme="minorEastAsia"/>
          <w:sz w:val="24"/>
        </w:rPr>
        <w:t>5.2.2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cs="宋体"/>
          <w:bCs/>
          <w:sz w:val="24"/>
        </w:rPr>
        <w:t>零点气体</w:t>
      </w:r>
    </w:p>
    <w:p>
      <w:pPr>
        <w:spacing w:line="360" w:lineRule="auto"/>
        <w:ind w:firstLine="480" w:firstLineChars="200"/>
        <w:rPr>
          <w:rFonts w:cs="宋体"/>
          <w:bCs/>
          <w:sz w:val="24"/>
        </w:rPr>
      </w:pPr>
      <w:r>
        <w:rPr>
          <w:rFonts w:cs="宋体"/>
          <w:bCs/>
          <w:sz w:val="24"/>
        </w:rPr>
        <w:t>采用纯度不小</w:t>
      </w:r>
      <w:r>
        <w:rPr>
          <w:rFonts w:ascii="宋体" w:hAnsi="宋体" w:eastAsia="宋体" w:cs="宋体"/>
          <w:bCs/>
          <w:sz w:val="24"/>
        </w:rPr>
        <w:t>于99.999%的</w:t>
      </w:r>
      <w:r>
        <w:rPr>
          <w:rFonts w:cs="宋体"/>
          <w:bCs/>
          <w:sz w:val="24"/>
        </w:rPr>
        <w:t>高纯氮气或纯化后的洁净空气。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cs="Times New Roman" w:asciiTheme="minorEastAsia" w:hAnsiTheme="minorEastAsia"/>
          <w:sz w:val="24"/>
        </w:rPr>
        <w:t>5.2.3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cs="宋体"/>
          <w:bCs/>
          <w:sz w:val="24"/>
        </w:rPr>
        <w:t>流量控制器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cs="宋体"/>
          <w:bCs/>
          <w:sz w:val="24"/>
        </w:rPr>
        <w:t>由两个气体流量计组成，流量</w:t>
      </w:r>
      <w:r>
        <w:rPr>
          <w:rFonts w:ascii="宋体" w:hAnsi="宋体" w:eastAsia="宋体" w:cs="宋体"/>
          <w:bCs/>
          <w:sz w:val="24"/>
        </w:rPr>
        <w:t>范围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不大于</w:t>
      </w:r>
      <w:r>
        <w:rPr>
          <w:rFonts w:ascii="宋体" w:hAnsi="宋体" w:eastAsia="宋体" w:cs="宋体"/>
          <w:bCs/>
          <w:sz w:val="24"/>
          <w:highlight w:val="none"/>
        </w:rPr>
        <w:t>500mL/min</w:t>
      </w:r>
      <w:r>
        <w:rPr>
          <w:rFonts w:ascii="宋体" w:hAnsi="宋体" w:eastAsia="宋体" w:cs="宋体"/>
          <w:bCs/>
          <w:sz w:val="24"/>
        </w:rPr>
        <w:t>或按仪器说明书要求，准确度级别不低于4级。</w:t>
      </w:r>
    </w:p>
    <w:p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5.2.4 电子秒表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ascii="宋体" w:hAnsi="宋体" w:eastAsia="宋体" w:cs="宋体"/>
          <w:bCs/>
          <w:sz w:val="24"/>
        </w:rPr>
        <w:t>分度值不大于0.1s。</w:t>
      </w:r>
    </w:p>
    <w:p>
      <w:pPr>
        <w:spacing w:line="360" w:lineRule="auto"/>
        <w:rPr>
          <w:rFonts w:ascii="宋体" w:hAnsi="宋体" w:eastAsia="宋体" w:cs="宋体"/>
          <w:bCs/>
          <w:sz w:val="24"/>
        </w:rPr>
      </w:pPr>
      <w:r>
        <w:rPr>
          <w:rFonts w:ascii="宋体" w:hAnsi="宋体" w:eastAsia="宋体" w:cs="Times New Roman"/>
          <w:sz w:val="24"/>
        </w:rPr>
        <w:t xml:space="preserve">5.2.5 </w:t>
      </w:r>
      <w:r>
        <w:rPr>
          <w:rFonts w:ascii="宋体" w:hAnsi="宋体" w:eastAsia="宋体" w:cs="宋体"/>
          <w:bCs/>
          <w:sz w:val="24"/>
        </w:rPr>
        <w:t>气体减压阀和气体管路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ascii="宋体" w:hAnsi="宋体" w:eastAsia="宋体" w:cs="宋体"/>
          <w:bCs/>
          <w:sz w:val="24"/>
        </w:rPr>
        <w:t>对被测气体应无吸附及化学反应。</w:t>
      </w:r>
    </w:p>
    <w:p>
      <w:pPr>
        <w:spacing w:line="360" w:lineRule="auto"/>
        <w:rPr>
          <w:rFonts w:ascii="Times New Roman" w:hAnsi="Times New Roman" w:eastAsia="黑体" w:cs="Times New Roman"/>
          <w:sz w:val="24"/>
        </w:rPr>
      </w:pPr>
      <w:r>
        <w:rPr>
          <w:rFonts w:ascii="黑体" w:hAnsi="黑体" w:eastAsia="黑体" w:cs="Times New Roman"/>
          <w:sz w:val="24"/>
        </w:rPr>
        <w:t>6</w:t>
      </w:r>
      <w:r>
        <w:rPr>
          <w:rFonts w:ascii="Times New Roman" w:hAnsi="Times New Roman" w:eastAsia="黑体" w:cs="Times New Roman"/>
          <w:sz w:val="24"/>
        </w:rPr>
        <w:t xml:space="preserve"> 校准项目和校准方法</w:t>
      </w:r>
    </w:p>
    <w:p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cs="Times New Roman" w:asciiTheme="minorEastAsia" w:hAnsiTheme="minorEastAsia"/>
          <w:sz w:val="24"/>
        </w:rPr>
        <w:t>6.1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cs="宋体"/>
          <w:bCs/>
          <w:sz w:val="24"/>
        </w:rPr>
        <w:t>仪器的调整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bCs/>
          <w:sz w:val="24"/>
        </w:rPr>
      </w:pPr>
      <w:r>
        <w:rPr>
          <w:rFonts w:ascii="宋体" w:hAnsi="宋体" w:eastAsia="宋体" w:cs="宋体"/>
          <w:bCs/>
          <w:sz w:val="24"/>
        </w:rPr>
        <w:t>按照仪器使用说明书的要求对仪器进行预热，预热稳定后，按图1所示连接气路。校准泵吸式仪器时，必须保证旁通流量计有气体放出，校准扩散式仪器时，应按照仪器使用说明书的要求调节流量。若使用说明书中有明确要求，则按说明书的要求调整仪器的零点和示值。若说明书中没有明确要求，则用零点气体和满量程80%的气体标准物质调整仪器的零点和示值。</w:t>
      </w:r>
    </w:p>
    <w:p>
      <w:pPr>
        <w:spacing w:line="360" w:lineRule="auto"/>
        <w:ind w:firstLine="480" w:firstLineChars="200"/>
        <w:rPr>
          <w:rFonts w:cs="宋体"/>
          <w:bCs/>
          <w:sz w:val="24"/>
        </w:rPr>
      </w:pPr>
    </w:p>
    <w:p>
      <w:pPr>
        <w:spacing w:line="360" w:lineRule="auto"/>
        <w:ind w:firstLine="480" w:firstLineChars="200"/>
        <w:rPr>
          <w:rFonts w:cs="宋体"/>
          <w:bCs/>
          <w:sz w:val="24"/>
        </w:rPr>
      </w:pPr>
    </w:p>
    <w:p>
      <w:pPr>
        <w:tabs>
          <w:tab w:val="left" w:pos="4230"/>
        </w:tabs>
        <w:spacing w:line="360" w:lineRule="auto"/>
        <w:rPr>
          <w:rFonts w:cs="宋体"/>
          <w:bCs/>
          <w:sz w:val="24"/>
        </w:rPr>
      </w:pPr>
    </w:p>
    <w:p>
      <w:pPr>
        <w:tabs>
          <w:tab w:val="left" w:pos="4230"/>
        </w:tabs>
        <w:spacing w:line="360" w:lineRule="auto"/>
        <w:ind w:firstLine="480" w:firstLineChars="200"/>
        <w:rPr>
          <w:rFonts w:cs="宋体"/>
          <w:bCs/>
          <w:sz w:val="24"/>
        </w:rPr>
      </w:pPr>
      <w:r>
        <w:rPr>
          <w:rFonts w:cs="宋体"/>
          <w:bCs/>
          <w:sz w:val="24"/>
        </w:rPr>
        <w:tab/>
      </w:r>
    </w:p>
    <w:p>
      <w:pPr>
        <w:tabs>
          <w:tab w:val="left" w:pos="4230"/>
        </w:tabs>
        <w:rPr>
          <w:rFonts w:cs="宋体"/>
          <w:sz w:val="24"/>
        </w:rPr>
        <w:sectPr>
          <w:headerReference r:id="rId11" w:type="first"/>
          <w:footerReference r:id="rId12" w:type="first"/>
          <w:pgSz w:w="11906" w:h="16838"/>
          <w:pgMar w:top="1134" w:right="1134" w:bottom="1134" w:left="1134" w:header="851" w:footer="992" w:gutter="0"/>
          <w:pgNumType w:fmt="decimalFullWidth" w:start="1"/>
          <w:cols w:space="720" w:num="1"/>
          <w:titlePg/>
          <w:docGrid w:type="lines" w:linePitch="312" w:charSpace="0"/>
        </w:sectPr>
      </w:pPr>
      <w:r>
        <w:rPr>
          <w:rFonts w:cs="宋体"/>
          <w:sz w:val="24"/>
        </w:rPr>
        <w:tab/>
      </w:r>
    </w:p>
    <w:p>
      <w:pPr>
        <w:ind w:firstLine="560" w:firstLineChars="200"/>
        <w:jc w:val="left"/>
        <w:rPr>
          <w:rFonts w:hint="eastAsia" w:eastAsia="仿宋_GB2312"/>
          <w:color w:val="000000"/>
          <w:sz w:val="28"/>
          <w:szCs w:val="28"/>
          <w:lang w:val="en-US" w:eastAsia="zh-CN"/>
        </w:rPr>
      </w:pPr>
    </w:p>
    <w:p>
      <w:pPr>
        <w:ind w:firstLine="560" w:firstLineChars="200"/>
        <w:jc w:val="left"/>
        <w:rPr>
          <w:rFonts w:hint="default" w:eastAsia="仿宋_GB2312"/>
          <w:color w:val="000000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4296410</wp:posOffset>
                </wp:positionH>
                <wp:positionV relativeFrom="paragraph">
                  <wp:posOffset>130810</wp:posOffset>
                </wp:positionV>
                <wp:extent cx="158750" cy="159385"/>
                <wp:effectExtent l="4445" t="4445" r="8255" b="7620"/>
                <wp:wrapNone/>
                <wp:docPr id="21" name="椭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159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anchorCtr="false" upright="true"/>
                    </wps:wsp>
                  </a:graphicData>
                </a:graphic>
              </wp:anchor>
            </w:drawing>
          </mc:Choice>
          <mc:Fallback>
            <w:pict>
              <v:shape id="椭圆 18" o:spid="_x0000_s1026" o:spt="3" type="#_x0000_t3" style="position:absolute;left:0pt;margin-left:338.3pt;margin-top:10.3pt;height:12.55pt;width:12.5pt;z-index:251684864;mso-width-relative:page;mso-height-relative:page;" fillcolor="#FFFFFF" filled="t" stroked="t" coordsize="21600,21600" o:gfxdata="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BYAAABkcnMvUEsBAhQAFAAAAAgAh07iQIoSKzHXAAAACQEAAA8AAAAAAAAA&#10;AQAgAAAAOAAAAGRycy9kb3ducmV2LnhtbFBLAQIUABQAAAAIAIdO4kD6ysLM/AEAAAQEAAAOAAAA&#10;AAAAAAEAIAAAADwBAABkcnMvZTJvRG9jLnhtbFBLBQYAAAAABgAGAFkBAACq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4462145</wp:posOffset>
                </wp:positionH>
                <wp:positionV relativeFrom="paragraph">
                  <wp:posOffset>106680</wp:posOffset>
                </wp:positionV>
                <wp:extent cx="274955" cy="201295"/>
                <wp:effectExtent l="4445" t="15240" r="6350" b="31115"/>
                <wp:wrapNone/>
                <wp:docPr id="23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955" cy="201295"/>
                        </a:xfrm>
                        <a:prstGeom prst="rightArrow">
                          <a:avLst>
                            <a:gd name="adj1" fmla="val 50000"/>
                            <a:gd name="adj2" fmla="val 34148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anchorCtr="false" upright="true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13" type="#_x0000_t13" style="position:absolute;left:0pt;margin-left:351.35pt;margin-top:8.4pt;height:15.85pt;width:21.65pt;z-index:251686912;mso-width-relative:page;mso-height-relative:page;" fillcolor="#FFFFFF" filled="t" stroked="t" coordsize="21600,21600" o:gfxdata="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BYAAABkcnMvUEsBAhQAFAAAAAgAh07iQEvB1/vZAAAACQEAAA8AAAAAAAAA&#10;AQAgAAAAOAAAAGRycy9kb3ducmV2LnhtbFBLAQIUABQAAAAIAIdO4kA81b5SMwIAAGgEAAAOAAAA&#10;AAAAAAEAIAAAAD4BAABkcnMvZTJvRG9jLnhtbFBLBQYAAAAABgAGAFkBAADjBQAAAAA=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column">
                  <wp:posOffset>4766310</wp:posOffset>
                </wp:positionH>
                <wp:positionV relativeFrom="paragraph">
                  <wp:posOffset>41910</wp:posOffset>
                </wp:positionV>
                <wp:extent cx="1090295" cy="381000"/>
                <wp:effectExtent l="4445" t="4445" r="10160" b="14605"/>
                <wp:wrapNone/>
                <wp:docPr id="25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07355" y="7043420"/>
                          <a:ext cx="109029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anchorCtr="false" upright="true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375.3pt;margin-top:3.3pt;height:30pt;width:85.85pt;z-index:-251627520;mso-width-relative:page;mso-height-relative:page;" fillcolor="#FFFFFF" filled="t" stroked="t" coordsize="21600,21600" o:gfxdata="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KYj&#10;3/jWAAAACAEAAA8AAAAAAAAAAQAgAAAAOAAAAGRycy9kb3ducmV2LnhtbFBLAQIUABQAAAAIAIdO&#10;4kBPMBQKDwIAABgEAAAOAAAAAAAAAAEAIAAAADsBAABkcnMvZTJvRG9jLnhtbFBLBQYAAAAABgAG&#10;AFkBAAC8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3970020</wp:posOffset>
                </wp:positionH>
                <wp:positionV relativeFrom="paragraph">
                  <wp:posOffset>113665</wp:posOffset>
                </wp:positionV>
                <wp:extent cx="310515" cy="201295"/>
                <wp:effectExtent l="4445" t="15240" r="8890" b="31115"/>
                <wp:wrapNone/>
                <wp:docPr id="19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" cy="201295"/>
                        </a:xfrm>
                        <a:prstGeom prst="rightArrow">
                          <a:avLst>
                            <a:gd name="adj1" fmla="val 50000"/>
                            <a:gd name="adj2" fmla="val 34148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anchorCtr="false" upright="true"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13" type="#_x0000_t13" style="position:absolute;left:0pt;margin-left:312.6pt;margin-top:8.95pt;height:15.85pt;width:24.45pt;z-index:251682816;mso-width-relative:page;mso-height-relative:page;" fillcolor="#FFFFFF" filled="t" stroked="t" coordsize="21600,21600" o:gfxdata="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ARxnUZ2QAAAAkBAAAPAAAAAAAA&#10;AAEAIAAAADgAAABkcnMvZG93bnJldi54bWxQSwECFAAUAAAACACHTuJAYOVb4DQCAABoBAAADgAA&#10;AAAAAAABACAAAAA+AQAAZHJzL2Uyb0RvYy54bWxQSwUGAAAAAAYABgBZAQAA5AUAAAAA&#10;" adj="16819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2738755</wp:posOffset>
                </wp:positionH>
                <wp:positionV relativeFrom="paragraph">
                  <wp:posOffset>25400</wp:posOffset>
                </wp:positionV>
                <wp:extent cx="1216660" cy="370205"/>
                <wp:effectExtent l="5080" t="4445" r="16510" b="6350"/>
                <wp:wrapNone/>
                <wp:docPr id="18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6660" cy="370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anchorCtr="false" upright="true"/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215.65pt;margin-top:2pt;height:29.15pt;width:95.8pt;z-index:-251634688;mso-width-relative:page;mso-height-relative:page;" fillcolor="#FFFFFF" filled="t" stroked="t" coordsize="21600,21600" o:gfxdata="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FgAAAGRycy9QSwECFAAUAAAACACHTuJAXI/uXNUAAAAIAQAADwAAAAAA&#10;AAABACAAAAA4AAAAZHJzL2Rvd25yZXYueG1sUEsBAhQAFAAAAAgAh07iQM4mO4MAAgAADAQAAA4A&#10;AAAAAAAAAQAgAAAAOgEAAGRycy9lMm9Eb2MueG1sUEsFBgAAAAAGAAYAWQEAAKw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130810</wp:posOffset>
                </wp:positionV>
                <wp:extent cx="274955" cy="201295"/>
                <wp:effectExtent l="4445" t="15240" r="6350" b="31115"/>
                <wp:wrapNone/>
                <wp:docPr id="16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955" cy="201295"/>
                        </a:xfrm>
                        <a:prstGeom prst="rightArrow">
                          <a:avLst>
                            <a:gd name="adj1" fmla="val 50000"/>
                            <a:gd name="adj2" fmla="val 34148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anchorCtr="false" upright="true"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13" type="#_x0000_t13" style="position:absolute;left:0pt;margin-left:188.95pt;margin-top:10.3pt;height:15.85pt;width:21.65pt;z-index:251679744;mso-width-relative:page;mso-height-relative:page;" fillcolor="#FFFFFF" filled="t" stroked="t" coordsize="21600,21600" o:gfxdata="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BYAAABkcnMvUEsBAhQAFAAAAAgAh07iQBLZWg7bAAAACQEAAA8AAAAA&#10;AAAAAQAgAAAAOAAAAGRycy9kb3ducmV2LnhtbFBLAQIUABQAAAAIAIdO4kD0nYGiNAIAAGgEAAAO&#10;AAAAAAAAAAEAIAAAAEABAABkcnMvZTJvRG9jLnhtbFBLBQYAAAAABgAGAFkBAADmBQAAAAA=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2395220</wp:posOffset>
                </wp:positionH>
                <wp:positionV relativeFrom="paragraph">
                  <wp:posOffset>189865</wp:posOffset>
                </wp:positionV>
                <wp:extent cx="21590" cy="1598295"/>
                <wp:effectExtent l="4445" t="0" r="12065" b="1905"/>
                <wp:wrapNone/>
                <wp:docPr id="13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32150" y="7276465"/>
                          <a:ext cx="21590" cy="159829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margin-left:188.6pt;margin-top:14.95pt;height:125.85pt;width:1.7pt;z-index:251675648;mso-width-relative:page;mso-height-relative:page;" filled="f" stroked="t" coordsize="21600,21600" o:gfxdata="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di9GdkAAAAKAQAADwAAAAAAAAABACAAAAA4AAAA&#10;ZHJzL2Rvd25yZXYueG1sUEsBAhQAFAAAAAgAh07iQAxBIJLwAQAAtAMAAA4AAAAAAAAAAQAgAAAA&#10;PgEAAGRycy9lMm9Eb2MueG1sUEsFBgAAAAAGAAYAWQEAAKA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流量计入口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 xml:space="preserve">               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流量计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 xml:space="preserve">               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被检仪器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 xml:space="preserve"> </w:t>
      </w:r>
    </w:p>
    <w:p>
      <w:pPr>
        <w:ind w:firstLine="560" w:firstLineChars="200"/>
        <w:jc w:val="left"/>
        <w:rPr>
          <w:rFonts w:hint="eastAsia" w:eastAsia="仿宋_GB2312"/>
          <w:color w:val="000000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1781810</wp:posOffset>
                </wp:positionH>
                <wp:positionV relativeFrom="paragraph">
                  <wp:posOffset>26670</wp:posOffset>
                </wp:positionV>
                <wp:extent cx="317500" cy="497205"/>
                <wp:effectExtent l="3810" t="2540" r="21590" b="14605"/>
                <wp:wrapNone/>
                <wp:docPr id="14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501900" y="7392670"/>
                          <a:ext cx="317500" cy="497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140.3pt;margin-top:2.1pt;height:39.15pt;width:25pt;z-index:251677696;mso-width-relative:page;mso-height-relative:page;" filled="f" stroked="t" coordsize="21600,21600" o:gfxdata="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FgAAAGRycy9QSwEC&#10;FAAUAAAACACHTuJA6lVvadYAAAAIAQAADwAAAAAAAAABACAAAAA4AAAAZHJzL2Rvd25yZXYueG1s&#10;UEsBAhQAFAAAAAgAh07iQM2nEmfkAQAAsAMAAA4AAAAAAAAAAQAgAAAAOw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712470</wp:posOffset>
                </wp:positionH>
                <wp:positionV relativeFrom="paragraph">
                  <wp:posOffset>26670</wp:posOffset>
                </wp:positionV>
                <wp:extent cx="1058545" cy="10795"/>
                <wp:effectExtent l="0" t="4445" r="8255" b="13335"/>
                <wp:wrapNone/>
                <wp:docPr id="15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1432560" y="7392670"/>
                          <a:ext cx="1058545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y;margin-left:56.1pt;margin-top:2.1pt;height:0.85pt;width:83.35pt;z-index:251676672;mso-width-relative:page;mso-height-relative:page;" filled="f" stroked="t" coordsize="21600,21600" o:gfxdata="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07NIyNQAAAAHAQAADwAAAAAAAAABACAAAAA4AAAAZHJzL2Rvd25y&#10;ZXYueG1sUEsBAhQAFAAAAAgAh07iQA40YEjsAQAAvQMAAA4AAAAAAAAAAQAgAAAAOQEAAGRycy9l&#10;Mm9Eb2MueG1sUEsFBgAAAAAGAAYAWQEAAJ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ind w:firstLine="560" w:firstLineChars="200"/>
        <w:jc w:val="left"/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2236470</wp:posOffset>
                </wp:positionH>
                <wp:positionV relativeFrom="paragraph">
                  <wp:posOffset>128270</wp:posOffset>
                </wp:positionV>
                <wp:extent cx="148590" cy="171450"/>
                <wp:effectExtent l="4445" t="22860" r="18415" b="34290"/>
                <wp:wrapNone/>
                <wp:docPr id="17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46400" y="7974965"/>
                          <a:ext cx="148590" cy="171450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anchorCtr="false" upright="true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3" type="#_x0000_t13" style="position:absolute;left:0pt;margin-left:176.1pt;margin-top:10.1pt;height:13.5pt;width:11.7pt;z-index:251674624;mso-width-relative:page;mso-height-relative:page;" fillcolor="#FFFFFF" filled="t" stroked="t" coordsize="21600,21600" o:gfxdata="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ymuRGdgAAAAJ&#10;AQAADwAAAAAAAAABACAAAAA4AAAAZHJzL2Rvd25yZXYueG1sUEsBAhQAFAAAAAgAh07iQBe4rj8/&#10;AgAAcwQAAA4AAAAAAAAAAQAgAAAAPQEAAGRycy9lMm9Eb2MueG1sUEsFBgAAAAAGAAYAWQEAAO4F&#10;AAAAAA==&#10;" adj="16200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127635</wp:posOffset>
                </wp:positionV>
                <wp:extent cx="158750" cy="159385"/>
                <wp:effectExtent l="4445" t="4445" r="8255" b="7620"/>
                <wp:wrapNone/>
                <wp:docPr id="20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51150" y="7953375"/>
                          <a:ext cx="158750" cy="159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anchorCtr="false" upright="true"/>
                    </wps:wsp>
                  </a:graphicData>
                </a:graphic>
              </wp:anchor>
            </w:drawing>
          </mc:Choice>
          <mc:Fallback>
            <w:pict>
              <v:shape id="椭圆 5" o:spid="_x0000_s1026" o:spt="3" type="#_x0000_t3" style="position:absolute;left:0pt;margin-left:162pt;margin-top:10.05pt;height:12.55pt;width:12.5pt;z-index:251673600;mso-width-relative:page;mso-height-relative:page;" fillcolor="#FFFFFF" filled="t" stroked="t" coordsize="21600,21600" o:gfxdata="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PPPVaNgA&#10;AAAJAQAADwAAAAAAAAABACAAAAA4AAAAZHJzL2Rvd25yZXYueG1sUEsBAhQAFAAAAAgAh07iQPVZ&#10;XQUJAgAADwQAAA4AAAAAAAAAAQAgAAAAPQEAAGRycy9lMm9Eb2MueG1sUEsFBgAAAAAGAAYAWQEA&#10;ALg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1517015</wp:posOffset>
                </wp:positionH>
                <wp:positionV relativeFrom="paragraph">
                  <wp:posOffset>137160</wp:posOffset>
                </wp:positionV>
                <wp:extent cx="539750" cy="149860"/>
                <wp:effectExtent l="4445" t="8255" r="27305" b="13335"/>
                <wp:wrapNone/>
                <wp:docPr id="22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37105" y="7899400"/>
                          <a:ext cx="539750" cy="149860"/>
                        </a:xfrm>
                        <a:prstGeom prst="rightArrow">
                          <a:avLst>
                            <a:gd name="adj1" fmla="val 50000"/>
                            <a:gd name="adj2" fmla="val 9004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anchorCtr="false" upright="true"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13" type="#_x0000_t13" style="position:absolute;left:0pt;margin-left:119.45pt;margin-top:10.8pt;height:11.8pt;width:42.5pt;z-index:251672576;mso-width-relative:page;mso-height-relative:page;" fillcolor="#FFFFFF" filled="t" stroked="t" coordsize="21600,21600" o:gfxdata="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BYAAABkcnMvUEsBAhQAFAAAAAgAh07iQLokQW3a&#10;AAAACQEAAA8AAAAAAAAAAQAgAAAAOAAAAGRycy9kb3ducmV2LnhtbFBLAQIUABQAAAAIAIdO4kCN&#10;81shQQIAAHMEAAAOAAAAAAAAAAEAIAAAAD8BAABkcnMvZTJvRG9jLnhtbFBLBQYAAAAABgAGAFkB&#10;AADyBQAAAAA=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" w:hAnsi="楷体" w:eastAsia="楷体" w:cs="楷体"/>
          <w:sz w:val="28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182880</wp:posOffset>
                </wp:positionH>
                <wp:positionV relativeFrom="paragraph">
                  <wp:posOffset>1270</wp:posOffset>
                </wp:positionV>
                <wp:extent cx="1333500" cy="422910"/>
                <wp:effectExtent l="4445" t="4445" r="14605" b="10795"/>
                <wp:wrapNone/>
                <wp:docPr id="24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30605" y="7625715"/>
                          <a:ext cx="1333500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anchorCtr="false" upright="true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14.4pt;margin-top:0.1pt;height:33.3pt;width:105pt;z-index:-251644928;mso-width-relative:page;mso-height-relative:page;" fillcolor="#FFFFFF" filled="t" stroked="t" coordsize="21600,21600" o:gfxdata="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BFUnIQ&#10;0wAAAAYBAAAPAAAAAAAAAAEAIAAAADgAAABkcnMvZG93bnJldi54bWxQSwECFAAUAAAACACHTuJA&#10;0gcxChACAAAXBAAADgAAAAAAAAABACAAAAA4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气体标准物质</w:t>
      </w:r>
    </w:p>
    <w:p>
      <w:pPr>
        <w:ind w:firstLine="560" w:firstLineChars="200"/>
        <w:jc w:val="left"/>
        <w:rPr>
          <w:rFonts w:hint="eastAsia" w:eastAsia="仿宋_GB2312"/>
          <w:color w:val="000000"/>
          <w:sz w:val="28"/>
          <w:szCs w:val="28"/>
          <w:lang w:val="en-US" w:eastAsia="zh-CN"/>
        </w:rPr>
      </w:pPr>
    </w:p>
    <w:p>
      <w:pPr>
        <w:spacing w:line="360" w:lineRule="auto"/>
        <w:ind w:left="420" w:leftChars="200"/>
        <w:rPr>
          <w:rFonts w:ascii="Times New Roman" w:hAnsi="Times New Roman" w:cs="Times New Roman"/>
          <w:sz w:val="24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4465955</wp:posOffset>
                </wp:positionH>
                <wp:positionV relativeFrom="paragraph">
                  <wp:posOffset>109855</wp:posOffset>
                </wp:positionV>
                <wp:extent cx="274955" cy="201295"/>
                <wp:effectExtent l="4445" t="15240" r="6350" b="31115"/>
                <wp:wrapNone/>
                <wp:docPr id="26" name="自选图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955" cy="201295"/>
                        </a:xfrm>
                        <a:prstGeom prst="rightArrow">
                          <a:avLst>
                            <a:gd name="adj1" fmla="val 50000"/>
                            <a:gd name="adj2" fmla="val 34148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anchorCtr="false" upright="true"/>
                    </wps:wsp>
                  </a:graphicData>
                </a:graphic>
              </wp:anchor>
            </w:drawing>
          </mc:Choice>
          <mc:Fallback>
            <w:pict>
              <v:shape id="自选图形 21" o:spid="_x0000_s1026" o:spt="13" type="#_x0000_t13" style="position:absolute;left:0pt;margin-left:351.65pt;margin-top:8.65pt;height:15.85pt;width:21.65pt;z-index:251687936;mso-width-relative:page;mso-height-relative:page;" fillcolor="#FFFFFF" filled="t" stroked="t" coordsize="21600,21600" o:gfxdata="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B7PuWD2gAAAAkBAAAPAAAAAAAA&#10;AAEAIAAAADgAAABkcnMvZG93bnJldi54bWxQSwECFAAUAAAACACHTuJA9i66+DMCAABoBAAADgAA&#10;AAAAAAABACAAAAA/AQAAZHJzL2Uyb0RvYy54bWxQSwUGAAAAAAYABgBZAQAA5AUAAAAA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4291965</wp:posOffset>
                </wp:positionH>
                <wp:positionV relativeFrom="paragraph">
                  <wp:posOffset>132715</wp:posOffset>
                </wp:positionV>
                <wp:extent cx="158750" cy="159385"/>
                <wp:effectExtent l="4445" t="4445" r="8255" b="7620"/>
                <wp:wrapNone/>
                <wp:docPr id="27" name="椭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1593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anchorCtr="false" upright="true"/>
                    </wps:wsp>
                  </a:graphicData>
                </a:graphic>
              </wp:anchor>
            </w:drawing>
          </mc:Choice>
          <mc:Fallback>
            <w:pict>
              <v:shape id="椭圆 19" o:spid="_x0000_s1026" o:spt="3" type="#_x0000_t3" style="position:absolute;left:0pt;margin-left:337.95pt;margin-top:10.45pt;height:12.55pt;width:12.5pt;z-index:251685888;mso-width-relative:page;mso-height-relative:page;" fillcolor="#FFFFFF" filled="t" stroked="t" coordsize="21600,21600" o:gfxdata="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BYAAABkcnMvUEsBAhQAFAAAAAgAh07iQLc5bYrXAAAACQEAAA8AAAAAAAAA&#10;AQAgAAAAOAAAAGRycy9kb3ducmV2LnhtbFBLAQIUABQAAAAIAIdO4kCcpD/g/AEAAAQEAAAOAAAA&#10;AAAAAAEAIAAAADwBAABkcnMvZTJvRG9jLnhtbFBLBQYAAAAABgAGAFkBAACq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3994150</wp:posOffset>
                </wp:positionH>
                <wp:positionV relativeFrom="paragraph">
                  <wp:posOffset>116205</wp:posOffset>
                </wp:positionV>
                <wp:extent cx="274955" cy="201295"/>
                <wp:effectExtent l="4445" t="15240" r="6350" b="31115"/>
                <wp:wrapNone/>
                <wp:docPr id="28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955" cy="201295"/>
                        </a:xfrm>
                        <a:prstGeom prst="rightArrow">
                          <a:avLst>
                            <a:gd name="adj1" fmla="val 50000"/>
                            <a:gd name="adj2" fmla="val 34148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anchorCtr="false" upright="true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3" type="#_x0000_t13" style="position:absolute;left:0pt;margin-left:314.5pt;margin-top:9.15pt;height:15.85pt;width:21.65pt;z-index:251683840;mso-width-relative:page;mso-height-relative:page;" fillcolor="#FFFFFF" filled="t" stroked="t" coordsize="21600,21600" o:gfxdata="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A/60z02gAAAAkBAAAPAAAAAAAA&#10;AAEAIAAAADgAAABkcnMvZG93bnJldi54bWxQSwECFAAUAAAACACHTuJApXMLyjMCAABoBAAADgAA&#10;AAAAAAABACAAAAA/AQAAZHJzL2Uyb0RvYy54bWxQSwUGAAAAAAYABgBZAQAA5AUAAAAA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2766060</wp:posOffset>
                </wp:positionH>
                <wp:positionV relativeFrom="paragraph">
                  <wp:posOffset>23495</wp:posOffset>
                </wp:positionV>
                <wp:extent cx="1216660" cy="370205"/>
                <wp:effectExtent l="5080" t="4445" r="16510" b="6350"/>
                <wp:wrapNone/>
                <wp:docPr id="29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86150" y="8578215"/>
                          <a:ext cx="1216660" cy="370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anchorCtr="false" upright="true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217.8pt;margin-top:1.85pt;height:29.15pt;width:95.8pt;z-index:-251635712;mso-width-relative:page;mso-height-relative:page;" fillcolor="#FFFFFF" filled="t" stroked="t" coordsize="21600,21600" o:gfxdata="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FgAAAGRycy9QSwECFAAUAAAACACHTuJA&#10;vXvDydcAAAAIAQAADwAAAAAAAAABACAAAAA4AAAAZHJzL2Rvd25yZXYueG1sUEsBAhQAFAAAAAgA&#10;h07iQBDXT8YQAgAAGAQAAA4AAAAAAAAAAQAgAAAAPA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2416810</wp:posOffset>
                </wp:positionH>
                <wp:positionV relativeFrom="paragraph">
                  <wp:posOffset>66040</wp:posOffset>
                </wp:positionV>
                <wp:extent cx="274955" cy="211455"/>
                <wp:effectExtent l="4445" t="15875" r="6350" b="20320"/>
                <wp:wrapNone/>
                <wp:docPr id="30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26105" y="8736965"/>
                          <a:ext cx="274955" cy="211455"/>
                        </a:xfrm>
                        <a:prstGeom prst="rightArrow">
                          <a:avLst>
                            <a:gd name="adj1" fmla="val 50000"/>
                            <a:gd name="adj2" fmla="val 3250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anchorCtr="false" upright="true"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13" type="#_x0000_t13" style="position:absolute;left:0pt;margin-left:190.3pt;margin-top:5.2pt;height:16.65pt;width:21.65pt;z-index:251678720;mso-width-relative:page;mso-height-relative:page;" fillcolor="#FFFFFF" filled="t" stroked="t" coordsize="21600,21600" o:gfxdata="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BYAAABkcnMvUEsBAhQAFAAAAAgAh07iQOxvwb/a&#10;AAAACQEAAA8AAAAAAAAAAQAgAAAAOAAAAGRycy9kb3ducmV2LnhtbFBLAQIUABQAAAAIAIdO4kCe&#10;9sCvQQIAAHQEAAAOAAAAAAAAAAEAIAAAAD8BAABkcnMvZTJvRG9jLnhtbFBLBQYAAAAABgAGAFkB&#10;AADyBQAAAAA=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 xml:space="preserve">                             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 xml:space="preserve">旁通流量计 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color w:val="000000"/>
          <w:sz w:val="28"/>
          <w:szCs w:val="28"/>
          <w:lang w:val="en-US" w:eastAsia="zh-CN"/>
        </w:rPr>
        <w:t>放空</w:t>
      </w:r>
    </w:p>
    <w:p>
      <w:pPr>
        <w:spacing w:line="360" w:lineRule="auto"/>
        <w:ind w:firstLine="480" w:firstLineChars="200"/>
        <w:jc w:val="center"/>
        <w:rPr>
          <w:spacing w:val="15"/>
          <w:szCs w:val="21"/>
        </w:rPr>
      </w:pPr>
      <w:r>
        <w:rPr>
          <w:spacing w:val="15"/>
          <w:szCs w:val="21"/>
        </w:rPr>
        <w:t>图1仪器气路连接示意图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cs="Times New Roman" w:asciiTheme="minorEastAsia" w:hAnsiTheme="minorEastAsia"/>
          <w:sz w:val="24"/>
        </w:rPr>
        <w:t>6.2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>示值误差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在正常工作</w:t>
      </w:r>
      <w:r>
        <w:rPr>
          <w:rFonts w:ascii="宋体" w:hAnsi="宋体" w:eastAsia="宋体" w:cs="Times New Roman"/>
          <w:sz w:val="24"/>
        </w:rPr>
        <w:t>条件下，仪器通电预热稳定后，先通入零点气体调整仪器的零点，再通入浓度约为测量上限80%的气体标准物质调整仪器示值，然后分别通入浓度约为满量程20%、50%和80%的气体标准物质，记</w:t>
      </w:r>
      <w:r>
        <w:rPr>
          <w:rFonts w:ascii="Times New Roman" w:hAnsi="Times New Roman" w:cs="Times New Roman"/>
          <w:sz w:val="24"/>
        </w:rPr>
        <w:t>录仪器稳定示值。每点测量3次，取3次的算术平均值作为仪器的示值。按式（1）计算仪器各浓度点的示值误</w:t>
      </w:r>
      <w:r>
        <w:rPr>
          <w:rFonts w:ascii="宋体" w:hAnsi="宋体" w:eastAsia="宋体" w:cs="Times New Roman"/>
          <w:sz w:val="24"/>
        </w:rPr>
        <w:t>差ΔC。</w:t>
      </w:r>
    </w:p>
    <w:p>
      <w:pPr>
        <w:spacing w:line="360" w:lineRule="auto"/>
        <w:ind w:firstLine="3600" w:firstLineChars="1500"/>
        <w:rPr>
          <w:sz w:val="24"/>
        </w:rPr>
      </w:pPr>
    </w:p>
    <w:p>
      <w:pPr>
        <w:spacing w:line="360" w:lineRule="auto"/>
        <w:ind w:firstLine="3600" w:firstLineChars="1500"/>
        <w:rPr>
          <w:sz w:val="24"/>
        </w:rPr>
      </w:pPr>
      <w:r>
        <w:rPr>
          <w:position w:val="-12"/>
          <w:sz w:val="24"/>
        </w:rPr>
        <w:object>
          <v:shape id="_x0000_i1025" o:spt="75" type="#_x0000_t75" style="height:20.25pt;width:60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31">
            <o:LockedField>false</o:LockedField>
          </o:OLEObject>
        </w:object>
      </w:r>
      <w:r>
        <w:rPr>
          <w:sz w:val="24"/>
        </w:rPr>
        <w:t xml:space="preserve">                                      </w:t>
      </w:r>
      <w:r>
        <w:rPr>
          <w:rFonts w:hint="eastAsia" w:ascii="宋体" w:hAnsi="宋体" w:eastAsia="宋体"/>
          <w:sz w:val="24"/>
        </w:rPr>
        <w:t>（1）</w:t>
      </w:r>
    </w:p>
    <w:p>
      <w:pPr>
        <w:snapToGrid w:val="0"/>
        <w:spacing w:line="360" w:lineRule="auto"/>
        <w:ind w:firstLine="540" w:firstLineChars="200"/>
        <w:rPr>
          <w:spacing w:val="15"/>
          <w:sz w:val="24"/>
        </w:rPr>
      </w:pPr>
      <w:r>
        <w:rPr>
          <w:spacing w:val="15"/>
          <w:sz w:val="24"/>
        </w:rPr>
        <w:t>式中：</w:t>
      </w:r>
      <w:r>
        <w:rPr>
          <w:spacing w:val="15"/>
          <w:position w:val="-6"/>
          <w:sz w:val="24"/>
        </w:rPr>
        <w:object>
          <v:shape id="_x0000_i1026" o:spt="75" type="#_x0000_t75" style="height:17.25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33">
            <o:LockedField>false</o:LockedField>
          </o:OLEObject>
        </w:object>
      </w:r>
      <w:r>
        <w:rPr>
          <w:rFonts w:hint="eastAsia"/>
          <w:spacing w:val="15"/>
          <w:sz w:val="24"/>
          <w:lang w:eastAsia="zh-CN"/>
        </w:rPr>
        <w:t>—</w:t>
      </w:r>
      <w:r>
        <w:rPr>
          <w:spacing w:val="15"/>
          <w:sz w:val="24"/>
        </w:rPr>
        <w:t xml:space="preserve"> 仪器示值的算术平均值</w:t>
      </w:r>
    </w:p>
    <w:p>
      <w:pPr>
        <w:snapToGrid w:val="0"/>
        <w:spacing w:line="360" w:lineRule="auto"/>
        <w:ind w:firstLine="1498" w:firstLineChars="555"/>
        <w:rPr>
          <w:rFonts w:hint="eastAsia" w:eastAsiaTheme="minorEastAsia"/>
          <w:spacing w:val="15"/>
          <w:sz w:val="24"/>
          <w:lang w:val="en-US" w:eastAsia="zh-CN"/>
        </w:rPr>
      </w:pPr>
      <w:r>
        <w:rPr>
          <w:spacing w:val="15"/>
          <w:position w:val="-12"/>
          <w:sz w:val="24"/>
        </w:rPr>
        <w:object>
          <v:shape id="_x0000_i1027" o:spt="75" type="#_x0000_t75" style="height:17.25pt;width:1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35">
            <o:LockedField>false</o:LockedField>
          </o:OLEObject>
        </w:object>
      </w:r>
      <w:r>
        <w:rPr>
          <w:spacing w:val="15"/>
          <w:sz w:val="24"/>
        </w:rPr>
        <w:t>— 气体标准物质的浓度值</w:t>
      </w:r>
    </w:p>
    <w:p>
      <w:pPr>
        <w:tabs>
          <w:tab w:val="left" w:pos="6380"/>
        </w:tabs>
        <w:snapToGrid w:val="0"/>
        <w:spacing w:line="360" w:lineRule="auto"/>
        <w:ind w:firstLine="1332" w:firstLineChars="555"/>
        <w:rPr>
          <w:spacing w:val="15"/>
          <w:sz w:val="24"/>
        </w:rPr>
      </w:pPr>
      <w:r>
        <w:rPr>
          <w:position w:val="-6"/>
          <w:sz w:val="24"/>
        </w:rPr>
        <w:object>
          <v:shape id="_x0000_i1028" o:spt="75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37">
            <o:LockedField>false</o:LockedField>
          </o:OLEObject>
        </w:object>
      </w:r>
      <w:r>
        <w:rPr>
          <w:rFonts w:hint="eastAsia" w:ascii="宋体" w:hAnsi="宋体" w:eastAsia="宋体" w:cs="宋体"/>
          <w:spacing w:val="15"/>
          <w:sz w:val="24"/>
        </w:rPr>
        <w:t>—</w:t>
      </w:r>
      <w:r>
        <w:rPr>
          <w:spacing w:val="15"/>
          <w:sz w:val="24"/>
        </w:rPr>
        <w:t xml:space="preserve"> 仪器的示值误差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cs="Times New Roman" w:asciiTheme="minorEastAsia" w:hAnsiTheme="minorEastAsia"/>
          <w:sz w:val="24"/>
        </w:rPr>
        <w:t>6.3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>重复性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通入浓度约为满量程50%的气体标准物质，记录仪器稳定示值。然后通入零点气体使仪器回零，再通入上述浓度的气体标准物质，重复测量6次，重复性以单次测量的相对标准偏差来表示。按式（3）计算仪器的重复性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</w:p>
    <w:p>
      <w:pPr>
        <w:spacing w:line="360" w:lineRule="auto"/>
        <w:ind w:firstLine="2970" w:firstLineChars="1100"/>
        <w:rPr>
          <w:rFonts w:ascii="宋体" w:hAnsi="宋体" w:eastAsia="宋体" w:cs="Times New Roman"/>
          <w:sz w:val="24"/>
        </w:rPr>
      </w:pPr>
      <w:r>
        <w:rPr>
          <w:spacing w:val="15"/>
          <w:position w:val="-26"/>
          <w:sz w:val="24"/>
        </w:rPr>
        <w:object>
          <v:shape id="_x0000_i1029" o:spt="75" type="#_x0000_t75" style="height:51pt;width:140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39">
            <o:LockedField>false</o:LockedField>
          </o:OLEObject>
        </w:object>
      </w:r>
      <w:r>
        <w:rPr>
          <w:spacing w:val="15"/>
          <w:sz w:val="24"/>
        </w:rPr>
        <w:t xml:space="preserve">                         </w:t>
      </w:r>
      <w:r>
        <w:rPr>
          <w:rFonts w:hint="eastAsia" w:ascii="宋体" w:hAnsi="宋体" w:eastAsia="宋体"/>
          <w:spacing w:val="15"/>
          <w:sz w:val="24"/>
        </w:rPr>
        <w:t>（2）</w:t>
      </w:r>
    </w:p>
    <w:p>
      <w:pPr>
        <w:snapToGrid w:val="0"/>
        <w:spacing w:line="360" w:lineRule="auto"/>
        <w:ind w:firstLine="540" w:firstLineChars="200"/>
        <w:rPr>
          <w:spacing w:val="15"/>
          <w:sz w:val="24"/>
        </w:rPr>
      </w:pPr>
      <w:r>
        <w:rPr>
          <w:spacing w:val="15"/>
          <w:sz w:val="24"/>
        </w:rPr>
        <w:t>式中</w:t>
      </w:r>
      <w:r>
        <w:rPr>
          <w:rFonts w:hint="eastAsia"/>
          <w:spacing w:val="15"/>
          <w:sz w:val="24"/>
        </w:rPr>
        <w:t xml:space="preserve">： </w:t>
      </w:r>
      <w:r>
        <w:rPr>
          <w:spacing w:val="15"/>
          <w:position w:val="-10"/>
          <w:sz w:val="24"/>
        </w:rPr>
        <w:object>
          <v:shape id="_x0000_i1030" o:spt="75" type="#_x0000_t75" style="height:16.5pt;width:13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41">
            <o:LockedField>false</o:LockedField>
          </o:OLEObject>
        </w:object>
      </w:r>
      <w:r>
        <w:rPr>
          <w:spacing w:val="15"/>
          <w:sz w:val="24"/>
        </w:rPr>
        <w:t>—第i次的示值</w:t>
      </w:r>
    </w:p>
    <w:p>
      <w:pPr>
        <w:snapToGrid w:val="0"/>
        <w:spacing w:line="360" w:lineRule="auto"/>
        <w:ind w:firstLine="1620" w:firstLineChars="600"/>
        <w:rPr>
          <w:spacing w:val="15"/>
          <w:sz w:val="24"/>
        </w:rPr>
      </w:pPr>
      <w:r>
        <w:rPr>
          <w:spacing w:val="15"/>
          <w:position w:val="-6"/>
          <w:sz w:val="24"/>
        </w:rPr>
        <w:object>
          <v:shape id="_x0000_i1031" o:spt="75" type="#_x0000_t75" style="height:17.25pt;width:1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43">
            <o:LockedField>false</o:LockedField>
          </o:OLEObject>
        </w:object>
      </w:r>
      <w:r>
        <w:rPr>
          <w:spacing w:val="15"/>
          <w:sz w:val="24"/>
        </w:rPr>
        <w:t>—仪器示值的算术平均值</w:t>
      </w:r>
    </w:p>
    <w:p>
      <w:pPr>
        <w:snapToGrid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/>
          <w:spacing w:val="15"/>
          <w:sz w:val="24"/>
        </w:rPr>
        <w:t xml:space="preserve"> </w:t>
      </w:r>
      <w:r>
        <w:rPr>
          <w:spacing w:val="15"/>
          <w:sz w:val="24"/>
        </w:rPr>
        <w:t xml:space="preserve">         </w:t>
      </w:r>
      <w:r>
        <w:rPr>
          <w:spacing w:val="15"/>
          <w:position w:val="-4"/>
          <w:sz w:val="28"/>
          <w:szCs w:val="28"/>
        </w:rPr>
        <w:object>
          <v:shape id="_x0000_i1032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45">
            <o:LockedField>false</o:LockedField>
          </o:OLEObject>
        </w:object>
      </w:r>
      <w:r>
        <w:rPr>
          <w:spacing w:val="15"/>
          <w:sz w:val="24"/>
        </w:rPr>
        <w:t>—测量次数</w:t>
      </w:r>
    </w:p>
    <w:p>
      <w:pPr>
        <w:snapToGrid w:val="0"/>
        <w:spacing w:line="360" w:lineRule="auto"/>
        <w:ind w:firstLine="540" w:firstLineChars="200"/>
        <w:rPr>
          <w:spacing w:val="15"/>
          <w:sz w:val="24"/>
        </w:rPr>
        <w:sectPr>
          <w:footerReference r:id="rId13" w:type="first"/>
          <w:pgSz w:w="11906" w:h="16838"/>
          <w:pgMar w:top="1134" w:right="1134" w:bottom="1134" w:left="1134" w:header="851" w:footer="992" w:gutter="0"/>
          <w:pgNumType w:fmt="decimalFullWidth" w:start="1"/>
          <w:cols w:space="720" w:num="1"/>
          <w:titlePg/>
          <w:docGrid w:type="lines" w:linePitch="312" w:charSpace="0"/>
        </w:sectPr>
      </w:pPr>
    </w:p>
    <w:p>
      <w:pPr>
        <w:snapToGrid w:val="0"/>
        <w:spacing w:line="360" w:lineRule="auto"/>
        <w:rPr>
          <w:spacing w:val="15"/>
          <w:sz w:val="24"/>
        </w:rPr>
      </w:pPr>
      <w:r>
        <w:rPr>
          <w:rFonts w:cs="Times New Roman" w:asciiTheme="minorEastAsia" w:hAnsiTheme="minorEastAsia"/>
          <w:sz w:val="24"/>
        </w:rPr>
        <w:t>6.4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>响应时间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先通入零点气体使仪器示值回零，再通入浓度约为满量程50%的气体标准物质，记录稳定示值。然后通入零点气体使仪器回零，再通入上述浓度的气体标准物质，同时启用秒表，待仪器显示值到达稳定示值的90%时停止计时，记录秒表读数。重复测量3次，取3次的算术平均值作为仪器的响应时间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cs="Times New Roman" w:asciiTheme="minorEastAsia" w:hAnsiTheme="minorEastAsia"/>
          <w:sz w:val="24"/>
        </w:rPr>
        <w:t>6.5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>报警功能</w:t>
      </w:r>
    </w:p>
    <w:p>
      <w:pPr>
        <w:snapToGrid w:val="0"/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通入高于报警设定值的气体标准物质，使仪器出现报警动作，观察仪器声光报警功能是否正常，记录仪器显示的报警浓度值。重复测量3次，取3次报警浓度值的算术平均值作为仪器的报警浓度值。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cs="Times New Roman" w:asciiTheme="minorEastAsia" w:hAnsiTheme="minorEastAsia"/>
          <w:sz w:val="24"/>
        </w:rPr>
        <w:t>6.6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>漂移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仪器的漂移包括零点漂移和量程漂移。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  <w:highlight w:val="none"/>
        </w:rPr>
      </w:pPr>
      <w:r>
        <w:rPr>
          <w:rFonts w:hint="eastAsia" w:ascii="Times New Roman" w:hAnsi="Times New Roman" w:cs="Times New Roman"/>
          <w:sz w:val="24"/>
          <w:highlight w:val="none"/>
          <w:lang w:val="en-US" w:eastAsia="zh-CN"/>
        </w:rPr>
        <w:t>通入零点气体使仪器示值回零，读取稳定示值记为C</w:t>
      </w:r>
      <w:r>
        <w:rPr>
          <w:rFonts w:hint="eastAsia" w:ascii="Times New Roman" w:hAnsi="Times New Roman" w:cs="Times New Roman"/>
          <w:sz w:val="24"/>
          <w:highlight w:val="none"/>
          <w:vertAlign w:val="subscript"/>
          <w:lang w:val="en-US" w:eastAsia="zh-CN"/>
        </w:rPr>
        <w:t>z0</w:t>
      </w:r>
      <w:r>
        <w:rPr>
          <w:rFonts w:ascii="Times New Roman" w:hAnsi="Times New Roman" w:cs="Times New Roman"/>
          <w:sz w:val="24"/>
          <w:highlight w:val="none"/>
        </w:rPr>
        <w:t>，</w:t>
      </w:r>
      <w:r>
        <w:rPr>
          <w:rFonts w:hint="eastAsia" w:ascii="Times New Roman" w:hAnsi="Times New Roman" w:cs="Times New Roman"/>
          <w:sz w:val="24"/>
          <w:highlight w:val="none"/>
          <w:lang w:val="en-US" w:eastAsia="zh-CN"/>
        </w:rPr>
        <w:t>再通入浓度约为测量上限80%的气体标准物质，读取稳定示值记为C</w:t>
      </w:r>
      <w:r>
        <w:rPr>
          <w:rFonts w:hint="eastAsia" w:ascii="Times New Roman" w:hAnsi="Times New Roman" w:cs="Times New Roman"/>
          <w:sz w:val="24"/>
          <w:highlight w:val="none"/>
          <w:vertAlign w:val="subscript"/>
          <w:lang w:val="en-US" w:eastAsia="zh-CN"/>
        </w:rPr>
        <w:t>x0</w:t>
      </w:r>
      <w:r>
        <w:rPr>
          <w:rFonts w:ascii="Times New Roman" w:hAnsi="Times New Roman" w:cs="Times New Roman"/>
          <w:sz w:val="24"/>
          <w:highlight w:val="none"/>
        </w:rPr>
        <w:t>，</w:t>
      </w:r>
      <w:r>
        <w:rPr>
          <w:rFonts w:hint="eastAsia" w:ascii="Times New Roman" w:hAnsi="Times New Roman" w:cs="Times New Roman"/>
          <w:sz w:val="24"/>
          <w:highlight w:val="none"/>
          <w:lang w:val="en-US" w:eastAsia="zh-CN"/>
        </w:rPr>
        <w:t>对便携式仪器连续运行1h，每间隔15min通入零点气体读取仪器稳定示值C</w:t>
      </w:r>
      <w:r>
        <w:rPr>
          <w:rFonts w:hint="eastAsia" w:ascii="Times New Roman" w:hAnsi="Times New Roman" w:cs="Times New Roman"/>
          <w:sz w:val="24"/>
          <w:highlight w:val="none"/>
          <w:vertAlign w:val="subscript"/>
          <w:lang w:val="en-US" w:eastAsia="zh-CN"/>
        </w:rPr>
        <w:t>zi</w:t>
      </w:r>
      <w:r>
        <w:rPr>
          <w:rFonts w:hint="eastAsia" w:ascii="Times New Roman" w:hAnsi="Times New Roman" w:cs="Times New Roman"/>
          <w:sz w:val="24"/>
          <w:highlight w:val="none"/>
          <w:lang w:val="en-US" w:eastAsia="zh-CN"/>
        </w:rPr>
        <w:t>，再通入上述气体标准物质读取仪器稳定示值C</w:t>
      </w:r>
      <w:r>
        <w:rPr>
          <w:rFonts w:hint="eastAsia" w:ascii="Times New Roman" w:hAnsi="Times New Roman" w:cs="Times New Roman"/>
          <w:sz w:val="24"/>
          <w:highlight w:val="none"/>
          <w:vertAlign w:val="subscript"/>
          <w:lang w:val="en-US" w:eastAsia="zh-CN"/>
        </w:rPr>
        <w:t>xi</w:t>
      </w:r>
      <w:r>
        <w:rPr>
          <w:rFonts w:hint="eastAsia" w:ascii="Times New Roman" w:hAnsi="Times New Roman" w:cs="Times New Roman"/>
          <w:sz w:val="24"/>
          <w:highlight w:val="none"/>
          <w:lang w:val="en-US" w:eastAsia="zh-CN"/>
        </w:rPr>
        <w:t>，固定式连续运行4h，每间隔1h重复上述步骤1次。</w:t>
      </w:r>
      <w:r>
        <w:rPr>
          <w:rFonts w:ascii="Times New Roman" w:hAnsi="Times New Roman" w:cs="Times New Roman"/>
          <w:sz w:val="24"/>
          <w:highlight w:val="none"/>
        </w:rPr>
        <w:t>（i=1，2，,3，4）。</w:t>
      </w:r>
    </w:p>
    <w:p>
      <w:pPr>
        <w:pStyle w:val="4"/>
        <w:tabs>
          <w:tab w:val="left" w:pos="4380"/>
          <w:tab w:val="left" w:pos="6528"/>
          <w:tab w:val="left" w:pos="8069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按式（4）计算零点漂移</w:t>
      </w:r>
      <w:r>
        <w:rPr>
          <w:rFonts w:cs="宋体"/>
          <w:spacing w:val="15"/>
          <w:position w:val="-10"/>
        </w:rPr>
        <w:object>
          <v:shape id="_x0000_i1033" o:spt="75" type="#_x0000_t75" style="height:17.25pt;width:17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47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，取绝对值最大的</w:t>
      </w:r>
      <w:r>
        <w:rPr>
          <w:rFonts w:cs="宋体"/>
          <w:spacing w:val="15"/>
          <w:position w:val="-10"/>
        </w:rPr>
        <w:object>
          <v:shape id="_x0000_i1034" o:spt="75" type="#_x0000_t75" style="height:17.25pt;width:17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49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作为仪器的零点漂移。</w:t>
      </w:r>
    </w:p>
    <w:p>
      <w:pPr>
        <w:pStyle w:val="4"/>
        <w:tabs>
          <w:tab w:val="left" w:pos="4380"/>
          <w:tab w:val="left" w:pos="6528"/>
          <w:tab w:val="left" w:pos="8069"/>
        </w:tabs>
        <w:snapToGrid w:val="0"/>
        <w:spacing w:line="360" w:lineRule="auto"/>
        <w:ind w:firstLine="2640" w:firstLineChars="1100"/>
        <w:rPr>
          <w:rFonts w:ascii="宋体" w:hAnsi="宋体" w:eastAsia="宋体"/>
          <w:sz w:val="24"/>
        </w:rPr>
      </w:pPr>
      <w:r>
        <w:rPr>
          <w:position w:val="-24"/>
          <w:sz w:val="24"/>
        </w:rPr>
        <w:object>
          <v:shape id="_x0000_i1035" o:spt="75" type="#_x0000_t75" style="height:32.25pt;width:109.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50">
            <o:LockedField>false</o:LockedField>
          </o:OLEObject>
        </w:object>
      </w:r>
      <w:r>
        <w:rPr>
          <w:sz w:val="24"/>
        </w:rPr>
        <w:t xml:space="preserve">                                    </w:t>
      </w:r>
      <w:r>
        <w:rPr>
          <w:rFonts w:hint="eastAsia" w:ascii="宋体" w:hAnsi="宋体" w:eastAsia="宋体"/>
          <w:sz w:val="24"/>
        </w:rPr>
        <w:t>（</w:t>
      </w:r>
      <w:r>
        <w:rPr>
          <w:rFonts w:ascii="宋体" w:hAnsi="宋体" w:eastAsia="宋体"/>
          <w:sz w:val="24"/>
        </w:rPr>
        <w:t>4</w:t>
      </w:r>
      <w:r>
        <w:rPr>
          <w:rFonts w:hint="eastAsia" w:ascii="宋体" w:hAnsi="宋体" w:eastAsia="宋体"/>
          <w:sz w:val="24"/>
        </w:rPr>
        <w:t>）</w:t>
      </w:r>
    </w:p>
    <w:p>
      <w:pPr>
        <w:snapToGrid w:val="0"/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ascii="Times New Roman" w:hAnsi="Times New Roman" w:cs="Times New Roman"/>
          <w:sz w:val="24"/>
        </w:rPr>
        <w:t>按式（5）计算量程漂移</w:t>
      </w:r>
      <w:r>
        <w:rPr>
          <w:rFonts w:cs="宋体"/>
          <w:spacing w:val="15"/>
          <w:position w:val="-12"/>
        </w:rPr>
        <w:object>
          <v:shape id="_x0000_i1036" o:spt="75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52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，取绝对值最大的</w:t>
      </w:r>
      <w:r>
        <w:rPr>
          <w:rFonts w:cs="宋体"/>
          <w:spacing w:val="15"/>
          <w:position w:val="-12"/>
        </w:rPr>
        <w:object>
          <v:shape id="_x0000_i1037" o:spt="75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54">
            <o:LockedField>false</o:LockedField>
          </o:OLEObject>
        </w:object>
      </w:r>
      <w:r>
        <w:rPr>
          <w:rFonts w:ascii="Times New Roman" w:hAnsi="Times New Roman" w:cs="Times New Roman"/>
          <w:sz w:val="24"/>
        </w:rPr>
        <w:t>作为仪器的量程漂移。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</w:t>
      </w:r>
      <w:r>
        <w:rPr>
          <w:rFonts w:ascii="宋体" w:hAnsi="宋体" w:eastAsia="宋体" w:cs="Times New Roman"/>
          <w:sz w:val="24"/>
        </w:rPr>
        <w:t xml:space="preserve"> </w:t>
      </w:r>
    </w:p>
    <w:p>
      <w:pPr>
        <w:pStyle w:val="4"/>
        <w:tabs>
          <w:tab w:val="left" w:pos="4380"/>
          <w:tab w:val="left" w:pos="6528"/>
          <w:tab w:val="left" w:pos="8069"/>
        </w:tabs>
        <w:snapToGrid w:val="0"/>
        <w:spacing w:line="360" w:lineRule="auto"/>
        <w:ind w:firstLine="2640" w:firstLineChars="1100"/>
        <w:rPr>
          <w:rFonts w:ascii="宋体" w:hAnsi="宋体" w:eastAsia="宋体"/>
          <w:sz w:val="24"/>
        </w:rPr>
      </w:pPr>
      <w:r>
        <w:rPr>
          <w:position w:val="-24"/>
          <w:sz w:val="24"/>
        </w:rPr>
        <w:object>
          <v:shape id="_x0000_i1038" o:spt="75" type="#_x0000_t75" style="height:32.25pt;width:177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56">
            <o:LockedField>false</o:LockedField>
          </o:OLEObject>
        </w:object>
      </w:r>
      <w:r>
        <w:rPr>
          <w:sz w:val="24"/>
        </w:rPr>
        <w:t xml:space="preserve">                        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>（5）</w:t>
      </w:r>
    </w:p>
    <w:p>
      <w:pPr>
        <w:snapToGrid w:val="0"/>
        <w:spacing w:line="360" w:lineRule="auto"/>
        <w:ind w:firstLine="480"/>
        <w:rPr>
          <w:sz w:val="24"/>
        </w:rPr>
      </w:pPr>
      <w:r>
        <w:rPr>
          <w:sz w:val="24"/>
        </w:rPr>
        <w:t>式中：</w:t>
      </w:r>
      <w:r>
        <w:rPr>
          <w:spacing w:val="15"/>
          <w:position w:val="-4"/>
          <w:sz w:val="24"/>
        </w:rPr>
        <w:object>
          <v:shape id="_x0000_i1039" o:spt="75" type="#_x0000_t75" style="height:13.5pt;width:12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58">
            <o:LockedField>false</o:LockedField>
          </o:OLEObject>
        </w:object>
      </w:r>
      <w:r>
        <w:rPr>
          <w:sz w:val="24"/>
        </w:rPr>
        <w:t>——仪器满量程。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黑体" w:hAnsi="黑体" w:eastAsia="黑体" w:cs="Times New Roman"/>
          <w:sz w:val="24"/>
        </w:rPr>
        <w:t xml:space="preserve">7 </w:t>
      </w:r>
      <w:r>
        <w:rPr>
          <w:rFonts w:ascii="Times New Roman" w:hAnsi="Times New Roman" w:eastAsia="黑体" w:cs="Times New Roman"/>
          <w:sz w:val="24"/>
        </w:rPr>
        <w:t>校准结果的表达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校准结果应在校准证书或校准报告上反映，校准证书或报告至少包括以下信息：</w:t>
      </w:r>
    </w:p>
    <w:p>
      <w:pPr>
        <w:numPr>
          <w:ilvl w:val="0"/>
          <w:numId w:val="1"/>
        </w:numPr>
        <w:snapToGrid w:val="0"/>
        <w:spacing w:line="360" w:lineRule="auto"/>
        <w:ind w:left="0" w:firstLine="482"/>
        <w:jc w:val="left"/>
        <w:rPr>
          <w:sz w:val="24"/>
        </w:rPr>
      </w:pPr>
      <w:r>
        <w:rPr>
          <w:sz w:val="24"/>
        </w:rPr>
        <w:t>标题，如“校准证书”或“校准报告”；</w:t>
      </w:r>
    </w:p>
    <w:p>
      <w:pPr>
        <w:numPr>
          <w:ilvl w:val="0"/>
          <w:numId w:val="1"/>
        </w:numPr>
        <w:snapToGrid w:val="0"/>
        <w:spacing w:line="360" w:lineRule="auto"/>
        <w:ind w:left="0" w:firstLine="482"/>
        <w:jc w:val="left"/>
        <w:rPr>
          <w:rFonts w:ascii="黑体" w:hAnsi="黑体" w:eastAsia="黑体" w:cs="Times New Roman"/>
          <w:sz w:val="24"/>
        </w:rPr>
      </w:pPr>
      <w:r>
        <w:rPr>
          <w:sz w:val="24"/>
        </w:rPr>
        <w:t>实验室名称和地址；</w:t>
      </w:r>
    </w:p>
    <w:p>
      <w:pPr>
        <w:spacing w:line="360" w:lineRule="auto"/>
        <w:rPr>
          <w:rFonts w:ascii="黑体" w:hAnsi="黑体" w:eastAsia="黑体" w:cs="Times New Roman"/>
          <w:sz w:val="24"/>
        </w:rPr>
      </w:pPr>
    </w:p>
    <w:p>
      <w:pPr>
        <w:spacing w:line="360" w:lineRule="auto"/>
        <w:rPr>
          <w:rFonts w:ascii="黑体" w:hAnsi="黑体" w:eastAsia="黑体" w:cs="Times New Roman"/>
          <w:sz w:val="24"/>
        </w:rPr>
        <w:sectPr>
          <w:headerReference r:id="rId14" w:type="first"/>
          <w:footerReference r:id="rId15" w:type="first"/>
          <w:pgSz w:w="11906" w:h="16838"/>
          <w:pgMar w:top="1134" w:right="1134" w:bottom="1134" w:left="1134" w:header="851" w:footer="992" w:gutter="0"/>
          <w:pgNumType w:fmt="decimalFullWidth" w:start="1"/>
          <w:cols w:space="720" w:num="1"/>
          <w:titlePg/>
          <w:docGrid w:type="lines" w:linePitch="312" w:charSpace="0"/>
        </w:sectPr>
      </w:pPr>
    </w:p>
    <w:p>
      <w:pPr>
        <w:numPr>
          <w:ilvl w:val="0"/>
          <w:numId w:val="1"/>
        </w:numPr>
        <w:snapToGrid w:val="0"/>
        <w:spacing w:line="360" w:lineRule="auto"/>
        <w:ind w:left="0" w:firstLine="480"/>
        <w:jc w:val="left"/>
        <w:rPr>
          <w:sz w:val="24"/>
        </w:rPr>
      </w:pPr>
      <w:r>
        <w:rPr>
          <w:sz w:val="24"/>
        </w:rPr>
        <w:t>进行校准的地点（如果不在实验室内进行校准）</w:t>
      </w:r>
    </w:p>
    <w:p>
      <w:pPr>
        <w:numPr>
          <w:ilvl w:val="0"/>
          <w:numId w:val="1"/>
        </w:numPr>
        <w:snapToGrid w:val="0"/>
        <w:spacing w:line="360" w:lineRule="auto"/>
        <w:ind w:left="0" w:firstLine="480"/>
        <w:jc w:val="left"/>
        <w:rPr>
          <w:sz w:val="24"/>
        </w:rPr>
      </w:pPr>
      <w:r>
        <w:rPr>
          <w:sz w:val="24"/>
        </w:rPr>
        <w:t>证书或报告的唯一性标识（如编号），每页及总页数的标识；</w:t>
      </w:r>
    </w:p>
    <w:p>
      <w:pPr>
        <w:numPr>
          <w:ilvl w:val="0"/>
          <w:numId w:val="1"/>
        </w:numPr>
        <w:snapToGrid w:val="0"/>
        <w:spacing w:line="360" w:lineRule="auto"/>
        <w:ind w:left="0" w:firstLine="480"/>
        <w:jc w:val="left"/>
        <w:rPr>
          <w:sz w:val="24"/>
        </w:rPr>
      </w:pPr>
      <w:r>
        <w:rPr>
          <w:sz w:val="24"/>
        </w:rPr>
        <w:t>客户的名称和地址；</w:t>
      </w:r>
    </w:p>
    <w:p>
      <w:pPr>
        <w:numPr>
          <w:ilvl w:val="0"/>
          <w:numId w:val="1"/>
        </w:numPr>
        <w:snapToGrid w:val="0"/>
        <w:spacing w:line="360" w:lineRule="auto"/>
        <w:ind w:left="0" w:firstLine="480"/>
        <w:jc w:val="left"/>
        <w:rPr>
          <w:sz w:val="24"/>
        </w:rPr>
      </w:pPr>
      <w:r>
        <w:rPr>
          <w:sz w:val="24"/>
        </w:rPr>
        <w:t>被校对象的描述和明确标识；</w:t>
      </w:r>
    </w:p>
    <w:p>
      <w:pPr>
        <w:numPr>
          <w:ilvl w:val="0"/>
          <w:numId w:val="1"/>
        </w:numPr>
        <w:snapToGrid w:val="0"/>
        <w:spacing w:line="360" w:lineRule="auto"/>
        <w:ind w:left="0" w:firstLine="480"/>
        <w:jc w:val="left"/>
        <w:rPr>
          <w:sz w:val="24"/>
        </w:rPr>
      </w:pPr>
      <w:r>
        <w:rPr>
          <w:sz w:val="24"/>
        </w:rPr>
        <w:t>进行校准的日期，如果与校准结果的有效性和应用有关时，应说明被校对象的可接收日期；</w:t>
      </w:r>
    </w:p>
    <w:p>
      <w:pPr>
        <w:numPr>
          <w:ilvl w:val="0"/>
          <w:numId w:val="1"/>
        </w:numPr>
        <w:snapToGrid w:val="0"/>
        <w:spacing w:line="360" w:lineRule="auto"/>
        <w:ind w:left="0" w:firstLine="480"/>
        <w:jc w:val="left"/>
        <w:rPr>
          <w:sz w:val="24"/>
        </w:rPr>
      </w:pPr>
      <w:r>
        <w:rPr>
          <w:sz w:val="24"/>
        </w:rPr>
        <w:t>如果与校准结果的有效性应用有关时，应对被校样品的抽样程序进行说明；</w:t>
      </w:r>
    </w:p>
    <w:p>
      <w:pPr>
        <w:numPr>
          <w:ilvl w:val="0"/>
          <w:numId w:val="1"/>
        </w:numPr>
        <w:snapToGrid w:val="0"/>
        <w:spacing w:line="360" w:lineRule="auto"/>
        <w:ind w:left="0" w:firstLine="480"/>
        <w:jc w:val="left"/>
        <w:rPr>
          <w:sz w:val="24"/>
        </w:rPr>
      </w:pPr>
      <w:r>
        <w:rPr>
          <w:sz w:val="24"/>
        </w:rPr>
        <w:t>校准所依据的技术规范的标识，包括名称及代号；</w:t>
      </w:r>
    </w:p>
    <w:p>
      <w:pPr>
        <w:numPr>
          <w:ilvl w:val="0"/>
          <w:numId w:val="1"/>
        </w:numPr>
        <w:snapToGrid w:val="0"/>
        <w:spacing w:line="360" w:lineRule="auto"/>
        <w:ind w:left="0" w:firstLine="480"/>
        <w:jc w:val="left"/>
        <w:rPr>
          <w:sz w:val="24"/>
        </w:rPr>
      </w:pPr>
      <w:r>
        <w:rPr>
          <w:sz w:val="24"/>
        </w:rPr>
        <w:t>本次校准所用测量标准的溯源性及有效性说明；</w:t>
      </w:r>
    </w:p>
    <w:p>
      <w:pPr>
        <w:numPr>
          <w:ilvl w:val="0"/>
          <w:numId w:val="1"/>
        </w:numPr>
        <w:snapToGrid w:val="0"/>
        <w:spacing w:line="360" w:lineRule="auto"/>
        <w:ind w:left="0" w:firstLine="480"/>
        <w:jc w:val="left"/>
        <w:rPr>
          <w:sz w:val="24"/>
        </w:rPr>
      </w:pPr>
      <w:r>
        <w:rPr>
          <w:sz w:val="24"/>
        </w:rPr>
        <w:t>校准环境的描述；</w:t>
      </w:r>
    </w:p>
    <w:p>
      <w:pPr>
        <w:numPr>
          <w:ilvl w:val="0"/>
          <w:numId w:val="1"/>
        </w:numPr>
        <w:snapToGrid w:val="0"/>
        <w:spacing w:line="360" w:lineRule="auto"/>
        <w:ind w:left="0" w:firstLine="480"/>
        <w:rPr>
          <w:rFonts w:cs="宋体"/>
          <w:sz w:val="24"/>
        </w:rPr>
      </w:pPr>
      <w:r>
        <w:rPr>
          <w:sz w:val="24"/>
        </w:rPr>
        <w:t>校准结果及其测量不确定度的说明；</w:t>
      </w:r>
    </w:p>
    <w:p>
      <w:pPr>
        <w:numPr>
          <w:ilvl w:val="0"/>
          <w:numId w:val="1"/>
        </w:numPr>
        <w:snapToGrid w:val="0"/>
        <w:spacing w:line="360" w:lineRule="auto"/>
        <w:ind w:left="0" w:firstLine="480"/>
        <w:rPr>
          <w:rFonts w:cs="宋体"/>
          <w:sz w:val="24"/>
        </w:rPr>
      </w:pPr>
      <w:r>
        <w:rPr>
          <w:rFonts w:cs="宋体"/>
          <w:sz w:val="24"/>
        </w:rPr>
        <w:t>对校准规范的偏离的说明；</w:t>
      </w:r>
    </w:p>
    <w:p>
      <w:pPr>
        <w:numPr>
          <w:ilvl w:val="0"/>
          <w:numId w:val="1"/>
        </w:numPr>
        <w:snapToGrid w:val="0"/>
        <w:spacing w:line="360" w:lineRule="auto"/>
        <w:ind w:left="0" w:firstLine="480"/>
        <w:jc w:val="left"/>
        <w:rPr>
          <w:sz w:val="24"/>
        </w:rPr>
      </w:pPr>
      <w:r>
        <w:rPr>
          <w:sz w:val="24"/>
        </w:rPr>
        <w:t>校准证书或校准报告签发人的签名、职务或等效标识；</w:t>
      </w:r>
    </w:p>
    <w:p>
      <w:pPr>
        <w:numPr>
          <w:ilvl w:val="0"/>
          <w:numId w:val="1"/>
        </w:numPr>
        <w:snapToGrid w:val="0"/>
        <w:spacing w:line="360" w:lineRule="auto"/>
        <w:ind w:left="0" w:firstLine="480"/>
        <w:jc w:val="left"/>
        <w:rPr>
          <w:sz w:val="24"/>
        </w:rPr>
      </w:pPr>
      <w:r>
        <w:rPr>
          <w:sz w:val="24"/>
        </w:rPr>
        <w:t>校准结果仅对被校对象有效的声明；</w:t>
      </w:r>
    </w:p>
    <w:p>
      <w:pPr>
        <w:numPr>
          <w:ilvl w:val="0"/>
          <w:numId w:val="1"/>
        </w:numPr>
        <w:snapToGrid w:val="0"/>
        <w:spacing w:line="360" w:lineRule="auto"/>
        <w:ind w:left="0" w:firstLine="480"/>
        <w:jc w:val="left"/>
        <w:rPr>
          <w:spacing w:val="15"/>
          <w:sz w:val="24"/>
        </w:rPr>
      </w:pPr>
      <w:r>
        <w:rPr>
          <w:spacing w:val="15"/>
          <w:sz w:val="24"/>
        </w:rPr>
        <w:t>未经实验室书面批准，不得部分复制证书的声明；</w:t>
      </w:r>
    </w:p>
    <w:p>
      <w:pPr>
        <w:spacing w:line="360" w:lineRule="auto"/>
        <w:rPr>
          <w:rFonts w:ascii="Times New Roman" w:hAnsi="Times New Roman" w:eastAsia="黑体" w:cs="Times New Roman"/>
          <w:sz w:val="24"/>
        </w:rPr>
      </w:pPr>
      <w:r>
        <w:rPr>
          <w:rFonts w:ascii="黑体" w:hAnsi="黑体" w:eastAsia="黑体" w:cs="Times New Roman"/>
          <w:b/>
          <w:sz w:val="24"/>
        </w:rPr>
        <w:t>8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eastAsia="黑体" w:cs="Times New Roman"/>
          <w:sz w:val="24"/>
        </w:rPr>
        <w:t>复校时间间隔</w:t>
      </w:r>
    </w:p>
    <w:p>
      <w:pPr>
        <w:snapToGrid w:val="0"/>
        <w:spacing w:line="360" w:lineRule="auto"/>
        <w:ind w:firstLine="540" w:firstLineChars="200"/>
        <w:rPr>
          <w:spacing w:val="15"/>
          <w:sz w:val="24"/>
        </w:rPr>
      </w:pPr>
      <w:r>
        <w:rPr>
          <w:spacing w:val="15"/>
          <w:sz w:val="24"/>
          <w:highlight w:val="none"/>
        </w:rPr>
        <w:t>建议</w:t>
      </w:r>
      <w:r>
        <w:rPr>
          <w:rFonts w:hint="eastAsia"/>
          <w:spacing w:val="15"/>
          <w:sz w:val="24"/>
          <w:highlight w:val="none"/>
          <w:lang w:val="en-US" w:eastAsia="zh-CN"/>
        </w:rPr>
        <w:t>复校时间间隔</w:t>
      </w:r>
      <w:r>
        <w:rPr>
          <w:spacing w:val="15"/>
          <w:sz w:val="24"/>
          <w:highlight w:val="none"/>
        </w:rPr>
        <w:t>不超过1年</w:t>
      </w:r>
      <w:r>
        <w:rPr>
          <w:rFonts w:hint="eastAsia"/>
          <w:spacing w:val="15"/>
          <w:sz w:val="24"/>
          <w:highlight w:val="none"/>
          <w:lang w:eastAsia="zh-CN"/>
        </w:rPr>
        <w:t>，</w:t>
      </w:r>
      <w:r>
        <w:rPr>
          <w:spacing w:val="15"/>
          <w:sz w:val="24"/>
        </w:rPr>
        <w:t>由于复校时间间隔的长短是由仪器的使用情况、使用者、仪器本身质量等因素所决定，因此客户可根据实际使用情况自主决定复校时间间隔，如果对仪器的检测数据有怀疑或仪器更换主要部件及维修后，应对仪器重新校准。</w:t>
      </w:r>
    </w:p>
    <w:p>
      <w:pPr>
        <w:spacing w:line="360" w:lineRule="auto"/>
        <w:ind w:firstLine="540" w:firstLineChars="225"/>
        <w:rPr>
          <w:rFonts w:ascii="Times New Roman" w:hAnsi="Times New Roman" w:cs="Times New Roman"/>
          <w:sz w:val="24"/>
        </w:rPr>
      </w:pPr>
    </w:p>
    <w:p>
      <w:pPr>
        <w:pStyle w:val="2"/>
        <w:tabs>
          <w:tab w:val="center" w:pos="4819"/>
        </w:tabs>
        <w:spacing w:before="312" w:beforeLines="100" w:after="312" w:afterLines="100" w:line="594" w:lineRule="exact"/>
        <w:rPr>
          <w:rFonts w:ascii="Times New Roman" w:hAnsi="Times New Roman" w:cs="Times New Roman"/>
          <w:sz w:val="28"/>
          <w:szCs w:val="28"/>
        </w:rPr>
      </w:pPr>
    </w:p>
    <w:p>
      <w:pPr>
        <w:pStyle w:val="2"/>
        <w:tabs>
          <w:tab w:val="center" w:pos="4819"/>
        </w:tabs>
        <w:spacing w:before="312" w:beforeLines="100" w:after="312" w:afterLines="100" w:line="594" w:lineRule="exact"/>
        <w:rPr>
          <w:rFonts w:ascii="Times New Roman" w:hAnsi="Times New Roman" w:cs="Times New Roman"/>
          <w:sz w:val="28"/>
          <w:szCs w:val="28"/>
        </w:rPr>
      </w:pPr>
    </w:p>
    <w:p>
      <w:pPr>
        <w:pStyle w:val="2"/>
        <w:tabs>
          <w:tab w:val="center" w:pos="4819"/>
        </w:tabs>
        <w:spacing w:before="312" w:beforeLines="100" w:after="312" w:afterLines="100" w:line="594" w:lineRule="exact"/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pStyle w:val="2"/>
        <w:tabs>
          <w:tab w:val="center" w:pos="4819"/>
        </w:tabs>
        <w:spacing w:before="312" w:beforeLines="100" w:after="312" w:afterLines="100" w:line="594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附录A</w:t>
      </w:r>
      <w:bookmarkEnd w:id="5"/>
      <w:bookmarkEnd w:id="6"/>
      <w:r>
        <w:rPr>
          <w:rFonts w:ascii="Times New Roman" w:hAnsi="Times New Roman" w:cs="Times New Roman"/>
          <w:sz w:val="28"/>
          <w:szCs w:val="28"/>
        </w:rPr>
        <w:tab/>
      </w:r>
    </w:p>
    <w:bookmarkEnd w:id="7"/>
    <w:p>
      <w:pPr>
        <w:pStyle w:val="11"/>
        <w:spacing w:line="260" w:lineRule="exact"/>
        <w:ind w:firstLine="3770" w:firstLineChars="1571"/>
        <w:jc w:val="both"/>
        <w:rPr>
          <w:rFonts w:ascii="黑体" w:hAnsi="黑体"/>
          <w:b w:val="0"/>
          <w:sz w:val="24"/>
          <w:szCs w:val="24"/>
        </w:rPr>
      </w:pPr>
      <w:r>
        <w:rPr>
          <w:rFonts w:hint="eastAsia" w:ascii="黑体" w:hAnsi="黑体"/>
          <w:b w:val="0"/>
          <w:sz w:val="24"/>
          <w:szCs w:val="24"/>
        </w:rPr>
        <w:t>校准证书记录格式</w:t>
      </w:r>
    </w:p>
    <w:p>
      <w:pPr>
        <w:spacing w:line="260" w:lineRule="exact"/>
        <w:rPr>
          <w:rFonts w:cs="宋体"/>
          <w:szCs w:val="21"/>
        </w:rPr>
      </w:pPr>
      <w:r>
        <w:rPr>
          <w:rFonts w:cs="宋体"/>
          <w:szCs w:val="21"/>
        </w:rPr>
        <w:t>记录（证书）编号：                                                         第   页  共   页</w:t>
      </w:r>
    </w:p>
    <w:tbl>
      <w:tblPr>
        <w:tblStyle w:val="12"/>
        <w:tblW w:w="96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958"/>
        <w:gridCol w:w="161"/>
        <w:gridCol w:w="1602"/>
        <w:gridCol w:w="1142"/>
        <w:gridCol w:w="134"/>
        <w:gridCol w:w="1516"/>
        <w:gridCol w:w="1276"/>
        <w:gridCol w:w="1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1" w:hRule="atLeast"/>
          <w:jc w:val="center"/>
        </w:trPr>
        <w:tc>
          <w:tcPr>
            <w:tcW w:w="168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-107" w:leftChars="-51" w:right="-23" w:rightChars="-11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委托单位</w:t>
            </w:r>
          </w:p>
        </w:tc>
        <w:tc>
          <w:tcPr>
            <w:tcW w:w="3863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174" w:firstLineChars="83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地  址</w:t>
            </w:r>
          </w:p>
        </w:tc>
        <w:tc>
          <w:tcPr>
            <w:tcW w:w="2463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260" w:lineRule="exact"/>
              <w:ind w:firstLine="840" w:firstLineChars="400"/>
              <w:jc w:val="center"/>
              <w:rPr>
                <w:rFonts w:cs="宋体"/>
                <w:color w:val="333333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7" w:hRule="atLeast"/>
          <w:jc w:val="center"/>
        </w:trPr>
        <w:tc>
          <w:tcPr>
            <w:tcW w:w="168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被校准计量器具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174" w:firstLineChars="83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名称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型号规格</w:t>
            </w: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8" w:hRule="atLeast"/>
          <w:jc w:val="center"/>
        </w:trPr>
        <w:tc>
          <w:tcPr>
            <w:tcW w:w="168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制造厂</w:t>
            </w:r>
          </w:p>
        </w:tc>
        <w:tc>
          <w:tcPr>
            <w:tcW w:w="2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1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出厂编号</w:t>
            </w: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68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39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最大允许误差</w:t>
            </w:r>
          </w:p>
        </w:tc>
        <w:tc>
          <w:tcPr>
            <w:tcW w:w="39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firstLine="420"/>
              <w:rPr>
                <w:rFonts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标准器名称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编号</w:t>
            </w: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174" w:firstLineChars="83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测量范围</w:t>
            </w:r>
          </w:p>
        </w:tc>
        <w:tc>
          <w:tcPr>
            <w:tcW w:w="2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不确定度/准确度等级/最大允许误差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溯源单位及证书编号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有效期至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" w:hRule="atLeas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2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7"/>
              <w:spacing w:line="260" w:lineRule="exact"/>
              <w:ind w:left="525" w:leftChars="250" w:firstLine="420"/>
              <w:jc w:val="center"/>
              <w:rPr>
                <w:rFonts w:hAnsi="宋体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174" w:firstLineChars="83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依据</w:t>
            </w:r>
          </w:p>
        </w:tc>
        <w:tc>
          <w:tcPr>
            <w:tcW w:w="27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2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校准地点</w:t>
            </w: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  <w:jc w:val="center"/>
        </w:trPr>
        <w:tc>
          <w:tcPr>
            <w:tcW w:w="4407" w:type="dxa"/>
            <w:gridSpan w:val="4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  <w:highlight w:val="yellow"/>
              </w:rPr>
            </w:pPr>
            <w:r>
              <w:rPr>
                <w:rFonts w:cs="宋体"/>
                <w:szCs w:val="21"/>
              </w:rPr>
              <w:t>环境条件</w:t>
            </w:r>
          </w:p>
        </w:tc>
        <w:tc>
          <w:tcPr>
            <w:tcW w:w="52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 xml:space="preserve">温    度：    </w:t>
            </w:r>
            <w:r>
              <w:rPr>
                <w:rFonts w:hint="eastAsia" w:ascii="宋体" w:hAnsi="宋体" w:eastAsia="宋体" w:cs="宋体"/>
                <w:szCs w:val="21"/>
              </w:rPr>
              <w:t>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  <w:jc w:val="center"/>
        </w:trPr>
        <w:tc>
          <w:tcPr>
            <w:tcW w:w="4407" w:type="dxa"/>
            <w:gridSpan w:val="4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52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相对湿度：  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校准日期</w:t>
            </w:r>
          </w:p>
        </w:tc>
        <w:tc>
          <w:tcPr>
            <w:tcW w:w="79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7" w:hRule="atLeas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校准员</w:t>
            </w:r>
          </w:p>
        </w:tc>
        <w:tc>
          <w:tcPr>
            <w:tcW w:w="27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  <w:tc>
          <w:tcPr>
            <w:tcW w:w="2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  <w:r>
              <w:rPr>
                <w:rFonts w:cs="宋体"/>
                <w:szCs w:val="21"/>
              </w:rPr>
              <w:t>核验员</w:t>
            </w: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cs="宋体"/>
                <w:szCs w:val="21"/>
              </w:rPr>
            </w:pPr>
          </w:p>
        </w:tc>
      </w:tr>
    </w:tbl>
    <w:p>
      <w:pPr>
        <w:spacing w:line="260" w:lineRule="exact"/>
        <w:rPr>
          <w:rFonts w:cs="宋体"/>
          <w:szCs w:val="21"/>
        </w:rPr>
      </w:pPr>
      <w:r>
        <w:rPr>
          <w:rFonts w:cs="宋体"/>
          <w:szCs w:val="21"/>
        </w:rPr>
        <w:t>1 示值误差</w:t>
      </w:r>
    </w:p>
    <w:tbl>
      <w:tblPr>
        <w:tblStyle w:val="12"/>
        <w:tblW w:w="979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1092"/>
        <w:gridCol w:w="1578"/>
        <w:gridCol w:w="1578"/>
        <w:gridCol w:w="1194"/>
        <w:gridCol w:w="1559"/>
        <w:gridCol w:w="129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0" w:hRule="atLeast"/>
          <w:jc w:val="center"/>
        </w:trPr>
        <w:tc>
          <w:tcPr>
            <w:tcW w:w="1498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  <w:vertAlign w:val="subscript"/>
              </w:rPr>
            </w:pPr>
            <w:r>
              <w:rPr>
                <w:rFonts w:ascii="宋体" w:hAnsi="宋体" w:eastAsia="宋体" w:cs="宋体"/>
                <w:szCs w:val="21"/>
              </w:rPr>
              <w:t>标准气浓度值/(μmol/mol)</w:t>
            </w:r>
          </w:p>
        </w:tc>
        <w:tc>
          <w:tcPr>
            <w:tcW w:w="5442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仪器示值/(</w:t>
            </w:r>
            <w:r>
              <w:rPr>
                <w:rFonts w:hint="eastAsia" w:ascii="宋体" w:hAnsi="宋体" w:eastAsia="宋体" w:cs="宋体"/>
                <w:position w:val="-4"/>
                <w:sz w:val="24"/>
              </w:rPr>
              <w:t>μ</w:t>
            </w:r>
            <w:r>
              <w:rPr>
                <w:rFonts w:ascii="宋体" w:hAnsi="宋体" w:eastAsia="宋体" w:cs="宋体"/>
                <w:szCs w:val="21"/>
              </w:rPr>
              <w:t>mol/mol)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示值误差/%</w:t>
            </w:r>
          </w:p>
        </w:tc>
        <w:tc>
          <w:tcPr>
            <w:tcW w:w="1299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不确定度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0" w:hRule="atLeast"/>
          <w:jc w:val="center"/>
        </w:trPr>
        <w:tc>
          <w:tcPr>
            <w:tcW w:w="1498" w:type="dxa"/>
            <w:vMerge w:val="continue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1</w:t>
            </w:r>
          </w:p>
        </w:tc>
        <w:tc>
          <w:tcPr>
            <w:tcW w:w="1578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2</w:t>
            </w:r>
          </w:p>
        </w:tc>
        <w:tc>
          <w:tcPr>
            <w:tcW w:w="1578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3</w:t>
            </w:r>
          </w:p>
        </w:tc>
        <w:tc>
          <w:tcPr>
            <w:tcW w:w="1194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平均值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299" w:type="dxa"/>
            <w:vMerge w:val="continue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65" w:hRule="atLeast"/>
          <w:jc w:val="center"/>
        </w:trPr>
        <w:tc>
          <w:tcPr>
            <w:tcW w:w="1498" w:type="dxa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578" w:type="dxa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578" w:type="dxa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194" w:type="dxa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299" w:type="dxa"/>
            <w:vMerge w:val="restart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27" w:hRule="atLeast"/>
          <w:jc w:val="center"/>
        </w:trPr>
        <w:tc>
          <w:tcPr>
            <w:tcW w:w="1498" w:type="dxa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578" w:type="dxa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578" w:type="dxa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194" w:type="dxa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299" w:type="dxa"/>
            <w:vMerge w:val="continue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27" w:hRule="atLeast"/>
          <w:jc w:val="center"/>
        </w:trPr>
        <w:tc>
          <w:tcPr>
            <w:tcW w:w="1498" w:type="dxa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578" w:type="dxa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578" w:type="dxa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194" w:type="dxa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  <w:tc>
          <w:tcPr>
            <w:tcW w:w="1299" w:type="dxa"/>
            <w:vMerge w:val="continue"/>
          </w:tcPr>
          <w:p>
            <w:pPr>
              <w:spacing w:line="260" w:lineRule="exact"/>
              <w:ind w:firstLine="516"/>
              <w:jc w:val="center"/>
              <w:rPr>
                <w:rFonts w:ascii="宋体" w:hAnsi="宋体" w:eastAsia="宋体" w:cs="宋体"/>
                <w:spacing w:val="24"/>
                <w:szCs w:val="21"/>
              </w:rPr>
            </w:pPr>
          </w:p>
        </w:tc>
      </w:tr>
    </w:tbl>
    <w:p>
      <w:pPr>
        <w:spacing w:line="26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2.重复性</w:t>
      </w:r>
    </w:p>
    <w:tbl>
      <w:tblPr>
        <w:tblStyle w:val="12"/>
        <w:tblW w:w="976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1157"/>
        <w:gridCol w:w="1157"/>
        <w:gridCol w:w="1157"/>
        <w:gridCol w:w="1157"/>
        <w:gridCol w:w="1157"/>
        <w:gridCol w:w="1158"/>
        <w:gridCol w:w="119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630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标准气浓度值</w:t>
            </w:r>
          </w:p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/(</w:t>
            </w:r>
            <w:r>
              <w:rPr>
                <w:rFonts w:hint="eastAsia" w:ascii="宋体" w:hAnsi="宋体" w:eastAsia="宋体" w:cs="宋体"/>
                <w:position w:val="-4"/>
                <w:sz w:val="24"/>
              </w:rPr>
              <w:t>μ</w:t>
            </w:r>
            <w:r>
              <w:rPr>
                <w:rFonts w:ascii="宋体" w:hAnsi="宋体" w:eastAsia="宋体" w:cs="宋体"/>
                <w:szCs w:val="21"/>
              </w:rPr>
              <w:t>mol/mol)</w:t>
            </w:r>
          </w:p>
        </w:tc>
        <w:tc>
          <w:tcPr>
            <w:tcW w:w="6943" w:type="dxa"/>
            <w:gridSpan w:val="6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仪器示值/(</w:t>
            </w:r>
            <w:r>
              <w:rPr>
                <w:rFonts w:hint="eastAsia" w:ascii="宋体" w:hAnsi="宋体" w:eastAsia="宋体" w:cs="宋体"/>
                <w:position w:val="-4"/>
                <w:sz w:val="24"/>
              </w:rPr>
              <w:t>μ</w:t>
            </w:r>
            <w:r>
              <w:rPr>
                <w:rFonts w:ascii="宋体" w:hAnsi="宋体" w:eastAsia="宋体" w:cs="宋体"/>
                <w:szCs w:val="21"/>
              </w:rPr>
              <w:t>mol/mol)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重复性/%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630" w:type="dxa"/>
            <w:vMerge w:val="continue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1</w:t>
            </w:r>
          </w:p>
        </w:tc>
        <w:tc>
          <w:tcPr>
            <w:tcW w:w="1157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2</w:t>
            </w:r>
          </w:p>
        </w:tc>
        <w:tc>
          <w:tcPr>
            <w:tcW w:w="1157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3</w:t>
            </w:r>
          </w:p>
        </w:tc>
        <w:tc>
          <w:tcPr>
            <w:tcW w:w="1157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4</w:t>
            </w:r>
          </w:p>
        </w:tc>
        <w:tc>
          <w:tcPr>
            <w:tcW w:w="1157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5</w:t>
            </w:r>
          </w:p>
        </w:tc>
        <w:tc>
          <w:tcPr>
            <w:tcW w:w="1158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6</w:t>
            </w:r>
          </w:p>
        </w:tc>
        <w:tc>
          <w:tcPr>
            <w:tcW w:w="1191" w:type="dxa"/>
            <w:vMerge w:val="continue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630" w:type="dxa"/>
            <w:vAlign w:val="center"/>
          </w:tcPr>
          <w:p>
            <w:pPr>
              <w:spacing w:line="260" w:lineRule="exac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7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8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91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spacing w:line="260" w:lineRule="exact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3. 报警功能：</w:t>
      </w:r>
    </w:p>
    <w:tbl>
      <w:tblPr>
        <w:tblStyle w:val="12"/>
        <w:tblW w:w="979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969"/>
        <w:gridCol w:w="1969"/>
        <w:gridCol w:w="1567"/>
        <w:gridCol w:w="248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" w:hRule="atLeast"/>
          <w:jc w:val="center"/>
        </w:trPr>
        <w:tc>
          <w:tcPr>
            <w:tcW w:w="1806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报警功能</w:t>
            </w:r>
          </w:p>
        </w:tc>
        <w:tc>
          <w:tcPr>
            <w:tcW w:w="7993" w:type="dxa"/>
            <w:gridSpan w:val="4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" w:hRule="atLeast"/>
          <w:jc w:val="center"/>
        </w:trPr>
        <w:tc>
          <w:tcPr>
            <w:tcW w:w="1806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报警设定值</w:t>
            </w:r>
          </w:p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/(</w:t>
            </w:r>
            <w:r>
              <w:rPr>
                <w:rFonts w:hint="eastAsia" w:ascii="宋体" w:hAnsi="宋体" w:eastAsia="宋体" w:cs="宋体"/>
                <w:position w:val="-4"/>
                <w:sz w:val="24"/>
              </w:rPr>
              <w:t>μ</w:t>
            </w:r>
            <w:r>
              <w:rPr>
                <w:rFonts w:ascii="宋体" w:hAnsi="宋体" w:eastAsia="宋体" w:cs="宋体"/>
                <w:szCs w:val="21"/>
              </w:rPr>
              <w:t>mol/mol)</w:t>
            </w:r>
          </w:p>
        </w:tc>
        <w:tc>
          <w:tcPr>
            <w:tcW w:w="5505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实测报警值/(</w:t>
            </w:r>
            <w:r>
              <w:rPr>
                <w:rFonts w:hint="eastAsia" w:ascii="宋体" w:hAnsi="宋体" w:eastAsia="宋体" w:cs="宋体"/>
                <w:position w:val="-4"/>
                <w:sz w:val="24"/>
              </w:rPr>
              <w:t>μ</w:t>
            </w:r>
            <w:r>
              <w:rPr>
                <w:rFonts w:ascii="宋体" w:hAnsi="宋体" w:eastAsia="宋体" w:cs="宋体"/>
                <w:szCs w:val="21"/>
              </w:rPr>
              <w:t>mol/mol)</w:t>
            </w:r>
          </w:p>
        </w:tc>
        <w:tc>
          <w:tcPr>
            <w:tcW w:w="2488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平均报警值</w:t>
            </w:r>
          </w:p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/(</w:t>
            </w:r>
            <w:r>
              <w:rPr>
                <w:rFonts w:hint="eastAsia" w:ascii="宋体" w:hAnsi="宋体" w:eastAsia="宋体" w:cs="宋体"/>
                <w:position w:val="-4"/>
                <w:sz w:val="24"/>
              </w:rPr>
              <w:t>μ</w:t>
            </w:r>
            <w:r>
              <w:rPr>
                <w:rFonts w:ascii="宋体" w:hAnsi="宋体" w:eastAsia="宋体" w:cs="宋体"/>
                <w:szCs w:val="21"/>
              </w:rPr>
              <w:t>mol/mol)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806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69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69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67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488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spacing w:line="260" w:lineRule="exact"/>
        <w:rPr>
          <w:rFonts w:ascii="宋体" w:hAnsi="宋体" w:eastAsia="宋体" w:cs="宋体"/>
          <w:spacing w:val="24"/>
          <w:szCs w:val="21"/>
        </w:rPr>
      </w:pPr>
      <w:r>
        <w:rPr>
          <w:rFonts w:ascii="宋体" w:hAnsi="宋体" w:eastAsia="宋体" w:cs="宋体"/>
          <w:spacing w:val="24"/>
          <w:szCs w:val="21"/>
        </w:rPr>
        <w:t xml:space="preserve">4 </w:t>
      </w:r>
      <w:r>
        <w:rPr>
          <w:rFonts w:ascii="宋体" w:hAnsi="宋体" w:eastAsia="宋体" w:cs="宋体"/>
          <w:szCs w:val="21"/>
        </w:rPr>
        <w:t>响应时间</w:t>
      </w:r>
    </w:p>
    <w:tbl>
      <w:tblPr>
        <w:tblStyle w:val="12"/>
        <w:tblW w:w="983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976"/>
        <w:gridCol w:w="1976"/>
        <w:gridCol w:w="1977"/>
        <w:gridCol w:w="209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1813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标准气浓度值/(</w:t>
            </w:r>
            <w:r>
              <w:rPr>
                <w:rFonts w:hint="eastAsia" w:ascii="宋体" w:hAnsi="宋体" w:eastAsia="宋体" w:cs="宋体"/>
                <w:position w:val="-4"/>
                <w:sz w:val="24"/>
              </w:rPr>
              <w:t>μ</w:t>
            </w:r>
            <w:r>
              <w:rPr>
                <w:rFonts w:ascii="宋体" w:hAnsi="宋体" w:eastAsia="宋体" w:cs="宋体"/>
                <w:szCs w:val="21"/>
              </w:rPr>
              <w:t>mol/mol)</w:t>
            </w:r>
          </w:p>
        </w:tc>
        <w:tc>
          <w:tcPr>
            <w:tcW w:w="5929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时间/s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响应时间/s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1813" w:type="dxa"/>
            <w:vMerge w:val="continue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1</w:t>
            </w:r>
          </w:p>
        </w:tc>
        <w:tc>
          <w:tcPr>
            <w:tcW w:w="1976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2</w:t>
            </w:r>
          </w:p>
        </w:tc>
        <w:tc>
          <w:tcPr>
            <w:tcW w:w="1976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3</w:t>
            </w:r>
          </w:p>
        </w:tc>
        <w:tc>
          <w:tcPr>
            <w:tcW w:w="2094" w:type="dxa"/>
            <w:vMerge w:val="continue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exact"/>
          <w:jc w:val="center"/>
        </w:trPr>
        <w:tc>
          <w:tcPr>
            <w:tcW w:w="1813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976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094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spacing w:line="260" w:lineRule="exact"/>
        <w:rPr>
          <w:rFonts w:ascii="宋体" w:hAnsi="宋体" w:eastAsia="宋体" w:cs="宋体"/>
          <w:spacing w:val="24"/>
          <w:szCs w:val="21"/>
        </w:rPr>
      </w:pPr>
      <w:r>
        <w:rPr>
          <w:rFonts w:ascii="宋体" w:hAnsi="宋体" w:eastAsia="宋体" w:cs="宋体"/>
          <w:spacing w:val="24"/>
          <w:szCs w:val="21"/>
        </w:rPr>
        <w:t>5.</w:t>
      </w:r>
      <w:r>
        <w:rPr>
          <w:rFonts w:ascii="宋体" w:hAnsi="宋体" w:eastAsia="宋体" w:cs="宋体"/>
          <w:szCs w:val="21"/>
        </w:rPr>
        <w:t>漂移</w:t>
      </w:r>
    </w:p>
    <w:tbl>
      <w:tblPr>
        <w:tblStyle w:val="12"/>
        <w:tblW w:w="980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7"/>
        <w:gridCol w:w="992"/>
        <w:gridCol w:w="992"/>
        <w:gridCol w:w="992"/>
        <w:gridCol w:w="993"/>
        <w:gridCol w:w="992"/>
        <w:gridCol w:w="695"/>
        <w:gridCol w:w="140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2747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时间</w:t>
            </w:r>
          </w:p>
        </w:tc>
        <w:tc>
          <w:tcPr>
            <w:tcW w:w="992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pacing w:val="-10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10"/>
                <w:szCs w:val="21"/>
                <w:highlight w:val="none"/>
              </w:rPr>
              <w:t>0h/0min</w:t>
            </w:r>
          </w:p>
        </w:tc>
        <w:tc>
          <w:tcPr>
            <w:tcW w:w="992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pacing w:val="-10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10"/>
                <w:szCs w:val="21"/>
                <w:highlight w:val="none"/>
              </w:rPr>
              <w:t>1h/1</w:t>
            </w:r>
            <w:r>
              <w:rPr>
                <w:rFonts w:hint="eastAsia" w:ascii="宋体" w:hAnsi="宋体" w:eastAsia="宋体" w:cs="宋体"/>
                <w:spacing w:val="-10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spacing w:val="-10"/>
                <w:szCs w:val="21"/>
                <w:highlight w:val="none"/>
              </w:rPr>
              <w:t>min</w:t>
            </w:r>
          </w:p>
        </w:tc>
        <w:tc>
          <w:tcPr>
            <w:tcW w:w="992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pacing w:val="-10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10"/>
                <w:szCs w:val="21"/>
                <w:highlight w:val="none"/>
              </w:rPr>
              <w:t>2h/</w:t>
            </w:r>
            <w:r>
              <w:rPr>
                <w:rFonts w:hint="eastAsia" w:ascii="宋体" w:hAnsi="宋体" w:eastAsia="宋体" w:cs="宋体"/>
                <w:spacing w:val="-10"/>
                <w:szCs w:val="21"/>
                <w:highlight w:val="none"/>
                <w:lang w:val="en-US" w:eastAsia="zh-CN"/>
              </w:rPr>
              <w:t>30</w:t>
            </w:r>
            <w:r>
              <w:rPr>
                <w:rFonts w:ascii="宋体" w:hAnsi="宋体" w:eastAsia="宋体" w:cs="宋体"/>
                <w:spacing w:val="-10"/>
                <w:szCs w:val="21"/>
                <w:highlight w:val="none"/>
              </w:rPr>
              <w:t>min</w:t>
            </w:r>
          </w:p>
        </w:tc>
        <w:tc>
          <w:tcPr>
            <w:tcW w:w="993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pacing w:val="-10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10"/>
                <w:szCs w:val="21"/>
                <w:highlight w:val="none"/>
              </w:rPr>
              <w:t>3h/</w:t>
            </w:r>
            <w:r>
              <w:rPr>
                <w:rFonts w:hint="eastAsia" w:ascii="宋体" w:hAnsi="宋体" w:eastAsia="宋体" w:cs="宋体"/>
                <w:spacing w:val="-10"/>
                <w:szCs w:val="21"/>
                <w:highlight w:val="none"/>
                <w:lang w:val="en-US" w:eastAsia="zh-CN"/>
              </w:rPr>
              <w:t>45</w:t>
            </w:r>
            <w:r>
              <w:rPr>
                <w:rFonts w:ascii="宋体" w:hAnsi="宋体" w:eastAsia="宋体" w:cs="宋体"/>
                <w:spacing w:val="-10"/>
                <w:szCs w:val="21"/>
                <w:highlight w:val="none"/>
              </w:rPr>
              <w:t>min</w:t>
            </w:r>
          </w:p>
        </w:tc>
        <w:tc>
          <w:tcPr>
            <w:tcW w:w="992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pacing w:val="-10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-10"/>
                <w:szCs w:val="21"/>
                <w:highlight w:val="none"/>
              </w:rPr>
              <w:t>4h/</w:t>
            </w:r>
            <w:r>
              <w:rPr>
                <w:rFonts w:hint="eastAsia" w:ascii="宋体" w:hAnsi="宋体" w:eastAsia="宋体" w:cs="宋体"/>
                <w:spacing w:val="-10"/>
                <w:szCs w:val="21"/>
                <w:highlight w:val="none"/>
                <w:lang w:val="en-US" w:eastAsia="zh-CN"/>
              </w:rPr>
              <w:t>60</w:t>
            </w:r>
            <w:r>
              <w:rPr>
                <w:rFonts w:ascii="宋体" w:hAnsi="宋体" w:eastAsia="宋体" w:cs="宋体"/>
                <w:spacing w:val="-10"/>
                <w:szCs w:val="21"/>
                <w:highlight w:val="none"/>
              </w:rPr>
              <w:t>min</w:t>
            </w:r>
          </w:p>
        </w:tc>
        <w:tc>
          <w:tcPr>
            <w:tcW w:w="695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零点</w:t>
            </w:r>
            <w:r>
              <w:rPr>
                <w:rFonts w:ascii="宋体" w:hAnsi="宋体" w:eastAsia="宋体" w:cs="宋体"/>
                <w:szCs w:val="21"/>
              </w:rPr>
              <w:br w:type="textWrapping"/>
            </w:r>
            <w:r>
              <w:rPr>
                <w:rFonts w:ascii="宋体" w:hAnsi="宋体" w:eastAsia="宋体" w:cs="宋体"/>
                <w:szCs w:val="21"/>
              </w:rPr>
              <w:t>漂移</w:t>
            </w:r>
          </w:p>
        </w:tc>
        <w:tc>
          <w:tcPr>
            <w:tcW w:w="1405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量程</w:t>
            </w:r>
          </w:p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漂移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2747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零点</w:t>
            </w:r>
          </w:p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/(</w:t>
            </w:r>
            <w:r>
              <w:rPr>
                <w:rFonts w:hint="eastAsia" w:ascii="宋体" w:hAnsi="宋体" w:eastAsia="宋体" w:cs="宋体"/>
                <w:position w:val="-4"/>
                <w:sz w:val="24"/>
              </w:rPr>
              <w:t>μ</w:t>
            </w:r>
            <w:r>
              <w:rPr>
                <w:rFonts w:ascii="宋体" w:hAnsi="宋体" w:eastAsia="宋体" w:cs="宋体"/>
                <w:szCs w:val="21"/>
              </w:rPr>
              <w:t>mol/mol)</w:t>
            </w:r>
          </w:p>
        </w:tc>
        <w:tc>
          <w:tcPr>
            <w:tcW w:w="992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atLeast"/>
          <w:jc w:val="center"/>
        </w:trPr>
        <w:tc>
          <w:tcPr>
            <w:tcW w:w="2747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示值</w:t>
            </w:r>
          </w:p>
          <w:p>
            <w:pPr>
              <w:spacing w:line="2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/(</w:t>
            </w:r>
            <w:r>
              <w:rPr>
                <w:rFonts w:hint="eastAsia" w:ascii="宋体" w:hAnsi="宋体" w:eastAsia="宋体" w:cs="宋体"/>
                <w:position w:val="-4"/>
                <w:sz w:val="24"/>
              </w:rPr>
              <w:t>μ</w:t>
            </w:r>
            <w:r>
              <w:rPr>
                <w:rFonts w:ascii="宋体" w:hAnsi="宋体" w:eastAsia="宋体" w:cs="宋体"/>
                <w:szCs w:val="21"/>
              </w:rPr>
              <w:t>mol/mol)</w:t>
            </w:r>
          </w:p>
        </w:tc>
        <w:tc>
          <w:tcPr>
            <w:tcW w:w="992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95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260" w:lineRule="exact"/>
              <w:ind w:firstLine="42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</w:p>
    <w:bookmarkEnd w:id="8"/>
    <w:p>
      <w:pPr>
        <w:widowControl/>
        <w:jc w:val="left"/>
        <w:rPr>
          <w:rFonts w:ascii="Times New Roman" w:hAnsi="Times New Roman" w:cs="Times New Roman"/>
          <w:sz w:val="28"/>
          <w:szCs w:val="28"/>
        </w:rPr>
        <w:sectPr>
          <w:headerReference r:id="rId17" w:type="first"/>
          <w:footerReference r:id="rId19" w:type="first"/>
          <w:headerReference r:id="rId16" w:type="default"/>
          <w:footerReference r:id="rId18" w:type="default"/>
          <w:pgSz w:w="11906" w:h="16838"/>
          <w:pgMar w:top="1134" w:right="1134" w:bottom="1134" w:left="1134" w:header="851" w:footer="992" w:gutter="0"/>
          <w:pgNumType w:fmt="decimalFullWidth" w:start="1"/>
          <w:cols w:space="720" w:num="1"/>
          <w:titlePg/>
          <w:docGrid w:type="lines" w:linePitch="312" w:charSpace="0"/>
        </w:sectPr>
      </w:pPr>
      <w:bookmarkStart w:id="9" w:name="_Toc12289659"/>
    </w:p>
    <w:p>
      <w:pPr>
        <w:widowControl/>
        <w:jc w:val="left"/>
        <w:rPr>
          <w:rFonts w:ascii="Times New Roman" w:hAnsi="Times New Roman" w:cs="Times New Roman"/>
          <w:bCs/>
          <w:kern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>附录B</w:t>
      </w:r>
    </w:p>
    <w:bookmarkEnd w:id="9"/>
    <w:p>
      <w:pPr>
        <w:rPr>
          <w:rFonts w:ascii="Times New Roman" w:hAnsi="Times New Roman" w:cs="Times New Roman"/>
        </w:rPr>
      </w:pPr>
      <w:bookmarkStart w:id="10" w:name="_Toc511806863"/>
      <w:bookmarkStart w:id="11" w:name="_Toc496642796"/>
      <w:bookmarkStart w:id="12" w:name="_Toc12289660"/>
      <w:bookmarkStart w:id="13" w:name="_Toc511807166"/>
    </w:p>
    <w:p>
      <w:pPr>
        <w:rPr>
          <w:rFonts w:ascii="Times New Roman" w:hAnsi="Times New Roman" w:cs="Times New Roman"/>
        </w:rPr>
      </w:pPr>
    </w:p>
    <w:p>
      <w:pPr>
        <w:pStyle w:val="11"/>
        <w:spacing w:line="240" w:lineRule="auto"/>
        <w:ind w:firstLine="480"/>
        <w:rPr>
          <w:rFonts w:ascii="黑体" w:hAnsi="黑体"/>
          <w:b w:val="0"/>
          <w:spacing w:val="13"/>
          <w:sz w:val="24"/>
          <w:szCs w:val="24"/>
        </w:rPr>
      </w:pPr>
      <w:r>
        <w:rPr>
          <w:rFonts w:hint="eastAsia" w:ascii="黑体" w:hAnsi="黑体"/>
          <w:b w:val="0"/>
          <w:sz w:val="24"/>
          <w:szCs w:val="24"/>
          <w:lang w:val="zh-CN"/>
        </w:rPr>
        <w:t>校准证书内页格式</w:t>
      </w:r>
    </w:p>
    <w:p>
      <w:pPr>
        <w:ind w:firstLine="560"/>
        <w:jc w:val="center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校 准 结 果</w:t>
      </w:r>
    </w:p>
    <w:p>
      <w:pPr>
        <w:spacing w:before="10"/>
        <w:ind w:firstLine="100"/>
        <w:rPr>
          <w:rFonts w:ascii="Arial Unicode MS" w:hAnsi="Arial Unicode MS" w:eastAsia="Arial Unicode MS" w:cs="Arial Unicode MS"/>
          <w:sz w:val="24"/>
          <w:szCs w:val="24"/>
        </w:rPr>
      </w:pP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4"/>
        <w:gridCol w:w="1474"/>
        <w:gridCol w:w="1474"/>
        <w:gridCol w:w="1476"/>
        <w:gridCol w:w="1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6" w:hRule="exact"/>
          <w:jc w:val="center"/>
        </w:trPr>
        <w:tc>
          <w:tcPr>
            <w:tcW w:w="2424" w:type="dxa"/>
            <w:vAlign w:val="center"/>
          </w:tcPr>
          <w:p>
            <w:pPr>
              <w:pStyle w:val="28"/>
              <w:spacing w:before="87"/>
              <w:rPr>
                <w:rFonts w:hint="default" w:cs="Arial Unicode MS"/>
                <w:sz w:val="21"/>
                <w:szCs w:val="21"/>
              </w:rPr>
            </w:pPr>
            <w:r>
              <w:rPr>
                <w:rFonts w:cs="Arial Unicode MS"/>
                <w:spacing w:val="10"/>
                <w:sz w:val="21"/>
                <w:szCs w:val="21"/>
              </w:rPr>
              <w:t>校准项目</w:t>
            </w:r>
          </w:p>
        </w:tc>
        <w:tc>
          <w:tcPr>
            <w:tcW w:w="6244" w:type="dxa"/>
            <w:gridSpan w:val="4"/>
            <w:vAlign w:val="center"/>
          </w:tcPr>
          <w:p>
            <w:pPr>
              <w:pStyle w:val="28"/>
              <w:spacing w:before="87"/>
              <w:rPr>
                <w:rFonts w:hint="default" w:cs="Arial Unicode MS"/>
                <w:sz w:val="21"/>
                <w:szCs w:val="21"/>
              </w:rPr>
            </w:pPr>
            <w:r>
              <w:rPr>
                <w:rFonts w:cs="Arial Unicode MS"/>
                <w:spacing w:val="10"/>
                <w:sz w:val="21"/>
                <w:szCs w:val="21"/>
              </w:rPr>
              <w:t>校准结果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4" w:hRule="atLeast"/>
          <w:jc w:val="center"/>
        </w:trPr>
        <w:tc>
          <w:tcPr>
            <w:tcW w:w="2424" w:type="dxa"/>
            <w:vMerge w:val="restart"/>
            <w:vAlign w:val="center"/>
          </w:tcPr>
          <w:p>
            <w:pPr>
              <w:pStyle w:val="28"/>
              <w:spacing w:before="87"/>
              <w:rPr>
                <w:rFonts w:hint="default" w:cs="Arial Unicode MS"/>
                <w:spacing w:val="10"/>
                <w:sz w:val="21"/>
                <w:szCs w:val="21"/>
              </w:rPr>
            </w:pPr>
            <w:r>
              <w:rPr>
                <w:rFonts w:cs="Arial Unicode MS"/>
                <w:spacing w:val="10"/>
                <w:sz w:val="21"/>
                <w:szCs w:val="21"/>
              </w:rPr>
              <w:t>示值误差</w:t>
            </w:r>
          </w:p>
        </w:tc>
        <w:tc>
          <w:tcPr>
            <w:tcW w:w="1474" w:type="dxa"/>
            <w:vAlign w:val="center"/>
          </w:tcPr>
          <w:p>
            <w:pPr>
              <w:pStyle w:val="28"/>
              <w:spacing w:before="87"/>
              <w:rPr>
                <w:rFonts w:hint="default" w:cs="Arial Unicode MS"/>
                <w:spacing w:val="10"/>
                <w:sz w:val="21"/>
                <w:szCs w:val="21"/>
              </w:rPr>
            </w:pPr>
            <w:r>
              <w:rPr>
                <w:rFonts w:cs="Arial Unicode MS"/>
                <w:spacing w:val="10"/>
                <w:sz w:val="21"/>
                <w:szCs w:val="21"/>
              </w:rPr>
              <w:t>标准气体值</w:t>
            </w:r>
          </w:p>
        </w:tc>
        <w:tc>
          <w:tcPr>
            <w:tcW w:w="1474" w:type="dxa"/>
            <w:vAlign w:val="center"/>
          </w:tcPr>
          <w:p>
            <w:pPr>
              <w:pStyle w:val="28"/>
              <w:spacing w:before="87"/>
              <w:rPr>
                <w:rFonts w:hint="default" w:cs="Arial Unicode MS"/>
                <w:spacing w:val="10"/>
                <w:sz w:val="21"/>
                <w:szCs w:val="21"/>
              </w:rPr>
            </w:pPr>
            <w:r>
              <w:rPr>
                <w:rFonts w:cs="Arial Unicode MS"/>
                <w:spacing w:val="10"/>
                <w:sz w:val="21"/>
                <w:szCs w:val="21"/>
              </w:rPr>
              <w:t>仪器示值</w:t>
            </w:r>
          </w:p>
        </w:tc>
        <w:tc>
          <w:tcPr>
            <w:tcW w:w="1476" w:type="dxa"/>
            <w:vAlign w:val="center"/>
          </w:tcPr>
          <w:p>
            <w:pPr>
              <w:pStyle w:val="28"/>
              <w:spacing w:before="87"/>
              <w:rPr>
                <w:rFonts w:hint="default" w:cs="Arial Unicode MS"/>
                <w:spacing w:val="10"/>
                <w:sz w:val="21"/>
                <w:szCs w:val="21"/>
              </w:rPr>
            </w:pPr>
            <w:r>
              <w:rPr>
                <w:rFonts w:cs="Arial Unicode MS"/>
                <w:spacing w:val="10"/>
                <w:sz w:val="21"/>
                <w:szCs w:val="21"/>
              </w:rPr>
              <w:t>示值误差</w:t>
            </w:r>
          </w:p>
        </w:tc>
        <w:tc>
          <w:tcPr>
            <w:tcW w:w="1820" w:type="dxa"/>
            <w:vAlign w:val="center"/>
          </w:tcPr>
          <w:p>
            <w:pPr>
              <w:pStyle w:val="28"/>
              <w:spacing w:before="87"/>
              <w:rPr>
                <w:rFonts w:hint="default" w:cs="Arial Unicode MS"/>
                <w:spacing w:val="10"/>
                <w:sz w:val="21"/>
                <w:szCs w:val="21"/>
              </w:rPr>
            </w:pPr>
            <w:r>
              <w:rPr>
                <w:rFonts w:cs="Arial Unicode MS"/>
                <w:spacing w:val="10"/>
                <w:sz w:val="21"/>
                <w:szCs w:val="21"/>
              </w:rPr>
              <w:t>结果不确定度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2424" w:type="dxa"/>
            <w:vMerge w:val="continue"/>
            <w:vAlign w:val="center"/>
          </w:tcPr>
          <w:p>
            <w:pPr>
              <w:pStyle w:val="28"/>
              <w:spacing w:before="87"/>
              <w:ind w:firstLine="460"/>
              <w:rPr>
                <w:rFonts w:hint="default" w:cs="Arial Unicode MS"/>
                <w:spacing w:val="1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>
            <w:pPr>
              <w:pStyle w:val="28"/>
              <w:spacing w:before="87"/>
              <w:ind w:firstLine="460"/>
              <w:rPr>
                <w:rFonts w:hint="default" w:cs="Arial Unicode MS"/>
                <w:spacing w:val="1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>
            <w:pPr>
              <w:pStyle w:val="28"/>
              <w:spacing w:before="87"/>
              <w:ind w:firstLine="460"/>
              <w:rPr>
                <w:rFonts w:hint="default" w:cs="Arial Unicode MS"/>
                <w:spacing w:val="10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>
            <w:pPr>
              <w:pStyle w:val="28"/>
              <w:spacing w:before="87"/>
              <w:ind w:firstLine="460"/>
              <w:rPr>
                <w:rFonts w:hint="default" w:cs="Arial Unicode MS"/>
                <w:spacing w:val="10"/>
                <w:sz w:val="21"/>
                <w:szCs w:val="21"/>
              </w:rPr>
            </w:pPr>
          </w:p>
        </w:tc>
        <w:tc>
          <w:tcPr>
            <w:tcW w:w="1820" w:type="dxa"/>
            <w:vAlign w:val="center"/>
          </w:tcPr>
          <w:p>
            <w:pPr>
              <w:pStyle w:val="28"/>
              <w:spacing w:before="87"/>
              <w:ind w:firstLine="460"/>
              <w:rPr>
                <w:rFonts w:hint="default" w:cs="Arial Unicode MS"/>
                <w:spacing w:val="1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2424" w:type="dxa"/>
            <w:vMerge w:val="continue"/>
            <w:vAlign w:val="center"/>
          </w:tcPr>
          <w:p>
            <w:pPr>
              <w:pStyle w:val="28"/>
              <w:spacing w:before="87"/>
              <w:ind w:firstLine="460"/>
              <w:rPr>
                <w:rFonts w:hint="default" w:cs="Arial Unicode MS"/>
                <w:spacing w:val="1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>
            <w:pPr>
              <w:pStyle w:val="28"/>
              <w:spacing w:before="87"/>
              <w:ind w:firstLine="460"/>
              <w:rPr>
                <w:rFonts w:hint="default" w:cs="Arial Unicode MS"/>
                <w:spacing w:val="1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>
            <w:pPr>
              <w:pStyle w:val="28"/>
              <w:spacing w:before="87"/>
              <w:ind w:firstLine="460"/>
              <w:rPr>
                <w:rFonts w:hint="default" w:cs="Arial Unicode MS"/>
                <w:spacing w:val="10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>
            <w:pPr>
              <w:pStyle w:val="28"/>
              <w:spacing w:before="87"/>
              <w:ind w:firstLine="460"/>
              <w:rPr>
                <w:rFonts w:hint="default" w:cs="Arial Unicode MS"/>
                <w:spacing w:val="10"/>
                <w:sz w:val="21"/>
                <w:szCs w:val="21"/>
              </w:rPr>
            </w:pPr>
          </w:p>
        </w:tc>
        <w:tc>
          <w:tcPr>
            <w:tcW w:w="1820" w:type="dxa"/>
            <w:vAlign w:val="center"/>
          </w:tcPr>
          <w:p>
            <w:pPr>
              <w:pStyle w:val="28"/>
              <w:spacing w:before="87"/>
              <w:ind w:firstLine="460"/>
              <w:rPr>
                <w:rFonts w:hint="default" w:cs="Arial Unicode MS"/>
                <w:spacing w:val="1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2424" w:type="dxa"/>
            <w:vMerge w:val="continue"/>
            <w:vAlign w:val="center"/>
          </w:tcPr>
          <w:p>
            <w:pPr>
              <w:pStyle w:val="28"/>
              <w:spacing w:before="87"/>
              <w:ind w:firstLine="460"/>
              <w:rPr>
                <w:rFonts w:hint="default" w:cs="Arial Unicode MS"/>
                <w:spacing w:val="1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>
            <w:pPr>
              <w:pStyle w:val="28"/>
              <w:spacing w:before="87"/>
              <w:ind w:firstLine="460"/>
              <w:rPr>
                <w:rFonts w:hint="default" w:cs="Arial Unicode MS"/>
                <w:spacing w:val="10"/>
                <w:sz w:val="21"/>
                <w:szCs w:val="21"/>
              </w:rPr>
            </w:pPr>
          </w:p>
        </w:tc>
        <w:tc>
          <w:tcPr>
            <w:tcW w:w="1474" w:type="dxa"/>
            <w:vAlign w:val="center"/>
          </w:tcPr>
          <w:p>
            <w:pPr>
              <w:pStyle w:val="28"/>
              <w:spacing w:before="87"/>
              <w:ind w:firstLine="460"/>
              <w:rPr>
                <w:rFonts w:hint="default" w:cs="Arial Unicode MS"/>
                <w:spacing w:val="10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>
            <w:pPr>
              <w:pStyle w:val="28"/>
              <w:spacing w:before="87"/>
              <w:ind w:firstLine="460"/>
              <w:rPr>
                <w:rFonts w:hint="default" w:cs="Arial Unicode MS"/>
                <w:spacing w:val="10"/>
                <w:sz w:val="21"/>
                <w:szCs w:val="21"/>
              </w:rPr>
            </w:pPr>
          </w:p>
        </w:tc>
        <w:tc>
          <w:tcPr>
            <w:tcW w:w="1820" w:type="dxa"/>
            <w:vAlign w:val="center"/>
          </w:tcPr>
          <w:p>
            <w:pPr>
              <w:pStyle w:val="28"/>
              <w:spacing w:before="87"/>
              <w:ind w:firstLine="460"/>
              <w:rPr>
                <w:rFonts w:hint="default" w:cs="Arial Unicode MS"/>
                <w:spacing w:val="1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2424" w:type="dxa"/>
            <w:vAlign w:val="center"/>
          </w:tcPr>
          <w:p>
            <w:pPr>
              <w:pStyle w:val="28"/>
              <w:spacing w:before="91"/>
              <w:rPr>
                <w:rFonts w:hint="default" w:cs="Arial Unicode MS"/>
                <w:sz w:val="21"/>
                <w:szCs w:val="21"/>
              </w:rPr>
            </w:pPr>
            <w:r>
              <w:rPr>
                <w:rFonts w:cs="Arial Unicode MS"/>
                <w:spacing w:val="9"/>
                <w:sz w:val="21"/>
                <w:szCs w:val="21"/>
              </w:rPr>
              <w:t>重复性</w:t>
            </w:r>
          </w:p>
        </w:tc>
        <w:tc>
          <w:tcPr>
            <w:tcW w:w="6244" w:type="dxa"/>
            <w:gridSpan w:val="4"/>
            <w:vAlign w:val="center"/>
          </w:tcPr>
          <w:p>
            <w:pPr>
              <w:ind w:firstLine="42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2424" w:type="dxa"/>
            <w:vAlign w:val="center"/>
          </w:tcPr>
          <w:p>
            <w:pPr>
              <w:pStyle w:val="28"/>
              <w:spacing w:before="91"/>
              <w:rPr>
                <w:rFonts w:hint="default" w:cs="Arial Unicode MS"/>
                <w:sz w:val="21"/>
                <w:szCs w:val="21"/>
              </w:rPr>
            </w:pPr>
            <w:r>
              <w:rPr>
                <w:rFonts w:cs="Arial Unicode MS"/>
                <w:spacing w:val="10"/>
                <w:sz w:val="21"/>
                <w:szCs w:val="21"/>
              </w:rPr>
              <w:t>报警功能</w:t>
            </w:r>
          </w:p>
        </w:tc>
        <w:tc>
          <w:tcPr>
            <w:tcW w:w="6244" w:type="dxa"/>
            <w:gridSpan w:val="4"/>
            <w:vAlign w:val="center"/>
          </w:tcPr>
          <w:p>
            <w:pPr>
              <w:ind w:firstLine="42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2424" w:type="dxa"/>
            <w:vAlign w:val="center"/>
          </w:tcPr>
          <w:p>
            <w:pPr>
              <w:pStyle w:val="28"/>
              <w:spacing w:before="91"/>
              <w:rPr>
                <w:rFonts w:hint="default" w:cs="Arial Unicode MS"/>
                <w:sz w:val="21"/>
                <w:szCs w:val="21"/>
              </w:rPr>
            </w:pPr>
            <w:r>
              <w:rPr>
                <w:rFonts w:cs="Arial Unicode MS"/>
                <w:spacing w:val="10"/>
                <w:sz w:val="21"/>
                <w:szCs w:val="21"/>
              </w:rPr>
              <w:t>响应时间</w:t>
            </w:r>
          </w:p>
        </w:tc>
        <w:tc>
          <w:tcPr>
            <w:tcW w:w="6244" w:type="dxa"/>
            <w:gridSpan w:val="4"/>
            <w:vAlign w:val="center"/>
          </w:tcPr>
          <w:p>
            <w:pPr>
              <w:ind w:firstLine="42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2424" w:type="dxa"/>
            <w:vAlign w:val="center"/>
          </w:tcPr>
          <w:p>
            <w:pPr>
              <w:pStyle w:val="28"/>
              <w:spacing w:before="91"/>
              <w:rPr>
                <w:rFonts w:hint="default" w:cs="Arial Unicode MS"/>
                <w:sz w:val="21"/>
                <w:szCs w:val="21"/>
              </w:rPr>
            </w:pPr>
            <w:r>
              <w:rPr>
                <w:rFonts w:cs="Arial Unicode MS"/>
                <w:spacing w:val="10"/>
                <w:sz w:val="21"/>
                <w:szCs w:val="21"/>
              </w:rPr>
              <w:t>零点漂移</w:t>
            </w:r>
          </w:p>
        </w:tc>
        <w:tc>
          <w:tcPr>
            <w:tcW w:w="6244" w:type="dxa"/>
            <w:gridSpan w:val="4"/>
            <w:vAlign w:val="center"/>
          </w:tcPr>
          <w:p>
            <w:pPr>
              <w:ind w:firstLine="42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2424" w:type="dxa"/>
            <w:vAlign w:val="center"/>
          </w:tcPr>
          <w:p>
            <w:pPr>
              <w:pStyle w:val="28"/>
              <w:spacing w:before="91"/>
              <w:rPr>
                <w:rFonts w:hint="default" w:cs="Arial Unicode MS"/>
                <w:sz w:val="21"/>
                <w:szCs w:val="21"/>
              </w:rPr>
            </w:pPr>
            <w:r>
              <w:rPr>
                <w:rFonts w:cs="Arial Unicode MS"/>
                <w:spacing w:val="10"/>
                <w:sz w:val="21"/>
                <w:szCs w:val="21"/>
              </w:rPr>
              <w:t>量程漂移</w:t>
            </w:r>
          </w:p>
        </w:tc>
        <w:tc>
          <w:tcPr>
            <w:tcW w:w="6244" w:type="dxa"/>
            <w:gridSpan w:val="4"/>
            <w:vAlign w:val="center"/>
          </w:tcPr>
          <w:p>
            <w:pPr>
              <w:ind w:firstLine="420"/>
              <w:jc w:val="center"/>
              <w:rPr>
                <w:szCs w:val="21"/>
              </w:rPr>
            </w:pPr>
          </w:p>
        </w:tc>
      </w:tr>
    </w:tbl>
    <w:p>
      <w:pPr>
        <w:tabs>
          <w:tab w:val="left" w:pos="560"/>
        </w:tabs>
        <w:spacing w:line="360" w:lineRule="exact"/>
        <w:rPr>
          <w:rFonts w:ascii="Times New Roman" w:hAnsi="Times New Roman" w:cs="Times New Roman"/>
          <w:sz w:val="24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bookmarkEnd w:id="10"/>
    <w:bookmarkEnd w:id="11"/>
    <w:bookmarkEnd w:id="12"/>
    <w:bookmarkEnd w:id="13"/>
    <w:p>
      <w:pPr>
        <w:pStyle w:val="5"/>
        <w:spacing w:line="360" w:lineRule="auto"/>
        <w:ind w:left="0" w:leftChars="0"/>
        <w:rPr>
          <w:rFonts w:ascii="黑体" w:hAnsi="黑体" w:eastAsia="黑体"/>
          <w:sz w:val="28"/>
          <w:szCs w:val="28"/>
        </w:rPr>
      </w:pPr>
    </w:p>
    <w:p>
      <w:pPr>
        <w:pStyle w:val="5"/>
        <w:spacing w:line="360" w:lineRule="auto"/>
        <w:ind w:left="0" w:leftChars="0"/>
        <w:rPr>
          <w:rFonts w:ascii="黑体" w:hAnsi="黑体" w:eastAsia="黑体"/>
          <w:sz w:val="28"/>
          <w:szCs w:val="28"/>
        </w:rPr>
      </w:pPr>
    </w:p>
    <w:p>
      <w:pPr>
        <w:pStyle w:val="5"/>
        <w:spacing w:line="360" w:lineRule="auto"/>
        <w:ind w:left="0" w:leftChars="0"/>
        <w:rPr>
          <w:rFonts w:ascii="黑体" w:hAnsi="黑体" w:eastAsia="黑体"/>
          <w:sz w:val="28"/>
          <w:szCs w:val="28"/>
        </w:rPr>
        <w:sectPr>
          <w:footerReference r:id="rId20" w:type="first"/>
          <w:pgSz w:w="11906" w:h="16838"/>
          <w:pgMar w:top="1134" w:right="1134" w:bottom="1134" w:left="1134" w:header="851" w:footer="992" w:gutter="0"/>
          <w:pgNumType w:fmt="decimalFullWidth" w:start="1"/>
          <w:cols w:space="720" w:num="1"/>
          <w:titlePg/>
          <w:docGrid w:type="lines" w:linePitch="312" w:charSpace="0"/>
        </w:sectPr>
      </w:pPr>
    </w:p>
    <w:p>
      <w:pPr>
        <w:pStyle w:val="5"/>
        <w:spacing w:line="360" w:lineRule="auto"/>
        <w:ind w:left="0" w:leftChars="0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 xml:space="preserve">附录C           </w:t>
      </w:r>
    </w:p>
    <w:p>
      <w:pPr>
        <w:pStyle w:val="5"/>
        <w:spacing w:line="360" w:lineRule="auto"/>
        <w:ind w:left="0" w:leftChars="0" w:firstLine="1512" w:firstLineChars="6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w w:val="90"/>
          <w:sz w:val="28"/>
          <w:szCs w:val="28"/>
        </w:rPr>
        <w:t>氟化氢气体检测报警器</w:t>
      </w:r>
      <w:r>
        <w:rPr>
          <w:rFonts w:ascii="黑体" w:hAnsi="黑体" w:eastAsia="黑体"/>
          <w:w w:val="90"/>
          <w:sz w:val="28"/>
          <w:szCs w:val="28"/>
        </w:rPr>
        <w:t>示值误差</w:t>
      </w:r>
      <w:r>
        <w:rPr>
          <w:rFonts w:hint="eastAsia" w:ascii="黑体" w:hAnsi="黑体" w:eastAsia="黑体"/>
          <w:w w:val="90"/>
          <w:sz w:val="28"/>
          <w:szCs w:val="28"/>
        </w:rPr>
        <w:t>测量</w:t>
      </w:r>
      <w:r>
        <w:rPr>
          <w:rFonts w:ascii="黑体" w:hAnsi="黑体" w:eastAsia="黑体"/>
          <w:w w:val="90"/>
          <w:sz w:val="28"/>
          <w:szCs w:val="28"/>
        </w:rPr>
        <w:t>结果的不确定度评定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C.1概述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C.1.1测量依据：按照本校准方法对仪器进行校准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C.1.2环境条件：符合本校准方法规定的环境条件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C.1.3测量标准：</w:t>
      </w:r>
      <w:r>
        <w:rPr>
          <w:rFonts w:hint="eastAsia" w:ascii="宋体" w:hAnsi="宋体" w:eastAsia="宋体" w:cs="宋体"/>
          <w:sz w:val="24"/>
        </w:rPr>
        <w:t>氮中氟化氢气体标准物质</w:t>
      </w:r>
      <w:r>
        <w:rPr>
          <w:rFonts w:ascii="宋体" w:hAnsi="宋体" w:eastAsia="宋体" w:cs="宋体"/>
          <w:sz w:val="24"/>
        </w:rPr>
        <w:t>，相对扩展不确定度</w:t>
      </w:r>
      <w:r>
        <w:rPr>
          <w:rFonts w:ascii="宋体" w:hAnsi="宋体" w:eastAsia="宋体" w:cs="宋体"/>
          <w:i/>
          <w:sz w:val="24"/>
        </w:rPr>
        <w:t>U</w:t>
      </w:r>
      <w:r>
        <w:rPr>
          <w:rFonts w:ascii="宋体" w:hAnsi="宋体" w:eastAsia="宋体" w:cs="宋体"/>
          <w:sz w:val="24"/>
          <w:vertAlign w:val="subscript"/>
        </w:rPr>
        <w:t>rel</w:t>
      </w:r>
      <w:r>
        <w:rPr>
          <w:rFonts w:ascii="宋体" w:hAnsi="宋体" w:eastAsia="宋体" w:cs="宋体"/>
          <w:sz w:val="24"/>
        </w:rPr>
        <w:t>=</w:t>
      </w:r>
      <w:r>
        <w:rPr>
          <w:rFonts w:hint="eastAsia" w:ascii="宋体" w:hAnsi="宋体" w:eastAsia="宋体" w:cs="宋体"/>
          <w:sz w:val="24"/>
        </w:rPr>
        <w:t>3</w:t>
      </w:r>
      <w:r>
        <w:rPr>
          <w:rFonts w:ascii="宋体" w:hAnsi="宋体" w:eastAsia="宋体" w:cs="宋体"/>
          <w:sz w:val="24"/>
        </w:rPr>
        <w:t xml:space="preserve">% </w:t>
      </w:r>
      <w:r>
        <w:rPr>
          <w:rFonts w:ascii="宋体" w:hAnsi="宋体" w:eastAsia="宋体" w:cs="宋体"/>
          <w:i/>
          <w:sz w:val="24"/>
        </w:rPr>
        <w:t>k</w:t>
      </w:r>
      <w:r>
        <w:rPr>
          <w:rFonts w:ascii="宋体" w:hAnsi="宋体" w:eastAsia="宋体" w:cs="宋体"/>
          <w:sz w:val="24"/>
        </w:rPr>
        <w:t>=2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</w:rPr>
        <w:t>C.1.4被测对象：</w:t>
      </w:r>
      <w:r>
        <w:rPr>
          <w:rFonts w:hint="eastAsia" w:ascii="宋体" w:hAnsi="宋体" w:eastAsia="宋体" w:cs="宋体"/>
          <w:sz w:val="24"/>
        </w:rPr>
        <w:t>氟化氢</w:t>
      </w:r>
      <w:r>
        <w:rPr>
          <w:rFonts w:ascii="宋体" w:hAnsi="宋体" w:eastAsia="宋体" w:cs="宋体"/>
          <w:sz w:val="24"/>
        </w:rPr>
        <w:t>气体气体检测报警器（以下简称报警器）测量范围：（</w:t>
      </w:r>
      <w:r>
        <w:rPr>
          <w:rFonts w:hint="eastAsia" w:ascii="宋体" w:hAnsi="宋体" w:eastAsia="宋体" w:cs="宋体"/>
          <w:sz w:val="24"/>
        </w:rPr>
        <w:t>0</w:t>
      </w:r>
      <w:r>
        <w:rPr>
          <w:rFonts w:ascii="宋体" w:hAnsi="宋体" w:eastAsia="宋体" w:cs="宋体"/>
          <w:sz w:val="24"/>
        </w:rPr>
        <w:t>～</w:t>
      </w:r>
      <w:r>
        <w:rPr>
          <w:rFonts w:hint="eastAsia" w:ascii="宋体" w:hAnsi="宋体" w:eastAsia="宋体" w:cs="宋体"/>
          <w:sz w:val="24"/>
        </w:rPr>
        <w:t>30</w:t>
      </w:r>
      <w:r>
        <w:rPr>
          <w:rFonts w:ascii="宋体" w:hAnsi="宋体" w:eastAsia="宋体" w:cs="宋体"/>
          <w:sz w:val="24"/>
        </w:rPr>
        <w:t>）</w:t>
      </w:r>
      <w:r>
        <w:rPr>
          <w:rFonts w:hint="eastAsia" w:ascii="宋体" w:hAnsi="宋体" w:eastAsia="宋体" w:cs="宋体"/>
          <w:position w:val="-4"/>
          <w:sz w:val="24"/>
        </w:rPr>
        <w:t>μ</w:t>
      </w:r>
      <w:r>
        <w:rPr>
          <w:rFonts w:ascii="宋体" w:hAnsi="宋体" w:eastAsia="宋体" w:cs="宋体"/>
          <w:bCs/>
          <w:spacing w:val="13"/>
          <w:sz w:val="24"/>
          <w:szCs w:val="24"/>
        </w:rPr>
        <w:t>mol/mol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C.1.5 测量方法：按照报警器使用说明书中要求的流量，通入零点气体和浓度约为满量程80%的气体标准物质，调整仪器的零点和示值。再分别通入浓度约为测量上限20%、50%、80%的气体标准物质，待仪器示值稳定后，记录仪器示值，重复测量3次。3次算术平均值与气体标准物质浓度值的差值为该仪器的示值误差。</w:t>
      </w:r>
    </w:p>
    <w:p>
      <w:pPr>
        <w:spacing w:line="360" w:lineRule="auto"/>
        <w:rPr>
          <w:rFonts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sz w:val="24"/>
        </w:rPr>
        <w:t>C.2测量模型</w:t>
      </w:r>
    </w:p>
    <w:p>
      <w:pPr>
        <w:spacing w:line="360" w:lineRule="auto"/>
        <w:ind w:firstLine="480"/>
        <w:jc w:val="right"/>
        <w:rPr>
          <w:rFonts w:cs="宋体"/>
          <w:sz w:val="24"/>
        </w:rPr>
      </w:pPr>
      <w:r>
        <w:rPr>
          <w:rFonts w:cs="宋体"/>
          <w:sz w:val="24"/>
        </w:rPr>
        <w:t xml:space="preserve">                               </w:t>
      </w:r>
      <w:r>
        <w:rPr>
          <w:rFonts w:cs="宋体"/>
          <w:position w:val="-12"/>
          <w:sz w:val="24"/>
        </w:rPr>
        <w:object>
          <v:shape id="_x0000_i1040" o:spt="75" type="#_x0000_t75" style="height:20.25pt;width:61.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60">
            <o:LockedField>false</o:LockedField>
          </o:OLEObject>
        </w:object>
      </w:r>
      <w:r>
        <w:rPr>
          <w:rFonts w:cs="宋体"/>
          <w:sz w:val="24"/>
        </w:rPr>
        <w:t xml:space="preserve">                           </w:t>
      </w:r>
      <w:r>
        <w:rPr>
          <w:rFonts w:ascii="宋体" w:hAnsi="宋体" w:eastAsia="宋体" w:cs="宋体"/>
          <w:sz w:val="24"/>
        </w:rPr>
        <w:t>（D.1）</w:t>
      </w:r>
    </w:p>
    <w:p>
      <w:pPr>
        <w:pStyle w:val="29"/>
        <w:ind w:firstLine="480" w:firstLineChars="200"/>
        <w:rPr>
          <w:rFonts w:ascii="宋体" w:eastAsia="宋体" w:cs="宋体"/>
          <w:szCs w:val="24"/>
        </w:rPr>
      </w:pPr>
      <w:r>
        <w:rPr>
          <w:rFonts w:hint="eastAsia" w:ascii="宋体" w:eastAsia="宋体" w:cs="宋体"/>
          <w:szCs w:val="24"/>
        </w:rPr>
        <w:t>式中：</w:t>
      </w:r>
    </w:p>
    <w:p>
      <w:pPr>
        <w:pStyle w:val="29"/>
        <w:ind w:firstLine="1440" w:firstLineChars="600"/>
        <w:rPr>
          <w:rFonts w:ascii="宋体" w:eastAsia="宋体" w:cs="宋体"/>
          <w:szCs w:val="24"/>
          <w:lang w:val="en-US"/>
        </w:rPr>
      </w:pPr>
      <w:r>
        <w:rPr>
          <w:rFonts w:hint="eastAsia" w:ascii="宋体" w:eastAsia="宋体" w:cs="宋体"/>
          <w:position w:val="-6"/>
          <w:szCs w:val="24"/>
        </w:rPr>
        <w:object>
          <v:shape id="_x0000_i1041" o:spt="75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62">
            <o:LockedField>false</o:LockedField>
          </o:OLEObject>
        </w:object>
      </w:r>
      <w:r>
        <w:rPr>
          <w:rFonts w:hint="eastAsia" w:ascii="宋体" w:eastAsia="宋体" w:cs="宋体"/>
          <w:szCs w:val="24"/>
        </w:rPr>
        <w:t>—</w:t>
      </w:r>
      <w:r>
        <w:rPr>
          <w:rFonts w:hint="eastAsia" w:ascii="宋体" w:eastAsia="宋体" w:cs="宋体"/>
          <w:szCs w:val="24"/>
          <w:lang w:val="en-US" w:eastAsia="zh-CN"/>
        </w:rPr>
        <w:t xml:space="preserve"> </w:t>
      </w:r>
      <w:r>
        <w:rPr>
          <w:rFonts w:hint="eastAsia" w:ascii="宋体" w:eastAsia="宋体" w:cs="宋体"/>
          <w:szCs w:val="24"/>
        </w:rPr>
        <w:t>示值误差</w:t>
      </w:r>
      <w:r>
        <w:rPr>
          <w:rFonts w:hint="eastAsia" w:ascii="宋体" w:eastAsia="宋体" w:cs="宋体"/>
          <w:szCs w:val="24"/>
          <w:lang w:val="en-US"/>
        </w:rPr>
        <w:t>(</w:t>
      </w:r>
      <w:r>
        <w:rPr>
          <w:rFonts w:hint="eastAsia" w:ascii="宋体" w:eastAsia="宋体" w:cs="宋体"/>
          <w:position w:val="-4"/>
        </w:rPr>
        <w:t>μ</w:t>
      </w:r>
      <w:r>
        <w:rPr>
          <w:rFonts w:hint="eastAsia" w:ascii="宋体" w:eastAsia="宋体" w:cs="宋体"/>
          <w:bCs/>
          <w:spacing w:val="13"/>
          <w:szCs w:val="24"/>
        </w:rPr>
        <w:t>mol/mol</w:t>
      </w:r>
      <w:r>
        <w:rPr>
          <w:rFonts w:hint="eastAsia" w:ascii="宋体" w:eastAsia="宋体" w:cs="宋体"/>
          <w:szCs w:val="24"/>
          <w:lang w:val="en-US"/>
        </w:rPr>
        <w:t>)</w:t>
      </w:r>
    </w:p>
    <w:p>
      <w:pPr>
        <w:pStyle w:val="29"/>
        <w:ind w:firstLine="1440" w:firstLineChars="600"/>
        <w:rPr>
          <w:rFonts w:ascii="宋体" w:eastAsia="宋体" w:cs="宋体"/>
          <w:szCs w:val="24"/>
          <w:lang w:val="en-US"/>
        </w:rPr>
      </w:pPr>
      <w:r>
        <w:rPr>
          <w:rFonts w:hint="eastAsia" w:ascii="宋体" w:eastAsia="宋体" w:cs="宋体"/>
          <w:position w:val="-6"/>
          <w:szCs w:val="24"/>
          <w:vertAlign w:val="subscript"/>
        </w:rPr>
        <w:object>
          <v:shape id="_x0000_i1042" o:spt="75" type="#_x0000_t75" style="height:17.25pt;width:12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64">
            <o:LockedField>false</o:LockedField>
          </o:OLEObject>
        </w:object>
      </w:r>
      <w:r>
        <w:rPr>
          <w:rFonts w:hint="eastAsia" w:ascii="宋体" w:eastAsia="宋体" w:cs="宋体"/>
          <w:szCs w:val="24"/>
        </w:rPr>
        <w:t>— 仪器示值的算术平均值</w:t>
      </w:r>
      <w:r>
        <w:rPr>
          <w:rFonts w:hint="eastAsia" w:ascii="宋体" w:eastAsia="宋体" w:cs="宋体"/>
          <w:szCs w:val="24"/>
          <w:lang w:val="en-US"/>
        </w:rPr>
        <w:t>(</w:t>
      </w:r>
      <w:r>
        <w:rPr>
          <w:rFonts w:hint="eastAsia" w:ascii="宋体" w:eastAsia="宋体" w:cs="宋体"/>
          <w:position w:val="-4"/>
        </w:rPr>
        <w:t>μ</w:t>
      </w:r>
      <w:r>
        <w:rPr>
          <w:rFonts w:hint="eastAsia" w:ascii="宋体" w:eastAsia="宋体" w:cs="宋体"/>
          <w:bCs/>
          <w:spacing w:val="13"/>
          <w:szCs w:val="24"/>
        </w:rPr>
        <w:t>mol/mol</w:t>
      </w:r>
      <w:r>
        <w:rPr>
          <w:rFonts w:hint="eastAsia" w:ascii="宋体" w:eastAsia="宋体" w:cs="宋体"/>
          <w:szCs w:val="24"/>
          <w:lang w:val="en-US"/>
        </w:rPr>
        <w:t>)</w:t>
      </w:r>
    </w:p>
    <w:p>
      <w:pPr>
        <w:pStyle w:val="29"/>
        <w:ind w:firstLine="1440" w:firstLineChars="600"/>
        <w:rPr>
          <w:rFonts w:ascii="宋体" w:eastAsia="宋体" w:cs="宋体"/>
          <w:szCs w:val="24"/>
          <w:lang w:val="en-US"/>
        </w:rPr>
      </w:pPr>
      <w:r>
        <w:rPr>
          <w:rFonts w:hint="eastAsia" w:ascii="宋体" w:eastAsia="宋体" w:cs="宋体"/>
          <w:position w:val="-12"/>
          <w:szCs w:val="24"/>
          <w:vertAlign w:val="subscript"/>
        </w:rPr>
        <w:object>
          <v:shape id="_x0000_i1043" o:spt="75" type="#_x0000_t75" style="height:17.25pt;width:17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66">
            <o:LockedField>false</o:LockedField>
          </o:OLEObject>
        </w:object>
      </w:r>
      <w:r>
        <w:rPr>
          <w:rFonts w:hint="eastAsia" w:ascii="宋体" w:eastAsia="宋体" w:cs="宋体"/>
          <w:szCs w:val="24"/>
        </w:rPr>
        <w:t>—</w:t>
      </w:r>
      <w:r>
        <w:rPr>
          <w:rFonts w:hint="eastAsia" w:ascii="宋体" w:eastAsia="宋体" w:cs="宋体"/>
          <w:szCs w:val="24"/>
          <w:lang w:val="en-US" w:eastAsia="zh-CN"/>
        </w:rPr>
        <w:t xml:space="preserve"> </w:t>
      </w:r>
      <w:r>
        <w:rPr>
          <w:rFonts w:hint="eastAsia" w:ascii="宋体" w:eastAsia="宋体" w:cs="宋体"/>
          <w:szCs w:val="24"/>
        </w:rPr>
        <w:t>气体标准物质的浓度值</w:t>
      </w:r>
      <w:r>
        <w:rPr>
          <w:rFonts w:hint="eastAsia" w:ascii="宋体" w:eastAsia="宋体" w:cs="宋体"/>
          <w:szCs w:val="24"/>
          <w:lang w:val="en-US"/>
        </w:rPr>
        <w:t>(</w:t>
      </w:r>
      <w:r>
        <w:rPr>
          <w:rFonts w:hint="eastAsia" w:ascii="宋体" w:eastAsia="宋体" w:cs="宋体"/>
          <w:position w:val="-4"/>
        </w:rPr>
        <w:t>μ</w:t>
      </w:r>
      <w:r>
        <w:rPr>
          <w:rFonts w:hint="eastAsia" w:ascii="宋体" w:eastAsia="宋体" w:cs="宋体"/>
          <w:bCs/>
          <w:spacing w:val="13"/>
          <w:szCs w:val="24"/>
        </w:rPr>
        <w:t>mol/mol</w:t>
      </w:r>
      <w:r>
        <w:rPr>
          <w:rFonts w:hint="eastAsia" w:ascii="宋体" w:eastAsia="宋体" w:cs="宋体"/>
          <w:szCs w:val="24"/>
          <w:lang w:val="en-US"/>
        </w:rPr>
        <w:t>)</w:t>
      </w:r>
    </w:p>
    <w:p>
      <w:pPr>
        <w:spacing w:line="360" w:lineRule="auto"/>
        <w:rPr>
          <w:rFonts w:ascii="宋体" w:hAnsi="宋体" w:eastAsia="宋体" w:cs="宋体"/>
          <w:b/>
          <w:sz w:val="24"/>
        </w:rPr>
      </w:pPr>
      <w:r>
        <w:rPr>
          <w:rFonts w:ascii="宋体" w:hAnsi="宋体" w:eastAsia="宋体" w:cs="宋体"/>
          <w:sz w:val="24"/>
        </w:rPr>
        <w:t>C.3不确定度来源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C.3.1</w:t>
      </w:r>
      <w:r>
        <w:rPr>
          <w:rFonts w:hint="eastAsia" w:ascii="宋体" w:hAnsi="宋体" w:eastAsia="宋体" w:cs="宋体"/>
          <w:sz w:val="24"/>
        </w:rPr>
        <w:t>氮中氟化氢气体标准物质</w:t>
      </w:r>
      <w:r>
        <w:rPr>
          <w:rFonts w:ascii="宋体" w:hAnsi="宋体" w:eastAsia="宋体" w:cs="宋体"/>
          <w:sz w:val="24"/>
        </w:rPr>
        <w:t>的定值不确定度。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C.3.2环境条件、人员操作和被校仪器等各种随机因素引入的不确定度。</w:t>
      </w:r>
    </w:p>
    <w:p>
      <w:pPr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 xml:space="preserve">    灵敏系数：</w:t>
      </w:r>
      <w:r>
        <w:rPr>
          <w:rFonts w:ascii="宋体" w:hAnsi="宋体" w:eastAsia="宋体" w:cs="宋体"/>
          <w:position w:val="-26"/>
          <w:sz w:val="24"/>
          <w:highlight w:val="none"/>
        </w:rPr>
        <w:object>
          <v:shape id="_x0000_i1044" o:spt="75" type="#_x0000_t75" style="height:32.9pt;width:66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68">
            <o:LockedField>false</o:LockedField>
          </o:OLEObject>
        </w:object>
      </w:r>
      <w:r>
        <w:rPr>
          <w:rFonts w:ascii="宋体" w:hAnsi="宋体" w:eastAsia="宋体" w:cs="宋体"/>
          <w:sz w:val="24"/>
          <w:highlight w:val="none"/>
        </w:rPr>
        <w:t>,</w:t>
      </w:r>
      <w:r>
        <w:rPr>
          <w:rFonts w:ascii="宋体" w:hAnsi="宋体" w:eastAsia="宋体" w:cs="宋体"/>
          <w:position w:val="-30"/>
          <w:sz w:val="24"/>
          <w:highlight w:val="none"/>
        </w:rPr>
        <w:object>
          <v:shape id="_x0000_i1045" o:spt="75" type="#_x0000_t75" style="height:32.6pt;width:75.6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70">
            <o:LockedField>false</o:LockedField>
          </o:OLEObject>
        </w:objec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C.4标准不确定度评定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C.4.1</w:t>
      </w:r>
      <w:r>
        <w:rPr>
          <w:rFonts w:hint="eastAsia" w:ascii="宋体" w:hAnsi="宋体" w:eastAsia="宋体" w:cs="宋体"/>
          <w:sz w:val="24"/>
        </w:rPr>
        <w:t>氮中氟化氢气体标准物质</w:t>
      </w:r>
      <w:r>
        <w:rPr>
          <w:rFonts w:ascii="宋体" w:hAnsi="宋体" w:eastAsia="宋体" w:cs="宋体"/>
          <w:sz w:val="24"/>
        </w:rPr>
        <w:t>的定值不确定度引起的标准不确定度</w:t>
      </w:r>
      <w:r>
        <w:rPr>
          <w:rFonts w:ascii="宋体" w:hAnsi="宋体" w:eastAsia="宋体" w:cs="宋体"/>
          <w:position w:val="-12"/>
          <w:sz w:val="24"/>
        </w:rPr>
        <w:object>
          <v:shape id="_x0000_i1046" o:spt="75" type="#_x0000_t75" style="height:17.25pt;width:29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72">
            <o:LockedField>false</o:LockedField>
          </o:OLEObject>
        </w:object>
      </w:r>
      <w:r>
        <w:rPr>
          <w:rFonts w:ascii="宋体" w:hAnsi="宋体" w:eastAsia="宋体" w:cs="宋体"/>
          <w:sz w:val="24"/>
        </w:rPr>
        <w:t>的评定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采用的</w:t>
      </w:r>
      <w:r>
        <w:rPr>
          <w:rFonts w:hint="eastAsia" w:ascii="宋体" w:hAnsi="宋体" w:eastAsia="宋体" w:cs="宋体"/>
          <w:sz w:val="24"/>
        </w:rPr>
        <w:t>氮中氟化氢气体标准物质</w:t>
      </w:r>
      <w:r>
        <w:rPr>
          <w:rFonts w:ascii="宋体" w:hAnsi="宋体" w:eastAsia="宋体" w:cs="宋体"/>
          <w:sz w:val="24"/>
        </w:rPr>
        <w:t>，其定值相对扩展不确定度为</w:t>
      </w:r>
      <w:r>
        <w:rPr>
          <w:rFonts w:hint="eastAsia" w:ascii="宋体" w:hAnsi="宋体" w:eastAsia="宋体" w:cs="宋体"/>
          <w:sz w:val="24"/>
        </w:rPr>
        <w:t>3</w:t>
      </w:r>
      <w:r>
        <w:rPr>
          <w:rFonts w:ascii="宋体" w:hAnsi="宋体" w:eastAsia="宋体" w:cs="宋体"/>
          <w:sz w:val="24"/>
        </w:rPr>
        <w:t>%。包含因子</w:t>
      </w:r>
      <w:r>
        <w:rPr>
          <w:rFonts w:ascii="宋体" w:hAnsi="宋体" w:eastAsia="宋体" w:cs="宋体"/>
          <w:i/>
          <w:sz w:val="24"/>
        </w:rPr>
        <w:t>k</w:t>
      </w:r>
      <w:r>
        <w:rPr>
          <w:rFonts w:ascii="宋体" w:hAnsi="宋体" w:eastAsia="宋体" w:cs="宋体"/>
          <w:sz w:val="24"/>
        </w:rPr>
        <w:t>=2。则气体标准物质的定值不确定度引起的标准不确定</w:t>
      </w:r>
      <w:r>
        <w:rPr>
          <w:rFonts w:ascii="宋体" w:hAnsi="宋体" w:eastAsia="宋体" w:cs="宋体"/>
          <w:position w:val="-12"/>
          <w:sz w:val="24"/>
        </w:rPr>
        <w:object>
          <v:shape id="_x0000_i1047" o:spt="75" type="#_x0000_t75" style="height:17.25pt;width:30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74">
            <o:LockedField>false</o:LockedField>
          </o:OLEObject>
        </w:object>
      </w:r>
      <w:r>
        <w:rPr>
          <w:rFonts w:ascii="宋体" w:hAnsi="宋体" w:eastAsia="宋体" w:cs="宋体"/>
          <w:sz w:val="24"/>
        </w:rPr>
        <w:t>为：</w:t>
      </w:r>
    </w:p>
    <w:p>
      <w:pPr>
        <w:tabs>
          <w:tab w:val="left" w:pos="560"/>
        </w:tabs>
        <w:spacing w:line="360" w:lineRule="auto"/>
        <w:rPr>
          <w:rFonts w:ascii="Times New Roman" w:hAnsi="Times New Roman" w:cs="Times New Roman"/>
          <w:b/>
          <w:szCs w:val="21"/>
        </w:rPr>
        <w:sectPr>
          <w:headerReference r:id="rId21" w:type="first"/>
          <w:footerReference r:id="rId22" w:type="first"/>
          <w:pgSz w:w="11906" w:h="16838"/>
          <w:pgMar w:top="1134" w:right="1134" w:bottom="1134" w:left="1134" w:header="851" w:footer="992" w:gutter="0"/>
          <w:pgNumType w:fmt="decimalFullWidth" w:start="1"/>
          <w:cols w:space="720" w:num="1"/>
          <w:titlePg/>
          <w:docGrid w:type="lines" w:linePitch="312" w:charSpace="0"/>
        </w:sectPr>
      </w:pPr>
    </w:p>
    <w:p>
      <w:pPr>
        <w:spacing w:line="360" w:lineRule="auto"/>
        <w:ind w:firstLine="3360" w:firstLineChars="1400"/>
        <w:rPr>
          <w:rFonts w:cs="宋体"/>
          <w:sz w:val="24"/>
        </w:rPr>
      </w:pPr>
      <w:r>
        <w:rPr>
          <w:rFonts w:cs="宋体"/>
          <w:position w:val="-24"/>
          <w:sz w:val="24"/>
        </w:rPr>
        <w:object>
          <v:shape id="_x0000_i1048" o:spt="75" type="#_x0000_t75" style="height:30.75pt;width:10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76">
            <o:LockedField>false</o:LockedField>
          </o:OLEObject>
        </w:object>
      </w:r>
      <w:r>
        <w:rPr>
          <w:rFonts w:cs="宋体"/>
          <w:sz w:val="24"/>
        </w:rPr>
        <w:t xml:space="preserve">                            </w:t>
      </w:r>
      <w:r>
        <w:rPr>
          <w:rFonts w:ascii="宋体" w:hAnsi="宋体" w:eastAsia="宋体" w:cs="宋体"/>
          <w:sz w:val="24"/>
        </w:rPr>
        <w:t>（D.2）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20%FS校准点(</w:t>
      </w:r>
      <w:r>
        <w:rPr>
          <w:rFonts w:hint="eastAsia" w:ascii="宋体" w:hAnsi="宋体" w:eastAsia="宋体" w:cs="宋体"/>
          <w:sz w:val="24"/>
        </w:rPr>
        <w:t>5.95</w:t>
      </w:r>
      <w:r>
        <w:rPr>
          <w:rFonts w:hint="eastAsia" w:ascii="宋体" w:hAnsi="宋体" w:eastAsia="宋体" w:cs="宋体"/>
          <w:position w:val="-4"/>
          <w:sz w:val="24"/>
        </w:rPr>
        <w:t>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  <w:r>
        <w:rPr>
          <w:rFonts w:ascii="宋体" w:hAnsi="宋体" w:eastAsia="宋体" w:cs="宋体"/>
          <w:sz w:val="24"/>
        </w:rPr>
        <w:t>)：</w:t>
      </w:r>
      <w:r>
        <w:rPr>
          <w:rFonts w:ascii="宋体" w:hAnsi="宋体" w:eastAsia="宋体" w:cs="宋体"/>
          <w:position w:val="-24"/>
          <w:sz w:val="24"/>
        </w:rPr>
        <w:object>
          <v:shape id="_x0000_i1049" o:spt="75" type="#_x0000_t75" style="height:30.75pt;width:129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78">
            <o:LockedField>false</o:LockedField>
          </o:OLEObject>
        </w:object>
      </w:r>
      <w:r>
        <w:rPr>
          <w:rFonts w:hint="eastAsia" w:ascii="宋体" w:hAnsi="宋体" w:eastAsia="宋体" w:cs="宋体"/>
          <w:position w:val="-4"/>
          <w:sz w:val="24"/>
        </w:rPr>
        <w:t>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50%FS校准点(</w:t>
      </w:r>
      <w:r>
        <w:rPr>
          <w:rFonts w:hint="eastAsia" w:ascii="宋体" w:hAnsi="宋体" w:eastAsia="宋体" w:cs="宋体"/>
          <w:sz w:val="24"/>
        </w:rPr>
        <w:t>14.6</w:t>
      </w:r>
      <w:r>
        <w:rPr>
          <w:rFonts w:hint="eastAsia" w:ascii="宋体" w:hAnsi="宋体" w:eastAsia="宋体" w:cs="宋体"/>
          <w:position w:val="-4"/>
          <w:sz w:val="24"/>
        </w:rPr>
        <w:t>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  <w:r>
        <w:rPr>
          <w:rFonts w:ascii="宋体" w:hAnsi="宋体" w:eastAsia="宋体" w:cs="宋体"/>
          <w:sz w:val="24"/>
        </w:rPr>
        <w:t>)：</w:t>
      </w:r>
      <w:r>
        <w:rPr>
          <w:rFonts w:ascii="宋体" w:hAnsi="宋体" w:eastAsia="宋体" w:cs="宋体"/>
          <w:position w:val="-24"/>
          <w:sz w:val="24"/>
        </w:rPr>
        <w:object>
          <v:shape id="_x0000_i1050" o:spt="75" type="#_x0000_t75" style="height:30.75pt;width:129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80">
            <o:LockedField>false</o:LockedField>
          </o:OLEObject>
        </w:object>
      </w:r>
      <w:r>
        <w:rPr>
          <w:rFonts w:hint="eastAsia" w:ascii="宋体" w:hAnsi="宋体" w:eastAsia="宋体" w:cs="宋体"/>
          <w:position w:val="-4"/>
          <w:sz w:val="24"/>
        </w:rPr>
        <w:t>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80%FS校准点(</w:t>
      </w:r>
      <w:r>
        <w:rPr>
          <w:rFonts w:hint="eastAsia" w:ascii="宋体" w:hAnsi="宋体" w:eastAsia="宋体" w:cs="宋体"/>
          <w:sz w:val="24"/>
        </w:rPr>
        <w:t>24.8</w:t>
      </w:r>
      <w:r>
        <w:rPr>
          <w:rFonts w:hint="eastAsia" w:ascii="宋体" w:hAnsi="宋体" w:eastAsia="宋体" w:cs="宋体"/>
          <w:position w:val="-4"/>
          <w:sz w:val="24"/>
        </w:rPr>
        <w:t>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  <w:r>
        <w:rPr>
          <w:rFonts w:ascii="宋体" w:hAnsi="宋体" w:eastAsia="宋体" w:cs="宋体"/>
          <w:sz w:val="24"/>
        </w:rPr>
        <w:t>)：</w:t>
      </w:r>
      <w:r>
        <w:rPr>
          <w:rFonts w:ascii="宋体" w:hAnsi="宋体" w:eastAsia="宋体" w:cs="宋体"/>
          <w:position w:val="-24"/>
          <w:sz w:val="24"/>
        </w:rPr>
        <w:object>
          <v:shape id="_x0000_i1051" o:spt="75" type="#_x0000_t75" style="height:30.75pt;width:129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82">
            <o:LockedField>false</o:LockedField>
          </o:OLEObject>
        </w:object>
      </w:r>
      <w:r>
        <w:rPr>
          <w:rFonts w:hint="eastAsia" w:ascii="宋体" w:hAnsi="宋体" w:eastAsia="宋体" w:cs="宋体"/>
          <w:position w:val="-4"/>
          <w:sz w:val="24"/>
        </w:rPr>
        <w:t>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C.4.2 环境条件、人员操作和被校仪器等各种随机因素引入的标准不确定度</w:t>
      </w:r>
      <w:r>
        <w:rPr>
          <w:rFonts w:ascii="宋体" w:hAnsi="宋体" w:eastAsia="宋体" w:cs="宋体"/>
          <w:position w:val="-10"/>
          <w:sz w:val="24"/>
        </w:rPr>
        <w:object>
          <v:shape id="_x0000_i1052" o:spt="75" type="#_x0000_t75" style="height:19.5pt;width:27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84">
            <o:LockedField>false</o:LockedField>
          </o:OLEObject>
        </w:object>
      </w:r>
      <w:r>
        <w:rPr>
          <w:rFonts w:ascii="宋体" w:hAnsi="宋体" w:eastAsia="宋体" w:cs="宋体"/>
          <w:sz w:val="24"/>
        </w:rPr>
        <w:t>的评定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仪器依次通入浓度为</w:t>
      </w:r>
      <w:r>
        <w:rPr>
          <w:rFonts w:hint="eastAsia" w:ascii="宋体" w:hAnsi="宋体" w:eastAsia="宋体" w:cs="宋体"/>
          <w:sz w:val="24"/>
        </w:rPr>
        <w:t>5.95</w:t>
      </w:r>
      <w:r>
        <w:rPr>
          <w:rFonts w:hint="eastAsia" w:ascii="宋体" w:hAnsi="宋体" w:eastAsia="宋体" w:cs="宋体"/>
          <w:position w:val="-4"/>
          <w:sz w:val="24"/>
        </w:rPr>
        <w:t>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  <w:r>
        <w:rPr>
          <w:rFonts w:ascii="宋体" w:hAnsi="宋体" w:eastAsia="宋体" w:cs="宋体"/>
          <w:sz w:val="24"/>
        </w:rPr>
        <w:t>、</w:t>
      </w:r>
      <w:r>
        <w:rPr>
          <w:rFonts w:hint="eastAsia" w:ascii="宋体" w:hAnsi="宋体" w:eastAsia="宋体" w:cs="宋体"/>
          <w:sz w:val="24"/>
        </w:rPr>
        <w:t>14.6</w:t>
      </w:r>
      <w:r>
        <w:rPr>
          <w:rFonts w:hint="eastAsia" w:ascii="宋体" w:hAnsi="宋体" w:eastAsia="宋体" w:cs="宋体"/>
          <w:position w:val="-4"/>
          <w:sz w:val="24"/>
        </w:rPr>
        <w:t>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  <w:r>
        <w:rPr>
          <w:rFonts w:ascii="宋体" w:hAnsi="宋体" w:eastAsia="宋体" w:cs="宋体"/>
          <w:sz w:val="24"/>
        </w:rPr>
        <w:t>、</w:t>
      </w:r>
      <w:r>
        <w:rPr>
          <w:rFonts w:hint="eastAsia" w:ascii="宋体" w:hAnsi="宋体" w:eastAsia="宋体" w:cs="宋体"/>
          <w:sz w:val="24"/>
        </w:rPr>
        <w:t>24.8</w:t>
      </w:r>
      <w:r>
        <w:rPr>
          <w:rFonts w:hint="eastAsia" w:ascii="宋体" w:hAnsi="宋体" w:eastAsia="宋体" w:cs="宋体"/>
          <w:position w:val="-4"/>
          <w:sz w:val="24"/>
        </w:rPr>
        <w:t>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  <w:r>
        <w:rPr>
          <w:rFonts w:ascii="宋体" w:hAnsi="宋体" w:eastAsia="宋体" w:cs="宋体"/>
          <w:sz w:val="24"/>
        </w:rPr>
        <w:t>的</w:t>
      </w:r>
      <w:r>
        <w:rPr>
          <w:rFonts w:hint="eastAsia" w:ascii="宋体" w:hAnsi="宋体" w:eastAsia="宋体" w:cs="宋体"/>
          <w:sz w:val="24"/>
        </w:rPr>
        <w:t>氮中氟化氢气体标准物质</w:t>
      </w:r>
      <w:r>
        <w:rPr>
          <w:rFonts w:ascii="宋体" w:hAnsi="宋体" w:eastAsia="宋体" w:cs="宋体"/>
          <w:sz w:val="24"/>
        </w:rPr>
        <w:t>，各校准点重复测量10次，具体测量数据列于表C.1。</w:t>
      </w:r>
    </w:p>
    <w:p>
      <w:pPr>
        <w:spacing w:line="360" w:lineRule="auto"/>
        <w:ind w:firstLine="420"/>
        <w:jc w:val="center"/>
        <w:rPr>
          <w:rFonts w:ascii="黑体" w:hAnsi="黑体" w:eastAsia="黑体" w:cs="黑体"/>
          <w:szCs w:val="21"/>
        </w:rPr>
      </w:pPr>
      <w:r>
        <w:rPr>
          <w:rFonts w:ascii="黑体" w:hAnsi="黑体" w:eastAsia="黑体" w:cs="黑体"/>
          <w:szCs w:val="21"/>
        </w:rPr>
        <w:t>表C.1 各校准点测量数据(</w:t>
      </w:r>
      <w:r>
        <w:rPr>
          <w:rFonts w:ascii="黑体" w:hAnsi="黑体" w:eastAsia="黑体" w:cs="黑体"/>
          <w:bCs/>
          <w:spacing w:val="13"/>
          <w:szCs w:val="21"/>
        </w:rPr>
        <w:t>μmol/mol</w:t>
      </w:r>
      <w:r>
        <w:rPr>
          <w:rFonts w:ascii="黑体" w:hAnsi="黑体" w:eastAsia="黑体" w:cs="黑体"/>
          <w:szCs w:val="21"/>
        </w:rPr>
        <w:t>)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875"/>
        <w:gridCol w:w="875"/>
        <w:gridCol w:w="876"/>
        <w:gridCol w:w="875"/>
        <w:gridCol w:w="875"/>
        <w:gridCol w:w="875"/>
        <w:gridCol w:w="876"/>
        <w:gridCol w:w="875"/>
        <w:gridCol w:w="875"/>
        <w:gridCol w:w="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标准值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1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2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4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5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6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7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8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9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5.95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5.97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5.99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5.93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5.91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5.92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5.95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5.98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5.98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5.97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14.6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14.58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14.61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14.63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14.66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14.63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14.67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14.60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14.61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14.66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24.8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24.75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24.79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24.82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24.83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24.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24.84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24.85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24.83</w:t>
            </w:r>
          </w:p>
        </w:tc>
        <w:tc>
          <w:tcPr>
            <w:tcW w:w="8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24.84</w:t>
            </w:r>
          </w:p>
        </w:tc>
        <w:tc>
          <w:tcPr>
            <w:tcW w:w="8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24.85</w:t>
            </w:r>
          </w:p>
        </w:tc>
      </w:tr>
    </w:tbl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各校准点分别按式（D.3）计算标准偏差，相应各校准点的标准不确定度</w:t>
      </w:r>
      <w:r>
        <w:rPr>
          <w:rFonts w:ascii="宋体" w:hAnsi="宋体" w:eastAsia="宋体" w:cs="宋体"/>
          <w:position w:val="-10"/>
          <w:sz w:val="24"/>
        </w:rPr>
        <w:object>
          <v:shape id="_x0000_i1053" o:spt="75" type="#_x0000_t75" style="height:19.5pt;width:27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86">
            <o:LockedField>false</o:LockedField>
          </o:OLEObject>
        </w:object>
      </w:r>
      <w:r>
        <w:rPr>
          <w:rFonts w:ascii="宋体" w:hAnsi="宋体" w:eastAsia="宋体" w:cs="宋体"/>
          <w:sz w:val="24"/>
        </w:rPr>
        <w:t>可按式（D.4）计算。</w:t>
      </w:r>
    </w:p>
    <w:p>
      <w:pPr>
        <w:spacing w:line="360" w:lineRule="auto"/>
        <w:ind w:right="-40" w:rightChars="-19" w:firstLine="480"/>
        <w:jc w:val="center"/>
        <w:rPr>
          <w:sz w:val="24"/>
        </w:rPr>
      </w:pPr>
      <w:r>
        <w:t xml:space="preserve">                      </w:t>
      </w:r>
      <w:r>
        <w:rPr>
          <w:sz w:val="24"/>
        </w:rPr>
        <w:t xml:space="preserve">         </w:t>
      </w:r>
      <w:r>
        <w:rPr>
          <w:position w:val="-26"/>
          <w:sz w:val="24"/>
        </w:rPr>
        <w:object>
          <v:shape id="_x0000_i1054" o:spt="75" type="#_x0000_t75" style="height:51pt;width:87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88">
            <o:LockedField>false</o:LockedField>
          </o:OLEObject>
        </w:object>
      </w:r>
      <w:r>
        <w:rPr>
          <w:sz w:val="24"/>
        </w:rPr>
        <w:t xml:space="preserve">                          </w:t>
      </w:r>
      <w:r>
        <w:rPr>
          <w:rFonts w:ascii="宋体" w:hAnsi="宋体" w:eastAsia="宋体" w:cs="宋体"/>
          <w:sz w:val="24"/>
        </w:rPr>
        <w:t>（D.3）</w:t>
      </w:r>
    </w:p>
    <w:p>
      <w:pPr>
        <w:spacing w:line="360" w:lineRule="auto"/>
        <w:ind w:firstLine="480"/>
        <w:jc w:val="center"/>
        <w:rPr>
          <w:sz w:val="24"/>
        </w:rPr>
      </w:pPr>
    </w:p>
    <w:p>
      <w:pPr>
        <w:spacing w:line="360" w:lineRule="auto"/>
        <w:ind w:firstLine="480"/>
        <w:jc w:val="center"/>
        <w:rPr>
          <w:sz w:val="24"/>
        </w:rPr>
      </w:pPr>
      <w:r>
        <w:rPr>
          <w:sz w:val="24"/>
        </w:rPr>
        <w:t xml:space="preserve">                              </w:t>
      </w:r>
      <w:r>
        <w:rPr>
          <w:position w:val="-10"/>
          <w:sz w:val="24"/>
        </w:rPr>
        <w:object>
          <v:shape id="_x0000_i1055" o:spt="75" type="#_x0000_t75" style="height:19.5pt;width:27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90">
            <o:LockedField>false</o:LockedField>
          </o:OLEObject>
        </w:object>
      </w:r>
      <w:r>
        <w:rPr>
          <w:sz w:val="24"/>
        </w:rPr>
        <w:t>=</w:t>
      </w:r>
      <w:r>
        <w:rPr>
          <w:position w:val="-28"/>
          <w:sz w:val="24"/>
        </w:rPr>
        <w:object>
          <v:shape id="_x0000_i1056" o:spt="75" type="#_x0000_t75" style="height:33.75pt;width:50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92">
            <o:LockedField>false</o:LockedField>
          </o:OLEObject>
        </w:object>
      </w:r>
      <w:r>
        <w:rPr>
          <w:sz w:val="24"/>
        </w:rPr>
        <w:t xml:space="preserve">                         </w:t>
      </w:r>
      <w:r>
        <w:rPr>
          <w:rFonts w:ascii="宋体" w:hAnsi="宋体" w:eastAsia="宋体" w:cs="宋体"/>
          <w:sz w:val="24"/>
        </w:rPr>
        <w:t>（D.4）</w:t>
      </w:r>
    </w:p>
    <w:p>
      <w:pPr>
        <w:spacing w:line="360" w:lineRule="auto"/>
        <w:ind w:firstLine="420" w:firstLineChars="200"/>
        <w:rPr>
          <w:sz w:val="24"/>
        </w:rPr>
      </w:pPr>
      <w:r>
        <w:rPr>
          <w:rFonts w:ascii="仿宋" w:hAnsi="仿宋" w:eastAsia="仿宋" w:cs="仿宋"/>
          <w:szCs w:val="21"/>
        </w:rPr>
        <w:t>注：本规范规定，每个校准点重复测量3次，取算术平均值作为仪器示值，故n=3。各校准点的标准偏差</w:t>
      </w:r>
      <w:r>
        <w:rPr>
          <w:rFonts w:ascii="仿宋" w:hAnsi="仿宋" w:eastAsia="仿宋" w:cs="仿宋"/>
          <w:position w:val="-6"/>
          <w:szCs w:val="21"/>
        </w:rPr>
        <w:object>
          <v:shape id="_x0000_i105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94">
            <o:LockedField>false</o:LockedField>
          </o:OLEObject>
        </w:object>
      </w:r>
      <w:r>
        <w:rPr>
          <w:rFonts w:ascii="仿宋" w:hAnsi="仿宋" w:eastAsia="仿宋" w:cs="仿宋"/>
          <w:szCs w:val="21"/>
        </w:rPr>
        <w:t>与标准不确定度</w:t>
      </w:r>
      <w:r>
        <w:rPr>
          <w:rFonts w:ascii="仿宋" w:hAnsi="仿宋" w:eastAsia="仿宋" w:cs="仿宋"/>
          <w:position w:val="-10"/>
          <w:szCs w:val="21"/>
        </w:rPr>
        <w:object>
          <v:shape id="_x0000_i1058" o:spt="75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96">
            <o:LockedField>false</o:LockedField>
          </o:OLEObject>
        </w:object>
      </w:r>
      <w:r>
        <w:rPr>
          <w:rFonts w:ascii="仿宋" w:hAnsi="仿宋" w:eastAsia="仿宋" w:cs="仿宋"/>
          <w:szCs w:val="21"/>
        </w:rPr>
        <w:t>的计算结果见表C.2。</w:t>
      </w:r>
    </w:p>
    <w:p>
      <w:pPr>
        <w:spacing w:line="360" w:lineRule="auto"/>
        <w:ind w:firstLine="1470" w:firstLineChars="700"/>
        <w:rPr>
          <w:rFonts w:ascii="黑体" w:hAnsi="黑体" w:eastAsia="黑体" w:cs="黑体"/>
          <w:szCs w:val="21"/>
        </w:rPr>
      </w:pPr>
      <w:r>
        <w:rPr>
          <w:rFonts w:ascii="黑体" w:hAnsi="黑体" w:eastAsia="黑体" w:cs="黑体"/>
          <w:szCs w:val="21"/>
        </w:rPr>
        <w:t>表C.2各校准点标准偏差</w:t>
      </w:r>
      <w:r>
        <w:rPr>
          <w:rFonts w:ascii="黑体" w:hAnsi="黑体" w:eastAsia="黑体" w:cs="黑体"/>
          <w:position w:val="-6"/>
          <w:szCs w:val="21"/>
        </w:rPr>
        <w:object>
          <v:shape id="_x0000_i105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98">
            <o:LockedField>false</o:LockedField>
          </o:OLEObject>
        </w:object>
      </w:r>
      <w:r>
        <w:rPr>
          <w:rFonts w:ascii="黑体" w:hAnsi="黑体" w:eastAsia="黑体" w:cs="黑体"/>
          <w:szCs w:val="21"/>
        </w:rPr>
        <w:t>与标准不确定度</w:t>
      </w:r>
      <w:r>
        <w:rPr>
          <w:rFonts w:ascii="黑体" w:hAnsi="黑体" w:eastAsia="黑体" w:cs="黑体"/>
          <w:position w:val="-10"/>
          <w:szCs w:val="21"/>
        </w:rPr>
        <w:object>
          <v:shape id="_x0000_i1060" o:spt="75" type="#_x0000_t75" style="height:19.5pt;width:27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99">
            <o:LockedField>false</o:LockedField>
          </o:OLEObject>
        </w:object>
      </w:r>
      <w:r>
        <w:rPr>
          <w:rFonts w:ascii="黑体" w:hAnsi="黑体" w:eastAsia="黑体" w:cs="黑体"/>
          <w:szCs w:val="21"/>
        </w:rPr>
        <w:t>的计算结果(</w:t>
      </w:r>
      <w:r>
        <w:rPr>
          <w:rFonts w:ascii="黑体" w:hAnsi="黑体" w:eastAsia="黑体" w:cs="黑体"/>
          <w:bCs/>
          <w:spacing w:val="13"/>
          <w:szCs w:val="21"/>
        </w:rPr>
        <w:t>μmol/mol</w:t>
      </w:r>
      <w:r>
        <w:rPr>
          <w:rFonts w:ascii="黑体" w:hAnsi="黑体" w:eastAsia="黑体" w:cs="黑体"/>
          <w:szCs w:val="21"/>
        </w:rPr>
        <w:t>)</w:t>
      </w:r>
      <w:r>
        <w:rPr>
          <w:rFonts w:ascii="黑体" w:hAnsi="黑体" w:eastAsia="黑体" w:cs="黑体"/>
          <w:position w:val="-10"/>
          <w:szCs w:val="21"/>
        </w:rPr>
        <w:t xml:space="preserve">    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8"/>
        <w:gridCol w:w="2208"/>
        <w:gridCol w:w="2209"/>
        <w:gridCol w:w="2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标准值</w:t>
            </w:r>
          </w:p>
        </w:tc>
        <w:tc>
          <w:tcPr>
            <w:tcW w:w="22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szCs w:val="21"/>
              </w:rPr>
              <w:t>平均值</w:t>
            </w:r>
          </w:p>
        </w:tc>
        <w:tc>
          <w:tcPr>
            <w:tcW w:w="22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position w:val="-6"/>
                <w:szCs w:val="21"/>
              </w:rPr>
              <w:object>
                <v:shape id="_x0000_i1061" o:spt="75" type="#_x0000_t75" style="height:11.25pt;width:9.75pt;" o:ole="t" filled="f" o:preferrelative="t" stroked="f" coordsize="21600,21600">
                  <v:path/>
                  <v:fill on="f" focussize="0,0"/>
                  <v:stroke on="f" joinstyle="miter"/>
                  <v:imagedata r:id="rId102" o:title=""/>
                  <o:lock v:ext="edit" aspectratio="t"/>
                  <w10:wrap type="none"/>
                  <w10:anchorlock/>
                </v:shape>
                <o:OLEObject Type="Embed" ProgID="Equation.3" ShapeID="_x0000_i1061" DrawAspect="Content" ObjectID="_1468075761" r:id="rId101">
                  <o:LockedField>false</o:LockedField>
                </o:OLEObject>
              </w:object>
            </w:r>
          </w:p>
        </w:tc>
        <w:tc>
          <w:tcPr>
            <w:tcW w:w="22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ascii="宋体" w:hAnsi="宋体" w:eastAsia="宋体" w:cs="宋体"/>
                <w:position w:val="-10"/>
                <w:szCs w:val="21"/>
              </w:rPr>
              <w:object>
                <v:shape id="_x0000_i1062" o:spt="75" type="#_x0000_t75" style="height:18.75pt;width:26.25pt;" o:ole="t" filled="f" o:preferrelative="t" stroked="f" coordsize="21600,21600">
                  <v:path/>
                  <v:fill on="f" focussize="0,0"/>
                  <v:stroke on="f" joinstyle="miter"/>
                  <v:imagedata r:id="rId104" o:title=""/>
                  <o:lock v:ext="edit" aspectratio="t"/>
                  <w10:wrap type="none"/>
                  <w10:anchorlock/>
                </v:shape>
                <o:OLEObject Type="Embed" ProgID="Equation.3" ShapeID="_x0000_i1062" DrawAspect="Content" ObjectID="_1468075762" r:id="rId103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5.95</w:t>
            </w:r>
          </w:p>
        </w:tc>
        <w:tc>
          <w:tcPr>
            <w:tcW w:w="22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5.96</w:t>
            </w:r>
          </w:p>
        </w:tc>
        <w:tc>
          <w:tcPr>
            <w:tcW w:w="2209" w:type="dxa"/>
            <w:vAlign w:val="center"/>
          </w:tcPr>
          <w:p>
            <w:pPr>
              <w:ind w:firstLine="840" w:firstLineChars="4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0.028</w:t>
            </w:r>
          </w:p>
        </w:tc>
        <w:tc>
          <w:tcPr>
            <w:tcW w:w="22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0.016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14.6</w:t>
            </w:r>
          </w:p>
        </w:tc>
        <w:tc>
          <w:tcPr>
            <w:tcW w:w="22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14.63</w:t>
            </w:r>
          </w:p>
        </w:tc>
        <w:tc>
          <w:tcPr>
            <w:tcW w:w="2209" w:type="dxa"/>
            <w:vAlign w:val="center"/>
          </w:tcPr>
          <w:p>
            <w:pPr>
              <w:ind w:firstLine="840" w:firstLineChars="4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0.033</w:t>
            </w:r>
          </w:p>
        </w:tc>
        <w:tc>
          <w:tcPr>
            <w:tcW w:w="22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0.019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24.8</w:t>
            </w:r>
          </w:p>
        </w:tc>
        <w:tc>
          <w:tcPr>
            <w:tcW w:w="22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24.83</w:t>
            </w:r>
          </w:p>
        </w:tc>
        <w:tc>
          <w:tcPr>
            <w:tcW w:w="2209" w:type="dxa"/>
            <w:vAlign w:val="center"/>
          </w:tcPr>
          <w:p>
            <w:pPr>
              <w:ind w:firstLine="840" w:firstLineChars="400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0.046</w:t>
            </w:r>
          </w:p>
        </w:tc>
        <w:tc>
          <w:tcPr>
            <w:tcW w:w="220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0.0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27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C.5 合成标准不确定度的评定</w:t>
      </w:r>
    </w:p>
    <w:p>
      <w:pPr>
        <w:spacing w:line="360" w:lineRule="auto"/>
        <w:rPr>
          <w:rFonts w:cs="宋体"/>
          <w:sz w:val="24"/>
        </w:rPr>
      </w:pPr>
      <w:r>
        <w:rPr>
          <w:rFonts w:ascii="宋体" w:hAnsi="宋体" w:eastAsia="宋体" w:cs="宋体"/>
          <w:sz w:val="24"/>
        </w:rPr>
        <w:t>C.5.1 标</w:t>
      </w:r>
      <w:r>
        <w:rPr>
          <w:rFonts w:cs="宋体"/>
          <w:sz w:val="24"/>
        </w:rPr>
        <w:t>准不确定度汇总</w:t>
      </w:r>
    </w:p>
    <w:p>
      <w:pPr>
        <w:spacing w:line="360" w:lineRule="auto"/>
        <w:ind w:firstLine="480" w:firstLineChars="200"/>
        <w:rPr>
          <w:rFonts w:cs="宋体"/>
          <w:sz w:val="24"/>
        </w:rPr>
        <w:sectPr>
          <w:headerReference r:id="rId23" w:type="first"/>
          <w:footerReference r:id="rId24" w:type="first"/>
          <w:pgSz w:w="11906" w:h="16838"/>
          <w:pgMar w:top="1134" w:right="1134" w:bottom="1134" w:left="1134" w:header="851" w:footer="992" w:gutter="0"/>
          <w:pgNumType w:fmt="decimalFullWidth" w:start="1"/>
          <w:cols w:space="720" w:num="1"/>
          <w:titlePg/>
          <w:docGrid w:type="lines" w:linePitch="312" w:charSpace="0"/>
        </w:sectPr>
      </w:pPr>
    </w:p>
    <w:p>
      <w:pPr>
        <w:spacing w:line="360" w:lineRule="auto"/>
        <w:ind w:firstLine="480" w:firstLineChars="200"/>
        <w:rPr>
          <w:rFonts w:ascii="黑体" w:hAnsi="黑体" w:eastAsia="黑体"/>
          <w:szCs w:val="21"/>
        </w:rPr>
      </w:pPr>
      <w:r>
        <w:rPr>
          <w:rFonts w:cs="宋体"/>
          <w:sz w:val="24"/>
        </w:rPr>
        <w:t>标准不确定度汇总于表C.3</w:t>
      </w:r>
    </w:p>
    <w:p>
      <w:pPr>
        <w:spacing w:line="360" w:lineRule="auto"/>
        <w:jc w:val="center"/>
        <w:rPr>
          <w:rFonts w:ascii="黑体" w:hAnsi="黑体" w:eastAsia="黑体" w:cs="黑体"/>
          <w:szCs w:val="21"/>
        </w:rPr>
      </w:pPr>
      <w:r>
        <w:rPr>
          <w:rFonts w:ascii="黑体" w:hAnsi="黑体" w:eastAsia="黑体" w:cs="黑体"/>
          <w:szCs w:val="21"/>
        </w:rPr>
        <w:t>表C.3标准不确定度一览表(</w:t>
      </w:r>
      <w:r>
        <w:rPr>
          <w:rFonts w:ascii="黑体" w:hAnsi="黑体" w:eastAsia="黑体" w:cs="黑体"/>
          <w:bCs/>
          <w:spacing w:val="13"/>
          <w:szCs w:val="21"/>
        </w:rPr>
        <w:t>μmol/mol</w:t>
      </w:r>
      <w:r>
        <w:rPr>
          <w:rFonts w:ascii="黑体" w:hAnsi="黑体" w:eastAsia="黑体" w:cs="黑体"/>
          <w:szCs w:val="21"/>
        </w:rPr>
        <w:t>)</w:t>
      </w:r>
      <w:r>
        <w:rPr>
          <w:rFonts w:ascii="黑体" w:hAnsi="黑体" w:eastAsia="黑体" w:cs="黑体"/>
          <w:position w:val="-10"/>
          <w:szCs w:val="21"/>
        </w:rPr>
        <w:t xml:space="preserve"> 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3"/>
        <w:gridCol w:w="1614"/>
        <w:gridCol w:w="3398"/>
        <w:gridCol w:w="2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2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标准不确定度分量符号</w:t>
            </w:r>
          </w:p>
        </w:tc>
        <w:tc>
          <w:tcPr>
            <w:tcW w:w="3398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不确定度来源</w:t>
            </w:r>
          </w:p>
        </w:tc>
        <w:tc>
          <w:tcPr>
            <w:tcW w:w="220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标准不确定度值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1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position w:val="-12"/>
                <w:szCs w:val="21"/>
              </w:rPr>
              <w:object>
                <v:shape id="_x0000_i1063" o:spt="75" type="#_x0000_t75" style="height:17.25pt;width:30pt;" o:ole="t" filled="f" o:preferrelative="t" stroked="f" coordsize="21600,21600">
                  <v:path/>
                  <v:fill on="f" focussize="0,0"/>
                  <v:stroke on="f" joinstyle="miter"/>
                  <v:imagedata r:id="rId106" o:title=""/>
                  <o:lock v:ext="edit" aspectratio="t"/>
                  <w10:wrap type="none"/>
                  <w10:anchorlock/>
                </v:shape>
                <o:OLEObject Type="Embed" ProgID="Equation.3" ShapeID="_x0000_i1063" DrawAspect="Content" ObjectID="_1468075763" r:id="rId105">
                  <o:LockedField>false</o:LockedField>
                </o:OLEObject>
              </w:objec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5.95</w:t>
            </w:r>
          </w:p>
        </w:tc>
        <w:tc>
          <w:tcPr>
            <w:tcW w:w="339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氮中氟化氢气体标准物质</w:t>
            </w:r>
            <w:r>
              <w:rPr>
                <w:rFonts w:ascii="宋体" w:hAnsi="宋体" w:eastAsia="宋体"/>
                <w:szCs w:val="21"/>
              </w:rPr>
              <w:t>引入的不确定度</w:t>
            </w:r>
          </w:p>
        </w:tc>
        <w:tc>
          <w:tcPr>
            <w:tcW w:w="220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0.089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3" w:type="dxa"/>
            <w:vMerge w:val="continue"/>
            <w:vAlign w:val="center"/>
          </w:tcPr>
          <w:p>
            <w:pPr>
              <w:ind w:firstLine="42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14.6</w:t>
            </w:r>
          </w:p>
        </w:tc>
        <w:tc>
          <w:tcPr>
            <w:tcW w:w="3398" w:type="dxa"/>
            <w:vMerge w:val="continue"/>
            <w:vAlign w:val="center"/>
          </w:tcPr>
          <w:p>
            <w:pPr>
              <w:ind w:firstLine="42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0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0.219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3" w:type="dxa"/>
            <w:vMerge w:val="continue"/>
            <w:vAlign w:val="center"/>
          </w:tcPr>
          <w:p>
            <w:pPr>
              <w:ind w:firstLine="42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24.8</w:t>
            </w:r>
          </w:p>
        </w:tc>
        <w:tc>
          <w:tcPr>
            <w:tcW w:w="3398" w:type="dxa"/>
            <w:vMerge w:val="continue"/>
            <w:vAlign w:val="center"/>
          </w:tcPr>
          <w:p>
            <w:pPr>
              <w:ind w:firstLine="42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09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0.372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position w:val="-10"/>
                <w:szCs w:val="21"/>
              </w:rPr>
              <w:object>
                <v:shape id="_x0000_i1064" o:spt="75" type="#_x0000_t75" style="height:17.25pt;width:25.5pt;" o:ole="t" filled="f" o:preferrelative="t" stroked="f" coordsize="21600,21600">
                  <v:path/>
                  <v:fill on="f" focussize="0,0"/>
                  <v:stroke on="f" joinstyle="miter"/>
                  <v:imagedata r:id="rId108" o:title=""/>
                  <o:lock v:ext="edit" aspectratio="t"/>
                  <w10:wrap type="none"/>
                  <w10:anchorlock/>
                </v:shape>
                <o:OLEObject Type="Embed" ProgID="Equation.3" ShapeID="_x0000_i1064" DrawAspect="Content" ObjectID="_1468075764" r:id="rId107">
                  <o:LockedField>false</o:LockedField>
                </o:OLEObject>
              </w:objec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5.95</w:t>
            </w:r>
          </w:p>
        </w:tc>
        <w:tc>
          <w:tcPr>
            <w:tcW w:w="339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环境条件、人员操作和被校仪器等各种随机因素引起的不确定度</w:t>
            </w:r>
          </w:p>
        </w:tc>
        <w:tc>
          <w:tcPr>
            <w:tcW w:w="2209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0.016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3" w:type="dxa"/>
            <w:vMerge w:val="continue"/>
            <w:vAlign w:val="center"/>
          </w:tcPr>
          <w:p>
            <w:pPr>
              <w:ind w:firstLine="42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14.6</w:t>
            </w:r>
          </w:p>
        </w:tc>
        <w:tc>
          <w:tcPr>
            <w:tcW w:w="3398" w:type="dxa"/>
            <w:vMerge w:val="continue"/>
            <w:vAlign w:val="center"/>
          </w:tcPr>
          <w:p>
            <w:pPr>
              <w:ind w:firstLine="42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09" w:type="dxa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0.019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3" w:type="dxa"/>
            <w:vMerge w:val="continue"/>
            <w:vAlign w:val="center"/>
          </w:tcPr>
          <w:p>
            <w:pPr>
              <w:ind w:firstLine="42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24.8</w:t>
            </w:r>
          </w:p>
        </w:tc>
        <w:tc>
          <w:tcPr>
            <w:tcW w:w="3398" w:type="dxa"/>
            <w:vMerge w:val="continue"/>
            <w:vAlign w:val="center"/>
          </w:tcPr>
          <w:p>
            <w:pPr>
              <w:ind w:firstLine="42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09" w:type="dxa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0.0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27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C.5.2合成标准不确定度计算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由测量模型：</w:t>
      </w:r>
      <w:r>
        <w:rPr>
          <w:rFonts w:ascii="宋体" w:hAnsi="宋体" w:eastAsia="宋体" w:cs="宋体"/>
          <w:position w:val="-12"/>
          <w:sz w:val="24"/>
        </w:rPr>
        <w:object>
          <v:shape id="_x0000_i1065" o:spt="75" type="#_x0000_t75" style="height:20.25pt;width:63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109">
            <o:LockedField>false</o:LockedField>
          </o:OLEObject>
        </w:object>
      </w:r>
      <w:r>
        <w:rPr>
          <w:rFonts w:ascii="宋体" w:hAnsi="宋体" w:eastAsia="宋体" w:cs="宋体"/>
          <w:sz w:val="24"/>
        </w:rPr>
        <w:t>，且不确定度分量</w:t>
      </w:r>
      <w:r>
        <w:rPr>
          <w:rFonts w:ascii="宋体" w:hAnsi="宋体" w:eastAsia="宋体" w:cs="宋体"/>
          <w:position w:val="-14"/>
          <w:sz w:val="24"/>
        </w:rPr>
        <w:object>
          <v:shape id="_x0000_i1066" o:spt="75" type="#_x0000_t75" style="height:21pt;width:91.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111">
            <o:LockedField>false</o:LockedField>
          </o:OLEObject>
        </w:object>
      </w:r>
      <w:r>
        <w:rPr>
          <w:rFonts w:ascii="宋体" w:hAnsi="宋体" w:eastAsia="宋体" w:cs="宋体"/>
          <w:sz w:val="24"/>
        </w:rPr>
        <w:t>间互不相关，所以合成标不确定度</w:t>
      </w:r>
      <w:r>
        <w:rPr>
          <w:rFonts w:ascii="宋体" w:hAnsi="宋体" w:eastAsia="宋体" w:cs="宋体"/>
          <w:position w:val="-12"/>
          <w:sz w:val="24"/>
        </w:rPr>
        <w:object>
          <v:shape id="_x0000_i1067" o:spt="75" type="#_x0000_t75" style="height:17.25pt;width:30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113">
            <o:LockedField>false</o:LockedField>
          </o:OLEObject>
        </w:object>
      </w:r>
      <w:r>
        <w:rPr>
          <w:rFonts w:ascii="宋体" w:hAnsi="宋体" w:eastAsia="宋体" w:cs="宋体"/>
          <w:sz w:val="24"/>
        </w:rPr>
        <w:t>可以按式（D.5）计算。</w:t>
      </w:r>
    </w:p>
    <w:p>
      <w:pPr>
        <w:spacing w:line="360" w:lineRule="auto"/>
        <w:ind w:firstLine="480"/>
        <w:rPr>
          <w:rFonts w:cs="宋体"/>
          <w:sz w:val="24"/>
        </w:rPr>
      </w:pPr>
      <w:r>
        <w:rPr>
          <w:rFonts w:hint="eastAsia" w:cs="宋体"/>
          <w:sz w:val="24"/>
        </w:rPr>
        <w:t xml:space="preserve"> </w:t>
      </w:r>
    </w:p>
    <w:p>
      <w:pPr>
        <w:spacing w:line="360" w:lineRule="auto"/>
        <w:jc w:val="right"/>
        <w:rPr>
          <w:rFonts w:cs="宋体"/>
          <w:sz w:val="24"/>
        </w:rPr>
      </w:pPr>
      <w:r>
        <w:rPr>
          <w:rFonts w:cs="宋体"/>
          <w:position w:val="-12"/>
          <w:sz w:val="24"/>
        </w:rPr>
        <w:object>
          <v:shape id="_x0000_i1068" o:spt="75" type="#_x0000_t75" style="height:17.25pt;width:30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115">
            <o:LockedField>false</o:LockedField>
          </o:OLEObject>
        </w:object>
      </w:r>
      <w:r>
        <w:rPr>
          <w:rFonts w:cs="宋体"/>
          <w:sz w:val="24"/>
        </w:rPr>
        <w:t xml:space="preserve"> =</w:t>
      </w:r>
      <w:r>
        <w:rPr>
          <w:rFonts w:cs="宋体"/>
          <w:position w:val="-14"/>
          <w:sz w:val="24"/>
        </w:rPr>
        <w:object>
          <v:shape id="_x0000_i1069" o:spt="75" type="#_x0000_t75" style="height:23.25pt;width:115.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117">
            <o:LockedField>false</o:LockedField>
          </o:OLEObject>
        </w:object>
      </w:r>
      <w:r>
        <w:rPr>
          <w:rFonts w:cs="宋体"/>
          <w:sz w:val="24"/>
        </w:rPr>
        <w:t xml:space="preserve">                     </w:t>
      </w:r>
      <w:r>
        <w:rPr>
          <w:rFonts w:ascii="宋体" w:hAnsi="宋体" w:eastAsia="宋体" w:cs="宋体"/>
          <w:sz w:val="24"/>
        </w:rPr>
        <w:t>（D.5）</w:t>
      </w:r>
    </w:p>
    <w:p>
      <w:pPr>
        <w:spacing w:line="360" w:lineRule="auto"/>
        <w:ind w:firstLine="480"/>
        <w:jc w:val="right"/>
        <w:rPr>
          <w:rFonts w:cs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各校准点的合成标准不确定度</w:t>
      </w:r>
      <w:r>
        <w:rPr>
          <w:rFonts w:ascii="宋体" w:hAnsi="宋体" w:eastAsia="宋体" w:cs="宋体"/>
          <w:position w:val="-12"/>
          <w:sz w:val="24"/>
        </w:rPr>
        <w:object>
          <v:shape id="_x0000_i1070" o:spt="75" type="#_x0000_t75" style="height:17.25pt;width:30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119">
            <o:LockedField>false</o:LockedField>
          </o:OLEObject>
        </w:object>
      </w:r>
      <w:r>
        <w:rPr>
          <w:rFonts w:ascii="宋体" w:hAnsi="宋体" w:eastAsia="宋体" w:cs="宋体"/>
          <w:sz w:val="24"/>
        </w:rPr>
        <w:t>按式（D.5）计算结果如下：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20%FS校准点(</w:t>
      </w:r>
      <w:r>
        <w:rPr>
          <w:rFonts w:hint="eastAsia" w:ascii="宋体" w:hAnsi="宋体" w:eastAsia="宋体" w:cs="宋体"/>
          <w:position w:val="-4"/>
          <w:sz w:val="24"/>
        </w:rPr>
        <w:t>5.95μ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  <w:r>
        <w:rPr>
          <w:rFonts w:ascii="宋体" w:hAnsi="宋体" w:eastAsia="宋体" w:cs="宋体"/>
          <w:sz w:val="24"/>
        </w:rPr>
        <w:t>)：</w:t>
      </w:r>
      <w:r>
        <w:rPr>
          <w:rFonts w:ascii="宋体" w:hAnsi="宋体" w:eastAsia="宋体" w:cs="宋体"/>
          <w:position w:val="-12"/>
          <w:sz w:val="24"/>
        </w:rPr>
        <w:object>
          <v:shape id="_x0000_i1071" o:spt="75" type="#_x0000_t75" style="height:17.25pt;width:4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121">
            <o:LockedField>false</o:LockedField>
          </o:OLEObject>
        </w:object>
      </w:r>
      <w:r>
        <w:rPr>
          <w:rFonts w:ascii="宋体" w:hAnsi="宋体" w:eastAsia="宋体" w:cs="宋体"/>
          <w:sz w:val="24"/>
        </w:rPr>
        <w:t>=</w:t>
      </w:r>
      <w:r>
        <w:rPr>
          <w:rFonts w:ascii="宋体" w:hAnsi="宋体" w:eastAsia="宋体" w:cs="宋体"/>
          <w:position w:val="-12"/>
          <w:sz w:val="24"/>
        </w:rPr>
        <w:object>
          <v:shape id="_x0000_i1072" o:spt="75" type="#_x0000_t75" style="height:21.75pt;width:113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123">
            <o:LockedField>false</o:LockedField>
          </o:OLEObject>
        </w:object>
      </w:r>
      <w:r>
        <w:rPr>
          <w:rFonts w:ascii="宋体" w:hAnsi="宋体" w:eastAsia="宋体" w:cs="宋体"/>
          <w:position w:val="-4"/>
          <w:sz w:val="24"/>
        </w:rPr>
        <w:t>0.</w:t>
      </w:r>
      <w:r>
        <w:rPr>
          <w:rFonts w:hint="eastAsia" w:ascii="宋体" w:hAnsi="宋体" w:eastAsia="宋体" w:cs="宋体"/>
          <w:position w:val="-4"/>
          <w:sz w:val="24"/>
        </w:rPr>
        <w:t>090μ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50%FS校准点(</w:t>
      </w:r>
      <w:r>
        <w:rPr>
          <w:rFonts w:hint="eastAsia" w:ascii="宋体" w:hAnsi="宋体" w:eastAsia="宋体" w:cs="宋体"/>
          <w:sz w:val="24"/>
        </w:rPr>
        <w:t>14.6</w:t>
      </w:r>
      <w:r>
        <w:rPr>
          <w:rFonts w:hint="eastAsia" w:ascii="宋体" w:hAnsi="宋体" w:eastAsia="宋体" w:cs="宋体"/>
          <w:position w:val="-4"/>
          <w:sz w:val="24"/>
        </w:rPr>
        <w:t>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  <w:r>
        <w:rPr>
          <w:rFonts w:ascii="宋体" w:hAnsi="宋体" w:eastAsia="宋体" w:cs="宋体"/>
          <w:sz w:val="24"/>
        </w:rPr>
        <w:t>)：</w:t>
      </w:r>
      <w:r>
        <w:rPr>
          <w:rFonts w:ascii="宋体" w:hAnsi="宋体" w:eastAsia="宋体" w:cs="宋体"/>
          <w:position w:val="-12"/>
          <w:sz w:val="24"/>
        </w:rPr>
        <w:object>
          <v:shape id="_x0000_i1073" o:spt="75" type="#_x0000_t75" style="height:17.25pt;width:43.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125">
            <o:LockedField>false</o:LockedField>
          </o:OLEObject>
        </w:object>
      </w:r>
      <w:r>
        <w:rPr>
          <w:rFonts w:ascii="宋体" w:hAnsi="宋体" w:eastAsia="宋体" w:cs="宋体"/>
          <w:sz w:val="24"/>
        </w:rPr>
        <w:t>=</w:t>
      </w:r>
      <w:r>
        <w:rPr>
          <w:rFonts w:ascii="宋体" w:hAnsi="宋体" w:eastAsia="宋体" w:cs="宋体"/>
          <w:position w:val="-12"/>
          <w:sz w:val="24"/>
        </w:rPr>
        <w:object>
          <v:shape id="_x0000_i1074" o:spt="75" type="#_x0000_t75" style="height:21.75pt;width:113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27">
            <o:LockedField>false</o:LockedField>
          </o:OLEObject>
        </w:object>
      </w:r>
      <w:r>
        <w:rPr>
          <w:rFonts w:hint="eastAsia" w:ascii="宋体" w:hAnsi="宋体" w:eastAsia="宋体" w:cs="宋体"/>
          <w:position w:val="-4"/>
          <w:sz w:val="24"/>
        </w:rPr>
        <w:t>0.220μ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80%FS校准点(</w:t>
      </w:r>
      <w:r>
        <w:rPr>
          <w:rFonts w:hint="eastAsia" w:ascii="宋体" w:hAnsi="宋体" w:eastAsia="宋体" w:cs="宋体"/>
          <w:position w:val="-4"/>
          <w:sz w:val="24"/>
        </w:rPr>
        <w:t>24.8μ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  <w:r>
        <w:rPr>
          <w:rFonts w:ascii="宋体" w:hAnsi="宋体" w:eastAsia="宋体" w:cs="宋体"/>
          <w:sz w:val="24"/>
        </w:rPr>
        <w:t>)：</w:t>
      </w:r>
      <w:r>
        <w:rPr>
          <w:rFonts w:ascii="宋体" w:hAnsi="宋体" w:eastAsia="宋体" w:cs="宋体"/>
          <w:position w:val="-12"/>
          <w:sz w:val="24"/>
        </w:rPr>
        <w:object>
          <v:shape id="_x0000_i1075" o:spt="75" type="#_x0000_t75" style="height:17.25pt;width:42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29">
            <o:LockedField>false</o:LockedField>
          </o:OLEObject>
        </w:object>
      </w:r>
      <w:r>
        <w:rPr>
          <w:rFonts w:ascii="宋体" w:hAnsi="宋体" w:eastAsia="宋体" w:cs="宋体"/>
          <w:sz w:val="24"/>
        </w:rPr>
        <w:t>=</w:t>
      </w:r>
      <w:r>
        <w:rPr>
          <w:rFonts w:ascii="宋体" w:hAnsi="宋体" w:eastAsia="宋体" w:cs="宋体"/>
          <w:position w:val="-12"/>
          <w:sz w:val="24"/>
        </w:rPr>
        <w:object>
          <v:shape id="_x0000_i1076" o:spt="75" type="#_x0000_t75" style="height:21.75pt;width:113.2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31">
            <o:LockedField>false</o:LockedField>
          </o:OLEObject>
        </w:object>
      </w:r>
      <w:r>
        <w:rPr>
          <w:rFonts w:ascii="宋体" w:hAnsi="宋体" w:eastAsia="宋体" w:cs="宋体"/>
          <w:position w:val="-4"/>
          <w:sz w:val="24"/>
          <w:highlight w:val="none"/>
        </w:rPr>
        <w:t>0.</w:t>
      </w:r>
      <w:r>
        <w:rPr>
          <w:rFonts w:hint="eastAsia" w:ascii="宋体" w:hAnsi="宋体" w:eastAsia="宋体" w:cs="宋体"/>
          <w:position w:val="-4"/>
          <w:sz w:val="24"/>
          <w:highlight w:val="none"/>
        </w:rPr>
        <w:t>37</w:t>
      </w:r>
      <w:r>
        <w:rPr>
          <w:rFonts w:hint="eastAsia" w:ascii="宋体" w:hAnsi="宋体" w:eastAsia="宋体" w:cs="宋体"/>
          <w:position w:val="-4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position w:val="-4"/>
          <w:sz w:val="24"/>
        </w:rPr>
        <w:t>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C.6扩展不确定</w:t>
      </w:r>
    </w:p>
    <w:p>
      <w:pPr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取包含因子</w:t>
      </w:r>
      <w:r>
        <w:rPr>
          <w:rFonts w:ascii="宋体" w:hAnsi="宋体" w:eastAsia="宋体" w:cs="宋体"/>
          <w:i/>
          <w:sz w:val="24"/>
        </w:rPr>
        <w:t>k</w:t>
      </w:r>
      <w:r>
        <w:rPr>
          <w:rFonts w:ascii="宋体" w:hAnsi="宋体" w:eastAsia="宋体" w:cs="宋体"/>
          <w:sz w:val="24"/>
        </w:rPr>
        <w:t>=2,则各校准点示值误差的扩展不确定度：</w:t>
      </w:r>
    </w:p>
    <w:p>
      <w:pPr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20%FS校准点(</w:t>
      </w:r>
      <w:r>
        <w:rPr>
          <w:rFonts w:hint="eastAsia" w:ascii="宋体" w:hAnsi="宋体" w:eastAsia="宋体" w:cs="宋体"/>
          <w:position w:val="-4"/>
          <w:sz w:val="24"/>
        </w:rPr>
        <w:t>5.95μ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  <w:r>
        <w:rPr>
          <w:rFonts w:ascii="宋体" w:hAnsi="宋体" w:eastAsia="宋体" w:cs="宋体"/>
          <w:sz w:val="24"/>
        </w:rPr>
        <w:t>)：</w:t>
      </w:r>
      <w:r>
        <w:rPr>
          <w:rFonts w:ascii="宋体" w:hAnsi="宋体" w:eastAsia="宋体" w:cs="宋体"/>
          <w:i/>
          <w:sz w:val="24"/>
        </w:rPr>
        <w:t>U</w:t>
      </w:r>
      <w:r>
        <w:rPr>
          <w:rFonts w:ascii="宋体" w:hAnsi="宋体" w:eastAsia="宋体" w:cs="宋体"/>
          <w:sz w:val="24"/>
        </w:rPr>
        <w:t>=</w:t>
      </w:r>
      <w:r>
        <w:rPr>
          <w:rFonts w:ascii="宋体" w:hAnsi="宋体" w:eastAsia="宋体" w:cs="宋体"/>
          <w:position w:val="-4"/>
          <w:sz w:val="24"/>
        </w:rPr>
        <w:object>
          <v:shape id="_x0000_i1077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33">
            <o:LockedField>false</o:LockedField>
          </o:OLEObject>
        </w:object>
      </w:r>
      <w:r>
        <w:rPr>
          <w:rFonts w:ascii="宋体" w:hAnsi="宋体" w:eastAsia="宋体" w:cs="宋体"/>
          <w:position w:val="-12"/>
          <w:sz w:val="24"/>
        </w:rPr>
        <w:object>
          <v:shape id="_x0000_i1078" o:spt="75" type="#_x0000_t75" style="height:17.25pt;width:42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35">
            <o:LockedField>false</o:LockedField>
          </o:OLEObject>
        </w:object>
      </w:r>
      <w:r>
        <w:rPr>
          <w:rFonts w:ascii="宋体" w:hAnsi="宋体" w:eastAsia="宋体" w:cs="宋体"/>
          <w:sz w:val="24"/>
        </w:rPr>
        <w:t>=</w:t>
      </w:r>
      <w:r>
        <w:rPr>
          <w:rFonts w:ascii="宋体" w:hAnsi="宋体" w:eastAsia="宋体" w:cs="宋体"/>
          <w:position w:val="-4"/>
          <w:sz w:val="24"/>
        </w:rPr>
        <w:t>0.</w:t>
      </w:r>
      <w:r>
        <w:rPr>
          <w:rFonts w:hint="eastAsia" w:ascii="宋体" w:hAnsi="宋体" w:eastAsia="宋体" w:cs="宋体"/>
          <w:position w:val="-4"/>
          <w:sz w:val="24"/>
        </w:rPr>
        <w:t>18μ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</w:p>
    <w:p>
      <w:pPr>
        <w:spacing w:line="360" w:lineRule="auto"/>
        <w:ind w:firstLine="48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50%FS校准点(</w:t>
      </w:r>
      <w:r>
        <w:rPr>
          <w:rFonts w:hint="eastAsia" w:ascii="宋体" w:hAnsi="宋体" w:eastAsia="宋体" w:cs="宋体"/>
          <w:position w:val="-4"/>
          <w:sz w:val="24"/>
        </w:rPr>
        <w:t>14.6μ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  <w:r>
        <w:rPr>
          <w:rFonts w:ascii="宋体" w:hAnsi="宋体" w:eastAsia="宋体" w:cs="宋体"/>
          <w:sz w:val="24"/>
        </w:rPr>
        <w:t>)：</w:t>
      </w:r>
      <w:r>
        <w:rPr>
          <w:rFonts w:ascii="宋体" w:hAnsi="宋体" w:eastAsia="宋体" w:cs="宋体"/>
          <w:i/>
          <w:sz w:val="24"/>
        </w:rPr>
        <w:t>U</w:t>
      </w:r>
      <w:r>
        <w:rPr>
          <w:rFonts w:ascii="宋体" w:hAnsi="宋体" w:eastAsia="宋体" w:cs="宋体"/>
          <w:sz w:val="24"/>
        </w:rPr>
        <w:t>=</w:t>
      </w:r>
      <w:r>
        <w:rPr>
          <w:rFonts w:ascii="宋体" w:hAnsi="宋体" w:eastAsia="宋体" w:cs="宋体"/>
          <w:position w:val="-4"/>
          <w:sz w:val="24"/>
        </w:rPr>
        <w:object>
          <v:shape id="_x0000_i1079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37">
            <o:LockedField>false</o:LockedField>
          </o:OLEObject>
        </w:object>
      </w:r>
      <w:r>
        <w:rPr>
          <w:rFonts w:ascii="宋体" w:hAnsi="宋体" w:eastAsia="宋体" w:cs="宋体"/>
          <w:position w:val="-12"/>
          <w:sz w:val="24"/>
        </w:rPr>
        <w:object>
          <v:shape id="_x0000_i1080" o:spt="75" type="#_x0000_t75" style="height:16.5pt;width:41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39">
            <o:LockedField>false</o:LockedField>
          </o:OLEObject>
        </w:object>
      </w:r>
      <w:r>
        <w:rPr>
          <w:rFonts w:ascii="宋体" w:hAnsi="宋体" w:eastAsia="宋体" w:cs="宋体"/>
          <w:sz w:val="24"/>
        </w:rPr>
        <w:t>=</w:t>
      </w:r>
      <w:r>
        <w:rPr>
          <w:rFonts w:hint="eastAsia" w:ascii="宋体" w:hAnsi="宋体" w:eastAsia="宋体" w:cs="宋体"/>
          <w:position w:val="-4"/>
          <w:sz w:val="24"/>
        </w:rPr>
        <w:t>0.44μ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</w:p>
    <w:p>
      <w:pPr>
        <w:spacing w:line="360" w:lineRule="auto"/>
        <w:ind w:firstLine="480"/>
        <w:rPr>
          <w:rFonts w:ascii="Times New Roman" w:hAnsi="Times New Roman"/>
          <w:sz w:val="24"/>
        </w:rPr>
      </w:pPr>
      <w:r>
        <w:rPr>
          <w:rFonts w:ascii="宋体" w:hAnsi="宋体" w:eastAsia="宋体" w:cs="宋体"/>
          <w:sz w:val="24"/>
        </w:rPr>
        <w:t>80%FS校准点(</w:t>
      </w:r>
      <w:r>
        <w:rPr>
          <w:rFonts w:hint="eastAsia" w:ascii="宋体" w:hAnsi="宋体" w:eastAsia="宋体" w:cs="宋体"/>
          <w:position w:val="-4"/>
          <w:sz w:val="24"/>
        </w:rPr>
        <w:t>24.8μ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  <w:r>
        <w:rPr>
          <w:rFonts w:ascii="宋体" w:hAnsi="宋体" w:eastAsia="宋体" w:cs="宋体"/>
          <w:sz w:val="24"/>
        </w:rPr>
        <w:t>)：</w:t>
      </w:r>
      <w:r>
        <w:rPr>
          <w:rFonts w:ascii="宋体" w:hAnsi="宋体" w:eastAsia="宋体" w:cs="宋体"/>
          <w:i/>
          <w:sz w:val="24"/>
        </w:rPr>
        <w:t>U</w:t>
      </w:r>
      <w:r>
        <w:rPr>
          <w:rFonts w:ascii="宋体" w:hAnsi="宋体" w:eastAsia="宋体" w:cs="宋体"/>
          <w:sz w:val="24"/>
        </w:rPr>
        <w:t>=</w:t>
      </w:r>
      <w:r>
        <w:rPr>
          <w:rFonts w:ascii="宋体" w:hAnsi="宋体" w:eastAsia="宋体" w:cs="宋体"/>
          <w:position w:val="-4"/>
          <w:sz w:val="24"/>
        </w:rPr>
        <w:object>
          <v:shape id="_x0000_i1081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141">
            <o:LockedField>false</o:LockedField>
          </o:OLEObject>
        </w:object>
      </w:r>
      <w:r>
        <w:rPr>
          <w:rFonts w:ascii="宋体" w:hAnsi="宋体" w:eastAsia="宋体" w:cs="宋体"/>
          <w:position w:val="-12"/>
          <w:sz w:val="24"/>
        </w:rPr>
        <w:object>
          <v:shape id="_x0000_i1082" o:spt="75" type="#_x0000_t75" style="height:17.25pt;width:41.2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42">
            <o:LockedField>false</o:LockedField>
          </o:OLEObject>
        </w:object>
      </w:r>
      <w:r>
        <w:rPr>
          <w:rFonts w:ascii="宋体" w:hAnsi="宋体" w:eastAsia="宋体" w:cs="宋体"/>
          <w:sz w:val="24"/>
        </w:rPr>
        <w:t>=</w:t>
      </w:r>
      <w:r>
        <w:rPr>
          <w:rFonts w:hint="eastAsia" w:ascii="宋体" w:hAnsi="宋体" w:eastAsia="宋体" w:cs="宋体"/>
          <w:sz w:val="24"/>
        </w:rPr>
        <w:t>0.75</w:t>
      </w:r>
      <w:r>
        <w:rPr>
          <w:rFonts w:hint="eastAsia" w:ascii="宋体" w:hAnsi="宋体" w:eastAsia="宋体" w:cs="宋体"/>
          <w:position w:val="-4"/>
          <w:sz w:val="24"/>
        </w:rPr>
        <w:t>μ</w:t>
      </w:r>
      <w:r>
        <w:rPr>
          <w:rFonts w:ascii="宋体" w:hAnsi="宋体" w:eastAsia="宋体" w:cs="宋体"/>
          <w:bCs/>
          <w:spacing w:val="13"/>
          <w:sz w:val="24"/>
        </w:rPr>
        <w:t>mol/mol</w:t>
      </w:r>
    </w:p>
    <w:p>
      <w:pPr>
        <w:rPr>
          <w:rFonts w:ascii="宋体" w:hAnsi="宋体" w:eastAsia="宋体" w:cs="Times New Roman"/>
        </w:rPr>
      </w:pPr>
    </w:p>
    <w:p>
      <w:pPr>
        <w:rPr>
          <w:rFonts w:ascii="宋体" w:hAnsi="宋体" w:eastAsia="宋体" w:cs="Times New Roman"/>
        </w:rPr>
      </w:pPr>
    </w:p>
    <w:p>
      <w:pPr>
        <w:rPr>
          <w:rFonts w:ascii="宋体" w:hAnsi="宋体" w:eastAsia="宋体" w:cs="Times New Roman"/>
          <w:u w:val="thick"/>
        </w:rPr>
        <w:sectPr>
          <w:headerReference r:id="rId25" w:type="default"/>
          <w:footerReference r:id="rId26" w:type="default"/>
          <w:pgSz w:w="11906" w:h="16838"/>
          <w:pgMar w:top="1134" w:right="1134" w:bottom="1134" w:left="1134" w:header="851" w:footer="992" w:gutter="0"/>
          <w:pgNumType w:start="1"/>
          <w:cols w:space="425" w:num="1"/>
          <w:docGrid w:linePitch="312" w:charSpace="0"/>
        </w:sectPr>
      </w:pPr>
      <w:r>
        <w:rPr>
          <w:rFonts w:ascii="宋体" w:hAnsi="宋体" w:eastAsia="宋体" w:cs="Times New Roman"/>
        </w:rPr>
        <w:t xml:space="preserve">                          </w:t>
      </w:r>
      <w:r>
        <w:rPr>
          <w:rFonts w:ascii="宋体" w:hAnsi="宋体" w:eastAsia="宋体" w:cs="Times New Roman"/>
          <w:b/>
        </w:rPr>
        <w:t xml:space="preserve"> </w:t>
      </w:r>
      <w:r>
        <w:rPr>
          <w:rFonts w:ascii="宋体" w:hAnsi="宋体" w:eastAsia="宋体" w:cs="Times New Roman"/>
          <w:u w:val="thick"/>
        </w:rPr>
        <w:t xml:space="preserve">                          </w:t>
      </w:r>
    </w:p>
    <w:p>
      <w:pPr>
        <w:rPr>
          <w:rFonts w:ascii="Times New Roman" w:hAnsi="Times New Roman" w:cs="Times New Roman"/>
        </w:rPr>
        <w:sectPr>
          <w:type w:val="continuous"/>
          <w:pgSz w:w="11906" w:h="16838"/>
          <w:pgMar w:top="1361" w:right="1134" w:bottom="1361" w:left="1418" w:header="850" w:footer="992" w:gutter="0"/>
          <w:cols w:space="425" w:num="1"/>
          <w:titlePg/>
          <w:docGrid w:linePitch="326" w:charSpace="0"/>
        </w:sect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5675630</wp:posOffset>
                </wp:positionH>
                <wp:positionV relativeFrom="paragraph">
                  <wp:posOffset>73025</wp:posOffset>
                </wp:positionV>
                <wp:extent cx="516890" cy="175704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516890" cy="1757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JJF（吉）XXX</w:t>
                            </w:r>
                            <w: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  <w:t>-202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6.9pt;margin-top:5.75pt;height:138.35pt;width:40.7pt;z-index:251667456;mso-width-relative:page;mso-height-relative:page;" fillcolor="#FFFFFF [3201]" filled="t" stroked="t" coordsize="21600,21600" o:gfxdata="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FgAAAGRycy9QSwECFAAUAAAACACHTuJAUVuh&#10;gNkAAAAKAQAADwAAAAAAAAABACAAAAA4AAAAZHJzL2Rvd25yZXYueG1sUEsBAhQAFAAAAAgAh07i&#10;QHaJ2EBEAgAAjQQAAA4AAAAAAAAAAQAgAAAAPgEAAGRycy9lMm9Eb2MueG1sUEsFBgAAAAAGAAYA&#10;WQEAAPQFAAAAAA==&#10;">
                <v:fill on="t" focussize="0,0"/>
                <v:stroke weight="0.5pt" color="#FFFFFF [3212]" joinstyle="round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JJF（吉）XXX</w:t>
                      </w:r>
                      <w:r>
                        <w:rPr>
                          <w:rFonts w:ascii="黑体" w:hAnsi="黑体" w:eastAsia="黑体"/>
                          <w:sz w:val="28"/>
                          <w:szCs w:val="28"/>
                        </w:rPr>
                        <w:t>-202</w:t>
                      </w: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吉林省地方计量技术规范</w:t>
      </w:r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氟化氢气体检测报警器</w:t>
      </w:r>
      <w:r>
        <w:rPr>
          <w:rFonts w:ascii="Times New Roman" w:hAnsi="Times New Roman" w:cs="Times New Roman"/>
          <w:b/>
        </w:rPr>
        <w:t>校准规范</w:t>
      </w:r>
    </w:p>
    <w:p>
      <w:pPr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JJF(吉)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szCs w:val="21"/>
        </w:rPr>
        <w:t>XXX</w:t>
      </w:r>
      <w:r>
        <w:rPr>
          <w:rFonts w:ascii="Times New Roman" w:hAnsi="Times New Roman" w:cs="Times New Roman"/>
          <w:b/>
          <w:szCs w:val="21"/>
        </w:rPr>
        <w:t>—</w:t>
      </w:r>
      <w:r>
        <w:rPr>
          <w:rFonts w:ascii="Times New Roman" w:hAnsi="Times New Roman" w:cs="Times New Roman"/>
          <w:szCs w:val="21"/>
        </w:rPr>
        <w:t>202</w:t>
      </w:r>
      <w:r>
        <w:rPr>
          <w:rFonts w:hint="eastAsia" w:ascii="Times New Roman" w:hAnsi="Times New Roman" w:cs="Times New Roman"/>
          <w:szCs w:val="21"/>
        </w:rPr>
        <w:t>5</w:t>
      </w:r>
    </w:p>
    <w:p>
      <w:pPr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吉林省市场监督管理厅发布</w:t>
      </w:r>
    </w:p>
    <w:p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﹡</w:t>
      </w:r>
    </w:p>
    <w:p>
      <w:pPr>
        <w:jc w:val="center"/>
        <w:rPr>
          <w:rFonts w:ascii="Times New Roman" w:hAnsi="Times New Roman" w:cs="Times New Roman"/>
          <w:szCs w:val="24"/>
        </w:rPr>
      </w:pPr>
    </w:p>
    <w:p>
      <w:pPr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版权所有  不得翻印</w:t>
      </w:r>
    </w:p>
    <w:p>
      <w:pPr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297㎜×210㎜ A4纸</w:t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202</w:t>
      </w:r>
      <w:r>
        <w:rPr>
          <w:rFonts w:hint="eastAsia"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年</w:t>
      </w:r>
      <w:r>
        <w:rPr>
          <w:rFonts w:hint="eastAsia" w:ascii="Times New Roman" w:hAnsi="Times New Roman" w:cs="Times New Roman"/>
          <w:szCs w:val="21"/>
        </w:rPr>
        <w:t>XX</w:t>
      </w:r>
      <w:r>
        <w:rPr>
          <w:rFonts w:ascii="Times New Roman" w:hAnsi="Times New Roman" w:cs="Times New Roman"/>
          <w:szCs w:val="21"/>
        </w:rPr>
        <w:t>月第1版    202</w:t>
      </w:r>
      <w:r>
        <w:rPr>
          <w:rFonts w:hint="eastAsia"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年</w:t>
      </w:r>
      <w:r>
        <w:rPr>
          <w:rFonts w:hint="eastAsia" w:ascii="Times New Roman" w:hAnsi="Times New Roman" w:cs="Times New Roman"/>
          <w:szCs w:val="21"/>
        </w:rPr>
        <w:t>XX</w:t>
      </w:r>
      <w:r>
        <w:rPr>
          <w:rFonts w:ascii="Times New Roman" w:hAnsi="Times New Roman" w:cs="Times New Roman"/>
          <w:szCs w:val="21"/>
        </w:rPr>
        <w:t>月第1次印刷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sectPr>
      <w:footerReference r:id="rId28" w:type="first"/>
      <w:footerReference r:id="rId27" w:type="default"/>
      <w:pgSz w:w="11906" w:h="16838"/>
      <w:pgMar w:top="1361" w:right="1134" w:bottom="1361" w:left="1418" w:header="850" w:footer="992" w:gutter="0"/>
      <w:cols w:space="425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公文小标宋">
    <w:altName w:val="方正小标宋_GBK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Nimbus Roman No9 L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rFonts w:hint="eastAsia"/>
      </w:rPr>
      <w:t xml:space="preserve"> </w:t>
    </w:r>
    <w:r>
      <w:t xml:space="preserve">                                                                                                     1                                                                                             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rFonts w:hint="eastAsia"/>
      </w:rPr>
      <w:t xml:space="preserve"> </w:t>
    </w:r>
    <w:r>
      <w:t xml:space="preserve">                                                                                                     5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rFonts w:hint="eastAsia"/>
      </w:rPr>
      <w:t xml:space="preserve"> </w:t>
    </w:r>
    <w:r>
      <w:t xml:space="preserve">                                                                                                     7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rFonts w:hint="eastAsia"/>
      </w:rPr>
      <w:t xml:space="preserve"> </w:t>
    </w:r>
    <w:r>
      <w:t xml:space="preserve">     8                                                                                                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rFonts w:hint="eastAsia"/>
      </w:rPr>
      <w:t xml:space="preserve"> </w:t>
    </w:r>
    <w:r>
      <w:t xml:space="preserve">                                                                                                      9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180" w:firstLine="360"/>
      <w:jc w:val="both"/>
    </w:pPr>
    <w:r>
      <w:rPr>
        <w:rFonts w:hint="eastAsia"/>
      </w:rPr>
      <w:t>10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180" w:firstLine="360"/>
      <w:jc w:val="right"/>
    </w:pPr>
    <w:r>
      <w:rPr>
        <w:rFonts w:hint="eastAsia"/>
      </w:rPr>
      <w:t>1</w:t>
    </w:r>
    <w:r>
      <w:t>3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rFonts w:hint="eastAsia"/>
      </w:rPr>
      <w:t xml:space="preserve"> </w:t>
    </w:r>
    <w:r>
      <w:t xml:space="preserve">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65842476"/>
    </w:sdtPr>
    <w:sdtContent>
      <w:p>
        <w:pPr>
          <w:pStyle w:val="8"/>
          <w:ind w:right="360" w:firstLine="360"/>
          <w:jc w:val="right"/>
        </w:pPr>
        <w:r>
          <w:rPr>
            <w:rFonts w:hint="eastAsia"/>
          </w:rPr>
          <w:t>Ⅰ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  <w: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23291763"/>
    </w:sdtPr>
    <w:sdtContent>
      <w:p>
        <w:pPr>
          <w:pStyle w:val="8"/>
          <w:ind w:firstLine="360"/>
        </w:pPr>
        <w:r>
          <w:rPr>
            <w:rFonts w:hint="eastAsia"/>
          </w:rPr>
          <w:t>Ⅱ</w:t>
        </w:r>
        <w:r>
          <w:t xml:space="preserve">                                                                                                        </w:t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rFonts w:hint="eastAsia"/>
      </w:rPr>
      <w:t xml:space="preserve"> </w:t>
    </w:r>
    <w:r>
      <w:t xml:space="preserve">   2                                                                                                                                                                                           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rFonts w:hint="eastAsia"/>
      </w:rPr>
      <w:t xml:space="preserve"> </w:t>
    </w:r>
    <w:r>
      <w:t xml:space="preserve">                                                                                                      3                                                                                        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rFonts w:hint="eastAsia"/>
      </w:rPr>
      <w:t xml:space="preserve"> </w:t>
    </w:r>
    <w:r>
      <w:t xml:space="preserve">       4                                                                                              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59603075"/>
    </w:sdtPr>
    <w:sdtContent>
      <w:p>
        <w:pPr>
          <w:pStyle w:val="8"/>
          <w:ind w:firstLine="360"/>
        </w:pPr>
        <w:r>
          <w:t xml:space="preserve">6                                                                                                       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ind w:firstLine="420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>JJF（吉）</w:t>
    </w:r>
    <w:r>
      <w:rPr>
        <w:rFonts w:ascii="黑体" w:eastAsia="黑体"/>
        <w:sz w:val="21"/>
        <w:szCs w:val="21"/>
      </w:rPr>
      <w:t>138-2024</w:t>
    </w:r>
  </w:p>
  <w:p>
    <w:pPr>
      <w:pStyle w:val="9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ind w:firstLine="420"/>
      <w:rPr>
        <w:rFonts w:ascii="黑体" w:hAnsi="黑体" w:eastAsia="黑体"/>
        <w:sz w:val="21"/>
        <w:szCs w:val="21"/>
      </w:rPr>
    </w:pPr>
    <w:r>
      <w:rPr>
        <w:rFonts w:hint="eastAsia" w:ascii="黑体" w:hAnsi="黑体" w:eastAsia="黑体"/>
        <w:sz w:val="21"/>
        <w:szCs w:val="21"/>
      </w:rPr>
      <w:t>JJF（吉）XXX-</w:t>
    </w:r>
    <w:r>
      <w:rPr>
        <w:rFonts w:ascii="黑体" w:hAnsi="黑体" w:eastAsia="黑体"/>
        <w:sz w:val="21"/>
        <w:szCs w:val="21"/>
      </w:rPr>
      <w:t>202</w:t>
    </w:r>
    <w:r>
      <w:rPr>
        <w:rFonts w:hint="eastAsia" w:ascii="黑体" w:hAnsi="黑体" w:eastAsia="黑体"/>
        <w:sz w:val="21"/>
        <w:szCs w:val="21"/>
      </w:rPr>
      <w:t>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ind w:firstLine="420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 xml:space="preserve"> JJF（吉）XXX</w:t>
    </w:r>
    <w:r>
      <w:rPr>
        <w:rFonts w:ascii="黑体" w:eastAsia="黑体"/>
        <w:sz w:val="21"/>
        <w:szCs w:val="21"/>
      </w:rPr>
      <w:t>-202</w:t>
    </w:r>
    <w:r>
      <w:rPr>
        <w:rFonts w:hint="eastAsia" w:ascii="黑体" w:eastAsia="黑体"/>
        <w:sz w:val="21"/>
        <w:szCs w:val="21"/>
      </w:rPr>
      <w:t>5</w:t>
    </w:r>
  </w:p>
  <w:p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ind w:firstLine="420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>JJF（吉）XXX</w:t>
    </w:r>
    <w:r>
      <w:rPr>
        <w:rFonts w:ascii="黑体" w:eastAsia="黑体"/>
        <w:sz w:val="21"/>
        <w:szCs w:val="21"/>
      </w:rPr>
      <w:t>-202</w:t>
    </w:r>
    <w:r>
      <w:rPr>
        <w:rFonts w:hint="eastAsia" w:ascii="黑体" w:eastAsia="黑体"/>
        <w:sz w:val="21"/>
        <w:szCs w:val="21"/>
      </w:rPr>
      <w:t>5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ind w:firstLine="420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>JJF（吉）XXX</w:t>
    </w:r>
    <w:r>
      <w:rPr>
        <w:rFonts w:ascii="黑体" w:eastAsia="黑体"/>
        <w:sz w:val="21"/>
        <w:szCs w:val="21"/>
      </w:rPr>
      <w:t>-202</w:t>
    </w:r>
    <w:r>
      <w:rPr>
        <w:rFonts w:hint="eastAsia" w:ascii="黑体" w:eastAsia="黑体"/>
        <w:sz w:val="21"/>
        <w:szCs w:val="21"/>
      </w:rPr>
      <w:t>5</w:t>
    </w:r>
  </w:p>
  <w:p>
    <w:pPr>
      <w:pStyle w:val="9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ind w:firstLine="420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>JJF（吉）XXX</w:t>
    </w:r>
    <w:r>
      <w:rPr>
        <w:rFonts w:ascii="黑体" w:eastAsia="黑体"/>
        <w:sz w:val="21"/>
        <w:szCs w:val="21"/>
      </w:rPr>
      <w:t>-202</w:t>
    </w:r>
    <w:r>
      <w:rPr>
        <w:rFonts w:hint="eastAsia" w:ascii="黑体" w:eastAsia="黑体"/>
        <w:sz w:val="21"/>
        <w:szCs w:val="21"/>
      </w:rPr>
      <w:t>5</w:t>
    </w:r>
  </w:p>
  <w:p>
    <w:pPr>
      <w:pStyle w:val="9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ind w:firstLine="420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>JJF（吉）XXX</w:t>
    </w:r>
    <w:r>
      <w:rPr>
        <w:rFonts w:ascii="黑体" w:eastAsia="黑体"/>
        <w:sz w:val="21"/>
        <w:szCs w:val="21"/>
      </w:rPr>
      <w:t>-202</w:t>
    </w:r>
    <w:r>
      <w:rPr>
        <w:rFonts w:hint="eastAsia" w:ascii="黑体" w:eastAsia="黑体"/>
        <w:sz w:val="21"/>
        <w:szCs w:val="21"/>
      </w:rPr>
      <w:t>5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ind w:firstLine="420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>JJF（吉）XXX</w:t>
    </w:r>
    <w:r>
      <w:rPr>
        <w:rFonts w:ascii="黑体" w:eastAsia="黑体"/>
        <w:sz w:val="21"/>
        <w:szCs w:val="21"/>
      </w:rPr>
      <w:t>-202</w:t>
    </w:r>
    <w:r>
      <w:rPr>
        <w:rFonts w:hint="eastAsia" w:ascii="黑体" w:eastAsia="黑体"/>
        <w:sz w:val="21"/>
        <w:szCs w:val="21"/>
      </w:rPr>
      <w:t>5</w:t>
    </w:r>
  </w:p>
  <w:p>
    <w:pPr>
      <w:pStyle w:val="9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ind w:firstLine="420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>JJF（吉）XXX</w:t>
    </w:r>
    <w:r>
      <w:rPr>
        <w:rFonts w:ascii="黑体" w:eastAsia="黑体"/>
        <w:sz w:val="21"/>
        <w:szCs w:val="21"/>
      </w:rPr>
      <w:t>-202</w:t>
    </w:r>
    <w:r>
      <w:rPr>
        <w:rFonts w:hint="eastAsia" w:ascii="黑体" w:eastAsia="黑体"/>
        <w:sz w:val="21"/>
        <w:szCs w:val="21"/>
      </w:rPr>
      <w:t>5</w:t>
    </w:r>
  </w:p>
  <w:p>
    <w:pPr>
      <w:pStyle w:val="9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ind w:firstLine="420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>JJF（吉）XXX</w:t>
    </w:r>
    <w:r>
      <w:rPr>
        <w:rFonts w:ascii="黑体" w:eastAsia="黑体"/>
        <w:sz w:val="21"/>
        <w:szCs w:val="21"/>
      </w:rPr>
      <w:t>-202</w:t>
    </w:r>
    <w:r>
      <w:rPr>
        <w:rFonts w:hint="eastAsia" w:ascii="黑体" w:eastAsia="黑体"/>
        <w:sz w:val="21"/>
        <w:szCs w:val="21"/>
      </w:rPr>
      <w:t>5</w:t>
    </w:r>
  </w:p>
  <w:p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90A0C9"/>
    <w:multiLevelType w:val="multilevel"/>
    <w:tmpl w:val="4790A0C9"/>
    <w:lvl w:ilvl="0" w:tentative="0">
      <w:start w:val="1"/>
      <w:numFmt w:val="lowerLetter"/>
      <w:suff w:val="space"/>
      <w:lvlText w:val="%1)"/>
      <w:lvlJc w:val="left"/>
      <w:pPr>
        <w:ind w:left="480" w:hanging="360"/>
      </w:pPr>
      <w:rPr>
        <w:rFonts w:hint="default" w:ascii="宋体" w:hAnsi="宋体" w:eastAsia="宋体" w:cs="Times New Roman"/>
        <w:color w:val="auto"/>
      </w:rPr>
    </w:lvl>
    <w:lvl w:ilvl="1" w:tentative="0">
      <w:start w:val="1"/>
      <w:numFmt w:val="lowerLetter"/>
      <w:lvlText w:val="%2)"/>
      <w:lvlJc w:val="left"/>
      <w:pPr>
        <w:ind w:left="960" w:hanging="420"/>
      </w:pPr>
    </w:lvl>
    <w:lvl w:ilvl="2" w:tentative="0">
      <w:start w:val="1"/>
      <w:numFmt w:val="lowerRoman"/>
      <w:lvlText w:val="%3."/>
      <w:lvlJc w:val="right"/>
      <w:pPr>
        <w:ind w:left="1380" w:hanging="420"/>
      </w:pPr>
    </w:lvl>
    <w:lvl w:ilvl="3" w:tentative="0">
      <w:start w:val="1"/>
      <w:numFmt w:val="decimal"/>
      <w:lvlText w:val="%4."/>
      <w:lvlJc w:val="left"/>
      <w:pPr>
        <w:ind w:left="1800" w:hanging="420"/>
      </w:pPr>
    </w:lvl>
    <w:lvl w:ilvl="4" w:tentative="0">
      <w:start w:val="1"/>
      <w:numFmt w:val="lowerLetter"/>
      <w:lvlText w:val="%5)"/>
      <w:lvlJc w:val="left"/>
      <w:pPr>
        <w:ind w:left="2220" w:hanging="420"/>
      </w:pPr>
    </w:lvl>
    <w:lvl w:ilvl="5" w:tentative="0">
      <w:start w:val="1"/>
      <w:numFmt w:val="lowerRoman"/>
      <w:lvlText w:val="%6."/>
      <w:lvlJc w:val="right"/>
      <w:pPr>
        <w:ind w:left="2640" w:hanging="420"/>
      </w:pPr>
    </w:lvl>
    <w:lvl w:ilvl="6" w:tentative="0">
      <w:start w:val="1"/>
      <w:numFmt w:val="decimal"/>
      <w:lvlText w:val="%7."/>
      <w:lvlJc w:val="left"/>
      <w:pPr>
        <w:ind w:left="3060" w:hanging="420"/>
      </w:pPr>
    </w:lvl>
    <w:lvl w:ilvl="7" w:tentative="0">
      <w:start w:val="1"/>
      <w:numFmt w:val="lowerLetter"/>
      <w:lvlText w:val="%8)"/>
      <w:lvlJc w:val="left"/>
      <w:pPr>
        <w:ind w:left="3480" w:hanging="420"/>
      </w:pPr>
    </w:lvl>
    <w:lvl w:ilvl="8" w:tentative="0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TrueTypeFonts/>
  <w:saveSubsetFonts/>
  <w:bordersDoNotSurroundHeader w:val="true"/>
  <w:bordersDoNotSurroundFooter w:val="true"/>
  <w:documentProtection w:enforcement="0"/>
  <w:defaultTabStop w:val="420"/>
  <w:drawingGridHorizontalSpacing w:val="105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091"/>
    <w:rsid w:val="0001441B"/>
    <w:rsid w:val="00022AA3"/>
    <w:rsid w:val="000277BC"/>
    <w:rsid w:val="00030E67"/>
    <w:rsid w:val="00054F47"/>
    <w:rsid w:val="00057B6D"/>
    <w:rsid w:val="00057E93"/>
    <w:rsid w:val="000811BC"/>
    <w:rsid w:val="000843BB"/>
    <w:rsid w:val="000A3E94"/>
    <w:rsid w:val="000C522F"/>
    <w:rsid w:val="000D14AA"/>
    <w:rsid w:val="000E243D"/>
    <w:rsid w:val="000F08A8"/>
    <w:rsid w:val="000F18D9"/>
    <w:rsid w:val="00104091"/>
    <w:rsid w:val="001124F9"/>
    <w:rsid w:val="00114609"/>
    <w:rsid w:val="00134672"/>
    <w:rsid w:val="00151DE2"/>
    <w:rsid w:val="00153AD0"/>
    <w:rsid w:val="00157C37"/>
    <w:rsid w:val="00160DC9"/>
    <w:rsid w:val="00170BBD"/>
    <w:rsid w:val="00174C0F"/>
    <w:rsid w:val="001C0657"/>
    <w:rsid w:val="001C0D33"/>
    <w:rsid w:val="001D1D83"/>
    <w:rsid w:val="001D324B"/>
    <w:rsid w:val="001F6713"/>
    <w:rsid w:val="0020345C"/>
    <w:rsid w:val="00225EE0"/>
    <w:rsid w:val="00232D02"/>
    <w:rsid w:val="00233D54"/>
    <w:rsid w:val="002664DD"/>
    <w:rsid w:val="002A5CA5"/>
    <w:rsid w:val="002B7517"/>
    <w:rsid w:val="002C108D"/>
    <w:rsid w:val="002E1451"/>
    <w:rsid w:val="00314EC2"/>
    <w:rsid w:val="00320133"/>
    <w:rsid w:val="0032383C"/>
    <w:rsid w:val="00344D73"/>
    <w:rsid w:val="0037554A"/>
    <w:rsid w:val="00376D9E"/>
    <w:rsid w:val="0039436F"/>
    <w:rsid w:val="003B4EEA"/>
    <w:rsid w:val="003C033A"/>
    <w:rsid w:val="003D2D81"/>
    <w:rsid w:val="003D3852"/>
    <w:rsid w:val="003D53CE"/>
    <w:rsid w:val="003D7B32"/>
    <w:rsid w:val="003E13FA"/>
    <w:rsid w:val="003E3CD8"/>
    <w:rsid w:val="003E4958"/>
    <w:rsid w:val="003F615A"/>
    <w:rsid w:val="003F67F8"/>
    <w:rsid w:val="003F7674"/>
    <w:rsid w:val="00406900"/>
    <w:rsid w:val="0042112C"/>
    <w:rsid w:val="0045494D"/>
    <w:rsid w:val="0045657F"/>
    <w:rsid w:val="00457456"/>
    <w:rsid w:val="00463F6B"/>
    <w:rsid w:val="00464404"/>
    <w:rsid w:val="004775D6"/>
    <w:rsid w:val="00487B94"/>
    <w:rsid w:val="0049458B"/>
    <w:rsid w:val="00497570"/>
    <w:rsid w:val="004A06E0"/>
    <w:rsid w:val="004A25EC"/>
    <w:rsid w:val="004A5ECE"/>
    <w:rsid w:val="004C7359"/>
    <w:rsid w:val="004D0C80"/>
    <w:rsid w:val="004D4563"/>
    <w:rsid w:val="004F0F31"/>
    <w:rsid w:val="00504814"/>
    <w:rsid w:val="00506C30"/>
    <w:rsid w:val="00520615"/>
    <w:rsid w:val="00523A4D"/>
    <w:rsid w:val="00527909"/>
    <w:rsid w:val="0053731F"/>
    <w:rsid w:val="00550611"/>
    <w:rsid w:val="00556E26"/>
    <w:rsid w:val="005654F0"/>
    <w:rsid w:val="00566650"/>
    <w:rsid w:val="005805D1"/>
    <w:rsid w:val="005832F6"/>
    <w:rsid w:val="00590706"/>
    <w:rsid w:val="00592F87"/>
    <w:rsid w:val="00597C70"/>
    <w:rsid w:val="005A3CB3"/>
    <w:rsid w:val="005B0DDF"/>
    <w:rsid w:val="005B224D"/>
    <w:rsid w:val="005C059D"/>
    <w:rsid w:val="005C08E4"/>
    <w:rsid w:val="005E217D"/>
    <w:rsid w:val="005E7D8D"/>
    <w:rsid w:val="005F62D5"/>
    <w:rsid w:val="005F6797"/>
    <w:rsid w:val="00611286"/>
    <w:rsid w:val="00616D83"/>
    <w:rsid w:val="00630BF8"/>
    <w:rsid w:val="00630FAB"/>
    <w:rsid w:val="00632D3D"/>
    <w:rsid w:val="006354B9"/>
    <w:rsid w:val="00650BAB"/>
    <w:rsid w:val="00652BA0"/>
    <w:rsid w:val="00697E02"/>
    <w:rsid w:val="006A128D"/>
    <w:rsid w:val="006B5B55"/>
    <w:rsid w:val="006D5E51"/>
    <w:rsid w:val="006E1871"/>
    <w:rsid w:val="006E2E94"/>
    <w:rsid w:val="006E6C91"/>
    <w:rsid w:val="006F02F0"/>
    <w:rsid w:val="006F447A"/>
    <w:rsid w:val="0071059F"/>
    <w:rsid w:val="00716354"/>
    <w:rsid w:val="00716954"/>
    <w:rsid w:val="00724272"/>
    <w:rsid w:val="0073088D"/>
    <w:rsid w:val="00731E7E"/>
    <w:rsid w:val="007402DE"/>
    <w:rsid w:val="00755F35"/>
    <w:rsid w:val="00756AAA"/>
    <w:rsid w:val="0079081C"/>
    <w:rsid w:val="00791689"/>
    <w:rsid w:val="00794CFA"/>
    <w:rsid w:val="007A0782"/>
    <w:rsid w:val="007A400C"/>
    <w:rsid w:val="007E668B"/>
    <w:rsid w:val="007F0760"/>
    <w:rsid w:val="007F5809"/>
    <w:rsid w:val="008013BB"/>
    <w:rsid w:val="008267D9"/>
    <w:rsid w:val="00833871"/>
    <w:rsid w:val="00884742"/>
    <w:rsid w:val="00892749"/>
    <w:rsid w:val="008A0742"/>
    <w:rsid w:val="008A1BA1"/>
    <w:rsid w:val="008B32BE"/>
    <w:rsid w:val="008C1969"/>
    <w:rsid w:val="008C6270"/>
    <w:rsid w:val="008E25D3"/>
    <w:rsid w:val="008E38B6"/>
    <w:rsid w:val="008F6D5D"/>
    <w:rsid w:val="00900FC4"/>
    <w:rsid w:val="0090383E"/>
    <w:rsid w:val="00905B43"/>
    <w:rsid w:val="00910B84"/>
    <w:rsid w:val="009120BD"/>
    <w:rsid w:val="009422B3"/>
    <w:rsid w:val="00943A5D"/>
    <w:rsid w:val="009441F6"/>
    <w:rsid w:val="00950437"/>
    <w:rsid w:val="0096119A"/>
    <w:rsid w:val="009638CA"/>
    <w:rsid w:val="009659B9"/>
    <w:rsid w:val="00995BAE"/>
    <w:rsid w:val="009A2E17"/>
    <w:rsid w:val="009B7303"/>
    <w:rsid w:val="009C49EF"/>
    <w:rsid w:val="009C6807"/>
    <w:rsid w:val="009D1E34"/>
    <w:rsid w:val="009D379A"/>
    <w:rsid w:val="009E7FDC"/>
    <w:rsid w:val="00A0294E"/>
    <w:rsid w:val="00A11D23"/>
    <w:rsid w:val="00A2052B"/>
    <w:rsid w:val="00A30F7E"/>
    <w:rsid w:val="00A3576E"/>
    <w:rsid w:val="00A57EA0"/>
    <w:rsid w:val="00A603FB"/>
    <w:rsid w:val="00A6337B"/>
    <w:rsid w:val="00A77018"/>
    <w:rsid w:val="00A8111E"/>
    <w:rsid w:val="00A91F93"/>
    <w:rsid w:val="00A92F27"/>
    <w:rsid w:val="00AA78B4"/>
    <w:rsid w:val="00AC24E7"/>
    <w:rsid w:val="00AC340F"/>
    <w:rsid w:val="00AC3A12"/>
    <w:rsid w:val="00AC5A65"/>
    <w:rsid w:val="00AC7C65"/>
    <w:rsid w:val="00AD7994"/>
    <w:rsid w:val="00AE1DF0"/>
    <w:rsid w:val="00AE6DEF"/>
    <w:rsid w:val="00AF0610"/>
    <w:rsid w:val="00B0093B"/>
    <w:rsid w:val="00B06E38"/>
    <w:rsid w:val="00B13857"/>
    <w:rsid w:val="00B20C9B"/>
    <w:rsid w:val="00B55C53"/>
    <w:rsid w:val="00B72084"/>
    <w:rsid w:val="00B80782"/>
    <w:rsid w:val="00B825F4"/>
    <w:rsid w:val="00B83F42"/>
    <w:rsid w:val="00BA4C01"/>
    <w:rsid w:val="00BA58FD"/>
    <w:rsid w:val="00BB48C4"/>
    <w:rsid w:val="00BB701F"/>
    <w:rsid w:val="00BB712C"/>
    <w:rsid w:val="00BC797B"/>
    <w:rsid w:val="00BD57DC"/>
    <w:rsid w:val="00BD7036"/>
    <w:rsid w:val="00C00E82"/>
    <w:rsid w:val="00C16F17"/>
    <w:rsid w:val="00C24CF4"/>
    <w:rsid w:val="00C44E2E"/>
    <w:rsid w:val="00C56C16"/>
    <w:rsid w:val="00C575EC"/>
    <w:rsid w:val="00C61062"/>
    <w:rsid w:val="00C72C14"/>
    <w:rsid w:val="00C76F45"/>
    <w:rsid w:val="00C9513B"/>
    <w:rsid w:val="00CA1AE8"/>
    <w:rsid w:val="00CA3242"/>
    <w:rsid w:val="00CA5D40"/>
    <w:rsid w:val="00CD29C1"/>
    <w:rsid w:val="00CE4359"/>
    <w:rsid w:val="00CE650C"/>
    <w:rsid w:val="00CF79AE"/>
    <w:rsid w:val="00D36364"/>
    <w:rsid w:val="00D373A6"/>
    <w:rsid w:val="00D40C4A"/>
    <w:rsid w:val="00D40E06"/>
    <w:rsid w:val="00D50B70"/>
    <w:rsid w:val="00D56632"/>
    <w:rsid w:val="00D6308E"/>
    <w:rsid w:val="00D7237D"/>
    <w:rsid w:val="00D72B7D"/>
    <w:rsid w:val="00D759B1"/>
    <w:rsid w:val="00D80705"/>
    <w:rsid w:val="00D9438B"/>
    <w:rsid w:val="00D950AA"/>
    <w:rsid w:val="00DC3AEF"/>
    <w:rsid w:val="00DC7C95"/>
    <w:rsid w:val="00DE0952"/>
    <w:rsid w:val="00DE582E"/>
    <w:rsid w:val="00DE7E2A"/>
    <w:rsid w:val="00DF1D87"/>
    <w:rsid w:val="00DF7CFA"/>
    <w:rsid w:val="00E06AB5"/>
    <w:rsid w:val="00E32068"/>
    <w:rsid w:val="00E33270"/>
    <w:rsid w:val="00E3414F"/>
    <w:rsid w:val="00E368CE"/>
    <w:rsid w:val="00E427F6"/>
    <w:rsid w:val="00E45270"/>
    <w:rsid w:val="00E47566"/>
    <w:rsid w:val="00E53F02"/>
    <w:rsid w:val="00E545EC"/>
    <w:rsid w:val="00E60CCE"/>
    <w:rsid w:val="00E60D2E"/>
    <w:rsid w:val="00E702FD"/>
    <w:rsid w:val="00E80572"/>
    <w:rsid w:val="00E84BB0"/>
    <w:rsid w:val="00E86D8F"/>
    <w:rsid w:val="00E929B9"/>
    <w:rsid w:val="00E97FCD"/>
    <w:rsid w:val="00EA0BA9"/>
    <w:rsid w:val="00EC3A7A"/>
    <w:rsid w:val="00EC624E"/>
    <w:rsid w:val="00ED1EDE"/>
    <w:rsid w:val="00EE26DC"/>
    <w:rsid w:val="00EF655F"/>
    <w:rsid w:val="00F07A45"/>
    <w:rsid w:val="00F31A33"/>
    <w:rsid w:val="00F459F9"/>
    <w:rsid w:val="00F503E1"/>
    <w:rsid w:val="00F605A3"/>
    <w:rsid w:val="00F609DD"/>
    <w:rsid w:val="00F659B6"/>
    <w:rsid w:val="00F66D00"/>
    <w:rsid w:val="00F75C10"/>
    <w:rsid w:val="00FB3A32"/>
    <w:rsid w:val="00FB74D7"/>
    <w:rsid w:val="00FC78C7"/>
    <w:rsid w:val="00FD1AC3"/>
    <w:rsid w:val="00FD37A1"/>
    <w:rsid w:val="00FD7FF8"/>
    <w:rsid w:val="00FE1497"/>
    <w:rsid w:val="00FF0A2C"/>
    <w:rsid w:val="00FF7291"/>
    <w:rsid w:val="0CCD6C5D"/>
    <w:rsid w:val="2211524D"/>
    <w:rsid w:val="250323B6"/>
    <w:rsid w:val="2727557B"/>
    <w:rsid w:val="2CBB659C"/>
    <w:rsid w:val="41AD2B78"/>
    <w:rsid w:val="46BC6BCD"/>
    <w:rsid w:val="50566671"/>
    <w:rsid w:val="665E77CD"/>
    <w:rsid w:val="F334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spacing w:beforeLines="50" w:line="360" w:lineRule="auto"/>
      <w:outlineLvl w:val="0"/>
    </w:pPr>
    <w:rPr>
      <w:rFonts w:ascii="黑体" w:hAnsi="黑体" w:eastAsia="黑体"/>
      <w:bCs/>
      <w:kern w:val="44"/>
      <w:sz w:val="24"/>
      <w:szCs w:val="44"/>
    </w:rPr>
  </w:style>
  <w:style w:type="paragraph" w:styleId="3">
    <w:name w:val="heading 2"/>
    <w:basedOn w:val="1"/>
    <w:next w:val="1"/>
    <w:link w:val="26"/>
    <w:unhideWhenUsed/>
    <w:qFormat/>
    <w:uiPriority w:val="1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24"/>
    <w:unhideWhenUsed/>
    <w:qFormat/>
    <w:uiPriority w:val="99"/>
    <w:pPr>
      <w:spacing w:after="120"/>
    </w:pPr>
  </w:style>
  <w:style w:type="paragraph" w:styleId="5">
    <w:name w:val="Body Text Indent"/>
    <w:basedOn w:val="1"/>
    <w:link w:val="22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6">
    <w:name w:val="Date"/>
    <w:basedOn w:val="1"/>
    <w:next w:val="1"/>
    <w:link w:val="23"/>
    <w:qFormat/>
    <w:uiPriority w:val="0"/>
    <w:pPr>
      <w:ind w:left="100" w:leftChars="2500"/>
    </w:pPr>
    <w:rPr>
      <w:rFonts w:ascii="Times New Roman" w:hAnsi="Times New Roman" w:eastAsia="宋体" w:cs="Times New Roman"/>
      <w:szCs w:val="24"/>
    </w:rPr>
  </w:style>
  <w:style w:type="paragraph" w:styleId="7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39"/>
    <w:pPr>
      <w:tabs>
        <w:tab w:val="right" w:leader="dot" w:pos="8296"/>
      </w:tabs>
      <w:spacing w:line="360" w:lineRule="auto"/>
    </w:pPr>
    <w:rPr>
      <w:rFonts w:ascii="宋体" w:hAnsi="宋体" w:eastAsia="宋体" w:cs="黑体"/>
      <w:kern w:val="0"/>
      <w:sz w:val="24"/>
      <w:szCs w:val="24"/>
    </w:rPr>
  </w:style>
  <w:style w:type="paragraph" w:styleId="11">
    <w:name w:val="Title"/>
    <w:basedOn w:val="1"/>
    <w:next w:val="1"/>
    <w:link w:val="21"/>
    <w:qFormat/>
    <w:uiPriority w:val="0"/>
    <w:pPr>
      <w:spacing w:before="240" w:after="60" w:line="360" w:lineRule="auto"/>
      <w:ind w:firstLine="200" w:firstLineChars="200"/>
      <w:jc w:val="center"/>
      <w:outlineLvl w:val="0"/>
    </w:pPr>
    <w:rPr>
      <w:rFonts w:eastAsia="黑体" w:asciiTheme="majorHAnsi" w:hAnsiTheme="majorHAnsi" w:cstheme="majorBidi"/>
      <w:b/>
      <w:bCs/>
      <w:sz w:val="32"/>
      <w:szCs w:val="32"/>
    </w:rPr>
  </w:style>
  <w:style w:type="character" w:styleId="14">
    <w:name w:val="page number"/>
    <w:basedOn w:val="13"/>
    <w:qFormat/>
    <w:uiPriority w:val="99"/>
  </w:style>
  <w:style w:type="character" w:styleId="15">
    <w:name w:val="line number"/>
    <w:basedOn w:val="13"/>
    <w:semiHidden/>
    <w:unhideWhenUsed/>
    <w:qFormat/>
    <w:uiPriority w:val="99"/>
  </w:style>
  <w:style w:type="character" w:styleId="16">
    <w:name w:val="Hyperlink"/>
    <w:qFormat/>
    <w:uiPriority w:val="99"/>
    <w:rPr>
      <w:color w:val="0000FF"/>
      <w:u w:val="single"/>
    </w:rPr>
  </w:style>
  <w:style w:type="character" w:customStyle="1" w:styleId="17">
    <w:name w:val="批注框文本 Char"/>
    <w:basedOn w:val="13"/>
    <w:link w:val="7"/>
    <w:semiHidden/>
    <w:qFormat/>
    <w:uiPriority w:val="99"/>
    <w:rPr>
      <w:sz w:val="18"/>
      <w:szCs w:val="18"/>
    </w:rPr>
  </w:style>
  <w:style w:type="character" w:customStyle="1" w:styleId="18">
    <w:name w:val="页眉 Char"/>
    <w:basedOn w:val="13"/>
    <w:link w:val="9"/>
    <w:qFormat/>
    <w:uiPriority w:val="99"/>
    <w:rPr>
      <w:sz w:val="18"/>
      <w:szCs w:val="18"/>
    </w:rPr>
  </w:style>
  <w:style w:type="character" w:customStyle="1" w:styleId="19">
    <w:name w:val="页脚 Char"/>
    <w:basedOn w:val="13"/>
    <w:link w:val="8"/>
    <w:qFormat/>
    <w:uiPriority w:val="99"/>
    <w:rPr>
      <w:sz w:val="18"/>
      <w:szCs w:val="18"/>
    </w:rPr>
  </w:style>
  <w:style w:type="character" w:customStyle="1" w:styleId="20">
    <w:name w:val="标题 1 Char"/>
    <w:basedOn w:val="13"/>
    <w:link w:val="2"/>
    <w:qFormat/>
    <w:uiPriority w:val="9"/>
    <w:rPr>
      <w:rFonts w:ascii="黑体" w:hAnsi="黑体" w:eastAsia="黑体"/>
      <w:bCs/>
      <w:kern w:val="44"/>
      <w:sz w:val="24"/>
      <w:szCs w:val="44"/>
    </w:rPr>
  </w:style>
  <w:style w:type="character" w:customStyle="1" w:styleId="21">
    <w:name w:val="标题 Char"/>
    <w:basedOn w:val="13"/>
    <w:link w:val="11"/>
    <w:qFormat/>
    <w:uiPriority w:val="0"/>
    <w:rPr>
      <w:rFonts w:eastAsia="黑体" w:asciiTheme="majorHAnsi" w:hAnsiTheme="majorHAnsi" w:cstheme="majorBidi"/>
      <w:b/>
      <w:bCs/>
      <w:sz w:val="32"/>
      <w:szCs w:val="32"/>
    </w:rPr>
  </w:style>
  <w:style w:type="character" w:customStyle="1" w:styleId="22">
    <w:name w:val="正文文本缩进 Char"/>
    <w:basedOn w:val="13"/>
    <w:link w:val="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3">
    <w:name w:val="日期 Char"/>
    <w:basedOn w:val="13"/>
    <w:link w:val="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4">
    <w:name w:val="正文文本 Char"/>
    <w:basedOn w:val="13"/>
    <w:link w:val="4"/>
    <w:qFormat/>
    <w:uiPriority w:val="99"/>
  </w:style>
  <w:style w:type="character" w:customStyle="1" w:styleId="25">
    <w:name w:val="标题 字符1"/>
    <w:qFormat/>
    <w:uiPriority w:val="10"/>
    <w:rPr>
      <w:rFonts w:ascii="Cambria" w:hAnsi="Cambria" w:eastAsia="黑体"/>
      <w:b/>
      <w:bCs/>
      <w:kern w:val="2"/>
      <w:sz w:val="32"/>
      <w:szCs w:val="32"/>
    </w:rPr>
  </w:style>
  <w:style w:type="character" w:customStyle="1" w:styleId="26">
    <w:name w:val="标题 2 Char"/>
    <w:basedOn w:val="13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28">
    <w:name w:val="Table Paragraph"/>
    <w:basedOn w:val="1"/>
    <w:unhideWhenUsed/>
    <w:qFormat/>
    <w:uiPriority w:val="1"/>
    <w:pPr>
      <w:autoSpaceDE w:val="0"/>
      <w:autoSpaceDN w:val="0"/>
      <w:adjustRightInd w:val="0"/>
      <w:jc w:val="center"/>
    </w:pPr>
    <w:rPr>
      <w:rFonts w:hint="eastAsia" w:ascii="宋体" w:hAnsi="宋体" w:eastAsia="宋体" w:cs="Times New Roman"/>
      <w:kern w:val="0"/>
      <w:sz w:val="24"/>
      <w:szCs w:val="24"/>
    </w:rPr>
  </w:style>
  <w:style w:type="paragraph" w:customStyle="1" w:styleId="29">
    <w:name w:val="a"/>
    <w:basedOn w:val="1"/>
    <w:link w:val="30"/>
    <w:qFormat/>
    <w:uiPriority w:val="0"/>
    <w:pPr>
      <w:spacing w:line="360" w:lineRule="auto"/>
    </w:pPr>
    <w:rPr>
      <w:rFonts w:ascii="黑体" w:hAnsi="宋体" w:eastAsia="黑体" w:cs="Times New Roman"/>
      <w:sz w:val="24"/>
      <w:szCs w:val="20"/>
      <w:lang w:val="zh-CN"/>
    </w:rPr>
  </w:style>
  <w:style w:type="character" w:customStyle="1" w:styleId="30">
    <w:name w:val="a Char"/>
    <w:link w:val="29"/>
    <w:qFormat/>
    <w:uiPriority w:val="0"/>
    <w:rPr>
      <w:rFonts w:ascii="黑体" w:hAnsi="宋体" w:eastAsia="黑体" w:cs="Times New Roman"/>
      <w:sz w:val="24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6.bin"/><Relationship Id="rId98" Type="http://schemas.openxmlformats.org/officeDocument/2006/relationships/oleObject" Target="embeddings/oleObject35.bin"/><Relationship Id="rId97" Type="http://schemas.openxmlformats.org/officeDocument/2006/relationships/image" Target="media/image34.wmf"/><Relationship Id="rId96" Type="http://schemas.openxmlformats.org/officeDocument/2006/relationships/oleObject" Target="embeddings/oleObject34.bin"/><Relationship Id="rId95" Type="http://schemas.openxmlformats.org/officeDocument/2006/relationships/image" Target="media/image33.wmf"/><Relationship Id="rId94" Type="http://schemas.openxmlformats.org/officeDocument/2006/relationships/oleObject" Target="embeddings/oleObject33.bin"/><Relationship Id="rId93" Type="http://schemas.openxmlformats.org/officeDocument/2006/relationships/image" Target="media/image32.wmf"/><Relationship Id="rId92" Type="http://schemas.openxmlformats.org/officeDocument/2006/relationships/oleObject" Target="embeddings/oleObject32.bin"/><Relationship Id="rId91" Type="http://schemas.openxmlformats.org/officeDocument/2006/relationships/image" Target="media/image31.wmf"/><Relationship Id="rId90" Type="http://schemas.openxmlformats.org/officeDocument/2006/relationships/oleObject" Target="embeddings/oleObject31.bin"/><Relationship Id="rId9" Type="http://schemas.openxmlformats.org/officeDocument/2006/relationships/footer" Target="footer4.xml"/><Relationship Id="rId89" Type="http://schemas.openxmlformats.org/officeDocument/2006/relationships/image" Target="media/image30.wmf"/><Relationship Id="rId88" Type="http://schemas.openxmlformats.org/officeDocument/2006/relationships/oleObject" Target="embeddings/oleObject30.bin"/><Relationship Id="rId87" Type="http://schemas.openxmlformats.org/officeDocument/2006/relationships/image" Target="media/image29.wmf"/><Relationship Id="rId86" Type="http://schemas.openxmlformats.org/officeDocument/2006/relationships/oleObject" Target="embeddings/oleObject29.bin"/><Relationship Id="rId85" Type="http://schemas.openxmlformats.org/officeDocument/2006/relationships/image" Target="media/image28.wmf"/><Relationship Id="rId84" Type="http://schemas.openxmlformats.org/officeDocument/2006/relationships/oleObject" Target="embeddings/oleObject28.bin"/><Relationship Id="rId83" Type="http://schemas.openxmlformats.org/officeDocument/2006/relationships/image" Target="media/image27.wmf"/><Relationship Id="rId82" Type="http://schemas.openxmlformats.org/officeDocument/2006/relationships/oleObject" Target="embeddings/oleObject27.bin"/><Relationship Id="rId81" Type="http://schemas.openxmlformats.org/officeDocument/2006/relationships/image" Target="media/image26.wmf"/><Relationship Id="rId80" Type="http://schemas.openxmlformats.org/officeDocument/2006/relationships/oleObject" Target="embeddings/oleObject26.bin"/><Relationship Id="rId8" Type="http://schemas.openxmlformats.org/officeDocument/2006/relationships/footer" Target="footer3.xml"/><Relationship Id="rId79" Type="http://schemas.openxmlformats.org/officeDocument/2006/relationships/image" Target="media/image25.wmf"/><Relationship Id="rId78" Type="http://schemas.openxmlformats.org/officeDocument/2006/relationships/oleObject" Target="embeddings/oleObject25.bin"/><Relationship Id="rId77" Type="http://schemas.openxmlformats.org/officeDocument/2006/relationships/image" Target="media/image24.wmf"/><Relationship Id="rId76" Type="http://schemas.openxmlformats.org/officeDocument/2006/relationships/oleObject" Target="embeddings/oleObject24.bin"/><Relationship Id="rId75" Type="http://schemas.openxmlformats.org/officeDocument/2006/relationships/image" Target="media/image23.wmf"/><Relationship Id="rId74" Type="http://schemas.openxmlformats.org/officeDocument/2006/relationships/oleObject" Target="embeddings/oleObject23.bin"/><Relationship Id="rId73" Type="http://schemas.openxmlformats.org/officeDocument/2006/relationships/image" Target="media/image22.wmf"/><Relationship Id="rId72" Type="http://schemas.openxmlformats.org/officeDocument/2006/relationships/oleObject" Target="embeddings/oleObject22.bin"/><Relationship Id="rId71" Type="http://schemas.openxmlformats.org/officeDocument/2006/relationships/image" Target="media/image21.wmf"/><Relationship Id="rId70" Type="http://schemas.openxmlformats.org/officeDocument/2006/relationships/oleObject" Target="embeddings/oleObject21.bin"/><Relationship Id="rId7" Type="http://schemas.openxmlformats.org/officeDocument/2006/relationships/footer" Target="footer2.xml"/><Relationship Id="rId69" Type="http://schemas.openxmlformats.org/officeDocument/2006/relationships/image" Target="media/image20.wmf"/><Relationship Id="rId68" Type="http://schemas.openxmlformats.org/officeDocument/2006/relationships/oleObject" Target="embeddings/oleObject20.bin"/><Relationship Id="rId67" Type="http://schemas.openxmlformats.org/officeDocument/2006/relationships/image" Target="media/image19.wmf"/><Relationship Id="rId66" Type="http://schemas.openxmlformats.org/officeDocument/2006/relationships/oleObject" Target="embeddings/oleObject19.bin"/><Relationship Id="rId65" Type="http://schemas.openxmlformats.org/officeDocument/2006/relationships/image" Target="media/image18.wmf"/><Relationship Id="rId64" Type="http://schemas.openxmlformats.org/officeDocument/2006/relationships/oleObject" Target="embeddings/oleObject18.bin"/><Relationship Id="rId63" Type="http://schemas.openxmlformats.org/officeDocument/2006/relationships/image" Target="media/image17.wmf"/><Relationship Id="rId62" Type="http://schemas.openxmlformats.org/officeDocument/2006/relationships/oleObject" Target="embeddings/oleObject17.bin"/><Relationship Id="rId61" Type="http://schemas.openxmlformats.org/officeDocument/2006/relationships/image" Target="media/image16.wmf"/><Relationship Id="rId60" Type="http://schemas.openxmlformats.org/officeDocument/2006/relationships/oleObject" Target="embeddings/oleObject16.bin"/><Relationship Id="rId6" Type="http://schemas.openxmlformats.org/officeDocument/2006/relationships/header" Target="header3.xml"/><Relationship Id="rId59" Type="http://schemas.openxmlformats.org/officeDocument/2006/relationships/image" Target="media/image15.wmf"/><Relationship Id="rId58" Type="http://schemas.openxmlformats.org/officeDocument/2006/relationships/oleObject" Target="embeddings/oleObject15.bin"/><Relationship Id="rId57" Type="http://schemas.openxmlformats.org/officeDocument/2006/relationships/image" Target="media/image14.wmf"/><Relationship Id="rId56" Type="http://schemas.openxmlformats.org/officeDocument/2006/relationships/oleObject" Target="embeddings/oleObject14.bin"/><Relationship Id="rId55" Type="http://schemas.openxmlformats.org/officeDocument/2006/relationships/image" Target="media/image13.wmf"/><Relationship Id="rId54" Type="http://schemas.openxmlformats.org/officeDocument/2006/relationships/oleObject" Target="embeddings/oleObject13.bin"/><Relationship Id="rId53" Type="http://schemas.openxmlformats.org/officeDocument/2006/relationships/image" Target="media/image12.wmf"/><Relationship Id="rId52" Type="http://schemas.openxmlformats.org/officeDocument/2006/relationships/oleObject" Target="embeddings/oleObject12.bin"/><Relationship Id="rId51" Type="http://schemas.openxmlformats.org/officeDocument/2006/relationships/image" Target="media/image11.wmf"/><Relationship Id="rId50" Type="http://schemas.openxmlformats.org/officeDocument/2006/relationships/oleObject" Target="embeddings/oleObject11.bin"/><Relationship Id="rId5" Type="http://schemas.openxmlformats.org/officeDocument/2006/relationships/footer" Target="footer1.xml"/><Relationship Id="rId49" Type="http://schemas.openxmlformats.org/officeDocument/2006/relationships/oleObject" Target="embeddings/oleObject10.bin"/><Relationship Id="rId48" Type="http://schemas.openxmlformats.org/officeDocument/2006/relationships/image" Target="media/image10.wmf"/><Relationship Id="rId47" Type="http://schemas.openxmlformats.org/officeDocument/2006/relationships/oleObject" Target="embeddings/oleObject9.bin"/><Relationship Id="rId46" Type="http://schemas.openxmlformats.org/officeDocument/2006/relationships/image" Target="media/image9.wmf"/><Relationship Id="rId45" Type="http://schemas.openxmlformats.org/officeDocument/2006/relationships/oleObject" Target="embeddings/oleObject8.bin"/><Relationship Id="rId44" Type="http://schemas.openxmlformats.org/officeDocument/2006/relationships/image" Target="media/image8.wmf"/><Relationship Id="rId43" Type="http://schemas.openxmlformats.org/officeDocument/2006/relationships/oleObject" Target="embeddings/oleObject7.bin"/><Relationship Id="rId42" Type="http://schemas.openxmlformats.org/officeDocument/2006/relationships/image" Target="media/image7.wmf"/><Relationship Id="rId41" Type="http://schemas.openxmlformats.org/officeDocument/2006/relationships/oleObject" Target="embeddings/oleObject6.bin"/><Relationship Id="rId40" Type="http://schemas.openxmlformats.org/officeDocument/2006/relationships/image" Target="media/image6.wmf"/><Relationship Id="rId4" Type="http://schemas.openxmlformats.org/officeDocument/2006/relationships/header" Target="header2.xml"/><Relationship Id="rId39" Type="http://schemas.openxmlformats.org/officeDocument/2006/relationships/oleObject" Target="embeddings/oleObject5.bin"/><Relationship Id="rId38" Type="http://schemas.openxmlformats.org/officeDocument/2006/relationships/image" Target="media/image5.wmf"/><Relationship Id="rId37" Type="http://schemas.openxmlformats.org/officeDocument/2006/relationships/oleObject" Target="embeddings/oleObject4.bin"/><Relationship Id="rId36" Type="http://schemas.openxmlformats.org/officeDocument/2006/relationships/image" Target="media/image4.wmf"/><Relationship Id="rId35" Type="http://schemas.openxmlformats.org/officeDocument/2006/relationships/oleObject" Target="embeddings/oleObject3.bin"/><Relationship Id="rId34" Type="http://schemas.openxmlformats.org/officeDocument/2006/relationships/image" Target="media/image3.wmf"/><Relationship Id="rId33" Type="http://schemas.openxmlformats.org/officeDocument/2006/relationships/oleObject" Target="embeddings/oleObject2.bin"/><Relationship Id="rId32" Type="http://schemas.openxmlformats.org/officeDocument/2006/relationships/image" Target="media/image2.wmf"/><Relationship Id="rId31" Type="http://schemas.openxmlformats.org/officeDocument/2006/relationships/oleObject" Target="embeddings/oleObject1.bin"/><Relationship Id="rId30" Type="http://schemas.openxmlformats.org/officeDocument/2006/relationships/image" Target="media/image1.jpeg"/><Relationship Id="rId3" Type="http://schemas.openxmlformats.org/officeDocument/2006/relationships/header" Target="header1.xml"/><Relationship Id="rId29" Type="http://schemas.openxmlformats.org/officeDocument/2006/relationships/theme" Target="theme/theme1.xml"/><Relationship Id="rId28" Type="http://schemas.openxmlformats.org/officeDocument/2006/relationships/footer" Target="footer16.xml"/><Relationship Id="rId27" Type="http://schemas.openxmlformats.org/officeDocument/2006/relationships/footer" Target="footer15.xml"/><Relationship Id="rId26" Type="http://schemas.openxmlformats.org/officeDocument/2006/relationships/footer" Target="footer14.xml"/><Relationship Id="rId25" Type="http://schemas.openxmlformats.org/officeDocument/2006/relationships/header" Target="header10.xml"/><Relationship Id="rId24" Type="http://schemas.openxmlformats.org/officeDocument/2006/relationships/footer" Target="footer13.xml"/><Relationship Id="rId23" Type="http://schemas.openxmlformats.org/officeDocument/2006/relationships/header" Target="header9.xml"/><Relationship Id="rId22" Type="http://schemas.openxmlformats.org/officeDocument/2006/relationships/footer" Target="footer12.xml"/><Relationship Id="rId21" Type="http://schemas.openxmlformats.org/officeDocument/2006/relationships/header" Target="header8.xml"/><Relationship Id="rId20" Type="http://schemas.openxmlformats.org/officeDocument/2006/relationships/footer" Target="footer11.xml"/><Relationship Id="rId2" Type="http://schemas.openxmlformats.org/officeDocument/2006/relationships/settings" Target="settings.xml"/><Relationship Id="rId19" Type="http://schemas.openxmlformats.org/officeDocument/2006/relationships/footer" Target="footer10.xml"/><Relationship Id="rId18" Type="http://schemas.openxmlformats.org/officeDocument/2006/relationships/footer" Target="footer9.xml"/><Relationship Id="rId17" Type="http://schemas.openxmlformats.org/officeDocument/2006/relationships/header" Target="header7.xml"/><Relationship Id="rId16" Type="http://schemas.openxmlformats.org/officeDocument/2006/relationships/header" Target="header6.xml"/><Relationship Id="rId15" Type="http://schemas.openxmlformats.org/officeDocument/2006/relationships/footer" Target="footer8.xml"/><Relationship Id="rId146" Type="http://schemas.openxmlformats.org/officeDocument/2006/relationships/fontTable" Target="fontTable.xml"/><Relationship Id="rId145" Type="http://schemas.openxmlformats.org/officeDocument/2006/relationships/numbering" Target="numbering.xml"/><Relationship Id="rId144" Type="http://schemas.openxmlformats.org/officeDocument/2006/relationships/customXml" Target="../customXml/item1.xml"/><Relationship Id="rId143" Type="http://schemas.openxmlformats.org/officeDocument/2006/relationships/image" Target="media/image56.wmf"/><Relationship Id="rId142" Type="http://schemas.openxmlformats.org/officeDocument/2006/relationships/oleObject" Target="embeddings/oleObject58.bin"/><Relationship Id="rId141" Type="http://schemas.openxmlformats.org/officeDocument/2006/relationships/oleObject" Target="embeddings/oleObject57.bin"/><Relationship Id="rId140" Type="http://schemas.openxmlformats.org/officeDocument/2006/relationships/image" Target="media/image55.wmf"/><Relationship Id="rId14" Type="http://schemas.openxmlformats.org/officeDocument/2006/relationships/header" Target="header5.xml"/><Relationship Id="rId139" Type="http://schemas.openxmlformats.org/officeDocument/2006/relationships/oleObject" Target="embeddings/oleObject56.bin"/><Relationship Id="rId138" Type="http://schemas.openxmlformats.org/officeDocument/2006/relationships/image" Target="media/image54.wmf"/><Relationship Id="rId137" Type="http://schemas.openxmlformats.org/officeDocument/2006/relationships/oleObject" Target="embeddings/oleObject55.bin"/><Relationship Id="rId136" Type="http://schemas.openxmlformats.org/officeDocument/2006/relationships/image" Target="media/image53.wmf"/><Relationship Id="rId135" Type="http://schemas.openxmlformats.org/officeDocument/2006/relationships/oleObject" Target="embeddings/oleObject54.bin"/><Relationship Id="rId134" Type="http://schemas.openxmlformats.org/officeDocument/2006/relationships/image" Target="media/image52.wmf"/><Relationship Id="rId133" Type="http://schemas.openxmlformats.org/officeDocument/2006/relationships/oleObject" Target="embeddings/oleObject53.bin"/><Relationship Id="rId132" Type="http://schemas.openxmlformats.org/officeDocument/2006/relationships/image" Target="media/image51.wmf"/><Relationship Id="rId131" Type="http://schemas.openxmlformats.org/officeDocument/2006/relationships/oleObject" Target="embeddings/oleObject52.bin"/><Relationship Id="rId130" Type="http://schemas.openxmlformats.org/officeDocument/2006/relationships/image" Target="media/image50.wmf"/><Relationship Id="rId13" Type="http://schemas.openxmlformats.org/officeDocument/2006/relationships/footer" Target="footer7.xml"/><Relationship Id="rId129" Type="http://schemas.openxmlformats.org/officeDocument/2006/relationships/oleObject" Target="embeddings/oleObject51.bin"/><Relationship Id="rId128" Type="http://schemas.openxmlformats.org/officeDocument/2006/relationships/image" Target="media/image49.wmf"/><Relationship Id="rId127" Type="http://schemas.openxmlformats.org/officeDocument/2006/relationships/oleObject" Target="embeddings/oleObject50.bin"/><Relationship Id="rId126" Type="http://schemas.openxmlformats.org/officeDocument/2006/relationships/image" Target="media/image48.wmf"/><Relationship Id="rId125" Type="http://schemas.openxmlformats.org/officeDocument/2006/relationships/oleObject" Target="embeddings/oleObject49.bin"/><Relationship Id="rId124" Type="http://schemas.openxmlformats.org/officeDocument/2006/relationships/image" Target="media/image47.wmf"/><Relationship Id="rId123" Type="http://schemas.openxmlformats.org/officeDocument/2006/relationships/oleObject" Target="embeddings/oleObject48.bin"/><Relationship Id="rId122" Type="http://schemas.openxmlformats.org/officeDocument/2006/relationships/image" Target="media/image46.wmf"/><Relationship Id="rId121" Type="http://schemas.openxmlformats.org/officeDocument/2006/relationships/oleObject" Target="embeddings/oleObject47.bin"/><Relationship Id="rId120" Type="http://schemas.openxmlformats.org/officeDocument/2006/relationships/image" Target="media/image45.wmf"/><Relationship Id="rId12" Type="http://schemas.openxmlformats.org/officeDocument/2006/relationships/footer" Target="footer6.xml"/><Relationship Id="rId119" Type="http://schemas.openxmlformats.org/officeDocument/2006/relationships/oleObject" Target="embeddings/oleObject46.bin"/><Relationship Id="rId118" Type="http://schemas.openxmlformats.org/officeDocument/2006/relationships/image" Target="media/image44.wmf"/><Relationship Id="rId117" Type="http://schemas.openxmlformats.org/officeDocument/2006/relationships/oleObject" Target="embeddings/oleObject45.bin"/><Relationship Id="rId116" Type="http://schemas.openxmlformats.org/officeDocument/2006/relationships/image" Target="media/image43.wmf"/><Relationship Id="rId115" Type="http://schemas.openxmlformats.org/officeDocument/2006/relationships/oleObject" Target="embeddings/oleObject44.bin"/><Relationship Id="rId114" Type="http://schemas.openxmlformats.org/officeDocument/2006/relationships/image" Target="media/image42.wmf"/><Relationship Id="rId113" Type="http://schemas.openxmlformats.org/officeDocument/2006/relationships/oleObject" Target="embeddings/oleObject43.bin"/><Relationship Id="rId112" Type="http://schemas.openxmlformats.org/officeDocument/2006/relationships/image" Target="media/image41.wmf"/><Relationship Id="rId111" Type="http://schemas.openxmlformats.org/officeDocument/2006/relationships/oleObject" Target="embeddings/oleObject42.bin"/><Relationship Id="rId110" Type="http://schemas.openxmlformats.org/officeDocument/2006/relationships/image" Target="media/image40.wmf"/><Relationship Id="rId11" Type="http://schemas.openxmlformats.org/officeDocument/2006/relationships/header" Target="header4.xml"/><Relationship Id="rId109" Type="http://schemas.openxmlformats.org/officeDocument/2006/relationships/oleObject" Target="embeddings/oleObject41.bin"/><Relationship Id="rId108" Type="http://schemas.openxmlformats.org/officeDocument/2006/relationships/image" Target="media/image39.wmf"/><Relationship Id="rId107" Type="http://schemas.openxmlformats.org/officeDocument/2006/relationships/oleObject" Target="embeddings/oleObject40.bin"/><Relationship Id="rId106" Type="http://schemas.openxmlformats.org/officeDocument/2006/relationships/image" Target="media/image38.wmf"/><Relationship Id="rId105" Type="http://schemas.openxmlformats.org/officeDocument/2006/relationships/oleObject" Target="embeddings/oleObject39.bin"/><Relationship Id="rId104" Type="http://schemas.openxmlformats.org/officeDocument/2006/relationships/image" Target="media/image37.wmf"/><Relationship Id="rId103" Type="http://schemas.openxmlformats.org/officeDocument/2006/relationships/oleObject" Target="embeddings/oleObject38.bin"/><Relationship Id="rId102" Type="http://schemas.openxmlformats.org/officeDocument/2006/relationships/image" Target="media/image36.wmf"/><Relationship Id="rId101" Type="http://schemas.openxmlformats.org/officeDocument/2006/relationships/oleObject" Target="embeddings/oleObject37.bin"/><Relationship Id="rId100" Type="http://schemas.openxmlformats.org/officeDocument/2006/relationships/image" Target="media/image35.wmf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16</Pages>
  <Words>10</Words>
  <Characters>10</Characters>
  <Lines>63</Lines>
  <Paragraphs>17</Paragraphs>
  <TotalTime>13</TotalTime>
  <ScaleCrop>false</ScaleCrop>
  <LinksUpToDate>false</LinksUpToDate>
  <CharactersWithSpaces>10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2024-10-23T14:34:00Z</dcterms:created>
  <dc:creator>钱俊如</dc:creator>
  <cp:lastModifiedBy>user</cp:lastModifiedBy>
  <cp:lastPrinted>2024-10-23T14:50:00Z</cp:lastPrinted>
  <dcterms:modified xsi:type="dcterms:W3CDTF">2025-10-23T07:56:00Z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eyJoZGlkIjoiNDgzNTQ3ODZlOGU1Y2M3YjMzYjc2ZDBlNDQxZGU0YjgiLCJ1c2VySWQiOiIxMzYyNjkxNzYxIn0=</vt:lpwstr>
  </property>
  <property fmtid="{D5CDD505-2E9C-101B-9397-08002B2CF9AE}" pid="3" name="KSOProductBuildVer">
    <vt:lpwstr>2052-11.8.2.9958</vt:lpwstr>
  </property>
  <property fmtid="{D5CDD505-2E9C-101B-9397-08002B2CF9AE}" pid="4" name="ICV">
    <vt:lpwstr>22D0642198524331B1055C9CBAA28EA6_13</vt:lpwstr>
  </property>
</Properties>
</file>