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C2584">
      <w:pPr>
        <w:jc w:val="center"/>
        <w:rPr>
          <w:rFonts w:hint="eastAsia" w:ascii="宋体" w:hAnsi="宋体" w:cs="仿宋_GB2312"/>
          <w:b/>
          <w:sz w:val="32"/>
          <w:szCs w:val="32"/>
        </w:rPr>
      </w:pPr>
    </w:p>
    <w:p w14:paraId="3E686155">
      <w:pPr>
        <w:jc w:val="center"/>
        <w:rPr>
          <w:rFonts w:ascii="宋体" w:hAnsi="宋体" w:cs="仿宋_GB2312"/>
          <w:b/>
          <w:sz w:val="32"/>
          <w:szCs w:val="32"/>
        </w:rPr>
      </w:pPr>
    </w:p>
    <w:p w14:paraId="3C0FF1F0">
      <w:pPr>
        <w:jc w:val="center"/>
        <w:rPr>
          <w:rFonts w:ascii="宋体" w:hAnsi="宋体" w:cs="仿宋_GB2312"/>
          <w:b/>
          <w:sz w:val="32"/>
          <w:szCs w:val="32"/>
        </w:rPr>
      </w:pPr>
    </w:p>
    <w:p w14:paraId="121AA867">
      <w:pPr>
        <w:jc w:val="center"/>
        <w:rPr>
          <w:rFonts w:hint="eastAsia" w:ascii="宋体" w:hAnsi="宋体" w:cs="仿宋_GB2312"/>
          <w:b/>
          <w:sz w:val="44"/>
          <w:szCs w:val="44"/>
        </w:rPr>
      </w:pPr>
      <w:r>
        <w:rPr>
          <w:rFonts w:hint="eastAsia" w:ascii="宋体" w:hAnsi="宋体" w:cs="仿宋_GB2312"/>
          <w:b/>
          <w:sz w:val="44"/>
          <w:szCs w:val="44"/>
          <w:lang w:val="en-US" w:eastAsia="zh-CN"/>
        </w:rPr>
        <w:t>氟化氢</w:t>
      </w:r>
      <w:r>
        <w:rPr>
          <w:rFonts w:hint="eastAsia" w:ascii="宋体" w:hAnsi="宋体" w:cs="仿宋_GB2312"/>
          <w:b/>
          <w:sz w:val="44"/>
          <w:szCs w:val="44"/>
        </w:rPr>
        <w:t>气体检测报警器校准规范</w:t>
      </w:r>
    </w:p>
    <w:p w14:paraId="10E575B2">
      <w:pPr>
        <w:jc w:val="center"/>
        <w:rPr>
          <w:rFonts w:ascii="宋体" w:cs="方正小标宋简体"/>
          <w:b/>
          <w:sz w:val="44"/>
          <w:szCs w:val="44"/>
        </w:rPr>
      </w:pPr>
      <w:r>
        <w:rPr>
          <w:rFonts w:hint="eastAsia" w:ascii="宋体" w:hAnsi="宋体" w:cs="宋体"/>
          <w:b/>
          <w:sz w:val="44"/>
          <w:szCs w:val="44"/>
        </w:rPr>
        <w:t>编写说明</w:t>
      </w:r>
    </w:p>
    <w:p w14:paraId="5D9A58D8">
      <w:pPr>
        <w:spacing w:line="400" w:lineRule="auto"/>
        <w:ind w:firstLine="562"/>
        <w:rPr>
          <w:rFonts w:ascii="宋体" w:cs="Calibri"/>
          <w:sz w:val="28"/>
        </w:rPr>
      </w:pPr>
    </w:p>
    <w:p w14:paraId="3DA1BE4C">
      <w:pPr>
        <w:spacing w:line="400" w:lineRule="auto"/>
        <w:ind w:firstLine="562"/>
        <w:rPr>
          <w:rFonts w:ascii="宋体" w:cs="Calibri"/>
          <w:sz w:val="28"/>
        </w:rPr>
      </w:pPr>
    </w:p>
    <w:p w14:paraId="38116FA6">
      <w:pPr>
        <w:spacing w:line="400" w:lineRule="auto"/>
        <w:ind w:firstLine="562"/>
        <w:rPr>
          <w:rFonts w:ascii="宋体" w:cs="Calibri"/>
          <w:sz w:val="28"/>
        </w:rPr>
      </w:pPr>
    </w:p>
    <w:p w14:paraId="48706FDB">
      <w:pPr>
        <w:spacing w:line="400" w:lineRule="auto"/>
        <w:ind w:firstLine="562"/>
        <w:rPr>
          <w:rFonts w:ascii="宋体" w:cs="Calibri"/>
          <w:sz w:val="28"/>
        </w:rPr>
      </w:pPr>
    </w:p>
    <w:p w14:paraId="183DA9D1">
      <w:pPr>
        <w:spacing w:line="400" w:lineRule="auto"/>
        <w:ind w:firstLine="562"/>
        <w:rPr>
          <w:rFonts w:ascii="宋体" w:cs="Calibri"/>
          <w:sz w:val="28"/>
        </w:rPr>
      </w:pPr>
    </w:p>
    <w:p w14:paraId="6003C89F">
      <w:pPr>
        <w:spacing w:line="400" w:lineRule="auto"/>
        <w:ind w:firstLine="562"/>
        <w:rPr>
          <w:rFonts w:ascii="宋体" w:cs="Calibri"/>
          <w:sz w:val="28"/>
        </w:rPr>
      </w:pPr>
    </w:p>
    <w:p w14:paraId="65D2CCE3">
      <w:pPr>
        <w:spacing w:line="400" w:lineRule="auto"/>
        <w:ind w:firstLine="562"/>
        <w:rPr>
          <w:rFonts w:ascii="宋体" w:cs="Calibri"/>
          <w:sz w:val="28"/>
        </w:rPr>
      </w:pPr>
    </w:p>
    <w:p w14:paraId="7D010FA2">
      <w:pPr>
        <w:spacing w:line="400" w:lineRule="auto"/>
        <w:ind w:firstLine="562"/>
        <w:rPr>
          <w:rFonts w:ascii="宋体" w:cs="Calibri"/>
          <w:sz w:val="28"/>
        </w:rPr>
      </w:pPr>
    </w:p>
    <w:p w14:paraId="09F4176F">
      <w:pPr>
        <w:spacing w:line="400" w:lineRule="auto"/>
        <w:ind w:firstLine="562"/>
        <w:rPr>
          <w:rFonts w:ascii="宋体" w:cs="Calibri"/>
          <w:sz w:val="28"/>
        </w:rPr>
      </w:pPr>
    </w:p>
    <w:p w14:paraId="6E850F20">
      <w:pPr>
        <w:spacing w:line="400" w:lineRule="auto"/>
        <w:ind w:firstLine="562"/>
        <w:rPr>
          <w:rFonts w:ascii="宋体" w:cs="Calibri"/>
          <w:sz w:val="28"/>
        </w:rPr>
      </w:pPr>
    </w:p>
    <w:p w14:paraId="3331D23D">
      <w:pPr>
        <w:ind w:right="1280"/>
        <w:jc w:val="center"/>
        <w:rPr>
          <w:rFonts w:hint="default" w:ascii="宋体" w:hAnsi="宋体" w:eastAsia="宋体" w:cs="Arial"/>
          <w:b/>
          <w:color w:val="000000"/>
          <w:sz w:val="32"/>
          <w:szCs w:val="32"/>
          <w:lang w:val="en-US" w:eastAsia="zh-CN"/>
        </w:rPr>
      </w:pPr>
      <w:r>
        <w:rPr>
          <w:rFonts w:hint="eastAsia" w:ascii="宋体" w:hAnsi="宋体" w:cs="Arial"/>
          <w:b/>
          <w:color w:val="000000"/>
          <w:sz w:val="32"/>
          <w:szCs w:val="32"/>
          <w:lang w:val="en-US" w:eastAsia="zh-CN"/>
        </w:rPr>
        <w:t xml:space="preserve">      </w:t>
      </w:r>
      <w:r>
        <w:rPr>
          <w:rFonts w:hint="eastAsia" w:ascii="宋体" w:hAnsi="宋体" w:cs="Arial"/>
          <w:b/>
          <w:color w:val="000000"/>
          <w:sz w:val="32"/>
          <w:szCs w:val="32"/>
        </w:rPr>
        <w:t>主要起草人：</w:t>
      </w:r>
      <w:r>
        <w:rPr>
          <w:rFonts w:hint="eastAsia" w:ascii="宋体" w:hAnsi="宋体" w:cs="Arial"/>
          <w:b/>
          <w:color w:val="000000"/>
          <w:sz w:val="32"/>
          <w:szCs w:val="32"/>
          <w:lang w:val="en-US" w:eastAsia="zh-CN"/>
        </w:rPr>
        <w:t>李洋</w:t>
      </w:r>
    </w:p>
    <w:p w14:paraId="07A90481">
      <w:pPr>
        <w:jc w:val="center"/>
        <w:rPr>
          <w:rFonts w:ascii="宋体" w:hAnsi="宋体" w:cs="Arial"/>
          <w:b/>
          <w:color w:val="000000"/>
          <w:sz w:val="32"/>
          <w:szCs w:val="32"/>
        </w:rPr>
      </w:pPr>
    </w:p>
    <w:p w14:paraId="507CE68D">
      <w:pPr>
        <w:jc w:val="center"/>
        <w:rPr>
          <w:rFonts w:ascii="宋体" w:hAnsi="宋体" w:cs="Arial"/>
          <w:b/>
          <w:color w:val="000000"/>
          <w:sz w:val="32"/>
          <w:szCs w:val="32"/>
        </w:rPr>
      </w:pPr>
      <w:r>
        <w:rPr>
          <w:rFonts w:hint="eastAsia" w:ascii="宋体" w:hAnsi="宋体"/>
          <w:b/>
          <w:sz w:val="32"/>
          <w:szCs w:val="32"/>
        </w:rPr>
        <w:t>长春市</w:t>
      </w:r>
      <w:r>
        <w:rPr>
          <w:rFonts w:ascii="宋体" w:hAnsi="宋体"/>
          <w:b/>
          <w:sz w:val="32"/>
          <w:szCs w:val="32"/>
        </w:rPr>
        <w:t>计量检定测试技术研究院</w:t>
      </w:r>
    </w:p>
    <w:p w14:paraId="5F32A23D">
      <w:pPr>
        <w:jc w:val="center"/>
        <w:rPr>
          <w:rFonts w:ascii="宋体" w:hAnsi="宋体" w:cs="Arial"/>
          <w:b/>
          <w:color w:val="000000"/>
          <w:sz w:val="32"/>
          <w:szCs w:val="32"/>
        </w:rPr>
      </w:pPr>
    </w:p>
    <w:p w14:paraId="01B893AB">
      <w:pPr>
        <w:jc w:val="center"/>
        <w:rPr>
          <w:rFonts w:ascii="宋体" w:hAnsi="宋体" w:cs="Arial"/>
          <w:b/>
          <w:color w:val="000000"/>
          <w:sz w:val="32"/>
          <w:szCs w:val="32"/>
        </w:rPr>
      </w:pPr>
      <w:r>
        <w:rPr>
          <w:rFonts w:hint="eastAsia" w:ascii="宋体" w:hAnsi="宋体" w:cs="Arial"/>
          <w:b/>
          <w:color w:val="000000"/>
          <w:sz w:val="32"/>
          <w:szCs w:val="32"/>
        </w:rPr>
        <w:t>202</w:t>
      </w:r>
      <w:r>
        <w:rPr>
          <w:rFonts w:hint="eastAsia" w:ascii="宋体" w:hAnsi="宋体" w:cs="Arial"/>
          <w:b/>
          <w:color w:val="000000"/>
          <w:sz w:val="32"/>
          <w:szCs w:val="32"/>
          <w:lang w:val="en-US" w:eastAsia="zh-CN"/>
        </w:rPr>
        <w:t>5</w:t>
      </w:r>
      <w:r>
        <w:rPr>
          <w:rFonts w:hint="eastAsia" w:ascii="宋体" w:hAnsi="宋体" w:cs="Arial"/>
          <w:b/>
          <w:color w:val="000000"/>
          <w:sz w:val="32"/>
          <w:szCs w:val="32"/>
        </w:rPr>
        <w:t>年0</w:t>
      </w:r>
      <w:r>
        <w:rPr>
          <w:rFonts w:hint="eastAsia" w:ascii="宋体" w:hAnsi="宋体" w:cs="Arial"/>
          <w:b/>
          <w:color w:val="000000"/>
          <w:sz w:val="32"/>
          <w:szCs w:val="32"/>
          <w:lang w:val="en-US" w:eastAsia="zh-CN"/>
        </w:rPr>
        <w:t>7</w:t>
      </w:r>
      <w:r>
        <w:rPr>
          <w:rFonts w:hint="eastAsia" w:ascii="宋体" w:hAnsi="宋体" w:cs="Arial"/>
          <w:b/>
          <w:color w:val="000000"/>
          <w:sz w:val="32"/>
          <w:szCs w:val="32"/>
        </w:rPr>
        <w:t>月</w:t>
      </w:r>
    </w:p>
    <w:p w14:paraId="6C8B385F">
      <w:pPr>
        <w:jc w:val="center"/>
        <w:rPr>
          <w:rFonts w:ascii="方正小标宋简体" w:hAnsi="黑体" w:eastAsia="方正小标宋简体" w:cs="Arial"/>
          <w:color w:val="000000"/>
          <w:sz w:val="32"/>
          <w:szCs w:val="32"/>
        </w:rPr>
      </w:pPr>
    </w:p>
    <w:p w14:paraId="070CA5DB">
      <w:pPr>
        <w:spacing w:line="400" w:lineRule="auto"/>
        <w:ind w:firstLine="562"/>
        <w:rPr>
          <w:rFonts w:ascii="宋体" w:cs="仿宋_GB2312"/>
          <w:sz w:val="28"/>
        </w:rPr>
      </w:pPr>
      <w:r>
        <w:rPr>
          <w:rFonts w:ascii="宋体" w:cs="仿宋_GB2312"/>
          <w:sz w:val="28"/>
        </w:rPr>
        <w:t xml:space="preserve"> </w:t>
      </w:r>
    </w:p>
    <w:p w14:paraId="7CF10695">
      <w:pPr>
        <w:spacing w:line="400" w:lineRule="auto"/>
        <w:ind w:firstLine="562"/>
        <w:jc w:val="center"/>
        <w:rPr>
          <w:rFonts w:hint="eastAsia" w:asciiTheme="majorEastAsia" w:hAnsiTheme="majorEastAsia" w:eastAsiaTheme="majorEastAsia" w:cstheme="majorEastAsia"/>
          <w:b/>
          <w:bCs w:val="0"/>
          <w:sz w:val="44"/>
          <w:szCs w:val="44"/>
        </w:rPr>
      </w:pPr>
    </w:p>
    <w:p w14:paraId="48D81AB1">
      <w:pPr>
        <w:spacing w:line="400" w:lineRule="auto"/>
        <w:ind w:firstLine="562"/>
        <w:jc w:val="center"/>
        <w:rPr>
          <w:rFonts w:hint="eastAsia" w:asciiTheme="majorEastAsia" w:hAnsiTheme="majorEastAsia" w:eastAsiaTheme="majorEastAsia" w:cstheme="majorEastAsia"/>
          <w:b/>
          <w:bCs w:val="0"/>
          <w:sz w:val="44"/>
          <w:szCs w:val="44"/>
        </w:rPr>
      </w:pPr>
      <w:r>
        <w:rPr>
          <w:rFonts w:hint="eastAsia" w:asciiTheme="majorEastAsia" w:hAnsiTheme="majorEastAsia" w:eastAsiaTheme="majorEastAsia" w:cstheme="majorEastAsia"/>
          <w:b/>
          <w:bCs w:val="0"/>
          <w:sz w:val="44"/>
          <w:szCs w:val="44"/>
          <w:lang w:val="en-US" w:eastAsia="zh-CN"/>
        </w:rPr>
        <w:t>氟化氢</w:t>
      </w:r>
      <w:r>
        <w:rPr>
          <w:rFonts w:hint="eastAsia" w:asciiTheme="majorEastAsia" w:hAnsiTheme="majorEastAsia" w:eastAsiaTheme="majorEastAsia" w:cstheme="majorEastAsia"/>
          <w:b/>
          <w:bCs w:val="0"/>
          <w:sz w:val="44"/>
          <w:szCs w:val="44"/>
        </w:rPr>
        <w:t>气体检测报警器校准规范</w:t>
      </w:r>
    </w:p>
    <w:p w14:paraId="6131261B">
      <w:pPr>
        <w:spacing w:line="400" w:lineRule="auto"/>
        <w:ind w:firstLine="562"/>
        <w:jc w:val="center"/>
        <w:rPr>
          <w:rFonts w:hint="eastAsia" w:asciiTheme="majorEastAsia" w:hAnsiTheme="majorEastAsia" w:eastAsiaTheme="majorEastAsia" w:cstheme="majorEastAsia"/>
          <w:b/>
          <w:bCs w:val="0"/>
          <w:sz w:val="44"/>
          <w:szCs w:val="44"/>
        </w:rPr>
      </w:pPr>
      <w:r>
        <w:rPr>
          <w:rFonts w:hint="eastAsia" w:asciiTheme="majorEastAsia" w:hAnsiTheme="majorEastAsia" w:eastAsiaTheme="majorEastAsia" w:cstheme="majorEastAsia"/>
          <w:b/>
          <w:bCs w:val="0"/>
          <w:sz w:val="44"/>
          <w:szCs w:val="44"/>
        </w:rPr>
        <w:t>编写说明</w:t>
      </w:r>
    </w:p>
    <w:p w14:paraId="4F90EB94">
      <w:pPr>
        <w:spacing w:line="400" w:lineRule="auto"/>
        <w:ind w:firstLine="562"/>
        <w:rPr>
          <w:rFonts w:ascii="宋体" w:cs="仿宋_GB2312"/>
          <w:sz w:val="28"/>
        </w:rPr>
      </w:pPr>
      <w:r>
        <w:rPr>
          <w:rFonts w:hint="eastAsia" w:ascii="宋体" w:hAnsi="宋体"/>
          <w:b/>
          <w:bCs/>
          <w:sz w:val="28"/>
          <w:szCs w:val="28"/>
        </w:rPr>
        <w:t>一、</w:t>
      </w:r>
      <w:r>
        <w:rPr>
          <w:rFonts w:ascii="宋体" w:hAnsi="宋体"/>
          <w:b/>
          <w:bCs/>
          <w:sz w:val="28"/>
          <w:szCs w:val="28"/>
        </w:rPr>
        <w:t>任务来源</w:t>
      </w:r>
    </w:p>
    <w:p w14:paraId="0322EE24">
      <w:pPr>
        <w:pStyle w:val="10"/>
        <w:spacing w:line="360" w:lineRule="auto"/>
        <w:ind w:firstLine="480"/>
        <w:rPr>
          <w:rFonts w:ascii="宋体" w:hAnsi="宋体"/>
          <w:bCs/>
          <w:sz w:val="24"/>
        </w:rPr>
      </w:pPr>
      <w:r>
        <w:rPr>
          <w:rFonts w:hint="eastAsia" w:ascii="宋体" w:hAnsi="宋体"/>
          <w:sz w:val="24"/>
        </w:rPr>
        <w:t>因相关企业对于</w:t>
      </w:r>
      <w:r>
        <w:rPr>
          <w:rFonts w:hint="eastAsia"/>
          <w:sz w:val="24"/>
          <w:lang w:val="en-US" w:eastAsia="zh-CN"/>
        </w:rPr>
        <w:t>氟化氢</w:t>
      </w:r>
      <w:r>
        <w:rPr>
          <w:rFonts w:hint="eastAsia"/>
          <w:sz w:val="24"/>
        </w:rPr>
        <w:t>气体检测报警器的检测需求日渐增多，</w:t>
      </w:r>
      <w:r>
        <w:rPr>
          <w:rFonts w:hint="eastAsia" w:ascii="宋体" w:hAnsi="宋体"/>
          <w:sz w:val="24"/>
        </w:rPr>
        <w:t>长春市计量检定测试技术研究院为响应企业需求，决定起草完成《</w:t>
      </w:r>
      <w:r>
        <w:rPr>
          <w:rFonts w:hint="eastAsia"/>
          <w:sz w:val="24"/>
          <w:lang w:val="en-US" w:eastAsia="zh-CN"/>
        </w:rPr>
        <w:t>氟化氢</w:t>
      </w:r>
      <w:r>
        <w:rPr>
          <w:rFonts w:hint="eastAsia"/>
          <w:sz w:val="24"/>
        </w:rPr>
        <w:t>气体检测报警器</w:t>
      </w:r>
      <w:r>
        <w:rPr>
          <w:rFonts w:hint="eastAsia" w:ascii="宋体" w:hAnsi="宋体"/>
          <w:sz w:val="24"/>
        </w:rPr>
        <w:t>》地方计量技术规范。</w:t>
      </w:r>
      <w:r>
        <w:rPr>
          <w:rFonts w:hint="eastAsia"/>
          <w:sz w:val="24"/>
          <w:lang w:val="en-US" w:eastAsia="zh-CN"/>
        </w:rPr>
        <w:t>氟化氢</w:t>
      </w:r>
      <w:r>
        <w:rPr>
          <w:rFonts w:hint="eastAsia"/>
          <w:sz w:val="24"/>
        </w:rPr>
        <w:t>气体检测报警器</w:t>
      </w:r>
      <w:r>
        <w:rPr>
          <w:rFonts w:hint="eastAsia" w:ascii="宋体" w:hAnsi="宋体"/>
          <w:bCs/>
          <w:sz w:val="24"/>
        </w:rPr>
        <w:t>校准工作我院从202</w:t>
      </w:r>
      <w:r>
        <w:rPr>
          <w:rFonts w:hint="eastAsia" w:ascii="宋体" w:hAnsi="宋体"/>
          <w:bCs/>
          <w:sz w:val="24"/>
          <w:lang w:val="en-US" w:eastAsia="zh-CN"/>
        </w:rPr>
        <w:t>4</w:t>
      </w:r>
      <w:r>
        <w:rPr>
          <w:rFonts w:hint="eastAsia" w:ascii="宋体" w:hAnsi="宋体"/>
          <w:bCs/>
          <w:sz w:val="24"/>
        </w:rPr>
        <w:t>年开始着手进行准备，现在又通过一年多时间的查阅资料、调研、实验、编写规程文本、征求意见等，较好的完成了这项任务。</w:t>
      </w:r>
    </w:p>
    <w:p w14:paraId="4F8A1D32">
      <w:pPr>
        <w:snapToGrid w:val="0"/>
        <w:spacing w:beforeLines="30" w:afterLines="30" w:line="594" w:lineRule="exact"/>
        <w:ind w:left="720"/>
        <w:rPr>
          <w:rFonts w:ascii="宋体" w:cs="仿宋_GB2312"/>
          <w:b/>
          <w:sz w:val="28"/>
        </w:rPr>
      </w:pPr>
      <w:r>
        <w:rPr>
          <w:rFonts w:hint="eastAsia" w:ascii="宋体" w:hAnsi="宋体" w:cs="仿宋_GB2312"/>
          <w:b/>
          <w:sz w:val="28"/>
        </w:rPr>
        <w:t>二、项目背景</w:t>
      </w:r>
    </w:p>
    <w:p w14:paraId="6D9E32C1">
      <w:pPr>
        <w:spacing w:line="360" w:lineRule="auto"/>
        <w:ind w:firstLine="480" w:firstLineChars="200"/>
        <w:rPr>
          <w:rFonts w:hint="eastAsia" w:ascii="宋体" w:hAnsi="宋体"/>
          <w:sz w:val="24"/>
        </w:rPr>
      </w:pPr>
      <w:r>
        <w:rPr>
          <w:rFonts w:hint="eastAsia" w:ascii="宋体" w:hAnsi="宋体"/>
          <w:sz w:val="24"/>
          <w:lang w:val="en-US" w:eastAsia="zh-CN"/>
        </w:rPr>
        <w:t>氟化氢</w:t>
      </w:r>
      <w:r>
        <w:rPr>
          <w:rFonts w:hint="eastAsia" w:ascii="宋体" w:hAnsi="宋体"/>
          <w:sz w:val="24"/>
        </w:rPr>
        <w:t>气体检测报警器</w:t>
      </w:r>
      <w:r>
        <w:rPr>
          <w:rFonts w:ascii="宋体" w:hAnsi="宋体"/>
          <w:sz w:val="24"/>
        </w:rPr>
        <w:t>作为</w:t>
      </w:r>
      <w:r>
        <w:rPr>
          <w:rFonts w:hint="eastAsia" w:ascii="宋体" w:hAnsi="宋体"/>
          <w:sz w:val="24"/>
        </w:rPr>
        <w:t>一种环境中气体浓度监测类</w:t>
      </w:r>
      <w:r>
        <w:rPr>
          <w:rFonts w:ascii="宋体" w:hAnsi="宋体"/>
          <w:sz w:val="24"/>
        </w:rPr>
        <w:t>的</w:t>
      </w:r>
      <w:r>
        <w:rPr>
          <w:rFonts w:hint="eastAsia" w:ascii="宋体" w:hAnsi="宋体"/>
          <w:sz w:val="24"/>
        </w:rPr>
        <w:t>电子仪器</w:t>
      </w:r>
      <w:r>
        <w:rPr>
          <w:rFonts w:ascii="宋体" w:hAnsi="宋体"/>
          <w:sz w:val="24"/>
        </w:rPr>
        <w:t>，</w:t>
      </w:r>
      <w:r>
        <w:rPr>
          <w:rFonts w:hint="eastAsia" w:ascii="宋体" w:hAnsi="宋体"/>
          <w:sz w:val="24"/>
        </w:rPr>
        <w:t>用以检测室内</w:t>
      </w:r>
      <w:r>
        <w:rPr>
          <w:rFonts w:hint="eastAsia" w:ascii="宋体" w:hAnsi="宋体"/>
          <w:sz w:val="24"/>
          <w:lang w:val="en-US" w:eastAsia="zh-CN"/>
        </w:rPr>
        <w:t>氟化氢</w:t>
      </w:r>
      <w:r>
        <w:rPr>
          <w:rFonts w:hint="eastAsia" w:ascii="宋体" w:hAnsi="宋体"/>
          <w:sz w:val="24"/>
        </w:rPr>
        <w:t>的泄漏情况</w:t>
      </w:r>
      <w:r>
        <w:rPr>
          <w:rFonts w:ascii="宋体" w:hAnsi="宋体"/>
          <w:sz w:val="24"/>
        </w:rPr>
        <w:t>，为</w:t>
      </w:r>
      <w:r>
        <w:rPr>
          <w:rFonts w:hint="eastAsia" w:ascii="宋体" w:hAnsi="宋体"/>
          <w:sz w:val="24"/>
        </w:rPr>
        <w:t>防止环境污染及保护人员安全提供重要保障</w:t>
      </w:r>
      <w:r>
        <w:rPr>
          <w:rFonts w:ascii="宋体" w:hAnsi="宋体"/>
          <w:sz w:val="24"/>
        </w:rPr>
        <w:t>。然而由于</w:t>
      </w:r>
      <w:r>
        <w:rPr>
          <w:rFonts w:hint="eastAsia" w:ascii="宋体" w:hAnsi="宋体"/>
          <w:sz w:val="24"/>
          <w:lang w:val="en-US" w:eastAsia="zh-CN"/>
        </w:rPr>
        <w:t>氟化氢</w:t>
      </w:r>
      <w:r>
        <w:rPr>
          <w:rFonts w:hint="eastAsia" w:ascii="宋体" w:hAnsi="宋体"/>
          <w:sz w:val="24"/>
        </w:rPr>
        <w:t>气体检测报警器使用寿命有限</w:t>
      </w:r>
      <w:r>
        <w:rPr>
          <w:rFonts w:ascii="宋体" w:hAnsi="宋体"/>
          <w:sz w:val="24"/>
        </w:rPr>
        <w:t>、</w:t>
      </w:r>
      <w:r>
        <w:rPr>
          <w:rFonts w:hint="eastAsia" w:ascii="宋体" w:hAnsi="宋体"/>
          <w:sz w:val="24"/>
        </w:rPr>
        <w:t>使用环境复杂多样</w:t>
      </w:r>
      <w:r>
        <w:rPr>
          <w:rFonts w:ascii="宋体" w:hAnsi="宋体"/>
          <w:sz w:val="24"/>
        </w:rPr>
        <w:t>，</w:t>
      </w:r>
      <w:r>
        <w:rPr>
          <w:rFonts w:hint="eastAsia" w:ascii="宋体" w:hAnsi="宋体"/>
          <w:sz w:val="24"/>
          <w:lang w:val="en-US" w:eastAsia="zh-CN"/>
        </w:rPr>
        <w:t>氟化氢</w:t>
      </w:r>
      <w:r>
        <w:rPr>
          <w:rFonts w:hint="eastAsia" w:ascii="宋体" w:hAnsi="宋体"/>
          <w:sz w:val="24"/>
        </w:rPr>
        <w:t>气体检测报警器</w:t>
      </w:r>
      <w:r>
        <w:rPr>
          <w:rFonts w:ascii="宋体" w:hAnsi="宋体"/>
          <w:sz w:val="24"/>
        </w:rPr>
        <w:t>的测量准确性和可靠性可能受到影响，从而导致</w:t>
      </w:r>
      <w:r>
        <w:rPr>
          <w:rFonts w:hint="eastAsia" w:ascii="宋体" w:hAnsi="宋体"/>
          <w:sz w:val="24"/>
        </w:rPr>
        <w:t>其传感器误差变大、灵敏度降低等，进而给环境及现场人员的安全带来隐患。</w:t>
      </w:r>
    </w:p>
    <w:p w14:paraId="776D9A71">
      <w:pPr>
        <w:spacing w:line="360" w:lineRule="auto"/>
        <w:ind w:firstLine="480" w:firstLineChars="200"/>
        <w:rPr>
          <w:rFonts w:hint="eastAsia" w:ascii="宋体" w:hAnsi="宋体"/>
          <w:sz w:val="24"/>
        </w:rPr>
      </w:pPr>
      <w:r>
        <w:rPr>
          <w:rFonts w:hint="eastAsia" w:ascii="宋体" w:hAnsi="宋体" w:eastAsia="宋体" w:cs="宋体"/>
          <w:b w:val="0"/>
          <w:bCs w:val="0"/>
          <w:kern w:val="0"/>
          <w:sz w:val="24"/>
          <w:szCs w:val="24"/>
          <w:lang w:val="en-US" w:eastAsia="zh-CN"/>
        </w:rPr>
        <w:t>氟化氢作为一种剧毒、强腐蚀性的危险化学品，广泛应用于化工、半导体、冶金、石油炼制等多个关键领域。一旦发生泄漏，极易造成严重的人员伤亡、环境污染和重大财产损失。氟化氢气体检测报警器作为检测环境空气中氟化氢浓度的关键安全屏障和早期预警系统，其计量性能的准确、可靠直接关系到人员生命安全、工业安全生产和社会公共安全</w:t>
      </w:r>
      <w:r>
        <w:rPr>
          <w:rFonts w:hint="eastAsia" w:ascii="宋体" w:hAnsi="宋体"/>
          <w:sz w:val="24"/>
        </w:rPr>
        <w:t>。</w:t>
      </w:r>
      <w:r>
        <w:rPr>
          <w:rFonts w:ascii="宋体" w:hAnsi="宋体"/>
          <w:sz w:val="24"/>
        </w:rPr>
        <w:t>因此，制定地方校准规范，确保</w:t>
      </w:r>
      <w:r>
        <w:rPr>
          <w:rFonts w:hint="eastAsia" w:ascii="宋体" w:hAnsi="宋体"/>
          <w:sz w:val="24"/>
          <w:lang w:val="en-US" w:eastAsia="zh-CN"/>
        </w:rPr>
        <w:t>氟化氢</w:t>
      </w:r>
      <w:r>
        <w:rPr>
          <w:rFonts w:hint="eastAsia" w:ascii="宋体" w:hAnsi="宋体"/>
          <w:sz w:val="24"/>
        </w:rPr>
        <w:t>气体检测报警器</w:t>
      </w:r>
      <w:r>
        <w:rPr>
          <w:rFonts w:ascii="宋体" w:hAnsi="宋体"/>
          <w:sz w:val="24"/>
        </w:rPr>
        <w:t>的准确性和可靠性，对于</w:t>
      </w:r>
      <w:r>
        <w:rPr>
          <w:rFonts w:hint="eastAsia" w:ascii="宋体" w:hAnsi="宋体"/>
          <w:sz w:val="24"/>
        </w:rPr>
        <w:t>相关工业企业日常生产安全</w:t>
      </w:r>
      <w:r>
        <w:rPr>
          <w:rFonts w:ascii="宋体" w:hAnsi="宋体"/>
          <w:sz w:val="24"/>
        </w:rPr>
        <w:t>具有重要意义。</w:t>
      </w:r>
    </w:p>
    <w:p w14:paraId="14FE2CB4">
      <w:pPr>
        <w:spacing w:line="400" w:lineRule="auto"/>
        <w:rPr>
          <w:rFonts w:ascii="宋体" w:cs="仿宋_GB2312"/>
          <w:b/>
          <w:sz w:val="28"/>
        </w:rPr>
      </w:pPr>
      <w:r>
        <w:rPr>
          <w:rFonts w:hint="eastAsia" w:ascii="宋体" w:hAnsi="宋体" w:cs="仿宋_GB2312"/>
          <w:sz w:val="28"/>
        </w:rPr>
        <w:t xml:space="preserve">   </w:t>
      </w:r>
      <w:r>
        <w:rPr>
          <w:rFonts w:hint="eastAsia" w:ascii="宋体" w:hAnsi="宋体" w:cs="仿宋_GB2312"/>
          <w:b/>
          <w:sz w:val="28"/>
        </w:rPr>
        <w:t xml:space="preserve"> 三、项目必要性</w:t>
      </w:r>
    </w:p>
    <w:p w14:paraId="30137C85">
      <w:pPr>
        <w:spacing w:line="360" w:lineRule="auto"/>
        <w:ind w:firstLine="480" w:firstLineChars="200"/>
        <w:rPr>
          <w:rFonts w:ascii="宋体" w:hAnsi="宋体"/>
          <w:sz w:val="24"/>
        </w:rPr>
      </w:pPr>
      <w:r>
        <w:rPr>
          <w:rFonts w:hint="eastAsia" w:ascii="宋体" w:hAnsi="宋体"/>
          <w:sz w:val="24"/>
        </w:rPr>
        <w:t>目前我国尚无正式颁布《</w:t>
      </w:r>
      <w:r>
        <w:rPr>
          <w:rFonts w:hint="eastAsia" w:ascii="宋体" w:hAnsi="宋体"/>
          <w:sz w:val="24"/>
          <w:lang w:val="en-US" w:eastAsia="zh-CN"/>
        </w:rPr>
        <w:t>氟化氢</w:t>
      </w:r>
      <w:r>
        <w:rPr>
          <w:rFonts w:hint="eastAsia" w:ascii="宋体" w:hAnsi="宋体"/>
          <w:sz w:val="24"/>
        </w:rPr>
        <w:t>气体检测报警器》检定规程和校准规范等相关技术法规，为了保证</w:t>
      </w:r>
      <w:r>
        <w:rPr>
          <w:rFonts w:hint="eastAsia" w:ascii="宋体" w:hAnsi="宋体"/>
          <w:sz w:val="24"/>
          <w:lang w:val="en-US" w:eastAsia="zh-CN"/>
        </w:rPr>
        <w:t>氟化氢</w:t>
      </w:r>
      <w:r>
        <w:rPr>
          <w:rFonts w:hint="eastAsia" w:ascii="宋体" w:hAnsi="宋体"/>
          <w:sz w:val="24"/>
        </w:rPr>
        <w:t>气体检测报警器计量特性的准确可靠，需要制定</w:t>
      </w:r>
      <w:r>
        <w:rPr>
          <w:rFonts w:hint="eastAsia" w:ascii="宋体" w:hAnsi="宋体"/>
          <w:sz w:val="24"/>
          <w:lang w:val="en-US" w:eastAsia="zh-CN"/>
        </w:rPr>
        <w:t>氟化氢</w:t>
      </w:r>
      <w:r>
        <w:rPr>
          <w:rFonts w:hint="eastAsia" w:ascii="宋体" w:hAnsi="宋体"/>
          <w:sz w:val="24"/>
        </w:rPr>
        <w:t>气体检测报警器专门标准以及相关技术规范，为确保在用测量设备的运行正常，量值准确、统一，建立一套科学的量值评价体系是非常必要和迫切的。</w:t>
      </w:r>
    </w:p>
    <w:p w14:paraId="56A7AB62">
      <w:pPr>
        <w:spacing w:line="400" w:lineRule="auto"/>
        <w:ind w:firstLine="555"/>
        <w:rPr>
          <w:rFonts w:hint="eastAsia" w:ascii="宋体" w:hAnsi="宋体" w:cs="宋体"/>
          <w:b/>
          <w:sz w:val="28"/>
        </w:rPr>
      </w:pPr>
    </w:p>
    <w:p w14:paraId="5F953249">
      <w:pPr>
        <w:spacing w:line="400" w:lineRule="auto"/>
        <w:ind w:firstLine="555"/>
        <w:rPr>
          <w:rFonts w:hint="eastAsia" w:ascii="宋体" w:hAnsi="宋体" w:cs="宋体"/>
          <w:b/>
          <w:sz w:val="28"/>
        </w:rPr>
      </w:pPr>
      <w:r>
        <w:rPr>
          <w:rFonts w:hint="eastAsia" w:ascii="宋体" w:hAnsi="宋体" w:cs="宋体"/>
          <w:b/>
          <w:sz w:val="28"/>
        </w:rPr>
        <w:t>四、编写依据</w:t>
      </w:r>
    </w:p>
    <w:p w14:paraId="4443D5B0">
      <w:pPr>
        <w:spacing w:line="360" w:lineRule="auto"/>
        <w:ind w:firstLine="480" w:firstLineChars="200"/>
        <w:rPr>
          <w:rFonts w:hint="eastAsia" w:ascii="宋体" w:hAnsi="宋体"/>
          <w:sz w:val="24"/>
        </w:rPr>
      </w:pPr>
      <w:r>
        <w:rPr>
          <w:rFonts w:hint="eastAsia" w:ascii="宋体" w:hAnsi="宋体"/>
          <w:sz w:val="24"/>
        </w:rPr>
        <w:t>本规范在编写过程中参考了国内相关技术文献：</w:t>
      </w:r>
    </w:p>
    <w:p w14:paraId="0CB242C0">
      <w:pPr>
        <w:spacing w:line="360" w:lineRule="auto"/>
        <w:ind w:firstLine="480" w:firstLineChars="200"/>
        <w:rPr>
          <w:rFonts w:ascii="宋体" w:hAnsi="宋体"/>
          <w:sz w:val="24"/>
        </w:rPr>
      </w:pPr>
      <w:r>
        <w:rPr>
          <w:rFonts w:ascii="宋体" w:hAnsi="宋体"/>
          <w:sz w:val="24"/>
        </w:rPr>
        <w:t>GB50493-2009《石油化工可燃气体和有毒气体检测报警设计规范》</w:t>
      </w:r>
    </w:p>
    <w:p w14:paraId="3168E5F2">
      <w:pPr>
        <w:spacing w:line="360" w:lineRule="auto"/>
        <w:ind w:firstLine="480" w:firstLineChars="200"/>
        <w:rPr>
          <w:rFonts w:ascii="宋体" w:hAnsi="宋体"/>
          <w:sz w:val="24"/>
        </w:rPr>
      </w:pPr>
      <w:r>
        <w:rPr>
          <w:rFonts w:hint="eastAsia" w:ascii="宋体" w:hAnsi="宋体"/>
          <w:sz w:val="24"/>
        </w:rPr>
        <w:t>JJG695-2019《硫化氢气体检测仪检定规程》</w:t>
      </w:r>
    </w:p>
    <w:p w14:paraId="0D33F083">
      <w:pPr>
        <w:spacing w:line="360" w:lineRule="auto"/>
        <w:ind w:firstLine="480" w:firstLineChars="200"/>
        <w:rPr>
          <w:rFonts w:ascii="宋体" w:hAnsi="宋体"/>
          <w:sz w:val="24"/>
        </w:rPr>
      </w:pPr>
      <w:r>
        <w:rPr>
          <w:rFonts w:hint="eastAsia" w:ascii="宋体" w:hAnsi="宋体"/>
          <w:sz w:val="24"/>
        </w:rPr>
        <w:t>J</w:t>
      </w:r>
      <w:r>
        <w:rPr>
          <w:rFonts w:ascii="宋体" w:hAnsi="宋体"/>
          <w:sz w:val="24"/>
        </w:rPr>
        <w:t>JF</w:t>
      </w:r>
      <w:r>
        <w:rPr>
          <w:rFonts w:hint="eastAsia" w:ascii="宋体" w:hAnsi="宋体"/>
          <w:sz w:val="24"/>
          <w:lang w:val="en-US" w:eastAsia="zh-CN"/>
        </w:rPr>
        <w:t>1674-2017</w:t>
      </w:r>
      <w:r>
        <w:rPr>
          <w:rFonts w:hint="eastAsia" w:ascii="宋体" w:hAnsi="宋体"/>
          <w:sz w:val="24"/>
        </w:rPr>
        <w:t>《</w:t>
      </w:r>
      <w:r>
        <w:rPr>
          <w:rFonts w:hint="eastAsia" w:ascii="宋体" w:hAnsi="宋体"/>
          <w:sz w:val="24"/>
          <w:lang w:val="en-US" w:eastAsia="zh-CN"/>
        </w:rPr>
        <w:t>苯气体检测报警器</w:t>
      </w:r>
      <w:r>
        <w:rPr>
          <w:rFonts w:hint="eastAsia" w:ascii="宋体" w:hAnsi="宋体"/>
          <w:sz w:val="24"/>
        </w:rPr>
        <w:t>校准规范》</w:t>
      </w:r>
    </w:p>
    <w:p w14:paraId="7C012B6D">
      <w:pPr>
        <w:spacing w:line="400" w:lineRule="auto"/>
        <w:ind w:firstLine="562"/>
        <w:rPr>
          <w:rFonts w:ascii="宋体" w:hAnsi="宋体" w:cs="宋体"/>
          <w:b/>
          <w:sz w:val="28"/>
        </w:rPr>
      </w:pPr>
      <w:r>
        <w:rPr>
          <w:rFonts w:hint="eastAsia" w:ascii="宋体" w:hAnsi="宋体" w:cs="宋体"/>
          <w:b/>
          <w:sz w:val="28"/>
        </w:rPr>
        <w:t>五、研究内容</w:t>
      </w:r>
    </w:p>
    <w:p w14:paraId="2B7BE5A0">
      <w:pPr>
        <w:spacing w:line="360" w:lineRule="auto"/>
        <w:ind w:firstLine="480" w:firstLineChars="200"/>
        <w:rPr>
          <w:rFonts w:ascii="宋体" w:hAnsi="宋体"/>
          <w:sz w:val="24"/>
        </w:rPr>
      </w:pPr>
      <w:r>
        <w:rPr>
          <w:rFonts w:hint="eastAsia" w:ascii="宋体" w:hAnsi="宋体"/>
          <w:sz w:val="24"/>
        </w:rPr>
        <w:t>本次规范的制定对</w:t>
      </w:r>
      <w:r>
        <w:rPr>
          <w:rFonts w:hint="eastAsia" w:ascii="宋体" w:hAnsi="宋体"/>
          <w:sz w:val="24"/>
          <w:lang w:val="en-US" w:eastAsia="zh-CN"/>
        </w:rPr>
        <w:t>氟化氢气体</w:t>
      </w:r>
      <w:r>
        <w:rPr>
          <w:rFonts w:hint="eastAsia" w:ascii="宋体" w:hAnsi="宋体"/>
          <w:sz w:val="24"/>
        </w:rPr>
        <w:t>检测报警器计量性能具体要求、气体标准物质的配置、校准条件及校准项目指标及校准方法中示值误差的公式，重复性，响应时间，报警功能，漂移等指标进行了详细阐述，对校准结果的处理与表达做了详细规定，给出了出具校准证书的原始记录和校准证书的模板、不确定度评定示例以及原始记录与校准证书参考格式。</w:t>
      </w:r>
    </w:p>
    <w:p w14:paraId="0F557AE6">
      <w:pPr>
        <w:spacing w:line="400" w:lineRule="auto"/>
        <w:ind w:firstLine="562"/>
        <w:rPr>
          <w:rFonts w:hint="eastAsia" w:ascii="宋体" w:hAnsi="宋体" w:cs="宋体"/>
          <w:b/>
          <w:sz w:val="28"/>
        </w:rPr>
      </w:pPr>
      <w:r>
        <w:rPr>
          <w:rFonts w:hint="eastAsia" w:ascii="宋体" w:hAnsi="宋体" w:cs="宋体"/>
          <w:b/>
          <w:sz w:val="28"/>
        </w:rPr>
        <w:t>六、项目可行性</w:t>
      </w:r>
    </w:p>
    <w:p w14:paraId="797885C5">
      <w:pPr>
        <w:spacing w:line="360" w:lineRule="auto"/>
        <w:ind w:firstLine="480" w:firstLineChars="200"/>
        <w:rPr>
          <w:rFonts w:ascii="宋体" w:hAnsi="宋体"/>
          <w:sz w:val="24"/>
        </w:rPr>
      </w:pPr>
      <w:r>
        <w:rPr>
          <w:rFonts w:hint="eastAsia" w:ascii="宋体" w:hAnsi="宋体"/>
          <w:sz w:val="24"/>
        </w:rPr>
        <w:t>1、项目建议单位为长春市计量检定测试技术研究院，为独立的法人，法定计量检定机构，以服务地方经济发展为己任，现有的技术能力已经满足该规范的校准项目的需求。</w:t>
      </w:r>
    </w:p>
    <w:p w14:paraId="68FE0D3F">
      <w:pPr>
        <w:spacing w:line="360" w:lineRule="auto"/>
        <w:ind w:firstLine="480" w:firstLineChars="200"/>
        <w:rPr>
          <w:rFonts w:ascii="宋体" w:hAnsi="宋体"/>
          <w:sz w:val="24"/>
        </w:rPr>
      </w:pPr>
      <w:r>
        <w:rPr>
          <w:rFonts w:hint="eastAsia" w:ascii="宋体" w:hAnsi="宋体"/>
          <w:sz w:val="24"/>
        </w:rPr>
        <w:t>2、主要建议人从事计量检定工作</w:t>
      </w:r>
      <w:r>
        <w:rPr>
          <w:rFonts w:hint="eastAsia" w:ascii="宋体" w:hAnsi="宋体"/>
          <w:sz w:val="24"/>
          <w:lang w:val="en-US" w:eastAsia="zh-CN"/>
        </w:rPr>
        <w:t>10</w:t>
      </w:r>
      <w:r>
        <w:rPr>
          <w:rFonts w:hint="eastAsia" w:ascii="宋体" w:hAnsi="宋体"/>
          <w:sz w:val="24"/>
        </w:rPr>
        <w:t>余年，从20</w:t>
      </w:r>
      <w:r>
        <w:rPr>
          <w:rFonts w:hint="eastAsia" w:ascii="宋体" w:hAnsi="宋体"/>
          <w:sz w:val="24"/>
          <w:lang w:val="en-US" w:eastAsia="zh-CN"/>
        </w:rPr>
        <w:t>13</w:t>
      </w:r>
      <w:r>
        <w:rPr>
          <w:rFonts w:hint="eastAsia" w:ascii="宋体" w:hAnsi="宋体"/>
          <w:sz w:val="24"/>
        </w:rPr>
        <w:t>年开始从事报警器检测工作，在该领域领域也有多年工作经验，现任</w:t>
      </w:r>
      <w:r>
        <w:rPr>
          <w:rFonts w:hint="eastAsia" w:ascii="宋体" w:hAnsi="宋体"/>
          <w:sz w:val="24"/>
          <w:lang w:val="en-US" w:eastAsia="zh-CN"/>
        </w:rPr>
        <w:t>科室检定员</w:t>
      </w:r>
      <w:bookmarkStart w:id="0" w:name="_GoBack"/>
      <w:bookmarkEnd w:id="0"/>
      <w:r>
        <w:rPr>
          <w:rFonts w:hint="eastAsia" w:ascii="宋体" w:hAnsi="宋体"/>
          <w:sz w:val="24"/>
        </w:rPr>
        <w:t>，高级工程师。</w:t>
      </w:r>
    </w:p>
    <w:p w14:paraId="7DB425C4">
      <w:pPr>
        <w:spacing w:line="360" w:lineRule="auto"/>
        <w:ind w:firstLine="480" w:firstLineChars="200"/>
        <w:rPr>
          <w:rFonts w:hint="eastAsia" w:ascii="宋体" w:hAnsi="宋体"/>
          <w:sz w:val="24"/>
        </w:rPr>
      </w:pPr>
      <w:r>
        <w:rPr>
          <w:rFonts w:hint="eastAsia" w:ascii="宋体" w:hAnsi="宋体"/>
          <w:sz w:val="24"/>
        </w:rPr>
        <w:t>3、我省为工业大省，</w:t>
      </w:r>
      <w:r>
        <w:rPr>
          <w:rFonts w:ascii="宋体" w:hAnsi="宋体"/>
          <w:sz w:val="24"/>
        </w:rPr>
        <w:t>规范的校准</w:t>
      </w:r>
      <w:r>
        <w:rPr>
          <w:rFonts w:hint="eastAsia" w:ascii="宋体" w:hAnsi="宋体"/>
          <w:sz w:val="24"/>
        </w:rPr>
        <w:t>依据</w:t>
      </w:r>
      <w:r>
        <w:rPr>
          <w:rFonts w:ascii="宋体" w:hAnsi="宋体"/>
          <w:sz w:val="24"/>
        </w:rPr>
        <w:t>，将有助于提高</w:t>
      </w:r>
      <w:r>
        <w:rPr>
          <w:rFonts w:hint="eastAsia" w:ascii="宋体" w:hAnsi="宋体"/>
          <w:sz w:val="24"/>
          <w:lang w:val="en-US" w:eastAsia="zh-CN"/>
        </w:rPr>
        <w:t>氟化氢气体</w:t>
      </w:r>
      <w:r>
        <w:rPr>
          <w:rFonts w:ascii="宋体" w:hAnsi="宋体"/>
          <w:sz w:val="24"/>
        </w:rPr>
        <w:t>检测报警器的检测准确性。避免因误报或漏报导致的安全事故</w:t>
      </w:r>
      <w:r>
        <w:rPr>
          <w:rFonts w:hint="eastAsia" w:ascii="宋体" w:hAnsi="宋体"/>
          <w:sz w:val="24"/>
        </w:rPr>
        <w:t>。</w:t>
      </w:r>
    </w:p>
    <w:p w14:paraId="584DC634">
      <w:pPr>
        <w:spacing w:line="360" w:lineRule="auto"/>
        <w:ind w:firstLine="480" w:firstLineChars="200"/>
        <w:rPr>
          <w:rFonts w:hint="eastAsia" w:ascii="宋体" w:hAnsi="宋体"/>
          <w:sz w:val="24"/>
        </w:rPr>
      </w:pPr>
      <w:r>
        <w:rPr>
          <w:rFonts w:hint="eastAsia" w:ascii="宋体" w:hAnsi="宋体"/>
          <w:sz w:val="24"/>
        </w:rPr>
        <w:t>4、</w:t>
      </w:r>
      <w:r>
        <w:rPr>
          <w:rFonts w:ascii="宋体" w:hAnsi="宋体"/>
          <w:sz w:val="24"/>
        </w:rPr>
        <w:t>目前我们完成了本规范的框架构建与初稿编写，</w:t>
      </w:r>
      <w:r>
        <w:rPr>
          <w:rFonts w:hint="eastAsia" w:ascii="宋体" w:hAnsi="宋体"/>
          <w:sz w:val="24"/>
        </w:rPr>
        <w:t>也</w:t>
      </w:r>
      <w:r>
        <w:rPr>
          <w:rFonts w:ascii="宋体" w:hAnsi="宋体"/>
          <w:sz w:val="24"/>
        </w:rPr>
        <w:t>具备充分的依据和信心，为相关领域的发展提供有力支撑。相信本规范将在实际工作中发挥重要作用</w:t>
      </w:r>
      <w:r>
        <w:rPr>
          <w:rFonts w:hint="eastAsia" w:ascii="宋体" w:hAnsi="宋体"/>
          <w:sz w:val="24"/>
        </w:rPr>
        <w:t>，</w:t>
      </w:r>
      <w:r>
        <w:rPr>
          <w:rFonts w:ascii="宋体" w:hAnsi="宋体"/>
          <w:sz w:val="24"/>
        </w:rPr>
        <w:t>我们</w:t>
      </w:r>
      <w:r>
        <w:rPr>
          <w:rFonts w:hint="eastAsia" w:ascii="宋体" w:hAnsi="宋体"/>
          <w:sz w:val="24"/>
        </w:rPr>
        <w:t>也</w:t>
      </w:r>
      <w:r>
        <w:rPr>
          <w:rFonts w:ascii="宋体" w:hAnsi="宋体"/>
          <w:sz w:val="24"/>
        </w:rPr>
        <w:t>将继续完善规范内容，确保其在实际应用中的有效性和可操作性。</w:t>
      </w:r>
    </w:p>
    <w:p w14:paraId="257AF992">
      <w:pPr>
        <w:spacing w:line="360" w:lineRule="auto"/>
        <w:ind w:firstLine="480" w:firstLineChars="200"/>
        <w:rPr>
          <w:rFonts w:ascii="宋体" w:hAnsi="宋体"/>
          <w:sz w:val="24"/>
        </w:rPr>
      </w:pPr>
      <w:r>
        <w:rPr>
          <w:rFonts w:hint="eastAsia" w:ascii="宋体" w:hAnsi="宋体"/>
          <w:sz w:val="24"/>
        </w:rPr>
        <w:t>5、该项目已</w:t>
      </w:r>
      <w:r>
        <w:rPr>
          <w:rFonts w:ascii="宋体" w:hAnsi="宋体"/>
          <w:sz w:val="24"/>
        </w:rPr>
        <w:t>形成征求意见稿</w:t>
      </w:r>
      <w:r>
        <w:rPr>
          <w:rFonts w:hint="eastAsia" w:ascii="宋体" w:hAnsi="宋体"/>
          <w:sz w:val="24"/>
        </w:rPr>
        <w:t>。</w:t>
      </w:r>
    </w:p>
    <w:p w14:paraId="38BC3F27">
      <w:pPr>
        <w:spacing w:line="360" w:lineRule="auto"/>
        <w:ind w:firstLine="480" w:firstLineChars="200"/>
        <w:rPr>
          <w:rFonts w:hint="eastAsia" w:ascii="宋体" w:hAnsi="宋体"/>
          <w:sz w:val="24"/>
        </w:rPr>
      </w:pPr>
      <w:r>
        <w:rPr>
          <w:rFonts w:hint="eastAsia" w:ascii="宋体" w:hAnsi="宋体"/>
          <w:sz w:val="24"/>
        </w:rPr>
        <w:t>6、我院具备全面的技术人员和满足技术要求条件。</w:t>
      </w:r>
    </w:p>
    <w:p w14:paraId="7C7719FB">
      <w:pPr>
        <w:spacing w:line="400" w:lineRule="auto"/>
        <w:ind w:firstLine="562"/>
        <w:rPr>
          <w:rFonts w:hint="eastAsia" w:ascii="宋体" w:hAnsi="宋体" w:cs="宋体"/>
          <w:b/>
          <w:sz w:val="28"/>
          <w:lang w:val="en-US" w:eastAsia="zh-CN"/>
        </w:rPr>
      </w:pPr>
    </w:p>
    <w:p w14:paraId="52D11E8A">
      <w:pPr>
        <w:spacing w:line="400" w:lineRule="auto"/>
        <w:ind w:firstLine="562"/>
        <w:rPr>
          <w:rFonts w:hint="eastAsia" w:ascii="宋体" w:hAnsi="宋体" w:cs="宋体"/>
          <w:b/>
          <w:sz w:val="28"/>
          <w:lang w:val="en-US" w:eastAsia="zh-CN"/>
        </w:rPr>
      </w:pPr>
    </w:p>
    <w:p w14:paraId="3EAC415A">
      <w:pPr>
        <w:spacing w:line="400" w:lineRule="auto"/>
        <w:ind w:firstLine="562"/>
        <w:rPr>
          <w:rFonts w:hint="eastAsia" w:ascii="宋体" w:hAnsi="宋体" w:cs="宋体"/>
          <w:b/>
          <w:sz w:val="28"/>
          <w:lang w:val="en-US" w:eastAsia="zh-CN"/>
        </w:rPr>
      </w:pPr>
    </w:p>
    <w:p w14:paraId="4E2D37D8">
      <w:pPr>
        <w:spacing w:line="400" w:lineRule="auto"/>
        <w:ind w:firstLine="562"/>
        <w:rPr>
          <w:rFonts w:hint="eastAsia" w:ascii="宋体" w:hAnsi="宋体" w:cs="宋体"/>
          <w:b/>
          <w:sz w:val="28"/>
          <w:lang w:val="en-US" w:eastAsia="zh-CN"/>
        </w:rPr>
      </w:pPr>
    </w:p>
    <w:p w14:paraId="15C83C58">
      <w:pPr>
        <w:spacing w:line="400" w:lineRule="auto"/>
        <w:ind w:firstLine="562"/>
        <w:rPr>
          <w:rFonts w:hint="eastAsia" w:ascii="宋体" w:hAnsi="宋体" w:cs="宋体"/>
          <w:b/>
          <w:sz w:val="28"/>
          <w:lang w:val="en-US" w:eastAsia="zh-CN"/>
        </w:rPr>
      </w:pPr>
      <w:r>
        <w:rPr>
          <w:rFonts w:hint="eastAsia" w:ascii="宋体" w:hAnsi="宋体" w:cs="宋体"/>
          <w:b/>
          <w:sz w:val="28"/>
          <w:lang w:val="en-US" w:eastAsia="zh-CN"/>
        </w:rPr>
        <w:t>七</w:t>
      </w:r>
      <w:r>
        <w:rPr>
          <w:rFonts w:hint="eastAsia" w:ascii="宋体" w:hAnsi="宋体" w:cs="宋体"/>
          <w:b/>
          <w:sz w:val="28"/>
        </w:rPr>
        <w:t>、</w:t>
      </w:r>
      <w:r>
        <w:rPr>
          <w:rFonts w:hint="eastAsia" w:ascii="宋体" w:hAnsi="宋体" w:cs="宋体"/>
          <w:b/>
          <w:sz w:val="28"/>
          <w:lang w:val="en-US" w:eastAsia="zh-CN"/>
        </w:rPr>
        <w:t>整改内容</w:t>
      </w:r>
    </w:p>
    <w:p w14:paraId="124C5FD5">
      <w:pPr>
        <w:spacing w:line="360" w:lineRule="auto"/>
        <w:rPr>
          <w:rFonts w:hint="eastAsia" w:ascii="宋体" w:hAnsi="宋体"/>
          <w:sz w:val="24"/>
          <w:lang w:val="en-US" w:eastAsia="zh-CN"/>
        </w:rPr>
      </w:pPr>
      <w:r>
        <w:rPr>
          <w:rFonts w:hint="eastAsia" w:ascii="宋体" w:hAnsi="宋体"/>
          <w:sz w:val="24"/>
          <w:lang w:val="en-US" w:eastAsia="zh-CN"/>
        </w:rPr>
        <w:t>1、专家提出的意见</w:t>
      </w:r>
    </w:p>
    <w:tbl>
      <w:tblPr>
        <w:tblStyle w:val="5"/>
        <w:tblW w:w="8553"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9"/>
        <w:gridCol w:w="887"/>
        <w:gridCol w:w="1384"/>
        <w:gridCol w:w="5783"/>
      </w:tblGrid>
      <w:tr w14:paraId="55713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9" w:type="dxa"/>
            <w:vAlign w:val="center"/>
          </w:tcPr>
          <w:p w14:paraId="702F0B27">
            <w:pPr>
              <w:snapToGrid w:val="0"/>
              <w:rPr>
                <w:rFonts w:hint="eastAsia" w:ascii="仿宋_GB2312" w:eastAsia="仿宋_GB2312"/>
                <w:b w:val="0"/>
                <w:bCs/>
                <w:kern w:val="0"/>
                <w:sz w:val="28"/>
                <w:szCs w:val="28"/>
              </w:rPr>
            </w:pPr>
            <w:r>
              <w:rPr>
                <w:rFonts w:hint="eastAsia" w:ascii="仿宋_GB2312" w:eastAsia="仿宋_GB2312"/>
                <w:b w:val="0"/>
                <w:bCs/>
                <w:kern w:val="0"/>
                <w:sz w:val="28"/>
                <w:szCs w:val="28"/>
              </w:rPr>
              <w:t>序号</w:t>
            </w:r>
          </w:p>
        </w:tc>
        <w:tc>
          <w:tcPr>
            <w:tcW w:w="887" w:type="dxa"/>
            <w:vAlign w:val="center"/>
          </w:tcPr>
          <w:p w14:paraId="4BB3E3F8">
            <w:pPr>
              <w:snapToGrid w:val="0"/>
              <w:rPr>
                <w:rFonts w:hint="eastAsia" w:ascii="仿宋_GB2312" w:eastAsia="仿宋_GB2312"/>
                <w:b w:val="0"/>
                <w:bCs/>
                <w:kern w:val="0"/>
                <w:sz w:val="28"/>
                <w:szCs w:val="28"/>
              </w:rPr>
            </w:pPr>
            <w:r>
              <w:rPr>
                <w:rFonts w:hint="eastAsia" w:ascii="仿宋_GB2312" w:eastAsia="仿宋_GB2312"/>
                <w:b w:val="0"/>
                <w:bCs/>
                <w:kern w:val="0"/>
                <w:sz w:val="28"/>
                <w:szCs w:val="28"/>
              </w:rPr>
              <w:t>提出</w:t>
            </w:r>
            <w:r>
              <w:rPr>
                <w:rFonts w:ascii="仿宋_GB2312" w:eastAsia="仿宋_GB2312"/>
                <w:b w:val="0"/>
                <w:bCs/>
                <w:kern w:val="0"/>
                <w:sz w:val="28"/>
                <w:szCs w:val="28"/>
              </w:rPr>
              <w:t>单位</w:t>
            </w:r>
          </w:p>
        </w:tc>
        <w:tc>
          <w:tcPr>
            <w:tcW w:w="1384" w:type="dxa"/>
            <w:vAlign w:val="center"/>
          </w:tcPr>
          <w:p w14:paraId="5213D4B2">
            <w:pPr>
              <w:snapToGrid w:val="0"/>
              <w:jc w:val="center"/>
              <w:rPr>
                <w:rFonts w:hint="eastAsia" w:ascii="仿宋_GB2312" w:eastAsia="仿宋_GB2312"/>
                <w:b w:val="0"/>
                <w:bCs/>
                <w:kern w:val="0"/>
                <w:sz w:val="28"/>
                <w:szCs w:val="28"/>
              </w:rPr>
            </w:pPr>
            <w:r>
              <w:rPr>
                <w:rFonts w:hint="eastAsia" w:ascii="仿宋_GB2312" w:eastAsia="仿宋_GB2312"/>
                <w:b w:val="0"/>
                <w:bCs/>
                <w:kern w:val="0"/>
                <w:sz w:val="28"/>
                <w:szCs w:val="28"/>
                <w:lang w:val="en-US" w:eastAsia="zh-CN"/>
              </w:rPr>
              <w:t>联系人</w:t>
            </w:r>
          </w:p>
        </w:tc>
        <w:tc>
          <w:tcPr>
            <w:tcW w:w="5783" w:type="dxa"/>
            <w:vAlign w:val="center"/>
          </w:tcPr>
          <w:p w14:paraId="1C2EABF5">
            <w:pPr>
              <w:snapToGrid w:val="0"/>
              <w:jc w:val="center"/>
              <w:rPr>
                <w:rFonts w:hint="eastAsia" w:ascii="仿宋_GB2312" w:eastAsia="仿宋_GB2312"/>
                <w:b w:val="0"/>
                <w:bCs/>
                <w:kern w:val="0"/>
                <w:sz w:val="28"/>
                <w:szCs w:val="28"/>
              </w:rPr>
            </w:pPr>
            <w:r>
              <w:rPr>
                <w:rFonts w:hint="eastAsia" w:ascii="仿宋_GB2312" w:eastAsia="仿宋_GB2312"/>
                <w:b w:val="0"/>
                <w:bCs/>
                <w:kern w:val="0"/>
                <w:sz w:val="28"/>
                <w:szCs w:val="28"/>
              </w:rPr>
              <w:t>意见</w:t>
            </w:r>
            <w:r>
              <w:rPr>
                <w:rFonts w:ascii="仿宋_GB2312" w:eastAsia="仿宋_GB2312"/>
                <w:b w:val="0"/>
                <w:bCs/>
                <w:kern w:val="0"/>
                <w:sz w:val="28"/>
                <w:szCs w:val="28"/>
              </w:rPr>
              <w:t>内容</w:t>
            </w:r>
          </w:p>
        </w:tc>
      </w:tr>
      <w:tr w14:paraId="5AFCD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9" w:type="dxa"/>
            <w:vAlign w:val="center"/>
          </w:tcPr>
          <w:p w14:paraId="25A6A9F2">
            <w:pPr>
              <w:snapToGrid w:val="0"/>
              <w:jc w:val="center"/>
              <w:rPr>
                <w:rFonts w:hint="eastAsia" w:ascii="仿宋_GB2312" w:eastAsia="仿宋_GB2312"/>
                <w:b w:val="0"/>
                <w:bCs/>
                <w:kern w:val="0"/>
                <w:sz w:val="28"/>
                <w:szCs w:val="28"/>
                <w:lang w:val="en-US" w:eastAsia="zh-CN"/>
              </w:rPr>
            </w:pPr>
            <w:r>
              <w:rPr>
                <w:rFonts w:hint="eastAsia" w:ascii="仿宋_GB2312" w:eastAsia="仿宋_GB2312"/>
                <w:b w:val="0"/>
                <w:bCs/>
                <w:kern w:val="0"/>
                <w:sz w:val="28"/>
                <w:szCs w:val="28"/>
                <w:lang w:val="en-US" w:eastAsia="zh-CN"/>
              </w:rPr>
              <w:t>1</w:t>
            </w:r>
          </w:p>
        </w:tc>
        <w:tc>
          <w:tcPr>
            <w:tcW w:w="887" w:type="dxa"/>
            <w:vAlign w:val="center"/>
          </w:tcPr>
          <w:p w14:paraId="26C8D3C3">
            <w:pPr>
              <w:snapToGrid w:val="0"/>
              <w:rPr>
                <w:rFonts w:hint="eastAsia" w:ascii="仿宋_GB2312" w:eastAsia="仿宋_GB2312"/>
                <w:b w:val="0"/>
                <w:bCs/>
                <w:kern w:val="0"/>
                <w:sz w:val="28"/>
                <w:szCs w:val="28"/>
              </w:rPr>
            </w:pPr>
            <w:r>
              <w:rPr>
                <w:rFonts w:hint="eastAsia" w:ascii="仿宋_GB2312" w:eastAsia="仿宋_GB2312"/>
                <w:b w:val="0"/>
                <w:bCs/>
                <w:kern w:val="0"/>
                <w:sz w:val="28"/>
                <w:szCs w:val="28"/>
              </w:rPr>
              <w:t>吉化</w:t>
            </w:r>
          </w:p>
        </w:tc>
        <w:tc>
          <w:tcPr>
            <w:tcW w:w="1384" w:type="dxa"/>
            <w:vAlign w:val="center"/>
          </w:tcPr>
          <w:p w14:paraId="27439B25">
            <w:pPr>
              <w:snapToGrid w:val="0"/>
              <w:jc w:val="center"/>
              <w:rPr>
                <w:rFonts w:hint="eastAsia" w:ascii="仿宋_GB2312" w:eastAsia="仿宋_GB2312"/>
                <w:b w:val="0"/>
                <w:bCs/>
                <w:kern w:val="0"/>
                <w:sz w:val="28"/>
                <w:szCs w:val="28"/>
              </w:rPr>
            </w:pPr>
            <w:r>
              <w:rPr>
                <w:rFonts w:hint="eastAsia" w:ascii="仿宋_GB2312" w:eastAsia="仿宋_GB2312"/>
                <w:b w:val="0"/>
                <w:bCs/>
                <w:kern w:val="0"/>
                <w:sz w:val="28"/>
                <w:szCs w:val="28"/>
              </w:rPr>
              <w:t>刘盾</w:t>
            </w:r>
          </w:p>
        </w:tc>
        <w:tc>
          <w:tcPr>
            <w:tcW w:w="5783" w:type="dxa"/>
            <w:vAlign w:val="center"/>
          </w:tcPr>
          <w:p w14:paraId="6A0B683C">
            <w:pPr>
              <w:snapToGrid w:val="0"/>
              <w:jc w:val="center"/>
              <w:rPr>
                <w:rFonts w:hint="eastAsia" w:ascii="仿宋" w:hAnsi="仿宋" w:eastAsia="仿宋" w:cs="仿宋"/>
                <w:b w:val="0"/>
                <w:bCs/>
                <w:kern w:val="0"/>
                <w:sz w:val="28"/>
                <w:szCs w:val="28"/>
              </w:rPr>
            </w:pPr>
            <w:r>
              <w:rPr>
                <w:rFonts w:hint="eastAsia" w:ascii="仿宋_GB2312" w:hAnsi="仿宋" w:eastAsia="仿宋_GB2312"/>
                <w:b w:val="0"/>
                <w:bCs/>
                <w:sz w:val="28"/>
                <w:szCs w:val="28"/>
                <w:lang w:val="en-US" w:eastAsia="zh-CN"/>
              </w:rPr>
              <w:t>建议将仪器的计量特性中重复性</w:t>
            </w:r>
            <w:r>
              <w:rPr>
                <w:rFonts w:hint="default" w:ascii="Times New Roman" w:hAnsi="Times New Roman" w:eastAsia="仿宋_GB2312" w:cs="Times New Roman"/>
                <w:b w:val="0"/>
                <w:bCs/>
                <w:sz w:val="28"/>
                <w:szCs w:val="28"/>
                <w:lang w:val="en-US" w:eastAsia="zh-CN"/>
              </w:rPr>
              <w:t>≤3%</w:t>
            </w:r>
            <w:r>
              <w:rPr>
                <w:rFonts w:hint="eastAsia" w:ascii="仿宋_GB2312" w:hAnsi="仿宋" w:eastAsia="仿宋_GB2312"/>
                <w:b w:val="0"/>
                <w:bCs/>
                <w:sz w:val="28"/>
                <w:szCs w:val="28"/>
                <w:lang w:val="en-US" w:eastAsia="zh-CN"/>
              </w:rPr>
              <w:t>修改为重复性</w:t>
            </w:r>
            <w:r>
              <w:rPr>
                <w:rFonts w:hint="default" w:ascii="Times New Roman" w:hAnsi="Times New Roman" w:eastAsia="仿宋_GB2312" w:cs="Times New Roman"/>
                <w:b w:val="0"/>
                <w:bCs/>
                <w:sz w:val="28"/>
                <w:szCs w:val="28"/>
                <w:lang w:val="en-US" w:eastAsia="zh-CN"/>
              </w:rPr>
              <w:t>≤5%</w:t>
            </w:r>
          </w:p>
        </w:tc>
      </w:tr>
    </w:tbl>
    <w:p w14:paraId="3C4383D0">
      <w:pPr>
        <w:numPr>
          <w:ilvl w:val="0"/>
          <w:numId w:val="0"/>
        </w:numPr>
        <w:spacing w:line="360" w:lineRule="auto"/>
        <w:rPr>
          <w:rFonts w:hint="eastAsia" w:ascii="宋体" w:hAnsi="宋体"/>
          <w:sz w:val="24"/>
          <w:lang w:val="en-US" w:eastAsia="zh-CN"/>
        </w:rPr>
      </w:pPr>
      <w:r>
        <w:rPr>
          <w:rFonts w:hint="eastAsia" w:ascii="宋体" w:hAnsi="宋体" w:eastAsia="宋体" w:cs="Times New Roman"/>
          <w:kern w:val="2"/>
          <w:sz w:val="24"/>
          <w:szCs w:val="22"/>
          <w:lang w:val="en-US" w:eastAsia="zh-CN" w:bidi="ar-SA"/>
        </w:rPr>
        <w:t>2、</w:t>
      </w:r>
      <w:r>
        <w:rPr>
          <w:rFonts w:hint="eastAsia" w:ascii="宋体" w:hAnsi="宋体"/>
          <w:sz w:val="24"/>
          <w:lang w:val="en-US" w:eastAsia="zh-CN"/>
        </w:rPr>
        <w:t>整改内容</w:t>
      </w:r>
    </w:p>
    <w:p w14:paraId="4EEE5373">
      <w:pPr>
        <w:numPr>
          <w:ilvl w:val="0"/>
          <w:numId w:val="0"/>
        </w:numPr>
        <w:spacing w:line="360" w:lineRule="auto"/>
        <w:rPr>
          <w:rFonts w:hint="eastAsia" w:ascii="宋体" w:hAnsi="宋体" w:eastAsia="宋体" w:cs="宋体"/>
          <w:color w:val="000000"/>
          <w:kern w:val="0"/>
          <w:sz w:val="24"/>
          <w:szCs w:val="24"/>
          <w:lang w:val="en-US" w:eastAsia="zh-CN"/>
        </w:rPr>
      </w:pPr>
      <w:r>
        <w:rPr>
          <w:rFonts w:hint="eastAsia" w:ascii="宋体" w:hAnsi="宋体"/>
          <w:sz w:val="24"/>
          <w:lang w:val="en-US" w:eastAsia="zh-CN"/>
        </w:rPr>
        <w:t>2.1、已将规范</w:t>
      </w:r>
      <w:r>
        <w:rPr>
          <w:rFonts w:hint="eastAsia" w:ascii="宋体" w:hAnsi="宋体" w:cs="宋体"/>
          <w:bCs/>
          <w:kern w:val="0"/>
          <w:sz w:val="24"/>
          <w:szCs w:val="24"/>
          <w:lang w:val="en-US" w:eastAsia="zh-CN"/>
        </w:rPr>
        <w:t>计量特性中重复性</w:t>
      </w:r>
      <w:r>
        <w:rPr>
          <w:rFonts w:hint="default" w:ascii="Times New Roman" w:hAnsi="Times New Roman" w:eastAsia="仿宋_GB2312" w:cs="Times New Roman"/>
          <w:b w:val="0"/>
          <w:bCs/>
          <w:sz w:val="28"/>
          <w:szCs w:val="28"/>
          <w:lang w:val="en-US" w:eastAsia="zh-CN"/>
        </w:rPr>
        <w:t>≤3%</w:t>
      </w:r>
      <w:r>
        <w:rPr>
          <w:rFonts w:hint="eastAsia" w:ascii="仿宋_GB2312" w:hAnsi="仿宋" w:eastAsia="仿宋_GB2312"/>
          <w:b w:val="0"/>
          <w:bCs/>
          <w:sz w:val="28"/>
          <w:szCs w:val="28"/>
          <w:lang w:val="en-US" w:eastAsia="zh-CN"/>
        </w:rPr>
        <w:t>修改为重复性</w:t>
      </w:r>
      <w:r>
        <w:rPr>
          <w:rFonts w:hint="default" w:ascii="Times New Roman" w:hAnsi="Times New Roman" w:eastAsia="仿宋_GB2312" w:cs="Times New Roman"/>
          <w:b w:val="0"/>
          <w:bCs/>
          <w:sz w:val="28"/>
          <w:szCs w:val="28"/>
          <w:lang w:val="en-US" w:eastAsia="zh-CN"/>
        </w:rPr>
        <w:t>≤5%</w:t>
      </w:r>
      <w:r>
        <w:rPr>
          <w:rFonts w:hint="eastAsia" w:ascii="Times New Roman" w:hAnsi="Times New Roman" w:eastAsia="仿宋_GB2312" w:cs="Times New Roman"/>
          <w:b w:val="0"/>
          <w:bCs/>
          <w:sz w:val="28"/>
          <w:szCs w:val="28"/>
          <w:lang w:val="en-US" w:eastAsia="zh-CN"/>
        </w:rPr>
        <w:t>。</w:t>
      </w:r>
    </w:p>
    <w:sectPr>
      <w:headerReference r:id="rId3" w:type="default"/>
      <w:pgSz w:w="11906" w:h="16838"/>
      <w:pgMar w:top="1157" w:right="1800" w:bottom="115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0000000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79E40">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noLineBreaksAfter w:lang="zh-CN" w:val="$([{£¥·‘“〈《「『【〔〖〝﹙﹛﹝＄（．［｛￡￥"/>
  <w:noLineBreaksBefore w:lang="zh-CN" w:val="!%),.:;&gt;?]}¢¨°·ˇˉ―‖’”…‰′″›℃∶、。〃〉》」』】〕〗〞︶︺︾﹀﹄﹚﹜﹞！＂％＇），．：；？］｀｜｝～￠"/>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zNTQ3ODZlOGU1Y2M3YjMzYjc2ZDBlNDQxZGU0YjgifQ=="/>
  </w:docVars>
  <w:rsids>
    <w:rsidRoot w:val="005F6E33"/>
    <w:rsid w:val="00006EB6"/>
    <w:rsid w:val="000A5529"/>
    <w:rsid w:val="000B52B0"/>
    <w:rsid w:val="001F42F2"/>
    <w:rsid w:val="00242B3F"/>
    <w:rsid w:val="00322C82"/>
    <w:rsid w:val="003842BC"/>
    <w:rsid w:val="00530989"/>
    <w:rsid w:val="005F6E33"/>
    <w:rsid w:val="00644BB6"/>
    <w:rsid w:val="00744E40"/>
    <w:rsid w:val="007F0714"/>
    <w:rsid w:val="0080042D"/>
    <w:rsid w:val="0081499F"/>
    <w:rsid w:val="00824CA4"/>
    <w:rsid w:val="00954436"/>
    <w:rsid w:val="00982ACC"/>
    <w:rsid w:val="00A87C71"/>
    <w:rsid w:val="00B64280"/>
    <w:rsid w:val="00C504D1"/>
    <w:rsid w:val="00C53218"/>
    <w:rsid w:val="00CA33BC"/>
    <w:rsid w:val="00CA3D5F"/>
    <w:rsid w:val="00CC6409"/>
    <w:rsid w:val="00D5387A"/>
    <w:rsid w:val="00EB1639"/>
    <w:rsid w:val="00ED226B"/>
    <w:rsid w:val="00FA6DBA"/>
    <w:rsid w:val="35132147"/>
    <w:rsid w:val="42360C6E"/>
    <w:rsid w:val="4C0F4D8B"/>
    <w:rsid w:val="51BC0535"/>
    <w:rsid w:val="7EBF149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9"/>
    <w:semiHidden/>
    <w:unhideWhenUsed/>
    <w:uiPriority w:val="99"/>
    <w:pPr>
      <w:ind w:left="100" w:leftChars="2500"/>
    </w:p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locked/>
    <w:uiPriority w:val="99"/>
    <w:rPr>
      <w:rFonts w:cs="Times New Roman"/>
      <w:sz w:val="18"/>
      <w:szCs w:val="18"/>
    </w:rPr>
  </w:style>
  <w:style w:type="character" w:customStyle="1" w:styleId="8">
    <w:name w:val="页脚 Char"/>
    <w:basedOn w:val="6"/>
    <w:link w:val="3"/>
    <w:semiHidden/>
    <w:locked/>
    <w:uiPriority w:val="99"/>
    <w:rPr>
      <w:rFonts w:cs="Times New Roman"/>
      <w:sz w:val="18"/>
      <w:szCs w:val="18"/>
    </w:rPr>
  </w:style>
  <w:style w:type="character" w:customStyle="1" w:styleId="9">
    <w:name w:val="日期 Char"/>
    <w:basedOn w:val="6"/>
    <w:link w:val="2"/>
    <w:semiHidden/>
    <w:uiPriority w:val="99"/>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4</Pages>
  <Words>1402</Words>
  <Characters>1455</Characters>
  <Lines>10</Lines>
  <Paragraphs>2</Paragraphs>
  <TotalTime>2</TotalTime>
  <ScaleCrop>false</ScaleCrop>
  <LinksUpToDate>false</LinksUpToDate>
  <CharactersWithSpaces>1466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2024-06-26T01:48:00Z</dcterms:created>
  <dc:creator>admin</dc:creator>
  <cp:lastModifiedBy>123</cp:lastModifiedBy>
  <dcterms:modified xsi:type="dcterms:W3CDTF">2025-09-19T03:46:26Z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225E74954B1A40AC9FC2AC224DDE7A15_13</vt:lpwstr>
  </property>
  <property fmtid="{D5CDD505-2E9C-101B-9397-08002B2CF9AE}" pid="4" name="KSOTemplateDocerSaveRecord">
    <vt:lpwstr>eyJoZGlkIjoiNDgzNTQ3ODZlOGU1Y2M3YjMzYjc2ZDBlNDQxZGU0YjgiLCJ1c2VySWQiOiIxMzYyNjkxNzYxIn0=</vt:lpwstr>
  </property>
</Properties>
</file>