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A1AB4" w14:textId="77777777" w:rsidR="00BB1C58" w:rsidRDefault="00000000">
      <w:pPr>
        <w:spacing w:line="360" w:lineRule="auto"/>
        <w:jc w:val="center"/>
        <w:rPr>
          <w:rFonts w:eastAsia="宋体"/>
        </w:rPr>
      </w:pPr>
      <w:r>
        <w:rPr>
          <w:rStyle w:val="10"/>
          <w:rFonts w:hint="eastAsia"/>
        </w:rPr>
        <w:t>气体发生器编制说明</w:t>
      </w:r>
    </w:p>
    <w:p w14:paraId="7A1F48C0" w14:textId="77777777" w:rsidR="00BB1C58" w:rsidRDefault="00000000">
      <w:pPr>
        <w:pStyle w:val="3"/>
        <w:numPr>
          <w:ilvl w:val="0"/>
          <w:numId w:val="2"/>
        </w:numPr>
        <w:spacing w:line="240" w:lineRule="auto"/>
      </w:pPr>
      <w:r>
        <w:rPr>
          <w:rFonts w:hint="eastAsia"/>
        </w:rPr>
        <w:t>项目背景</w:t>
      </w:r>
    </w:p>
    <w:p w14:paraId="1D36D408" w14:textId="77777777" w:rsidR="00BB1C58" w:rsidRDefault="00000000">
      <w:pPr>
        <w:pStyle w:val="a4"/>
        <w:shd w:val="clear" w:color="auto" w:fill="FAFAFA"/>
        <w:spacing w:afterAutospacing="0" w:line="16" w:lineRule="atLeast"/>
        <w:ind w:firstLineChars="200" w:firstLine="560"/>
        <w:rPr>
          <w:rFonts w:ascii="仿宋_GB2312" w:eastAsia="仿宋_GB2312" w:cs="Arial"/>
          <w:bCs/>
          <w:sz w:val="28"/>
          <w:szCs w:val="28"/>
        </w:rPr>
      </w:pPr>
      <w:r>
        <w:rPr>
          <w:rFonts w:ascii="仿宋_GB2312" w:eastAsia="仿宋_GB2312" w:cs="Arial"/>
          <w:bCs/>
          <w:sz w:val="28"/>
          <w:szCs w:val="28"/>
        </w:rPr>
        <w:t>气体发生器是提供稳定压力、流量和纯度气体的关键设备，广泛应用于工业生产、科研实验等领域，其核心组成包括气源模块、压力控制系统、流量调节系统及纯化系统，具备压力测量范围0～1MPa（准确度等级一级及以下）、流量测量范围0～10L/min（最大允许误差</w:t>
      </w:r>
      <w:r>
        <w:rPr>
          <w:rFonts w:ascii="仿宋_GB2312" w:eastAsia="仿宋_GB2312" w:cs="Arial"/>
          <w:bCs/>
          <w:sz w:val="28"/>
          <w:szCs w:val="28"/>
        </w:rPr>
        <w:t>±</w:t>
      </w:r>
      <w:r>
        <w:rPr>
          <w:rFonts w:ascii="仿宋_GB2312" w:eastAsia="仿宋_GB2312" w:cs="Arial"/>
          <w:bCs/>
          <w:sz w:val="28"/>
          <w:szCs w:val="28"/>
        </w:rPr>
        <w:t>3.0%FS）等高精度计量特性。</w:t>
      </w:r>
    </w:p>
    <w:p w14:paraId="5B70E822" w14:textId="77777777" w:rsidR="00BB1C58" w:rsidRDefault="00000000">
      <w:pPr>
        <w:pStyle w:val="a4"/>
        <w:shd w:val="clear" w:color="auto" w:fill="FAFAFA"/>
        <w:spacing w:afterAutospacing="0" w:line="16" w:lineRule="atLeast"/>
        <w:ind w:firstLineChars="200" w:firstLine="560"/>
        <w:rPr>
          <w:rFonts w:ascii="仿宋_GB2312" w:eastAsia="仿宋_GB2312" w:cs="Arial"/>
          <w:bCs/>
          <w:sz w:val="28"/>
          <w:szCs w:val="28"/>
        </w:rPr>
      </w:pPr>
      <w:r>
        <w:rPr>
          <w:rFonts w:ascii="仿宋_GB2312" w:eastAsia="仿宋_GB2312" w:cs="Arial"/>
          <w:bCs/>
          <w:sz w:val="28"/>
          <w:szCs w:val="28"/>
        </w:rPr>
        <w:t>目前国内针对氢气发生器的校准标准尚不统一，现有方法多参照一般压力表或流量计规程，难以全面覆盖气体纯度分析、动态压力响应等特殊要求，尤其吉林省作为氢能产业发展重要区域，亟需建立适配本地需求的系统性校准规范。</w:t>
      </w:r>
    </w:p>
    <w:p w14:paraId="15864728" w14:textId="77777777" w:rsidR="00BB1C58" w:rsidRDefault="00000000">
      <w:pPr>
        <w:pStyle w:val="a4"/>
        <w:shd w:val="clear" w:color="auto" w:fill="FAFAFA"/>
        <w:spacing w:afterAutospacing="0" w:line="16" w:lineRule="atLeast"/>
        <w:ind w:firstLineChars="200" w:firstLine="560"/>
        <w:rPr>
          <w:rFonts w:ascii="仿宋_GB2312" w:eastAsia="仿宋_GB2312" w:cs="Arial"/>
          <w:bCs/>
          <w:sz w:val="28"/>
          <w:szCs w:val="28"/>
        </w:rPr>
      </w:pPr>
      <w:r>
        <w:rPr>
          <w:rFonts w:ascii="仿宋_GB2312" w:eastAsia="仿宋_GB2312" w:cs="Arial"/>
          <w:bCs/>
          <w:sz w:val="28"/>
          <w:szCs w:val="28"/>
        </w:rPr>
        <w:t>因气体发生器涉及多参数协同控制，仅通过常规压力或流量单点校准无法保障整体性能，使用者提出需对压力示值误差、流量稳定性、气体组分纯度（如露点</w:t>
      </w:r>
      <w:r>
        <w:rPr>
          <w:rFonts w:ascii="仿宋_GB2312" w:eastAsia="仿宋_GB2312" w:cs="Arial"/>
          <w:bCs/>
          <w:sz w:val="28"/>
          <w:szCs w:val="28"/>
        </w:rPr>
        <w:t>≤</w:t>
      </w:r>
      <w:r>
        <w:rPr>
          <w:rFonts w:ascii="仿宋_GB2312" w:eastAsia="仿宋_GB2312" w:cs="Arial"/>
          <w:bCs/>
          <w:sz w:val="28"/>
          <w:szCs w:val="28"/>
        </w:rPr>
        <w:t>-40</w:t>
      </w:r>
      <w:r>
        <w:rPr>
          <w:rFonts w:ascii="仿宋_GB2312" w:eastAsia="仿宋_GB2312" w:cs="Arial"/>
          <w:bCs/>
          <w:sz w:val="28"/>
          <w:szCs w:val="28"/>
        </w:rPr>
        <w:t>℃</w:t>
      </w:r>
      <w:r>
        <w:rPr>
          <w:rFonts w:ascii="仿宋_GB2312" w:eastAsia="仿宋_GB2312" w:cs="Arial"/>
          <w:bCs/>
          <w:sz w:val="28"/>
          <w:szCs w:val="28"/>
        </w:rPr>
        <w:t>）等指标进行全量程校准，配套使用0.05级数字压力计、1.0级转子流量计及气相色谱仪等专用设备。</w:t>
      </w:r>
    </w:p>
    <w:p w14:paraId="5B648519" w14:textId="77777777" w:rsidR="00BB1C58" w:rsidRDefault="00000000">
      <w:pPr>
        <w:pStyle w:val="a4"/>
        <w:shd w:val="clear" w:color="auto" w:fill="FAFAFA"/>
        <w:spacing w:afterAutospacing="0" w:line="16" w:lineRule="atLeast"/>
        <w:ind w:firstLineChars="200" w:firstLine="560"/>
        <w:rPr>
          <w:rFonts w:ascii="仿宋_GB2312" w:eastAsia="仿宋_GB2312" w:cs="Arial"/>
          <w:bCs/>
          <w:sz w:val="28"/>
          <w:szCs w:val="28"/>
        </w:rPr>
      </w:pPr>
      <w:r>
        <w:rPr>
          <w:rFonts w:ascii="仿宋_GB2312" w:eastAsia="仿宋_GB2312" w:cs="Arial"/>
          <w:bCs/>
          <w:sz w:val="28"/>
          <w:szCs w:val="28"/>
        </w:rPr>
        <w:t>此规范的制定，对于完善我省氢能产业量值溯源体系具有重要意义，为气体发生器在新能源、医药研发等领域的准确计量提供技术依据，助力提升区域产业竞争力与公共安全保障能力。</w:t>
      </w:r>
    </w:p>
    <w:p w14:paraId="3A52F96F" w14:textId="77777777" w:rsidR="00BB1C58" w:rsidRDefault="00BB1C58">
      <w:pPr>
        <w:ind w:firstLineChars="200" w:firstLine="480"/>
        <w:rPr>
          <w:rFonts w:ascii="Calibri" w:hAnsi="Calibri" w:cs="宋体"/>
          <w:kern w:val="2"/>
          <w:sz w:val="24"/>
          <w:szCs w:val="22"/>
        </w:rPr>
      </w:pPr>
    </w:p>
    <w:p w14:paraId="1C37D9A3" w14:textId="77777777" w:rsidR="00BB1C58" w:rsidRDefault="00000000">
      <w:pPr>
        <w:pStyle w:val="3"/>
        <w:numPr>
          <w:ilvl w:val="0"/>
          <w:numId w:val="2"/>
        </w:numPr>
        <w:spacing w:line="240" w:lineRule="auto"/>
      </w:pPr>
      <w:r>
        <w:rPr>
          <w:rFonts w:hint="eastAsia"/>
        </w:rPr>
        <w:t>编写情况</w:t>
      </w:r>
    </w:p>
    <w:p w14:paraId="25A5128A" w14:textId="77777777" w:rsidR="00BB1C58" w:rsidRDefault="00000000">
      <w:pPr>
        <w:pStyle w:val="a4"/>
        <w:rPr>
          <w:rFonts w:ascii="仿宋_GB2312" w:eastAsia="仿宋_GB2312" w:cs="Arial"/>
          <w:b/>
          <w:sz w:val="28"/>
          <w:szCs w:val="28"/>
        </w:rPr>
      </w:pPr>
      <w:r>
        <w:rPr>
          <w:rFonts w:ascii="仿宋_GB2312" w:eastAsia="仿宋_GB2312" w:cs="Arial"/>
          <w:b/>
          <w:sz w:val="28"/>
          <w:szCs w:val="28"/>
        </w:rPr>
        <w:t>规范的主要内容：</w:t>
      </w:r>
    </w:p>
    <w:p w14:paraId="48C5072F" w14:textId="77777777" w:rsidR="00BB1C58" w:rsidRDefault="00000000">
      <w:pPr>
        <w:numPr>
          <w:ilvl w:val="0"/>
          <w:numId w:val="3"/>
        </w:numPr>
        <w:spacing w:beforeAutospacing="1" w:afterAutospacing="1"/>
        <w:rPr>
          <w:rFonts w:ascii="仿宋_GB2312" w:eastAsia="仿宋_GB2312"/>
          <w:b/>
          <w:sz w:val="28"/>
          <w:szCs w:val="28"/>
        </w:rPr>
      </w:pPr>
      <w:r>
        <w:rPr>
          <w:rFonts w:ascii="仿宋_GB2312" w:eastAsia="仿宋_GB2312"/>
          <w:b/>
          <w:sz w:val="28"/>
          <w:szCs w:val="28"/>
        </w:rPr>
        <w:t>范围：适用于实验室分析仪器使用的氢气发生器等气体发生器的计量性能校准，包括输出气体纯度、流量</w:t>
      </w:r>
      <w:r>
        <w:rPr>
          <w:rFonts w:ascii="仿宋_GB2312" w:eastAsia="仿宋_GB2312" w:hint="eastAsia"/>
          <w:b/>
          <w:sz w:val="28"/>
          <w:szCs w:val="28"/>
        </w:rPr>
        <w:t>示值误差</w:t>
      </w:r>
      <w:r>
        <w:rPr>
          <w:rFonts w:ascii="仿宋_GB2312" w:eastAsia="仿宋_GB2312"/>
          <w:b/>
          <w:sz w:val="28"/>
          <w:szCs w:val="28"/>
        </w:rPr>
        <w:t>、压力</w:t>
      </w:r>
      <w:r>
        <w:rPr>
          <w:rFonts w:ascii="仿宋_GB2312" w:eastAsia="仿宋_GB2312" w:hint="eastAsia"/>
          <w:b/>
          <w:sz w:val="28"/>
          <w:szCs w:val="28"/>
        </w:rPr>
        <w:t>示值误差</w:t>
      </w:r>
      <w:r>
        <w:rPr>
          <w:rFonts w:ascii="仿宋_GB2312" w:eastAsia="仿宋_GB2312"/>
          <w:b/>
          <w:sz w:val="28"/>
          <w:szCs w:val="28"/>
        </w:rPr>
        <w:t>等关键参数的校准，其他类似设备可参照执行。</w:t>
      </w:r>
    </w:p>
    <w:p w14:paraId="49B161C0" w14:textId="77777777" w:rsidR="00BB1C58" w:rsidRDefault="00000000">
      <w:pPr>
        <w:numPr>
          <w:ilvl w:val="0"/>
          <w:numId w:val="3"/>
        </w:numPr>
        <w:spacing w:beforeAutospacing="1" w:afterAutospacing="1"/>
        <w:rPr>
          <w:rFonts w:ascii="仿宋_GB2312" w:eastAsia="仿宋_GB2312"/>
          <w:b/>
          <w:sz w:val="28"/>
          <w:szCs w:val="28"/>
        </w:rPr>
      </w:pPr>
      <w:r>
        <w:rPr>
          <w:rFonts w:ascii="仿宋_GB2312" w:eastAsia="仿宋_GB2312"/>
          <w:b/>
          <w:sz w:val="28"/>
          <w:szCs w:val="28"/>
        </w:rPr>
        <w:t>计量特性：压力示值误差（0～1 MPa，</w:t>
      </w:r>
      <w:r>
        <w:rPr>
          <w:rFonts w:ascii="仿宋_GB2312" w:eastAsia="仿宋_GB2312"/>
          <w:b/>
          <w:sz w:val="28"/>
          <w:szCs w:val="28"/>
        </w:rPr>
        <w:t>±</w:t>
      </w:r>
      <w:r>
        <w:rPr>
          <w:rFonts w:ascii="仿宋_GB2312" w:eastAsia="仿宋_GB2312"/>
          <w:b/>
          <w:sz w:val="28"/>
          <w:szCs w:val="28"/>
        </w:rPr>
        <w:t>0.5% FS）、流量示值误差（0～10 L/min，</w:t>
      </w:r>
      <w:r>
        <w:rPr>
          <w:rFonts w:ascii="仿宋_GB2312" w:eastAsia="仿宋_GB2312"/>
          <w:b/>
          <w:sz w:val="28"/>
          <w:szCs w:val="28"/>
        </w:rPr>
        <w:t>±</w:t>
      </w:r>
      <w:r>
        <w:rPr>
          <w:rFonts w:ascii="仿宋_GB2312" w:eastAsia="仿宋_GB2312"/>
          <w:b/>
          <w:sz w:val="28"/>
          <w:szCs w:val="28"/>
        </w:rPr>
        <w:t>3.0% FS）、流量重复性（0～10 L/min，</w:t>
      </w:r>
      <w:r>
        <w:rPr>
          <w:rFonts w:ascii="仿宋_GB2312" w:eastAsia="仿宋_GB2312"/>
          <w:b/>
          <w:sz w:val="28"/>
          <w:szCs w:val="28"/>
        </w:rPr>
        <w:t>≤</w:t>
      </w:r>
      <w:r>
        <w:rPr>
          <w:rFonts w:ascii="仿宋_GB2312" w:eastAsia="仿宋_GB2312"/>
          <w:b/>
          <w:sz w:val="28"/>
          <w:szCs w:val="28"/>
        </w:rPr>
        <w:t>2.0%）、气体组分分析（依据客户要求，按相关标准规定）。</w:t>
      </w:r>
    </w:p>
    <w:p w14:paraId="34FFEE20" w14:textId="77777777" w:rsidR="00BB1C58" w:rsidRDefault="00000000">
      <w:pPr>
        <w:numPr>
          <w:ilvl w:val="0"/>
          <w:numId w:val="3"/>
        </w:numPr>
        <w:spacing w:beforeAutospacing="1" w:afterAutospacing="1"/>
        <w:rPr>
          <w:rFonts w:ascii="仿宋_GB2312" w:eastAsia="仿宋_GB2312"/>
          <w:b/>
          <w:sz w:val="28"/>
          <w:szCs w:val="28"/>
        </w:rPr>
      </w:pPr>
      <w:r>
        <w:rPr>
          <w:rFonts w:ascii="仿宋_GB2312" w:eastAsia="仿宋_GB2312"/>
          <w:b/>
          <w:sz w:val="28"/>
          <w:szCs w:val="28"/>
        </w:rPr>
        <w:t xml:space="preserve">校准条件： </w:t>
      </w:r>
    </w:p>
    <w:p w14:paraId="595F0044" w14:textId="77777777" w:rsidR="00BB1C58" w:rsidRDefault="00000000">
      <w:pPr>
        <w:spacing w:beforeAutospacing="1" w:afterAutospacing="1"/>
        <w:ind w:left="1080"/>
        <w:rPr>
          <w:rFonts w:ascii="仿宋_GB2312" w:eastAsia="仿宋_GB2312"/>
          <w:b/>
          <w:sz w:val="28"/>
          <w:szCs w:val="28"/>
        </w:rPr>
      </w:pPr>
      <w:r>
        <w:rPr>
          <w:rFonts w:ascii="仿宋_GB2312" w:eastAsia="仿宋_GB2312" w:hint="eastAsia"/>
          <w:b/>
          <w:sz w:val="28"/>
          <w:szCs w:val="28"/>
        </w:rPr>
        <w:t>（1）</w:t>
      </w:r>
      <w:r>
        <w:rPr>
          <w:rFonts w:ascii="仿宋_GB2312" w:eastAsia="仿宋_GB2312"/>
          <w:b/>
          <w:sz w:val="28"/>
          <w:szCs w:val="28"/>
        </w:rPr>
        <w:t>环境条件：温度15</w:t>
      </w:r>
      <w:r>
        <w:rPr>
          <w:rFonts w:ascii="仿宋_GB2312" w:eastAsia="仿宋_GB2312"/>
          <w:b/>
          <w:sz w:val="28"/>
          <w:szCs w:val="28"/>
        </w:rPr>
        <w:t>℃</w:t>
      </w:r>
      <w:r>
        <w:rPr>
          <w:rFonts w:ascii="仿宋_GB2312" w:eastAsia="仿宋_GB2312"/>
          <w:b/>
          <w:sz w:val="28"/>
          <w:szCs w:val="28"/>
        </w:rPr>
        <w:t>～35</w:t>
      </w:r>
      <w:r>
        <w:rPr>
          <w:rFonts w:ascii="仿宋_GB2312" w:eastAsia="仿宋_GB2312"/>
          <w:b/>
          <w:sz w:val="28"/>
          <w:szCs w:val="28"/>
        </w:rPr>
        <w:t>℃</w:t>
      </w:r>
      <w:r>
        <w:rPr>
          <w:rFonts w:ascii="仿宋_GB2312" w:eastAsia="仿宋_GB2312"/>
          <w:b/>
          <w:sz w:val="28"/>
          <w:szCs w:val="28"/>
        </w:rPr>
        <w:t>，相对湿度</w:t>
      </w:r>
      <w:r>
        <w:rPr>
          <w:rFonts w:ascii="仿宋_GB2312" w:eastAsia="仿宋_GB2312"/>
          <w:b/>
          <w:sz w:val="28"/>
          <w:szCs w:val="28"/>
        </w:rPr>
        <w:t>≤</w:t>
      </w:r>
      <w:r>
        <w:rPr>
          <w:rFonts w:ascii="仿宋_GB2312" w:eastAsia="仿宋_GB2312"/>
          <w:b/>
          <w:sz w:val="28"/>
          <w:szCs w:val="28"/>
        </w:rPr>
        <w:t>85%，大气压力86kPa～106kPa；</w:t>
      </w:r>
    </w:p>
    <w:p w14:paraId="2C9A04D9" w14:textId="77777777" w:rsidR="00BB1C58" w:rsidRDefault="00000000">
      <w:pPr>
        <w:spacing w:beforeAutospacing="1" w:afterAutospacing="1"/>
        <w:ind w:left="1080"/>
        <w:rPr>
          <w:rFonts w:ascii="仿宋_GB2312" w:eastAsia="仿宋_GB2312"/>
          <w:b/>
          <w:sz w:val="28"/>
          <w:szCs w:val="28"/>
        </w:rPr>
      </w:pPr>
      <w:r>
        <w:rPr>
          <w:rFonts w:ascii="仿宋_GB2312" w:eastAsia="仿宋_GB2312" w:hint="eastAsia"/>
          <w:b/>
          <w:sz w:val="28"/>
          <w:szCs w:val="28"/>
        </w:rPr>
        <w:lastRenderedPageBreak/>
        <w:t>（2）</w:t>
      </w:r>
      <w:r>
        <w:rPr>
          <w:rFonts w:ascii="仿宋_GB2312" w:eastAsia="仿宋_GB2312"/>
          <w:b/>
          <w:sz w:val="28"/>
          <w:szCs w:val="28"/>
        </w:rPr>
        <w:t>标准器：</w:t>
      </w:r>
      <w:r>
        <w:rPr>
          <w:rFonts w:ascii="仿宋_GB2312" w:eastAsia="仿宋_GB2312" w:hint="eastAsia"/>
          <w:b/>
          <w:sz w:val="28"/>
          <w:szCs w:val="28"/>
        </w:rPr>
        <w:t xml:space="preserve"> </w:t>
      </w:r>
      <w:r>
        <w:rPr>
          <w:rFonts w:ascii="仿宋_GB2312" w:eastAsia="仿宋_GB2312"/>
          <w:b/>
          <w:sz w:val="28"/>
          <w:szCs w:val="28"/>
        </w:rPr>
        <w:t>0.05级及以上数字压力计、1.0级及以上转子流量计、气相色谱仪、光腔衰荡水分分析仪、有证标准气体。</w:t>
      </w:r>
    </w:p>
    <w:p w14:paraId="2BB8D200" w14:textId="77777777" w:rsidR="00BB1C58" w:rsidRDefault="00000000">
      <w:pPr>
        <w:numPr>
          <w:ilvl w:val="0"/>
          <w:numId w:val="3"/>
        </w:numPr>
        <w:spacing w:beforeAutospacing="1" w:afterAutospacing="1"/>
        <w:rPr>
          <w:rFonts w:ascii="仿宋_GB2312" w:eastAsia="仿宋_GB2312"/>
          <w:b/>
          <w:sz w:val="28"/>
          <w:szCs w:val="28"/>
        </w:rPr>
      </w:pPr>
      <w:r>
        <w:rPr>
          <w:rFonts w:ascii="仿宋_GB2312" w:eastAsia="仿宋_GB2312"/>
          <w:b/>
          <w:sz w:val="28"/>
          <w:szCs w:val="28"/>
        </w:rPr>
        <w:t>校准项目：</w:t>
      </w:r>
    </w:p>
    <w:p w14:paraId="6C5D0351" w14:textId="77777777" w:rsidR="00BB1C58" w:rsidRDefault="00000000">
      <w:pPr>
        <w:spacing w:beforeAutospacing="1" w:afterAutospacing="1"/>
        <w:ind w:left="360" w:firstLineChars="200" w:firstLine="562"/>
        <w:rPr>
          <w:rFonts w:ascii="仿宋_GB2312" w:eastAsia="仿宋_GB2312"/>
          <w:b/>
          <w:sz w:val="28"/>
          <w:szCs w:val="28"/>
        </w:rPr>
      </w:pPr>
      <w:r>
        <w:rPr>
          <w:rFonts w:ascii="仿宋_GB2312" w:eastAsia="仿宋_GB2312"/>
          <w:b/>
          <w:sz w:val="28"/>
          <w:szCs w:val="28"/>
        </w:rPr>
        <w:t>压力示值误差、压力稳定性、流量示值误差、流量稳定性、流量重复性、气体组分纯度（含杂质及水分含量）。</w:t>
      </w:r>
    </w:p>
    <w:p w14:paraId="475538E8" w14:textId="77777777" w:rsidR="00BB1C58" w:rsidRDefault="00000000">
      <w:pPr>
        <w:numPr>
          <w:ilvl w:val="0"/>
          <w:numId w:val="3"/>
        </w:numPr>
        <w:spacing w:beforeAutospacing="1" w:afterAutospacing="1"/>
        <w:rPr>
          <w:rFonts w:ascii="仿宋_GB2312" w:eastAsia="仿宋_GB2312"/>
          <w:b/>
          <w:sz w:val="28"/>
          <w:szCs w:val="28"/>
        </w:rPr>
      </w:pPr>
      <w:r>
        <w:rPr>
          <w:rFonts w:ascii="仿宋_GB2312" w:eastAsia="仿宋_GB2312"/>
          <w:b/>
          <w:sz w:val="28"/>
          <w:szCs w:val="28"/>
        </w:rPr>
        <w:t xml:space="preserve">校准方法： </w:t>
      </w:r>
    </w:p>
    <w:p w14:paraId="2B74E723" w14:textId="77777777" w:rsidR="00BB1C58" w:rsidRDefault="00000000">
      <w:pPr>
        <w:spacing w:beforeAutospacing="1" w:afterAutospacing="1"/>
        <w:ind w:left="1080"/>
        <w:rPr>
          <w:rFonts w:ascii="仿宋_GB2312" w:eastAsia="仿宋_GB2312"/>
          <w:b/>
          <w:sz w:val="28"/>
          <w:szCs w:val="28"/>
        </w:rPr>
      </w:pPr>
      <w:r>
        <w:rPr>
          <w:rFonts w:ascii="仿宋_GB2312" w:eastAsia="仿宋_GB2312" w:hint="eastAsia"/>
          <w:b/>
          <w:sz w:val="28"/>
          <w:szCs w:val="28"/>
        </w:rPr>
        <w:t>（1）</w:t>
      </w:r>
      <w:r>
        <w:rPr>
          <w:rFonts w:ascii="仿宋_GB2312" w:eastAsia="仿宋_GB2312"/>
          <w:b/>
          <w:sz w:val="28"/>
          <w:szCs w:val="28"/>
        </w:rPr>
        <w:t>压力校准：采用标准压力计进行全量程点（含零点、满量程及中间点）直接比较法；</w:t>
      </w:r>
    </w:p>
    <w:p w14:paraId="3ED3EECD" w14:textId="77777777" w:rsidR="00BB1C58" w:rsidRDefault="00000000">
      <w:pPr>
        <w:spacing w:beforeAutospacing="1" w:afterAutospacing="1"/>
        <w:ind w:left="1080"/>
        <w:rPr>
          <w:rFonts w:ascii="仿宋_GB2312" w:eastAsia="仿宋_GB2312"/>
          <w:b/>
          <w:sz w:val="28"/>
          <w:szCs w:val="28"/>
        </w:rPr>
      </w:pPr>
      <w:r>
        <w:rPr>
          <w:rFonts w:ascii="仿宋_GB2312" w:eastAsia="仿宋_GB2312" w:hint="eastAsia"/>
          <w:b/>
          <w:sz w:val="28"/>
          <w:szCs w:val="28"/>
        </w:rPr>
        <w:t>（2）</w:t>
      </w:r>
      <w:r>
        <w:rPr>
          <w:rFonts w:ascii="仿宋_GB2312" w:eastAsia="仿宋_GB2312"/>
          <w:b/>
          <w:sz w:val="28"/>
          <w:szCs w:val="28"/>
        </w:rPr>
        <w:t>流量校准：使用气体流量计进行多工况测试（含不同负载下流量稳定性验证），验证控制系统线性调节精度；</w:t>
      </w:r>
    </w:p>
    <w:p w14:paraId="637CF414" w14:textId="77777777" w:rsidR="00BB1C58" w:rsidRDefault="00000000">
      <w:pPr>
        <w:spacing w:beforeAutospacing="1" w:afterAutospacing="1"/>
        <w:ind w:left="1080"/>
        <w:rPr>
          <w:rFonts w:ascii="仿宋_GB2312" w:eastAsia="仿宋_GB2312"/>
          <w:b/>
          <w:sz w:val="28"/>
          <w:szCs w:val="28"/>
        </w:rPr>
      </w:pPr>
      <w:r>
        <w:rPr>
          <w:rFonts w:ascii="仿宋_GB2312" w:eastAsia="仿宋_GB2312" w:hint="eastAsia"/>
          <w:b/>
          <w:sz w:val="28"/>
          <w:szCs w:val="28"/>
        </w:rPr>
        <w:t>（3）</w:t>
      </w:r>
      <w:r>
        <w:rPr>
          <w:rFonts w:ascii="仿宋_GB2312" w:eastAsia="仿宋_GB2312"/>
          <w:b/>
          <w:sz w:val="28"/>
          <w:szCs w:val="28"/>
        </w:rPr>
        <w:t>纯度检验：气相色谱法检测气体成分比例及杂质，露点仪检测气体含水量。</w:t>
      </w:r>
    </w:p>
    <w:p w14:paraId="4BAC99A7" w14:textId="77777777" w:rsidR="00BB1C58" w:rsidRDefault="00000000">
      <w:pPr>
        <w:numPr>
          <w:ilvl w:val="0"/>
          <w:numId w:val="3"/>
        </w:numPr>
        <w:spacing w:beforeAutospacing="1" w:afterAutospacing="1"/>
        <w:rPr>
          <w:rFonts w:ascii="仿宋_GB2312" w:eastAsia="仿宋_GB2312"/>
          <w:b/>
          <w:sz w:val="28"/>
          <w:szCs w:val="28"/>
        </w:rPr>
      </w:pPr>
      <w:r>
        <w:rPr>
          <w:rFonts w:ascii="仿宋_GB2312" w:eastAsia="仿宋_GB2312"/>
          <w:b/>
          <w:sz w:val="28"/>
          <w:szCs w:val="28"/>
        </w:rPr>
        <w:t>校准结果的表达：</w:t>
      </w:r>
    </w:p>
    <w:p w14:paraId="378F7535" w14:textId="77777777" w:rsidR="00BB1C58" w:rsidRDefault="00000000">
      <w:pPr>
        <w:spacing w:beforeAutospacing="1" w:afterAutospacing="1"/>
        <w:ind w:left="360" w:firstLineChars="300" w:firstLine="843"/>
        <w:rPr>
          <w:rFonts w:ascii="仿宋_GB2312" w:eastAsia="仿宋_GB2312"/>
          <w:b/>
          <w:sz w:val="28"/>
          <w:szCs w:val="28"/>
        </w:rPr>
      </w:pPr>
      <w:r>
        <w:rPr>
          <w:rFonts w:ascii="仿宋_GB2312" w:eastAsia="仿宋_GB2312"/>
          <w:b/>
          <w:sz w:val="28"/>
          <w:szCs w:val="28"/>
        </w:rPr>
        <w:t>按校准项目给出实测值、示值误差、重复性等结果，出具校准证书，包含测量不确定度说明及标准器溯源信息。</w:t>
      </w:r>
    </w:p>
    <w:p w14:paraId="15904E6B" w14:textId="77777777" w:rsidR="00BB1C58" w:rsidRDefault="00BB1C58">
      <w:pPr>
        <w:ind w:firstLineChars="200" w:firstLine="562"/>
        <w:rPr>
          <w:rFonts w:ascii="仿宋_GB2312" w:eastAsia="仿宋_GB2312"/>
          <w:b/>
          <w:sz w:val="28"/>
          <w:szCs w:val="28"/>
        </w:rPr>
      </w:pPr>
    </w:p>
    <w:p w14:paraId="5C1D2261" w14:textId="77777777" w:rsidR="00BB1C58" w:rsidRDefault="00000000">
      <w:pPr>
        <w:pStyle w:val="3"/>
        <w:spacing w:line="240" w:lineRule="auto"/>
      </w:pPr>
      <w:r>
        <w:rPr>
          <w:rFonts w:hint="eastAsia"/>
        </w:rPr>
        <w:t>三、编写依据</w:t>
      </w:r>
    </w:p>
    <w:p w14:paraId="64BCD654" w14:textId="77777777" w:rsidR="00BB1C58" w:rsidRDefault="00000000">
      <w:pPr>
        <w:pStyle w:val="a7"/>
        <w:spacing w:line="400" w:lineRule="exact"/>
        <w:ind w:firstLine="562"/>
        <w:rPr>
          <w:rFonts w:ascii="仿宋_GB2312" w:eastAsia="仿宋_GB2312" w:hAnsi="Arial" w:cs="Arial"/>
          <w:b/>
          <w:snapToGrid w:val="0"/>
          <w:color w:val="000000"/>
          <w:sz w:val="28"/>
          <w:szCs w:val="28"/>
        </w:rPr>
      </w:pPr>
      <w:r>
        <w:rPr>
          <w:rFonts w:ascii="仿宋_GB2312" w:eastAsia="仿宋_GB2312" w:hAnsi="Arial" w:cs="Arial"/>
          <w:b/>
          <w:snapToGrid w:val="0"/>
          <w:color w:val="000000"/>
          <w:sz w:val="28"/>
          <w:szCs w:val="28"/>
        </w:rPr>
        <w:t>本规范是以JJF1071-2010《国家计量校准规范编写规则》、</w:t>
      </w:r>
      <w:r>
        <w:rPr>
          <w:rFonts w:ascii="仿宋_GB2312" w:eastAsia="仿宋_GB2312" w:hAnsi="Arial" w:cs="Arial" w:hint="eastAsia"/>
          <w:b/>
          <w:snapToGrid w:val="0"/>
          <w:color w:val="000000"/>
          <w:sz w:val="28"/>
          <w:szCs w:val="28"/>
        </w:rPr>
        <w:t>JJF1007-2007《温度计量名词术语及定义》、</w:t>
      </w:r>
      <w:r>
        <w:rPr>
          <w:rFonts w:ascii="仿宋_GB2312" w:eastAsia="仿宋_GB2312" w:hAnsi="Arial" w:cs="Arial"/>
          <w:b/>
          <w:snapToGrid w:val="0"/>
          <w:color w:val="000000"/>
          <w:sz w:val="28"/>
          <w:szCs w:val="28"/>
        </w:rPr>
        <w:t>JJF1001-2011《通用计量术语及定义》和JJF1059.1-2012《测量不确定度评定与表示》为基础性系列规范进行编写。</w:t>
      </w:r>
    </w:p>
    <w:p w14:paraId="3B772E5B" w14:textId="77777777" w:rsidR="00BB1C58" w:rsidRDefault="00000000">
      <w:pPr>
        <w:spacing w:line="360" w:lineRule="auto"/>
        <w:ind w:firstLineChars="200" w:firstLine="562"/>
        <w:rPr>
          <w:rFonts w:ascii="仿宋_GB2312" w:eastAsia="仿宋_GB2312"/>
          <w:b/>
          <w:sz w:val="28"/>
          <w:szCs w:val="28"/>
        </w:rPr>
      </w:pPr>
      <w:r>
        <w:rPr>
          <w:rFonts w:ascii="仿宋_GB2312" w:eastAsia="仿宋_GB2312" w:hint="eastAsia"/>
          <w:b/>
          <w:sz w:val="28"/>
          <w:szCs w:val="28"/>
        </w:rPr>
        <w:t>本规范包含了对气体发生器压力、流量、组分的计量要求和具体校准项目。计量性能主要包括压力示值误差、压力稳定性、流量示值误差、流量稳定性、组分分析的具体要求。</w:t>
      </w:r>
    </w:p>
    <w:p w14:paraId="663A2ABA" w14:textId="77777777" w:rsidR="00BB1C58" w:rsidRDefault="00BB1C58">
      <w:pPr>
        <w:rPr>
          <w:rFonts w:ascii="仿宋_GB2312" w:eastAsia="仿宋_GB2312"/>
          <w:b/>
          <w:sz w:val="28"/>
          <w:szCs w:val="28"/>
        </w:rPr>
      </w:pPr>
    </w:p>
    <w:p w14:paraId="60862152" w14:textId="77777777" w:rsidR="00BB1C58" w:rsidRDefault="00BB1C58">
      <w:pPr>
        <w:rPr>
          <w:rFonts w:ascii="仿宋_GB2312" w:eastAsia="仿宋_GB2312"/>
          <w:b/>
          <w:sz w:val="28"/>
          <w:szCs w:val="28"/>
        </w:rPr>
      </w:pPr>
    </w:p>
    <w:p w14:paraId="14B93B61" w14:textId="77777777" w:rsidR="00BB1C58" w:rsidRDefault="00BB1C58">
      <w:pPr>
        <w:rPr>
          <w:rFonts w:ascii="仿宋_GB2312" w:eastAsia="仿宋_GB2312"/>
          <w:b/>
          <w:sz w:val="28"/>
          <w:szCs w:val="28"/>
        </w:rPr>
      </w:pPr>
    </w:p>
    <w:p w14:paraId="2127C3FE" w14:textId="77777777" w:rsidR="00BB1C58" w:rsidRDefault="00BB1C58">
      <w:pPr>
        <w:rPr>
          <w:rFonts w:ascii="仿宋_GB2312" w:eastAsia="仿宋_GB2312"/>
          <w:b/>
          <w:sz w:val="28"/>
          <w:szCs w:val="28"/>
        </w:rPr>
      </w:pPr>
    </w:p>
    <w:p w14:paraId="0D96B341" w14:textId="77777777" w:rsidR="00BB1C58" w:rsidRDefault="00BB1C58">
      <w:pPr>
        <w:spacing w:before="120" w:after="100" w:afterAutospacing="1" w:line="240" w:lineRule="exact"/>
        <w:rPr>
          <w:b/>
          <w:sz w:val="32"/>
        </w:rPr>
      </w:pPr>
    </w:p>
    <w:p w14:paraId="69677F21" w14:textId="77777777" w:rsidR="00BB1C58" w:rsidRDefault="00000000">
      <w:pPr>
        <w:spacing w:before="120" w:after="100" w:afterAutospacing="1" w:line="360" w:lineRule="auto"/>
        <w:rPr>
          <w:rFonts w:ascii="仿宋_GB2312" w:eastAsia="仿宋_GB2312"/>
          <w:b/>
          <w:sz w:val="28"/>
          <w:szCs w:val="28"/>
        </w:rPr>
      </w:pPr>
      <w:r>
        <w:rPr>
          <w:rFonts w:hint="eastAsia"/>
          <w:b/>
          <w:sz w:val="32"/>
        </w:rPr>
        <w:lastRenderedPageBreak/>
        <w:t>四、项目完成后所产生的社会效益和经济效益的预测分析：</w:t>
      </w:r>
    </w:p>
    <w:p w14:paraId="42850FDF" w14:textId="77777777" w:rsidR="00BB1C58" w:rsidRDefault="00000000">
      <w:pPr>
        <w:spacing w:line="360" w:lineRule="auto"/>
        <w:ind w:firstLineChars="200" w:firstLine="562"/>
        <w:rPr>
          <w:rFonts w:ascii="仿宋_GB2312" w:eastAsia="仿宋_GB2312"/>
          <w:b/>
          <w:sz w:val="28"/>
          <w:szCs w:val="28"/>
        </w:rPr>
      </w:pPr>
      <w:r>
        <w:rPr>
          <w:rFonts w:ascii="仿宋_GB2312" w:eastAsia="仿宋_GB2312" w:hint="eastAsia"/>
          <w:b/>
          <w:sz w:val="28"/>
          <w:szCs w:val="28"/>
        </w:rPr>
        <w:t>项目完成后，气体发生器的校准结果可信度将得到显著提升，为氢能产业安全生产、科研实验数据可靠性提供有力保障，同时为政府监管部门提供科学合规的技术依据，助力吉林省氢能产业规范化发展。</w:t>
      </w:r>
      <w:r>
        <w:rPr>
          <w:rFonts w:ascii="仿宋_GB2312" w:eastAsia="仿宋_GB2312"/>
          <w:b/>
          <w:sz w:val="28"/>
          <w:szCs w:val="28"/>
        </w:rPr>
        <w:br/>
      </w:r>
      <w:r>
        <w:rPr>
          <w:rFonts w:ascii="仿宋_GB2312" w:eastAsia="仿宋_GB2312" w:hint="eastAsia"/>
          <w:b/>
          <w:sz w:val="28"/>
          <w:szCs w:val="28"/>
        </w:rPr>
        <w:t xml:space="preserve">   规范发布后，</w:t>
      </w:r>
      <w:r>
        <w:rPr>
          <w:rFonts w:ascii="仿宋_GB2312" w:eastAsia="仿宋_GB2312"/>
          <w:b/>
          <w:sz w:val="28"/>
          <w:szCs w:val="28"/>
        </w:rPr>
        <w:t>该类仪器将拥有统一的地方校准依据，对全省气体发生器校准工作具有明确指导意义。规范实施后，可实现压力、流量、纯度等关键参数的全链条量值溯源，不仅保障了工业生产和科研领域的计量准确性，还将提升吉林省在氢能技术领域的市场竞争力，在产生显著社会效益的同时创造一定的经济效益。</w:t>
      </w:r>
      <w:r>
        <w:rPr>
          <w:rFonts w:ascii="仿宋_GB2312" w:eastAsia="仿宋_GB2312"/>
          <w:b/>
          <w:sz w:val="28"/>
          <w:szCs w:val="28"/>
        </w:rPr>
        <w:br/>
      </w:r>
      <w:r>
        <w:rPr>
          <w:rFonts w:ascii="仿宋_GB2312" w:eastAsia="仿宋_GB2312" w:hint="eastAsia"/>
          <w:b/>
          <w:sz w:val="28"/>
          <w:szCs w:val="28"/>
        </w:rPr>
        <w:t xml:space="preserve">   </w:t>
      </w:r>
      <w:r>
        <w:rPr>
          <w:rFonts w:ascii="仿宋_GB2312" w:eastAsia="仿宋_GB2312"/>
          <w:b/>
          <w:sz w:val="28"/>
          <w:szCs w:val="28"/>
        </w:rPr>
        <w:t>目前，吉林省气体发生器市场需求呈快速增长趋势，预计年服务客户20家，年校准台件50台，可实现经济效益约5万元。</w:t>
      </w:r>
    </w:p>
    <w:p w14:paraId="05BEB3A9" w14:textId="77777777" w:rsidR="00BB1C58" w:rsidRDefault="00BB1C58">
      <w:pPr>
        <w:spacing w:line="360" w:lineRule="auto"/>
        <w:ind w:firstLineChars="200" w:firstLine="562"/>
        <w:rPr>
          <w:rFonts w:ascii="仿宋_GB2312" w:eastAsia="仿宋_GB2312"/>
          <w:b/>
          <w:sz w:val="28"/>
          <w:szCs w:val="28"/>
        </w:rPr>
      </w:pPr>
    </w:p>
    <w:sectPr w:rsidR="00BB1C58">
      <w:pgSz w:w="12240" w:h="15840"/>
      <w:pgMar w:top="1346" w:right="1471" w:bottom="0" w:left="1449"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4AC51" w14:textId="77777777" w:rsidR="00D30BC2" w:rsidRDefault="00D30BC2">
      <w:r>
        <w:separator/>
      </w:r>
    </w:p>
  </w:endnote>
  <w:endnote w:type="continuationSeparator" w:id="0">
    <w:p w14:paraId="48D9A04C" w14:textId="77777777" w:rsidR="00D30BC2" w:rsidRDefault="00D30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方正仿宋_GBK"/>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5A9A3" w14:textId="77777777" w:rsidR="00D30BC2" w:rsidRDefault="00D30BC2">
      <w:r>
        <w:separator/>
      </w:r>
    </w:p>
  </w:footnote>
  <w:footnote w:type="continuationSeparator" w:id="0">
    <w:p w14:paraId="49E68E21" w14:textId="77777777" w:rsidR="00D30BC2" w:rsidRDefault="00D30B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7F663B6"/>
    <w:multiLevelType w:val="singleLevel"/>
    <w:tmpl w:val="B7F663B6"/>
    <w:lvl w:ilvl="0">
      <w:start w:val="1"/>
      <w:numFmt w:val="chineseCounting"/>
      <w:suff w:val="nothing"/>
      <w:lvlText w:val="%1、"/>
      <w:lvlJc w:val="left"/>
      <w:rPr>
        <w:rFonts w:hint="eastAsia"/>
      </w:rPr>
    </w:lvl>
  </w:abstractNum>
  <w:abstractNum w:abstractNumId="1" w15:restartNumberingAfterBreak="0">
    <w:nsid w:val="CD636B08"/>
    <w:multiLevelType w:val="multilevel"/>
    <w:tmpl w:val="CD636B08"/>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2" w15:restartNumberingAfterBreak="0">
    <w:nsid w:val="00000004"/>
    <w:multiLevelType w:val="multilevel"/>
    <w:tmpl w:val="00000004"/>
    <w:lvl w:ilvl="0">
      <w:start w:val="2"/>
      <w:numFmt w:val="decimal"/>
      <w:pStyle w:val="dir1"/>
      <w:lvlText w:val="%1、"/>
      <w:lvlJc w:val="left"/>
      <w:pPr>
        <w:tabs>
          <w:tab w:val="left" w:pos="363"/>
        </w:tabs>
        <w:ind w:left="363" w:hanging="360"/>
      </w:pPr>
      <w:rPr>
        <w:rFonts w:hint="default"/>
      </w:rPr>
    </w:lvl>
    <w:lvl w:ilvl="1">
      <w:start w:val="1"/>
      <w:numFmt w:val="lowerLetter"/>
      <w:lvlText w:val="%2)"/>
      <w:lvlJc w:val="left"/>
      <w:pPr>
        <w:tabs>
          <w:tab w:val="left" w:pos="843"/>
        </w:tabs>
        <w:ind w:left="843" w:hanging="420"/>
      </w:pPr>
    </w:lvl>
    <w:lvl w:ilvl="2">
      <w:start w:val="1"/>
      <w:numFmt w:val="lowerRoman"/>
      <w:lvlText w:val="%3."/>
      <w:lvlJc w:val="right"/>
      <w:pPr>
        <w:tabs>
          <w:tab w:val="left" w:pos="1263"/>
        </w:tabs>
        <w:ind w:left="1263" w:hanging="420"/>
      </w:pPr>
    </w:lvl>
    <w:lvl w:ilvl="3">
      <w:start w:val="1"/>
      <w:numFmt w:val="decimal"/>
      <w:lvlText w:val="%4."/>
      <w:lvlJc w:val="left"/>
      <w:pPr>
        <w:tabs>
          <w:tab w:val="left" w:pos="1683"/>
        </w:tabs>
        <w:ind w:left="1683" w:hanging="420"/>
      </w:pPr>
    </w:lvl>
    <w:lvl w:ilvl="4">
      <w:start w:val="1"/>
      <w:numFmt w:val="lowerLetter"/>
      <w:lvlText w:val="%5)"/>
      <w:lvlJc w:val="left"/>
      <w:pPr>
        <w:tabs>
          <w:tab w:val="left" w:pos="2103"/>
        </w:tabs>
        <w:ind w:left="2103" w:hanging="420"/>
      </w:pPr>
    </w:lvl>
    <w:lvl w:ilvl="5">
      <w:start w:val="1"/>
      <w:numFmt w:val="lowerRoman"/>
      <w:lvlText w:val="%6."/>
      <w:lvlJc w:val="right"/>
      <w:pPr>
        <w:tabs>
          <w:tab w:val="left" w:pos="2523"/>
        </w:tabs>
        <w:ind w:left="2523" w:hanging="420"/>
      </w:pPr>
    </w:lvl>
    <w:lvl w:ilvl="6">
      <w:start w:val="1"/>
      <w:numFmt w:val="decimal"/>
      <w:lvlText w:val="%7."/>
      <w:lvlJc w:val="left"/>
      <w:pPr>
        <w:tabs>
          <w:tab w:val="left" w:pos="2943"/>
        </w:tabs>
        <w:ind w:left="2943" w:hanging="420"/>
      </w:pPr>
    </w:lvl>
    <w:lvl w:ilvl="7">
      <w:start w:val="1"/>
      <w:numFmt w:val="lowerLetter"/>
      <w:lvlText w:val="%8)"/>
      <w:lvlJc w:val="left"/>
      <w:pPr>
        <w:tabs>
          <w:tab w:val="left" w:pos="3363"/>
        </w:tabs>
        <w:ind w:left="3363" w:hanging="420"/>
      </w:pPr>
    </w:lvl>
    <w:lvl w:ilvl="8">
      <w:start w:val="1"/>
      <w:numFmt w:val="lowerRoman"/>
      <w:lvlText w:val="%9."/>
      <w:lvlJc w:val="right"/>
      <w:pPr>
        <w:tabs>
          <w:tab w:val="left" w:pos="3783"/>
        </w:tabs>
        <w:ind w:left="3783" w:hanging="420"/>
      </w:pPr>
    </w:lvl>
  </w:abstractNum>
  <w:num w:numId="1" w16cid:durableId="646323615">
    <w:abstractNumId w:val="2"/>
  </w:num>
  <w:num w:numId="2" w16cid:durableId="983971945">
    <w:abstractNumId w:val="0"/>
  </w:num>
  <w:num w:numId="3" w16cid:durableId="2404089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420"/>
  <w:noPunctuationKerning/>
  <w:characterSpacingControl w:val="doNotCompress"/>
  <w:hdrShapeDefaults>
    <o:shapedefaults v:ext="edit" spidmax="2050"/>
  </w:hdrShapeDefaults>
  <w:footnotePr>
    <w:footnote w:id="-1"/>
    <w:footnote w:id="0"/>
  </w:footnotePr>
  <w:endnotePr>
    <w:endnote w:id="-1"/>
    <w:endnote w:id="0"/>
  </w:endnotePr>
  <w:compat>
    <w:spaceForUL/>
    <w:ulTrailSpace/>
    <w:doNotExpandShiftReturn/>
    <w:doNotWrapTextWithPunct/>
    <w:doNotUseEastAsianBreakRules/>
    <w:useFELayout/>
    <w:compatSetting w:name="compatibilityMode" w:uri="http://schemas.microsoft.com/office/word" w:val="14"/>
    <w:compatSetting w:name="useWord2013TrackBottomHyphenation" w:uri="http://schemas.microsoft.com/office/word" w:val="1"/>
  </w:compat>
  <w:docVars>
    <w:docVar w:name="commondata" w:val="eyJoZGlkIjoiMWMxYTBmM2ExNDA5MTI5NmEwNjA4YTk5MmRmY2Y2MzgifQ=="/>
  </w:docVars>
  <w:rsids>
    <w:rsidRoot w:val="00BB1C58"/>
    <w:rsid w:val="0041422F"/>
    <w:rsid w:val="00BB1C58"/>
    <w:rsid w:val="00D30BC2"/>
    <w:rsid w:val="00D45619"/>
    <w:rsid w:val="095F2235"/>
    <w:rsid w:val="122739C7"/>
    <w:rsid w:val="4B300F0E"/>
    <w:rsid w:val="52A20264"/>
    <w:rsid w:val="68157A20"/>
    <w:rsid w:val="694C1F06"/>
    <w:rsid w:val="6EB14D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6BD470"/>
  <w15:docId w15:val="{D2990EE0-CA41-45B9-B0DA-B59F38A55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kinsoku w:val="0"/>
      <w:autoSpaceDE w:val="0"/>
      <w:autoSpaceDN w:val="0"/>
      <w:adjustRightInd w:val="0"/>
      <w:snapToGrid w:val="0"/>
      <w:textAlignment w:val="baseline"/>
    </w:pPr>
    <w:rPr>
      <w:rFonts w:ascii="Arial" w:eastAsia="Arial" w:hAnsi="Arial" w:cs="Arial"/>
      <w:snapToGrid w:val="0"/>
      <w:color w:val="000000"/>
      <w:sz w:val="21"/>
      <w:szCs w:val="21"/>
    </w:rPr>
  </w:style>
  <w:style w:type="paragraph" w:styleId="1">
    <w:name w:val="heading 1"/>
    <w:basedOn w:val="a"/>
    <w:next w:val="a"/>
    <w:link w:val="10"/>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eastAsia="黑体"/>
      <w:b/>
      <w:sz w:val="32"/>
    </w:rPr>
  </w:style>
  <w:style w:type="paragraph" w:styleId="3">
    <w:name w:val="heading 3"/>
    <w:basedOn w:val="a"/>
    <w:next w:val="a"/>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tyle>
  <w:style w:type="paragraph" w:styleId="a4">
    <w:name w:val="Normal (Web)"/>
    <w:basedOn w:val="a"/>
    <w:pPr>
      <w:spacing w:beforeAutospacing="1" w:afterAutospacing="1"/>
    </w:pPr>
    <w:rPr>
      <w:rFonts w:cs="Times New Roman"/>
      <w:sz w:val="24"/>
    </w:rPr>
  </w:style>
  <w:style w:type="character" w:styleId="a5">
    <w:name w:val="Strong"/>
    <w:basedOn w:val="a0"/>
    <w:qFormat/>
    <w:rPr>
      <w:b/>
    </w:rPr>
  </w:style>
  <w:style w:type="character" w:styleId="a6">
    <w:name w:val="annotation reference"/>
    <w:rPr>
      <w:sz w:val="21"/>
    </w:rPr>
  </w:style>
  <w:style w:type="table" w:customStyle="1" w:styleId="TableNormal">
    <w:name w:val="Table Normal"/>
    <w:semiHidden/>
    <w:unhideWhenUsed/>
    <w:qFormat/>
    <w:tblPr>
      <w:tblCellMar>
        <w:top w:w="0" w:type="dxa"/>
        <w:left w:w="0" w:type="dxa"/>
        <w:bottom w:w="0" w:type="dxa"/>
        <w:right w:w="0" w:type="dxa"/>
      </w:tblCellMar>
    </w:tblPr>
  </w:style>
  <w:style w:type="character" w:customStyle="1" w:styleId="10">
    <w:name w:val="标题 1 字符"/>
    <w:link w:val="1"/>
    <w:qFormat/>
    <w:rPr>
      <w:b/>
      <w:kern w:val="44"/>
      <w:sz w:val="44"/>
    </w:rPr>
  </w:style>
  <w:style w:type="paragraph" w:customStyle="1" w:styleId="a7">
    <w:name w:val="段"/>
    <w:pPr>
      <w:autoSpaceDE w:val="0"/>
      <w:autoSpaceDN w:val="0"/>
      <w:ind w:firstLineChars="200" w:firstLine="200"/>
      <w:jc w:val="both"/>
    </w:pPr>
    <w:rPr>
      <w:rFonts w:ascii="宋体"/>
      <w:sz w:val="21"/>
    </w:rPr>
  </w:style>
  <w:style w:type="paragraph" w:customStyle="1" w:styleId="dir1">
    <w:name w:val="dir1"/>
    <w:basedOn w:val="a"/>
    <w:qFormat/>
    <w:pPr>
      <w:numPr>
        <w:numId w:val="1"/>
      </w:numPr>
      <w:tabs>
        <w:tab w:val="left" w:pos="580"/>
      </w:tabs>
      <w:spacing w:line="500" w:lineRule="exact"/>
    </w:pPr>
    <w:rPr>
      <w:rFonts w:ascii="黑体" w:eastAsia="黑体"/>
      <w:b/>
      <w:sz w:val="24"/>
      <w:szCs w:val="24"/>
    </w:rPr>
  </w:style>
  <w:style w:type="paragraph" w:styleId="a8">
    <w:name w:val="header"/>
    <w:basedOn w:val="a"/>
    <w:link w:val="a9"/>
    <w:rsid w:val="00D45619"/>
    <w:pPr>
      <w:tabs>
        <w:tab w:val="center" w:pos="4153"/>
        <w:tab w:val="right" w:pos="8306"/>
      </w:tabs>
      <w:jc w:val="center"/>
    </w:pPr>
    <w:rPr>
      <w:sz w:val="18"/>
      <w:szCs w:val="18"/>
    </w:rPr>
  </w:style>
  <w:style w:type="character" w:customStyle="1" w:styleId="a9">
    <w:name w:val="页眉 字符"/>
    <w:basedOn w:val="a0"/>
    <w:link w:val="a8"/>
    <w:rsid w:val="00D45619"/>
    <w:rPr>
      <w:rFonts w:ascii="Arial" w:eastAsia="Arial" w:hAnsi="Arial" w:cs="Arial"/>
      <w:snapToGrid w:val="0"/>
      <w:color w:val="000000"/>
      <w:sz w:val="18"/>
      <w:szCs w:val="18"/>
    </w:rPr>
  </w:style>
  <w:style w:type="paragraph" w:styleId="aa">
    <w:name w:val="footer"/>
    <w:basedOn w:val="a"/>
    <w:link w:val="ab"/>
    <w:rsid w:val="00D45619"/>
    <w:pPr>
      <w:tabs>
        <w:tab w:val="center" w:pos="4153"/>
        <w:tab w:val="right" w:pos="8306"/>
      </w:tabs>
    </w:pPr>
    <w:rPr>
      <w:sz w:val="18"/>
      <w:szCs w:val="18"/>
    </w:rPr>
  </w:style>
  <w:style w:type="character" w:customStyle="1" w:styleId="ab">
    <w:name w:val="页脚 字符"/>
    <w:basedOn w:val="a0"/>
    <w:link w:val="aa"/>
    <w:rsid w:val="00D45619"/>
    <w:rPr>
      <w:rFonts w:ascii="Arial" w:eastAsia="Arial" w:hAnsi="Arial" w:cs="Arial"/>
      <w:snapToGrid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taSourceCollection xmlns="http://www.yonyou.com/datasource"/>
</file>

<file path=customXml/item2.xml><?xml version="1.0" encoding="utf-8"?>
<relations xmlns="http://www.yonyou.com/relation"/>
</file>

<file path=customXml/itemProps1.xml><?xml version="1.0" encoding="utf-8"?>
<ds:datastoreItem xmlns:ds="http://schemas.openxmlformats.org/officeDocument/2006/customXml" ds:itemID="{945DB07C-E416-4E0C-A043-79816938FDBA}">
  <ds:schemaRefs>
    <ds:schemaRef ds:uri="http://www.yonyou.com/datasource"/>
  </ds:schemaRefs>
</ds:datastoreItem>
</file>

<file path=customXml/itemProps2.xml><?xml version="1.0" encoding="utf-8"?>
<ds:datastoreItem xmlns:ds="http://schemas.openxmlformats.org/officeDocument/2006/customXml" ds:itemID="{3234DD81-1482-4C3C-814A-24DBD55F899F}">
  <ds:schemaRefs>
    <ds:schemaRef ds:uri="http://www.yonyou.com/relation"/>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233</Words>
  <Characters>1329</Characters>
  <Application>Microsoft Office Word</Application>
  <DocSecurity>0</DocSecurity>
  <Lines>11</Lines>
  <Paragraphs>3</Paragraphs>
  <ScaleCrop>false</ScaleCrop>
  <Company/>
  <LinksUpToDate>false</LinksUpToDate>
  <CharactersWithSpaces>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chingg</dc:creator>
  <cp:lastModifiedBy>钱俊如</cp:lastModifiedBy>
  <cp:revision>2</cp:revision>
  <dcterms:created xsi:type="dcterms:W3CDTF">2015-09-10T12:09:00Z</dcterms:created>
  <dcterms:modified xsi:type="dcterms:W3CDTF">2025-09-04T01:43:00Z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2022-06-07T09:51:46Z</vt:filetime>
  </property>
  <property fmtid="{D5CDD505-2E9C-101B-9397-08002B2CF9AE}" pid="4" name="KSOProductBuildVer">
    <vt:lpwstr>2052-12.1.0.22529</vt:lpwstr>
  </property>
  <property fmtid="{D5CDD505-2E9C-101B-9397-08002B2CF9AE}" pid="5" name="ICV">
    <vt:lpwstr>9D8032F5555340D388886EC1D64799F1_13</vt:lpwstr>
  </property>
  <property fmtid="{D5CDD505-2E9C-101B-9397-08002B2CF9AE}" pid="6" name="KSOTemplateDocerSaveRecord">
    <vt:lpwstr>eyJoZGlkIjoiOGQxNzBlMDY1N2IxZTVhNTJiYzgyY2UxZGRiOWVkNzUiLCJ1c2VySWQiOiIzNzA1OTgxNTAifQ==</vt:lpwstr>
  </property>
</Properties>
</file>