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E8F1" w14:textId="77777777" w:rsidR="0053356A" w:rsidRDefault="0053356A" w:rsidP="0053356A">
      <w:pPr>
        <w:spacing w:line="288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14:paraId="0267090F" w14:textId="77777777" w:rsidR="0053356A" w:rsidRDefault="0053356A" w:rsidP="0053356A">
      <w:pPr>
        <w:spacing w:line="288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14:paraId="7FA22066" w14:textId="5EA53174" w:rsidR="0085542D" w:rsidRPr="0053356A" w:rsidRDefault="0085542D" w:rsidP="004E5EA7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53356A">
        <w:rPr>
          <w:rFonts w:ascii="Times New Roman" w:eastAsia="宋体" w:hAnsi="Times New Roman" w:cs="Times New Roman"/>
          <w:b/>
          <w:sz w:val="44"/>
          <w:szCs w:val="44"/>
        </w:rPr>
        <w:t>JJF XXXX-202X</w:t>
      </w:r>
    </w:p>
    <w:p w14:paraId="5FB520E6" w14:textId="009875C5" w:rsidR="0085542D" w:rsidRPr="0053356A" w:rsidRDefault="0085542D" w:rsidP="004E5EA7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53356A">
        <w:rPr>
          <w:rFonts w:ascii="Times New Roman" w:eastAsia="宋体" w:hAnsi="Times New Roman" w:cs="Times New Roman"/>
          <w:b/>
          <w:sz w:val="44"/>
          <w:szCs w:val="44"/>
        </w:rPr>
        <w:t>《</w:t>
      </w:r>
      <w:r w:rsidR="00DA2B0D" w:rsidRPr="0053356A">
        <w:rPr>
          <w:rFonts w:ascii="Times New Roman" w:eastAsia="宋体" w:hAnsi="Times New Roman" w:cs="Times New Roman"/>
          <w:b/>
          <w:sz w:val="44"/>
          <w:szCs w:val="44"/>
        </w:rPr>
        <w:t>企业</w:t>
      </w:r>
      <w:r w:rsidR="009A653B">
        <w:rPr>
          <w:rFonts w:ascii="Times New Roman" w:eastAsia="宋体" w:hAnsi="Times New Roman" w:cs="Times New Roman" w:hint="eastAsia"/>
          <w:b/>
          <w:sz w:val="44"/>
          <w:szCs w:val="44"/>
        </w:rPr>
        <w:t>温室气体</w:t>
      </w:r>
      <w:r w:rsidR="00DA2B0D" w:rsidRPr="0053356A">
        <w:rPr>
          <w:rFonts w:ascii="Times New Roman" w:eastAsia="宋体" w:hAnsi="Times New Roman" w:cs="Times New Roman"/>
          <w:b/>
          <w:sz w:val="44"/>
          <w:szCs w:val="44"/>
        </w:rPr>
        <w:t>排放计量器具配备及管理规范</w:t>
      </w:r>
      <w:r w:rsidR="00DA2B0D" w:rsidRPr="0053356A">
        <w:rPr>
          <w:rFonts w:ascii="Times New Roman" w:eastAsia="宋体" w:hAnsi="Times New Roman" w:cs="Times New Roman"/>
          <w:b/>
          <w:sz w:val="44"/>
          <w:szCs w:val="44"/>
        </w:rPr>
        <w:t xml:space="preserve"> </w:t>
      </w:r>
      <w:r w:rsidR="00DA2B0D" w:rsidRPr="0053356A">
        <w:rPr>
          <w:rFonts w:ascii="Times New Roman" w:eastAsia="宋体" w:hAnsi="Times New Roman" w:cs="Times New Roman"/>
          <w:b/>
          <w:sz w:val="44"/>
          <w:szCs w:val="44"/>
        </w:rPr>
        <w:t>钢铁</w:t>
      </w:r>
      <w:r w:rsidRPr="0053356A">
        <w:rPr>
          <w:rFonts w:ascii="Times New Roman" w:eastAsia="宋体" w:hAnsi="Times New Roman" w:cs="Times New Roman"/>
          <w:b/>
          <w:sz w:val="44"/>
          <w:szCs w:val="44"/>
        </w:rPr>
        <w:t>》</w:t>
      </w:r>
    </w:p>
    <w:p w14:paraId="1805AB27" w14:textId="464130D4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965C34C" w14:textId="0A248597" w:rsidR="003C379F" w:rsidRPr="004E5EA7" w:rsidRDefault="003C379F" w:rsidP="004E5EA7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sz w:val="44"/>
          <w:szCs w:val="44"/>
        </w:rPr>
      </w:pPr>
      <w:r w:rsidRPr="004E5EA7">
        <w:rPr>
          <w:rFonts w:ascii="黑体" w:eastAsia="黑体" w:hAnsi="黑体" w:cs="Times New Roman"/>
          <w:sz w:val="44"/>
          <w:szCs w:val="44"/>
        </w:rPr>
        <w:t>编制说明</w:t>
      </w:r>
    </w:p>
    <w:p w14:paraId="3625A927" w14:textId="5DD718F4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FE5360A" w14:textId="3756D89A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9C063EA" w14:textId="04C5C4EE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220856D" w14:textId="24AB6B75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F463E92" w14:textId="24DB436D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AB68504" w14:textId="1719AAD2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EBAEEE3" w14:textId="746B67EF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77F2420" w14:textId="4399B378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A86E63F" w14:textId="243BEF0E" w:rsidR="003C379F" w:rsidRPr="0053356A" w:rsidRDefault="003C379F" w:rsidP="004E5EA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A4EC2C8" w14:textId="028FC151" w:rsidR="003C379F" w:rsidRPr="004E5EA7" w:rsidRDefault="003C379F" w:rsidP="004E5EA7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E5EA7">
        <w:rPr>
          <w:rFonts w:ascii="Times New Roman" w:eastAsia="宋体" w:hAnsi="Times New Roman" w:cs="Times New Roman"/>
          <w:b/>
          <w:sz w:val="32"/>
          <w:szCs w:val="32"/>
        </w:rPr>
        <w:t>校准规范起草组</w:t>
      </w:r>
    </w:p>
    <w:p w14:paraId="5FF7E97C" w14:textId="3DD99F27" w:rsidR="003C379F" w:rsidRPr="004E5EA7" w:rsidRDefault="003C379F" w:rsidP="004E5EA7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E5EA7">
        <w:rPr>
          <w:rFonts w:ascii="Times New Roman" w:eastAsia="宋体" w:hAnsi="Times New Roman" w:cs="Times New Roman"/>
          <w:b/>
          <w:sz w:val="32"/>
          <w:szCs w:val="32"/>
        </w:rPr>
        <w:t>2025</w:t>
      </w:r>
      <w:r w:rsidRPr="004E5EA7">
        <w:rPr>
          <w:rFonts w:ascii="Times New Roman" w:eastAsia="宋体" w:hAnsi="Times New Roman" w:cs="Times New Roman"/>
          <w:b/>
          <w:sz w:val="32"/>
          <w:szCs w:val="32"/>
        </w:rPr>
        <w:t>年</w:t>
      </w:r>
      <w:r w:rsidRPr="004E5EA7">
        <w:rPr>
          <w:rFonts w:ascii="Times New Roman" w:eastAsia="宋体" w:hAnsi="Times New Roman" w:cs="Times New Roman"/>
          <w:b/>
          <w:sz w:val="32"/>
          <w:szCs w:val="32"/>
        </w:rPr>
        <w:t>XX</w:t>
      </w:r>
      <w:r w:rsidRPr="004E5EA7">
        <w:rPr>
          <w:rFonts w:ascii="Times New Roman" w:eastAsia="宋体" w:hAnsi="Times New Roman" w:cs="Times New Roman"/>
          <w:b/>
          <w:sz w:val="32"/>
          <w:szCs w:val="32"/>
        </w:rPr>
        <w:t>月</w:t>
      </w:r>
    </w:p>
    <w:p w14:paraId="60BB6D36" w14:textId="77777777" w:rsidR="003C379F" w:rsidRPr="00F927CB" w:rsidRDefault="003C379F" w:rsidP="00F927CB">
      <w:pPr>
        <w:spacing w:line="288" w:lineRule="auto"/>
        <w:rPr>
          <w:rFonts w:ascii="宋体" w:eastAsia="宋体" w:hAnsi="宋体"/>
          <w:sz w:val="24"/>
          <w:szCs w:val="24"/>
        </w:rPr>
      </w:pPr>
    </w:p>
    <w:p w14:paraId="7C46A94B" w14:textId="77777777" w:rsidR="003C379F" w:rsidRPr="00F927CB" w:rsidRDefault="003C379F" w:rsidP="00F927CB">
      <w:pPr>
        <w:spacing w:line="288" w:lineRule="auto"/>
        <w:rPr>
          <w:rFonts w:ascii="宋体" w:eastAsia="宋体" w:hAnsi="宋体"/>
          <w:sz w:val="24"/>
          <w:szCs w:val="24"/>
        </w:rPr>
        <w:sectPr w:rsidR="003C379F" w:rsidRPr="00F927CB" w:rsidSect="00501772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3C1C0DA1" w14:textId="0B36DD6A" w:rsidR="003C379F" w:rsidRPr="00F927CB" w:rsidRDefault="00E4255A" w:rsidP="009D66AE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F927CB">
        <w:rPr>
          <w:rFonts w:ascii="宋体" w:eastAsia="宋体" w:hAnsi="宋体" w:hint="eastAsia"/>
          <w:b/>
          <w:sz w:val="32"/>
          <w:szCs w:val="32"/>
        </w:rPr>
        <w:lastRenderedPageBreak/>
        <w:t>《</w:t>
      </w:r>
      <w:r w:rsidR="00DA2B0D" w:rsidRPr="00F927CB">
        <w:rPr>
          <w:rFonts w:ascii="宋体" w:eastAsia="宋体" w:hAnsi="宋体" w:hint="eastAsia"/>
          <w:b/>
          <w:sz w:val="32"/>
          <w:szCs w:val="32"/>
        </w:rPr>
        <w:t>企业</w:t>
      </w:r>
      <w:r w:rsidR="009A653B">
        <w:rPr>
          <w:rFonts w:ascii="宋体" w:eastAsia="宋体" w:hAnsi="宋体" w:hint="eastAsia"/>
          <w:b/>
          <w:sz w:val="32"/>
          <w:szCs w:val="32"/>
        </w:rPr>
        <w:t>温室气体</w:t>
      </w:r>
      <w:r w:rsidR="00DA2B0D" w:rsidRPr="00F927CB">
        <w:rPr>
          <w:rFonts w:ascii="宋体" w:eastAsia="宋体" w:hAnsi="宋体" w:hint="eastAsia"/>
          <w:b/>
          <w:sz w:val="32"/>
          <w:szCs w:val="32"/>
        </w:rPr>
        <w:t>排放计量器具配备及管理规范</w:t>
      </w:r>
      <w:r w:rsidR="00DA2B0D" w:rsidRPr="00F927CB">
        <w:rPr>
          <w:rFonts w:ascii="宋体" w:eastAsia="宋体" w:hAnsi="宋体"/>
          <w:b/>
          <w:sz w:val="32"/>
          <w:szCs w:val="32"/>
        </w:rPr>
        <w:t xml:space="preserve"> 钢铁</w:t>
      </w:r>
      <w:r w:rsidRPr="00F927CB">
        <w:rPr>
          <w:rFonts w:ascii="宋体" w:eastAsia="宋体" w:hAnsi="宋体" w:hint="eastAsia"/>
          <w:b/>
          <w:sz w:val="32"/>
          <w:szCs w:val="32"/>
        </w:rPr>
        <w:t>》编制说明</w:t>
      </w:r>
    </w:p>
    <w:p w14:paraId="5B141658" w14:textId="6B212E2F" w:rsidR="00E4255A" w:rsidRPr="00F927CB" w:rsidRDefault="00E4255A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2F2824">
        <w:rPr>
          <w:rFonts w:ascii="宋体" w:eastAsia="宋体" w:hAnsi="宋体" w:hint="eastAsia"/>
          <w:b/>
          <w:sz w:val="28"/>
          <w:szCs w:val="28"/>
        </w:rPr>
        <w:t>一、任务来源</w:t>
      </w:r>
    </w:p>
    <w:p w14:paraId="6EE251E8" w14:textId="196A231D" w:rsidR="006D2780" w:rsidRPr="00E8438A" w:rsidRDefault="006D2780" w:rsidP="00C405D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 w:rsidRPr="00F927CB">
        <w:rPr>
          <w:rFonts w:ascii="宋体" w:eastAsia="宋体" w:hAnsi="宋体"/>
          <w:sz w:val="24"/>
          <w:szCs w:val="24"/>
        </w:rPr>
        <w:t>2021年，中共中央、国务院印发《关于完整准确全面贯彻新发展理念做好碳达峰碳中和工作的意见》，明确提出“</w:t>
      </w:r>
      <w:r w:rsidR="00FC26DC" w:rsidRPr="00FC26DC">
        <w:rPr>
          <w:rFonts w:ascii="宋体" w:eastAsia="宋体" w:hAnsi="宋体" w:hint="eastAsia"/>
          <w:sz w:val="24"/>
          <w:szCs w:val="24"/>
        </w:rPr>
        <w:t>建立健全碳达峰、碳中和标准计量体系</w:t>
      </w:r>
      <w:r w:rsidR="00FC26DC">
        <w:rPr>
          <w:rFonts w:ascii="宋体" w:eastAsia="宋体" w:hAnsi="宋体" w:hint="eastAsia"/>
          <w:sz w:val="24"/>
          <w:szCs w:val="24"/>
        </w:rPr>
        <w:t>。</w:t>
      </w:r>
      <w:r w:rsidRPr="00F927CB">
        <w:rPr>
          <w:rFonts w:ascii="宋体" w:eastAsia="宋体" w:hAnsi="宋体"/>
          <w:sz w:val="24"/>
          <w:szCs w:val="24"/>
        </w:rPr>
        <w:t>”</w:t>
      </w:r>
      <w:r w:rsidR="00DE10E8">
        <w:rPr>
          <w:rFonts w:ascii="宋体" w:eastAsia="宋体" w:hAnsi="宋体" w:hint="eastAsia"/>
          <w:sz w:val="24"/>
          <w:szCs w:val="24"/>
        </w:rPr>
        <w:t>，“</w:t>
      </w:r>
      <w:r w:rsidR="00DE10E8" w:rsidRPr="00DE10E8">
        <w:rPr>
          <w:rFonts w:ascii="宋体" w:eastAsia="宋体" w:hAnsi="宋体" w:hint="eastAsia"/>
          <w:sz w:val="24"/>
          <w:szCs w:val="24"/>
        </w:rPr>
        <w:t>健全电力、钢铁、建筑等行业领域能耗统计监测和计量体系</w:t>
      </w:r>
      <w:r w:rsidR="00DE10E8">
        <w:rPr>
          <w:rFonts w:ascii="宋体" w:eastAsia="宋体" w:hAnsi="宋体" w:hint="eastAsia"/>
          <w:sz w:val="24"/>
          <w:szCs w:val="24"/>
        </w:rPr>
        <w:t>。”</w:t>
      </w:r>
      <w:r w:rsidRPr="00F927CB">
        <w:rPr>
          <w:rFonts w:ascii="宋体" w:eastAsia="宋体" w:hAnsi="宋体"/>
          <w:sz w:val="24"/>
          <w:szCs w:val="24"/>
        </w:rPr>
        <w:t>，将钢铁等重点排放行业的计量规范化纳入顶层设计。国务院随后发布的《2030年前碳达峰行动方案》进一步要求“</w:t>
      </w:r>
      <w:r w:rsidR="00DE10E8" w:rsidRPr="00DE10E8">
        <w:rPr>
          <w:rFonts w:ascii="宋体" w:eastAsia="宋体" w:hAnsi="宋体" w:hint="eastAsia"/>
          <w:sz w:val="24"/>
          <w:szCs w:val="24"/>
        </w:rPr>
        <w:t>支持行业、企业依据自身特点开展碳排放核算方法学研究，建立健全碳排放计量体系</w:t>
      </w:r>
      <w:r w:rsidR="00DE10E8">
        <w:rPr>
          <w:rFonts w:ascii="宋体" w:eastAsia="宋体" w:hAnsi="宋体" w:hint="eastAsia"/>
          <w:sz w:val="24"/>
          <w:szCs w:val="24"/>
        </w:rPr>
        <w:t>。</w:t>
      </w:r>
      <w:r w:rsidRPr="00F927CB">
        <w:rPr>
          <w:rFonts w:ascii="宋体" w:eastAsia="宋体" w:hAnsi="宋体"/>
          <w:sz w:val="24"/>
          <w:szCs w:val="24"/>
        </w:rPr>
        <w:t>”，为钢铁行业碳计量工作划定了实施方向。</w:t>
      </w:r>
    </w:p>
    <w:p w14:paraId="7B6D22B8" w14:textId="423D80D3" w:rsidR="006D2780" w:rsidRDefault="006D2780" w:rsidP="000F74F8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在计量专项政策层面，《计量发展规划（</w:t>
      </w:r>
      <w:r w:rsidRPr="00F927CB">
        <w:rPr>
          <w:rFonts w:ascii="宋体" w:eastAsia="宋体" w:hAnsi="宋体"/>
          <w:sz w:val="24"/>
          <w:szCs w:val="24"/>
        </w:rPr>
        <w:t>2021-2035年）》明确指出“</w:t>
      </w:r>
      <w:r w:rsidR="000F74F8" w:rsidRPr="000F74F8">
        <w:rPr>
          <w:rFonts w:ascii="宋体" w:eastAsia="宋体" w:hAnsi="宋体" w:hint="eastAsia"/>
          <w:sz w:val="24"/>
          <w:szCs w:val="24"/>
        </w:rPr>
        <w:t>完善温室气体排放计量监测体系，加强碳排放关键计量测试技术研究和应用，健全碳计量标准装置</w:t>
      </w:r>
      <w:r w:rsidR="000F74F8">
        <w:rPr>
          <w:rFonts w:ascii="宋体" w:eastAsia="宋体" w:hAnsi="宋体" w:hint="eastAsia"/>
          <w:sz w:val="24"/>
          <w:szCs w:val="24"/>
        </w:rPr>
        <w:t>。</w:t>
      </w:r>
      <w:r w:rsidRPr="00F927CB">
        <w:rPr>
          <w:rFonts w:ascii="宋体" w:eastAsia="宋体" w:hAnsi="宋体"/>
          <w:sz w:val="24"/>
          <w:szCs w:val="24"/>
        </w:rPr>
        <w:t>”，将钢铁企业碳计量器具管理纳入计量发展重点任务。2022年市场监管总局联合</w:t>
      </w:r>
      <w:proofErr w:type="gramStart"/>
      <w:r w:rsidRPr="00F927CB">
        <w:rPr>
          <w:rFonts w:ascii="宋体" w:eastAsia="宋体" w:hAnsi="宋体"/>
          <w:sz w:val="24"/>
          <w:szCs w:val="24"/>
        </w:rPr>
        <w:t>九部门</w:t>
      </w:r>
      <w:proofErr w:type="gramEnd"/>
      <w:r w:rsidRPr="00F927CB">
        <w:rPr>
          <w:rFonts w:ascii="宋体" w:eastAsia="宋体" w:hAnsi="宋体"/>
          <w:sz w:val="24"/>
          <w:szCs w:val="24"/>
        </w:rPr>
        <w:t>印发的《建立健全碳达峰碳中和标准计量体系实施方案》（</w:t>
      </w:r>
      <w:proofErr w:type="gramStart"/>
      <w:r w:rsidRPr="00F927CB">
        <w:rPr>
          <w:rFonts w:ascii="宋体" w:eastAsia="宋体" w:hAnsi="宋体"/>
          <w:sz w:val="24"/>
          <w:szCs w:val="24"/>
        </w:rPr>
        <w:t>国市监计</w:t>
      </w:r>
      <w:proofErr w:type="gramEnd"/>
      <w:r w:rsidRPr="00F927CB">
        <w:rPr>
          <w:rFonts w:ascii="宋体" w:eastAsia="宋体" w:hAnsi="宋体"/>
          <w:sz w:val="24"/>
          <w:szCs w:val="24"/>
        </w:rPr>
        <w:t>量发〔2022〕92号）更具体提出</w:t>
      </w:r>
      <w:r w:rsidR="000F74F8">
        <w:rPr>
          <w:rFonts w:ascii="宋体" w:eastAsia="宋体" w:hAnsi="宋体" w:hint="eastAsia"/>
          <w:sz w:val="24"/>
          <w:szCs w:val="24"/>
        </w:rPr>
        <w:t>“建立健全钢铁</w:t>
      </w:r>
      <w:r w:rsidR="000F74F8" w:rsidRPr="000F74F8">
        <w:rPr>
          <w:rFonts w:ascii="宋体" w:eastAsia="宋体" w:hAnsi="宋体" w:hint="eastAsia"/>
          <w:sz w:val="24"/>
          <w:szCs w:val="24"/>
        </w:rPr>
        <w:t>等行业领域能耗统计监测和计量体系，强化重点行业领域计量数据的采集、监测、分析和应用</w:t>
      </w:r>
      <w:r w:rsidR="000F74F8">
        <w:rPr>
          <w:rFonts w:ascii="宋体" w:eastAsia="宋体" w:hAnsi="宋体" w:hint="eastAsia"/>
          <w:sz w:val="24"/>
          <w:szCs w:val="24"/>
        </w:rPr>
        <w:t>”</w:t>
      </w:r>
      <w:r w:rsidRPr="00F927CB">
        <w:rPr>
          <w:rFonts w:ascii="宋体" w:eastAsia="宋体" w:hAnsi="宋体"/>
          <w:sz w:val="24"/>
          <w:szCs w:val="24"/>
        </w:rPr>
        <w:t>，直接推动了本规范的立项筹备。</w:t>
      </w:r>
    </w:p>
    <w:p w14:paraId="72F5B97B" w14:textId="36CFC54E" w:rsidR="00E4255A" w:rsidRPr="00F927CB" w:rsidRDefault="000F6E6C" w:rsidP="00626F97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F6E6C">
        <w:rPr>
          <w:rFonts w:ascii="宋体" w:eastAsia="宋体" w:hAnsi="宋体"/>
          <w:sz w:val="24"/>
          <w:szCs w:val="24"/>
        </w:rPr>
        <w:t>2024年5月31日，国家市场监管总局印发《2024年国家计量技术规范制定、修订及宣贯计划的通知》，对主要起草单位</w:t>
      </w:r>
      <w:r w:rsidR="00626F97" w:rsidRPr="00626F97">
        <w:rPr>
          <w:rFonts w:ascii="宋体" w:eastAsia="宋体" w:hAnsi="宋体" w:hint="eastAsia"/>
          <w:sz w:val="24"/>
          <w:szCs w:val="24"/>
        </w:rPr>
        <w:t>无锡市检验检测认证研究院</w:t>
      </w:r>
      <w:r w:rsidRPr="000F6E6C">
        <w:rPr>
          <w:rFonts w:ascii="宋体" w:eastAsia="宋体" w:hAnsi="宋体"/>
          <w:sz w:val="24"/>
          <w:szCs w:val="24"/>
        </w:rPr>
        <w:t>下达了起草任务，《企业</w:t>
      </w:r>
      <w:r w:rsidR="006F729E">
        <w:rPr>
          <w:rFonts w:ascii="宋体" w:eastAsia="宋体" w:hAnsi="宋体" w:hint="eastAsia"/>
          <w:sz w:val="24"/>
          <w:szCs w:val="24"/>
        </w:rPr>
        <w:t>温室气体</w:t>
      </w:r>
      <w:r w:rsidRPr="000F6E6C">
        <w:rPr>
          <w:rFonts w:ascii="宋体" w:eastAsia="宋体" w:hAnsi="宋体"/>
          <w:sz w:val="24"/>
          <w:szCs w:val="24"/>
        </w:rPr>
        <w:t>排放计量器具配备</w:t>
      </w:r>
      <w:r w:rsidR="00626F97">
        <w:rPr>
          <w:rFonts w:ascii="宋体" w:eastAsia="宋体" w:hAnsi="宋体" w:hint="eastAsia"/>
          <w:sz w:val="24"/>
          <w:szCs w:val="24"/>
        </w:rPr>
        <w:t>及</w:t>
      </w:r>
      <w:r w:rsidRPr="000F6E6C">
        <w:rPr>
          <w:rFonts w:ascii="宋体" w:eastAsia="宋体" w:hAnsi="宋体"/>
          <w:sz w:val="24"/>
          <w:szCs w:val="24"/>
        </w:rPr>
        <w:t xml:space="preserve">管理规范 </w:t>
      </w:r>
      <w:r w:rsidR="00626F97">
        <w:rPr>
          <w:rFonts w:ascii="宋体" w:eastAsia="宋体" w:hAnsi="宋体" w:hint="eastAsia"/>
          <w:sz w:val="24"/>
          <w:szCs w:val="24"/>
        </w:rPr>
        <w:t>钢铁</w:t>
      </w:r>
      <w:r w:rsidRPr="000F6E6C">
        <w:rPr>
          <w:rFonts w:ascii="宋体" w:eastAsia="宋体" w:hAnsi="宋体"/>
          <w:sz w:val="24"/>
          <w:szCs w:val="24"/>
        </w:rPr>
        <w:t>》正式批准立项，任务归口全国</w:t>
      </w:r>
      <w:proofErr w:type="gramStart"/>
      <w:r w:rsidRPr="000F6E6C">
        <w:rPr>
          <w:rFonts w:ascii="宋体" w:eastAsia="宋体" w:hAnsi="宋体"/>
          <w:sz w:val="24"/>
          <w:szCs w:val="24"/>
        </w:rPr>
        <w:t>碳达峰碳</w:t>
      </w:r>
      <w:proofErr w:type="gramEnd"/>
      <w:r w:rsidRPr="000F6E6C">
        <w:rPr>
          <w:rFonts w:ascii="宋体" w:eastAsia="宋体" w:hAnsi="宋体"/>
          <w:sz w:val="24"/>
          <w:szCs w:val="24"/>
        </w:rPr>
        <w:t>中和计量技术委员会碳排放量计量分技术委员会管理。</w:t>
      </w:r>
    </w:p>
    <w:p w14:paraId="1055E662" w14:textId="50837785" w:rsidR="00E4255A" w:rsidRPr="00F927CB" w:rsidRDefault="00E4255A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2F2824">
        <w:rPr>
          <w:rFonts w:ascii="宋体" w:eastAsia="宋体" w:hAnsi="宋体" w:hint="eastAsia"/>
          <w:b/>
          <w:sz w:val="28"/>
          <w:szCs w:val="28"/>
        </w:rPr>
        <w:t>二、</w:t>
      </w:r>
      <w:r w:rsidR="00E11773" w:rsidRPr="002F2824">
        <w:rPr>
          <w:rFonts w:ascii="宋体" w:eastAsia="宋体" w:hAnsi="宋体" w:hint="eastAsia"/>
          <w:b/>
          <w:sz w:val="28"/>
          <w:szCs w:val="28"/>
        </w:rPr>
        <w:t>编制背景</w:t>
      </w:r>
    </w:p>
    <w:p w14:paraId="1756B71D" w14:textId="6CCBCA51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（一）钢铁行业碳排放现状凸显计量刚需</w:t>
      </w:r>
    </w:p>
    <w:p w14:paraId="74BB8A4E" w14:textId="045978C4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钢铁行业是我国国民经济的支柱产业，同时也是碳排放核心来源。据全球钢铁业协会统计，截至</w:t>
      </w:r>
      <w:r w:rsidRPr="00F927CB">
        <w:rPr>
          <w:rFonts w:ascii="宋体" w:eastAsia="宋体" w:hAnsi="宋体"/>
          <w:sz w:val="24"/>
          <w:szCs w:val="24"/>
        </w:rPr>
        <w:t>2020年，我国钢产量占全球粗钢总产量的56.7%，较2010年提升12.3个百分点。《中国上市公司碳排放排行榜（2022）》显示，钢铁行业上市公司碳排放总量达6.34亿吨，占榜单总排放量的20%左右，成为实现“双碳”目标的关键攻坚领域。</w:t>
      </w:r>
    </w:p>
    <w:p w14:paraId="59B5CA12" w14:textId="35DA0492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随着《国务院关于加快建立健全绿色低碳循环发展经济体系的指导意见》等政策落地，钢铁企业面临能源消费强度、总量及能效标准的多重考核，碳排放数据的准确性直接关系到减</w:t>
      </w:r>
      <w:proofErr w:type="gramStart"/>
      <w:r w:rsidRPr="00F927CB">
        <w:rPr>
          <w:rFonts w:ascii="宋体" w:eastAsia="宋体" w:hAnsi="宋体" w:hint="eastAsia"/>
          <w:sz w:val="24"/>
          <w:szCs w:val="24"/>
        </w:rPr>
        <w:t>排成效</w:t>
      </w:r>
      <w:proofErr w:type="gramEnd"/>
      <w:r w:rsidRPr="00F927CB">
        <w:rPr>
          <w:rFonts w:ascii="宋体" w:eastAsia="宋体" w:hAnsi="宋体" w:hint="eastAsia"/>
          <w:sz w:val="24"/>
          <w:szCs w:val="24"/>
        </w:rPr>
        <w:t>评估与</w:t>
      </w:r>
      <w:proofErr w:type="gramStart"/>
      <w:r w:rsidRPr="00F927CB">
        <w:rPr>
          <w:rFonts w:ascii="宋体" w:eastAsia="宋体" w:hAnsi="宋体" w:hint="eastAsia"/>
          <w:sz w:val="24"/>
          <w:szCs w:val="24"/>
        </w:rPr>
        <w:t>碳交易合</w:t>
      </w:r>
      <w:proofErr w:type="gramEnd"/>
      <w:r w:rsidRPr="00F927CB">
        <w:rPr>
          <w:rFonts w:ascii="宋体" w:eastAsia="宋体" w:hAnsi="宋体" w:hint="eastAsia"/>
          <w:sz w:val="24"/>
          <w:szCs w:val="24"/>
        </w:rPr>
        <w:t>规性。但当前</w:t>
      </w:r>
      <w:proofErr w:type="gramStart"/>
      <w:r w:rsidRPr="00F927CB">
        <w:rPr>
          <w:rFonts w:ascii="宋体" w:eastAsia="宋体" w:hAnsi="宋体" w:hint="eastAsia"/>
          <w:sz w:val="24"/>
          <w:szCs w:val="24"/>
        </w:rPr>
        <w:t>行业内碳排放</w:t>
      </w:r>
      <w:proofErr w:type="gramEnd"/>
      <w:r w:rsidRPr="00F927CB">
        <w:rPr>
          <w:rFonts w:ascii="宋体" w:eastAsia="宋体" w:hAnsi="宋体" w:hint="eastAsia"/>
          <w:sz w:val="24"/>
          <w:szCs w:val="24"/>
        </w:rPr>
        <w:t>计量多依赖能源计量数据间接推算，而能源计量与碳计量在监测对象、技术要求上存在本质差异，现有手段难以满足</w:t>
      </w:r>
      <w:r w:rsidRPr="00F927CB">
        <w:rPr>
          <w:rFonts w:ascii="宋体" w:eastAsia="宋体" w:hAnsi="宋体"/>
          <w:sz w:val="24"/>
          <w:szCs w:val="24"/>
        </w:rPr>
        <w:t>“可测量、可报告、可核查”的核心要求。</w:t>
      </w:r>
    </w:p>
    <w:p w14:paraId="2E15F892" w14:textId="405CB224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（二）国家政策密集部署碳计量规范化建设</w:t>
      </w:r>
    </w:p>
    <w:p w14:paraId="0AD1952B" w14:textId="1BA84CA7" w:rsidR="006D2780" w:rsidRPr="00F927CB" w:rsidRDefault="006D2780" w:rsidP="005019F6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lastRenderedPageBreak/>
        <w:t>“双碳”</w:t>
      </w:r>
      <w:r w:rsidRPr="00F927CB">
        <w:rPr>
          <w:rFonts w:ascii="宋体" w:eastAsia="宋体" w:hAnsi="宋体"/>
          <w:sz w:val="24"/>
          <w:szCs w:val="24"/>
        </w:rPr>
        <w:t>战略实施以来，国家层面密集出台政策明确碳计量器具管理的刚性要求。2023年市场监管总局与工信部联合发布的《关于促进企业计量能力提升的指导意见》提出“</w:t>
      </w:r>
      <w:r w:rsidR="00EA4972" w:rsidRPr="00EA4972">
        <w:rPr>
          <w:rFonts w:ascii="宋体" w:eastAsia="宋体" w:hAnsi="宋体" w:hint="eastAsia"/>
          <w:sz w:val="24"/>
          <w:szCs w:val="24"/>
        </w:rPr>
        <w:t>鼓励企业建立动态更新的计量器具配备清单，制定计量器具作业指导书、使用手册等，将计量器具配备和使用要求纳入企业标准，推动计量器具配备和使用规范化管理，重点用能单位、排放单位还应当配备能源资源、碳排放相关计量器具，满足能源资源、碳排放相关计量要求</w:t>
      </w:r>
      <w:r w:rsidRPr="00F927CB">
        <w:rPr>
          <w:rFonts w:ascii="宋体" w:eastAsia="宋体" w:hAnsi="宋体"/>
          <w:sz w:val="24"/>
          <w:szCs w:val="24"/>
        </w:rPr>
        <w:t>。</w:t>
      </w:r>
      <w:r w:rsidR="008004F5">
        <w:rPr>
          <w:rFonts w:ascii="宋体" w:eastAsia="宋体" w:hAnsi="宋体" w:hint="eastAsia"/>
          <w:sz w:val="24"/>
          <w:szCs w:val="24"/>
        </w:rPr>
        <w:t>”</w:t>
      </w:r>
      <w:r w:rsidR="005019F6">
        <w:rPr>
          <w:rFonts w:ascii="宋体" w:eastAsia="宋体" w:hAnsi="宋体" w:hint="eastAsia"/>
          <w:sz w:val="24"/>
          <w:szCs w:val="24"/>
        </w:rPr>
        <w:t>，</w:t>
      </w:r>
      <w:r w:rsidRPr="00F927CB">
        <w:rPr>
          <w:rFonts w:ascii="宋体" w:eastAsia="宋体" w:hAnsi="宋体"/>
          <w:sz w:val="24"/>
          <w:szCs w:val="24"/>
        </w:rPr>
        <w:t>进一步凸显了计量器具标准化配备的紧迫性。</w:t>
      </w:r>
    </w:p>
    <w:p w14:paraId="25544713" w14:textId="3EF94540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（三）现有规范存在空白且技术支撑不足</w:t>
      </w:r>
    </w:p>
    <w:p w14:paraId="2D375D13" w14:textId="4558A2D1" w:rsidR="006D2780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目前我国已出台的计量规范中，</w:t>
      </w:r>
      <w:r w:rsidRPr="00F927CB">
        <w:rPr>
          <w:rFonts w:ascii="宋体" w:eastAsia="宋体" w:hAnsi="宋体"/>
          <w:sz w:val="24"/>
          <w:szCs w:val="24"/>
        </w:rPr>
        <w:t>JJF</w:t>
      </w:r>
      <w:r w:rsidR="000206EE">
        <w:rPr>
          <w:rFonts w:ascii="宋体" w:eastAsia="宋体" w:hAnsi="宋体"/>
          <w:sz w:val="24"/>
          <w:szCs w:val="24"/>
        </w:rPr>
        <w:t xml:space="preserve"> </w:t>
      </w:r>
      <w:r w:rsidRPr="00F927CB">
        <w:rPr>
          <w:rFonts w:ascii="宋体" w:eastAsia="宋体" w:hAnsi="宋体"/>
          <w:sz w:val="24"/>
          <w:szCs w:val="24"/>
        </w:rPr>
        <w:t>1356-2012《重点用能单位能源计量审查规范》及JJF</w:t>
      </w:r>
      <w:r w:rsidR="000206EE">
        <w:rPr>
          <w:rFonts w:ascii="宋体" w:eastAsia="宋体" w:hAnsi="宋体"/>
          <w:sz w:val="24"/>
          <w:szCs w:val="24"/>
        </w:rPr>
        <w:t xml:space="preserve"> </w:t>
      </w:r>
      <w:r w:rsidRPr="00F927CB">
        <w:rPr>
          <w:rFonts w:ascii="宋体" w:eastAsia="宋体" w:hAnsi="宋体"/>
          <w:sz w:val="24"/>
          <w:szCs w:val="24"/>
        </w:rPr>
        <w:t>1356.1-2023《重点用能单位能源计量审查规范 数据中心》仅针对能源计量提出要求，未涵盖</w:t>
      </w:r>
      <w:r w:rsidR="00A757A5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/>
          <w:sz w:val="24"/>
          <w:szCs w:val="24"/>
        </w:rPr>
        <w:t>排放计量器具的选型、配备及管理细则。GB/T</w:t>
      </w:r>
      <w:r w:rsidR="000206EE">
        <w:rPr>
          <w:rFonts w:ascii="宋体" w:eastAsia="宋体" w:hAnsi="宋体"/>
          <w:sz w:val="24"/>
          <w:szCs w:val="24"/>
        </w:rPr>
        <w:t xml:space="preserve"> </w:t>
      </w:r>
      <w:r w:rsidRPr="00F927CB">
        <w:rPr>
          <w:rFonts w:ascii="宋体" w:eastAsia="宋体" w:hAnsi="宋体"/>
          <w:sz w:val="24"/>
          <w:szCs w:val="24"/>
        </w:rPr>
        <w:t>32151.5-2015《温室气体排放核算与报告要求 第5部分：钢铁生产企业》虽明确了核算方法，但未对计量器具的技术指标、校准要求等</w:t>
      </w:r>
      <w:r w:rsidR="000206EE" w:rsidRPr="00F927CB">
        <w:rPr>
          <w:rFonts w:ascii="宋体" w:eastAsia="宋体" w:hAnsi="宋体" w:hint="eastAsia"/>
          <w:sz w:val="24"/>
          <w:szCs w:val="24"/>
        </w:rPr>
        <w:t>做出</w:t>
      </w:r>
      <w:r w:rsidRPr="00F927CB">
        <w:rPr>
          <w:rFonts w:ascii="宋体" w:eastAsia="宋体" w:hAnsi="宋体"/>
          <w:sz w:val="24"/>
          <w:szCs w:val="24"/>
        </w:rPr>
        <w:t>规定。</w:t>
      </w:r>
    </w:p>
    <w:p w14:paraId="65B503F6" w14:textId="4911EA62" w:rsidR="00E4255A" w:rsidRPr="00F927CB" w:rsidRDefault="006D278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技术层面，钢铁企业</w:t>
      </w:r>
      <w:r w:rsidR="00A757A5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 w:hint="eastAsia"/>
          <w:sz w:val="24"/>
          <w:szCs w:val="24"/>
        </w:rPr>
        <w:t>排放涉及焦化、炼铁、炼钢等多工序，计量器具涵盖气体分析仪、元素分析仪、流量计等多类型，其中高端气体监测设备在测量精度、长期稳定性上与国外仍有差距。同时，行业内存在计量器具配备率不足、数据传输不规范、不确定度评估缺失等问题，导致</w:t>
      </w:r>
      <w:r w:rsidR="00A757A5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 w:hint="eastAsia"/>
          <w:sz w:val="24"/>
          <w:szCs w:val="24"/>
        </w:rPr>
        <w:t>排放数据可信度不足，既影响企业减排决策，也制约了国际</w:t>
      </w:r>
      <w:proofErr w:type="gramStart"/>
      <w:r w:rsidRPr="00F927CB">
        <w:rPr>
          <w:rFonts w:ascii="宋体" w:eastAsia="宋体" w:hAnsi="宋体" w:hint="eastAsia"/>
          <w:sz w:val="24"/>
          <w:szCs w:val="24"/>
        </w:rPr>
        <w:t>碳市场</w:t>
      </w:r>
      <w:proofErr w:type="gramEnd"/>
      <w:r w:rsidRPr="00F927CB">
        <w:rPr>
          <w:rFonts w:ascii="宋体" w:eastAsia="宋体" w:hAnsi="宋体" w:hint="eastAsia"/>
          <w:sz w:val="24"/>
          <w:szCs w:val="24"/>
        </w:rPr>
        <w:t>数据互认。</w:t>
      </w:r>
    </w:p>
    <w:p w14:paraId="67D22B5F" w14:textId="3C71FAA0" w:rsidR="00E4255A" w:rsidRPr="00F927CB" w:rsidRDefault="00E4255A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三、</w:t>
      </w:r>
      <w:r w:rsidR="00E11773" w:rsidRPr="00F927CB">
        <w:rPr>
          <w:rFonts w:ascii="宋体" w:eastAsia="宋体" w:hAnsi="宋体" w:hint="eastAsia"/>
          <w:b/>
          <w:sz w:val="28"/>
          <w:szCs w:val="28"/>
        </w:rPr>
        <w:t>编制过程</w:t>
      </w:r>
    </w:p>
    <w:p w14:paraId="1D94BBCC" w14:textId="1C5456BF" w:rsidR="00AA390A" w:rsidRPr="00F927CB" w:rsidRDefault="00AA390A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1</w:t>
      </w:r>
      <w:r w:rsidRPr="00F927CB">
        <w:rPr>
          <w:rFonts w:ascii="宋体" w:eastAsia="宋体" w:hAnsi="宋体"/>
          <w:sz w:val="24"/>
          <w:szCs w:val="24"/>
        </w:rPr>
        <w:t xml:space="preserve">. </w:t>
      </w:r>
      <w:r w:rsidRPr="00F927CB">
        <w:rPr>
          <w:rFonts w:ascii="宋体" w:eastAsia="宋体" w:hAnsi="宋体" w:hint="eastAsia"/>
          <w:sz w:val="24"/>
          <w:szCs w:val="24"/>
        </w:rPr>
        <w:t>项目调研：</w:t>
      </w:r>
      <w:r w:rsidR="00A44100" w:rsidRPr="00F927CB">
        <w:rPr>
          <w:rFonts w:ascii="宋体" w:eastAsia="宋体" w:hAnsi="宋体" w:hint="eastAsia"/>
          <w:sz w:val="24"/>
          <w:szCs w:val="24"/>
        </w:rPr>
        <w:t>2</w:t>
      </w:r>
      <w:r w:rsidR="00A44100" w:rsidRPr="00F927CB">
        <w:rPr>
          <w:rFonts w:ascii="宋体" w:eastAsia="宋体" w:hAnsi="宋体"/>
          <w:sz w:val="24"/>
          <w:szCs w:val="24"/>
        </w:rPr>
        <w:t>024</w:t>
      </w:r>
      <w:r w:rsidR="00A44100" w:rsidRPr="00F927CB">
        <w:rPr>
          <w:rFonts w:ascii="宋体" w:eastAsia="宋体" w:hAnsi="宋体" w:hint="eastAsia"/>
          <w:sz w:val="24"/>
          <w:szCs w:val="24"/>
        </w:rPr>
        <w:t>年1月至2</w:t>
      </w:r>
      <w:r w:rsidR="00A44100" w:rsidRPr="00F927CB">
        <w:rPr>
          <w:rFonts w:ascii="宋体" w:eastAsia="宋体" w:hAnsi="宋体"/>
          <w:sz w:val="24"/>
          <w:szCs w:val="24"/>
        </w:rPr>
        <w:t>024</w:t>
      </w:r>
      <w:r w:rsidR="00A44100" w:rsidRPr="00F927CB">
        <w:rPr>
          <w:rFonts w:ascii="宋体" w:eastAsia="宋体" w:hAnsi="宋体" w:hint="eastAsia"/>
          <w:sz w:val="24"/>
          <w:szCs w:val="24"/>
        </w:rPr>
        <w:t>年4月开展的项目调研</w:t>
      </w:r>
      <w:r w:rsidRPr="00F927CB">
        <w:rPr>
          <w:rFonts w:ascii="宋体" w:eastAsia="宋体" w:hAnsi="宋体" w:hint="eastAsia"/>
          <w:sz w:val="24"/>
          <w:szCs w:val="24"/>
        </w:rPr>
        <w:t>。</w:t>
      </w:r>
    </w:p>
    <w:p w14:paraId="6DBD26AE" w14:textId="1134B646" w:rsidR="00AA390A" w:rsidRPr="00F927CB" w:rsidRDefault="00AA390A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2</w:t>
      </w:r>
      <w:r w:rsidRPr="00F927CB">
        <w:rPr>
          <w:rFonts w:ascii="宋体" w:eastAsia="宋体" w:hAnsi="宋体"/>
          <w:sz w:val="24"/>
          <w:szCs w:val="24"/>
        </w:rPr>
        <w:t xml:space="preserve">. </w:t>
      </w:r>
      <w:r w:rsidRPr="00F927CB">
        <w:rPr>
          <w:rFonts w:ascii="宋体" w:eastAsia="宋体" w:hAnsi="宋体" w:hint="eastAsia"/>
          <w:sz w:val="24"/>
          <w:szCs w:val="24"/>
        </w:rPr>
        <w:t>编制草案：</w:t>
      </w:r>
      <w:r w:rsidR="00A44100" w:rsidRPr="00F927CB">
        <w:rPr>
          <w:rFonts w:ascii="宋体" w:eastAsia="宋体" w:hAnsi="宋体" w:hint="eastAsia"/>
          <w:sz w:val="24"/>
          <w:szCs w:val="24"/>
        </w:rPr>
        <w:t>2</w:t>
      </w:r>
      <w:r w:rsidR="00A44100" w:rsidRPr="00F927CB">
        <w:rPr>
          <w:rFonts w:ascii="宋体" w:eastAsia="宋体" w:hAnsi="宋体"/>
          <w:sz w:val="24"/>
          <w:szCs w:val="24"/>
        </w:rPr>
        <w:t>024</w:t>
      </w:r>
      <w:r w:rsidR="00A44100" w:rsidRPr="00F927CB">
        <w:rPr>
          <w:rFonts w:ascii="宋体" w:eastAsia="宋体" w:hAnsi="宋体" w:hint="eastAsia"/>
          <w:sz w:val="24"/>
          <w:szCs w:val="24"/>
        </w:rPr>
        <w:t>年5月至2</w:t>
      </w:r>
      <w:r w:rsidR="00A44100" w:rsidRPr="00F927CB">
        <w:rPr>
          <w:rFonts w:ascii="宋体" w:eastAsia="宋体" w:hAnsi="宋体"/>
          <w:sz w:val="24"/>
          <w:szCs w:val="24"/>
        </w:rPr>
        <w:t>024</w:t>
      </w:r>
      <w:r w:rsidR="00A44100" w:rsidRPr="00F927CB">
        <w:rPr>
          <w:rFonts w:ascii="宋体" w:eastAsia="宋体" w:hAnsi="宋体" w:hint="eastAsia"/>
          <w:sz w:val="24"/>
          <w:szCs w:val="24"/>
        </w:rPr>
        <w:t>年1</w:t>
      </w:r>
      <w:r w:rsidR="00A44100" w:rsidRPr="00F927CB">
        <w:rPr>
          <w:rFonts w:ascii="宋体" w:eastAsia="宋体" w:hAnsi="宋体"/>
          <w:sz w:val="24"/>
          <w:szCs w:val="24"/>
        </w:rPr>
        <w:t>2</w:t>
      </w:r>
      <w:r w:rsidR="00A44100" w:rsidRPr="00F927CB">
        <w:rPr>
          <w:rFonts w:ascii="宋体" w:eastAsia="宋体" w:hAnsi="宋体" w:hint="eastAsia"/>
          <w:sz w:val="24"/>
          <w:szCs w:val="24"/>
        </w:rPr>
        <w:t>月编制草案</w:t>
      </w:r>
      <w:r w:rsidRPr="00F927CB">
        <w:rPr>
          <w:rFonts w:ascii="宋体" w:eastAsia="宋体" w:hAnsi="宋体" w:hint="eastAsia"/>
          <w:sz w:val="24"/>
          <w:szCs w:val="24"/>
        </w:rPr>
        <w:t>。</w:t>
      </w:r>
    </w:p>
    <w:p w14:paraId="27355199" w14:textId="51EBF312" w:rsidR="00AA390A" w:rsidRPr="00F927CB" w:rsidRDefault="00AA390A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/>
          <w:sz w:val="24"/>
          <w:szCs w:val="24"/>
        </w:rPr>
        <w:t xml:space="preserve">3. </w:t>
      </w:r>
      <w:r w:rsidRPr="00F927CB">
        <w:rPr>
          <w:rFonts w:ascii="宋体" w:eastAsia="宋体" w:hAnsi="宋体" w:hint="eastAsia"/>
          <w:sz w:val="24"/>
          <w:szCs w:val="24"/>
        </w:rPr>
        <w:t>验证试验：</w:t>
      </w:r>
      <w:r w:rsidR="00A44100" w:rsidRPr="00F927CB">
        <w:rPr>
          <w:rFonts w:ascii="宋体" w:eastAsia="宋体" w:hAnsi="宋体" w:hint="eastAsia"/>
          <w:sz w:val="24"/>
          <w:szCs w:val="24"/>
        </w:rPr>
        <w:t>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年1月至2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年4月进行验证试验</w:t>
      </w:r>
      <w:r w:rsidRPr="00F927CB">
        <w:rPr>
          <w:rFonts w:ascii="宋体" w:eastAsia="宋体" w:hAnsi="宋体" w:hint="eastAsia"/>
          <w:sz w:val="24"/>
          <w:szCs w:val="24"/>
        </w:rPr>
        <w:t>。</w:t>
      </w:r>
    </w:p>
    <w:p w14:paraId="727BD098" w14:textId="4F9FC7CA" w:rsidR="00AA390A" w:rsidRPr="00F927CB" w:rsidRDefault="00AA390A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/>
          <w:sz w:val="24"/>
          <w:szCs w:val="24"/>
        </w:rPr>
        <w:t xml:space="preserve">4. </w:t>
      </w:r>
      <w:r w:rsidRPr="00F927CB">
        <w:rPr>
          <w:rFonts w:ascii="宋体" w:eastAsia="宋体" w:hAnsi="宋体" w:hint="eastAsia"/>
          <w:sz w:val="24"/>
          <w:szCs w:val="24"/>
        </w:rPr>
        <w:t>征求意见及修改：</w:t>
      </w:r>
      <w:r w:rsidR="00A44100" w:rsidRPr="00F927CB">
        <w:rPr>
          <w:rFonts w:ascii="宋体" w:eastAsia="宋体" w:hAnsi="宋体" w:hint="eastAsia"/>
          <w:sz w:val="24"/>
          <w:szCs w:val="24"/>
        </w:rPr>
        <w:t>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年4月至2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年9月进行征求意见和修改</w:t>
      </w:r>
      <w:r w:rsidRPr="00F927CB">
        <w:rPr>
          <w:rFonts w:ascii="宋体" w:eastAsia="宋体" w:hAnsi="宋体" w:hint="eastAsia"/>
          <w:sz w:val="24"/>
          <w:szCs w:val="24"/>
        </w:rPr>
        <w:t>。</w:t>
      </w:r>
    </w:p>
    <w:p w14:paraId="22FCCF40" w14:textId="74795DF6" w:rsidR="00E4255A" w:rsidRPr="00F927CB" w:rsidRDefault="00AA390A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/>
          <w:sz w:val="24"/>
          <w:szCs w:val="24"/>
        </w:rPr>
        <w:t xml:space="preserve">5. </w:t>
      </w:r>
      <w:r w:rsidRPr="00F927CB">
        <w:rPr>
          <w:rFonts w:ascii="宋体" w:eastAsia="宋体" w:hAnsi="宋体" w:hint="eastAsia"/>
          <w:sz w:val="24"/>
          <w:szCs w:val="24"/>
        </w:rPr>
        <w:t>技术审查和项目验收：</w:t>
      </w:r>
      <w:r w:rsidR="00A44100" w:rsidRPr="00F927CB">
        <w:rPr>
          <w:rFonts w:ascii="宋体" w:eastAsia="宋体" w:hAnsi="宋体" w:hint="eastAsia"/>
          <w:sz w:val="24"/>
          <w:szCs w:val="24"/>
        </w:rPr>
        <w:t>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年9月至2</w:t>
      </w:r>
      <w:r w:rsidR="00A44100" w:rsidRPr="00F927CB">
        <w:rPr>
          <w:rFonts w:ascii="宋体" w:eastAsia="宋体" w:hAnsi="宋体"/>
          <w:sz w:val="24"/>
          <w:szCs w:val="24"/>
        </w:rPr>
        <w:t>025</w:t>
      </w:r>
      <w:r w:rsidR="00A44100" w:rsidRPr="00F927CB">
        <w:rPr>
          <w:rFonts w:ascii="宋体" w:eastAsia="宋体" w:hAnsi="宋体" w:hint="eastAsia"/>
          <w:sz w:val="24"/>
          <w:szCs w:val="24"/>
        </w:rPr>
        <w:t>年1</w:t>
      </w:r>
      <w:r w:rsidR="00A44100" w:rsidRPr="00F927CB">
        <w:rPr>
          <w:rFonts w:ascii="宋体" w:eastAsia="宋体" w:hAnsi="宋体"/>
          <w:sz w:val="24"/>
          <w:szCs w:val="24"/>
        </w:rPr>
        <w:t>2</w:t>
      </w:r>
      <w:r w:rsidR="00A44100" w:rsidRPr="00F927CB">
        <w:rPr>
          <w:rFonts w:ascii="宋体" w:eastAsia="宋体" w:hAnsi="宋体" w:hint="eastAsia"/>
          <w:sz w:val="24"/>
          <w:szCs w:val="24"/>
        </w:rPr>
        <w:t>月完成技术审查和项目验收。</w:t>
      </w:r>
    </w:p>
    <w:p w14:paraId="2C708ED5" w14:textId="264B9525" w:rsidR="00E4255A" w:rsidRPr="00F927CB" w:rsidRDefault="00E4255A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四、</w:t>
      </w:r>
      <w:r w:rsidR="0068204A" w:rsidRPr="00F927CB">
        <w:rPr>
          <w:rFonts w:ascii="宋体" w:eastAsia="宋体" w:hAnsi="宋体" w:hint="eastAsia"/>
          <w:b/>
          <w:sz w:val="28"/>
          <w:szCs w:val="28"/>
        </w:rPr>
        <w:t>编制原则</w:t>
      </w:r>
      <w:r w:rsidR="00E11773" w:rsidRPr="00F927CB">
        <w:rPr>
          <w:rFonts w:ascii="宋体" w:eastAsia="宋体" w:hAnsi="宋体" w:hint="eastAsia"/>
          <w:b/>
          <w:sz w:val="28"/>
          <w:szCs w:val="28"/>
        </w:rPr>
        <w:t>及</w:t>
      </w:r>
      <w:r w:rsidR="0068204A" w:rsidRPr="00F927CB">
        <w:rPr>
          <w:rFonts w:ascii="宋体" w:eastAsia="宋体" w:hAnsi="宋体" w:hint="eastAsia"/>
          <w:b/>
          <w:sz w:val="28"/>
          <w:szCs w:val="28"/>
        </w:rPr>
        <w:t>技术依据</w:t>
      </w:r>
    </w:p>
    <w:p w14:paraId="194AB38E" w14:textId="008C13CB" w:rsidR="000E463E" w:rsidRPr="00F927CB" w:rsidRDefault="00322F8B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本规范根据《2</w:t>
      </w:r>
      <w:r w:rsidRPr="00F927CB">
        <w:rPr>
          <w:rFonts w:ascii="宋体" w:eastAsia="宋体" w:hAnsi="宋体"/>
          <w:sz w:val="24"/>
          <w:szCs w:val="24"/>
        </w:rPr>
        <w:t>030</w:t>
      </w:r>
      <w:r w:rsidRPr="00F927CB">
        <w:rPr>
          <w:rFonts w:ascii="宋体" w:eastAsia="宋体" w:hAnsi="宋体" w:hint="eastAsia"/>
          <w:sz w:val="24"/>
          <w:szCs w:val="24"/>
        </w:rPr>
        <w:t>年前碳达峰行动方案》、《中共中央国务院关于完整准确全面贯彻新发展理念做好碳达峰</w:t>
      </w:r>
      <w:r w:rsidR="00915FA2" w:rsidRPr="00F927CB">
        <w:rPr>
          <w:rFonts w:ascii="宋体" w:eastAsia="宋体" w:hAnsi="宋体" w:hint="eastAsia"/>
          <w:sz w:val="24"/>
          <w:szCs w:val="24"/>
        </w:rPr>
        <w:t>碳</w:t>
      </w:r>
      <w:r w:rsidRPr="00F927CB">
        <w:rPr>
          <w:rFonts w:ascii="宋体" w:eastAsia="宋体" w:hAnsi="宋体" w:hint="eastAsia"/>
          <w:sz w:val="24"/>
          <w:szCs w:val="24"/>
        </w:rPr>
        <w:t>中和工作的意见》、《建立健全碳达峰碳中和标准计量体系实施方案》</w:t>
      </w:r>
      <w:r w:rsidR="00915FA2" w:rsidRPr="00F927CB">
        <w:rPr>
          <w:rFonts w:ascii="宋体" w:eastAsia="宋体" w:hAnsi="宋体" w:hint="eastAsia"/>
          <w:sz w:val="24"/>
          <w:szCs w:val="24"/>
        </w:rPr>
        <w:t>、《计量发展规划（2</w:t>
      </w:r>
      <w:r w:rsidR="00915FA2" w:rsidRPr="00F927CB">
        <w:rPr>
          <w:rFonts w:ascii="宋体" w:eastAsia="宋体" w:hAnsi="宋体"/>
          <w:sz w:val="24"/>
          <w:szCs w:val="24"/>
        </w:rPr>
        <w:t>021-2035</w:t>
      </w:r>
      <w:r w:rsidR="00915FA2" w:rsidRPr="00F927CB">
        <w:rPr>
          <w:rFonts w:ascii="宋体" w:eastAsia="宋体" w:hAnsi="宋体" w:hint="eastAsia"/>
          <w:sz w:val="24"/>
          <w:szCs w:val="24"/>
        </w:rPr>
        <w:t>年）》、《建立健全碳达峰碳中和标准计量体系实施方案》等文件要求，从钢铁企业实际生产情况出发，参考了国内外相关资料，体现了科学性、完整性、准确性、可操作性等原则，在符合相关法律法规的前提下，制定了《</w:t>
      </w:r>
      <w:r w:rsidR="00BC2C23" w:rsidRPr="00F927CB">
        <w:rPr>
          <w:rFonts w:ascii="宋体" w:eastAsia="宋体" w:hAnsi="宋体" w:hint="eastAsia"/>
          <w:sz w:val="24"/>
          <w:szCs w:val="24"/>
        </w:rPr>
        <w:t>企业</w:t>
      </w:r>
      <w:r w:rsidR="0056764C">
        <w:rPr>
          <w:rFonts w:ascii="宋体" w:eastAsia="宋体" w:hAnsi="宋体" w:hint="eastAsia"/>
          <w:sz w:val="24"/>
          <w:szCs w:val="24"/>
        </w:rPr>
        <w:t>温室气体</w:t>
      </w:r>
      <w:r w:rsidR="00BC2C23" w:rsidRPr="00F927CB">
        <w:rPr>
          <w:rFonts w:ascii="宋体" w:eastAsia="宋体" w:hAnsi="宋体" w:hint="eastAsia"/>
          <w:sz w:val="24"/>
          <w:szCs w:val="24"/>
        </w:rPr>
        <w:t>排放计量器具配备及管理规范</w:t>
      </w:r>
      <w:r w:rsidR="00BC2C23" w:rsidRPr="00F927CB">
        <w:rPr>
          <w:rFonts w:ascii="宋体" w:eastAsia="宋体" w:hAnsi="宋体"/>
          <w:sz w:val="24"/>
          <w:szCs w:val="24"/>
        </w:rPr>
        <w:t xml:space="preserve"> 钢铁</w:t>
      </w:r>
      <w:r w:rsidR="00915FA2" w:rsidRPr="00F927CB">
        <w:rPr>
          <w:rFonts w:ascii="宋体" w:eastAsia="宋体" w:hAnsi="宋体" w:hint="eastAsia"/>
          <w:sz w:val="24"/>
          <w:szCs w:val="24"/>
        </w:rPr>
        <w:t>》</w:t>
      </w:r>
      <w:r w:rsidR="002B5BC0" w:rsidRPr="00F927CB">
        <w:rPr>
          <w:rFonts w:ascii="宋体" w:eastAsia="宋体" w:hAnsi="宋体" w:hint="eastAsia"/>
          <w:sz w:val="24"/>
          <w:szCs w:val="24"/>
        </w:rPr>
        <w:t>。</w:t>
      </w:r>
    </w:p>
    <w:p w14:paraId="22BCDFFC" w14:textId="4B17D37C" w:rsidR="0068204A" w:rsidRPr="00F927CB" w:rsidRDefault="009720C0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本规范重点参考</w:t>
      </w:r>
      <w:r w:rsidRPr="00F927CB">
        <w:rPr>
          <w:rFonts w:ascii="宋体" w:eastAsia="宋体" w:hAnsi="宋体"/>
          <w:sz w:val="24"/>
          <w:szCs w:val="24"/>
        </w:rPr>
        <w:t>JJF 1071-2010《国家计量校准规范编写规则》、GB</w:t>
      </w:r>
      <w:r w:rsidR="002C2351">
        <w:rPr>
          <w:rFonts w:ascii="宋体" w:eastAsia="宋体" w:hAnsi="宋体"/>
          <w:sz w:val="24"/>
          <w:szCs w:val="24"/>
        </w:rPr>
        <w:t>/T</w:t>
      </w:r>
      <w:r w:rsidRPr="00F927CB">
        <w:rPr>
          <w:rFonts w:ascii="宋体" w:eastAsia="宋体" w:hAnsi="宋体"/>
          <w:sz w:val="24"/>
          <w:szCs w:val="24"/>
        </w:rPr>
        <w:t xml:space="preserve"> 32150-</w:t>
      </w:r>
      <w:r w:rsidRPr="00F927CB">
        <w:rPr>
          <w:rFonts w:ascii="宋体" w:eastAsia="宋体" w:hAnsi="宋体"/>
          <w:sz w:val="24"/>
          <w:szCs w:val="24"/>
        </w:rPr>
        <w:lastRenderedPageBreak/>
        <w:t>201</w:t>
      </w:r>
      <w:r w:rsidR="00105B76">
        <w:rPr>
          <w:rFonts w:ascii="宋体" w:eastAsia="宋体" w:hAnsi="宋体"/>
          <w:sz w:val="24"/>
          <w:szCs w:val="24"/>
        </w:rPr>
        <w:t>5</w:t>
      </w:r>
      <w:r w:rsidRPr="00F927CB">
        <w:rPr>
          <w:rFonts w:ascii="宋体" w:eastAsia="宋体" w:hAnsi="宋体"/>
          <w:sz w:val="24"/>
          <w:szCs w:val="24"/>
        </w:rPr>
        <w:t>《工业企业温室气体排放核算和报告总则》、GB/T 32151.5-2015《室温气体排放核算与报告要求 第5部分：钢铁生产企业》、JJF 1356-2012《重点用能单位能源计量审查规范》</w:t>
      </w:r>
      <w:r w:rsidRPr="00F927CB">
        <w:rPr>
          <w:rFonts w:ascii="宋体" w:eastAsia="宋体" w:hAnsi="宋体" w:hint="eastAsia"/>
          <w:sz w:val="24"/>
          <w:szCs w:val="24"/>
        </w:rPr>
        <w:t>、</w:t>
      </w:r>
      <w:r w:rsidRPr="00F927CB">
        <w:rPr>
          <w:rFonts w:ascii="宋体" w:eastAsia="宋体" w:hAnsi="宋体"/>
          <w:sz w:val="24"/>
          <w:szCs w:val="24"/>
        </w:rPr>
        <w:t xml:space="preserve">GB </w:t>
      </w:r>
      <w:r w:rsidRPr="00E878CB">
        <w:rPr>
          <w:rFonts w:ascii="宋体" w:eastAsia="宋体" w:hAnsi="宋体"/>
          <w:sz w:val="24"/>
          <w:szCs w:val="24"/>
        </w:rPr>
        <w:t>17167-2025</w:t>
      </w:r>
      <w:r w:rsidRPr="00F927CB">
        <w:rPr>
          <w:rFonts w:ascii="宋体" w:eastAsia="宋体" w:hAnsi="宋体"/>
          <w:sz w:val="24"/>
          <w:szCs w:val="24"/>
        </w:rPr>
        <w:t>《用能单位能源计量器具配备和管理通则》、GB/T 21368-2008《钢铁企业能源计量器具配备和管理要求》、</w:t>
      </w:r>
      <w:r w:rsidR="000C3882" w:rsidRPr="000C3882">
        <w:rPr>
          <w:rFonts w:ascii="宋体" w:eastAsia="宋体" w:hAnsi="宋体"/>
          <w:sz w:val="24"/>
          <w:szCs w:val="24"/>
        </w:rPr>
        <w:t>T/CMA CC 199-2024《企业温室气体排放计量器具配备和管理通则》</w:t>
      </w:r>
      <w:r w:rsidR="000C3882">
        <w:rPr>
          <w:rFonts w:ascii="宋体" w:eastAsia="宋体" w:hAnsi="宋体" w:hint="eastAsia"/>
          <w:sz w:val="24"/>
          <w:szCs w:val="24"/>
        </w:rPr>
        <w:t>、</w:t>
      </w:r>
      <w:r w:rsidRPr="00F927CB">
        <w:rPr>
          <w:rFonts w:ascii="宋体" w:eastAsia="宋体" w:hAnsi="宋体"/>
          <w:sz w:val="24"/>
          <w:szCs w:val="24"/>
        </w:rPr>
        <w:t>Draft Guidance Document The Monitoring and Reporting Regulation –Guidance on Uncertainty Assessment-No4：2017的部分内容</w:t>
      </w:r>
      <w:r w:rsidRPr="00F927CB">
        <w:rPr>
          <w:rFonts w:ascii="宋体" w:eastAsia="宋体" w:hAnsi="宋体" w:hint="eastAsia"/>
          <w:sz w:val="24"/>
          <w:szCs w:val="24"/>
        </w:rPr>
        <w:t>，进行编写。</w:t>
      </w:r>
    </w:p>
    <w:p w14:paraId="6637DD25" w14:textId="786A4E46" w:rsidR="0068204A" w:rsidRPr="00F927CB" w:rsidRDefault="0068204A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五、</w:t>
      </w:r>
      <w:r w:rsidR="007007A7" w:rsidRPr="00F927CB">
        <w:rPr>
          <w:rFonts w:ascii="宋体" w:eastAsia="宋体" w:hAnsi="宋体" w:hint="eastAsia"/>
          <w:b/>
          <w:sz w:val="28"/>
          <w:szCs w:val="28"/>
        </w:rPr>
        <w:t>主要技术内容</w:t>
      </w:r>
    </w:p>
    <w:p w14:paraId="2149CE64" w14:textId="4A58778D" w:rsidR="007007A7" w:rsidRPr="00F927CB" w:rsidRDefault="0038478B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规范的主要内容包括：</w:t>
      </w:r>
    </w:p>
    <w:p w14:paraId="3EEF3CF5" w14:textId="50982F0C" w:rsidR="0038478B" w:rsidRPr="00F927CB" w:rsidRDefault="0038478B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1）范围，规定本规范适用的范围；</w:t>
      </w:r>
    </w:p>
    <w:p w14:paraId="7951CA47" w14:textId="458733D1" w:rsidR="0038478B" w:rsidRPr="00F927CB" w:rsidRDefault="0038478B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2）规范性引用文件，编制本规范所引用的规范、规程、标准；</w:t>
      </w:r>
    </w:p>
    <w:p w14:paraId="6EDBA174" w14:textId="03DAC72D" w:rsidR="0038478B" w:rsidRPr="00F927CB" w:rsidRDefault="0038478B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3）</w:t>
      </w:r>
      <w:r w:rsidR="0078538D" w:rsidRPr="00F927CB">
        <w:rPr>
          <w:rFonts w:ascii="宋体" w:eastAsia="宋体" w:hAnsi="宋体" w:hint="eastAsia"/>
          <w:sz w:val="24"/>
          <w:szCs w:val="24"/>
        </w:rPr>
        <w:t>术语及定义，定义本规范所出现的专业术语；</w:t>
      </w:r>
    </w:p>
    <w:p w14:paraId="7B17CC2E" w14:textId="10B257C1" w:rsidR="0078538D" w:rsidRPr="00F927CB" w:rsidRDefault="0078538D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4）</w:t>
      </w:r>
      <w:r w:rsidR="003C0C54" w:rsidRPr="00F927CB">
        <w:rPr>
          <w:rFonts w:ascii="宋体" w:eastAsia="宋体" w:hAnsi="宋体" w:hint="eastAsia"/>
          <w:sz w:val="24"/>
          <w:szCs w:val="24"/>
        </w:rPr>
        <w:t>概述，</w:t>
      </w:r>
      <w:r w:rsidR="00A34EF3" w:rsidRPr="00F927CB">
        <w:rPr>
          <w:rFonts w:ascii="宋体" w:eastAsia="宋体" w:hAnsi="宋体" w:hint="eastAsia"/>
          <w:sz w:val="24"/>
          <w:szCs w:val="24"/>
        </w:rPr>
        <w:t>描述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="00A34EF3" w:rsidRPr="00F927CB">
        <w:rPr>
          <w:rFonts w:ascii="宋体" w:eastAsia="宋体" w:hAnsi="宋体" w:hint="eastAsia"/>
          <w:sz w:val="24"/>
          <w:szCs w:val="24"/>
        </w:rPr>
        <w:t>排放计量方式</w:t>
      </w:r>
      <w:r w:rsidR="002C2351">
        <w:rPr>
          <w:rFonts w:ascii="宋体" w:eastAsia="宋体" w:hAnsi="宋体" w:hint="eastAsia"/>
          <w:sz w:val="24"/>
          <w:szCs w:val="24"/>
        </w:rPr>
        <w:t>、范围</w:t>
      </w:r>
      <w:r w:rsidR="00B053CF">
        <w:rPr>
          <w:rFonts w:ascii="宋体" w:eastAsia="宋体" w:hAnsi="宋体" w:hint="eastAsia"/>
          <w:sz w:val="24"/>
          <w:szCs w:val="24"/>
        </w:rPr>
        <w:t>、</w:t>
      </w:r>
      <w:r w:rsidR="00B053CF" w:rsidRPr="00B053CF">
        <w:rPr>
          <w:rFonts w:ascii="宋体" w:eastAsia="宋体" w:hAnsi="宋体" w:hint="eastAsia"/>
          <w:sz w:val="24"/>
          <w:szCs w:val="24"/>
        </w:rPr>
        <w:t>排放源层级概念</w:t>
      </w:r>
      <w:r w:rsidR="00B053CF">
        <w:rPr>
          <w:rFonts w:ascii="宋体" w:eastAsia="宋体" w:hAnsi="宋体" w:hint="eastAsia"/>
          <w:sz w:val="24"/>
          <w:szCs w:val="24"/>
        </w:rPr>
        <w:t>、企业边界</w:t>
      </w:r>
      <w:r w:rsidR="002C2351">
        <w:rPr>
          <w:rFonts w:ascii="宋体" w:eastAsia="宋体" w:hAnsi="宋体" w:hint="eastAsia"/>
          <w:sz w:val="24"/>
          <w:szCs w:val="24"/>
        </w:rPr>
        <w:t>和计量器具配备原则</w:t>
      </w:r>
      <w:r w:rsidR="00A34EF3" w:rsidRPr="00F927CB">
        <w:rPr>
          <w:rFonts w:ascii="宋体" w:eastAsia="宋体" w:hAnsi="宋体" w:hint="eastAsia"/>
          <w:sz w:val="24"/>
          <w:szCs w:val="24"/>
        </w:rPr>
        <w:t>；</w:t>
      </w:r>
    </w:p>
    <w:p w14:paraId="66FA9430" w14:textId="55B89420" w:rsidR="003C0C54" w:rsidRPr="00F927CB" w:rsidRDefault="003C0C54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5）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="00A34EF3" w:rsidRPr="00F927CB">
        <w:rPr>
          <w:rFonts w:ascii="宋体" w:eastAsia="宋体" w:hAnsi="宋体" w:hint="eastAsia"/>
          <w:sz w:val="24"/>
          <w:szCs w:val="24"/>
        </w:rPr>
        <w:t>排放计量器具配备要求，</w:t>
      </w:r>
      <w:r w:rsidR="009B720E" w:rsidRPr="00F927CB">
        <w:rPr>
          <w:rFonts w:ascii="宋体" w:eastAsia="宋体" w:hAnsi="宋体" w:hint="eastAsia"/>
          <w:sz w:val="24"/>
          <w:szCs w:val="24"/>
        </w:rPr>
        <w:t>对计量器具种类、不确定度、配备率</w:t>
      </w:r>
      <w:r w:rsidR="00B053CF">
        <w:rPr>
          <w:rFonts w:ascii="宋体" w:eastAsia="宋体" w:hAnsi="宋体" w:hint="eastAsia"/>
          <w:sz w:val="24"/>
          <w:szCs w:val="24"/>
        </w:rPr>
        <w:t>、</w:t>
      </w:r>
      <w:r w:rsidR="00B053CF" w:rsidRPr="00B053CF">
        <w:rPr>
          <w:rFonts w:ascii="宋体" w:eastAsia="宋体" w:hAnsi="宋体" w:hint="eastAsia"/>
          <w:sz w:val="24"/>
          <w:szCs w:val="24"/>
        </w:rPr>
        <w:t>计量器具点位分布</w:t>
      </w:r>
      <w:r w:rsidR="00B053CF">
        <w:rPr>
          <w:rFonts w:ascii="宋体" w:eastAsia="宋体" w:hAnsi="宋体" w:hint="eastAsia"/>
          <w:sz w:val="24"/>
          <w:szCs w:val="24"/>
        </w:rPr>
        <w:t>、</w:t>
      </w:r>
      <w:r w:rsidR="00B053CF" w:rsidRPr="00B053CF">
        <w:rPr>
          <w:rFonts w:ascii="宋体" w:eastAsia="宋体" w:hAnsi="宋体" w:hint="eastAsia"/>
          <w:sz w:val="24"/>
          <w:szCs w:val="24"/>
        </w:rPr>
        <w:t>工序及企业边界计量</w:t>
      </w:r>
      <w:r w:rsidR="009B720E" w:rsidRPr="00F927CB">
        <w:rPr>
          <w:rFonts w:ascii="宋体" w:eastAsia="宋体" w:hAnsi="宋体" w:hint="eastAsia"/>
          <w:sz w:val="24"/>
          <w:szCs w:val="24"/>
        </w:rPr>
        <w:t>等进行要求和说明；</w:t>
      </w:r>
    </w:p>
    <w:p w14:paraId="1C57CE29" w14:textId="2B160AB5" w:rsidR="00A34EF3" w:rsidRPr="00F927CB" w:rsidRDefault="00A34EF3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6）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 w:hint="eastAsia"/>
          <w:sz w:val="24"/>
          <w:szCs w:val="24"/>
        </w:rPr>
        <w:t>排放计量器具管理要求，</w:t>
      </w:r>
      <w:r w:rsidR="009B720E" w:rsidRPr="00F927CB">
        <w:rPr>
          <w:rFonts w:ascii="宋体" w:eastAsia="宋体" w:hAnsi="宋体" w:hint="eastAsia"/>
          <w:sz w:val="24"/>
          <w:szCs w:val="24"/>
        </w:rPr>
        <w:t>对计量器具</w:t>
      </w:r>
      <w:r w:rsidR="00B053CF">
        <w:rPr>
          <w:rFonts w:ascii="宋体" w:eastAsia="宋体" w:hAnsi="宋体" w:hint="eastAsia"/>
          <w:sz w:val="24"/>
          <w:szCs w:val="24"/>
        </w:rPr>
        <w:t>和人员</w:t>
      </w:r>
      <w:bookmarkStart w:id="0" w:name="_GoBack"/>
      <w:bookmarkEnd w:id="0"/>
      <w:r w:rsidR="009B720E" w:rsidRPr="00F927CB">
        <w:rPr>
          <w:rFonts w:ascii="宋体" w:eastAsia="宋体" w:hAnsi="宋体" w:hint="eastAsia"/>
          <w:sz w:val="24"/>
          <w:szCs w:val="24"/>
        </w:rPr>
        <w:t>管理进行要求和说明</w:t>
      </w:r>
      <w:r w:rsidR="00E86C02" w:rsidRPr="00F927CB">
        <w:rPr>
          <w:rFonts w:ascii="宋体" w:eastAsia="宋体" w:hAnsi="宋体" w:hint="eastAsia"/>
          <w:sz w:val="24"/>
          <w:szCs w:val="24"/>
        </w:rPr>
        <w:t>；</w:t>
      </w:r>
    </w:p>
    <w:p w14:paraId="6F2B94BD" w14:textId="2A553575" w:rsidR="00E86C02" w:rsidRPr="00F927CB" w:rsidRDefault="00E86C02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7）计量管理报告参考，制定了企业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 w:hint="eastAsia"/>
          <w:sz w:val="24"/>
          <w:szCs w:val="24"/>
        </w:rPr>
        <w:t>排放计量器具管理相关表格。</w:t>
      </w:r>
    </w:p>
    <w:p w14:paraId="2A51B055" w14:textId="3226F396" w:rsidR="007007A7" w:rsidRPr="00F927CB" w:rsidRDefault="007007A7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六、规范内容要点说明</w:t>
      </w:r>
    </w:p>
    <w:p w14:paraId="49BB90DE" w14:textId="277DBB3B" w:rsidR="0004709C" w:rsidRPr="00F927CB" w:rsidRDefault="004212C8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1</w:t>
      </w:r>
      <w:r w:rsidRPr="00F927CB">
        <w:rPr>
          <w:rFonts w:ascii="宋体" w:eastAsia="宋体" w:hAnsi="宋体"/>
          <w:sz w:val="24"/>
          <w:szCs w:val="24"/>
        </w:rPr>
        <w:t>.</w:t>
      </w:r>
      <w:r w:rsidR="0004709C" w:rsidRPr="00F927CB">
        <w:rPr>
          <w:rFonts w:ascii="宋体" w:eastAsia="宋体" w:hAnsi="宋体" w:hint="eastAsia"/>
          <w:sz w:val="24"/>
          <w:szCs w:val="24"/>
        </w:rPr>
        <w:t>本规定适用于采用</w:t>
      </w:r>
      <w:r w:rsidR="007D28CE">
        <w:rPr>
          <w:rFonts w:ascii="宋体" w:eastAsia="宋体" w:hAnsi="宋体" w:hint="eastAsia"/>
          <w:sz w:val="24"/>
          <w:szCs w:val="24"/>
        </w:rPr>
        <w:t>实</w:t>
      </w:r>
      <w:r w:rsidR="0004709C" w:rsidRPr="00F927CB">
        <w:rPr>
          <w:rFonts w:ascii="宋体" w:eastAsia="宋体" w:hAnsi="宋体" w:hint="eastAsia"/>
          <w:sz w:val="24"/>
          <w:szCs w:val="24"/>
        </w:rPr>
        <w:t>测法和</w:t>
      </w:r>
      <w:r w:rsidR="007D28CE">
        <w:rPr>
          <w:rFonts w:ascii="宋体" w:eastAsia="宋体" w:hAnsi="宋体" w:hint="eastAsia"/>
          <w:sz w:val="24"/>
          <w:szCs w:val="24"/>
        </w:rPr>
        <w:t>计</w:t>
      </w:r>
      <w:r w:rsidR="0004709C" w:rsidRPr="00F927CB">
        <w:rPr>
          <w:rFonts w:ascii="宋体" w:eastAsia="宋体" w:hAnsi="宋体" w:hint="eastAsia"/>
          <w:sz w:val="24"/>
          <w:szCs w:val="24"/>
        </w:rPr>
        <w:t>算法的钢铁行业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="0004709C" w:rsidRPr="00F927CB">
        <w:rPr>
          <w:rFonts w:ascii="宋体" w:eastAsia="宋体" w:hAnsi="宋体" w:hint="eastAsia"/>
          <w:sz w:val="24"/>
          <w:szCs w:val="24"/>
        </w:rPr>
        <w:t>排放计量器具（系统）配备及管理；</w:t>
      </w:r>
    </w:p>
    <w:p w14:paraId="1B5B9B8F" w14:textId="1D847F28" w:rsidR="0064146C" w:rsidRPr="00F927CB" w:rsidRDefault="00246577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2</w:t>
      </w:r>
      <w:r w:rsidRPr="00F927CB">
        <w:rPr>
          <w:rFonts w:ascii="宋体" w:eastAsia="宋体" w:hAnsi="宋体"/>
          <w:sz w:val="24"/>
          <w:szCs w:val="24"/>
        </w:rPr>
        <w:t>.</w:t>
      </w:r>
      <w:r w:rsidRPr="00F927CB">
        <w:rPr>
          <w:rFonts w:ascii="宋体" w:eastAsia="宋体" w:hAnsi="宋体" w:hint="eastAsia"/>
          <w:sz w:val="24"/>
          <w:szCs w:val="24"/>
        </w:rPr>
        <w:t>本规范</w:t>
      </w:r>
      <w:r w:rsidR="004212C8" w:rsidRPr="00F927CB">
        <w:rPr>
          <w:rFonts w:ascii="宋体" w:eastAsia="宋体" w:hAnsi="宋体" w:hint="eastAsia"/>
          <w:sz w:val="24"/>
          <w:szCs w:val="24"/>
        </w:rPr>
        <w:t>规定了主要、次要和微量</w:t>
      </w:r>
      <w:r w:rsidR="0072033E" w:rsidRPr="00F927CB">
        <w:rPr>
          <w:rFonts w:ascii="宋体" w:eastAsia="宋体" w:hAnsi="宋体" w:hint="eastAsia"/>
          <w:sz w:val="24"/>
          <w:szCs w:val="24"/>
        </w:rPr>
        <w:t>源流的定义，</w:t>
      </w:r>
      <w:r w:rsidR="00ED3C3F" w:rsidRPr="00F927CB">
        <w:rPr>
          <w:rFonts w:ascii="宋体" w:eastAsia="宋体" w:hAnsi="宋体" w:hint="eastAsia"/>
          <w:sz w:val="24"/>
          <w:szCs w:val="24"/>
        </w:rPr>
        <w:t>有利于企业</w:t>
      </w:r>
      <w:r w:rsidRPr="00F927CB">
        <w:rPr>
          <w:rFonts w:ascii="宋体" w:eastAsia="宋体" w:hAnsi="宋体" w:hint="eastAsia"/>
          <w:sz w:val="24"/>
          <w:szCs w:val="24"/>
        </w:rPr>
        <w:t>对不同</w:t>
      </w:r>
      <w:r w:rsidR="00ED3C3F" w:rsidRPr="00F927CB">
        <w:rPr>
          <w:rFonts w:ascii="宋体" w:eastAsia="宋体" w:hAnsi="宋体" w:hint="eastAsia"/>
          <w:sz w:val="24"/>
          <w:szCs w:val="24"/>
        </w:rPr>
        <w:t>碳排放源</w:t>
      </w:r>
      <w:r w:rsidRPr="00F927CB">
        <w:rPr>
          <w:rFonts w:ascii="宋体" w:eastAsia="宋体" w:hAnsi="宋体" w:hint="eastAsia"/>
          <w:sz w:val="24"/>
          <w:szCs w:val="24"/>
        </w:rPr>
        <w:t>分级</w:t>
      </w:r>
      <w:r w:rsidR="00ED3C3F" w:rsidRPr="00F927CB">
        <w:rPr>
          <w:rFonts w:ascii="宋体" w:eastAsia="宋体" w:hAnsi="宋体" w:hint="eastAsia"/>
          <w:sz w:val="24"/>
          <w:szCs w:val="24"/>
        </w:rPr>
        <w:t>及管理；</w:t>
      </w:r>
    </w:p>
    <w:p w14:paraId="1E86AF1B" w14:textId="79F13E29" w:rsidR="004A4A22" w:rsidRPr="00F927CB" w:rsidRDefault="00246577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/>
          <w:sz w:val="24"/>
          <w:szCs w:val="24"/>
        </w:rPr>
        <w:t>3</w:t>
      </w:r>
      <w:r w:rsidR="004A4A22" w:rsidRPr="00F927CB">
        <w:rPr>
          <w:rFonts w:ascii="宋体" w:eastAsia="宋体" w:hAnsi="宋体"/>
          <w:sz w:val="24"/>
          <w:szCs w:val="24"/>
        </w:rPr>
        <w:t>.</w:t>
      </w:r>
      <w:r w:rsidR="00E27727" w:rsidRPr="00F927CB">
        <w:rPr>
          <w:rFonts w:ascii="宋体" w:eastAsia="宋体" w:hAnsi="宋体" w:hint="eastAsia"/>
          <w:sz w:val="24"/>
          <w:szCs w:val="24"/>
        </w:rPr>
        <w:t>本规定针对钢铁行业</w:t>
      </w:r>
      <w:r w:rsidR="00F00B87">
        <w:rPr>
          <w:rFonts w:ascii="宋体" w:eastAsia="宋体" w:hAnsi="宋体" w:hint="eastAsia"/>
          <w:sz w:val="24"/>
          <w:szCs w:val="24"/>
        </w:rPr>
        <w:t>温室气体</w:t>
      </w:r>
      <w:r w:rsidR="00E27727" w:rsidRPr="00F927CB">
        <w:rPr>
          <w:rFonts w:ascii="宋体" w:eastAsia="宋体" w:hAnsi="宋体" w:hint="eastAsia"/>
          <w:sz w:val="24"/>
          <w:szCs w:val="24"/>
        </w:rPr>
        <w:t>排放</w:t>
      </w:r>
      <w:r w:rsidR="00F218BA" w:rsidRPr="00F927CB">
        <w:rPr>
          <w:rFonts w:ascii="宋体" w:eastAsia="宋体" w:hAnsi="宋体" w:hint="eastAsia"/>
          <w:sz w:val="24"/>
          <w:szCs w:val="24"/>
        </w:rPr>
        <w:t>计量各类器具均规定了配备级别、配备率、不确定度、最大允许误差等</w:t>
      </w:r>
      <w:r w:rsidR="002F2C23" w:rsidRPr="00F927CB">
        <w:rPr>
          <w:rFonts w:ascii="宋体" w:eastAsia="宋体" w:hAnsi="宋体" w:hint="eastAsia"/>
          <w:sz w:val="24"/>
          <w:szCs w:val="24"/>
        </w:rPr>
        <w:t>要求；</w:t>
      </w:r>
    </w:p>
    <w:p w14:paraId="23928EFA" w14:textId="31BF13F2" w:rsidR="005E1EB7" w:rsidRPr="00F927CB" w:rsidRDefault="0013372F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4</w:t>
      </w:r>
      <w:r w:rsidRPr="00F927CB">
        <w:rPr>
          <w:rFonts w:ascii="宋体" w:eastAsia="宋体" w:hAnsi="宋体"/>
          <w:sz w:val="24"/>
          <w:szCs w:val="24"/>
        </w:rPr>
        <w:t>.</w:t>
      </w:r>
      <w:r w:rsidRPr="00F927CB">
        <w:rPr>
          <w:rFonts w:ascii="宋体" w:eastAsia="宋体" w:hAnsi="宋体" w:hint="eastAsia"/>
          <w:sz w:val="24"/>
          <w:szCs w:val="24"/>
        </w:rPr>
        <w:t>目前国内尚无针对钢铁企业</w:t>
      </w:r>
      <w:r w:rsidR="00320ECE">
        <w:rPr>
          <w:rFonts w:ascii="宋体" w:eastAsia="宋体" w:hAnsi="宋体" w:hint="eastAsia"/>
          <w:sz w:val="24"/>
          <w:szCs w:val="24"/>
        </w:rPr>
        <w:t>温室气体</w:t>
      </w:r>
      <w:r w:rsidRPr="00F927CB">
        <w:rPr>
          <w:rFonts w:ascii="宋体" w:eastAsia="宋体" w:hAnsi="宋体" w:hint="eastAsia"/>
          <w:sz w:val="24"/>
          <w:szCs w:val="24"/>
        </w:rPr>
        <w:t>排放计量器具的配备和管理的明确规定，本规范不足了相关空白，相关行业和企业可以参考本规范进行管理。</w:t>
      </w:r>
    </w:p>
    <w:p w14:paraId="4AAD8149" w14:textId="00BA18A6" w:rsidR="0064146C" w:rsidRPr="00F927CB" w:rsidRDefault="00E11773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七、与有关的现行法律、规范和强制性国家标准的关系</w:t>
      </w:r>
    </w:p>
    <w:p w14:paraId="7E505B96" w14:textId="3D390F86" w:rsidR="00E11773" w:rsidRPr="00F927CB" w:rsidRDefault="00E11773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本规范在现行法律、法规和强制性国家标准规定下编制，无冲突。</w:t>
      </w:r>
    </w:p>
    <w:p w14:paraId="669624C2" w14:textId="482C7CD5" w:rsidR="00E11773" w:rsidRPr="00F927CB" w:rsidRDefault="00E11773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八、重大分歧意见的处理经过和依据</w:t>
      </w:r>
    </w:p>
    <w:p w14:paraId="6DBDD782" w14:textId="347124D3" w:rsidR="00E11773" w:rsidRPr="00F927CB" w:rsidRDefault="00E11773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lastRenderedPageBreak/>
        <w:t>本规范在制定过程中无重大意见分歧。</w:t>
      </w:r>
    </w:p>
    <w:p w14:paraId="23CD2433" w14:textId="22027A7D" w:rsidR="00E11773" w:rsidRPr="00F927CB" w:rsidRDefault="00E11773" w:rsidP="009D66AE">
      <w:pPr>
        <w:spacing w:beforeLines="50" w:before="156" w:afterLines="50" w:after="156" w:line="360" w:lineRule="auto"/>
        <w:rPr>
          <w:rFonts w:ascii="宋体" w:eastAsia="宋体" w:hAnsi="宋体"/>
          <w:b/>
          <w:sz w:val="28"/>
          <w:szCs w:val="28"/>
        </w:rPr>
      </w:pPr>
      <w:r w:rsidRPr="00F927CB">
        <w:rPr>
          <w:rFonts w:ascii="宋体" w:eastAsia="宋体" w:hAnsi="宋体" w:hint="eastAsia"/>
          <w:b/>
          <w:sz w:val="28"/>
          <w:szCs w:val="28"/>
        </w:rPr>
        <w:t>九、其他应予以说明的事项</w:t>
      </w:r>
    </w:p>
    <w:p w14:paraId="5421D4AB" w14:textId="1414DC8C" w:rsidR="00E11773" w:rsidRPr="00F927CB" w:rsidRDefault="00E11773" w:rsidP="00C405D5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7CB">
        <w:rPr>
          <w:rFonts w:ascii="宋体" w:eastAsia="宋体" w:hAnsi="宋体" w:hint="eastAsia"/>
          <w:sz w:val="24"/>
          <w:szCs w:val="24"/>
        </w:rPr>
        <w:t>本规范不涉及专利、著作权等知识产权内容。</w:t>
      </w:r>
    </w:p>
    <w:p w14:paraId="729FD832" w14:textId="77777777" w:rsidR="0064146C" w:rsidRPr="00F927CB" w:rsidRDefault="0064146C" w:rsidP="00F927CB">
      <w:pPr>
        <w:spacing w:line="288" w:lineRule="auto"/>
        <w:rPr>
          <w:rFonts w:ascii="宋体" w:eastAsia="宋体" w:hAnsi="宋体"/>
          <w:sz w:val="24"/>
          <w:szCs w:val="24"/>
        </w:rPr>
      </w:pPr>
    </w:p>
    <w:sectPr w:rsidR="0064146C" w:rsidRPr="00F927CB" w:rsidSect="0050177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EF31" w14:textId="77777777" w:rsidR="00F04D1E" w:rsidRDefault="00F04D1E" w:rsidP="009C6DE7">
      <w:r>
        <w:separator/>
      </w:r>
    </w:p>
  </w:endnote>
  <w:endnote w:type="continuationSeparator" w:id="0">
    <w:p w14:paraId="69847BE8" w14:textId="77777777" w:rsidR="00F04D1E" w:rsidRDefault="00F04D1E" w:rsidP="009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5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29A745" w14:textId="374D9F32" w:rsidR="00501772" w:rsidRPr="00501772" w:rsidRDefault="00501772" w:rsidP="00501772">
        <w:pPr>
          <w:pStyle w:val="a5"/>
          <w:jc w:val="center"/>
          <w:rPr>
            <w:rFonts w:ascii="Times New Roman" w:hAnsi="Times New Roman" w:cs="Times New Roman"/>
          </w:rPr>
        </w:pPr>
        <w:r w:rsidRPr="00501772">
          <w:rPr>
            <w:rFonts w:ascii="Times New Roman" w:hAnsi="Times New Roman" w:cs="Times New Roman"/>
          </w:rPr>
          <w:fldChar w:fldCharType="begin"/>
        </w:r>
        <w:r w:rsidRPr="00501772">
          <w:rPr>
            <w:rFonts w:ascii="Times New Roman" w:hAnsi="Times New Roman" w:cs="Times New Roman"/>
          </w:rPr>
          <w:instrText>PAGE   \* MERGEFORMAT</w:instrText>
        </w:r>
        <w:r w:rsidRPr="00501772">
          <w:rPr>
            <w:rFonts w:ascii="Times New Roman" w:hAnsi="Times New Roman" w:cs="Times New Roman"/>
          </w:rPr>
          <w:fldChar w:fldCharType="separate"/>
        </w:r>
        <w:r w:rsidRPr="00501772">
          <w:rPr>
            <w:rFonts w:ascii="Times New Roman" w:hAnsi="Times New Roman" w:cs="Times New Roman"/>
            <w:lang w:val="zh-CN"/>
          </w:rPr>
          <w:t>2</w:t>
        </w:r>
        <w:r w:rsidRPr="0050177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8C75" w14:textId="77777777" w:rsidR="00F04D1E" w:rsidRDefault="00F04D1E" w:rsidP="009C6DE7">
      <w:r>
        <w:separator/>
      </w:r>
    </w:p>
  </w:footnote>
  <w:footnote w:type="continuationSeparator" w:id="0">
    <w:p w14:paraId="15CCB319" w14:textId="77777777" w:rsidR="00F04D1E" w:rsidRDefault="00F04D1E" w:rsidP="009C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9"/>
    <w:rsid w:val="000206EE"/>
    <w:rsid w:val="0004709C"/>
    <w:rsid w:val="00071515"/>
    <w:rsid w:val="000C3882"/>
    <w:rsid w:val="000E463E"/>
    <w:rsid w:val="000F6E6C"/>
    <w:rsid w:val="000F74F8"/>
    <w:rsid w:val="00105B76"/>
    <w:rsid w:val="0013372F"/>
    <w:rsid w:val="00150C30"/>
    <w:rsid w:val="00172095"/>
    <w:rsid w:val="00174501"/>
    <w:rsid w:val="00187186"/>
    <w:rsid w:val="001918D7"/>
    <w:rsid w:val="00213B75"/>
    <w:rsid w:val="00246577"/>
    <w:rsid w:val="002A1EC7"/>
    <w:rsid w:val="002A418B"/>
    <w:rsid w:val="002A5D79"/>
    <w:rsid w:val="002B5BC0"/>
    <w:rsid w:val="002C2351"/>
    <w:rsid w:val="002F2824"/>
    <w:rsid w:val="002F2C23"/>
    <w:rsid w:val="002F43B3"/>
    <w:rsid w:val="00320ECE"/>
    <w:rsid w:val="00322F8B"/>
    <w:rsid w:val="00351D64"/>
    <w:rsid w:val="0038478B"/>
    <w:rsid w:val="003C0C54"/>
    <w:rsid w:val="003C379F"/>
    <w:rsid w:val="004212C8"/>
    <w:rsid w:val="00425518"/>
    <w:rsid w:val="004A4A22"/>
    <w:rsid w:val="004E5EA7"/>
    <w:rsid w:val="00501772"/>
    <w:rsid w:val="005019F6"/>
    <w:rsid w:val="0053356A"/>
    <w:rsid w:val="0056764C"/>
    <w:rsid w:val="005742C5"/>
    <w:rsid w:val="005C1D13"/>
    <w:rsid w:val="005E1EB7"/>
    <w:rsid w:val="00626F97"/>
    <w:rsid w:val="0064146C"/>
    <w:rsid w:val="0066018F"/>
    <w:rsid w:val="0068204A"/>
    <w:rsid w:val="006D2780"/>
    <w:rsid w:val="006F729E"/>
    <w:rsid w:val="007007A7"/>
    <w:rsid w:val="0072033E"/>
    <w:rsid w:val="007206E7"/>
    <w:rsid w:val="0078538D"/>
    <w:rsid w:val="0079569A"/>
    <w:rsid w:val="007D28CE"/>
    <w:rsid w:val="008004F5"/>
    <w:rsid w:val="00803F82"/>
    <w:rsid w:val="00820C60"/>
    <w:rsid w:val="008261C6"/>
    <w:rsid w:val="0085542D"/>
    <w:rsid w:val="008677EB"/>
    <w:rsid w:val="008F2547"/>
    <w:rsid w:val="00915FA2"/>
    <w:rsid w:val="00953B2B"/>
    <w:rsid w:val="00965697"/>
    <w:rsid w:val="009720C0"/>
    <w:rsid w:val="009A653B"/>
    <w:rsid w:val="009B720E"/>
    <w:rsid w:val="009C6DE7"/>
    <w:rsid w:val="009D59A3"/>
    <w:rsid w:val="009D66AE"/>
    <w:rsid w:val="00A24936"/>
    <w:rsid w:val="00A250D3"/>
    <w:rsid w:val="00A34EF3"/>
    <w:rsid w:val="00A44100"/>
    <w:rsid w:val="00A61E59"/>
    <w:rsid w:val="00A757A5"/>
    <w:rsid w:val="00AA390A"/>
    <w:rsid w:val="00B053CF"/>
    <w:rsid w:val="00B737E9"/>
    <w:rsid w:val="00B8474B"/>
    <w:rsid w:val="00BA6D04"/>
    <w:rsid w:val="00BC2C23"/>
    <w:rsid w:val="00BE2632"/>
    <w:rsid w:val="00C166ED"/>
    <w:rsid w:val="00C320B4"/>
    <w:rsid w:val="00C405D5"/>
    <w:rsid w:val="00C828A7"/>
    <w:rsid w:val="00CD09C0"/>
    <w:rsid w:val="00D36EEE"/>
    <w:rsid w:val="00D737DE"/>
    <w:rsid w:val="00DA2B0D"/>
    <w:rsid w:val="00DA5F45"/>
    <w:rsid w:val="00DB0DEA"/>
    <w:rsid w:val="00DE10E8"/>
    <w:rsid w:val="00E11773"/>
    <w:rsid w:val="00E27727"/>
    <w:rsid w:val="00E4255A"/>
    <w:rsid w:val="00E8438A"/>
    <w:rsid w:val="00E86C02"/>
    <w:rsid w:val="00E878CB"/>
    <w:rsid w:val="00EA4972"/>
    <w:rsid w:val="00ED3C3F"/>
    <w:rsid w:val="00F00B87"/>
    <w:rsid w:val="00F04D1E"/>
    <w:rsid w:val="00F218BA"/>
    <w:rsid w:val="00F54315"/>
    <w:rsid w:val="00F64021"/>
    <w:rsid w:val="00F927CB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E420"/>
  <w15:chartTrackingRefBased/>
  <w15:docId w15:val="{65E49DEF-3247-46DD-BA8D-737F093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D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61E5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6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793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69454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66738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5436120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74116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617183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373959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29868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81457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40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03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907525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452570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49382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5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72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78052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266173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1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206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39492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64662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7297894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431163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75314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472018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46492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039797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E919-5B0B-4A24-A80B-C9B8806A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WangJie</dc:creator>
  <cp:keywords/>
  <dc:description/>
  <cp:lastModifiedBy>WangJie</cp:lastModifiedBy>
  <cp:revision>102</cp:revision>
  <cp:lastPrinted>2025-09-24T07:13:00Z</cp:lastPrinted>
  <dcterms:created xsi:type="dcterms:W3CDTF">2025-09-22T05:57:00Z</dcterms:created>
  <dcterms:modified xsi:type="dcterms:W3CDTF">2025-10-24T02:49:00Z</dcterms:modified>
</cp:coreProperties>
</file>