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7A045" w14:textId="77777777" w:rsidR="001B4BD2" w:rsidRDefault="001B4BD2" w:rsidP="001B4BD2">
      <w:pPr>
        <w:spacing w:line="288" w:lineRule="auto"/>
        <w:jc w:val="center"/>
        <w:rPr>
          <w:rFonts w:ascii="Times New Roman" w:eastAsia="宋体" w:hAnsi="Times New Roman" w:cs="Times New Roman"/>
          <w:b/>
          <w:sz w:val="44"/>
          <w:szCs w:val="44"/>
        </w:rPr>
      </w:pPr>
    </w:p>
    <w:p w14:paraId="2C8C7300" w14:textId="77777777" w:rsidR="001B4BD2" w:rsidRDefault="001B4BD2" w:rsidP="001B4BD2">
      <w:pPr>
        <w:spacing w:line="288" w:lineRule="auto"/>
        <w:jc w:val="center"/>
        <w:rPr>
          <w:rFonts w:ascii="Times New Roman" w:eastAsia="宋体" w:hAnsi="Times New Roman" w:cs="Times New Roman"/>
          <w:b/>
          <w:sz w:val="44"/>
          <w:szCs w:val="44"/>
        </w:rPr>
      </w:pPr>
    </w:p>
    <w:p w14:paraId="23248B43" w14:textId="77777777" w:rsidR="001B4BD2" w:rsidRPr="0053356A" w:rsidRDefault="001B4BD2" w:rsidP="001B4BD2">
      <w:pPr>
        <w:spacing w:beforeLines="50" w:before="156" w:afterLines="50" w:after="156" w:line="360" w:lineRule="auto"/>
        <w:jc w:val="center"/>
        <w:rPr>
          <w:rFonts w:ascii="Times New Roman" w:eastAsia="宋体" w:hAnsi="Times New Roman" w:cs="Times New Roman"/>
          <w:b/>
          <w:sz w:val="44"/>
          <w:szCs w:val="44"/>
        </w:rPr>
      </w:pPr>
      <w:r w:rsidRPr="0053356A">
        <w:rPr>
          <w:rFonts w:ascii="Times New Roman" w:eastAsia="宋体" w:hAnsi="Times New Roman" w:cs="Times New Roman"/>
          <w:b/>
          <w:sz w:val="44"/>
          <w:szCs w:val="44"/>
        </w:rPr>
        <w:t>JJF XXXX-202X</w:t>
      </w:r>
    </w:p>
    <w:p w14:paraId="4BFF4F06" w14:textId="1B91D449" w:rsidR="001B4BD2" w:rsidRPr="0053356A" w:rsidRDefault="001B4BD2" w:rsidP="001B4BD2">
      <w:pPr>
        <w:spacing w:beforeLines="50" w:before="156" w:afterLines="50" w:after="156" w:line="360" w:lineRule="auto"/>
        <w:jc w:val="center"/>
        <w:rPr>
          <w:rFonts w:ascii="Times New Roman" w:eastAsia="宋体" w:hAnsi="Times New Roman" w:cs="Times New Roman"/>
          <w:b/>
          <w:sz w:val="44"/>
          <w:szCs w:val="44"/>
        </w:rPr>
      </w:pPr>
      <w:r w:rsidRPr="0053356A">
        <w:rPr>
          <w:rFonts w:ascii="Times New Roman" w:eastAsia="宋体" w:hAnsi="Times New Roman" w:cs="Times New Roman"/>
          <w:b/>
          <w:sz w:val="44"/>
          <w:szCs w:val="44"/>
        </w:rPr>
        <w:t>《钢铁</w:t>
      </w:r>
      <w:r w:rsidR="001865F4" w:rsidRPr="001865F4">
        <w:rPr>
          <w:rFonts w:ascii="Times New Roman" w:eastAsia="宋体" w:hAnsi="Times New Roman" w:cs="Times New Roman" w:hint="eastAsia"/>
          <w:b/>
          <w:sz w:val="44"/>
          <w:szCs w:val="44"/>
        </w:rPr>
        <w:t>行业酸洗、磷化、镀锌车间碳排放评价技术规范</w:t>
      </w:r>
      <w:r w:rsidRPr="0053356A">
        <w:rPr>
          <w:rFonts w:ascii="Times New Roman" w:eastAsia="宋体" w:hAnsi="Times New Roman" w:cs="Times New Roman"/>
          <w:b/>
          <w:sz w:val="44"/>
          <w:szCs w:val="44"/>
        </w:rPr>
        <w:t>》</w:t>
      </w:r>
    </w:p>
    <w:p w14:paraId="1C87702D" w14:textId="77777777" w:rsidR="001B4BD2" w:rsidRPr="0053356A" w:rsidRDefault="001B4BD2" w:rsidP="001B4BD2">
      <w:pPr>
        <w:spacing w:beforeLines="50" w:before="156" w:afterLines="50" w:after="156" w:line="360" w:lineRule="auto"/>
        <w:rPr>
          <w:rFonts w:ascii="Times New Roman" w:eastAsia="宋体" w:hAnsi="Times New Roman" w:cs="Times New Roman"/>
          <w:sz w:val="24"/>
          <w:szCs w:val="24"/>
        </w:rPr>
      </w:pPr>
    </w:p>
    <w:p w14:paraId="12E71D68" w14:textId="77777777" w:rsidR="001B4BD2" w:rsidRPr="004E5EA7" w:rsidRDefault="001B4BD2" w:rsidP="001B4BD2">
      <w:pPr>
        <w:spacing w:beforeLines="50" w:before="156" w:afterLines="50" w:after="156" w:line="360" w:lineRule="auto"/>
        <w:jc w:val="center"/>
        <w:rPr>
          <w:rFonts w:ascii="黑体" w:eastAsia="黑体" w:hAnsi="黑体" w:cs="Times New Roman"/>
          <w:sz w:val="44"/>
          <w:szCs w:val="44"/>
        </w:rPr>
      </w:pPr>
      <w:r w:rsidRPr="004E5EA7">
        <w:rPr>
          <w:rFonts w:ascii="黑体" w:eastAsia="黑体" w:hAnsi="黑体" w:cs="Times New Roman"/>
          <w:sz w:val="44"/>
          <w:szCs w:val="44"/>
        </w:rPr>
        <w:t>编制说明</w:t>
      </w:r>
    </w:p>
    <w:p w14:paraId="475FD4F4" w14:textId="77777777" w:rsidR="001B4BD2" w:rsidRPr="0053356A" w:rsidRDefault="001B4BD2" w:rsidP="001B4BD2">
      <w:pPr>
        <w:spacing w:beforeLines="50" w:before="156" w:afterLines="50" w:after="156" w:line="360" w:lineRule="auto"/>
        <w:rPr>
          <w:rFonts w:ascii="Times New Roman" w:eastAsia="宋体" w:hAnsi="Times New Roman" w:cs="Times New Roman"/>
          <w:sz w:val="24"/>
          <w:szCs w:val="24"/>
        </w:rPr>
      </w:pPr>
    </w:p>
    <w:p w14:paraId="42797AFE" w14:textId="77777777" w:rsidR="001B4BD2" w:rsidRPr="0053356A" w:rsidRDefault="001B4BD2" w:rsidP="001B4BD2">
      <w:pPr>
        <w:spacing w:beforeLines="50" w:before="156" w:afterLines="50" w:after="156" w:line="360" w:lineRule="auto"/>
        <w:rPr>
          <w:rFonts w:ascii="Times New Roman" w:eastAsia="宋体" w:hAnsi="Times New Roman" w:cs="Times New Roman"/>
          <w:sz w:val="24"/>
          <w:szCs w:val="24"/>
        </w:rPr>
      </w:pPr>
    </w:p>
    <w:p w14:paraId="497040C2" w14:textId="77777777" w:rsidR="001B4BD2" w:rsidRPr="0053356A" w:rsidRDefault="001B4BD2" w:rsidP="001B4BD2">
      <w:pPr>
        <w:spacing w:beforeLines="50" w:before="156" w:afterLines="50" w:after="156" w:line="360" w:lineRule="auto"/>
        <w:rPr>
          <w:rFonts w:ascii="Times New Roman" w:eastAsia="宋体" w:hAnsi="Times New Roman" w:cs="Times New Roman"/>
          <w:sz w:val="24"/>
          <w:szCs w:val="24"/>
        </w:rPr>
      </w:pPr>
    </w:p>
    <w:p w14:paraId="72712E30" w14:textId="77777777" w:rsidR="001B4BD2" w:rsidRPr="0053356A" w:rsidRDefault="001B4BD2" w:rsidP="001B4BD2">
      <w:pPr>
        <w:spacing w:beforeLines="50" w:before="156" w:afterLines="50" w:after="156" w:line="360" w:lineRule="auto"/>
        <w:rPr>
          <w:rFonts w:ascii="Times New Roman" w:eastAsia="宋体" w:hAnsi="Times New Roman" w:cs="Times New Roman"/>
          <w:sz w:val="24"/>
          <w:szCs w:val="24"/>
        </w:rPr>
      </w:pPr>
    </w:p>
    <w:p w14:paraId="7B05CDDC" w14:textId="77777777" w:rsidR="001B4BD2" w:rsidRPr="0053356A" w:rsidRDefault="001B4BD2" w:rsidP="001B4BD2">
      <w:pPr>
        <w:spacing w:beforeLines="50" w:before="156" w:afterLines="50" w:after="156" w:line="360" w:lineRule="auto"/>
        <w:rPr>
          <w:rFonts w:ascii="Times New Roman" w:eastAsia="宋体" w:hAnsi="Times New Roman" w:cs="Times New Roman"/>
          <w:sz w:val="24"/>
          <w:szCs w:val="24"/>
        </w:rPr>
      </w:pPr>
    </w:p>
    <w:p w14:paraId="28B77CD1" w14:textId="77777777" w:rsidR="001B4BD2" w:rsidRPr="0053356A" w:rsidRDefault="001B4BD2" w:rsidP="001B4BD2">
      <w:pPr>
        <w:spacing w:beforeLines="50" w:before="156" w:afterLines="50" w:after="156" w:line="360" w:lineRule="auto"/>
        <w:rPr>
          <w:rFonts w:ascii="Times New Roman" w:eastAsia="宋体" w:hAnsi="Times New Roman" w:cs="Times New Roman"/>
          <w:sz w:val="24"/>
          <w:szCs w:val="24"/>
        </w:rPr>
      </w:pPr>
    </w:p>
    <w:p w14:paraId="223C1633" w14:textId="77777777" w:rsidR="001B4BD2" w:rsidRPr="0053356A" w:rsidRDefault="001B4BD2" w:rsidP="001B4BD2">
      <w:pPr>
        <w:spacing w:beforeLines="50" w:before="156" w:afterLines="50" w:after="156" w:line="360" w:lineRule="auto"/>
        <w:rPr>
          <w:rFonts w:ascii="Times New Roman" w:eastAsia="宋体" w:hAnsi="Times New Roman" w:cs="Times New Roman"/>
          <w:sz w:val="24"/>
          <w:szCs w:val="24"/>
        </w:rPr>
      </w:pPr>
    </w:p>
    <w:p w14:paraId="762C65CF" w14:textId="77777777" w:rsidR="001B4BD2" w:rsidRPr="0053356A" w:rsidRDefault="001B4BD2" w:rsidP="001B4BD2">
      <w:pPr>
        <w:spacing w:beforeLines="50" w:before="156" w:afterLines="50" w:after="156" w:line="360" w:lineRule="auto"/>
        <w:rPr>
          <w:rFonts w:ascii="Times New Roman" w:eastAsia="宋体" w:hAnsi="Times New Roman" w:cs="Times New Roman"/>
          <w:sz w:val="24"/>
          <w:szCs w:val="24"/>
        </w:rPr>
      </w:pPr>
    </w:p>
    <w:p w14:paraId="204ABAC0" w14:textId="77777777" w:rsidR="001B4BD2" w:rsidRPr="0053356A" w:rsidRDefault="001B4BD2" w:rsidP="001B4BD2">
      <w:pPr>
        <w:spacing w:beforeLines="50" w:before="156" w:afterLines="50" w:after="156" w:line="360" w:lineRule="auto"/>
        <w:rPr>
          <w:rFonts w:ascii="Times New Roman" w:eastAsia="宋体" w:hAnsi="Times New Roman" w:cs="Times New Roman"/>
          <w:sz w:val="24"/>
          <w:szCs w:val="24"/>
        </w:rPr>
      </w:pPr>
    </w:p>
    <w:p w14:paraId="6DEB17A9" w14:textId="77777777" w:rsidR="001B4BD2" w:rsidRPr="004E5EA7" w:rsidRDefault="001B4BD2" w:rsidP="001B4BD2">
      <w:pPr>
        <w:spacing w:beforeLines="50" w:before="156" w:afterLines="50" w:after="156" w:line="360" w:lineRule="auto"/>
        <w:jc w:val="center"/>
        <w:rPr>
          <w:rFonts w:ascii="Times New Roman" w:eastAsia="宋体" w:hAnsi="Times New Roman" w:cs="Times New Roman"/>
          <w:b/>
          <w:sz w:val="32"/>
          <w:szCs w:val="32"/>
        </w:rPr>
      </w:pPr>
      <w:r w:rsidRPr="004E5EA7">
        <w:rPr>
          <w:rFonts w:ascii="Times New Roman" w:eastAsia="宋体" w:hAnsi="Times New Roman" w:cs="Times New Roman"/>
          <w:b/>
          <w:sz w:val="32"/>
          <w:szCs w:val="32"/>
        </w:rPr>
        <w:t>校准规范起草组</w:t>
      </w:r>
    </w:p>
    <w:p w14:paraId="6EF7AC46" w14:textId="77777777" w:rsidR="001B4BD2" w:rsidRPr="004E5EA7" w:rsidRDefault="001B4BD2" w:rsidP="001B4BD2">
      <w:pPr>
        <w:spacing w:beforeLines="50" w:before="156" w:afterLines="50" w:after="156" w:line="360" w:lineRule="auto"/>
        <w:jc w:val="center"/>
        <w:rPr>
          <w:rFonts w:ascii="Times New Roman" w:eastAsia="宋体" w:hAnsi="Times New Roman" w:cs="Times New Roman"/>
          <w:b/>
          <w:sz w:val="32"/>
          <w:szCs w:val="32"/>
        </w:rPr>
      </w:pPr>
      <w:r w:rsidRPr="004E5EA7">
        <w:rPr>
          <w:rFonts w:ascii="Times New Roman" w:eastAsia="宋体" w:hAnsi="Times New Roman" w:cs="Times New Roman"/>
          <w:b/>
          <w:sz w:val="32"/>
          <w:szCs w:val="32"/>
        </w:rPr>
        <w:t>2025</w:t>
      </w:r>
      <w:r w:rsidRPr="004E5EA7">
        <w:rPr>
          <w:rFonts w:ascii="Times New Roman" w:eastAsia="宋体" w:hAnsi="Times New Roman" w:cs="Times New Roman"/>
          <w:b/>
          <w:sz w:val="32"/>
          <w:szCs w:val="32"/>
        </w:rPr>
        <w:t>年</w:t>
      </w:r>
      <w:r w:rsidRPr="004E5EA7">
        <w:rPr>
          <w:rFonts w:ascii="Times New Roman" w:eastAsia="宋体" w:hAnsi="Times New Roman" w:cs="Times New Roman"/>
          <w:b/>
          <w:sz w:val="32"/>
          <w:szCs w:val="32"/>
        </w:rPr>
        <w:t>XX</w:t>
      </w:r>
      <w:r w:rsidRPr="004E5EA7">
        <w:rPr>
          <w:rFonts w:ascii="Times New Roman" w:eastAsia="宋体" w:hAnsi="Times New Roman" w:cs="Times New Roman"/>
          <w:b/>
          <w:sz w:val="32"/>
          <w:szCs w:val="32"/>
        </w:rPr>
        <w:t>月</w:t>
      </w:r>
    </w:p>
    <w:p w14:paraId="60BB6D36" w14:textId="77777777" w:rsidR="003C379F" w:rsidRPr="001B4BD2" w:rsidRDefault="003C379F"/>
    <w:p w14:paraId="7C46A94B" w14:textId="77777777" w:rsidR="003C379F" w:rsidRDefault="003C379F">
      <w:pPr>
        <w:sectPr w:rsidR="003C379F" w:rsidSect="00FB3560">
          <w:footerReference w:type="default" r:id="rId6"/>
          <w:pgSz w:w="11906" w:h="16838"/>
          <w:pgMar w:top="1440" w:right="1800" w:bottom="1440" w:left="1800" w:header="851" w:footer="992" w:gutter="0"/>
          <w:cols w:space="425"/>
          <w:titlePg/>
          <w:docGrid w:type="lines" w:linePitch="312"/>
        </w:sectPr>
      </w:pPr>
    </w:p>
    <w:p w14:paraId="3C1C0DA1" w14:textId="5A99D884" w:rsidR="003C379F" w:rsidRPr="00D37BE4" w:rsidRDefault="00E4255A" w:rsidP="00D37BE4">
      <w:pPr>
        <w:spacing w:line="360" w:lineRule="auto"/>
        <w:jc w:val="center"/>
        <w:rPr>
          <w:rFonts w:ascii="宋体" w:eastAsia="宋体" w:hAnsi="宋体"/>
          <w:b/>
          <w:sz w:val="32"/>
          <w:szCs w:val="32"/>
        </w:rPr>
      </w:pPr>
      <w:r w:rsidRPr="00D37BE4">
        <w:rPr>
          <w:rFonts w:ascii="宋体" w:eastAsia="宋体" w:hAnsi="宋体" w:hint="eastAsia"/>
          <w:b/>
          <w:sz w:val="32"/>
          <w:szCs w:val="32"/>
        </w:rPr>
        <w:lastRenderedPageBreak/>
        <w:t>《钢铁行业酸洗、磷化、镀锌车间碳排放评价技术规范》编制说明</w:t>
      </w:r>
    </w:p>
    <w:p w14:paraId="5B141658" w14:textId="6B212E2F" w:rsidR="00E4255A" w:rsidRPr="00D37BE4" w:rsidRDefault="00E4255A" w:rsidP="00D37BE4">
      <w:pPr>
        <w:spacing w:beforeLines="50" w:before="156" w:afterLines="50" w:after="156" w:line="360" w:lineRule="auto"/>
        <w:rPr>
          <w:rFonts w:ascii="宋体" w:eastAsia="宋体" w:hAnsi="宋体"/>
          <w:sz w:val="24"/>
          <w:szCs w:val="24"/>
        </w:rPr>
      </w:pPr>
      <w:r w:rsidRPr="00D37BE4">
        <w:rPr>
          <w:rFonts w:ascii="宋体" w:eastAsia="宋体" w:hAnsi="宋体" w:hint="eastAsia"/>
          <w:b/>
          <w:sz w:val="28"/>
          <w:szCs w:val="28"/>
        </w:rPr>
        <w:t>一、任务来源</w:t>
      </w:r>
    </w:p>
    <w:p w14:paraId="040C74CB" w14:textId="5CA52332" w:rsidR="00351D64" w:rsidRPr="00D37BE4" w:rsidRDefault="00351D64" w:rsidP="00D37BE4">
      <w:pPr>
        <w:spacing w:line="288" w:lineRule="auto"/>
        <w:ind w:firstLineChars="200" w:firstLine="480"/>
        <w:rPr>
          <w:rFonts w:ascii="宋体" w:eastAsia="宋体" w:hAnsi="宋体"/>
          <w:sz w:val="24"/>
          <w:szCs w:val="24"/>
        </w:rPr>
      </w:pPr>
      <w:r w:rsidRPr="00D37BE4">
        <w:rPr>
          <w:rFonts w:ascii="宋体" w:eastAsia="宋体" w:hAnsi="宋体" w:hint="eastAsia"/>
          <w:sz w:val="24"/>
          <w:szCs w:val="24"/>
        </w:rPr>
        <w:t>在国家积极</w:t>
      </w:r>
      <w:proofErr w:type="gramStart"/>
      <w:r w:rsidRPr="00D37BE4">
        <w:rPr>
          <w:rFonts w:ascii="宋体" w:eastAsia="宋体" w:hAnsi="宋体" w:hint="eastAsia"/>
          <w:sz w:val="24"/>
          <w:szCs w:val="24"/>
        </w:rPr>
        <w:t>践行</w:t>
      </w:r>
      <w:proofErr w:type="gramEnd"/>
      <w:r w:rsidRPr="00D37BE4">
        <w:rPr>
          <w:rFonts w:ascii="宋体" w:eastAsia="宋体" w:hAnsi="宋体" w:hint="eastAsia"/>
          <w:sz w:val="24"/>
          <w:szCs w:val="24"/>
        </w:rPr>
        <w:t>绿色发展理念，全力</w:t>
      </w:r>
      <w:proofErr w:type="gramStart"/>
      <w:r w:rsidRPr="00D37BE4">
        <w:rPr>
          <w:rFonts w:ascii="宋体" w:eastAsia="宋体" w:hAnsi="宋体" w:hint="eastAsia"/>
          <w:sz w:val="24"/>
          <w:szCs w:val="24"/>
        </w:rPr>
        <w:t>推进碳达</w:t>
      </w:r>
      <w:proofErr w:type="gramEnd"/>
      <w:r w:rsidRPr="00D37BE4">
        <w:rPr>
          <w:rFonts w:ascii="宋体" w:eastAsia="宋体" w:hAnsi="宋体" w:hint="eastAsia"/>
          <w:sz w:val="24"/>
          <w:szCs w:val="24"/>
        </w:rPr>
        <w:t>峰、碳中和战略目标的大背景下，碳排放计量技术规范体系建设成为实现这一目标的重要基石。</w:t>
      </w:r>
      <w:r w:rsidRPr="00D37BE4">
        <w:rPr>
          <w:rFonts w:ascii="宋体" w:eastAsia="宋体" w:hAnsi="宋体"/>
          <w:sz w:val="24"/>
          <w:szCs w:val="24"/>
        </w:rPr>
        <w:t>2023年7月，市场监管总局批准成立全国碳达峰碳中和计量技术委员会，该委员会肩负着系统化、体系化推动碳达峰碳中和领域计量工作深入开展的重任。根据《中共中央 国务院关于完整准确全面贯彻新发展理念做好碳达峰碳中和工作的意见》，构建统一规范的碳排放统计核算体系迫在眉睫，钢铁行业作为碳排放重点领域，其精准的碳排放计量规范制定刻不容缓。</w:t>
      </w:r>
    </w:p>
    <w:p w14:paraId="52DB93F0" w14:textId="6D78C6E1" w:rsidR="00E4255A" w:rsidRPr="00D37BE4" w:rsidRDefault="00351D64" w:rsidP="009D4592">
      <w:pPr>
        <w:spacing w:line="288" w:lineRule="auto"/>
        <w:ind w:firstLineChars="200" w:firstLine="480"/>
        <w:rPr>
          <w:rFonts w:ascii="宋体" w:eastAsia="宋体" w:hAnsi="宋体"/>
          <w:sz w:val="24"/>
          <w:szCs w:val="24"/>
        </w:rPr>
      </w:pPr>
      <w:r w:rsidRPr="00D37BE4">
        <w:rPr>
          <w:rFonts w:ascii="宋体" w:eastAsia="宋体" w:hAnsi="宋体" w:hint="eastAsia"/>
          <w:sz w:val="24"/>
          <w:szCs w:val="24"/>
        </w:rPr>
        <w:t>经过全国</w:t>
      </w:r>
      <w:proofErr w:type="gramStart"/>
      <w:r w:rsidRPr="00D37BE4">
        <w:rPr>
          <w:rFonts w:ascii="宋体" w:eastAsia="宋体" w:hAnsi="宋体" w:hint="eastAsia"/>
          <w:sz w:val="24"/>
          <w:szCs w:val="24"/>
        </w:rPr>
        <w:t>碳达峰碳</w:t>
      </w:r>
      <w:proofErr w:type="gramEnd"/>
      <w:r w:rsidRPr="00D37BE4">
        <w:rPr>
          <w:rFonts w:ascii="宋体" w:eastAsia="宋体" w:hAnsi="宋体" w:hint="eastAsia"/>
          <w:sz w:val="24"/>
          <w:szCs w:val="24"/>
        </w:rPr>
        <w:t>中和计量技术委员会及各分计量技术委员会严格的评审流程，对申报项目的技术可行性、行业需求紧迫性、规范制定的创新性等多方面进行深入评估后，</w:t>
      </w:r>
      <w:r w:rsidR="009D4592" w:rsidRPr="000F6E6C">
        <w:rPr>
          <w:rFonts w:ascii="宋体" w:eastAsia="宋体" w:hAnsi="宋体"/>
          <w:sz w:val="24"/>
          <w:szCs w:val="24"/>
        </w:rPr>
        <w:t>2024年5月31日，国家市场监管总局印发《2024年国家计量技术规范制定、修订及宣贯计划的通知》，对主要起草单位</w:t>
      </w:r>
      <w:r w:rsidR="009D4592" w:rsidRPr="00626F97">
        <w:rPr>
          <w:rFonts w:ascii="宋体" w:eastAsia="宋体" w:hAnsi="宋体" w:hint="eastAsia"/>
          <w:sz w:val="24"/>
          <w:szCs w:val="24"/>
        </w:rPr>
        <w:t>无锡市检验检测认证研究院</w:t>
      </w:r>
      <w:r w:rsidR="009D4592" w:rsidRPr="000F6E6C">
        <w:rPr>
          <w:rFonts w:ascii="宋体" w:eastAsia="宋体" w:hAnsi="宋体"/>
          <w:sz w:val="24"/>
          <w:szCs w:val="24"/>
        </w:rPr>
        <w:t>下达了起草任务，《</w:t>
      </w:r>
      <w:r w:rsidR="009D4592">
        <w:rPr>
          <w:rFonts w:ascii="宋体" w:eastAsia="宋体" w:hAnsi="宋体" w:hint="eastAsia"/>
          <w:sz w:val="24"/>
          <w:szCs w:val="24"/>
        </w:rPr>
        <w:t>钢铁行业酸洗、磷化、镀锌车间碳排放评价技术规范</w:t>
      </w:r>
      <w:r w:rsidR="009D4592" w:rsidRPr="000F6E6C">
        <w:rPr>
          <w:rFonts w:ascii="宋体" w:eastAsia="宋体" w:hAnsi="宋体"/>
          <w:sz w:val="24"/>
          <w:szCs w:val="24"/>
        </w:rPr>
        <w:t>》正式批准立项，任务归口全国</w:t>
      </w:r>
      <w:proofErr w:type="gramStart"/>
      <w:r w:rsidR="009D4592" w:rsidRPr="000F6E6C">
        <w:rPr>
          <w:rFonts w:ascii="宋体" w:eastAsia="宋体" w:hAnsi="宋体"/>
          <w:sz w:val="24"/>
          <w:szCs w:val="24"/>
        </w:rPr>
        <w:t>碳达峰</w:t>
      </w:r>
      <w:proofErr w:type="gramEnd"/>
      <w:r w:rsidR="009D4592" w:rsidRPr="000F6E6C">
        <w:rPr>
          <w:rFonts w:ascii="宋体" w:eastAsia="宋体" w:hAnsi="宋体"/>
          <w:sz w:val="24"/>
          <w:szCs w:val="24"/>
        </w:rPr>
        <w:t>碳中和计量技术委员会碳排放量计量分技术委员会管理。</w:t>
      </w:r>
    </w:p>
    <w:p w14:paraId="1055E662" w14:textId="50837785" w:rsidR="00E4255A" w:rsidRPr="00D37BE4" w:rsidRDefault="00E4255A" w:rsidP="00D37BE4">
      <w:pPr>
        <w:spacing w:beforeLines="50" w:before="156" w:afterLines="50" w:after="156" w:line="360" w:lineRule="auto"/>
        <w:rPr>
          <w:rFonts w:ascii="宋体" w:eastAsia="宋体" w:hAnsi="宋体"/>
          <w:b/>
          <w:sz w:val="28"/>
          <w:szCs w:val="28"/>
        </w:rPr>
      </w:pPr>
      <w:r w:rsidRPr="00D37BE4">
        <w:rPr>
          <w:rFonts w:ascii="宋体" w:eastAsia="宋体" w:hAnsi="宋体" w:hint="eastAsia"/>
          <w:b/>
          <w:sz w:val="28"/>
          <w:szCs w:val="28"/>
        </w:rPr>
        <w:t>二、</w:t>
      </w:r>
      <w:r w:rsidR="00E11773" w:rsidRPr="00D37BE4">
        <w:rPr>
          <w:rFonts w:ascii="宋体" w:eastAsia="宋体" w:hAnsi="宋体" w:hint="eastAsia"/>
          <w:b/>
          <w:sz w:val="28"/>
          <w:szCs w:val="28"/>
        </w:rPr>
        <w:t>编制背景</w:t>
      </w:r>
    </w:p>
    <w:p w14:paraId="64EE6433" w14:textId="5FE5573E" w:rsidR="00C320B4" w:rsidRPr="00B20618" w:rsidRDefault="00C320B4" w:rsidP="00D37BE4">
      <w:pPr>
        <w:spacing w:line="288" w:lineRule="auto"/>
        <w:ind w:firstLineChars="200" w:firstLine="480"/>
        <w:rPr>
          <w:rFonts w:ascii="宋体" w:hAnsi="宋体"/>
          <w:sz w:val="24"/>
          <w:szCs w:val="24"/>
        </w:rPr>
      </w:pPr>
      <w:r w:rsidRPr="00D37BE4">
        <w:rPr>
          <w:rFonts w:ascii="宋体" w:eastAsia="宋体" w:hAnsi="宋体" w:hint="eastAsia"/>
          <w:sz w:val="24"/>
          <w:szCs w:val="24"/>
        </w:rPr>
        <w:t>（一）</w:t>
      </w:r>
      <w:proofErr w:type="gramStart"/>
      <w:r w:rsidRPr="00D37BE4">
        <w:rPr>
          <w:rFonts w:ascii="宋体" w:eastAsia="宋体" w:hAnsi="宋体" w:hint="eastAsia"/>
          <w:sz w:val="24"/>
          <w:szCs w:val="24"/>
        </w:rPr>
        <w:t>国家双碳战略</w:t>
      </w:r>
      <w:proofErr w:type="gramEnd"/>
      <w:r w:rsidRPr="00D37BE4">
        <w:rPr>
          <w:rFonts w:ascii="宋体" w:eastAsia="宋体" w:hAnsi="宋体" w:hint="eastAsia"/>
          <w:sz w:val="24"/>
          <w:szCs w:val="24"/>
        </w:rPr>
        <w:t>对重点行业碳排放管</w:t>
      </w:r>
      <w:proofErr w:type="gramStart"/>
      <w:r w:rsidRPr="00D37BE4">
        <w:rPr>
          <w:rFonts w:ascii="宋体" w:eastAsia="宋体" w:hAnsi="宋体" w:hint="eastAsia"/>
          <w:sz w:val="24"/>
          <w:szCs w:val="24"/>
        </w:rPr>
        <w:t>控提</w:t>
      </w:r>
      <w:proofErr w:type="gramEnd"/>
      <w:r w:rsidRPr="00D37BE4">
        <w:rPr>
          <w:rFonts w:ascii="宋体" w:eastAsia="宋体" w:hAnsi="宋体" w:hint="eastAsia"/>
          <w:sz w:val="24"/>
          <w:szCs w:val="24"/>
        </w:rPr>
        <w:t>出明确要求</w:t>
      </w:r>
    </w:p>
    <w:p w14:paraId="2886DA4F" w14:textId="009EA024" w:rsidR="00C320B4" w:rsidRPr="00B20618" w:rsidRDefault="00C320B4" w:rsidP="00D37BE4">
      <w:pPr>
        <w:spacing w:line="288" w:lineRule="auto"/>
        <w:ind w:firstLineChars="200" w:firstLine="480"/>
        <w:rPr>
          <w:rFonts w:ascii="宋体" w:hAnsi="宋体"/>
          <w:sz w:val="24"/>
          <w:szCs w:val="24"/>
        </w:rPr>
      </w:pPr>
      <w:proofErr w:type="gramStart"/>
      <w:r w:rsidRPr="00D37BE4">
        <w:rPr>
          <w:rFonts w:ascii="宋体" w:eastAsia="宋体" w:hAnsi="宋体" w:hint="eastAsia"/>
          <w:sz w:val="24"/>
          <w:szCs w:val="24"/>
        </w:rPr>
        <w:t>我国碳达峰</w:t>
      </w:r>
      <w:proofErr w:type="gramEnd"/>
      <w:r w:rsidRPr="00D37BE4">
        <w:rPr>
          <w:rFonts w:ascii="宋体" w:eastAsia="宋体" w:hAnsi="宋体" w:hint="eastAsia"/>
          <w:sz w:val="24"/>
          <w:szCs w:val="24"/>
        </w:rPr>
        <w:t>、碳中和战略推进过程中，多项国家级政策文件明确将钢铁行业列为重点管控领域，并对碳排放计量核算提出刚性要求。《</w:t>
      </w:r>
      <w:r w:rsidRPr="00D37BE4">
        <w:rPr>
          <w:rFonts w:ascii="宋体" w:eastAsia="宋体" w:hAnsi="宋体"/>
          <w:sz w:val="24"/>
          <w:szCs w:val="24"/>
        </w:rPr>
        <w:t>2030年前碳达峰行动方案》（国发〔2021〕23号）明确指出，“推动钢铁行业碳达峰”，要求“</w:t>
      </w:r>
      <w:r w:rsidR="00C8764A" w:rsidRPr="00C8764A">
        <w:rPr>
          <w:rFonts w:ascii="宋体" w:eastAsia="宋体" w:hAnsi="宋体" w:hint="eastAsia"/>
          <w:sz w:val="24"/>
          <w:szCs w:val="24"/>
        </w:rPr>
        <w:t>建立统一规范的碳排放统计核算体系</w:t>
      </w:r>
      <w:r w:rsidRPr="00D37BE4">
        <w:rPr>
          <w:rFonts w:ascii="宋体" w:eastAsia="宋体" w:hAnsi="宋体"/>
          <w:sz w:val="24"/>
          <w:szCs w:val="24"/>
        </w:rPr>
        <w:t>”；《碳达峰碳中和标准体系建设指南》（国标委联〔202</w:t>
      </w:r>
      <w:r w:rsidR="00C8764A">
        <w:rPr>
          <w:rFonts w:ascii="宋体" w:eastAsia="宋体" w:hAnsi="宋体"/>
          <w:sz w:val="24"/>
          <w:szCs w:val="24"/>
        </w:rPr>
        <w:t>3</w:t>
      </w:r>
      <w:r w:rsidRPr="00D37BE4">
        <w:rPr>
          <w:rFonts w:ascii="宋体" w:eastAsia="宋体" w:hAnsi="宋体"/>
          <w:sz w:val="24"/>
          <w:szCs w:val="24"/>
        </w:rPr>
        <w:t>〕</w:t>
      </w:r>
      <w:r w:rsidR="00C8764A">
        <w:rPr>
          <w:rFonts w:ascii="宋体" w:eastAsia="宋体" w:hAnsi="宋体"/>
          <w:sz w:val="24"/>
          <w:szCs w:val="24"/>
        </w:rPr>
        <w:t>19</w:t>
      </w:r>
      <w:r w:rsidRPr="00D37BE4">
        <w:rPr>
          <w:rFonts w:ascii="宋体" w:eastAsia="宋体" w:hAnsi="宋体"/>
          <w:sz w:val="24"/>
          <w:szCs w:val="24"/>
        </w:rPr>
        <w:t>号）进一步细化，提出“</w:t>
      </w:r>
      <w:r w:rsidR="00C8764A" w:rsidRPr="00C8764A">
        <w:rPr>
          <w:rFonts w:ascii="宋体" w:eastAsia="宋体" w:hAnsi="宋体" w:hint="eastAsia"/>
          <w:sz w:val="24"/>
          <w:szCs w:val="24"/>
        </w:rPr>
        <w:t>加快制修订火电、钢铁、建材、化工、有色、煤炭、采矿、轻工、机械、交通运输等重点行业强制性能耗限额标准</w:t>
      </w:r>
      <w:r w:rsidRPr="00D37BE4">
        <w:rPr>
          <w:rFonts w:ascii="宋体" w:eastAsia="宋体" w:hAnsi="宋体"/>
          <w:sz w:val="24"/>
          <w:szCs w:val="24"/>
        </w:rPr>
        <w:t>”。</w:t>
      </w:r>
    </w:p>
    <w:p w14:paraId="5871E41C" w14:textId="328468D1" w:rsidR="00C320B4" w:rsidRPr="00B20618" w:rsidRDefault="00C320B4" w:rsidP="00D37BE4">
      <w:pPr>
        <w:spacing w:line="288" w:lineRule="auto"/>
        <w:ind w:firstLineChars="200" w:firstLine="480"/>
        <w:rPr>
          <w:rFonts w:ascii="宋体" w:hAnsi="宋体"/>
          <w:sz w:val="24"/>
          <w:szCs w:val="24"/>
        </w:rPr>
      </w:pPr>
      <w:r w:rsidRPr="00D37BE4">
        <w:rPr>
          <w:rFonts w:ascii="宋体" w:eastAsia="宋体" w:hAnsi="宋体"/>
          <w:sz w:val="24"/>
          <w:szCs w:val="24"/>
        </w:rPr>
        <w:t>酸洗、磷化、镀锌作为钢铁产品表面处理核心工艺，涉及酸碱消耗、热能供应、化学品</w:t>
      </w:r>
      <w:proofErr w:type="gramStart"/>
      <w:r w:rsidRPr="00D37BE4">
        <w:rPr>
          <w:rFonts w:ascii="宋体" w:eastAsia="宋体" w:hAnsi="宋体"/>
          <w:sz w:val="24"/>
          <w:szCs w:val="24"/>
        </w:rPr>
        <w:t>使用等碳排放</w:t>
      </w:r>
      <w:proofErr w:type="gramEnd"/>
      <w:r w:rsidRPr="00D37BE4">
        <w:rPr>
          <w:rFonts w:ascii="宋体" w:eastAsia="宋体" w:hAnsi="宋体"/>
          <w:sz w:val="24"/>
          <w:szCs w:val="24"/>
        </w:rPr>
        <w:t>环节，却长期缺乏针对性评价规范，已成为钢铁行业全流程碳管控的“短板”，亟需通过专项规范填补空白，落实国家战略要求。</w:t>
      </w:r>
    </w:p>
    <w:p w14:paraId="2448F717" w14:textId="2F37331B" w:rsidR="00C320B4" w:rsidRPr="00B20618" w:rsidRDefault="00C320B4" w:rsidP="00D37BE4">
      <w:pPr>
        <w:spacing w:line="288" w:lineRule="auto"/>
        <w:ind w:firstLineChars="200" w:firstLine="480"/>
        <w:rPr>
          <w:rFonts w:ascii="宋体" w:hAnsi="宋体"/>
          <w:sz w:val="24"/>
          <w:szCs w:val="24"/>
        </w:rPr>
      </w:pPr>
      <w:r w:rsidRPr="00D37BE4">
        <w:rPr>
          <w:rFonts w:ascii="宋体" w:eastAsia="宋体" w:hAnsi="宋体" w:hint="eastAsia"/>
          <w:sz w:val="24"/>
          <w:szCs w:val="24"/>
        </w:rPr>
        <w:t>（二）钢铁行业高碳排放现状与细分环节</w:t>
      </w:r>
      <w:proofErr w:type="gramStart"/>
      <w:r w:rsidRPr="00D37BE4">
        <w:rPr>
          <w:rFonts w:ascii="宋体" w:eastAsia="宋体" w:hAnsi="宋体" w:hint="eastAsia"/>
          <w:sz w:val="24"/>
          <w:szCs w:val="24"/>
        </w:rPr>
        <w:t>管控缺口凸</w:t>
      </w:r>
      <w:proofErr w:type="gramEnd"/>
      <w:r w:rsidRPr="00D37BE4">
        <w:rPr>
          <w:rFonts w:ascii="宋体" w:eastAsia="宋体" w:hAnsi="宋体" w:hint="eastAsia"/>
          <w:sz w:val="24"/>
          <w:szCs w:val="24"/>
        </w:rPr>
        <w:t>显</w:t>
      </w:r>
    </w:p>
    <w:p w14:paraId="7E630C8D" w14:textId="1797EA4D" w:rsidR="00C320B4" w:rsidRPr="00B20618" w:rsidRDefault="00C320B4" w:rsidP="00DF4FA2">
      <w:pPr>
        <w:spacing w:line="288" w:lineRule="auto"/>
        <w:ind w:firstLineChars="200" w:firstLine="480"/>
        <w:rPr>
          <w:rFonts w:ascii="宋体" w:hAnsi="宋体"/>
          <w:sz w:val="24"/>
          <w:szCs w:val="24"/>
        </w:rPr>
      </w:pPr>
      <w:r w:rsidRPr="00D37BE4">
        <w:rPr>
          <w:rFonts w:ascii="宋体" w:eastAsia="宋体" w:hAnsi="宋体" w:hint="eastAsia"/>
          <w:sz w:val="24"/>
          <w:szCs w:val="24"/>
        </w:rPr>
        <w:t>钢铁行业是我国工业领域碳排放第一大户，据《</w:t>
      </w:r>
      <w:r w:rsidR="00FE5842" w:rsidRPr="00FE5842">
        <w:rPr>
          <w:rFonts w:ascii="宋体" w:eastAsia="宋体" w:hAnsi="宋体" w:hint="eastAsia"/>
          <w:sz w:val="24"/>
          <w:szCs w:val="24"/>
        </w:rPr>
        <w:t>中国钢铁工业节能低碳发展报告</w:t>
      </w:r>
      <w:r w:rsidR="00FE5842">
        <w:rPr>
          <w:rFonts w:ascii="宋体" w:eastAsia="宋体" w:hAnsi="宋体" w:hint="eastAsia"/>
          <w:sz w:val="24"/>
          <w:szCs w:val="24"/>
        </w:rPr>
        <w:t>（</w:t>
      </w:r>
      <w:r w:rsidRPr="00D37BE4">
        <w:rPr>
          <w:rFonts w:ascii="宋体" w:eastAsia="宋体" w:hAnsi="宋体"/>
          <w:sz w:val="24"/>
          <w:szCs w:val="24"/>
        </w:rPr>
        <w:t>2023</w:t>
      </w:r>
      <w:r w:rsidR="00FE5842">
        <w:rPr>
          <w:rFonts w:ascii="宋体" w:eastAsia="宋体" w:hAnsi="宋体" w:hint="eastAsia"/>
          <w:sz w:val="24"/>
          <w:szCs w:val="24"/>
        </w:rPr>
        <w:t>）</w:t>
      </w:r>
      <w:r w:rsidRPr="00D37BE4">
        <w:rPr>
          <w:rFonts w:ascii="宋体" w:eastAsia="宋体" w:hAnsi="宋体"/>
          <w:sz w:val="24"/>
          <w:szCs w:val="24"/>
        </w:rPr>
        <w:t>》数据，2022年我国钢铁行业碳排放占全国</w:t>
      </w:r>
      <w:proofErr w:type="gramStart"/>
      <w:r w:rsidRPr="00D37BE4">
        <w:rPr>
          <w:rFonts w:ascii="宋体" w:eastAsia="宋体" w:hAnsi="宋体"/>
          <w:sz w:val="24"/>
          <w:szCs w:val="24"/>
        </w:rPr>
        <w:t>工业总碳排放</w:t>
      </w:r>
      <w:proofErr w:type="gramEnd"/>
      <w:r w:rsidRPr="00D37BE4">
        <w:rPr>
          <w:rFonts w:ascii="宋体" w:eastAsia="宋体" w:hAnsi="宋体"/>
          <w:sz w:val="24"/>
          <w:szCs w:val="24"/>
        </w:rPr>
        <w:t>的15%以上</w:t>
      </w:r>
      <w:r w:rsidR="003554FA">
        <w:rPr>
          <w:rFonts w:ascii="宋体" w:eastAsia="宋体" w:hAnsi="宋体" w:hint="eastAsia"/>
          <w:sz w:val="24"/>
          <w:szCs w:val="24"/>
        </w:rPr>
        <w:t>。而</w:t>
      </w:r>
      <w:r w:rsidRPr="00D37BE4">
        <w:rPr>
          <w:rFonts w:ascii="宋体" w:eastAsia="宋体" w:hAnsi="宋体"/>
          <w:sz w:val="24"/>
          <w:szCs w:val="24"/>
        </w:rPr>
        <w:t>其中表面处理环节因工艺复杂性，碳排放核算难度显著高于其他环节。目前，国内钢铁企业酸洗、磷化、镀锌车间普遍存在“三不明确”问题：一是碳排</w:t>
      </w:r>
      <w:r w:rsidRPr="00D37BE4">
        <w:rPr>
          <w:rFonts w:ascii="宋体" w:eastAsia="宋体" w:hAnsi="宋体"/>
          <w:sz w:val="24"/>
          <w:szCs w:val="24"/>
        </w:rPr>
        <w:lastRenderedPageBreak/>
        <w:t>放边界不明确，未清晰界定酸碱制备、槽液加热、废水处理等关联环节的碳排放统计范围；二是核算方法不统一，部分企业采用“吨产品综合能耗折算”，部分采用“分环节实测”，数据可比性差；三是减排基准缺失，无法通过横向对比识别节能潜力</w:t>
      </w:r>
      <w:r w:rsidR="00DF4FA2">
        <w:rPr>
          <w:rFonts w:ascii="宋体" w:eastAsia="宋体" w:hAnsi="宋体" w:hint="eastAsia"/>
          <w:sz w:val="24"/>
          <w:szCs w:val="24"/>
        </w:rPr>
        <w:t>，</w:t>
      </w:r>
      <w:r w:rsidRPr="00D37BE4">
        <w:rPr>
          <w:rFonts w:ascii="宋体" w:eastAsia="宋体" w:hAnsi="宋体"/>
          <w:sz w:val="24"/>
          <w:szCs w:val="24"/>
        </w:rPr>
        <w:t>行业亟需通过统一规范实现碳排放“精准计量、科学评价”。</w:t>
      </w:r>
    </w:p>
    <w:p w14:paraId="38E5721D" w14:textId="77933D92" w:rsidR="00C320B4" w:rsidRPr="00B20618" w:rsidRDefault="00C320B4" w:rsidP="00D37BE4">
      <w:pPr>
        <w:spacing w:line="288" w:lineRule="auto"/>
        <w:ind w:firstLineChars="200" w:firstLine="480"/>
        <w:rPr>
          <w:rFonts w:ascii="宋体" w:hAnsi="宋体"/>
          <w:sz w:val="24"/>
          <w:szCs w:val="24"/>
        </w:rPr>
      </w:pPr>
      <w:r w:rsidRPr="00D37BE4">
        <w:rPr>
          <w:rFonts w:ascii="宋体" w:eastAsia="宋体" w:hAnsi="宋体" w:hint="eastAsia"/>
          <w:sz w:val="24"/>
          <w:szCs w:val="24"/>
        </w:rPr>
        <w:t>（三）现有标准体系无法覆盖细分工艺需求</w:t>
      </w:r>
    </w:p>
    <w:p w14:paraId="019949BE" w14:textId="046F2A8A" w:rsidR="003B6375" w:rsidRDefault="00C320B4" w:rsidP="003B6375">
      <w:pPr>
        <w:spacing w:line="288" w:lineRule="auto"/>
        <w:ind w:firstLineChars="200" w:firstLine="480"/>
        <w:rPr>
          <w:rFonts w:ascii="宋体" w:hAnsi="宋体"/>
          <w:sz w:val="24"/>
          <w:szCs w:val="24"/>
        </w:rPr>
      </w:pPr>
      <w:r w:rsidRPr="00D37BE4">
        <w:rPr>
          <w:rFonts w:ascii="宋体" w:eastAsia="宋体" w:hAnsi="宋体" w:hint="eastAsia"/>
          <w:sz w:val="24"/>
          <w:szCs w:val="24"/>
        </w:rPr>
        <w:t>当前钢铁行业碳排放相关标准主要聚焦全行业或核心冶炼环节，如</w:t>
      </w:r>
      <w:r w:rsidRPr="00D37BE4">
        <w:rPr>
          <w:rFonts w:ascii="宋体" w:eastAsia="宋体" w:hAnsi="宋体"/>
          <w:sz w:val="24"/>
          <w:szCs w:val="24"/>
        </w:rPr>
        <w:t>GB/T 32151.</w:t>
      </w:r>
      <w:r w:rsidR="00A60723">
        <w:rPr>
          <w:rFonts w:ascii="宋体" w:eastAsia="宋体" w:hAnsi="宋体"/>
          <w:sz w:val="24"/>
          <w:szCs w:val="24"/>
        </w:rPr>
        <w:t>5</w:t>
      </w:r>
      <w:r w:rsidRPr="00D37BE4">
        <w:rPr>
          <w:rFonts w:ascii="宋体" w:eastAsia="宋体" w:hAnsi="宋体"/>
          <w:sz w:val="24"/>
          <w:szCs w:val="24"/>
        </w:rPr>
        <w:t>-2015</w:t>
      </w:r>
      <w:r w:rsidR="00EA3456">
        <w:rPr>
          <w:rFonts w:ascii="宋体" w:eastAsia="宋体" w:hAnsi="宋体" w:hint="eastAsia"/>
          <w:sz w:val="24"/>
          <w:szCs w:val="24"/>
        </w:rPr>
        <w:t>《</w:t>
      </w:r>
      <w:r w:rsidRPr="00D37BE4">
        <w:rPr>
          <w:rFonts w:ascii="宋体" w:eastAsia="宋体" w:hAnsi="宋体"/>
          <w:sz w:val="24"/>
          <w:szCs w:val="24"/>
        </w:rPr>
        <w:t>温室气体排放核算与报告要求</w:t>
      </w:r>
      <w:r w:rsidR="00B20618">
        <w:rPr>
          <w:rFonts w:ascii="宋体" w:eastAsia="宋体" w:hAnsi="宋体" w:hint="eastAsia"/>
          <w:sz w:val="24"/>
          <w:szCs w:val="24"/>
        </w:rPr>
        <w:t xml:space="preserve"> </w:t>
      </w:r>
      <w:r w:rsidRPr="00D37BE4">
        <w:rPr>
          <w:rFonts w:ascii="宋体" w:eastAsia="宋体" w:hAnsi="宋体"/>
          <w:sz w:val="24"/>
          <w:szCs w:val="24"/>
        </w:rPr>
        <w:t>第</w:t>
      </w:r>
      <w:r w:rsidR="00A60723">
        <w:rPr>
          <w:rFonts w:ascii="宋体" w:eastAsia="宋体" w:hAnsi="宋体"/>
          <w:sz w:val="24"/>
          <w:szCs w:val="24"/>
        </w:rPr>
        <w:t>5</w:t>
      </w:r>
      <w:r w:rsidRPr="00D37BE4">
        <w:rPr>
          <w:rFonts w:ascii="宋体" w:eastAsia="宋体" w:hAnsi="宋体"/>
          <w:sz w:val="24"/>
          <w:szCs w:val="24"/>
        </w:rPr>
        <w:t>部分：钢铁生产企业》虽对钢铁行业整体碳排放核算</w:t>
      </w:r>
      <w:r w:rsidR="00A12D2D" w:rsidRPr="00D37BE4">
        <w:rPr>
          <w:rFonts w:ascii="宋体" w:eastAsia="宋体" w:hAnsi="宋体" w:hint="eastAsia"/>
          <w:sz w:val="24"/>
          <w:szCs w:val="24"/>
        </w:rPr>
        <w:t>做出</w:t>
      </w:r>
      <w:r w:rsidRPr="00D37BE4">
        <w:rPr>
          <w:rFonts w:ascii="宋体" w:eastAsia="宋体" w:hAnsi="宋体"/>
          <w:sz w:val="24"/>
          <w:szCs w:val="24"/>
        </w:rPr>
        <w:t>规定，但仅将“轧钢及后续处理”作为单一环节笼统表述，未针对酸洗、磷化、镀锌的工艺特性（如化学试剂消耗碳排放、热镀锌锌锅加热碳排放等）制定专项核算方法。</w:t>
      </w:r>
      <w:r w:rsidR="003B6375">
        <w:rPr>
          <w:rFonts w:ascii="宋体" w:eastAsia="宋体" w:hAnsi="宋体" w:hint="eastAsia"/>
          <w:sz w:val="24"/>
          <w:szCs w:val="24"/>
        </w:rPr>
        <w:t>此外，国外类似标准并不完全适用。</w:t>
      </w:r>
    </w:p>
    <w:p w14:paraId="1D7E6C86" w14:textId="4AB44A75" w:rsidR="00E4255A" w:rsidRPr="003B6375" w:rsidRDefault="00C320B4" w:rsidP="003B6375">
      <w:pPr>
        <w:spacing w:line="288" w:lineRule="auto"/>
        <w:ind w:firstLineChars="200" w:firstLine="480"/>
        <w:rPr>
          <w:rFonts w:ascii="宋体" w:hAnsi="宋体"/>
          <w:sz w:val="24"/>
          <w:szCs w:val="24"/>
        </w:rPr>
      </w:pPr>
      <w:r w:rsidRPr="00D37BE4">
        <w:rPr>
          <w:rFonts w:ascii="宋体" w:eastAsia="宋体" w:hAnsi="宋体"/>
          <w:sz w:val="24"/>
          <w:szCs w:val="24"/>
        </w:rPr>
        <w:t>因此，制定针对性的碳排放评价技术规范，是完善钢铁行业</w:t>
      </w:r>
      <w:proofErr w:type="gramStart"/>
      <w:r w:rsidRPr="00D37BE4">
        <w:rPr>
          <w:rFonts w:ascii="宋体" w:eastAsia="宋体" w:hAnsi="宋体"/>
          <w:sz w:val="24"/>
          <w:szCs w:val="24"/>
        </w:rPr>
        <w:t>碳标准</w:t>
      </w:r>
      <w:proofErr w:type="gramEnd"/>
      <w:r w:rsidRPr="00D37BE4">
        <w:rPr>
          <w:rFonts w:ascii="宋体" w:eastAsia="宋体" w:hAnsi="宋体"/>
          <w:sz w:val="24"/>
          <w:szCs w:val="24"/>
        </w:rPr>
        <w:t>体系的关键举措。</w:t>
      </w:r>
    </w:p>
    <w:p w14:paraId="67D22B5F" w14:textId="3C71FAA0" w:rsidR="00E4255A" w:rsidRPr="00D37BE4" w:rsidRDefault="00E4255A" w:rsidP="00D37BE4">
      <w:pPr>
        <w:spacing w:beforeLines="50" w:before="156" w:afterLines="50" w:after="156" w:line="360" w:lineRule="auto"/>
        <w:rPr>
          <w:rFonts w:ascii="宋体" w:eastAsia="宋体" w:hAnsi="宋体"/>
          <w:sz w:val="24"/>
          <w:szCs w:val="24"/>
        </w:rPr>
      </w:pPr>
      <w:r w:rsidRPr="00D37BE4">
        <w:rPr>
          <w:rFonts w:ascii="宋体" w:eastAsia="宋体" w:hAnsi="宋体" w:hint="eastAsia"/>
          <w:b/>
          <w:sz w:val="28"/>
          <w:szCs w:val="28"/>
        </w:rPr>
        <w:t>三、</w:t>
      </w:r>
      <w:r w:rsidR="00E11773" w:rsidRPr="00D37BE4">
        <w:rPr>
          <w:rFonts w:ascii="宋体" w:eastAsia="宋体" w:hAnsi="宋体" w:hint="eastAsia"/>
          <w:b/>
          <w:sz w:val="28"/>
          <w:szCs w:val="28"/>
        </w:rPr>
        <w:t>编制过程</w:t>
      </w:r>
    </w:p>
    <w:p w14:paraId="01EE143D" w14:textId="77777777" w:rsidR="005E49AE" w:rsidRPr="00F927CB" w:rsidRDefault="005E49AE" w:rsidP="005E49AE">
      <w:pPr>
        <w:spacing w:line="288" w:lineRule="auto"/>
        <w:ind w:firstLineChars="200" w:firstLine="480"/>
        <w:rPr>
          <w:rFonts w:ascii="宋体" w:eastAsia="宋体" w:hAnsi="宋体"/>
          <w:sz w:val="24"/>
          <w:szCs w:val="24"/>
        </w:rPr>
      </w:pPr>
      <w:r w:rsidRPr="00F927CB">
        <w:rPr>
          <w:rFonts w:ascii="宋体" w:eastAsia="宋体" w:hAnsi="宋体" w:hint="eastAsia"/>
          <w:sz w:val="24"/>
          <w:szCs w:val="24"/>
        </w:rPr>
        <w:t>1</w:t>
      </w:r>
      <w:r w:rsidRPr="00F927CB">
        <w:rPr>
          <w:rFonts w:ascii="宋体" w:eastAsia="宋体" w:hAnsi="宋体"/>
          <w:sz w:val="24"/>
          <w:szCs w:val="24"/>
        </w:rPr>
        <w:t xml:space="preserve">. </w:t>
      </w:r>
      <w:r w:rsidRPr="00F927CB">
        <w:rPr>
          <w:rFonts w:ascii="宋体" w:eastAsia="宋体" w:hAnsi="宋体" w:hint="eastAsia"/>
          <w:sz w:val="24"/>
          <w:szCs w:val="24"/>
        </w:rPr>
        <w:t>项目调研：2</w:t>
      </w:r>
      <w:r w:rsidRPr="00F927CB">
        <w:rPr>
          <w:rFonts w:ascii="宋体" w:eastAsia="宋体" w:hAnsi="宋体"/>
          <w:sz w:val="24"/>
          <w:szCs w:val="24"/>
        </w:rPr>
        <w:t>024</w:t>
      </w:r>
      <w:r w:rsidRPr="00F927CB">
        <w:rPr>
          <w:rFonts w:ascii="宋体" w:eastAsia="宋体" w:hAnsi="宋体" w:hint="eastAsia"/>
          <w:sz w:val="24"/>
          <w:szCs w:val="24"/>
        </w:rPr>
        <w:t>年1月至2</w:t>
      </w:r>
      <w:r w:rsidRPr="00F927CB">
        <w:rPr>
          <w:rFonts w:ascii="宋体" w:eastAsia="宋体" w:hAnsi="宋体"/>
          <w:sz w:val="24"/>
          <w:szCs w:val="24"/>
        </w:rPr>
        <w:t>024</w:t>
      </w:r>
      <w:r w:rsidRPr="00F927CB">
        <w:rPr>
          <w:rFonts w:ascii="宋体" w:eastAsia="宋体" w:hAnsi="宋体" w:hint="eastAsia"/>
          <w:sz w:val="24"/>
          <w:szCs w:val="24"/>
        </w:rPr>
        <w:t>年4月开展的项目调研。</w:t>
      </w:r>
    </w:p>
    <w:p w14:paraId="258B2035" w14:textId="77777777" w:rsidR="005E49AE" w:rsidRPr="00F927CB" w:rsidRDefault="005E49AE" w:rsidP="005E49AE">
      <w:pPr>
        <w:spacing w:line="288" w:lineRule="auto"/>
        <w:ind w:firstLineChars="200" w:firstLine="480"/>
        <w:rPr>
          <w:rFonts w:ascii="宋体" w:eastAsia="宋体" w:hAnsi="宋体"/>
          <w:sz w:val="24"/>
          <w:szCs w:val="24"/>
        </w:rPr>
      </w:pPr>
      <w:r w:rsidRPr="00F927CB">
        <w:rPr>
          <w:rFonts w:ascii="宋体" w:eastAsia="宋体" w:hAnsi="宋体" w:hint="eastAsia"/>
          <w:sz w:val="24"/>
          <w:szCs w:val="24"/>
        </w:rPr>
        <w:t>2</w:t>
      </w:r>
      <w:r w:rsidRPr="00F927CB">
        <w:rPr>
          <w:rFonts w:ascii="宋体" w:eastAsia="宋体" w:hAnsi="宋体"/>
          <w:sz w:val="24"/>
          <w:szCs w:val="24"/>
        </w:rPr>
        <w:t xml:space="preserve">. </w:t>
      </w:r>
      <w:r w:rsidRPr="00F927CB">
        <w:rPr>
          <w:rFonts w:ascii="宋体" w:eastAsia="宋体" w:hAnsi="宋体" w:hint="eastAsia"/>
          <w:sz w:val="24"/>
          <w:szCs w:val="24"/>
        </w:rPr>
        <w:t>编制草案：2</w:t>
      </w:r>
      <w:r w:rsidRPr="00F927CB">
        <w:rPr>
          <w:rFonts w:ascii="宋体" w:eastAsia="宋体" w:hAnsi="宋体"/>
          <w:sz w:val="24"/>
          <w:szCs w:val="24"/>
        </w:rPr>
        <w:t>024</w:t>
      </w:r>
      <w:r w:rsidRPr="00F927CB">
        <w:rPr>
          <w:rFonts w:ascii="宋体" w:eastAsia="宋体" w:hAnsi="宋体" w:hint="eastAsia"/>
          <w:sz w:val="24"/>
          <w:szCs w:val="24"/>
        </w:rPr>
        <w:t>年5月至2</w:t>
      </w:r>
      <w:r w:rsidRPr="00F927CB">
        <w:rPr>
          <w:rFonts w:ascii="宋体" w:eastAsia="宋体" w:hAnsi="宋体"/>
          <w:sz w:val="24"/>
          <w:szCs w:val="24"/>
        </w:rPr>
        <w:t>024</w:t>
      </w:r>
      <w:r w:rsidRPr="00F927CB">
        <w:rPr>
          <w:rFonts w:ascii="宋体" w:eastAsia="宋体" w:hAnsi="宋体" w:hint="eastAsia"/>
          <w:sz w:val="24"/>
          <w:szCs w:val="24"/>
        </w:rPr>
        <w:t>年1</w:t>
      </w:r>
      <w:r w:rsidRPr="00F927CB">
        <w:rPr>
          <w:rFonts w:ascii="宋体" w:eastAsia="宋体" w:hAnsi="宋体"/>
          <w:sz w:val="24"/>
          <w:szCs w:val="24"/>
        </w:rPr>
        <w:t>2</w:t>
      </w:r>
      <w:r w:rsidRPr="00F927CB">
        <w:rPr>
          <w:rFonts w:ascii="宋体" w:eastAsia="宋体" w:hAnsi="宋体" w:hint="eastAsia"/>
          <w:sz w:val="24"/>
          <w:szCs w:val="24"/>
        </w:rPr>
        <w:t>月编制草案。</w:t>
      </w:r>
    </w:p>
    <w:p w14:paraId="655F6600" w14:textId="77777777" w:rsidR="005E49AE" w:rsidRPr="00F927CB" w:rsidRDefault="005E49AE" w:rsidP="005E49AE">
      <w:pPr>
        <w:spacing w:line="288" w:lineRule="auto"/>
        <w:ind w:firstLineChars="200" w:firstLine="480"/>
        <w:rPr>
          <w:rFonts w:ascii="宋体" w:eastAsia="宋体" w:hAnsi="宋体"/>
          <w:sz w:val="24"/>
          <w:szCs w:val="24"/>
        </w:rPr>
      </w:pPr>
      <w:r w:rsidRPr="00F927CB">
        <w:rPr>
          <w:rFonts w:ascii="宋体" w:eastAsia="宋体" w:hAnsi="宋体"/>
          <w:sz w:val="24"/>
          <w:szCs w:val="24"/>
        </w:rPr>
        <w:t xml:space="preserve">3. </w:t>
      </w:r>
      <w:r w:rsidRPr="00F927CB">
        <w:rPr>
          <w:rFonts w:ascii="宋体" w:eastAsia="宋体" w:hAnsi="宋体" w:hint="eastAsia"/>
          <w:sz w:val="24"/>
          <w:szCs w:val="24"/>
        </w:rPr>
        <w:t>验证试验：2</w:t>
      </w:r>
      <w:r w:rsidRPr="00F927CB">
        <w:rPr>
          <w:rFonts w:ascii="宋体" w:eastAsia="宋体" w:hAnsi="宋体"/>
          <w:sz w:val="24"/>
          <w:szCs w:val="24"/>
        </w:rPr>
        <w:t>025</w:t>
      </w:r>
      <w:r w:rsidRPr="00F927CB">
        <w:rPr>
          <w:rFonts w:ascii="宋体" w:eastAsia="宋体" w:hAnsi="宋体" w:hint="eastAsia"/>
          <w:sz w:val="24"/>
          <w:szCs w:val="24"/>
        </w:rPr>
        <w:t>年1月至2</w:t>
      </w:r>
      <w:r w:rsidRPr="00F927CB">
        <w:rPr>
          <w:rFonts w:ascii="宋体" w:eastAsia="宋体" w:hAnsi="宋体"/>
          <w:sz w:val="24"/>
          <w:szCs w:val="24"/>
        </w:rPr>
        <w:t>025</w:t>
      </w:r>
      <w:r w:rsidRPr="00F927CB">
        <w:rPr>
          <w:rFonts w:ascii="宋体" w:eastAsia="宋体" w:hAnsi="宋体" w:hint="eastAsia"/>
          <w:sz w:val="24"/>
          <w:szCs w:val="24"/>
        </w:rPr>
        <w:t>年4月进行验证试验。</w:t>
      </w:r>
    </w:p>
    <w:p w14:paraId="17D8E931" w14:textId="77777777" w:rsidR="005E49AE" w:rsidRPr="00F927CB" w:rsidRDefault="005E49AE" w:rsidP="005E49AE">
      <w:pPr>
        <w:spacing w:line="288" w:lineRule="auto"/>
        <w:ind w:firstLineChars="200" w:firstLine="480"/>
        <w:rPr>
          <w:rFonts w:ascii="宋体" w:eastAsia="宋体" w:hAnsi="宋体"/>
          <w:sz w:val="24"/>
          <w:szCs w:val="24"/>
        </w:rPr>
      </w:pPr>
      <w:r w:rsidRPr="00F927CB">
        <w:rPr>
          <w:rFonts w:ascii="宋体" w:eastAsia="宋体" w:hAnsi="宋体"/>
          <w:sz w:val="24"/>
          <w:szCs w:val="24"/>
        </w:rPr>
        <w:t xml:space="preserve">4. </w:t>
      </w:r>
      <w:r w:rsidRPr="00F927CB">
        <w:rPr>
          <w:rFonts w:ascii="宋体" w:eastAsia="宋体" w:hAnsi="宋体" w:hint="eastAsia"/>
          <w:sz w:val="24"/>
          <w:szCs w:val="24"/>
        </w:rPr>
        <w:t>征求意见及修改：2</w:t>
      </w:r>
      <w:r w:rsidRPr="00F927CB">
        <w:rPr>
          <w:rFonts w:ascii="宋体" w:eastAsia="宋体" w:hAnsi="宋体"/>
          <w:sz w:val="24"/>
          <w:szCs w:val="24"/>
        </w:rPr>
        <w:t>025</w:t>
      </w:r>
      <w:r w:rsidRPr="00F927CB">
        <w:rPr>
          <w:rFonts w:ascii="宋体" w:eastAsia="宋体" w:hAnsi="宋体" w:hint="eastAsia"/>
          <w:sz w:val="24"/>
          <w:szCs w:val="24"/>
        </w:rPr>
        <w:t>年4月至2</w:t>
      </w:r>
      <w:r w:rsidRPr="00F927CB">
        <w:rPr>
          <w:rFonts w:ascii="宋体" w:eastAsia="宋体" w:hAnsi="宋体"/>
          <w:sz w:val="24"/>
          <w:szCs w:val="24"/>
        </w:rPr>
        <w:t>025</w:t>
      </w:r>
      <w:r w:rsidRPr="00F927CB">
        <w:rPr>
          <w:rFonts w:ascii="宋体" w:eastAsia="宋体" w:hAnsi="宋体" w:hint="eastAsia"/>
          <w:sz w:val="24"/>
          <w:szCs w:val="24"/>
        </w:rPr>
        <w:t>年9月进行征求意见和修改。</w:t>
      </w:r>
    </w:p>
    <w:p w14:paraId="7776B272" w14:textId="77777777" w:rsidR="005E49AE" w:rsidRPr="00F927CB" w:rsidRDefault="005E49AE" w:rsidP="005E49AE">
      <w:pPr>
        <w:spacing w:line="288" w:lineRule="auto"/>
        <w:ind w:firstLineChars="200" w:firstLine="480"/>
        <w:rPr>
          <w:rFonts w:ascii="宋体" w:eastAsia="宋体" w:hAnsi="宋体"/>
          <w:sz w:val="24"/>
          <w:szCs w:val="24"/>
        </w:rPr>
      </w:pPr>
      <w:r w:rsidRPr="00F927CB">
        <w:rPr>
          <w:rFonts w:ascii="宋体" w:eastAsia="宋体" w:hAnsi="宋体"/>
          <w:sz w:val="24"/>
          <w:szCs w:val="24"/>
        </w:rPr>
        <w:t xml:space="preserve">5. </w:t>
      </w:r>
      <w:r w:rsidRPr="00F927CB">
        <w:rPr>
          <w:rFonts w:ascii="宋体" w:eastAsia="宋体" w:hAnsi="宋体" w:hint="eastAsia"/>
          <w:sz w:val="24"/>
          <w:szCs w:val="24"/>
        </w:rPr>
        <w:t>技术审查和项目验收：2</w:t>
      </w:r>
      <w:r w:rsidRPr="00F927CB">
        <w:rPr>
          <w:rFonts w:ascii="宋体" w:eastAsia="宋体" w:hAnsi="宋体"/>
          <w:sz w:val="24"/>
          <w:szCs w:val="24"/>
        </w:rPr>
        <w:t>025</w:t>
      </w:r>
      <w:r w:rsidRPr="00F927CB">
        <w:rPr>
          <w:rFonts w:ascii="宋体" w:eastAsia="宋体" w:hAnsi="宋体" w:hint="eastAsia"/>
          <w:sz w:val="24"/>
          <w:szCs w:val="24"/>
        </w:rPr>
        <w:t>年9月至2</w:t>
      </w:r>
      <w:r w:rsidRPr="00F927CB">
        <w:rPr>
          <w:rFonts w:ascii="宋体" w:eastAsia="宋体" w:hAnsi="宋体"/>
          <w:sz w:val="24"/>
          <w:szCs w:val="24"/>
        </w:rPr>
        <w:t>025</w:t>
      </w:r>
      <w:r w:rsidRPr="00F927CB">
        <w:rPr>
          <w:rFonts w:ascii="宋体" w:eastAsia="宋体" w:hAnsi="宋体" w:hint="eastAsia"/>
          <w:sz w:val="24"/>
          <w:szCs w:val="24"/>
        </w:rPr>
        <w:t>年1</w:t>
      </w:r>
      <w:r w:rsidRPr="00F927CB">
        <w:rPr>
          <w:rFonts w:ascii="宋体" w:eastAsia="宋体" w:hAnsi="宋体"/>
          <w:sz w:val="24"/>
          <w:szCs w:val="24"/>
        </w:rPr>
        <w:t>2</w:t>
      </w:r>
      <w:r w:rsidRPr="00F927CB">
        <w:rPr>
          <w:rFonts w:ascii="宋体" w:eastAsia="宋体" w:hAnsi="宋体" w:hint="eastAsia"/>
          <w:sz w:val="24"/>
          <w:szCs w:val="24"/>
        </w:rPr>
        <w:t>月完成技术审查和项目验收。</w:t>
      </w:r>
    </w:p>
    <w:p w14:paraId="2C708ED5" w14:textId="264B9525" w:rsidR="00E4255A" w:rsidRPr="00D37BE4" w:rsidRDefault="00E4255A" w:rsidP="00D37BE4">
      <w:pPr>
        <w:spacing w:beforeLines="50" w:before="156" w:afterLines="50" w:after="156" w:line="360" w:lineRule="auto"/>
        <w:rPr>
          <w:rFonts w:ascii="宋体" w:eastAsia="宋体" w:hAnsi="宋体"/>
          <w:sz w:val="24"/>
          <w:szCs w:val="24"/>
        </w:rPr>
      </w:pPr>
      <w:r w:rsidRPr="00D37BE4">
        <w:rPr>
          <w:rFonts w:ascii="宋体" w:eastAsia="宋体" w:hAnsi="宋体" w:hint="eastAsia"/>
          <w:b/>
          <w:sz w:val="28"/>
          <w:szCs w:val="28"/>
        </w:rPr>
        <w:t>四、</w:t>
      </w:r>
      <w:r w:rsidR="0068204A" w:rsidRPr="00D37BE4">
        <w:rPr>
          <w:rFonts w:ascii="宋体" w:eastAsia="宋体" w:hAnsi="宋体" w:hint="eastAsia"/>
          <w:b/>
          <w:sz w:val="28"/>
          <w:szCs w:val="28"/>
        </w:rPr>
        <w:t>编制原则</w:t>
      </w:r>
      <w:r w:rsidR="00E11773" w:rsidRPr="00D37BE4">
        <w:rPr>
          <w:rFonts w:ascii="宋体" w:eastAsia="宋体" w:hAnsi="宋体" w:hint="eastAsia"/>
          <w:b/>
          <w:sz w:val="28"/>
          <w:szCs w:val="28"/>
        </w:rPr>
        <w:t>及</w:t>
      </w:r>
      <w:r w:rsidR="0068204A" w:rsidRPr="00D37BE4">
        <w:rPr>
          <w:rFonts w:ascii="宋体" w:eastAsia="宋体" w:hAnsi="宋体" w:hint="eastAsia"/>
          <w:b/>
          <w:sz w:val="28"/>
          <w:szCs w:val="28"/>
        </w:rPr>
        <w:t>技术依据</w:t>
      </w:r>
    </w:p>
    <w:p w14:paraId="22BCDFFC" w14:textId="0ECF870C" w:rsidR="0068204A" w:rsidRPr="00DA5558" w:rsidRDefault="00DA5558" w:rsidP="00D37BE4">
      <w:pPr>
        <w:spacing w:line="288" w:lineRule="auto"/>
        <w:ind w:firstLineChars="200" w:firstLine="480"/>
        <w:rPr>
          <w:rFonts w:ascii="宋体" w:eastAsia="宋体" w:hAnsi="宋体"/>
          <w:sz w:val="24"/>
          <w:szCs w:val="24"/>
        </w:rPr>
      </w:pPr>
      <w:r>
        <w:rPr>
          <w:rFonts w:ascii="宋体" w:eastAsia="宋体" w:hAnsi="宋体" w:hint="eastAsia"/>
          <w:sz w:val="24"/>
          <w:szCs w:val="24"/>
        </w:rPr>
        <w:t>根据《国家应对气候变化规划》、《中共中央国务院关于完整准确全面贯彻新发展理念做好碳达峰》、</w:t>
      </w:r>
      <w:r w:rsidRPr="00F927CB">
        <w:rPr>
          <w:rFonts w:ascii="宋体" w:eastAsia="宋体" w:hAnsi="宋体" w:hint="eastAsia"/>
          <w:sz w:val="24"/>
          <w:szCs w:val="24"/>
        </w:rPr>
        <w:t>《建立健全碳达峰碳中和标准计量体系实施方案》、</w:t>
      </w:r>
      <w:r>
        <w:rPr>
          <w:rFonts w:ascii="宋体" w:eastAsia="宋体" w:hAnsi="宋体" w:hint="eastAsia"/>
          <w:sz w:val="24"/>
          <w:szCs w:val="24"/>
        </w:rPr>
        <w:t>《企业温室气体排放核算方法与报告指南 发电设施（2</w:t>
      </w:r>
      <w:r>
        <w:rPr>
          <w:rFonts w:ascii="宋体" w:eastAsia="宋体" w:hAnsi="宋体"/>
          <w:sz w:val="24"/>
          <w:szCs w:val="24"/>
        </w:rPr>
        <w:t>022</w:t>
      </w:r>
      <w:r>
        <w:rPr>
          <w:rFonts w:ascii="宋体" w:eastAsia="宋体" w:hAnsi="宋体" w:hint="eastAsia"/>
          <w:sz w:val="24"/>
          <w:szCs w:val="24"/>
        </w:rPr>
        <w:t>年修订版）》等的要求，从钢铁生产表面处理行业的实际生产情况出发，参考了国内外相关资料，体现了科学性、完整性、准确性、可操作性原则，</w:t>
      </w:r>
      <w:r w:rsidRPr="00F927CB">
        <w:rPr>
          <w:rFonts w:ascii="宋体" w:eastAsia="宋体" w:hAnsi="宋体" w:hint="eastAsia"/>
          <w:sz w:val="24"/>
          <w:szCs w:val="24"/>
        </w:rPr>
        <w:t>在符合相关法律法规的前提下，制定了《</w:t>
      </w:r>
      <w:r w:rsidRPr="00F927CB">
        <w:rPr>
          <w:rFonts w:ascii="宋体" w:eastAsia="宋体" w:hAnsi="宋体"/>
          <w:sz w:val="24"/>
          <w:szCs w:val="24"/>
        </w:rPr>
        <w:t>钢铁</w:t>
      </w:r>
      <w:r>
        <w:rPr>
          <w:rFonts w:ascii="宋体" w:eastAsia="宋体" w:hAnsi="宋体" w:hint="eastAsia"/>
          <w:sz w:val="24"/>
          <w:szCs w:val="24"/>
        </w:rPr>
        <w:t>行业酸洗、磷化、镀锌车间碳排放评价技术规范</w:t>
      </w:r>
      <w:r w:rsidRPr="00F927CB">
        <w:rPr>
          <w:rFonts w:ascii="宋体" w:eastAsia="宋体" w:hAnsi="宋体" w:hint="eastAsia"/>
          <w:sz w:val="24"/>
          <w:szCs w:val="24"/>
        </w:rPr>
        <w:t>》。</w:t>
      </w:r>
    </w:p>
    <w:p w14:paraId="13B895CF" w14:textId="47E01B97" w:rsidR="0068204A" w:rsidRPr="00D37BE4" w:rsidRDefault="004D0614" w:rsidP="00D37BE4">
      <w:pPr>
        <w:spacing w:line="288" w:lineRule="auto"/>
        <w:ind w:firstLineChars="200" w:firstLine="480"/>
        <w:rPr>
          <w:rFonts w:ascii="宋体" w:eastAsia="宋体" w:hAnsi="宋体"/>
          <w:sz w:val="24"/>
          <w:szCs w:val="24"/>
        </w:rPr>
      </w:pPr>
      <w:r w:rsidRPr="00F927CB">
        <w:rPr>
          <w:rFonts w:ascii="宋体" w:eastAsia="宋体" w:hAnsi="宋体" w:hint="eastAsia"/>
          <w:sz w:val="24"/>
          <w:szCs w:val="24"/>
        </w:rPr>
        <w:t>本规范重点参考</w:t>
      </w:r>
      <w:r w:rsidRPr="004D0614">
        <w:rPr>
          <w:rFonts w:ascii="宋体" w:eastAsia="宋体" w:hAnsi="宋体"/>
          <w:sz w:val="24"/>
          <w:szCs w:val="24"/>
        </w:rPr>
        <w:t>JJF 1071-2010《国家计量校准规范编写规则》、GB</w:t>
      </w:r>
      <w:r w:rsidR="00F07843">
        <w:rPr>
          <w:rFonts w:ascii="宋体" w:eastAsia="宋体" w:hAnsi="宋体"/>
          <w:sz w:val="24"/>
          <w:szCs w:val="24"/>
        </w:rPr>
        <w:t>/T</w:t>
      </w:r>
      <w:r w:rsidRPr="004D0614">
        <w:rPr>
          <w:rFonts w:ascii="宋体" w:eastAsia="宋体" w:hAnsi="宋体"/>
          <w:sz w:val="24"/>
          <w:szCs w:val="24"/>
        </w:rPr>
        <w:t xml:space="preserve"> 32150-201</w:t>
      </w:r>
      <w:r w:rsidR="006D1B99">
        <w:rPr>
          <w:rFonts w:ascii="宋体" w:eastAsia="宋体" w:hAnsi="宋体"/>
          <w:sz w:val="24"/>
          <w:szCs w:val="24"/>
        </w:rPr>
        <w:t>5</w:t>
      </w:r>
      <w:r w:rsidRPr="004D0614">
        <w:rPr>
          <w:rFonts w:ascii="宋体" w:eastAsia="宋体" w:hAnsi="宋体"/>
          <w:sz w:val="24"/>
          <w:szCs w:val="24"/>
        </w:rPr>
        <w:t xml:space="preserve">《工业企业温室气体排放核算和报告总则》、GB/T </w:t>
      </w:r>
      <w:bookmarkStart w:id="0" w:name="_GoBack"/>
      <w:r w:rsidRPr="004D0614">
        <w:rPr>
          <w:rFonts w:ascii="宋体" w:eastAsia="宋体" w:hAnsi="宋体"/>
          <w:sz w:val="24"/>
          <w:szCs w:val="24"/>
        </w:rPr>
        <w:t>3215</w:t>
      </w:r>
      <w:bookmarkEnd w:id="0"/>
      <w:r w:rsidRPr="004D0614">
        <w:rPr>
          <w:rFonts w:ascii="宋体" w:eastAsia="宋体" w:hAnsi="宋体"/>
          <w:sz w:val="24"/>
          <w:szCs w:val="24"/>
        </w:rPr>
        <w:t>1.5-2015《室温气体排放核算与报告要求 第5部分：钢铁生产企业》、JJF 1356-2012《重点用能单位能源计量审查规范》</w:t>
      </w:r>
      <w:r w:rsidRPr="00F927CB">
        <w:rPr>
          <w:rFonts w:ascii="宋体" w:eastAsia="宋体" w:hAnsi="宋体"/>
          <w:sz w:val="24"/>
          <w:szCs w:val="24"/>
        </w:rPr>
        <w:t>的部分内容</w:t>
      </w:r>
      <w:r w:rsidRPr="00F927CB">
        <w:rPr>
          <w:rFonts w:ascii="宋体" w:eastAsia="宋体" w:hAnsi="宋体" w:hint="eastAsia"/>
          <w:sz w:val="24"/>
          <w:szCs w:val="24"/>
        </w:rPr>
        <w:t>，进行编写。</w:t>
      </w:r>
    </w:p>
    <w:p w14:paraId="6637DD25" w14:textId="786A4E46" w:rsidR="0068204A" w:rsidRPr="00D37BE4" w:rsidRDefault="0068204A" w:rsidP="00D37BE4">
      <w:pPr>
        <w:spacing w:beforeLines="50" w:before="156" w:afterLines="50" w:after="156" w:line="360" w:lineRule="auto"/>
        <w:rPr>
          <w:rFonts w:ascii="宋体" w:eastAsia="宋体" w:hAnsi="宋体"/>
          <w:b/>
          <w:sz w:val="28"/>
          <w:szCs w:val="28"/>
        </w:rPr>
      </w:pPr>
      <w:r w:rsidRPr="00D37BE4">
        <w:rPr>
          <w:rFonts w:ascii="宋体" w:eastAsia="宋体" w:hAnsi="宋体" w:hint="eastAsia"/>
          <w:b/>
          <w:sz w:val="28"/>
          <w:szCs w:val="28"/>
        </w:rPr>
        <w:t>五、</w:t>
      </w:r>
      <w:r w:rsidR="007007A7" w:rsidRPr="00D37BE4">
        <w:rPr>
          <w:rFonts w:ascii="宋体" w:eastAsia="宋体" w:hAnsi="宋体" w:hint="eastAsia"/>
          <w:b/>
          <w:sz w:val="28"/>
          <w:szCs w:val="28"/>
        </w:rPr>
        <w:t>主要技术内容</w:t>
      </w:r>
    </w:p>
    <w:p w14:paraId="6E8CBA84" w14:textId="77777777" w:rsidR="00A044CB" w:rsidRPr="00F927CB" w:rsidRDefault="00A044CB" w:rsidP="00A044CB">
      <w:pPr>
        <w:spacing w:line="288" w:lineRule="auto"/>
        <w:ind w:firstLineChars="200" w:firstLine="480"/>
        <w:rPr>
          <w:rFonts w:ascii="宋体" w:eastAsia="宋体" w:hAnsi="宋体"/>
          <w:sz w:val="24"/>
          <w:szCs w:val="24"/>
        </w:rPr>
      </w:pPr>
      <w:r w:rsidRPr="00F927CB">
        <w:rPr>
          <w:rFonts w:ascii="宋体" w:eastAsia="宋体" w:hAnsi="宋体" w:hint="eastAsia"/>
          <w:sz w:val="24"/>
          <w:szCs w:val="24"/>
        </w:rPr>
        <w:t>规范的主要内容包括：</w:t>
      </w:r>
    </w:p>
    <w:p w14:paraId="27DC3944" w14:textId="77777777" w:rsidR="00A044CB" w:rsidRPr="00F927CB" w:rsidRDefault="00A044CB" w:rsidP="00A044CB">
      <w:pPr>
        <w:spacing w:line="288" w:lineRule="auto"/>
        <w:ind w:firstLineChars="200" w:firstLine="480"/>
        <w:rPr>
          <w:rFonts w:ascii="宋体" w:eastAsia="宋体" w:hAnsi="宋体"/>
          <w:sz w:val="24"/>
          <w:szCs w:val="24"/>
        </w:rPr>
      </w:pPr>
      <w:r w:rsidRPr="00F927CB">
        <w:rPr>
          <w:rFonts w:ascii="宋体" w:eastAsia="宋体" w:hAnsi="宋体" w:hint="eastAsia"/>
          <w:sz w:val="24"/>
          <w:szCs w:val="24"/>
        </w:rPr>
        <w:lastRenderedPageBreak/>
        <w:t>1）范围，规定本规范适用的范围；</w:t>
      </w:r>
    </w:p>
    <w:p w14:paraId="468D9AFA" w14:textId="77777777" w:rsidR="00A044CB" w:rsidRPr="00F927CB" w:rsidRDefault="00A044CB" w:rsidP="00A044CB">
      <w:pPr>
        <w:spacing w:line="288" w:lineRule="auto"/>
        <w:ind w:firstLineChars="200" w:firstLine="480"/>
        <w:rPr>
          <w:rFonts w:ascii="宋体" w:eastAsia="宋体" w:hAnsi="宋体"/>
          <w:sz w:val="24"/>
          <w:szCs w:val="24"/>
        </w:rPr>
      </w:pPr>
      <w:r w:rsidRPr="00F927CB">
        <w:rPr>
          <w:rFonts w:ascii="宋体" w:eastAsia="宋体" w:hAnsi="宋体" w:hint="eastAsia"/>
          <w:sz w:val="24"/>
          <w:szCs w:val="24"/>
        </w:rPr>
        <w:t>2）规范性引用文件，编制本规范所引用的规范、规程、标准；</w:t>
      </w:r>
    </w:p>
    <w:p w14:paraId="417F4847" w14:textId="77777777" w:rsidR="00A044CB" w:rsidRPr="00F927CB" w:rsidRDefault="00A044CB" w:rsidP="00A044CB">
      <w:pPr>
        <w:spacing w:line="288" w:lineRule="auto"/>
        <w:ind w:firstLineChars="200" w:firstLine="480"/>
        <w:rPr>
          <w:rFonts w:ascii="宋体" w:eastAsia="宋体" w:hAnsi="宋体"/>
          <w:sz w:val="24"/>
          <w:szCs w:val="24"/>
        </w:rPr>
      </w:pPr>
      <w:r w:rsidRPr="00F927CB">
        <w:rPr>
          <w:rFonts w:ascii="宋体" w:eastAsia="宋体" w:hAnsi="宋体" w:hint="eastAsia"/>
          <w:sz w:val="24"/>
          <w:szCs w:val="24"/>
        </w:rPr>
        <w:t>3）术语及定义，定义本规范所出现的专业术语；</w:t>
      </w:r>
    </w:p>
    <w:p w14:paraId="4B04B55E" w14:textId="75A24DAD" w:rsidR="00A044CB" w:rsidRPr="00F927CB" w:rsidRDefault="00A044CB" w:rsidP="00A044CB">
      <w:pPr>
        <w:spacing w:line="288" w:lineRule="auto"/>
        <w:ind w:firstLineChars="200" w:firstLine="480"/>
        <w:rPr>
          <w:rFonts w:ascii="宋体" w:eastAsia="宋体" w:hAnsi="宋体"/>
          <w:sz w:val="24"/>
          <w:szCs w:val="24"/>
        </w:rPr>
      </w:pPr>
      <w:r w:rsidRPr="00F927CB">
        <w:rPr>
          <w:rFonts w:ascii="宋体" w:eastAsia="宋体" w:hAnsi="宋体" w:hint="eastAsia"/>
          <w:sz w:val="24"/>
          <w:szCs w:val="24"/>
        </w:rPr>
        <w:t>4）</w:t>
      </w:r>
      <w:r w:rsidR="00FD333A">
        <w:rPr>
          <w:rFonts w:ascii="宋体" w:eastAsia="宋体" w:hAnsi="宋体" w:hint="eastAsia"/>
          <w:sz w:val="24"/>
          <w:szCs w:val="24"/>
        </w:rPr>
        <w:t>总则</w:t>
      </w:r>
      <w:r w:rsidRPr="00F927CB">
        <w:rPr>
          <w:rFonts w:ascii="宋体" w:eastAsia="宋体" w:hAnsi="宋体" w:hint="eastAsia"/>
          <w:sz w:val="24"/>
          <w:szCs w:val="24"/>
        </w:rPr>
        <w:t>，描述</w:t>
      </w:r>
      <w:r w:rsidR="00AD2C76">
        <w:rPr>
          <w:rFonts w:ascii="宋体" w:eastAsia="宋体" w:hAnsi="宋体" w:hint="eastAsia"/>
          <w:sz w:val="24"/>
          <w:szCs w:val="24"/>
        </w:rPr>
        <w:t>钢铁行业酸洗、磷化、镀锌车间碳排放评价的原则</w:t>
      </w:r>
      <w:r w:rsidRPr="00F927CB">
        <w:rPr>
          <w:rFonts w:ascii="宋体" w:eastAsia="宋体" w:hAnsi="宋体" w:hint="eastAsia"/>
          <w:sz w:val="24"/>
          <w:szCs w:val="24"/>
        </w:rPr>
        <w:t>；</w:t>
      </w:r>
    </w:p>
    <w:p w14:paraId="0EAEAE5E" w14:textId="291D45F3" w:rsidR="00A044CB" w:rsidRPr="00F927CB" w:rsidRDefault="00A044CB" w:rsidP="00A044CB">
      <w:pPr>
        <w:spacing w:line="288" w:lineRule="auto"/>
        <w:ind w:firstLineChars="200" w:firstLine="480"/>
        <w:rPr>
          <w:rFonts w:ascii="宋体" w:eastAsia="宋体" w:hAnsi="宋体"/>
          <w:sz w:val="24"/>
          <w:szCs w:val="24"/>
        </w:rPr>
      </w:pPr>
      <w:r w:rsidRPr="00F927CB">
        <w:rPr>
          <w:rFonts w:ascii="宋体" w:eastAsia="宋体" w:hAnsi="宋体" w:hint="eastAsia"/>
          <w:sz w:val="24"/>
          <w:szCs w:val="24"/>
        </w:rPr>
        <w:t>5）</w:t>
      </w:r>
      <w:r w:rsidR="000C1210">
        <w:rPr>
          <w:rFonts w:ascii="宋体" w:eastAsia="宋体" w:hAnsi="宋体" w:hint="eastAsia"/>
          <w:sz w:val="24"/>
          <w:szCs w:val="24"/>
        </w:rPr>
        <w:t>评价内容</w:t>
      </w:r>
      <w:r w:rsidR="00487A17">
        <w:rPr>
          <w:rFonts w:ascii="宋体" w:eastAsia="宋体" w:hAnsi="宋体" w:hint="eastAsia"/>
          <w:sz w:val="24"/>
          <w:szCs w:val="24"/>
        </w:rPr>
        <w:t>和要求</w:t>
      </w:r>
      <w:r w:rsidRPr="00F927CB">
        <w:rPr>
          <w:rFonts w:ascii="宋体" w:eastAsia="宋体" w:hAnsi="宋体" w:hint="eastAsia"/>
          <w:sz w:val="24"/>
          <w:szCs w:val="24"/>
        </w:rPr>
        <w:t>，对</w:t>
      </w:r>
      <w:r w:rsidR="00487A17">
        <w:rPr>
          <w:rFonts w:ascii="宋体" w:eastAsia="宋体" w:hAnsi="宋体" w:hint="eastAsia"/>
          <w:sz w:val="24"/>
          <w:szCs w:val="24"/>
        </w:rPr>
        <w:t>钢铁行业酸洗、磷化、镀锌车间碳排放评价内容及要求</w:t>
      </w:r>
      <w:r w:rsidRPr="00F927CB">
        <w:rPr>
          <w:rFonts w:ascii="宋体" w:eastAsia="宋体" w:hAnsi="宋体" w:hint="eastAsia"/>
          <w:sz w:val="24"/>
          <w:szCs w:val="24"/>
        </w:rPr>
        <w:t>进行说明；</w:t>
      </w:r>
    </w:p>
    <w:p w14:paraId="5E64101B" w14:textId="4685E5C9" w:rsidR="00A044CB" w:rsidRPr="00F927CB" w:rsidRDefault="00A044CB" w:rsidP="00A044CB">
      <w:pPr>
        <w:spacing w:line="288" w:lineRule="auto"/>
        <w:ind w:firstLineChars="200" w:firstLine="480"/>
        <w:rPr>
          <w:rFonts w:ascii="宋体" w:eastAsia="宋体" w:hAnsi="宋体"/>
          <w:sz w:val="24"/>
          <w:szCs w:val="24"/>
        </w:rPr>
      </w:pPr>
      <w:r w:rsidRPr="00F927CB">
        <w:rPr>
          <w:rFonts w:ascii="宋体" w:eastAsia="宋体" w:hAnsi="宋体" w:hint="eastAsia"/>
          <w:sz w:val="24"/>
          <w:szCs w:val="24"/>
        </w:rPr>
        <w:t>6）</w:t>
      </w:r>
      <w:r w:rsidR="00487A17">
        <w:rPr>
          <w:rFonts w:ascii="宋体" w:eastAsia="宋体" w:hAnsi="宋体" w:hint="eastAsia"/>
          <w:sz w:val="24"/>
          <w:szCs w:val="24"/>
        </w:rPr>
        <w:t>评价方法</w:t>
      </w:r>
      <w:r w:rsidRPr="00F927CB">
        <w:rPr>
          <w:rFonts w:ascii="宋体" w:eastAsia="宋体" w:hAnsi="宋体" w:hint="eastAsia"/>
          <w:sz w:val="24"/>
          <w:szCs w:val="24"/>
        </w:rPr>
        <w:t>，对</w:t>
      </w:r>
      <w:r w:rsidR="00487A17">
        <w:rPr>
          <w:rFonts w:ascii="宋体" w:eastAsia="宋体" w:hAnsi="宋体" w:hint="eastAsia"/>
          <w:sz w:val="24"/>
          <w:szCs w:val="24"/>
        </w:rPr>
        <w:t>钢铁行业酸洗、磷化、镀锌车间碳排放评价的方法</w:t>
      </w:r>
      <w:r w:rsidRPr="00F927CB">
        <w:rPr>
          <w:rFonts w:ascii="宋体" w:eastAsia="宋体" w:hAnsi="宋体" w:hint="eastAsia"/>
          <w:sz w:val="24"/>
          <w:szCs w:val="24"/>
        </w:rPr>
        <w:t>进行要求和说明</w:t>
      </w:r>
      <w:r w:rsidR="00487A17">
        <w:rPr>
          <w:rFonts w:ascii="宋体" w:eastAsia="宋体" w:hAnsi="宋体" w:hint="eastAsia"/>
          <w:sz w:val="24"/>
          <w:szCs w:val="24"/>
        </w:rPr>
        <w:t>。</w:t>
      </w:r>
    </w:p>
    <w:p w14:paraId="2A51B055" w14:textId="3226F396" w:rsidR="007007A7" w:rsidRPr="00D37BE4" w:rsidRDefault="007007A7" w:rsidP="00D37BE4">
      <w:pPr>
        <w:spacing w:beforeLines="50" w:before="156" w:afterLines="50" w:after="156" w:line="360" w:lineRule="auto"/>
        <w:rPr>
          <w:rFonts w:ascii="宋体" w:eastAsia="宋体" w:hAnsi="宋体"/>
          <w:b/>
          <w:sz w:val="28"/>
          <w:szCs w:val="28"/>
        </w:rPr>
      </w:pPr>
      <w:r w:rsidRPr="00D37BE4">
        <w:rPr>
          <w:rFonts w:ascii="宋体" w:eastAsia="宋体" w:hAnsi="宋体" w:hint="eastAsia"/>
          <w:b/>
          <w:sz w:val="28"/>
          <w:szCs w:val="28"/>
        </w:rPr>
        <w:t>六、规范内容要点说明</w:t>
      </w:r>
    </w:p>
    <w:p w14:paraId="1F10D5AA" w14:textId="0E984228" w:rsidR="007716AE" w:rsidRPr="00F927CB" w:rsidRDefault="007716AE" w:rsidP="007716AE">
      <w:pPr>
        <w:spacing w:line="288" w:lineRule="auto"/>
        <w:ind w:firstLineChars="200" w:firstLine="480"/>
        <w:rPr>
          <w:rFonts w:ascii="宋体" w:eastAsia="宋体" w:hAnsi="宋体"/>
          <w:sz w:val="24"/>
          <w:szCs w:val="24"/>
        </w:rPr>
      </w:pPr>
      <w:r w:rsidRPr="00F927CB">
        <w:rPr>
          <w:rFonts w:ascii="宋体" w:eastAsia="宋体" w:hAnsi="宋体" w:hint="eastAsia"/>
          <w:sz w:val="24"/>
          <w:szCs w:val="24"/>
        </w:rPr>
        <w:t>1</w:t>
      </w:r>
      <w:r w:rsidRPr="00F927CB">
        <w:rPr>
          <w:rFonts w:ascii="宋体" w:eastAsia="宋体" w:hAnsi="宋体"/>
          <w:sz w:val="24"/>
          <w:szCs w:val="24"/>
        </w:rPr>
        <w:t>.</w:t>
      </w:r>
      <w:r w:rsidRPr="00F927CB">
        <w:rPr>
          <w:rFonts w:ascii="宋体" w:eastAsia="宋体" w:hAnsi="宋体" w:hint="eastAsia"/>
          <w:sz w:val="24"/>
          <w:szCs w:val="24"/>
        </w:rPr>
        <w:t>本规定适用于</w:t>
      </w:r>
      <w:r w:rsidR="0011220C">
        <w:rPr>
          <w:rFonts w:ascii="宋体" w:eastAsia="宋体" w:hAnsi="宋体" w:hint="eastAsia"/>
          <w:sz w:val="24"/>
          <w:szCs w:val="24"/>
        </w:rPr>
        <w:t>钢铁表面处理行业（酸洗、磷化、镀锌）车间碳排放的</w:t>
      </w:r>
      <w:r w:rsidRPr="00F927CB">
        <w:rPr>
          <w:rFonts w:ascii="宋体" w:eastAsia="宋体" w:hAnsi="宋体" w:hint="eastAsia"/>
          <w:sz w:val="24"/>
          <w:szCs w:val="24"/>
        </w:rPr>
        <w:t>管理</w:t>
      </w:r>
      <w:r w:rsidR="0011220C">
        <w:rPr>
          <w:rFonts w:ascii="宋体" w:eastAsia="宋体" w:hAnsi="宋体" w:hint="eastAsia"/>
          <w:sz w:val="24"/>
          <w:szCs w:val="24"/>
        </w:rPr>
        <w:t>，其他钢铁表面加工企业也可参考使用</w:t>
      </w:r>
      <w:r w:rsidRPr="00F927CB">
        <w:rPr>
          <w:rFonts w:ascii="宋体" w:eastAsia="宋体" w:hAnsi="宋体" w:hint="eastAsia"/>
          <w:sz w:val="24"/>
          <w:szCs w:val="24"/>
        </w:rPr>
        <w:t>；</w:t>
      </w:r>
    </w:p>
    <w:p w14:paraId="63E19E0B" w14:textId="47A42288" w:rsidR="007716AE" w:rsidRPr="00F927CB" w:rsidRDefault="007716AE" w:rsidP="007716AE">
      <w:pPr>
        <w:spacing w:line="288" w:lineRule="auto"/>
        <w:ind w:firstLineChars="200" w:firstLine="480"/>
        <w:rPr>
          <w:rFonts w:ascii="宋体" w:eastAsia="宋体" w:hAnsi="宋体"/>
          <w:sz w:val="24"/>
          <w:szCs w:val="24"/>
        </w:rPr>
      </w:pPr>
      <w:r w:rsidRPr="00F927CB">
        <w:rPr>
          <w:rFonts w:ascii="宋体" w:eastAsia="宋体" w:hAnsi="宋体" w:hint="eastAsia"/>
          <w:sz w:val="24"/>
          <w:szCs w:val="24"/>
        </w:rPr>
        <w:t>2</w:t>
      </w:r>
      <w:r w:rsidRPr="00F927CB">
        <w:rPr>
          <w:rFonts w:ascii="宋体" w:eastAsia="宋体" w:hAnsi="宋体"/>
          <w:sz w:val="24"/>
          <w:szCs w:val="24"/>
        </w:rPr>
        <w:t>.</w:t>
      </w:r>
      <w:r w:rsidRPr="00F927CB">
        <w:rPr>
          <w:rFonts w:ascii="宋体" w:eastAsia="宋体" w:hAnsi="宋体" w:hint="eastAsia"/>
          <w:sz w:val="24"/>
          <w:szCs w:val="24"/>
        </w:rPr>
        <w:t>本规范</w:t>
      </w:r>
      <w:r w:rsidR="008557AC">
        <w:rPr>
          <w:rFonts w:ascii="宋体" w:eastAsia="宋体" w:hAnsi="宋体" w:hint="eastAsia"/>
          <w:sz w:val="24"/>
          <w:szCs w:val="24"/>
        </w:rPr>
        <w:t>规</w:t>
      </w:r>
      <w:r w:rsidR="001531F5">
        <w:rPr>
          <w:rFonts w:ascii="宋体" w:eastAsia="宋体" w:hAnsi="宋体" w:hint="eastAsia"/>
          <w:sz w:val="24"/>
          <w:szCs w:val="24"/>
        </w:rPr>
        <w:t>定</w:t>
      </w:r>
      <w:r w:rsidR="008557AC">
        <w:rPr>
          <w:rFonts w:ascii="宋体" w:eastAsia="宋体" w:hAnsi="宋体" w:hint="eastAsia"/>
          <w:sz w:val="24"/>
          <w:szCs w:val="24"/>
        </w:rPr>
        <w:t>了碳排放工序核算边界和企业核算边界，制定了包括基本要求、基础设施、能源资源管理、节能、减碳、回收利用、环境排放、碳排放、绩效等多个详细条目</w:t>
      </w:r>
      <w:r w:rsidR="001531F5">
        <w:rPr>
          <w:rFonts w:ascii="宋体" w:eastAsia="宋体" w:hAnsi="宋体" w:hint="eastAsia"/>
          <w:sz w:val="24"/>
          <w:szCs w:val="24"/>
        </w:rPr>
        <w:t>的管理要求</w:t>
      </w:r>
      <w:r w:rsidR="008557AC">
        <w:rPr>
          <w:rFonts w:ascii="宋体" w:eastAsia="宋体" w:hAnsi="宋体" w:hint="eastAsia"/>
          <w:sz w:val="24"/>
          <w:szCs w:val="24"/>
        </w:rPr>
        <w:t>，方便企业管理评价</w:t>
      </w:r>
      <w:r w:rsidRPr="00F927CB">
        <w:rPr>
          <w:rFonts w:ascii="宋体" w:eastAsia="宋体" w:hAnsi="宋体" w:hint="eastAsia"/>
          <w:sz w:val="24"/>
          <w:szCs w:val="24"/>
        </w:rPr>
        <w:t>；</w:t>
      </w:r>
    </w:p>
    <w:p w14:paraId="6178EA2E" w14:textId="52146CCA" w:rsidR="007716AE" w:rsidRPr="00F927CB" w:rsidRDefault="007716AE" w:rsidP="007716AE">
      <w:pPr>
        <w:spacing w:line="288" w:lineRule="auto"/>
        <w:ind w:firstLineChars="200" w:firstLine="480"/>
        <w:rPr>
          <w:rFonts w:ascii="宋体" w:eastAsia="宋体" w:hAnsi="宋体"/>
          <w:sz w:val="24"/>
          <w:szCs w:val="24"/>
        </w:rPr>
      </w:pPr>
      <w:r w:rsidRPr="00F927CB">
        <w:rPr>
          <w:rFonts w:ascii="宋体" w:eastAsia="宋体" w:hAnsi="宋体"/>
          <w:sz w:val="24"/>
          <w:szCs w:val="24"/>
        </w:rPr>
        <w:t>3.</w:t>
      </w:r>
      <w:r w:rsidRPr="00F927CB">
        <w:rPr>
          <w:rFonts w:ascii="宋体" w:eastAsia="宋体" w:hAnsi="宋体" w:hint="eastAsia"/>
          <w:sz w:val="24"/>
          <w:szCs w:val="24"/>
        </w:rPr>
        <w:t>本规定针对钢铁行业</w:t>
      </w:r>
      <w:r w:rsidR="001531F5">
        <w:rPr>
          <w:rFonts w:ascii="宋体" w:eastAsia="宋体" w:hAnsi="宋体" w:hint="eastAsia"/>
          <w:sz w:val="24"/>
          <w:szCs w:val="24"/>
        </w:rPr>
        <w:t>酸洗、磷化、镀锌车间</w:t>
      </w:r>
      <w:r w:rsidRPr="00F927CB">
        <w:rPr>
          <w:rFonts w:ascii="宋体" w:eastAsia="宋体" w:hAnsi="宋体" w:hint="eastAsia"/>
          <w:sz w:val="24"/>
          <w:szCs w:val="24"/>
        </w:rPr>
        <w:t>碳排放</w:t>
      </w:r>
      <w:r w:rsidR="001531F5">
        <w:rPr>
          <w:rFonts w:ascii="宋体" w:eastAsia="宋体" w:hAnsi="宋体" w:hint="eastAsia"/>
          <w:sz w:val="24"/>
          <w:szCs w:val="24"/>
        </w:rPr>
        <w:t>评价制定了打分表格</w:t>
      </w:r>
      <w:r w:rsidR="00060251">
        <w:rPr>
          <w:rFonts w:ascii="宋体" w:eastAsia="宋体" w:hAnsi="宋体" w:hint="eastAsia"/>
          <w:sz w:val="24"/>
          <w:szCs w:val="24"/>
        </w:rPr>
        <w:t>，能够进行清晰化评价</w:t>
      </w:r>
      <w:r w:rsidRPr="00F927CB">
        <w:rPr>
          <w:rFonts w:ascii="宋体" w:eastAsia="宋体" w:hAnsi="宋体" w:hint="eastAsia"/>
          <w:sz w:val="24"/>
          <w:szCs w:val="24"/>
        </w:rPr>
        <w:t>；</w:t>
      </w:r>
    </w:p>
    <w:p w14:paraId="76BCCCE9" w14:textId="20D14220" w:rsidR="007716AE" w:rsidRPr="00F927CB" w:rsidRDefault="007716AE" w:rsidP="007716AE">
      <w:pPr>
        <w:spacing w:line="288" w:lineRule="auto"/>
        <w:ind w:firstLineChars="200" w:firstLine="480"/>
        <w:rPr>
          <w:rFonts w:ascii="宋体" w:eastAsia="宋体" w:hAnsi="宋体"/>
          <w:sz w:val="24"/>
          <w:szCs w:val="24"/>
        </w:rPr>
      </w:pPr>
      <w:r w:rsidRPr="00F927CB">
        <w:rPr>
          <w:rFonts w:ascii="宋体" w:eastAsia="宋体" w:hAnsi="宋体" w:hint="eastAsia"/>
          <w:sz w:val="24"/>
          <w:szCs w:val="24"/>
        </w:rPr>
        <w:t>4</w:t>
      </w:r>
      <w:r w:rsidRPr="00F927CB">
        <w:rPr>
          <w:rFonts w:ascii="宋体" w:eastAsia="宋体" w:hAnsi="宋体"/>
          <w:sz w:val="24"/>
          <w:szCs w:val="24"/>
        </w:rPr>
        <w:t>.</w:t>
      </w:r>
      <w:r w:rsidRPr="00F927CB">
        <w:rPr>
          <w:rFonts w:ascii="宋体" w:eastAsia="宋体" w:hAnsi="宋体" w:hint="eastAsia"/>
          <w:sz w:val="24"/>
          <w:szCs w:val="24"/>
        </w:rPr>
        <w:t>目前国内尚无针对钢铁</w:t>
      </w:r>
      <w:r w:rsidR="00060251">
        <w:rPr>
          <w:rFonts w:ascii="宋体" w:eastAsia="宋体" w:hAnsi="宋体" w:hint="eastAsia"/>
          <w:sz w:val="24"/>
          <w:szCs w:val="24"/>
        </w:rPr>
        <w:t>行业酸洗、磷化、镀锌车间</w:t>
      </w:r>
      <w:r w:rsidR="00060251" w:rsidRPr="00F927CB">
        <w:rPr>
          <w:rFonts w:ascii="宋体" w:eastAsia="宋体" w:hAnsi="宋体" w:hint="eastAsia"/>
          <w:sz w:val="24"/>
          <w:szCs w:val="24"/>
        </w:rPr>
        <w:t>碳排放</w:t>
      </w:r>
      <w:r w:rsidR="00060251">
        <w:rPr>
          <w:rFonts w:ascii="宋体" w:eastAsia="宋体" w:hAnsi="宋体" w:hint="eastAsia"/>
          <w:sz w:val="24"/>
          <w:szCs w:val="24"/>
        </w:rPr>
        <w:t>评价</w:t>
      </w:r>
      <w:r w:rsidRPr="00F927CB">
        <w:rPr>
          <w:rFonts w:ascii="宋体" w:eastAsia="宋体" w:hAnsi="宋体" w:hint="eastAsia"/>
          <w:sz w:val="24"/>
          <w:szCs w:val="24"/>
        </w:rPr>
        <w:t>管理的明确规定，本规范不足了相关空白，相关行业和企业可以参考本规范进行管理。</w:t>
      </w:r>
    </w:p>
    <w:p w14:paraId="4AAD8149" w14:textId="00BA18A6" w:rsidR="0064146C" w:rsidRPr="00D37BE4" w:rsidRDefault="00E11773" w:rsidP="00D37BE4">
      <w:pPr>
        <w:spacing w:beforeLines="50" w:before="156" w:afterLines="50" w:after="156" w:line="360" w:lineRule="auto"/>
        <w:rPr>
          <w:rFonts w:ascii="宋体" w:eastAsia="宋体" w:hAnsi="宋体"/>
          <w:b/>
          <w:sz w:val="28"/>
          <w:szCs w:val="28"/>
        </w:rPr>
      </w:pPr>
      <w:r w:rsidRPr="00D37BE4">
        <w:rPr>
          <w:rFonts w:ascii="宋体" w:eastAsia="宋体" w:hAnsi="宋体" w:hint="eastAsia"/>
          <w:b/>
          <w:sz w:val="28"/>
          <w:szCs w:val="28"/>
        </w:rPr>
        <w:t>七、与有关的现行法律、规范和强制性国家标准的关系</w:t>
      </w:r>
    </w:p>
    <w:p w14:paraId="21140773" w14:textId="78A6C2C5" w:rsidR="00E11773" w:rsidRPr="00D37BE4" w:rsidRDefault="00E11773" w:rsidP="00D37BE4">
      <w:pPr>
        <w:spacing w:line="288" w:lineRule="auto"/>
        <w:ind w:firstLineChars="200" w:firstLine="480"/>
        <w:rPr>
          <w:rFonts w:ascii="宋体" w:eastAsia="宋体" w:hAnsi="宋体"/>
          <w:sz w:val="24"/>
          <w:szCs w:val="24"/>
        </w:rPr>
      </w:pPr>
      <w:r w:rsidRPr="00D37BE4">
        <w:rPr>
          <w:rFonts w:ascii="宋体" w:eastAsia="宋体" w:hAnsi="宋体" w:hint="eastAsia"/>
          <w:sz w:val="24"/>
          <w:szCs w:val="24"/>
        </w:rPr>
        <w:t>本规范在现行法律、法规和强制性国家标准规定下编制，无冲突。</w:t>
      </w:r>
    </w:p>
    <w:p w14:paraId="669624C2" w14:textId="482C7CD5" w:rsidR="00E11773" w:rsidRPr="00D37BE4" w:rsidRDefault="00E11773" w:rsidP="00D37BE4">
      <w:pPr>
        <w:spacing w:beforeLines="50" w:before="156" w:afterLines="50" w:after="156" w:line="360" w:lineRule="auto"/>
        <w:rPr>
          <w:rFonts w:ascii="宋体" w:eastAsia="宋体" w:hAnsi="宋体"/>
          <w:b/>
          <w:sz w:val="28"/>
          <w:szCs w:val="28"/>
        </w:rPr>
      </w:pPr>
      <w:r w:rsidRPr="00D37BE4">
        <w:rPr>
          <w:rFonts w:ascii="宋体" w:eastAsia="宋体" w:hAnsi="宋体" w:hint="eastAsia"/>
          <w:b/>
          <w:sz w:val="28"/>
          <w:szCs w:val="28"/>
        </w:rPr>
        <w:t>八、重大分歧意见的处理经过和依据</w:t>
      </w:r>
    </w:p>
    <w:p w14:paraId="0336E8D0" w14:textId="4F688AEF" w:rsidR="00E11773" w:rsidRPr="00D37BE4" w:rsidRDefault="00E11773" w:rsidP="00D37BE4">
      <w:pPr>
        <w:spacing w:line="288" w:lineRule="auto"/>
        <w:ind w:firstLineChars="200" w:firstLine="480"/>
        <w:rPr>
          <w:rFonts w:ascii="宋体" w:eastAsia="宋体" w:hAnsi="宋体"/>
          <w:sz w:val="24"/>
          <w:szCs w:val="24"/>
        </w:rPr>
      </w:pPr>
      <w:r w:rsidRPr="00D37BE4">
        <w:rPr>
          <w:rFonts w:ascii="宋体" w:eastAsia="宋体" w:hAnsi="宋体" w:hint="eastAsia"/>
          <w:sz w:val="24"/>
          <w:szCs w:val="24"/>
        </w:rPr>
        <w:t>本规范在制定过程中无重大意见分歧。</w:t>
      </w:r>
    </w:p>
    <w:p w14:paraId="23CD2433" w14:textId="22027A7D" w:rsidR="00E11773" w:rsidRPr="00D37BE4" w:rsidRDefault="00E11773" w:rsidP="00D37BE4">
      <w:pPr>
        <w:spacing w:beforeLines="50" w:before="156" w:afterLines="50" w:after="156" w:line="360" w:lineRule="auto"/>
        <w:rPr>
          <w:rFonts w:ascii="宋体" w:eastAsia="宋体" w:hAnsi="宋体"/>
          <w:b/>
          <w:sz w:val="28"/>
          <w:szCs w:val="28"/>
        </w:rPr>
      </w:pPr>
      <w:r w:rsidRPr="00D37BE4">
        <w:rPr>
          <w:rFonts w:ascii="宋体" w:eastAsia="宋体" w:hAnsi="宋体" w:hint="eastAsia"/>
          <w:b/>
          <w:sz w:val="28"/>
          <w:szCs w:val="28"/>
        </w:rPr>
        <w:t>九、其他应予以说明的事项</w:t>
      </w:r>
    </w:p>
    <w:p w14:paraId="5421D4AB" w14:textId="1414DC8C" w:rsidR="00E11773" w:rsidRPr="00D37BE4" w:rsidRDefault="00E11773" w:rsidP="00D37BE4">
      <w:pPr>
        <w:spacing w:line="288" w:lineRule="auto"/>
        <w:ind w:firstLineChars="200" w:firstLine="480"/>
        <w:rPr>
          <w:rFonts w:ascii="宋体" w:eastAsia="宋体" w:hAnsi="宋体"/>
          <w:sz w:val="24"/>
          <w:szCs w:val="24"/>
        </w:rPr>
      </w:pPr>
      <w:r w:rsidRPr="00D37BE4">
        <w:rPr>
          <w:rFonts w:ascii="宋体" w:eastAsia="宋体" w:hAnsi="宋体" w:hint="eastAsia"/>
          <w:sz w:val="24"/>
          <w:szCs w:val="24"/>
        </w:rPr>
        <w:t>本规范不涉及专利、著作权等知识产权内容。</w:t>
      </w:r>
    </w:p>
    <w:p w14:paraId="729FD832" w14:textId="77777777" w:rsidR="0064146C" w:rsidRPr="00D37BE4" w:rsidRDefault="0064146C" w:rsidP="00D37BE4">
      <w:pPr>
        <w:spacing w:line="288" w:lineRule="auto"/>
        <w:ind w:firstLineChars="200" w:firstLine="480"/>
        <w:rPr>
          <w:rFonts w:ascii="宋体" w:eastAsia="宋体" w:hAnsi="宋体"/>
          <w:sz w:val="24"/>
          <w:szCs w:val="24"/>
        </w:rPr>
      </w:pPr>
    </w:p>
    <w:sectPr w:rsidR="0064146C" w:rsidRPr="00D37BE4" w:rsidSect="00FB356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5B402" w14:textId="77777777" w:rsidR="0087799E" w:rsidRDefault="0087799E" w:rsidP="009C6DE7">
      <w:r>
        <w:separator/>
      </w:r>
    </w:p>
  </w:endnote>
  <w:endnote w:type="continuationSeparator" w:id="0">
    <w:p w14:paraId="466085E3" w14:textId="77777777" w:rsidR="0087799E" w:rsidRDefault="0087799E" w:rsidP="009C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2240789"/>
      <w:docPartObj>
        <w:docPartGallery w:val="Page Numbers (Bottom of Page)"/>
        <w:docPartUnique/>
      </w:docPartObj>
    </w:sdtPr>
    <w:sdtEndPr>
      <w:rPr>
        <w:rFonts w:ascii="Times New Roman" w:hAnsi="Times New Roman" w:cs="Times New Roman"/>
      </w:rPr>
    </w:sdtEndPr>
    <w:sdtContent>
      <w:p w14:paraId="3D321C84" w14:textId="31911BCF" w:rsidR="00EC077D" w:rsidRPr="00EC077D" w:rsidRDefault="00EC077D" w:rsidP="00EC077D">
        <w:pPr>
          <w:pStyle w:val="a5"/>
          <w:jc w:val="center"/>
          <w:rPr>
            <w:rFonts w:ascii="Times New Roman" w:hAnsi="Times New Roman" w:cs="Times New Roman"/>
          </w:rPr>
        </w:pPr>
        <w:r w:rsidRPr="00EC077D">
          <w:rPr>
            <w:rFonts w:ascii="Times New Roman" w:hAnsi="Times New Roman" w:cs="Times New Roman"/>
          </w:rPr>
          <w:fldChar w:fldCharType="begin"/>
        </w:r>
        <w:r w:rsidRPr="00EC077D">
          <w:rPr>
            <w:rFonts w:ascii="Times New Roman" w:hAnsi="Times New Roman" w:cs="Times New Roman"/>
          </w:rPr>
          <w:instrText>PAGE   \* MERGEFORMAT</w:instrText>
        </w:r>
        <w:r w:rsidRPr="00EC077D">
          <w:rPr>
            <w:rFonts w:ascii="Times New Roman" w:hAnsi="Times New Roman" w:cs="Times New Roman"/>
          </w:rPr>
          <w:fldChar w:fldCharType="separate"/>
        </w:r>
        <w:r w:rsidRPr="00EC077D">
          <w:rPr>
            <w:rFonts w:ascii="Times New Roman" w:hAnsi="Times New Roman" w:cs="Times New Roman"/>
            <w:lang w:val="zh-CN"/>
          </w:rPr>
          <w:t>2</w:t>
        </w:r>
        <w:r w:rsidRPr="00EC077D">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67580" w14:textId="77777777" w:rsidR="0087799E" w:rsidRDefault="0087799E" w:rsidP="009C6DE7">
      <w:r>
        <w:separator/>
      </w:r>
    </w:p>
  </w:footnote>
  <w:footnote w:type="continuationSeparator" w:id="0">
    <w:p w14:paraId="455F5E23" w14:textId="77777777" w:rsidR="0087799E" w:rsidRDefault="0087799E" w:rsidP="009C6D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79"/>
    <w:rsid w:val="00060251"/>
    <w:rsid w:val="000C1210"/>
    <w:rsid w:val="0011220C"/>
    <w:rsid w:val="001531F5"/>
    <w:rsid w:val="00183287"/>
    <w:rsid w:val="001865F4"/>
    <w:rsid w:val="001B4BD2"/>
    <w:rsid w:val="002A5D79"/>
    <w:rsid w:val="002D7594"/>
    <w:rsid w:val="00351D64"/>
    <w:rsid w:val="003554FA"/>
    <w:rsid w:val="003B6375"/>
    <w:rsid w:val="003C379F"/>
    <w:rsid w:val="003F2D2E"/>
    <w:rsid w:val="00487A17"/>
    <w:rsid w:val="004D0614"/>
    <w:rsid w:val="005A6D93"/>
    <w:rsid w:val="005E1EB7"/>
    <w:rsid w:val="005E49AE"/>
    <w:rsid w:val="005E5B4A"/>
    <w:rsid w:val="00607D71"/>
    <w:rsid w:val="0064146C"/>
    <w:rsid w:val="0066018F"/>
    <w:rsid w:val="0068204A"/>
    <w:rsid w:val="00692175"/>
    <w:rsid w:val="006D1B99"/>
    <w:rsid w:val="007007A7"/>
    <w:rsid w:val="007206E7"/>
    <w:rsid w:val="0073386C"/>
    <w:rsid w:val="007716AE"/>
    <w:rsid w:val="00787E0C"/>
    <w:rsid w:val="00820C60"/>
    <w:rsid w:val="008261C6"/>
    <w:rsid w:val="0085542D"/>
    <w:rsid w:val="008557AC"/>
    <w:rsid w:val="0087799E"/>
    <w:rsid w:val="00953B2B"/>
    <w:rsid w:val="009C6DE7"/>
    <w:rsid w:val="009D4592"/>
    <w:rsid w:val="009D59A3"/>
    <w:rsid w:val="00A044CB"/>
    <w:rsid w:val="00A12D2D"/>
    <w:rsid w:val="00A2395D"/>
    <w:rsid w:val="00A24936"/>
    <w:rsid w:val="00A60723"/>
    <w:rsid w:val="00A61E59"/>
    <w:rsid w:val="00AD2C76"/>
    <w:rsid w:val="00B20618"/>
    <w:rsid w:val="00B8474B"/>
    <w:rsid w:val="00B9717B"/>
    <w:rsid w:val="00BE2632"/>
    <w:rsid w:val="00C320B4"/>
    <w:rsid w:val="00C838B4"/>
    <w:rsid w:val="00C8764A"/>
    <w:rsid w:val="00CD09C0"/>
    <w:rsid w:val="00D37BE4"/>
    <w:rsid w:val="00DA5558"/>
    <w:rsid w:val="00DA5F45"/>
    <w:rsid w:val="00DB0DEA"/>
    <w:rsid w:val="00DF4FA2"/>
    <w:rsid w:val="00E11773"/>
    <w:rsid w:val="00E4255A"/>
    <w:rsid w:val="00EA3456"/>
    <w:rsid w:val="00EC077D"/>
    <w:rsid w:val="00F07843"/>
    <w:rsid w:val="00F54315"/>
    <w:rsid w:val="00F5587E"/>
    <w:rsid w:val="00F64021"/>
    <w:rsid w:val="00FB3560"/>
    <w:rsid w:val="00FD333A"/>
    <w:rsid w:val="00FE5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DE420"/>
  <w15:chartTrackingRefBased/>
  <w15:docId w15:val="{65E49DEF-3247-46DD-BA8D-737F093A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DE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C6DE7"/>
    <w:rPr>
      <w:sz w:val="18"/>
      <w:szCs w:val="18"/>
    </w:rPr>
  </w:style>
  <w:style w:type="paragraph" w:styleId="a5">
    <w:name w:val="footer"/>
    <w:basedOn w:val="a"/>
    <w:link w:val="a6"/>
    <w:uiPriority w:val="99"/>
    <w:unhideWhenUsed/>
    <w:rsid w:val="009C6DE7"/>
    <w:pPr>
      <w:tabs>
        <w:tab w:val="center" w:pos="4153"/>
        <w:tab w:val="right" w:pos="8306"/>
      </w:tabs>
      <w:snapToGrid w:val="0"/>
      <w:jc w:val="left"/>
    </w:pPr>
    <w:rPr>
      <w:sz w:val="18"/>
      <w:szCs w:val="18"/>
    </w:rPr>
  </w:style>
  <w:style w:type="character" w:customStyle="1" w:styleId="a6">
    <w:name w:val="页脚 字符"/>
    <w:basedOn w:val="a0"/>
    <w:link w:val="a5"/>
    <w:uiPriority w:val="99"/>
    <w:rsid w:val="009C6DE7"/>
    <w:rPr>
      <w:sz w:val="18"/>
      <w:szCs w:val="18"/>
    </w:rPr>
  </w:style>
  <w:style w:type="paragraph" w:styleId="a7">
    <w:name w:val="Date"/>
    <w:basedOn w:val="a"/>
    <w:next w:val="a"/>
    <w:link w:val="a8"/>
    <w:uiPriority w:val="99"/>
    <w:semiHidden/>
    <w:unhideWhenUsed/>
    <w:rsid w:val="00A61E59"/>
    <w:pPr>
      <w:ind w:leftChars="2500" w:left="100"/>
    </w:pPr>
  </w:style>
  <w:style w:type="character" w:customStyle="1" w:styleId="a8">
    <w:name w:val="日期 字符"/>
    <w:basedOn w:val="a0"/>
    <w:link w:val="a7"/>
    <w:uiPriority w:val="99"/>
    <w:semiHidden/>
    <w:rsid w:val="00A61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31596">
      <w:bodyDiv w:val="1"/>
      <w:marLeft w:val="0"/>
      <w:marRight w:val="0"/>
      <w:marTop w:val="0"/>
      <w:marBottom w:val="0"/>
      <w:divBdr>
        <w:top w:val="none" w:sz="0" w:space="0" w:color="auto"/>
        <w:left w:val="none" w:sz="0" w:space="0" w:color="auto"/>
        <w:bottom w:val="none" w:sz="0" w:space="0" w:color="auto"/>
        <w:right w:val="none" w:sz="0" w:space="0" w:color="auto"/>
      </w:divBdr>
    </w:div>
    <w:div w:id="220555110">
      <w:bodyDiv w:val="1"/>
      <w:marLeft w:val="0"/>
      <w:marRight w:val="0"/>
      <w:marTop w:val="0"/>
      <w:marBottom w:val="0"/>
      <w:divBdr>
        <w:top w:val="none" w:sz="0" w:space="0" w:color="auto"/>
        <w:left w:val="none" w:sz="0" w:space="0" w:color="auto"/>
        <w:bottom w:val="none" w:sz="0" w:space="0" w:color="auto"/>
        <w:right w:val="none" w:sz="0" w:space="0" w:color="auto"/>
      </w:divBdr>
      <w:divsChild>
        <w:div w:id="1436753793">
          <w:marLeft w:val="0"/>
          <w:marRight w:val="0"/>
          <w:marTop w:val="360"/>
          <w:marBottom w:val="180"/>
          <w:divBdr>
            <w:top w:val="single" w:sz="2" w:space="0" w:color="auto"/>
            <w:left w:val="single" w:sz="2" w:space="0" w:color="auto"/>
            <w:bottom w:val="single" w:sz="2" w:space="0" w:color="auto"/>
            <w:right w:val="single" w:sz="2" w:space="0" w:color="auto"/>
          </w:divBdr>
        </w:div>
        <w:div w:id="506945434">
          <w:marLeft w:val="0"/>
          <w:marRight w:val="0"/>
          <w:marTop w:val="120"/>
          <w:marBottom w:val="120"/>
          <w:divBdr>
            <w:top w:val="single" w:sz="2" w:space="0" w:color="auto"/>
            <w:left w:val="single" w:sz="2" w:space="0" w:color="auto"/>
            <w:bottom w:val="single" w:sz="2" w:space="0" w:color="auto"/>
            <w:right w:val="single" w:sz="2" w:space="0" w:color="auto"/>
          </w:divBdr>
        </w:div>
        <w:div w:id="1206673819">
          <w:marLeft w:val="0"/>
          <w:marRight w:val="0"/>
          <w:marTop w:val="120"/>
          <w:marBottom w:val="120"/>
          <w:divBdr>
            <w:top w:val="single" w:sz="2" w:space="0" w:color="auto"/>
            <w:left w:val="single" w:sz="2" w:space="0" w:color="auto"/>
            <w:bottom w:val="single" w:sz="2" w:space="0" w:color="auto"/>
            <w:right w:val="single" w:sz="2" w:space="0" w:color="auto"/>
          </w:divBdr>
        </w:div>
        <w:div w:id="555436120">
          <w:marLeft w:val="0"/>
          <w:marRight w:val="0"/>
          <w:marTop w:val="360"/>
          <w:marBottom w:val="180"/>
          <w:divBdr>
            <w:top w:val="single" w:sz="2" w:space="0" w:color="auto"/>
            <w:left w:val="single" w:sz="2" w:space="0" w:color="auto"/>
            <w:bottom w:val="single" w:sz="2" w:space="0" w:color="auto"/>
            <w:right w:val="single" w:sz="2" w:space="0" w:color="auto"/>
          </w:divBdr>
        </w:div>
        <w:div w:id="2067411620">
          <w:marLeft w:val="0"/>
          <w:marRight w:val="0"/>
          <w:marTop w:val="120"/>
          <w:marBottom w:val="120"/>
          <w:divBdr>
            <w:top w:val="single" w:sz="2" w:space="0" w:color="auto"/>
            <w:left w:val="single" w:sz="2" w:space="0" w:color="auto"/>
            <w:bottom w:val="single" w:sz="2" w:space="0" w:color="auto"/>
            <w:right w:val="single" w:sz="2" w:space="0" w:color="auto"/>
          </w:divBdr>
        </w:div>
        <w:div w:id="1116171839">
          <w:marLeft w:val="0"/>
          <w:marRight w:val="0"/>
          <w:marTop w:val="120"/>
          <w:marBottom w:val="120"/>
          <w:divBdr>
            <w:top w:val="single" w:sz="2" w:space="0" w:color="auto"/>
            <w:left w:val="single" w:sz="2" w:space="0" w:color="auto"/>
            <w:bottom w:val="single" w:sz="2" w:space="0" w:color="auto"/>
            <w:right w:val="single" w:sz="2" w:space="0" w:color="auto"/>
          </w:divBdr>
        </w:div>
        <w:div w:id="153373959">
          <w:marLeft w:val="0"/>
          <w:marRight w:val="0"/>
          <w:marTop w:val="360"/>
          <w:marBottom w:val="180"/>
          <w:divBdr>
            <w:top w:val="single" w:sz="2" w:space="0" w:color="auto"/>
            <w:left w:val="single" w:sz="2" w:space="0" w:color="auto"/>
            <w:bottom w:val="single" w:sz="2" w:space="0" w:color="auto"/>
            <w:right w:val="single" w:sz="2" w:space="0" w:color="auto"/>
          </w:divBdr>
        </w:div>
        <w:div w:id="882986866">
          <w:marLeft w:val="0"/>
          <w:marRight w:val="0"/>
          <w:marTop w:val="120"/>
          <w:marBottom w:val="120"/>
          <w:divBdr>
            <w:top w:val="single" w:sz="2" w:space="0" w:color="auto"/>
            <w:left w:val="single" w:sz="2" w:space="0" w:color="auto"/>
            <w:bottom w:val="single" w:sz="2" w:space="0" w:color="auto"/>
            <w:right w:val="single" w:sz="2" w:space="0" w:color="auto"/>
          </w:divBdr>
        </w:div>
        <w:div w:id="1638145783">
          <w:marLeft w:val="0"/>
          <w:marRight w:val="0"/>
          <w:marTop w:val="120"/>
          <w:marBottom w:val="120"/>
          <w:divBdr>
            <w:top w:val="single" w:sz="2" w:space="0" w:color="auto"/>
            <w:left w:val="single" w:sz="2" w:space="0" w:color="auto"/>
            <w:bottom w:val="single" w:sz="2" w:space="0" w:color="auto"/>
            <w:right w:val="single" w:sz="2" w:space="0" w:color="auto"/>
          </w:divBdr>
        </w:div>
      </w:divsChild>
    </w:div>
    <w:div w:id="695617417">
      <w:bodyDiv w:val="1"/>
      <w:marLeft w:val="0"/>
      <w:marRight w:val="0"/>
      <w:marTop w:val="0"/>
      <w:marBottom w:val="0"/>
      <w:divBdr>
        <w:top w:val="none" w:sz="0" w:space="0" w:color="auto"/>
        <w:left w:val="none" w:sz="0" w:space="0" w:color="auto"/>
        <w:bottom w:val="none" w:sz="0" w:space="0" w:color="auto"/>
        <w:right w:val="none" w:sz="0" w:space="0" w:color="auto"/>
      </w:divBdr>
      <w:divsChild>
        <w:div w:id="482623726">
          <w:marLeft w:val="0"/>
          <w:marRight w:val="0"/>
          <w:marTop w:val="120"/>
          <w:marBottom w:val="120"/>
          <w:divBdr>
            <w:top w:val="single" w:sz="2" w:space="0" w:color="auto"/>
            <w:left w:val="single" w:sz="2" w:space="0" w:color="auto"/>
            <w:bottom w:val="single" w:sz="2" w:space="0" w:color="auto"/>
            <w:right w:val="single" w:sz="2" w:space="0" w:color="auto"/>
          </w:divBdr>
        </w:div>
        <w:div w:id="387805211">
          <w:marLeft w:val="0"/>
          <w:marRight w:val="0"/>
          <w:marTop w:val="120"/>
          <w:marBottom w:val="120"/>
          <w:divBdr>
            <w:top w:val="single" w:sz="2" w:space="0" w:color="auto"/>
            <w:left w:val="single" w:sz="2" w:space="0" w:color="auto"/>
            <w:bottom w:val="single" w:sz="2" w:space="0" w:color="auto"/>
            <w:right w:val="single" w:sz="2" w:space="0" w:color="auto"/>
          </w:divBdr>
        </w:div>
        <w:div w:id="1952661730">
          <w:marLeft w:val="0"/>
          <w:marRight w:val="0"/>
          <w:marTop w:val="120"/>
          <w:marBottom w:val="12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460</TotalTime>
  <Pages>4</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WangJie</dc:creator>
  <cp:keywords/>
  <dc:description/>
  <cp:lastModifiedBy>WangJie</cp:lastModifiedBy>
  <cp:revision>61</cp:revision>
  <dcterms:created xsi:type="dcterms:W3CDTF">2025-09-22T05:57:00Z</dcterms:created>
  <dcterms:modified xsi:type="dcterms:W3CDTF">2025-10-21T00:35:00Z</dcterms:modified>
</cp:coreProperties>
</file>