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B6937" w14:textId="77777777" w:rsidR="00231EF0" w:rsidRDefault="00231EF0">
      <w:pPr>
        <w:spacing w:line="360" w:lineRule="auto"/>
        <w:jc w:val="center"/>
        <w:rPr>
          <w:rFonts w:ascii="黑体" w:eastAsia="黑体"/>
          <w:sz w:val="36"/>
          <w:szCs w:val="36"/>
        </w:rPr>
      </w:pPr>
      <w:bookmarkStart w:id="0" w:name="_Toc411600750"/>
      <w:bookmarkStart w:id="1" w:name="_Toc411600690"/>
    </w:p>
    <w:p w14:paraId="152057A6" w14:textId="77777777" w:rsidR="00231EF0" w:rsidRDefault="00231EF0">
      <w:pPr>
        <w:spacing w:line="360" w:lineRule="auto"/>
        <w:jc w:val="center"/>
        <w:rPr>
          <w:rFonts w:ascii="黑体" w:eastAsia="黑体"/>
          <w:sz w:val="36"/>
          <w:szCs w:val="36"/>
        </w:rPr>
      </w:pPr>
    </w:p>
    <w:p w14:paraId="14CF27BD" w14:textId="77777777" w:rsidR="00231EF0" w:rsidRDefault="00231EF0">
      <w:pPr>
        <w:spacing w:line="360" w:lineRule="auto"/>
        <w:jc w:val="center"/>
        <w:rPr>
          <w:rFonts w:ascii="黑体" w:eastAsia="黑体"/>
          <w:sz w:val="36"/>
          <w:szCs w:val="36"/>
        </w:rPr>
      </w:pPr>
    </w:p>
    <w:bookmarkEnd w:id="0"/>
    <w:bookmarkEnd w:id="1"/>
    <w:p w14:paraId="31133055" w14:textId="77777777" w:rsidR="00E14824" w:rsidRDefault="00000000" w:rsidP="00E14824">
      <w:pPr>
        <w:spacing w:line="600" w:lineRule="auto"/>
        <w:jc w:val="center"/>
        <w:rPr>
          <w:b/>
          <w:sz w:val="44"/>
          <w:szCs w:val="44"/>
        </w:rPr>
      </w:pPr>
      <w:r>
        <w:rPr>
          <w:rFonts w:hint="eastAsia"/>
          <w:b/>
          <w:sz w:val="44"/>
          <w:szCs w:val="44"/>
        </w:rPr>
        <w:t>国家计量技术规范《</w:t>
      </w:r>
      <w:r w:rsidR="00E14824" w:rsidRPr="00E14824">
        <w:rPr>
          <w:rFonts w:hint="eastAsia"/>
          <w:b/>
          <w:sz w:val="44"/>
          <w:szCs w:val="44"/>
        </w:rPr>
        <w:t>碳排放核算数据</w:t>
      </w:r>
    </w:p>
    <w:p w14:paraId="5397F272" w14:textId="3FFEE7E6" w:rsidR="00231EF0" w:rsidRDefault="00E14824" w:rsidP="00E14824">
      <w:pPr>
        <w:spacing w:line="600" w:lineRule="auto"/>
        <w:jc w:val="center"/>
        <w:rPr>
          <w:b/>
          <w:sz w:val="44"/>
          <w:szCs w:val="44"/>
        </w:rPr>
      </w:pPr>
      <w:r w:rsidRPr="00E14824">
        <w:rPr>
          <w:rFonts w:hint="eastAsia"/>
          <w:b/>
          <w:sz w:val="44"/>
          <w:szCs w:val="44"/>
        </w:rPr>
        <w:t>自动化获取报送接口规范</w:t>
      </w:r>
      <w:r w:rsidR="00000000">
        <w:rPr>
          <w:rFonts w:hint="eastAsia"/>
          <w:b/>
          <w:sz w:val="44"/>
          <w:szCs w:val="44"/>
        </w:rPr>
        <w:t>》</w:t>
      </w:r>
    </w:p>
    <w:p w14:paraId="073CE372" w14:textId="77777777" w:rsidR="00231EF0" w:rsidRDefault="00000000">
      <w:pPr>
        <w:spacing w:line="600" w:lineRule="auto"/>
        <w:jc w:val="center"/>
        <w:rPr>
          <w:b/>
          <w:sz w:val="44"/>
          <w:szCs w:val="44"/>
        </w:rPr>
      </w:pPr>
      <w:r>
        <w:rPr>
          <w:rFonts w:hint="eastAsia"/>
          <w:b/>
          <w:sz w:val="44"/>
          <w:szCs w:val="44"/>
        </w:rPr>
        <w:t>编制说明</w:t>
      </w:r>
    </w:p>
    <w:p w14:paraId="45EE52B2" w14:textId="77777777" w:rsidR="00231EF0" w:rsidRDefault="00231EF0">
      <w:pPr>
        <w:spacing w:line="360" w:lineRule="auto"/>
        <w:jc w:val="center"/>
        <w:rPr>
          <w:sz w:val="24"/>
          <w:szCs w:val="24"/>
        </w:rPr>
      </w:pPr>
    </w:p>
    <w:p w14:paraId="62E75F0A" w14:textId="77777777" w:rsidR="00231EF0" w:rsidRDefault="00231EF0">
      <w:pPr>
        <w:spacing w:line="360" w:lineRule="auto"/>
        <w:jc w:val="center"/>
        <w:rPr>
          <w:sz w:val="24"/>
          <w:szCs w:val="24"/>
        </w:rPr>
      </w:pPr>
    </w:p>
    <w:p w14:paraId="6135DD72" w14:textId="77777777" w:rsidR="00231EF0" w:rsidRDefault="00231EF0">
      <w:pPr>
        <w:spacing w:line="360" w:lineRule="auto"/>
        <w:jc w:val="center"/>
        <w:rPr>
          <w:sz w:val="24"/>
          <w:szCs w:val="24"/>
        </w:rPr>
      </w:pPr>
    </w:p>
    <w:p w14:paraId="6A7D3DF2" w14:textId="77777777" w:rsidR="00231EF0" w:rsidRDefault="00231EF0">
      <w:pPr>
        <w:spacing w:line="360" w:lineRule="auto"/>
        <w:jc w:val="center"/>
        <w:rPr>
          <w:sz w:val="24"/>
          <w:szCs w:val="24"/>
        </w:rPr>
      </w:pPr>
    </w:p>
    <w:p w14:paraId="07320898" w14:textId="77777777" w:rsidR="00231EF0" w:rsidRDefault="00231EF0">
      <w:pPr>
        <w:spacing w:line="360" w:lineRule="auto"/>
        <w:jc w:val="center"/>
        <w:rPr>
          <w:rFonts w:ascii="宋体" w:hAnsi="宋体" w:hint="eastAsia"/>
          <w:sz w:val="28"/>
          <w:szCs w:val="28"/>
        </w:rPr>
      </w:pPr>
    </w:p>
    <w:p w14:paraId="018C7F4A" w14:textId="77777777" w:rsidR="00231EF0" w:rsidRDefault="00231EF0">
      <w:pPr>
        <w:spacing w:line="360" w:lineRule="auto"/>
        <w:jc w:val="center"/>
        <w:rPr>
          <w:rFonts w:ascii="宋体" w:hAnsi="宋体" w:hint="eastAsia"/>
          <w:sz w:val="28"/>
          <w:szCs w:val="28"/>
        </w:rPr>
      </w:pPr>
    </w:p>
    <w:p w14:paraId="2261C51F" w14:textId="77777777" w:rsidR="00231EF0" w:rsidRDefault="00231EF0">
      <w:pPr>
        <w:spacing w:line="360" w:lineRule="auto"/>
        <w:jc w:val="center"/>
        <w:rPr>
          <w:rFonts w:ascii="宋体" w:hAnsi="宋体" w:hint="eastAsia"/>
          <w:sz w:val="28"/>
          <w:szCs w:val="28"/>
        </w:rPr>
      </w:pPr>
    </w:p>
    <w:p w14:paraId="57B6D513" w14:textId="77777777" w:rsidR="00231EF0" w:rsidRDefault="00231EF0">
      <w:pPr>
        <w:spacing w:line="360" w:lineRule="auto"/>
        <w:jc w:val="center"/>
        <w:rPr>
          <w:rFonts w:ascii="宋体" w:hAnsi="宋体" w:hint="eastAsia"/>
          <w:sz w:val="28"/>
          <w:szCs w:val="28"/>
        </w:rPr>
      </w:pPr>
    </w:p>
    <w:p w14:paraId="4AEAD154" w14:textId="77777777" w:rsidR="00231EF0" w:rsidRDefault="00231EF0">
      <w:pPr>
        <w:spacing w:line="360" w:lineRule="auto"/>
        <w:jc w:val="center"/>
        <w:rPr>
          <w:rFonts w:ascii="宋体" w:hAnsi="宋体" w:hint="eastAsia"/>
          <w:sz w:val="28"/>
          <w:szCs w:val="28"/>
        </w:rPr>
      </w:pPr>
    </w:p>
    <w:p w14:paraId="3F124598" w14:textId="0C6ABCCB" w:rsidR="0086691C" w:rsidRPr="00E14824" w:rsidRDefault="00000000" w:rsidP="00E14824">
      <w:pPr>
        <w:jc w:val="center"/>
        <w:rPr>
          <w:rFonts w:hint="eastAsia"/>
          <w:sz w:val="32"/>
          <w:szCs w:val="32"/>
        </w:rPr>
      </w:pPr>
      <w:r>
        <w:rPr>
          <w:rFonts w:ascii="宋体" w:hAnsi="宋体" w:hint="eastAsia"/>
          <w:sz w:val="32"/>
          <w:szCs w:val="32"/>
        </w:rPr>
        <w:t>《</w:t>
      </w:r>
      <w:r w:rsidR="00E14824" w:rsidRPr="00E14824">
        <w:rPr>
          <w:rFonts w:hint="eastAsia"/>
          <w:sz w:val="32"/>
          <w:szCs w:val="32"/>
        </w:rPr>
        <w:t>碳排放核算数据自动化获取报送接口规范</w:t>
      </w:r>
      <w:r>
        <w:rPr>
          <w:rFonts w:ascii="宋体" w:hAnsi="宋体" w:hint="eastAsia"/>
          <w:sz w:val="32"/>
          <w:szCs w:val="32"/>
        </w:rPr>
        <w:t>》</w:t>
      </w:r>
    </w:p>
    <w:p w14:paraId="72B117FE" w14:textId="5414DA94" w:rsidR="00231EF0" w:rsidRDefault="00000000">
      <w:pPr>
        <w:jc w:val="center"/>
        <w:rPr>
          <w:rFonts w:ascii="宋体" w:hAnsi="宋体" w:hint="eastAsia"/>
          <w:sz w:val="32"/>
          <w:szCs w:val="32"/>
        </w:rPr>
      </w:pPr>
      <w:r>
        <w:rPr>
          <w:rFonts w:ascii="宋体" w:hAnsi="宋体" w:hint="eastAsia"/>
          <w:sz w:val="32"/>
          <w:szCs w:val="32"/>
        </w:rPr>
        <w:t>起草组</w:t>
      </w:r>
    </w:p>
    <w:p w14:paraId="7BBE0717" w14:textId="77777777" w:rsidR="00231EF0" w:rsidRDefault="00231EF0">
      <w:pPr>
        <w:jc w:val="center"/>
        <w:rPr>
          <w:rFonts w:ascii="宋体" w:hAnsi="宋体" w:hint="eastAsia"/>
          <w:sz w:val="52"/>
        </w:rPr>
      </w:pPr>
    </w:p>
    <w:p w14:paraId="264CDA92" w14:textId="176FDB0A" w:rsidR="00231EF0" w:rsidRDefault="00000000">
      <w:pPr>
        <w:spacing w:line="360" w:lineRule="auto"/>
        <w:jc w:val="center"/>
        <w:rPr>
          <w:rFonts w:ascii="Times New Roman" w:hAnsi="Times New Roman" w:cs="Times New Roman"/>
          <w:sz w:val="28"/>
          <w:szCs w:val="28"/>
        </w:rPr>
      </w:pPr>
      <w:r>
        <w:rPr>
          <w:rFonts w:ascii="Times New Roman" w:hAnsi="Times New Roman" w:cs="Times New Roman"/>
          <w:sz w:val="28"/>
          <w:szCs w:val="28"/>
        </w:rPr>
        <w:t>2025</w:t>
      </w:r>
      <w:r>
        <w:rPr>
          <w:rFonts w:ascii="Times New Roman" w:hAnsi="Times New Roman" w:cs="Times New Roman"/>
          <w:sz w:val="28"/>
          <w:szCs w:val="28"/>
        </w:rPr>
        <w:t>年</w:t>
      </w:r>
      <w:r w:rsidR="00E14824">
        <w:rPr>
          <w:rFonts w:ascii="Times New Roman" w:hAnsi="Times New Roman" w:cs="Times New Roman" w:hint="eastAsia"/>
          <w:sz w:val="28"/>
          <w:szCs w:val="28"/>
        </w:rPr>
        <w:t>10</w:t>
      </w:r>
      <w:r>
        <w:rPr>
          <w:rFonts w:ascii="Times New Roman" w:hAnsi="Times New Roman" w:cs="Times New Roman"/>
          <w:sz w:val="28"/>
          <w:szCs w:val="28"/>
        </w:rPr>
        <w:t>月</w:t>
      </w:r>
      <w:r>
        <w:rPr>
          <w:rFonts w:ascii="Times New Roman" w:hAnsi="Times New Roman" w:cs="Times New Roman"/>
          <w:sz w:val="28"/>
          <w:szCs w:val="28"/>
        </w:rPr>
        <w:t xml:space="preserve"> </w:t>
      </w:r>
    </w:p>
    <w:p w14:paraId="6C3AE57E" w14:textId="77777777" w:rsidR="00231EF0" w:rsidRDefault="00231EF0">
      <w:pPr>
        <w:spacing w:line="360" w:lineRule="auto"/>
        <w:jc w:val="center"/>
        <w:rPr>
          <w:rFonts w:ascii="宋体" w:hAnsi="宋体" w:hint="eastAsia"/>
          <w:sz w:val="28"/>
          <w:szCs w:val="28"/>
        </w:rPr>
      </w:pPr>
    </w:p>
    <w:p w14:paraId="3932C5A2" w14:textId="77777777" w:rsidR="00E14824" w:rsidRDefault="00E14824">
      <w:pPr>
        <w:spacing w:line="360" w:lineRule="auto"/>
        <w:jc w:val="center"/>
        <w:rPr>
          <w:rFonts w:ascii="宋体" w:hAnsi="宋体" w:hint="eastAsia"/>
          <w:sz w:val="28"/>
          <w:szCs w:val="28"/>
        </w:rPr>
        <w:sectPr w:rsidR="00E1482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2A82F29C" w14:textId="77777777" w:rsidR="00231EF0" w:rsidRDefault="00231EF0">
      <w:pPr>
        <w:spacing w:line="360" w:lineRule="auto"/>
        <w:jc w:val="center"/>
        <w:rPr>
          <w:rFonts w:ascii="宋体" w:hAnsi="宋体" w:hint="eastAsia"/>
          <w:sz w:val="28"/>
          <w:szCs w:val="28"/>
        </w:rPr>
      </w:pPr>
    </w:p>
    <w:p w14:paraId="7CA20A6F" w14:textId="77777777" w:rsidR="00231EF0" w:rsidRDefault="00000000">
      <w:pPr>
        <w:spacing w:line="360" w:lineRule="auto"/>
        <w:jc w:val="center"/>
        <w:rPr>
          <w:rFonts w:ascii="宋体" w:hAnsi="宋体" w:hint="eastAsia"/>
          <w:sz w:val="28"/>
          <w:szCs w:val="28"/>
        </w:rPr>
      </w:pPr>
      <w:r>
        <w:rPr>
          <w:rFonts w:eastAsia="黑体" w:hint="eastAsia"/>
          <w:sz w:val="44"/>
        </w:rPr>
        <w:t>目</w:t>
      </w:r>
      <w:r>
        <w:rPr>
          <w:rFonts w:eastAsia="黑体" w:hint="eastAsia"/>
          <w:sz w:val="44"/>
        </w:rPr>
        <w:t xml:space="preserve">   </w:t>
      </w:r>
      <w:r>
        <w:rPr>
          <w:rFonts w:eastAsia="黑体" w:hint="eastAsia"/>
          <w:sz w:val="44"/>
        </w:rPr>
        <w:t>录</w:t>
      </w:r>
    </w:p>
    <w:p w14:paraId="6F773444" w14:textId="77777777" w:rsidR="00231EF0" w:rsidRDefault="00000000">
      <w:pPr>
        <w:pStyle w:val="TOC1"/>
        <w:tabs>
          <w:tab w:val="right" w:leader="dot" w:pos="8296"/>
        </w:tabs>
        <w:spacing w:line="360" w:lineRule="auto"/>
        <w:rPr>
          <w:sz w:val="24"/>
          <w:szCs w:val="24"/>
        </w:rPr>
      </w:pPr>
      <w:r>
        <w:rPr>
          <w:rFonts w:ascii="宋体" w:hAnsi="宋体"/>
          <w:sz w:val="24"/>
          <w:szCs w:val="24"/>
        </w:rPr>
        <w:fldChar w:fldCharType="begin"/>
      </w:r>
      <w:r>
        <w:rPr>
          <w:rFonts w:ascii="宋体" w:hAnsi="宋体"/>
          <w:sz w:val="24"/>
          <w:szCs w:val="24"/>
        </w:rPr>
        <w:instrText xml:space="preserve"> TOC \h \z \u \t "标题 4,1" </w:instrText>
      </w:r>
      <w:r>
        <w:rPr>
          <w:rFonts w:ascii="宋体" w:hAnsi="宋体"/>
          <w:sz w:val="24"/>
          <w:szCs w:val="24"/>
        </w:rPr>
        <w:fldChar w:fldCharType="separate"/>
      </w:r>
      <w:hyperlink w:anchor="_Toc456797104" w:history="1">
        <w:r w:rsidR="00231EF0">
          <w:rPr>
            <w:rStyle w:val="af"/>
            <w:rFonts w:hint="eastAsia"/>
            <w:sz w:val="24"/>
            <w:szCs w:val="24"/>
          </w:rPr>
          <w:t>一、概述</w:t>
        </w:r>
        <w:r w:rsidR="00231EF0">
          <w:rPr>
            <w:sz w:val="24"/>
            <w:szCs w:val="24"/>
          </w:rPr>
          <w:tab/>
        </w:r>
        <w:r w:rsidR="00231EF0">
          <w:rPr>
            <w:sz w:val="24"/>
            <w:szCs w:val="24"/>
          </w:rPr>
          <w:fldChar w:fldCharType="begin"/>
        </w:r>
        <w:r w:rsidR="00231EF0">
          <w:rPr>
            <w:sz w:val="24"/>
            <w:szCs w:val="24"/>
          </w:rPr>
          <w:instrText xml:space="preserve"> PAGEREF _Toc456797104 \h </w:instrText>
        </w:r>
        <w:r w:rsidR="00231EF0">
          <w:rPr>
            <w:sz w:val="24"/>
            <w:szCs w:val="24"/>
          </w:rPr>
        </w:r>
        <w:r w:rsidR="00231EF0">
          <w:rPr>
            <w:sz w:val="24"/>
            <w:szCs w:val="24"/>
          </w:rPr>
          <w:fldChar w:fldCharType="separate"/>
        </w:r>
        <w:r w:rsidR="00231EF0">
          <w:rPr>
            <w:sz w:val="24"/>
            <w:szCs w:val="24"/>
          </w:rPr>
          <w:t>3</w:t>
        </w:r>
        <w:r w:rsidR="00231EF0">
          <w:rPr>
            <w:sz w:val="24"/>
            <w:szCs w:val="24"/>
          </w:rPr>
          <w:fldChar w:fldCharType="end"/>
        </w:r>
      </w:hyperlink>
    </w:p>
    <w:p w14:paraId="4B1CFCEE" w14:textId="77777777" w:rsidR="00231EF0" w:rsidRDefault="00231EF0">
      <w:pPr>
        <w:pStyle w:val="TOC1"/>
        <w:tabs>
          <w:tab w:val="right" w:leader="dot" w:pos="8296"/>
        </w:tabs>
        <w:spacing w:line="360" w:lineRule="auto"/>
        <w:rPr>
          <w:sz w:val="24"/>
          <w:szCs w:val="24"/>
        </w:rPr>
      </w:pPr>
      <w:hyperlink w:anchor="_Toc456797105" w:history="1">
        <w:r>
          <w:rPr>
            <w:rStyle w:val="af"/>
            <w:rFonts w:hint="eastAsia"/>
            <w:sz w:val="24"/>
            <w:szCs w:val="24"/>
          </w:rPr>
          <w:t>二、任务来源及起草过程</w:t>
        </w:r>
        <w:r>
          <w:rPr>
            <w:sz w:val="24"/>
            <w:szCs w:val="24"/>
          </w:rPr>
          <w:tab/>
        </w:r>
        <w:r>
          <w:rPr>
            <w:sz w:val="24"/>
            <w:szCs w:val="24"/>
          </w:rPr>
          <w:fldChar w:fldCharType="begin"/>
        </w:r>
        <w:r>
          <w:rPr>
            <w:sz w:val="24"/>
            <w:szCs w:val="24"/>
          </w:rPr>
          <w:instrText xml:space="preserve"> PAGEREF _Toc456797105 \h </w:instrText>
        </w:r>
        <w:r>
          <w:rPr>
            <w:sz w:val="24"/>
            <w:szCs w:val="24"/>
          </w:rPr>
        </w:r>
        <w:r>
          <w:rPr>
            <w:sz w:val="24"/>
            <w:szCs w:val="24"/>
          </w:rPr>
          <w:fldChar w:fldCharType="separate"/>
        </w:r>
        <w:r>
          <w:rPr>
            <w:sz w:val="24"/>
            <w:szCs w:val="24"/>
          </w:rPr>
          <w:t>3</w:t>
        </w:r>
        <w:r>
          <w:rPr>
            <w:sz w:val="24"/>
            <w:szCs w:val="24"/>
          </w:rPr>
          <w:fldChar w:fldCharType="end"/>
        </w:r>
      </w:hyperlink>
    </w:p>
    <w:p w14:paraId="3220036A" w14:textId="77777777" w:rsidR="00231EF0" w:rsidRDefault="00231EF0">
      <w:pPr>
        <w:pStyle w:val="TOC1"/>
        <w:tabs>
          <w:tab w:val="right" w:leader="dot" w:pos="8296"/>
        </w:tabs>
        <w:spacing w:line="360" w:lineRule="auto"/>
        <w:rPr>
          <w:sz w:val="24"/>
          <w:szCs w:val="24"/>
        </w:rPr>
      </w:pPr>
      <w:hyperlink w:anchor="_Toc456797106" w:history="1">
        <w:r>
          <w:rPr>
            <w:rStyle w:val="af"/>
            <w:rFonts w:hint="eastAsia"/>
            <w:sz w:val="24"/>
            <w:szCs w:val="24"/>
          </w:rPr>
          <w:t>三、规范制定的依据</w:t>
        </w:r>
        <w:r>
          <w:rPr>
            <w:sz w:val="24"/>
            <w:szCs w:val="24"/>
          </w:rPr>
          <w:tab/>
        </w:r>
        <w:r>
          <w:rPr>
            <w:sz w:val="24"/>
            <w:szCs w:val="24"/>
          </w:rPr>
          <w:fldChar w:fldCharType="begin"/>
        </w:r>
        <w:r>
          <w:rPr>
            <w:sz w:val="24"/>
            <w:szCs w:val="24"/>
          </w:rPr>
          <w:instrText xml:space="preserve"> PAGEREF _Toc456797106 \h </w:instrText>
        </w:r>
        <w:r>
          <w:rPr>
            <w:sz w:val="24"/>
            <w:szCs w:val="24"/>
          </w:rPr>
        </w:r>
        <w:r>
          <w:rPr>
            <w:sz w:val="24"/>
            <w:szCs w:val="24"/>
          </w:rPr>
          <w:fldChar w:fldCharType="separate"/>
        </w:r>
        <w:r>
          <w:rPr>
            <w:sz w:val="24"/>
            <w:szCs w:val="24"/>
          </w:rPr>
          <w:t>4</w:t>
        </w:r>
        <w:r>
          <w:rPr>
            <w:sz w:val="24"/>
            <w:szCs w:val="24"/>
          </w:rPr>
          <w:fldChar w:fldCharType="end"/>
        </w:r>
      </w:hyperlink>
    </w:p>
    <w:p w14:paraId="112FC1E4" w14:textId="77777777" w:rsidR="00231EF0" w:rsidRDefault="00231EF0">
      <w:pPr>
        <w:pStyle w:val="TOC1"/>
        <w:tabs>
          <w:tab w:val="right" w:leader="dot" w:pos="8296"/>
        </w:tabs>
        <w:spacing w:line="360" w:lineRule="auto"/>
        <w:rPr>
          <w:sz w:val="24"/>
          <w:szCs w:val="24"/>
        </w:rPr>
      </w:pPr>
      <w:hyperlink w:anchor="_Toc456797107" w:history="1">
        <w:r>
          <w:rPr>
            <w:rStyle w:val="af"/>
            <w:rFonts w:hint="eastAsia"/>
            <w:sz w:val="24"/>
            <w:szCs w:val="24"/>
          </w:rPr>
          <w:t>四、规范内容与技术指标说明</w:t>
        </w:r>
        <w:r>
          <w:rPr>
            <w:sz w:val="24"/>
            <w:szCs w:val="24"/>
          </w:rPr>
          <w:tab/>
        </w:r>
        <w:r>
          <w:rPr>
            <w:sz w:val="24"/>
            <w:szCs w:val="24"/>
          </w:rPr>
          <w:fldChar w:fldCharType="begin"/>
        </w:r>
        <w:r>
          <w:rPr>
            <w:sz w:val="24"/>
            <w:szCs w:val="24"/>
          </w:rPr>
          <w:instrText xml:space="preserve"> PAGEREF _Toc456797107 \h </w:instrText>
        </w:r>
        <w:r>
          <w:rPr>
            <w:sz w:val="24"/>
            <w:szCs w:val="24"/>
          </w:rPr>
        </w:r>
        <w:r>
          <w:rPr>
            <w:sz w:val="24"/>
            <w:szCs w:val="24"/>
          </w:rPr>
          <w:fldChar w:fldCharType="separate"/>
        </w:r>
        <w:r>
          <w:rPr>
            <w:sz w:val="24"/>
            <w:szCs w:val="24"/>
          </w:rPr>
          <w:t>4</w:t>
        </w:r>
        <w:r>
          <w:rPr>
            <w:sz w:val="24"/>
            <w:szCs w:val="24"/>
          </w:rPr>
          <w:fldChar w:fldCharType="end"/>
        </w:r>
      </w:hyperlink>
    </w:p>
    <w:p w14:paraId="702E0D22" w14:textId="77777777" w:rsidR="00231EF0" w:rsidRDefault="00000000">
      <w:pPr>
        <w:spacing w:line="360" w:lineRule="auto"/>
        <w:jc w:val="center"/>
        <w:rPr>
          <w:rFonts w:ascii="宋体" w:hAnsi="宋体" w:hint="eastAsia"/>
          <w:sz w:val="28"/>
          <w:szCs w:val="28"/>
        </w:rPr>
      </w:pPr>
      <w:r>
        <w:rPr>
          <w:rFonts w:ascii="宋体" w:hAnsi="宋体"/>
          <w:sz w:val="24"/>
          <w:szCs w:val="24"/>
        </w:rPr>
        <w:fldChar w:fldCharType="end"/>
      </w:r>
    </w:p>
    <w:p w14:paraId="31BAD23B" w14:textId="77777777" w:rsidR="00231EF0" w:rsidRDefault="00231EF0">
      <w:pPr>
        <w:spacing w:line="360" w:lineRule="auto"/>
        <w:jc w:val="center"/>
        <w:rPr>
          <w:rFonts w:ascii="宋体" w:hAnsi="宋体" w:hint="eastAsia"/>
          <w:sz w:val="28"/>
          <w:szCs w:val="28"/>
        </w:rPr>
      </w:pPr>
    </w:p>
    <w:p w14:paraId="671FE517" w14:textId="77777777" w:rsidR="00231EF0" w:rsidRDefault="00231EF0">
      <w:pPr>
        <w:spacing w:line="360" w:lineRule="auto"/>
        <w:jc w:val="center"/>
        <w:rPr>
          <w:rFonts w:ascii="宋体" w:hAnsi="宋体" w:hint="eastAsia"/>
          <w:sz w:val="28"/>
          <w:szCs w:val="28"/>
        </w:rPr>
      </w:pPr>
    </w:p>
    <w:p w14:paraId="4DA4A462" w14:textId="77777777" w:rsidR="00231EF0" w:rsidRDefault="00231EF0">
      <w:pPr>
        <w:spacing w:line="360" w:lineRule="auto"/>
        <w:jc w:val="center"/>
        <w:rPr>
          <w:rFonts w:ascii="宋体" w:hAnsi="宋体" w:hint="eastAsia"/>
          <w:sz w:val="28"/>
          <w:szCs w:val="28"/>
        </w:rPr>
      </w:pPr>
    </w:p>
    <w:p w14:paraId="40431533" w14:textId="77777777" w:rsidR="00231EF0" w:rsidRDefault="00231EF0">
      <w:pPr>
        <w:spacing w:line="360" w:lineRule="auto"/>
        <w:jc w:val="center"/>
        <w:rPr>
          <w:rFonts w:ascii="宋体" w:hAnsi="宋体" w:hint="eastAsia"/>
          <w:sz w:val="28"/>
          <w:szCs w:val="28"/>
        </w:rPr>
      </w:pPr>
    </w:p>
    <w:p w14:paraId="689117F2" w14:textId="77777777" w:rsidR="00231EF0" w:rsidRDefault="00231EF0">
      <w:pPr>
        <w:spacing w:line="360" w:lineRule="auto"/>
        <w:jc w:val="center"/>
        <w:rPr>
          <w:rFonts w:ascii="宋体" w:hAnsi="宋体" w:hint="eastAsia"/>
          <w:sz w:val="28"/>
          <w:szCs w:val="28"/>
        </w:rPr>
      </w:pPr>
    </w:p>
    <w:p w14:paraId="215097A0" w14:textId="77777777" w:rsidR="00231EF0" w:rsidRDefault="00231EF0">
      <w:pPr>
        <w:spacing w:line="360" w:lineRule="auto"/>
        <w:jc w:val="center"/>
        <w:rPr>
          <w:rFonts w:ascii="宋体" w:hAnsi="宋体" w:hint="eastAsia"/>
          <w:sz w:val="28"/>
          <w:szCs w:val="28"/>
        </w:rPr>
      </w:pPr>
    </w:p>
    <w:p w14:paraId="2BD5A081" w14:textId="77777777" w:rsidR="00231EF0" w:rsidRDefault="00231EF0">
      <w:pPr>
        <w:spacing w:line="360" w:lineRule="auto"/>
        <w:jc w:val="center"/>
        <w:rPr>
          <w:rFonts w:ascii="宋体" w:hAnsi="宋体" w:hint="eastAsia"/>
          <w:sz w:val="28"/>
          <w:szCs w:val="28"/>
        </w:rPr>
      </w:pPr>
    </w:p>
    <w:p w14:paraId="3D7B445D" w14:textId="77777777" w:rsidR="00231EF0" w:rsidRDefault="00231EF0">
      <w:pPr>
        <w:spacing w:line="360" w:lineRule="auto"/>
        <w:jc w:val="center"/>
        <w:rPr>
          <w:rFonts w:ascii="宋体" w:hAnsi="宋体" w:hint="eastAsia"/>
          <w:sz w:val="28"/>
          <w:szCs w:val="28"/>
        </w:rPr>
      </w:pPr>
    </w:p>
    <w:p w14:paraId="3CFA72E9" w14:textId="77777777" w:rsidR="00231EF0" w:rsidRDefault="00231EF0">
      <w:pPr>
        <w:spacing w:line="360" w:lineRule="auto"/>
        <w:jc w:val="center"/>
        <w:rPr>
          <w:rFonts w:ascii="宋体" w:hAnsi="宋体" w:hint="eastAsia"/>
          <w:sz w:val="28"/>
          <w:szCs w:val="28"/>
        </w:rPr>
      </w:pPr>
    </w:p>
    <w:p w14:paraId="6F17274A" w14:textId="77777777" w:rsidR="00231EF0" w:rsidRDefault="00231EF0">
      <w:pPr>
        <w:spacing w:line="360" w:lineRule="auto"/>
        <w:jc w:val="center"/>
        <w:rPr>
          <w:rFonts w:ascii="宋体" w:hAnsi="宋体" w:hint="eastAsia"/>
          <w:sz w:val="28"/>
          <w:szCs w:val="28"/>
        </w:rPr>
      </w:pPr>
    </w:p>
    <w:p w14:paraId="664B2922" w14:textId="77777777" w:rsidR="00231EF0" w:rsidRDefault="00231EF0">
      <w:pPr>
        <w:spacing w:line="360" w:lineRule="auto"/>
        <w:jc w:val="center"/>
        <w:rPr>
          <w:rFonts w:ascii="宋体" w:hAnsi="宋体" w:hint="eastAsia"/>
          <w:sz w:val="28"/>
          <w:szCs w:val="28"/>
        </w:rPr>
      </w:pPr>
    </w:p>
    <w:p w14:paraId="6C75E2E1" w14:textId="77777777" w:rsidR="00231EF0" w:rsidRDefault="00231EF0">
      <w:pPr>
        <w:spacing w:line="360" w:lineRule="auto"/>
        <w:jc w:val="center"/>
        <w:rPr>
          <w:rFonts w:ascii="宋体" w:hAnsi="宋体" w:hint="eastAsia"/>
          <w:sz w:val="28"/>
          <w:szCs w:val="28"/>
        </w:rPr>
      </w:pPr>
    </w:p>
    <w:p w14:paraId="018DB04D" w14:textId="77777777" w:rsidR="00231EF0" w:rsidRDefault="00231EF0">
      <w:pPr>
        <w:spacing w:line="360" w:lineRule="auto"/>
        <w:jc w:val="center"/>
        <w:rPr>
          <w:rFonts w:ascii="宋体" w:hAnsi="宋体" w:hint="eastAsia"/>
          <w:sz w:val="28"/>
          <w:szCs w:val="28"/>
        </w:rPr>
      </w:pPr>
    </w:p>
    <w:p w14:paraId="33B13671" w14:textId="77777777" w:rsidR="00231EF0" w:rsidRDefault="00231EF0">
      <w:pPr>
        <w:spacing w:line="360" w:lineRule="auto"/>
        <w:jc w:val="center"/>
        <w:rPr>
          <w:rFonts w:ascii="宋体" w:hAnsi="宋体" w:hint="eastAsia"/>
          <w:sz w:val="28"/>
          <w:szCs w:val="28"/>
        </w:rPr>
      </w:pPr>
    </w:p>
    <w:p w14:paraId="308256EF" w14:textId="77777777" w:rsidR="00231EF0" w:rsidRDefault="00231EF0">
      <w:pPr>
        <w:spacing w:line="360" w:lineRule="auto"/>
        <w:rPr>
          <w:rFonts w:ascii="宋体" w:hAnsi="宋体" w:hint="eastAsia"/>
          <w:sz w:val="28"/>
          <w:szCs w:val="28"/>
        </w:rPr>
      </w:pPr>
    </w:p>
    <w:p w14:paraId="134DD18D" w14:textId="77777777" w:rsidR="00231EF0" w:rsidRDefault="00231EF0">
      <w:pPr>
        <w:spacing w:line="360" w:lineRule="auto"/>
        <w:rPr>
          <w:rFonts w:ascii="宋体" w:hAnsi="宋体" w:hint="eastAsia"/>
          <w:sz w:val="28"/>
          <w:szCs w:val="28"/>
        </w:rPr>
      </w:pPr>
    </w:p>
    <w:p w14:paraId="2B6CCB54" w14:textId="77777777" w:rsidR="00231EF0" w:rsidRDefault="00000000">
      <w:pPr>
        <w:pStyle w:val="4"/>
      </w:pPr>
      <w:bookmarkStart w:id="2" w:name="_Toc456797104"/>
      <w:r>
        <w:rPr>
          <w:rFonts w:hint="eastAsia"/>
        </w:rPr>
        <w:lastRenderedPageBreak/>
        <w:t>一、</w:t>
      </w:r>
      <w:r>
        <w:t>概述</w:t>
      </w:r>
      <w:bookmarkEnd w:id="2"/>
    </w:p>
    <w:p w14:paraId="5ABCD5A3" w14:textId="4E97A3BC" w:rsidR="00BD4F4E" w:rsidRDefault="00000000" w:rsidP="00BD4F4E">
      <w:pPr>
        <w:pStyle w:val="a3"/>
        <w:spacing w:before="54" w:line="360" w:lineRule="auto"/>
        <w:ind w:right="270" w:firstLineChars="226" w:firstLine="565"/>
        <w:rPr>
          <w:rFonts w:ascii="宋体" w:eastAsia="宋体" w:hAnsi="宋体"/>
          <w:spacing w:val="-15"/>
          <w:sz w:val="28"/>
          <w:szCs w:val="28"/>
          <w:lang w:eastAsia="zh-CN"/>
        </w:rPr>
      </w:pPr>
      <w:r>
        <w:rPr>
          <w:rFonts w:ascii="宋体" w:eastAsia="宋体" w:hAnsi="宋体" w:hint="eastAsia"/>
          <w:spacing w:val="-15"/>
          <w:sz w:val="28"/>
          <w:szCs w:val="28"/>
          <w:lang w:eastAsia="zh-CN"/>
        </w:rPr>
        <w:t>本规范针对</w:t>
      </w:r>
      <w:r w:rsidR="00BD4F4E" w:rsidRPr="00BD4F4E">
        <w:rPr>
          <w:rFonts w:ascii="宋体" w:eastAsia="宋体" w:hAnsi="宋体" w:hint="eastAsia"/>
          <w:spacing w:val="-15"/>
          <w:sz w:val="28"/>
          <w:szCs w:val="28"/>
          <w:lang w:eastAsia="zh-CN"/>
        </w:rPr>
        <w:t>碳排放核算数据自动化获取报送接口</w:t>
      </w:r>
      <w:r>
        <w:rPr>
          <w:rFonts w:ascii="宋体" w:eastAsia="宋体" w:hAnsi="宋体" w:hint="eastAsia"/>
          <w:spacing w:val="-15"/>
          <w:sz w:val="28"/>
          <w:szCs w:val="28"/>
          <w:lang w:eastAsia="zh-CN"/>
        </w:rPr>
        <w:t>编制相应的技术规范。</w:t>
      </w:r>
      <w:r w:rsidR="00BD4F4E" w:rsidRPr="00BD4F4E">
        <w:rPr>
          <w:rFonts w:ascii="宋体" w:eastAsia="宋体" w:hAnsi="宋体" w:hint="eastAsia"/>
          <w:spacing w:val="-15"/>
          <w:sz w:val="28"/>
          <w:szCs w:val="28"/>
          <w:lang w:eastAsia="zh-CN"/>
        </w:rPr>
        <w:t>碳排放数据是推进碳减排的基础，也是编制国家温室气体排放清单、进行碳交易、征收碳关税的依据焦点。碳排放核算数据的标准化、规范化，格式公开透明统一，接口规范与要求，对我们碳排放数据的收集效率和质量可靠具有非常必要的意义</w:t>
      </w:r>
      <w:r w:rsidR="00BD4F4E">
        <w:rPr>
          <w:rFonts w:ascii="宋体" w:eastAsia="宋体" w:hAnsi="宋体" w:hint="eastAsia"/>
          <w:spacing w:val="-15"/>
          <w:sz w:val="28"/>
          <w:szCs w:val="28"/>
          <w:lang w:eastAsia="zh-CN"/>
        </w:rPr>
        <w:t>.</w:t>
      </w:r>
    </w:p>
    <w:p w14:paraId="5FB1CFB2" w14:textId="355518BC" w:rsidR="00BD4F4E" w:rsidRDefault="00BD4F4E" w:rsidP="00BD4F4E">
      <w:pPr>
        <w:pStyle w:val="a3"/>
        <w:spacing w:before="54" w:line="360" w:lineRule="auto"/>
        <w:ind w:right="270" w:firstLineChars="226" w:firstLine="565"/>
        <w:rPr>
          <w:rFonts w:ascii="宋体" w:eastAsia="宋体" w:hAnsi="宋体"/>
          <w:spacing w:val="-15"/>
          <w:sz w:val="28"/>
          <w:szCs w:val="28"/>
          <w:lang w:eastAsia="zh-CN"/>
        </w:rPr>
      </w:pPr>
      <w:r w:rsidRPr="00BD4F4E">
        <w:rPr>
          <w:rFonts w:ascii="宋体" w:eastAsia="宋体" w:hAnsi="宋体" w:hint="eastAsia"/>
          <w:spacing w:val="-15"/>
          <w:sz w:val="28"/>
          <w:szCs w:val="28"/>
          <w:lang w:eastAsia="zh-CN"/>
        </w:rPr>
        <w:t>目前，国际上对于碳数据的核算、统计、监测方法并不统一，欧美等发达国家非常重视碳计量新技术研究及应用，在测量方法和标准制定等方面不断迭代更新，企图继续主导全球碳减排规则的制定。2021.09 中共中央 国务院《关于完整准确全面贯彻新发展理念做好碳达峰碳中和工作的意见》：“提升统计监测能力。健全能耗统计监测和计量体系，加强重点用能单位能耗在线监测系统建设。加强二氧化碳排放统计核算能力建设，提升信息化实测水平。” 2021.10 国务院《2030年前碳达峰行动方案》：“推进碳排放实测技术发展，加快遥感测量、大数据、云计算等新兴技术在碳排放实测技术领域的应用，提高统计核算水平”。2022.06 国务院《关于加强数字政府建设的指导意见》：“要加快构建碳排放智能监测和动态核算体系，服务保障碳达峰、碳中和目标顺利实现”。九部委联合发布“关于印发建立健全碳达峰碳中和标准计量体系实施方案的通知”(国市监计量发〔2022〕92号)：“夯实基础，完善体系。聚焦重点领域和重点行业，加强基础通用标准制修订，实现标准重点突破和整体提升，推动计量智能化、数字化转型升级，建立健全碳达峰碳中和计量技术体系、管理体系和服务体系，提升计量、标准支撑保障能力和水平。”</w:t>
      </w:r>
      <w:r>
        <w:rPr>
          <w:rFonts w:ascii="宋体" w:eastAsia="宋体" w:hAnsi="宋体" w:hint="eastAsia"/>
          <w:spacing w:val="-15"/>
          <w:sz w:val="28"/>
          <w:szCs w:val="28"/>
          <w:lang w:eastAsia="zh-CN"/>
        </w:rPr>
        <w:t>因此本规范的制定</w:t>
      </w:r>
      <w:r w:rsidRPr="00BD4F4E">
        <w:rPr>
          <w:rFonts w:ascii="宋体" w:eastAsia="宋体" w:hAnsi="宋体" w:hint="eastAsia"/>
          <w:spacing w:val="-15"/>
          <w:sz w:val="28"/>
          <w:szCs w:val="28"/>
          <w:lang w:eastAsia="zh-CN"/>
        </w:rPr>
        <w:t>是落实中共中央 国务院、九部委联合发布“关于印发建立健全碳达峰碳中和标准计量体系实施方案的通知”等要求的具体举措。</w:t>
      </w:r>
    </w:p>
    <w:p w14:paraId="39888A50" w14:textId="56B6617E" w:rsidR="00E22DA3" w:rsidRPr="00BD4F4E" w:rsidRDefault="00E22DA3" w:rsidP="00486BF3">
      <w:pPr>
        <w:pStyle w:val="a3"/>
        <w:spacing w:before="54" w:line="360" w:lineRule="auto"/>
        <w:ind w:right="270" w:firstLineChars="226" w:firstLine="565"/>
        <w:rPr>
          <w:rFonts w:ascii="宋体" w:eastAsia="宋体" w:hAnsi="宋体" w:hint="eastAsia"/>
          <w:spacing w:val="-15"/>
          <w:sz w:val="28"/>
          <w:szCs w:val="28"/>
          <w:lang w:eastAsia="zh-CN"/>
        </w:rPr>
      </w:pPr>
      <w:r w:rsidRPr="00E22DA3">
        <w:rPr>
          <w:rFonts w:ascii="宋体" w:eastAsia="宋体" w:hAnsi="宋体" w:hint="eastAsia"/>
          <w:spacing w:val="-15"/>
          <w:sz w:val="28"/>
          <w:szCs w:val="28"/>
          <w:lang w:eastAsia="zh-CN"/>
        </w:rPr>
        <w:lastRenderedPageBreak/>
        <w:t>碳排放核算质量一直受制于数据来源的可信度低，数字化水平低导致数据来源有限、数据交互难，且数据可信度无法保证。由于碳排放数据涉及到碳市场交易的清缴依据，排放单位、核查机构、检验检测机构等主体受利益驱使，可利用管理漏洞，通过刻意隐瞒真实的生产数据信息等方式影响碳排放报告相关数据，同时由于部分核算指南的可操作性大，人工处理时可操作空间很大。这些都严重影响行业的公平竞争，碳排放的直接测量与核算都亟需进行数字化，以数字化的手段保证碳排放数据从采集-传输-应用的全流程安全、透明、准确、可信。因此本规范的制定，可以从数据采集的源头解决数据质量的基础问题，通过标准化的接口规范，破解由于碳排放核算数据涉及煤炭、钢铁、水泥等多个行业的数据自动获取和报送，每个行业又由于行业特色、发展历史等原因，形成了种类多样的碳排数据采集系统得信息孤岛难题。将各系统采用的多样化数据结构、数据标准、数据协议统一，使碳排核算数据具有了成为高质量大数据的基础。</w:t>
      </w:r>
    </w:p>
    <w:p w14:paraId="61495132" w14:textId="77777777" w:rsidR="00231EF0" w:rsidRDefault="00000000">
      <w:pPr>
        <w:pStyle w:val="4"/>
      </w:pPr>
      <w:bookmarkStart w:id="3" w:name="_Toc456797105"/>
      <w:r>
        <w:rPr>
          <w:rFonts w:hint="eastAsia"/>
        </w:rPr>
        <w:t>二、任务</w:t>
      </w:r>
      <w:r>
        <w:t>来源及起草过程</w:t>
      </w:r>
      <w:bookmarkEnd w:id="3"/>
    </w:p>
    <w:p w14:paraId="6B80A635" w14:textId="4F722677" w:rsidR="00231EF0" w:rsidRDefault="00000000" w:rsidP="003A29ED">
      <w:pPr>
        <w:spacing w:line="360" w:lineRule="auto"/>
        <w:ind w:firstLineChars="200" w:firstLine="500"/>
        <w:rPr>
          <w:rFonts w:ascii="宋体" w:eastAsia="宋体" w:hAnsi="宋体" w:hint="eastAsia"/>
          <w:spacing w:val="-15"/>
          <w:sz w:val="28"/>
          <w:szCs w:val="28"/>
        </w:rPr>
      </w:pPr>
      <w:r>
        <w:rPr>
          <w:rFonts w:ascii="宋体" w:eastAsia="宋体" w:hAnsi="宋体" w:hint="eastAsia"/>
          <w:spacing w:val="-15"/>
          <w:sz w:val="28"/>
          <w:szCs w:val="28"/>
        </w:rPr>
        <w:t>本项目是通过</w:t>
      </w:r>
      <w:r w:rsidR="003A29ED" w:rsidRPr="003A29ED">
        <w:rPr>
          <w:rFonts w:ascii="宋体" w:eastAsia="宋体" w:hAnsi="宋体" w:hint="eastAsia"/>
          <w:spacing w:val="-15"/>
          <w:sz w:val="28"/>
          <w:szCs w:val="28"/>
        </w:rPr>
        <w:t>全国碳达峰碳中和计量技术委员会碳排放量计量分技术委员会</w:t>
      </w:r>
      <w:r>
        <w:rPr>
          <w:rFonts w:ascii="宋体" w:eastAsia="宋体" w:hAnsi="宋体" w:hint="eastAsia"/>
          <w:spacing w:val="-15"/>
          <w:sz w:val="28"/>
          <w:szCs w:val="28"/>
        </w:rPr>
        <w:t>申报并于2024年5月立项的</w:t>
      </w:r>
      <w:r>
        <w:rPr>
          <w:rFonts w:ascii="宋体" w:eastAsia="宋体" w:hAnsi="宋体"/>
          <w:spacing w:val="-15"/>
          <w:sz w:val="28"/>
          <w:szCs w:val="28"/>
        </w:rPr>
        <w:t>2024</w:t>
      </w:r>
      <w:r>
        <w:rPr>
          <w:rFonts w:ascii="宋体" w:eastAsia="宋体" w:hAnsi="宋体" w:hint="eastAsia"/>
          <w:spacing w:val="-15"/>
          <w:sz w:val="28"/>
          <w:szCs w:val="28"/>
        </w:rPr>
        <w:t>年国家计量技术规范制订项目，由中国计量科学研究院起草。编制执行时间为2年。</w:t>
      </w:r>
    </w:p>
    <w:p w14:paraId="70651AAF" w14:textId="12561B1A" w:rsidR="00231EF0" w:rsidRDefault="004A799E">
      <w:pPr>
        <w:spacing w:line="360" w:lineRule="auto"/>
        <w:ind w:firstLineChars="200" w:firstLine="500"/>
        <w:rPr>
          <w:sz w:val="24"/>
          <w:szCs w:val="24"/>
        </w:rPr>
      </w:pPr>
      <w:r>
        <w:rPr>
          <w:rFonts w:ascii="宋体" w:eastAsia="宋体" w:hAnsi="宋体" w:hint="eastAsia"/>
          <w:spacing w:val="-15"/>
          <w:sz w:val="28"/>
          <w:szCs w:val="28"/>
        </w:rPr>
        <w:t>中国计量科学研究院</w:t>
      </w:r>
      <w:r>
        <w:rPr>
          <w:rFonts w:ascii="宋体" w:eastAsia="宋体" w:hAnsi="宋体" w:hint="eastAsia"/>
          <w:spacing w:val="-15"/>
          <w:sz w:val="28"/>
          <w:szCs w:val="28"/>
        </w:rPr>
        <w:t>编制组充分调研了</w:t>
      </w:r>
      <w:r w:rsidRPr="00486BF3">
        <w:rPr>
          <w:rFonts w:ascii="宋体" w:eastAsia="宋体" w:hAnsi="宋体" w:hint="eastAsia"/>
          <w:spacing w:val="-15"/>
          <w:sz w:val="28"/>
          <w:szCs w:val="28"/>
        </w:rPr>
        <w:t>国内外</w:t>
      </w:r>
      <w:r w:rsidR="00004C7C" w:rsidRPr="00486BF3">
        <w:rPr>
          <w:rFonts w:ascii="宋体" w:eastAsia="宋体" w:hAnsi="宋体" w:hint="eastAsia"/>
          <w:spacing w:val="-15"/>
          <w:sz w:val="28"/>
          <w:szCs w:val="28"/>
        </w:rPr>
        <w:t>与双碳相关的数据报送接口</w:t>
      </w:r>
      <w:r>
        <w:rPr>
          <w:rFonts w:ascii="宋体" w:eastAsia="宋体" w:hAnsi="宋体" w:hint="eastAsia"/>
          <w:spacing w:val="-15"/>
          <w:sz w:val="28"/>
          <w:szCs w:val="28"/>
        </w:rPr>
        <w:t>技术规范</w:t>
      </w:r>
      <w:r w:rsidR="00004C7C" w:rsidRPr="00486BF3">
        <w:rPr>
          <w:rFonts w:ascii="宋体" w:eastAsia="宋体" w:hAnsi="宋体" w:hint="eastAsia"/>
          <w:spacing w:val="-15"/>
          <w:sz w:val="28"/>
          <w:szCs w:val="28"/>
        </w:rPr>
        <w:t>，</w:t>
      </w:r>
      <w:r>
        <w:rPr>
          <w:rFonts w:ascii="宋体" w:eastAsia="宋体" w:hAnsi="宋体" w:hint="eastAsia"/>
          <w:spacing w:val="-15"/>
          <w:sz w:val="28"/>
          <w:szCs w:val="28"/>
        </w:rPr>
        <w:t>尤其是对于有</w:t>
      </w:r>
      <w:r w:rsidR="00004C7C" w:rsidRPr="00486BF3">
        <w:rPr>
          <w:rFonts w:ascii="宋体" w:eastAsia="宋体" w:hAnsi="宋体" w:hint="eastAsia"/>
          <w:spacing w:val="-15"/>
          <w:sz w:val="28"/>
          <w:szCs w:val="28"/>
        </w:rPr>
        <w:t>规模化应用</w:t>
      </w:r>
      <w:r>
        <w:rPr>
          <w:rFonts w:ascii="宋体" w:eastAsia="宋体" w:hAnsi="宋体" w:hint="eastAsia"/>
          <w:spacing w:val="-15"/>
          <w:sz w:val="28"/>
          <w:szCs w:val="28"/>
        </w:rPr>
        <w:t>的相关文件进行了梳理，并与碳排放领域中数据采集报送相关的单位和专家进行了交流，对如下相关技术文件进行了</w:t>
      </w:r>
      <w:r>
        <w:rPr>
          <w:rFonts w:ascii="宋体" w:eastAsia="宋体" w:hAnsi="宋体" w:hint="eastAsia"/>
          <w:spacing w:val="-15"/>
          <w:sz w:val="28"/>
          <w:szCs w:val="28"/>
        </w:rPr>
        <w:t>重点分析</w:t>
      </w:r>
      <w:r>
        <w:rPr>
          <w:rFonts w:ascii="宋体" w:eastAsia="宋体" w:hAnsi="宋体" w:hint="eastAsia"/>
          <w:spacing w:val="-15"/>
          <w:sz w:val="28"/>
          <w:szCs w:val="28"/>
        </w:rPr>
        <w:t>。</w:t>
      </w:r>
      <w:r w:rsidR="00004C7C" w:rsidRPr="00486BF3">
        <w:rPr>
          <w:rFonts w:ascii="宋体" w:eastAsia="宋体" w:hAnsi="宋体" w:hint="eastAsia"/>
          <w:spacing w:val="-15"/>
          <w:sz w:val="28"/>
          <w:szCs w:val="28"/>
        </w:rPr>
        <w:t xml:space="preserve">中华人民共和国国家生态环境标准HJ 1294—2023《生态保护红线监管数据互联互通接口技术规范》（Technical specification for </w:t>
      </w:r>
      <w:r w:rsidR="00004C7C" w:rsidRPr="00486BF3">
        <w:rPr>
          <w:rFonts w:ascii="宋体" w:eastAsia="宋体" w:hAnsi="宋体" w:hint="eastAsia"/>
          <w:spacing w:val="-15"/>
          <w:sz w:val="28"/>
          <w:szCs w:val="28"/>
        </w:rPr>
        <w:lastRenderedPageBreak/>
        <w:t>interconnection interface of ecological conservation redline supervision data）指导和规范了生态保护红线监管数据互联互通接口实现方式，这些数据包括了碳排数据。其中规定了生态保护红线监管数据互联互通的总体框架、数据要求、接口调用流程以及开发要求等，适用于规范和指导国家和省级生态环境部门之间生态保护红线监管数据互联互通的应用程序接口设计、功能研发以及运行管理。以这种方式促进生态保护红线监管数据的共享和应用。该行业标准自2023 年4 月15 日起实施。中华人民共和国国家环境保护标准HJ 212-2017《污染物在线监控（监测）系统数据传输标准》适用于污染物在线监控（监测）系统、污染物排放过程（工况）自动监控系统与监控中心之间的数据传输，规定了传输的过程及参数命令、交互命令、数据命令和控制命令的格式，给出了代码定义，该标准允许扩展，但扩展内容时不得与本标准中所使用或保留的控制命令相冲突。该标准还规定了在线监控（监测）仪器仪表和数据采集传输仪之间的数据传输格式，同时给出了代码定义。该标准由环境保护部环境监察局、科技标准司组织制订。自2017 年5 月1 日起实施。GB/T 37947.1-2019《信息技术用能单位能耗在线监测系统第1部分:端设备数据传输接口》（Information technology-Energy consumption monitoring system of energy userPart 1:Data transmission interface for monitoring devices）由全国信息技术标准化技术委员会(SAC/TC28)提出并归口。该标准也是相关碳排数据接口的典型应用，且应用面广泛。福建省地方标准DB35/T 1893-2020《生态环境大数据管理平台接口规范》（Interface specification for eco-environment big data management platform）规定了生态环境大数据管理平台的数据接口格式要求、</w:t>
      </w:r>
      <w:r w:rsidR="00004C7C" w:rsidRPr="00486BF3">
        <w:rPr>
          <w:rFonts w:ascii="宋体" w:eastAsia="宋体" w:hAnsi="宋体" w:hint="eastAsia"/>
          <w:spacing w:val="-15"/>
          <w:sz w:val="28"/>
          <w:szCs w:val="28"/>
        </w:rPr>
        <w:lastRenderedPageBreak/>
        <w:t>传感器数据接日、文本/图像/视频类数据接口、关系型数据接口和数据分析接口等技术规范。适用于基于生态环境大数据管理平台接口的设计、编程和应用开发。该地方标准自2020 年5月20 日起实施。辽宁省地方标准《重点用能单位能耗在线监测大数据分析平台水泥行业数据采集规范》（Data collection specification for cement industry of big data analysisplatform for online monitoring of energy consumption of key energy users）规定了水泥企业能耗在线监测数据采集的指标体系、监测范围、采集技术要求等，适用于水泥企业的能耗在线监测数据采集。云南省地方标准DB53/T 1027-2021《重点用能单位能耗在线监测平台数据接口规范》确立了重点用能单位与省级平台数据交换相关术语与定义、数据接口授权、数据接口规范都能内容。适用于重点用能单位与省级平台数据交换，数据交换内容包括重点用能单位基本信息、能源计量器具信息、计量数据、能耗统计数据、能效指标数据等。这些全国范围或者省级地方范围的与碳排放相关的监测数据接口的应用，为本规范的实施奠定了广泛的基础。</w:t>
      </w:r>
    </w:p>
    <w:p w14:paraId="4175332B" w14:textId="77777777" w:rsidR="00231EF0" w:rsidRDefault="00000000">
      <w:pPr>
        <w:pStyle w:val="4"/>
      </w:pPr>
      <w:bookmarkStart w:id="4" w:name="_Toc456797106"/>
      <w:r>
        <w:rPr>
          <w:rFonts w:hint="eastAsia"/>
        </w:rPr>
        <w:t>三、</w:t>
      </w:r>
      <w:r>
        <w:t>规范</w:t>
      </w:r>
      <w:r>
        <w:rPr>
          <w:rFonts w:hint="eastAsia"/>
        </w:rPr>
        <w:t>制定</w:t>
      </w:r>
      <w:r>
        <w:t>的依据</w:t>
      </w:r>
      <w:bookmarkEnd w:id="4"/>
    </w:p>
    <w:p w14:paraId="40650831"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bookmarkStart w:id="5" w:name="_Toc456797107"/>
      <w:r w:rsidRPr="004A799E">
        <w:rPr>
          <w:rFonts w:ascii="宋体" w:eastAsia="宋体" w:hAnsi="宋体" w:hint="eastAsia"/>
          <w:spacing w:val="-15"/>
          <w:sz w:val="28"/>
          <w:szCs w:val="28"/>
        </w:rPr>
        <w:t>JJF 1001 通用计量术语及定义</w:t>
      </w:r>
    </w:p>
    <w:p w14:paraId="7EF80375"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25069 信息安全技术 术语</w:t>
      </w:r>
    </w:p>
    <w:p w14:paraId="0BA9A089"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32905 信息安全技术SM3密码杂凑算法</w:t>
      </w:r>
    </w:p>
    <w:p w14:paraId="05805328"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32918.2 信息安全技术 SM2椭圆曲线公钥密码算法 第2部分:数字签名算法</w:t>
      </w:r>
    </w:p>
    <w:p w14:paraId="2702DF87"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32918.3 信息安全技术 SM2椭圆曲线公钥密码算法 第 3部分:密钥交换协议</w:t>
      </w:r>
    </w:p>
    <w:p w14:paraId="34460826"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lastRenderedPageBreak/>
        <w:t>GB/T 32918.4 信息安全技术 SM2椭圆曲线公钥密码算法 第 4 部分:公钥加密算法</w:t>
      </w:r>
    </w:p>
    <w:p w14:paraId="7DB365EE"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35276  信息安全技术 SM2密码算法使用规范</w:t>
      </w:r>
    </w:p>
    <w:p w14:paraId="665A4A47" w14:textId="77777777" w:rsidR="004A799E" w:rsidRPr="004A799E"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20520 信息安全技术 公钥基础设施 时间戳规范</w:t>
      </w:r>
    </w:p>
    <w:p w14:paraId="0AE72679" w14:textId="30E07882" w:rsidR="00231EF0" w:rsidRDefault="004A799E" w:rsidP="004A799E">
      <w:pPr>
        <w:pStyle w:val="af0"/>
        <w:numPr>
          <w:ilvl w:val="0"/>
          <w:numId w:val="1"/>
        </w:numPr>
        <w:adjustRightInd w:val="0"/>
        <w:snapToGrid w:val="0"/>
        <w:spacing w:before="78" w:after="78" w:line="360" w:lineRule="auto"/>
        <w:ind w:firstLineChars="0"/>
        <w:rPr>
          <w:rFonts w:ascii="宋体" w:eastAsia="宋体" w:hAnsi="宋体" w:hint="eastAsia"/>
          <w:spacing w:val="-15"/>
          <w:sz w:val="28"/>
          <w:szCs w:val="28"/>
        </w:rPr>
      </w:pPr>
      <w:r w:rsidRPr="004A799E">
        <w:rPr>
          <w:rFonts w:ascii="宋体" w:eastAsia="宋体" w:hAnsi="宋体" w:hint="eastAsia"/>
          <w:spacing w:val="-15"/>
          <w:sz w:val="28"/>
          <w:szCs w:val="28"/>
        </w:rPr>
        <w:t>GB/T 25056 信息安全技术 证书认证系统密码及其相关安全技术规范</w:t>
      </w:r>
    </w:p>
    <w:p w14:paraId="40639082" w14:textId="5038B878" w:rsidR="00231EF0" w:rsidRDefault="004A799E">
      <w:pPr>
        <w:spacing w:before="78" w:after="78" w:line="360" w:lineRule="auto"/>
        <w:ind w:firstLineChars="200" w:firstLine="420"/>
        <w:rPr>
          <w:rFonts w:ascii="宋体" w:eastAsia="宋体" w:hAnsi="宋体" w:hint="eastAsia"/>
          <w:spacing w:val="-15"/>
          <w:sz w:val="24"/>
          <w:szCs w:val="24"/>
        </w:rPr>
      </w:pPr>
      <w:r>
        <w:rPr>
          <w:color w:val="000000"/>
        </w:rPr>
        <w:t>凡是注日期的引用文件，仅注日期的版本适用于本规范；凡是不注日期的引用文件，其最新版本（包括所有的修改单）适用于本规范。</w:t>
      </w:r>
    </w:p>
    <w:p w14:paraId="46AB922F" w14:textId="77777777" w:rsidR="00231EF0" w:rsidRDefault="00000000">
      <w:pPr>
        <w:pStyle w:val="4"/>
      </w:pPr>
      <w:r>
        <w:rPr>
          <w:rFonts w:hint="eastAsia"/>
        </w:rPr>
        <w:t>四</w:t>
      </w:r>
      <w:r>
        <w:t>、规范</w:t>
      </w:r>
      <w:r>
        <w:rPr>
          <w:rFonts w:hint="eastAsia"/>
        </w:rPr>
        <w:t>内容</w:t>
      </w:r>
      <w:r>
        <w:t>与技术指标说明</w:t>
      </w:r>
      <w:bookmarkEnd w:id="5"/>
    </w:p>
    <w:p w14:paraId="79CEDFFC" w14:textId="3F1F572D" w:rsidR="00550C29" w:rsidRPr="00550C29" w:rsidRDefault="00427281" w:rsidP="00550C29">
      <w:pPr>
        <w:pStyle w:val="a3"/>
        <w:spacing w:before="54" w:line="360" w:lineRule="auto"/>
        <w:ind w:right="270" w:firstLineChars="226" w:firstLine="565"/>
        <w:rPr>
          <w:rFonts w:ascii="宋体" w:eastAsia="宋体" w:hAnsi="宋体" w:cstheme="minorBidi" w:hint="eastAsia"/>
          <w:snapToGrid/>
          <w:color w:val="auto"/>
          <w:spacing w:val="-15"/>
          <w:kern w:val="2"/>
          <w:sz w:val="28"/>
          <w:szCs w:val="28"/>
          <w:lang w:eastAsia="zh-CN"/>
        </w:rPr>
      </w:pPr>
      <w:r w:rsidRPr="00427281">
        <w:rPr>
          <w:rFonts w:ascii="宋体" w:eastAsia="宋体" w:hAnsi="宋体" w:cstheme="minorBidi" w:hint="eastAsia"/>
          <w:snapToGrid/>
          <w:color w:val="auto"/>
          <w:spacing w:val="-15"/>
          <w:kern w:val="2"/>
          <w:sz w:val="28"/>
          <w:szCs w:val="28"/>
          <w:lang w:eastAsia="zh-CN"/>
        </w:rPr>
        <w:t>本规范规定了碳排放核算数据自动化获取报送接口的技术要求，包括数据自动获取接口和报送数据接口两类接口在数据模型、数据交换流程、接口调用规范、数据交换格式、接口授权、配置地址变更要求、数据可信要求等方面均需遵循的通用技术要求，以及数据接口的检验。</w:t>
      </w:r>
    </w:p>
    <w:p w14:paraId="77208B73" w14:textId="1073B3CC" w:rsidR="00231EF0" w:rsidRDefault="00550C29" w:rsidP="00550C29">
      <w:pPr>
        <w:pStyle w:val="a3"/>
        <w:spacing w:before="54" w:line="360" w:lineRule="auto"/>
        <w:ind w:right="270" w:firstLineChars="226" w:firstLine="565"/>
        <w:jc w:val="both"/>
        <w:rPr>
          <w:rFonts w:ascii="宋体" w:eastAsia="宋体" w:hAnsi="宋体" w:cstheme="minorBidi"/>
          <w:snapToGrid/>
          <w:color w:val="auto"/>
          <w:spacing w:val="-15"/>
          <w:kern w:val="2"/>
          <w:sz w:val="28"/>
          <w:szCs w:val="28"/>
          <w:lang w:eastAsia="zh-CN"/>
        </w:rPr>
      </w:pPr>
      <w:r w:rsidRPr="00550C29">
        <w:rPr>
          <w:rFonts w:ascii="宋体" w:eastAsia="宋体" w:hAnsi="宋体" w:cstheme="minorBidi" w:hint="eastAsia"/>
          <w:snapToGrid/>
          <w:color w:val="auto"/>
          <w:spacing w:val="-15"/>
          <w:kern w:val="2"/>
          <w:sz w:val="28"/>
          <w:szCs w:val="28"/>
          <w:lang w:eastAsia="zh-CN"/>
        </w:rPr>
        <w:t>本规范适用于碳排放核算数据涉及的煤炭、钢铁、水泥、电力、化石等行业的数据自动获取和报送系统的接口，其他行业例如生态环境领域生态保护红线监管数据互联互通接口、生态环境领域污染物在线监控（监测）系统数据传输接口、信息技术用能单位能耗在线监测系统端设备数据传输接口、生态环境大数据管理平台接口等可参考本标准执行。</w:t>
      </w:r>
    </w:p>
    <w:p w14:paraId="3B901B2E" w14:textId="1741ED8B" w:rsidR="00073DAD" w:rsidRDefault="00073DAD" w:rsidP="00550C29">
      <w:pPr>
        <w:pStyle w:val="a3"/>
        <w:spacing w:before="54" w:line="360" w:lineRule="auto"/>
        <w:ind w:right="270" w:firstLineChars="226" w:firstLine="565"/>
        <w:jc w:val="both"/>
        <w:rPr>
          <w:rFonts w:ascii="宋体" w:eastAsia="宋体" w:hAnsi="宋体"/>
          <w:spacing w:val="-15"/>
          <w:sz w:val="28"/>
          <w:szCs w:val="28"/>
          <w:lang w:eastAsia="zh-CN"/>
        </w:rPr>
      </w:pPr>
      <w:r>
        <w:rPr>
          <w:rFonts w:ascii="宋体" w:eastAsia="宋体" w:hAnsi="宋体" w:hint="eastAsia"/>
          <w:spacing w:val="-15"/>
          <w:sz w:val="28"/>
          <w:szCs w:val="28"/>
          <w:lang w:eastAsia="zh-CN"/>
        </w:rPr>
        <w:t>规范的内容包括了</w:t>
      </w:r>
      <w:r w:rsidRPr="00073DAD">
        <w:rPr>
          <w:rFonts w:ascii="宋体" w:eastAsia="宋体" w:hAnsi="宋体"/>
          <w:spacing w:val="-15"/>
          <w:sz w:val="28"/>
          <w:szCs w:val="28"/>
          <w:lang w:eastAsia="zh-CN"/>
        </w:rPr>
        <w:t>范围</w:t>
      </w:r>
      <w:r>
        <w:rPr>
          <w:rFonts w:ascii="宋体" w:eastAsia="宋体" w:hAnsi="宋体" w:hint="eastAsia"/>
          <w:spacing w:val="-15"/>
          <w:sz w:val="28"/>
          <w:szCs w:val="28"/>
          <w:lang w:eastAsia="zh-CN"/>
        </w:rPr>
        <w:t>、</w:t>
      </w:r>
      <w:r w:rsidRPr="00073DAD">
        <w:rPr>
          <w:rFonts w:ascii="宋体" w:eastAsia="宋体" w:hAnsi="宋体"/>
          <w:spacing w:val="-15"/>
          <w:sz w:val="28"/>
          <w:szCs w:val="28"/>
          <w:lang w:eastAsia="zh-CN"/>
        </w:rPr>
        <w:t>引用文件、术语和定义</w:t>
      </w:r>
      <w:r>
        <w:rPr>
          <w:rFonts w:ascii="宋体" w:eastAsia="宋体" w:hAnsi="宋体" w:hint="eastAsia"/>
          <w:spacing w:val="-15"/>
          <w:sz w:val="28"/>
          <w:szCs w:val="28"/>
          <w:lang w:eastAsia="zh-CN"/>
        </w:rPr>
        <w:t>、</w:t>
      </w:r>
      <w:r w:rsidRPr="00073DAD">
        <w:rPr>
          <w:rFonts w:ascii="宋体" w:eastAsia="宋体" w:hAnsi="宋体"/>
          <w:spacing w:val="-15"/>
          <w:sz w:val="28"/>
          <w:szCs w:val="28"/>
          <w:lang w:eastAsia="zh-CN"/>
        </w:rPr>
        <w:t>概述等基本章节。核心部分“通用要求”详细规定了数据模型、数据质量、接口技术以及数据可信四大方面的技术要求，例如数据一致性、机器可读、交换流程、数据签名等。</w:t>
      </w:r>
      <w:r w:rsidRPr="00073DAD">
        <w:rPr>
          <w:rFonts w:ascii="宋体" w:eastAsia="宋体" w:hAnsi="宋体"/>
          <w:spacing w:val="-15"/>
          <w:sz w:val="28"/>
          <w:szCs w:val="28"/>
          <w:lang w:eastAsia="zh-CN"/>
        </w:rPr>
        <w:t xml:space="preserve"> </w:t>
      </w:r>
      <w:r w:rsidRPr="00073DAD">
        <w:rPr>
          <w:rFonts w:ascii="宋体" w:eastAsia="宋体" w:hAnsi="宋体"/>
          <w:spacing w:val="-15"/>
          <w:sz w:val="28"/>
          <w:szCs w:val="28"/>
          <w:lang w:eastAsia="zh-CN"/>
        </w:rPr>
        <w:t>“数</w:t>
      </w:r>
      <w:r>
        <w:rPr>
          <w:rFonts w:ascii="宋体" w:eastAsia="宋体" w:hAnsi="宋体" w:hint="eastAsia"/>
          <w:spacing w:val="-15"/>
          <w:sz w:val="28"/>
          <w:szCs w:val="28"/>
          <w:lang w:eastAsia="zh-CN"/>
        </w:rPr>
        <w:t>据</w:t>
      </w:r>
      <w:r w:rsidRPr="00073DAD">
        <w:rPr>
          <w:rFonts w:ascii="宋体" w:eastAsia="宋体" w:hAnsi="宋体"/>
          <w:spacing w:val="-15"/>
          <w:sz w:val="28"/>
          <w:szCs w:val="28"/>
          <w:lang w:eastAsia="zh-CN"/>
        </w:rPr>
        <w:t>接口的检验”章节列出了针对前述所有技术要求的9项具体检验项目。三个附录分别提供了数据接口的调用示例、检验示例以及JSON和XML两种数据交换格式的规范示例。</w:t>
      </w:r>
    </w:p>
    <w:p w14:paraId="424691EA" w14:textId="19EA422F" w:rsidR="00427281" w:rsidRPr="00427281" w:rsidRDefault="00427281" w:rsidP="00427281">
      <w:pPr>
        <w:pStyle w:val="a3"/>
        <w:spacing w:before="54" w:line="360" w:lineRule="auto"/>
        <w:ind w:right="270" w:firstLineChars="226" w:firstLine="565"/>
        <w:rPr>
          <w:rFonts w:ascii="宋体" w:eastAsia="宋体" w:hAnsi="宋体"/>
          <w:spacing w:val="-15"/>
          <w:sz w:val="28"/>
          <w:szCs w:val="28"/>
          <w:lang w:eastAsia="zh-CN"/>
        </w:rPr>
      </w:pPr>
      <w:r>
        <w:rPr>
          <w:rFonts w:ascii="宋体" w:eastAsia="宋体" w:hAnsi="宋体" w:hint="eastAsia"/>
          <w:spacing w:val="-15"/>
          <w:sz w:val="28"/>
          <w:szCs w:val="28"/>
          <w:lang w:eastAsia="zh-CN"/>
        </w:rPr>
        <w:lastRenderedPageBreak/>
        <w:t>本规范规定的技术指标均是数据采集和报送两个环节接口的通用要求。</w:t>
      </w:r>
      <w:r w:rsidRPr="00427281">
        <w:rPr>
          <w:rFonts w:ascii="宋体" w:eastAsia="宋体" w:hAnsi="宋体" w:hint="eastAsia"/>
          <w:spacing w:val="-15"/>
          <w:sz w:val="28"/>
          <w:szCs w:val="28"/>
          <w:lang w:eastAsia="zh-CN"/>
        </w:rPr>
        <w:t>碳排放核算系统的数据自动化依赖接口技术的支撑，接口的技术要求决定了系统数据自动化的程度和广度。系统数据自动化包括了数据自动获取和数据报送两个环节，因此数据接口技术也相应的分为数据自动获取接口和报送数据接口两类。两类接口的通用要求是都需规范数据模型、数据交换流程、接口调用规范、数据交换格式、接口授权、配置地址变更要求、数据可信要求等方面的技术要求，以及数据接口的检验。两类接口的特色要求是在碳排放核算数据涉及的煤炭、钢铁、水泥、电力、化石等行业的数据自动获取和报送方面的行业特色需求。</w:t>
      </w:r>
    </w:p>
    <w:p w14:paraId="1B9A637C" w14:textId="6BA0FBD6" w:rsidR="00427281" w:rsidRPr="00427281" w:rsidRDefault="00427281" w:rsidP="00427281">
      <w:pPr>
        <w:pStyle w:val="a3"/>
        <w:spacing w:before="54" w:line="360" w:lineRule="auto"/>
        <w:ind w:right="270" w:firstLineChars="226" w:firstLine="565"/>
        <w:jc w:val="both"/>
        <w:rPr>
          <w:rFonts w:ascii="宋体" w:eastAsia="宋体" w:hAnsi="宋体" w:hint="eastAsia"/>
          <w:spacing w:val="-15"/>
          <w:sz w:val="28"/>
          <w:szCs w:val="28"/>
          <w:lang w:eastAsia="zh-CN"/>
        </w:rPr>
      </w:pPr>
    </w:p>
    <w:p w14:paraId="1D762467" w14:textId="77777777" w:rsidR="00231EF0" w:rsidRDefault="00000000">
      <w:pPr>
        <w:spacing w:line="360" w:lineRule="auto"/>
        <w:ind w:firstLineChars="200" w:firstLine="500"/>
        <w:jc w:val="right"/>
        <w:rPr>
          <w:rFonts w:ascii="宋体" w:eastAsia="宋体" w:hAnsi="宋体" w:hint="eastAsia"/>
          <w:spacing w:val="-15"/>
          <w:sz w:val="28"/>
          <w:szCs w:val="28"/>
        </w:rPr>
      </w:pPr>
      <w:r>
        <w:rPr>
          <w:rFonts w:ascii="宋体" w:eastAsia="宋体" w:hAnsi="宋体" w:hint="eastAsia"/>
          <w:spacing w:val="-15"/>
          <w:sz w:val="28"/>
          <w:szCs w:val="28"/>
        </w:rPr>
        <w:tab/>
      </w:r>
    </w:p>
    <w:p w14:paraId="1657466F" w14:textId="77777777" w:rsidR="00231EF0" w:rsidRDefault="00000000">
      <w:pPr>
        <w:spacing w:line="360" w:lineRule="auto"/>
        <w:ind w:firstLineChars="200" w:firstLine="604"/>
        <w:jc w:val="right"/>
        <w:rPr>
          <w:rFonts w:ascii="宋体" w:eastAsia="宋体" w:hAnsi="宋体" w:cs="宋体" w:hint="eastAsia"/>
          <w:spacing w:val="11"/>
          <w:sz w:val="28"/>
          <w:szCs w:val="28"/>
        </w:rPr>
      </w:pPr>
      <w:r>
        <w:rPr>
          <w:rFonts w:ascii="宋体" w:eastAsia="宋体" w:hAnsi="宋体" w:cs="宋体" w:hint="eastAsia"/>
          <w:spacing w:val="11"/>
          <w:sz w:val="28"/>
          <w:szCs w:val="28"/>
        </w:rPr>
        <w:t>编写组</w:t>
      </w:r>
    </w:p>
    <w:p w14:paraId="00D1DD03" w14:textId="6781F09E" w:rsidR="00231EF0" w:rsidRDefault="00000000">
      <w:pPr>
        <w:spacing w:line="360" w:lineRule="auto"/>
        <w:ind w:firstLineChars="200" w:firstLine="604"/>
        <w:jc w:val="right"/>
        <w:rPr>
          <w:rFonts w:ascii="宋体" w:eastAsia="宋体" w:hAnsi="宋体" w:cs="宋体" w:hint="eastAsia"/>
          <w:spacing w:val="11"/>
          <w:sz w:val="28"/>
          <w:szCs w:val="28"/>
        </w:rPr>
      </w:pPr>
      <w:r>
        <w:rPr>
          <w:rFonts w:ascii="宋体" w:eastAsia="宋体" w:hAnsi="宋体" w:cs="宋体" w:hint="eastAsia"/>
          <w:spacing w:val="11"/>
          <w:sz w:val="28"/>
          <w:szCs w:val="28"/>
        </w:rPr>
        <w:t>2025年</w:t>
      </w:r>
      <w:r w:rsidR="00427281">
        <w:rPr>
          <w:rFonts w:ascii="宋体" w:eastAsia="宋体" w:hAnsi="宋体" w:cs="宋体" w:hint="eastAsia"/>
          <w:spacing w:val="11"/>
          <w:sz w:val="28"/>
          <w:szCs w:val="28"/>
        </w:rPr>
        <w:t>10</w:t>
      </w:r>
      <w:r>
        <w:rPr>
          <w:rFonts w:ascii="宋体" w:eastAsia="宋体" w:hAnsi="宋体" w:cs="宋体" w:hint="eastAsia"/>
          <w:spacing w:val="11"/>
          <w:sz w:val="28"/>
          <w:szCs w:val="28"/>
        </w:rPr>
        <w:t>月</w:t>
      </w:r>
    </w:p>
    <w:p w14:paraId="10417092" w14:textId="77777777" w:rsidR="00231EF0" w:rsidRDefault="00231EF0">
      <w:pPr>
        <w:spacing w:line="360" w:lineRule="auto"/>
        <w:ind w:firstLineChars="350" w:firstLine="875"/>
        <w:jc w:val="left"/>
        <w:rPr>
          <w:rFonts w:ascii="宋体" w:eastAsia="宋体" w:hAnsi="宋体" w:hint="eastAsia"/>
          <w:spacing w:val="-15"/>
          <w:sz w:val="28"/>
          <w:szCs w:val="28"/>
        </w:rPr>
      </w:pPr>
    </w:p>
    <w:sectPr w:rsidR="00231E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A812B" w14:textId="77777777" w:rsidR="00A849CC" w:rsidRDefault="00A849CC">
      <w:r>
        <w:separator/>
      </w:r>
    </w:p>
  </w:endnote>
  <w:endnote w:type="continuationSeparator" w:id="0">
    <w:p w14:paraId="25EF3E74" w14:textId="77777777" w:rsidR="00A849CC" w:rsidRDefault="00A8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DE040" w14:textId="77777777" w:rsidR="00004C7C" w:rsidRDefault="00004C7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8843422"/>
    </w:sdtPr>
    <w:sdtContent>
      <w:sdt>
        <w:sdtPr>
          <w:id w:val="-1705238520"/>
        </w:sdtPr>
        <w:sdtContent>
          <w:p w14:paraId="6A055949" w14:textId="77777777" w:rsidR="00231EF0" w:rsidRDefault="00000000">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sz w:val="24"/>
                <w:szCs w:val="24"/>
              </w:rPr>
              <w:t>1</w:t>
            </w:r>
            <w:r>
              <w:rPr>
                <w:b/>
                <w:bCs/>
                <w:sz w:val="24"/>
                <w:szCs w:val="24"/>
              </w:rPr>
              <w:fldChar w:fldCharType="end"/>
            </w:r>
          </w:p>
        </w:sdtContent>
      </w:sdt>
    </w:sdtContent>
  </w:sdt>
  <w:p w14:paraId="6A3F4652" w14:textId="77777777" w:rsidR="00231EF0" w:rsidRDefault="00231EF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75E19" w14:textId="77777777" w:rsidR="00004C7C" w:rsidRDefault="00004C7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D65D8" w14:textId="77777777" w:rsidR="00A849CC" w:rsidRDefault="00A849CC">
      <w:r>
        <w:separator/>
      </w:r>
    </w:p>
  </w:footnote>
  <w:footnote w:type="continuationSeparator" w:id="0">
    <w:p w14:paraId="4D3F5C10" w14:textId="77777777" w:rsidR="00A849CC" w:rsidRDefault="00A84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8ABD1" w14:textId="77777777" w:rsidR="00004C7C" w:rsidRDefault="00004C7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82A90" w14:textId="77777777" w:rsidR="00004C7C" w:rsidRDefault="00004C7C">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6F803" w14:textId="77777777" w:rsidR="00004C7C" w:rsidRDefault="00004C7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585E30"/>
    <w:multiLevelType w:val="multilevel"/>
    <w:tmpl w:val="2C585E30"/>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681661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MxNjVjMWRmNzE3MzhlNWU5ZmFkZDQ3NWM3ZWU3ZjkifQ=="/>
  </w:docVars>
  <w:rsids>
    <w:rsidRoot w:val="008A68EE"/>
    <w:rsid w:val="00004C7C"/>
    <w:rsid w:val="00065343"/>
    <w:rsid w:val="00073DAD"/>
    <w:rsid w:val="00155B8B"/>
    <w:rsid w:val="001D0DF1"/>
    <w:rsid w:val="001D6B1C"/>
    <w:rsid w:val="002268B5"/>
    <w:rsid w:val="00231EF0"/>
    <w:rsid w:val="00297DFF"/>
    <w:rsid w:val="002C7065"/>
    <w:rsid w:val="002D42D4"/>
    <w:rsid w:val="00303E65"/>
    <w:rsid w:val="00323EBD"/>
    <w:rsid w:val="0033408D"/>
    <w:rsid w:val="003638C4"/>
    <w:rsid w:val="003A29ED"/>
    <w:rsid w:val="003A328F"/>
    <w:rsid w:val="003B4130"/>
    <w:rsid w:val="00427281"/>
    <w:rsid w:val="00437F49"/>
    <w:rsid w:val="00486BF3"/>
    <w:rsid w:val="004A799E"/>
    <w:rsid w:val="004F58F9"/>
    <w:rsid w:val="005403F1"/>
    <w:rsid w:val="00550C29"/>
    <w:rsid w:val="0055516F"/>
    <w:rsid w:val="005712BF"/>
    <w:rsid w:val="00574B61"/>
    <w:rsid w:val="00576D01"/>
    <w:rsid w:val="00593BD3"/>
    <w:rsid w:val="00593FB6"/>
    <w:rsid w:val="0073245F"/>
    <w:rsid w:val="007A3D37"/>
    <w:rsid w:val="007B5036"/>
    <w:rsid w:val="007D0B7C"/>
    <w:rsid w:val="007E000F"/>
    <w:rsid w:val="00804921"/>
    <w:rsid w:val="0086691C"/>
    <w:rsid w:val="008763CD"/>
    <w:rsid w:val="008A68EE"/>
    <w:rsid w:val="00960492"/>
    <w:rsid w:val="009A431F"/>
    <w:rsid w:val="009C2CD6"/>
    <w:rsid w:val="009F2AD9"/>
    <w:rsid w:val="00A2505F"/>
    <w:rsid w:val="00A761BC"/>
    <w:rsid w:val="00A849CC"/>
    <w:rsid w:val="00A9227F"/>
    <w:rsid w:val="00A97B56"/>
    <w:rsid w:val="00AC542C"/>
    <w:rsid w:val="00AF2C30"/>
    <w:rsid w:val="00BB5B65"/>
    <w:rsid w:val="00BD4F4E"/>
    <w:rsid w:val="00C6037A"/>
    <w:rsid w:val="00CD079C"/>
    <w:rsid w:val="00CD3A85"/>
    <w:rsid w:val="00CF5490"/>
    <w:rsid w:val="00CF7C05"/>
    <w:rsid w:val="00E14824"/>
    <w:rsid w:val="00E22DA3"/>
    <w:rsid w:val="00E505F6"/>
    <w:rsid w:val="00EE006D"/>
    <w:rsid w:val="00F314A6"/>
    <w:rsid w:val="00F7274C"/>
    <w:rsid w:val="00FB52FE"/>
    <w:rsid w:val="00FC6B4F"/>
    <w:rsid w:val="035717DD"/>
    <w:rsid w:val="03575C81"/>
    <w:rsid w:val="066A5D01"/>
    <w:rsid w:val="076B5857"/>
    <w:rsid w:val="08DD2784"/>
    <w:rsid w:val="097430E9"/>
    <w:rsid w:val="0A886720"/>
    <w:rsid w:val="0ACB31DC"/>
    <w:rsid w:val="0B6A1958"/>
    <w:rsid w:val="136E2957"/>
    <w:rsid w:val="18C13529"/>
    <w:rsid w:val="1A9C249F"/>
    <w:rsid w:val="1BB271DC"/>
    <w:rsid w:val="1E2658E7"/>
    <w:rsid w:val="1FCF6E73"/>
    <w:rsid w:val="22334F7F"/>
    <w:rsid w:val="24A02B8C"/>
    <w:rsid w:val="25EC3BAF"/>
    <w:rsid w:val="28CD2185"/>
    <w:rsid w:val="298C36DF"/>
    <w:rsid w:val="2AF23A16"/>
    <w:rsid w:val="2D3C71CA"/>
    <w:rsid w:val="2E6A6BD1"/>
    <w:rsid w:val="30963095"/>
    <w:rsid w:val="313B4368"/>
    <w:rsid w:val="319C46DB"/>
    <w:rsid w:val="327F2033"/>
    <w:rsid w:val="33945FB2"/>
    <w:rsid w:val="3C460065"/>
    <w:rsid w:val="3CA01523"/>
    <w:rsid w:val="3D2008B6"/>
    <w:rsid w:val="3E7A2248"/>
    <w:rsid w:val="45684BA8"/>
    <w:rsid w:val="46C73B51"/>
    <w:rsid w:val="4A282B58"/>
    <w:rsid w:val="54D45DB6"/>
    <w:rsid w:val="56091A90"/>
    <w:rsid w:val="561A3C9D"/>
    <w:rsid w:val="58C51486"/>
    <w:rsid w:val="5A7476F4"/>
    <w:rsid w:val="5B1E7D8B"/>
    <w:rsid w:val="5C557D1D"/>
    <w:rsid w:val="5D0134C1"/>
    <w:rsid w:val="5DF43025"/>
    <w:rsid w:val="62456545"/>
    <w:rsid w:val="627875F1"/>
    <w:rsid w:val="669173A9"/>
    <w:rsid w:val="6736645D"/>
    <w:rsid w:val="6A0C5F05"/>
    <w:rsid w:val="6A9F256B"/>
    <w:rsid w:val="6BBA226D"/>
    <w:rsid w:val="6CBF0CA2"/>
    <w:rsid w:val="6EC32CCC"/>
    <w:rsid w:val="73AF2F63"/>
    <w:rsid w:val="74147B26"/>
    <w:rsid w:val="76E61C4D"/>
    <w:rsid w:val="78F817C4"/>
    <w:rsid w:val="7A5049E8"/>
    <w:rsid w:val="7BF107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6E12A"/>
  <w15:docId w15:val="{7AC3280D-C00C-4542-85CB-FC7560F22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qFormat/>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32"/>
      <w:szCs w:val="32"/>
      <w:lang w:eastAsia="en-US"/>
    </w:rPr>
  </w:style>
  <w:style w:type="paragraph" w:styleId="a5">
    <w:name w:val="Date"/>
    <w:basedOn w:val="a"/>
    <w:next w:val="a"/>
    <w:rPr>
      <w:sz w:val="32"/>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style>
  <w:style w:type="paragraph" w:styleId="aa">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b">
    <w:name w:val="Title"/>
    <w:basedOn w:val="4"/>
    <w:next w:val="a"/>
    <w:link w:val="ac"/>
    <w:qFormat/>
    <w:pPr>
      <w:keepNext w:val="0"/>
      <w:keepLines w:val="0"/>
      <w:spacing w:beforeLines="50" w:before="156" w:afterLines="50" w:after="156" w:line="360" w:lineRule="auto"/>
    </w:pPr>
    <w:rPr>
      <w:rFonts w:ascii="Times New Roman" w:eastAsia="宋体" w:hAnsi="Times New Roman" w:cs="Times New Roman"/>
      <w:b w:val="0"/>
      <w:bCs w:val="0"/>
      <w:sz w:val="24"/>
      <w:szCs w:val="20"/>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style>
  <w:style w:type="character" w:styleId="af">
    <w:name w:val="Hyperlink"/>
    <w:basedOn w:val="a0"/>
    <w:uiPriority w:val="99"/>
    <w:unhideWhenUsed/>
    <w:qFormat/>
    <w:rPr>
      <w:color w:val="0563C1" w:themeColor="hyperlink"/>
      <w:u w:val="single"/>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card">
    <w:name w:val="card"/>
    <w:basedOn w:val="a0"/>
    <w:qFormat/>
  </w:style>
  <w:style w:type="paragraph" w:styleId="af0">
    <w:name w:val="List Paragraph"/>
    <w:basedOn w:val="a"/>
    <w:uiPriority w:val="34"/>
    <w:qFormat/>
    <w:pPr>
      <w:ind w:firstLineChars="200" w:firstLine="420"/>
    </w:p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50">
    <w:name w:val="标题 5 字符"/>
    <w:basedOn w:val="a0"/>
    <w:link w:val="5"/>
    <w:uiPriority w:val="9"/>
    <w:qFormat/>
    <w:rPr>
      <w:b/>
      <w:bCs/>
      <w:sz w:val="28"/>
      <w:szCs w:val="28"/>
    </w:rPr>
  </w:style>
  <w:style w:type="character" w:customStyle="1" w:styleId="10">
    <w:name w:val="标题 1 字符"/>
    <w:basedOn w:val="a0"/>
    <w:link w:val="1"/>
    <w:uiPriority w:val="9"/>
    <w:qFormat/>
    <w:rPr>
      <w:b/>
      <w:bCs/>
      <w:kern w:val="44"/>
      <w:sz w:val="44"/>
      <w:szCs w:val="44"/>
    </w:rPr>
  </w:style>
  <w:style w:type="character" w:customStyle="1" w:styleId="ac">
    <w:name w:val="标题 字符"/>
    <w:basedOn w:val="a0"/>
    <w:link w:val="ab"/>
    <w:qFormat/>
    <w:rPr>
      <w:rFonts w:ascii="Times New Roman" w:eastAsia="宋体" w:hAnsi="Times New Roman" w:cs="Times New Roman"/>
      <w:sz w:val="24"/>
      <w:szCs w:val="20"/>
    </w:rPr>
  </w:style>
  <w:style w:type="paragraph" w:customStyle="1" w:styleId="af1">
    <w:name w:val="标准文件_段"/>
    <w:qFormat/>
    <w:pPr>
      <w:autoSpaceDE w:val="0"/>
      <w:autoSpaceDN w:val="0"/>
      <w:ind w:firstLineChars="200" w:firstLine="200"/>
      <w:jc w:val="both"/>
    </w:pPr>
    <w:rPr>
      <w:rFonts w:ascii="宋体" w:eastAsia="宋体" w:hAnsi="Times New Roman" w:cs="Times New Roman"/>
      <w:sz w:val="21"/>
    </w:rPr>
  </w:style>
  <w:style w:type="character" w:customStyle="1" w:styleId="a4">
    <w:name w:val="正文文本 字符"/>
    <w:basedOn w:val="a0"/>
    <w:link w:val="a3"/>
    <w:semiHidden/>
    <w:qFormat/>
    <w:rPr>
      <w:rFonts w:ascii="仿宋" w:eastAsia="仿宋" w:hAnsi="仿宋" w:cs="仿宋"/>
      <w:snapToGrid w:val="0"/>
      <w:color w:val="000000"/>
      <w:sz w:val="32"/>
      <w:szCs w:val="32"/>
      <w:lang w:eastAsia="en-US"/>
    </w:rPr>
  </w:style>
  <w:style w:type="paragraph" w:customStyle="1" w:styleId="CharCharCharCharCharChar1">
    <w:name w:val="Char Char Char Char Char Char1"/>
    <w:basedOn w:val="a"/>
    <w:pPr>
      <w:widowControl/>
      <w:spacing w:after="160" w:line="240" w:lineRule="exact"/>
      <w:jc w:val="left"/>
    </w:pPr>
    <w:rPr>
      <w:rFonts w:ascii="Verdana" w:eastAsia="仿宋_GB2312" w:hAnsi="Verdana"/>
      <w:kern w:val="0"/>
      <w:sz w:val="24"/>
      <w:lang w:eastAsia="en-US"/>
    </w:rPr>
  </w:style>
  <w:style w:type="paragraph" w:styleId="TOC8">
    <w:name w:val="toc 8"/>
    <w:basedOn w:val="a"/>
    <w:next w:val="a"/>
    <w:autoRedefine/>
    <w:uiPriority w:val="39"/>
    <w:semiHidden/>
    <w:unhideWhenUsed/>
    <w:rsid w:val="004A799E"/>
    <w:pPr>
      <w:ind w:leftChars="1400" w:left="2940"/>
    </w:pPr>
  </w:style>
  <w:style w:type="paragraph" w:styleId="TOC7">
    <w:name w:val="toc 7"/>
    <w:basedOn w:val="a"/>
    <w:next w:val="a"/>
    <w:autoRedefine/>
    <w:uiPriority w:val="39"/>
    <w:semiHidden/>
    <w:unhideWhenUsed/>
    <w:rsid w:val="00427281"/>
    <w:pPr>
      <w:ind w:leftChars="1200"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CA8DA-C03E-408B-9212-7133B4828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2115</Words>
  <Characters>2327</Characters>
  <Application>Microsoft Office Word</Application>
  <DocSecurity>0</DocSecurity>
  <Lines>155</Lines>
  <Paragraphs>92</Paragraphs>
  <ScaleCrop>false</ScaleCrop>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liuzl</dc:creator>
  <cp:lastModifiedBy>zilong liu</cp:lastModifiedBy>
  <cp:revision>47</cp:revision>
  <cp:lastPrinted>2024-09-24T08:15:00Z</cp:lastPrinted>
  <dcterms:created xsi:type="dcterms:W3CDTF">2016-07-19T13:25:00Z</dcterms:created>
  <dcterms:modified xsi:type="dcterms:W3CDTF">2025-10-17T01:31:00Z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3519280C541C4CA5872CD1FEA2CAD64A_12</vt:lpwstr>
  </property>
  <property fmtid="{D5CDD505-2E9C-101B-9397-08002B2CF9AE}" pid="4" name="KSOTemplateDocerSaveRecord">
    <vt:lpwstr>eyJoZGlkIjoiOTIzYzJhMjU4MjIwMDZhOGMyMGFhYzBlMGRlODM4ZWUiLCJ1c2VySWQiOiI4ODk5NzMyMzgifQ==</vt:lpwstr>
  </property>
</Properties>
</file>