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F82B4" w14:textId="77777777" w:rsidR="005B03C4" w:rsidRPr="00711F61" w:rsidRDefault="00974AD0" w:rsidP="00711F61">
      <w:pPr>
        <w:pStyle w:val="1"/>
        <w:keepNext/>
        <w:keepLines/>
        <w:adjustRightInd w:val="0"/>
        <w:snapToGrid w:val="0"/>
        <w:spacing w:before="0" w:after="0" w:line="300" w:lineRule="auto"/>
        <w:jc w:val="center"/>
        <w:rPr>
          <w:rFonts w:ascii="黑体" w:eastAsia="黑体" w:hAnsi="黑体" w:cs="Times New Roman"/>
          <w:b w:val="0"/>
          <w:kern w:val="44"/>
          <w:sz w:val="32"/>
          <w:szCs w:val="32"/>
        </w:rPr>
      </w:pPr>
      <w:r w:rsidRPr="00711F61">
        <w:rPr>
          <w:rFonts w:ascii="黑体" w:eastAsia="黑体" w:hAnsi="黑体" w:cs="Times New Roman" w:hint="eastAsia"/>
          <w:b w:val="0"/>
          <w:kern w:val="44"/>
          <w:sz w:val="32"/>
          <w:szCs w:val="32"/>
        </w:rPr>
        <w:t>《电动汽车超充设备电能远程计量方法》</w:t>
      </w:r>
    </w:p>
    <w:p w14:paraId="27B38732" w14:textId="73D93F10" w:rsidR="005B03C4" w:rsidRPr="00711F61" w:rsidRDefault="00974AD0" w:rsidP="00711F61">
      <w:pPr>
        <w:pStyle w:val="1"/>
        <w:keepNext/>
        <w:keepLines/>
        <w:adjustRightInd w:val="0"/>
        <w:snapToGrid w:val="0"/>
        <w:spacing w:before="0" w:after="0" w:line="300" w:lineRule="auto"/>
        <w:jc w:val="center"/>
        <w:rPr>
          <w:rFonts w:ascii="黑体" w:eastAsia="黑体" w:hAnsi="黑体" w:cs="Times New Roman"/>
          <w:b w:val="0"/>
          <w:kern w:val="44"/>
          <w:sz w:val="32"/>
          <w:szCs w:val="32"/>
        </w:rPr>
      </w:pPr>
      <w:r w:rsidRPr="00711F61">
        <w:rPr>
          <w:rFonts w:ascii="黑体" w:eastAsia="黑体" w:hAnsi="黑体" w:cs="Times New Roman" w:hint="eastAsia"/>
          <w:b w:val="0"/>
          <w:kern w:val="44"/>
          <w:sz w:val="32"/>
          <w:szCs w:val="32"/>
        </w:rPr>
        <w:t>编</w:t>
      </w:r>
      <w:r w:rsidR="00280144">
        <w:rPr>
          <w:rFonts w:ascii="黑体" w:eastAsia="黑体" w:hAnsi="黑体" w:cs="Times New Roman" w:hint="eastAsia"/>
          <w:b w:val="0"/>
          <w:kern w:val="44"/>
          <w:sz w:val="32"/>
          <w:szCs w:val="32"/>
        </w:rPr>
        <w:t xml:space="preserve"> </w:t>
      </w:r>
      <w:r w:rsidRPr="00711F61">
        <w:rPr>
          <w:rFonts w:ascii="黑体" w:eastAsia="黑体" w:hAnsi="黑体" w:cs="Times New Roman" w:hint="eastAsia"/>
          <w:b w:val="0"/>
          <w:kern w:val="44"/>
          <w:sz w:val="32"/>
          <w:szCs w:val="32"/>
        </w:rPr>
        <w:t>制</w:t>
      </w:r>
      <w:r w:rsidR="00280144">
        <w:rPr>
          <w:rFonts w:ascii="黑体" w:eastAsia="黑体" w:hAnsi="黑体" w:cs="Times New Roman" w:hint="eastAsia"/>
          <w:b w:val="0"/>
          <w:kern w:val="44"/>
          <w:sz w:val="32"/>
          <w:szCs w:val="32"/>
        </w:rPr>
        <w:t xml:space="preserve"> </w:t>
      </w:r>
      <w:r w:rsidRPr="00711F61">
        <w:rPr>
          <w:rFonts w:ascii="黑体" w:eastAsia="黑体" w:hAnsi="黑体" w:cs="Times New Roman" w:hint="eastAsia"/>
          <w:b w:val="0"/>
          <w:kern w:val="44"/>
          <w:sz w:val="32"/>
          <w:szCs w:val="32"/>
        </w:rPr>
        <w:t>说</w:t>
      </w:r>
      <w:r w:rsidR="00280144">
        <w:rPr>
          <w:rFonts w:ascii="黑体" w:eastAsia="黑体" w:hAnsi="黑体" w:cs="Times New Roman" w:hint="eastAsia"/>
          <w:b w:val="0"/>
          <w:kern w:val="44"/>
          <w:sz w:val="32"/>
          <w:szCs w:val="32"/>
        </w:rPr>
        <w:t xml:space="preserve"> </w:t>
      </w:r>
      <w:r w:rsidRPr="00711F61">
        <w:rPr>
          <w:rFonts w:ascii="黑体" w:eastAsia="黑体" w:hAnsi="黑体" w:cs="Times New Roman" w:hint="eastAsia"/>
          <w:b w:val="0"/>
          <w:kern w:val="44"/>
          <w:sz w:val="32"/>
          <w:szCs w:val="32"/>
        </w:rPr>
        <w:t>明</w:t>
      </w:r>
    </w:p>
    <w:p w14:paraId="664352BE"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一、任务来源</w:t>
      </w:r>
    </w:p>
    <w:p w14:paraId="5D04ED39" w14:textId="77777777" w:rsidR="005B03C4" w:rsidRPr="00711F61" w:rsidRDefault="00974AD0">
      <w:pPr>
        <w:widowControl/>
        <w:spacing w:line="360" w:lineRule="auto"/>
        <w:ind w:firstLine="500"/>
        <w:jc w:val="left"/>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根据国家市场监督管理总局关于印发《市场监管总局办公厅关于印发2024 年国家计量技术规范制定、修订及宣贯计划的通知》（</w:t>
      </w:r>
      <w:proofErr w:type="gramStart"/>
      <w:r w:rsidRPr="00711F61">
        <w:rPr>
          <w:rFonts w:asciiTheme="minorEastAsia" w:eastAsiaTheme="minorEastAsia" w:hAnsiTheme="minorEastAsia" w:cs="仿宋_GB2312" w:hint="eastAsia"/>
          <w:sz w:val="24"/>
          <w:szCs w:val="28"/>
        </w:rPr>
        <w:t>市监计量</w:t>
      </w:r>
      <w:proofErr w:type="gramEnd"/>
      <w:r w:rsidRPr="00711F61">
        <w:rPr>
          <w:rFonts w:asciiTheme="minorEastAsia" w:eastAsiaTheme="minorEastAsia" w:hAnsiTheme="minorEastAsia" w:cs="仿宋_GB2312" w:hint="eastAsia"/>
          <w:sz w:val="24"/>
          <w:szCs w:val="28"/>
        </w:rPr>
        <w:t>发〔2024〕40 号），由深圳市计量质量检测研究院、中国计量科学研究院、江苏省计量科学研究院（江苏省能源计量数据中心）为主要起草单位，承担《电动汽车超充设备电能远程计量方法》的制定任务，参与起草单位为比亚</w:t>
      </w:r>
      <w:proofErr w:type="gramStart"/>
      <w:r w:rsidRPr="00711F61">
        <w:rPr>
          <w:rFonts w:asciiTheme="minorEastAsia" w:eastAsiaTheme="minorEastAsia" w:hAnsiTheme="minorEastAsia" w:cs="仿宋_GB2312" w:hint="eastAsia"/>
          <w:sz w:val="24"/>
          <w:szCs w:val="28"/>
        </w:rPr>
        <w:t>迪</w:t>
      </w:r>
      <w:proofErr w:type="gramEnd"/>
      <w:r w:rsidRPr="00711F61">
        <w:rPr>
          <w:rFonts w:asciiTheme="minorEastAsia" w:eastAsiaTheme="minorEastAsia" w:hAnsiTheme="minorEastAsia" w:cs="仿宋_GB2312" w:hint="eastAsia"/>
          <w:sz w:val="24"/>
          <w:szCs w:val="28"/>
        </w:rPr>
        <w:t>股份有限公司。本规范的归口单位为全国电磁计量技术委员会电动汽车专用计量</w:t>
      </w:r>
      <w:proofErr w:type="gramStart"/>
      <w:r w:rsidRPr="00711F61">
        <w:rPr>
          <w:rFonts w:asciiTheme="minorEastAsia" w:eastAsiaTheme="minorEastAsia" w:hAnsiTheme="minorEastAsia" w:cs="仿宋_GB2312" w:hint="eastAsia"/>
          <w:sz w:val="24"/>
          <w:szCs w:val="28"/>
        </w:rPr>
        <w:t>检测分</w:t>
      </w:r>
      <w:proofErr w:type="gramEnd"/>
      <w:r w:rsidRPr="00711F61">
        <w:rPr>
          <w:rFonts w:asciiTheme="minorEastAsia" w:eastAsiaTheme="minorEastAsia" w:hAnsiTheme="minorEastAsia" w:cs="仿宋_GB2312" w:hint="eastAsia"/>
          <w:sz w:val="24"/>
          <w:szCs w:val="28"/>
        </w:rPr>
        <w:t>技术委员会。</w:t>
      </w:r>
    </w:p>
    <w:p w14:paraId="10F9BA5C" w14:textId="77777777" w:rsidR="005B03C4" w:rsidRPr="00711F61" w:rsidRDefault="00974AD0">
      <w:pPr>
        <w:widowControl/>
        <w:spacing w:line="360" w:lineRule="auto"/>
        <w:ind w:firstLine="500"/>
        <w:jc w:val="left"/>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本规范是首次制定的国家计量校准规范。</w:t>
      </w:r>
    </w:p>
    <w:p w14:paraId="63528C4D"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二、采纳国际建议说明</w:t>
      </w:r>
    </w:p>
    <w:p w14:paraId="04D622AE" w14:textId="77777777" w:rsidR="005B03C4" w:rsidRPr="00711F61" w:rsidRDefault="00974AD0" w:rsidP="00711F61">
      <w:pPr>
        <w:widowControl/>
        <w:spacing w:line="360" w:lineRule="auto"/>
        <w:ind w:firstLine="500"/>
        <w:jc w:val="left"/>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本规范未采用国际建议。</w:t>
      </w:r>
    </w:p>
    <w:p w14:paraId="16D3998E"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三、目的意义</w:t>
      </w:r>
    </w:p>
    <w:p w14:paraId="64082350" w14:textId="77777777" w:rsidR="005B03C4" w:rsidRPr="00711F61" w:rsidRDefault="00974AD0" w:rsidP="00711F61">
      <w:pPr>
        <w:widowControl/>
        <w:spacing w:line="360" w:lineRule="auto"/>
        <w:ind w:firstLine="500"/>
        <w:jc w:val="left"/>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随着电动汽车超</w:t>
      </w:r>
      <w:proofErr w:type="gramStart"/>
      <w:r w:rsidRPr="00711F61">
        <w:rPr>
          <w:rFonts w:asciiTheme="minorEastAsia" w:eastAsiaTheme="minorEastAsia" w:hAnsiTheme="minorEastAsia" w:cs="仿宋_GB2312" w:hint="eastAsia"/>
          <w:sz w:val="24"/>
          <w:szCs w:val="28"/>
        </w:rPr>
        <w:t>充设备</w:t>
      </w:r>
      <w:proofErr w:type="gramEnd"/>
      <w:r w:rsidRPr="00711F61">
        <w:rPr>
          <w:rFonts w:asciiTheme="minorEastAsia" w:eastAsiaTheme="minorEastAsia" w:hAnsiTheme="minorEastAsia" w:cs="仿宋_GB2312" w:hint="eastAsia"/>
          <w:sz w:val="24"/>
          <w:szCs w:val="28"/>
        </w:rPr>
        <w:t>规模化建设，其电能计量准确性与远程监测需求日益凸显。传统计量测试与检定方法已难以适配超充场景要求：一方面，现场检定的环境、条件无法匹配超</w:t>
      </w:r>
      <w:proofErr w:type="gramStart"/>
      <w:r w:rsidRPr="00711F61">
        <w:rPr>
          <w:rFonts w:asciiTheme="minorEastAsia" w:eastAsiaTheme="minorEastAsia" w:hAnsiTheme="minorEastAsia" w:cs="仿宋_GB2312" w:hint="eastAsia"/>
          <w:sz w:val="24"/>
          <w:szCs w:val="28"/>
        </w:rPr>
        <w:t>充设备</w:t>
      </w:r>
      <w:proofErr w:type="gramEnd"/>
      <w:r w:rsidRPr="00711F61">
        <w:rPr>
          <w:rFonts w:asciiTheme="minorEastAsia" w:eastAsiaTheme="minorEastAsia" w:hAnsiTheme="minorEastAsia" w:cs="仿宋_GB2312" w:hint="eastAsia"/>
          <w:sz w:val="24"/>
          <w:szCs w:val="28"/>
        </w:rPr>
        <w:t>工况，现有检定标准设备的量程与负载功率，也无法满足实际检定需求；另一方面，传统现场检定存在风险，可能为计量异常的超</w:t>
      </w:r>
      <w:proofErr w:type="gramStart"/>
      <w:r w:rsidRPr="00711F61">
        <w:rPr>
          <w:rFonts w:asciiTheme="minorEastAsia" w:eastAsiaTheme="minorEastAsia" w:hAnsiTheme="minorEastAsia" w:cs="仿宋_GB2312" w:hint="eastAsia"/>
          <w:sz w:val="24"/>
          <w:szCs w:val="28"/>
        </w:rPr>
        <w:t>充设备</w:t>
      </w:r>
      <w:proofErr w:type="gramEnd"/>
      <w:r w:rsidRPr="00711F61">
        <w:rPr>
          <w:rFonts w:asciiTheme="minorEastAsia" w:eastAsiaTheme="minorEastAsia" w:hAnsiTheme="minorEastAsia" w:cs="仿宋_GB2312" w:hint="eastAsia"/>
          <w:sz w:val="24"/>
          <w:szCs w:val="28"/>
        </w:rPr>
        <w:t>出具合格结论，导致计量结果失准。在此背景下，电动汽车超</w:t>
      </w:r>
      <w:proofErr w:type="gramStart"/>
      <w:r w:rsidRPr="00711F61">
        <w:rPr>
          <w:rFonts w:asciiTheme="minorEastAsia" w:eastAsiaTheme="minorEastAsia" w:hAnsiTheme="minorEastAsia" w:cs="仿宋_GB2312" w:hint="eastAsia"/>
          <w:sz w:val="24"/>
          <w:szCs w:val="28"/>
        </w:rPr>
        <w:t>充设备</w:t>
      </w:r>
      <w:proofErr w:type="gramEnd"/>
      <w:r w:rsidRPr="00711F61">
        <w:rPr>
          <w:rFonts w:asciiTheme="minorEastAsia" w:eastAsiaTheme="minorEastAsia" w:hAnsiTheme="minorEastAsia" w:cs="仿宋_GB2312" w:hint="eastAsia"/>
          <w:sz w:val="24"/>
          <w:szCs w:val="28"/>
        </w:rPr>
        <w:t>对远程计量方法的需求愈发迫切。为</w:t>
      </w:r>
      <w:proofErr w:type="gramStart"/>
      <w:r w:rsidRPr="00711F61">
        <w:rPr>
          <w:rFonts w:asciiTheme="minorEastAsia" w:eastAsiaTheme="minorEastAsia" w:hAnsiTheme="minorEastAsia" w:cs="仿宋_GB2312" w:hint="eastAsia"/>
          <w:sz w:val="24"/>
          <w:szCs w:val="28"/>
        </w:rPr>
        <w:t>规范超充设备</w:t>
      </w:r>
      <w:proofErr w:type="gramEnd"/>
      <w:r w:rsidRPr="00711F61">
        <w:rPr>
          <w:rFonts w:asciiTheme="minorEastAsia" w:eastAsiaTheme="minorEastAsia" w:hAnsiTheme="minorEastAsia" w:cs="仿宋_GB2312" w:hint="eastAsia"/>
          <w:sz w:val="24"/>
          <w:szCs w:val="28"/>
        </w:rPr>
        <w:t>电能远程计量技术、解决传统计量方式 “覆盖不全、成本高、效率低” 的问题，依据国家新能源汽车产业发展相关政策要求，</w:t>
      </w:r>
      <w:proofErr w:type="gramStart"/>
      <w:r w:rsidRPr="00711F61">
        <w:rPr>
          <w:rFonts w:asciiTheme="minorEastAsia" w:eastAsiaTheme="minorEastAsia" w:hAnsiTheme="minorEastAsia" w:cs="仿宋_GB2312" w:hint="eastAsia"/>
          <w:sz w:val="24"/>
          <w:szCs w:val="28"/>
        </w:rPr>
        <w:t>特启动</w:t>
      </w:r>
      <w:proofErr w:type="gramEnd"/>
      <w:r w:rsidRPr="00711F61">
        <w:rPr>
          <w:rFonts w:asciiTheme="minorEastAsia" w:eastAsiaTheme="minorEastAsia" w:hAnsiTheme="minorEastAsia" w:cs="仿宋_GB2312" w:hint="eastAsia"/>
          <w:sz w:val="24"/>
          <w:szCs w:val="28"/>
        </w:rPr>
        <w:t>本标准编制工作，旨在为行业提供统一技术指导，支撑超</w:t>
      </w:r>
      <w:proofErr w:type="gramStart"/>
      <w:r w:rsidRPr="00711F61">
        <w:rPr>
          <w:rFonts w:asciiTheme="minorEastAsia" w:eastAsiaTheme="minorEastAsia" w:hAnsiTheme="minorEastAsia" w:cs="仿宋_GB2312" w:hint="eastAsia"/>
          <w:sz w:val="24"/>
          <w:szCs w:val="28"/>
        </w:rPr>
        <w:t>充设备</w:t>
      </w:r>
      <w:proofErr w:type="gramEnd"/>
      <w:r w:rsidRPr="00711F61">
        <w:rPr>
          <w:rFonts w:asciiTheme="minorEastAsia" w:eastAsiaTheme="minorEastAsia" w:hAnsiTheme="minorEastAsia" w:cs="仿宋_GB2312" w:hint="eastAsia"/>
          <w:sz w:val="24"/>
          <w:szCs w:val="28"/>
        </w:rPr>
        <w:t>计量管理规范化发展。</w:t>
      </w:r>
    </w:p>
    <w:p w14:paraId="1184FC96"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四、编制思路和原则</w:t>
      </w:r>
    </w:p>
    <w:p w14:paraId="4307FA3A"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（一）编制思路</w:t>
      </w:r>
    </w:p>
    <w:p w14:paraId="6D51C930" w14:textId="77777777" w:rsidR="005B03C4" w:rsidRPr="00711F61" w:rsidRDefault="00974AD0">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本技术规范立足电动汽车超级充电设备计量检测产业中亟待解决的远程计量方法缺失的问题，本着科学、务实的原则，对电动汽车超级充电设备的远程计量方法和技术进行深入研究，并结合实际情况提出适合实际情况现实可行的远程计量测试方法及技术要求。</w:t>
      </w:r>
    </w:p>
    <w:p w14:paraId="4CCEA07D"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（二）编制原则</w:t>
      </w:r>
    </w:p>
    <w:p w14:paraId="04B5ADEA" w14:textId="77777777" w:rsidR="005B03C4" w:rsidRPr="00711F61" w:rsidRDefault="00974AD0" w:rsidP="00711F61">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1、本规范依据本规范依据JJF 1071—2010《国家计量校准规范编写规则》和JJF 1059.1—2012《测量不确定度评定与表示》编制。</w:t>
      </w:r>
    </w:p>
    <w:p w14:paraId="0DE47D4D" w14:textId="77777777" w:rsidR="005B03C4" w:rsidRPr="00711F61" w:rsidRDefault="00974AD0" w:rsidP="00711F61">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lastRenderedPageBreak/>
        <w:t>2、本规范参考GB/T29318—2012 电动汽车非车载充电</w:t>
      </w:r>
      <w:proofErr w:type="gramStart"/>
      <w:r w:rsidRPr="00711F61">
        <w:rPr>
          <w:rFonts w:asciiTheme="minorEastAsia" w:eastAsiaTheme="minorEastAsia" w:hAnsiTheme="minorEastAsia" w:cs="仿宋_GB2312" w:hint="eastAsia"/>
          <w:sz w:val="24"/>
          <w:szCs w:val="28"/>
        </w:rPr>
        <w:t>机电能</w:t>
      </w:r>
      <w:proofErr w:type="gramEnd"/>
      <w:r w:rsidRPr="00711F61">
        <w:rPr>
          <w:rFonts w:asciiTheme="minorEastAsia" w:eastAsiaTheme="minorEastAsia" w:hAnsiTheme="minorEastAsia" w:cs="仿宋_GB2312" w:hint="eastAsia"/>
          <w:sz w:val="24"/>
          <w:szCs w:val="28"/>
        </w:rPr>
        <w:t>计量、JJG 842—2017 电子式直流电能表、JJF 2255-2025稳重仪表物联网功能测量技术规范、JJF 1587—2016 数字多用表校准规范。</w:t>
      </w:r>
    </w:p>
    <w:p w14:paraId="2FEBC8AF" w14:textId="77777777" w:rsidR="005B03C4" w:rsidRPr="00711F61" w:rsidRDefault="00974AD0" w:rsidP="00711F61">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3、本规范引用了GB/T 18487.1—2023  电动汽车传导充电系统 第1部分：通用要求、JJG 1149—2022 电动汽车非车载充电机检定规程（试行）、GB/T 19596-2017  电动汽车术语、GB/T 29317-2012  电动汽车</w:t>
      </w:r>
      <w:proofErr w:type="gramStart"/>
      <w:r w:rsidRPr="00711F61">
        <w:rPr>
          <w:rFonts w:asciiTheme="minorEastAsia" w:eastAsiaTheme="minorEastAsia" w:hAnsiTheme="minorEastAsia" w:cs="仿宋_GB2312" w:hint="eastAsia"/>
          <w:sz w:val="24"/>
          <w:szCs w:val="28"/>
        </w:rPr>
        <w:t>充换电</w:t>
      </w:r>
      <w:proofErr w:type="gramEnd"/>
      <w:r w:rsidRPr="00711F61">
        <w:rPr>
          <w:rFonts w:asciiTheme="minorEastAsia" w:eastAsiaTheme="minorEastAsia" w:hAnsiTheme="minorEastAsia" w:cs="仿宋_GB2312" w:hint="eastAsia"/>
          <w:sz w:val="24"/>
          <w:szCs w:val="28"/>
        </w:rPr>
        <w:t>设施术语、GB/T 25069  信息安全技术术语、GB/T 36344  信息技术 数据质量评价指标、GB/Z 42885  信息安全技术 网络安全信息共享指南、GB/T 31722  信息技术 安全技术 信息安全风险管理、GB/T 2887  计算机场地通用规范。</w:t>
      </w:r>
    </w:p>
    <w:p w14:paraId="06053F38"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五、编制过程</w:t>
      </w:r>
    </w:p>
    <w:p w14:paraId="510D3882" w14:textId="77777777" w:rsidR="005B03C4" w:rsidRPr="00711F61" w:rsidRDefault="00974AD0">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 xml:space="preserve">《电动汽车超充设备电能远程计量方法技术规范》的编写工作基本按照预定计划执行，具体的起草过程如下： </w:t>
      </w:r>
    </w:p>
    <w:p w14:paraId="136B044B" w14:textId="77777777" w:rsidR="005B03C4" w:rsidRPr="00711F61" w:rsidRDefault="00974AD0">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1、2024年6月深圳《电动汽车超充设备电能远程计量方法技术规范》起草预备会议上讨论；</w:t>
      </w:r>
    </w:p>
    <w:p w14:paraId="0DE73280" w14:textId="77777777" w:rsidR="005B03C4" w:rsidRPr="00711F61" w:rsidRDefault="00974AD0">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2、2024年10月深圳《电动汽车超充设备电能远程计量方法技术规范》起草启动会上讨论；</w:t>
      </w:r>
    </w:p>
    <w:p w14:paraId="64C125A2" w14:textId="77777777" w:rsidR="005B03C4" w:rsidRPr="00711F61" w:rsidRDefault="00974AD0">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3、2025年3月组织了专家讨论会，对进行草稿的进一步审议。讨论会过程中共有5家企业，提出了7条修改意见，编制工作组均采纳了相关意见；</w:t>
      </w:r>
    </w:p>
    <w:p w14:paraId="517617F7" w14:textId="77777777" w:rsidR="005B03C4" w:rsidRPr="00711F61" w:rsidRDefault="00974AD0">
      <w:pPr>
        <w:snapToGrid w:val="0"/>
        <w:spacing w:line="360" w:lineRule="auto"/>
        <w:ind w:firstLineChars="200" w:firstLine="480"/>
        <w:rPr>
          <w:rFonts w:asciiTheme="minorEastAsia" w:eastAsiaTheme="minorEastAsia" w:hAnsiTheme="minorEastAsia" w:cs="仿宋_GB2312"/>
          <w:sz w:val="24"/>
          <w:szCs w:val="28"/>
        </w:rPr>
      </w:pPr>
      <w:r w:rsidRPr="00711F61">
        <w:rPr>
          <w:rFonts w:asciiTheme="minorEastAsia" w:eastAsiaTheme="minorEastAsia" w:hAnsiTheme="minorEastAsia" w:cs="仿宋_GB2312" w:hint="eastAsia"/>
          <w:sz w:val="24"/>
          <w:szCs w:val="28"/>
        </w:rPr>
        <w:t>4、2025年7月组织了专家讨论会，对进行草稿的进一步审议。讨论会过程中共有5家企业，提出了11条修改意见，编制工作组均采纳了相关意见；</w:t>
      </w:r>
    </w:p>
    <w:p w14:paraId="1EAB2CBF"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六、内容说明</w:t>
      </w:r>
    </w:p>
    <w:p w14:paraId="6D8EE874"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（一）关于规程的适用范围</w:t>
      </w:r>
    </w:p>
    <w:p w14:paraId="21ADAB51" w14:textId="77777777" w:rsidR="005B03C4" w:rsidRPr="00711F61" w:rsidRDefault="00974AD0" w:rsidP="00711F61">
      <w:pPr>
        <w:snapToGrid w:val="0"/>
        <w:spacing w:line="360" w:lineRule="auto"/>
        <w:ind w:firstLineChars="200" w:firstLine="480"/>
        <w:rPr>
          <w:rFonts w:ascii="宋体" w:hAnsi="宋体"/>
          <w:kern w:val="2"/>
          <w:sz w:val="24"/>
          <w:szCs w:val="24"/>
        </w:rPr>
      </w:pPr>
      <w:r w:rsidRPr="00711F61">
        <w:rPr>
          <w:rFonts w:ascii="宋体" w:hAnsi="宋体"/>
          <w:kern w:val="2"/>
          <w:sz w:val="24"/>
          <w:szCs w:val="24"/>
        </w:rPr>
        <w:t>本方法规定了电动汽车</w:t>
      </w:r>
      <w:r w:rsidRPr="00711F61">
        <w:rPr>
          <w:rFonts w:ascii="宋体" w:hAnsi="宋体" w:hint="eastAsia"/>
          <w:kern w:val="2"/>
          <w:sz w:val="24"/>
          <w:szCs w:val="24"/>
        </w:rPr>
        <w:t>超</w:t>
      </w:r>
      <w:proofErr w:type="gramStart"/>
      <w:r w:rsidRPr="00711F61">
        <w:rPr>
          <w:rFonts w:ascii="宋体" w:hAnsi="宋体" w:hint="eastAsia"/>
          <w:kern w:val="2"/>
          <w:sz w:val="24"/>
          <w:szCs w:val="24"/>
        </w:rPr>
        <w:t>充设备</w:t>
      </w:r>
      <w:proofErr w:type="gramEnd"/>
      <w:r w:rsidRPr="00711F61">
        <w:rPr>
          <w:rFonts w:ascii="宋体" w:hAnsi="宋体"/>
          <w:kern w:val="2"/>
          <w:sz w:val="24"/>
          <w:szCs w:val="24"/>
        </w:rPr>
        <w:t>用于</w:t>
      </w:r>
      <w:r w:rsidRPr="00711F61">
        <w:rPr>
          <w:rFonts w:ascii="宋体" w:hAnsi="宋体" w:hint="eastAsia"/>
          <w:kern w:val="2"/>
          <w:sz w:val="24"/>
          <w:szCs w:val="24"/>
        </w:rPr>
        <w:t>电能</w:t>
      </w:r>
      <w:r w:rsidRPr="00711F61">
        <w:rPr>
          <w:rFonts w:ascii="宋体" w:hAnsi="宋体"/>
          <w:kern w:val="2"/>
          <w:sz w:val="24"/>
          <w:szCs w:val="24"/>
        </w:rPr>
        <w:t>远程计量中的数据采集规则、数据质量要求、数据安全要求、数据核查方法、计量核查结果不确定度评定方法等。其他类型的电动汽车</w:t>
      </w:r>
      <w:r w:rsidRPr="00711F61">
        <w:rPr>
          <w:rFonts w:ascii="宋体" w:hAnsi="宋体" w:hint="eastAsia"/>
          <w:kern w:val="2"/>
          <w:sz w:val="24"/>
          <w:szCs w:val="24"/>
        </w:rPr>
        <w:t>充电设备的电能</w:t>
      </w:r>
      <w:r w:rsidRPr="00711F61">
        <w:rPr>
          <w:rFonts w:ascii="宋体" w:hAnsi="宋体"/>
          <w:kern w:val="2"/>
          <w:sz w:val="24"/>
          <w:szCs w:val="24"/>
        </w:rPr>
        <w:t>远程计量可参照本方法执行</w:t>
      </w:r>
      <w:r w:rsidRPr="00711F61">
        <w:rPr>
          <w:rFonts w:ascii="宋体" w:hAnsi="宋体" w:hint="eastAsia"/>
          <w:kern w:val="2"/>
          <w:sz w:val="24"/>
          <w:szCs w:val="24"/>
        </w:rPr>
        <w:t>。</w:t>
      </w:r>
    </w:p>
    <w:p w14:paraId="765F2E32" w14:textId="77777777" w:rsidR="005B03C4" w:rsidRPr="00711F61" w:rsidRDefault="00974AD0" w:rsidP="00711F61">
      <w:pPr>
        <w:snapToGrid w:val="0"/>
        <w:spacing w:line="360" w:lineRule="auto"/>
        <w:rPr>
          <w:rFonts w:ascii="宋体" w:hAnsi="宋体"/>
          <w:b/>
          <w:kern w:val="2"/>
          <w:sz w:val="24"/>
          <w:szCs w:val="24"/>
        </w:rPr>
      </w:pPr>
      <w:r w:rsidRPr="00711F61">
        <w:rPr>
          <w:rFonts w:ascii="宋体" w:hAnsi="宋体" w:hint="eastAsia"/>
          <w:b/>
          <w:kern w:val="2"/>
          <w:sz w:val="24"/>
          <w:szCs w:val="24"/>
        </w:rPr>
        <w:t>（二）有关条款的说明</w:t>
      </w:r>
    </w:p>
    <w:p w14:paraId="2608F4FF" w14:textId="77777777" w:rsidR="005B03C4" w:rsidRPr="00711F61" w:rsidRDefault="00974AD0">
      <w:pPr>
        <w:snapToGrid w:val="0"/>
        <w:spacing w:line="360" w:lineRule="auto"/>
        <w:rPr>
          <w:rFonts w:ascii="宋体" w:hAnsi="宋体"/>
          <w:b/>
          <w:kern w:val="2"/>
          <w:sz w:val="24"/>
          <w:szCs w:val="24"/>
        </w:rPr>
      </w:pPr>
      <w:r w:rsidRPr="00711F61">
        <w:rPr>
          <w:rFonts w:ascii="宋体" w:hAnsi="宋体" w:hint="eastAsia"/>
          <w:b/>
          <w:kern w:val="2"/>
          <w:sz w:val="24"/>
          <w:szCs w:val="24"/>
        </w:rPr>
        <w:t>1、术语和定义</w:t>
      </w:r>
    </w:p>
    <w:p w14:paraId="344D52A6" w14:textId="77777777" w:rsidR="005B03C4" w:rsidRPr="00711F61" w:rsidRDefault="00974AD0">
      <w:pPr>
        <w:adjustRightInd w:val="0"/>
        <w:snapToGrid w:val="0"/>
        <w:spacing w:line="360" w:lineRule="auto"/>
        <w:ind w:firstLineChars="200" w:firstLine="480"/>
        <w:jc w:val="left"/>
        <w:rPr>
          <w:rFonts w:ascii="宋体" w:hAnsi="宋体"/>
          <w:kern w:val="2"/>
          <w:sz w:val="24"/>
          <w:szCs w:val="24"/>
        </w:rPr>
      </w:pPr>
      <w:r w:rsidRPr="00711F61">
        <w:rPr>
          <w:rFonts w:ascii="宋体" w:hAnsi="宋体" w:hint="eastAsia"/>
          <w:kern w:val="2"/>
          <w:sz w:val="24"/>
          <w:szCs w:val="24"/>
        </w:rPr>
        <w:t>GB/T 19596-2017、GB/T 18487.1-2023以及GB/T 25069界定的术语和定义适用于本文件。</w:t>
      </w:r>
    </w:p>
    <w:p w14:paraId="3A66CA8B" w14:textId="77777777" w:rsidR="005B03C4" w:rsidRPr="00711F61" w:rsidRDefault="00974AD0">
      <w:pPr>
        <w:spacing w:line="360" w:lineRule="auto"/>
        <w:ind w:firstLine="420"/>
        <w:rPr>
          <w:rFonts w:asciiTheme="minorEastAsia" w:eastAsiaTheme="minorEastAsia" w:hAnsiTheme="minorEastAsia" w:cs="仿宋_GB2312"/>
          <w:b/>
          <w:sz w:val="24"/>
          <w:szCs w:val="24"/>
        </w:rPr>
      </w:pPr>
      <w:r w:rsidRPr="00711F61">
        <w:rPr>
          <w:rFonts w:asciiTheme="minorEastAsia" w:eastAsiaTheme="minorEastAsia" w:hAnsiTheme="minorEastAsia" w:cs="仿宋_GB2312" w:hint="eastAsia"/>
          <w:b/>
          <w:sz w:val="24"/>
          <w:szCs w:val="24"/>
        </w:rPr>
        <w:t>超</w:t>
      </w:r>
      <w:proofErr w:type="gramStart"/>
      <w:r w:rsidRPr="00711F61">
        <w:rPr>
          <w:rFonts w:asciiTheme="minorEastAsia" w:eastAsiaTheme="minorEastAsia" w:hAnsiTheme="minorEastAsia" w:cs="仿宋_GB2312" w:hint="eastAsia"/>
          <w:b/>
          <w:sz w:val="24"/>
          <w:szCs w:val="24"/>
        </w:rPr>
        <w:t>充设备</w:t>
      </w:r>
      <w:proofErr w:type="gramEnd"/>
      <w:r w:rsidRPr="00711F61">
        <w:rPr>
          <w:rFonts w:asciiTheme="minorEastAsia" w:eastAsiaTheme="minorEastAsia" w:hAnsiTheme="minorEastAsia" w:cs="仿宋_GB2312" w:hint="eastAsia"/>
          <w:b/>
          <w:sz w:val="24"/>
          <w:szCs w:val="24"/>
        </w:rPr>
        <w:t xml:space="preserve"> super charging equipment</w:t>
      </w:r>
    </w:p>
    <w:p w14:paraId="7A617F1F" w14:textId="77777777" w:rsidR="005B03C4" w:rsidRPr="00711F61" w:rsidRDefault="00974AD0">
      <w:pPr>
        <w:snapToGrid w:val="0"/>
        <w:spacing w:line="360" w:lineRule="auto"/>
        <w:ind w:firstLine="500"/>
        <w:rPr>
          <w:rFonts w:asciiTheme="minorEastAsia" w:eastAsiaTheme="minorEastAsia" w:hAnsiTheme="minorEastAsia" w:cs="仿宋_GB2312"/>
          <w:sz w:val="24"/>
          <w:szCs w:val="24"/>
        </w:rPr>
      </w:pPr>
      <w:r w:rsidRPr="00711F61">
        <w:rPr>
          <w:rFonts w:asciiTheme="minorEastAsia" w:eastAsiaTheme="minorEastAsia" w:hAnsiTheme="minorEastAsia" w:cs="仿宋_GB2312" w:hint="eastAsia"/>
          <w:sz w:val="24"/>
          <w:szCs w:val="24"/>
        </w:rPr>
        <w:lastRenderedPageBreak/>
        <w:t>固定连接</w:t>
      </w:r>
      <w:proofErr w:type="gramStart"/>
      <w:r w:rsidRPr="00711F61">
        <w:rPr>
          <w:rFonts w:asciiTheme="minorEastAsia" w:eastAsiaTheme="minorEastAsia" w:hAnsiTheme="minorEastAsia" w:cs="仿宋_GB2312" w:hint="eastAsia"/>
          <w:sz w:val="24"/>
          <w:szCs w:val="24"/>
        </w:rPr>
        <w:t>至交流</w:t>
      </w:r>
      <w:proofErr w:type="gramEnd"/>
      <w:r w:rsidRPr="00711F61">
        <w:rPr>
          <w:rFonts w:asciiTheme="minorEastAsia" w:eastAsiaTheme="minorEastAsia" w:hAnsiTheme="minorEastAsia" w:cs="仿宋_GB2312" w:hint="eastAsia"/>
          <w:sz w:val="24"/>
          <w:szCs w:val="24"/>
        </w:rPr>
        <w:t>或直流电源，并将其电能转化为直流电能，采用整车传导充电方式为电动汽车提供电能，且至少具备一个额定功率不小于480kW的车辆插头的专用装置。</w:t>
      </w:r>
    </w:p>
    <w:p w14:paraId="3CB19643" w14:textId="29E172A6" w:rsidR="005B03C4" w:rsidRPr="00711F61" w:rsidRDefault="00974AD0">
      <w:pPr>
        <w:snapToGrid w:val="0"/>
        <w:spacing w:line="360" w:lineRule="auto"/>
        <w:ind w:firstLine="500"/>
        <w:rPr>
          <w:rFonts w:ascii="仿宋" w:eastAsia="仿宋" w:hAnsi="仿宋" w:cs="仿宋_GB2312"/>
          <w:szCs w:val="21"/>
        </w:rPr>
      </w:pPr>
      <w:r w:rsidRPr="00711F61">
        <w:rPr>
          <w:rFonts w:ascii="仿宋" w:eastAsia="仿宋" w:hAnsi="仿宋" w:cs="仿宋_GB2312" w:hint="eastAsia"/>
          <w:szCs w:val="21"/>
        </w:rPr>
        <w:t>注：超</w:t>
      </w:r>
      <w:proofErr w:type="gramStart"/>
      <w:r w:rsidRPr="00711F61">
        <w:rPr>
          <w:rFonts w:ascii="仿宋" w:eastAsia="仿宋" w:hAnsi="仿宋" w:cs="仿宋_GB2312" w:hint="eastAsia"/>
          <w:szCs w:val="21"/>
        </w:rPr>
        <w:t>充设备</w:t>
      </w:r>
      <w:proofErr w:type="gramEnd"/>
      <w:r w:rsidRPr="00711F61">
        <w:rPr>
          <w:rFonts w:ascii="仿宋" w:eastAsia="仿宋" w:hAnsi="仿宋" w:cs="仿宋_GB2312" w:hint="eastAsia"/>
          <w:szCs w:val="21"/>
        </w:rPr>
        <w:t>最大输出电压不小于1000</w:t>
      </w:r>
      <w:r w:rsidRPr="00711F61">
        <w:rPr>
          <w:rFonts w:ascii="MS Gothic" w:eastAsia="MS Gothic" w:hAnsi="MS Gothic" w:cs="MS Gothic" w:hint="eastAsia"/>
          <w:szCs w:val="21"/>
        </w:rPr>
        <w:t> </w:t>
      </w:r>
      <w:r w:rsidR="00711F61">
        <w:rPr>
          <w:rFonts w:ascii="MS Gothic" w:eastAsia="MS Gothic" w:hAnsi="MS Gothic" w:cs="MS Gothic"/>
          <w:szCs w:val="21"/>
        </w:rPr>
        <w:t> </w:t>
      </w:r>
      <w:r w:rsidRPr="00711F61">
        <w:rPr>
          <w:rFonts w:ascii="仿宋" w:eastAsia="仿宋" w:hAnsi="仿宋" w:cs="仿宋_GB2312" w:hint="eastAsia"/>
          <w:szCs w:val="21"/>
        </w:rPr>
        <w:t>V，持续充电电流不小于480</w:t>
      </w:r>
      <w:r w:rsidR="00711F61">
        <w:rPr>
          <w:rFonts w:ascii="MS Gothic" w:eastAsia="MS Gothic" w:hAnsi="MS Gothic" w:cs="仿宋_GB2312" w:hint="eastAsia"/>
          <w:szCs w:val="21"/>
        </w:rPr>
        <w:t> </w:t>
      </w:r>
      <w:r w:rsidRPr="00711F61">
        <w:rPr>
          <w:rFonts w:ascii="MS Gothic" w:eastAsia="MS Gothic" w:hAnsi="MS Gothic" w:cs="MS Gothic" w:hint="eastAsia"/>
          <w:szCs w:val="21"/>
        </w:rPr>
        <w:t> </w:t>
      </w:r>
      <w:r w:rsidRPr="00711F61">
        <w:rPr>
          <w:rFonts w:ascii="仿宋" w:eastAsia="仿宋" w:hAnsi="仿宋" w:cs="仿宋_GB2312" w:hint="eastAsia"/>
          <w:szCs w:val="21"/>
        </w:rPr>
        <w:t>A，通常包括分体式充电机、</w:t>
      </w:r>
      <w:proofErr w:type="gramStart"/>
      <w:r w:rsidRPr="00711F61">
        <w:rPr>
          <w:rFonts w:ascii="仿宋" w:eastAsia="仿宋" w:hAnsi="仿宋" w:cs="仿宋_GB2312" w:hint="eastAsia"/>
          <w:szCs w:val="21"/>
        </w:rPr>
        <w:t>一</w:t>
      </w:r>
      <w:proofErr w:type="gramEnd"/>
      <w:r w:rsidRPr="00711F61">
        <w:rPr>
          <w:rFonts w:ascii="仿宋" w:eastAsia="仿宋" w:hAnsi="仿宋" w:cs="仿宋_GB2312" w:hint="eastAsia"/>
          <w:szCs w:val="21"/>
        </w:rPr>
        <w:t>体式充电机。</w:t>
      </w:r>
    </w:p>
    <w:p w14:paraId="3FC619EA" w14:textId="77777777" w:rsidR="005B03C4" w:rsidRPr="00711F61" w:rsidRDefault="00974AD0">
      <w:pPr>
        <w:spacing w:line="360" w:lineRule="auto"/>
        <w:ind w:firstLine="420"/>
        <w:rPr>
          <w:rFonts w:asciiTheme="minorEastAsia" w:eastAsiaTheme="minorEastAsia" w:hAnsiTheme="minorEastAsia" w:cs="仿宋_GB2312"/>
          <w:b/>
          <w:sz w:val="24"/>
          <w:szCs w:val="24"/>
        </w:rPr>
      </w:pPr>
      <w:bookmarkStart w:id="0" w:name="_Toc17363"/>
      <w:bookmarkStart w:id="1" w:name="_Toc20782"/>
      <w:bookmarkStart w:id="2" w:name="_Toc31173"/>
      <w:bookmarkStart w:id="3" w:name="_Toc6557"/>
      <w:r w:rsidRPr="00711F61">
        <w:rPr>
          <w:rFonts w:asciiTheme="minorEastAsia" w:eastAsiaTheme="minorEastAsia" w:hAnsiTheme="minorEastAsia" w:cs="仿宋_GB2312" w:hint="eastAsia"/>
          <w:b/>
          <w:sz w:val="24"/>
          <w:szCs w:val="24"/>
        </w:rPr>
        <w:t>直流标准模块 DC standard module</w:t>
      </w:r>
      <w:bookmarkEnd w:id="0"/>
      <w:bookmarkEnd w:id="1"/>
      <w:bookmarkEnd w:id="2"/>
      <w:bookmarkEnd w:id="3"/>
    </w:p>
    <w:p w14:paraId="56D64F36" w14:textId="77777777" w:rsidR="005B03C4" w:rsidRPr="00711F61" w:rsidRDefault="00974AD0">
      <w:pPr>
        <w:snapToGrid w:val="0"/>
        <w:spacing w:line="360" w:lineRule="auto"/>
        <w:ind w:firstLine="500"/>
        <w:rPr>
          <w:rFonts w:asciiTheme="minorEastAsia" w:eastAsiaTheme="minorEastAsia" w:hAnsiTheme="minorEastAsia" w:cs="仿宋_GB2312"/>
          <w:sz w:val="24"/>
          <w:szCs w:val="24"/>
        </w:rPr>
      </w:pPr>
      <w:r w:rsidRPr="00711F61">
        <w:rPr>
          <w:rFonts w:asciiTheme="minorEastAsia" w:eastAsiaTheme="minorEastAsia" w:hAnsiTheme="minorEastAsia" w:cs="仿宋_GB2312" w:hint="eastAsia"/>
          <w:sz w:val="24"/>
          <w:szCs w:val="24"/>
        </w:rPr>
        <w:t>安装在超</w:t>
      </w:r>
      <w:proofErr w:type="gramStart"/>
      <w:r w:rsidRPr="00711F61">
        <w:rPr>
          <w:rFonts w:asciiTheme="minorEastAsia" w:eastAsiaTheme="minorEastAsia" w:hAnsiTheme="minorEastAsia" w:cs="仿宋_GB2312" w:hint="eastAsia"/>
          <w:sz w:val="24"/>
          <w:szCs w:val="24"/>
        </w:rPr>
        <w:t>充设备</w:t>
      </w:r>
      <w:proofErr w:type="gramEnd"/>
      <w:r w:rsidRPr="00711F61">
        <w:rPr>
          <w:rFonts w:asciiTheme="minorEastAsia" w:eastAsiaTheme="minorEastAsia" w:hAnsiTheme="minorEastAsia" w:cs="仿宋_GB2312" w:hint="eastAsia"/>
          <w:sz w:val="24"/>
          <w:szCs w:val="24"/>
        </w:rPr>
        <w:t>内部，经过技术机构校准，可以实时采集输出电压、电流、电能和充电</w:t>
      </w:r>
      <w:proofErr w:type="gramStart"/>
      <w:r w:rsidRPr="00711F61">
        <w:rPr>
          <w:rFonts w:asciiTheme="minorEastAsia" w:eastAsiaTheme="minorEastAsia" w:hAnsiTheme="minorEastAsia" w:cs="仿宋_GB2312" w:hint="eastAsia"/>
          <w:sz w:val="24"/>
          <w:szCs w:val="24"/>
        </w:rPr>
        <w:t>交互等</w:t>
      </w:r>
      <w:proofErr w:type="gramEnd"/>
      <w:r w:rsidRPr="00711F61">
        <w:rPr>
          <w:rFonts w:asciiTheme="minorEastAsia" w:eastAsiaTheme="minorEastAsia" w:hAnsiTheme="minorEastAsia" w:cs="仿宋_GB2312" w:hint="eastAsia"/>
          <w:sz w:val="24"/>
          <w:szCs w:val="24"/>
        </w:rPr>
        <w:t>数据，并具有数据上报到云端功能的模块。</w:t>
      </w:r>
    </w:p>
    <w:p w14:paraId="187B0156" w14:textId="77777777" w:rsidR="005B03C4" w:rsidRPr="00711F61" w:rsidRDefault="00974AD0">
      <w:pPr>
        <w:spacing w:line="360" w:lineRule="auto"/>
        <w:ind w:firstLine="420"/>
        <w:rPr>
          <w:rFonts w:asciiTheme="minorEastAsia" w:eastAsiaTheme="minorEastAsia" w:hAnsiTheme="minorEastAsia" w:cs="仿宋_GB2312"/>
          <w:b/>
          <w:sz w:val="24"/>
          <w:szCs w:val="24"/>
        </w:rPr>
      </w:pPr>
      <w:bookmarkStart w:id="4" w:name="_Toc12402"/>
      <w:bookmarkStart w:id="5" w:name="_Toc7494"/>
      <w:bookmarkStart w:id="6" w:name="_Toc19411"/>
      <w:bookmarkStart w:id="7" w:name="_Toc10501"/>
      <w:r w:rsidRPr="00711F61">
        <w:rPr>
          <w:rFonts w:asciiTheme="minorEastAsia" w:eastAsiaTheme="minorEastAsia" w:hAnsiTheme="minorEastAsia" w:cs="仿宋_GB2312" w:hint="eastAsia"/>
          <w:b/>
          <w:sz w:val="24"/>
          <w:szCs w:val="24"/>
        </w:rPr>
        <w:t>充电运营平台 charging operation platform</w:t>
      </w:r>
      <w:bookmarkEnd w:id="4"/>
      <w:bookmarkEnd w:id="5"/>
      <w:bookmarkEnd w:id="6"/>
      <w:bookmarkEnd w:id="7"/>
    </w:p>
    <w:p w14:paraId="591B96E5" w14:textId="77777777" w:rsidR="005B03C4" w:rsidRPr="00711F61" w:rsidRDefault="00974AD0">
      <w:pPr>
        <w:snapToGrid w:val="0"/>
        <w:spacing w:line="360" w:lineRule="auto"/>
        <w:ind w:firstLine="500"/>
        <w:rPr>
          <w:rFonts w:asciiTheme="minorEastAsia" w:eastAsiaTheme="minorEastAsia" w:hAnsiTheme="minorEastAsia" w:cs="仿宋_GB2312"/>
          <w:sz w:val="24"/>
          <w:szCs w:val="24"/>
        </w:rPr>
      </w:pPr>
      <w:r w:rsidRPr="00711F61">
        <w:rPr>
          <w:rFonts w:asciiTheme="minorEastAsia" w:eastAsiaTheme="minorEastAsia" w:hAnsiTheme="minorEastAsia" w:cs="仿宋_GB2312" w:hint="eastAsia"/>
          <w:sz w:val="24"/>
          <w:szCs w:val="24"/>
        </w:rPr>
        <w:t>通过运用网络信息技术，对充电设备进行监控、管理，并采集和</w:t>
      </w:r>
      <w:proofErr w:type="gramStart"/>
      <w:r w:rsidRPr="00711F61">
        <w:rPr>
          <w:rFonts w:asciiTheme="minorEastAsia" w:eastAsiaTheme="minorEastAsia" w:hAnsiTheme="minorEastAsia" w:cs="仿宋_GB2312" w:hint="eastAsia"/>
          <w:sz w:val="24"/>
          <w:szCs w:val="24"/>
        </w:rPr>
        <w:t>处理车桩</w:t>
      </w:r>
      <w:proofErr w:type="gramEnd"/>
      <w:r w:rsidRPr="00711F61">
        <w:rPr>
          <w:rFonts w:asciiTheme="minorEastAsia" w:eastAsiaTheme="minorEastAsia" w:hAnsiTheme="minorEastAsia" w:cs="仿宋_GB2312" w:hint="eastAsia"/>
          <w:sz w:val="24"/>
          <w:szCs w:val="24"/>
        </w:rPr>
        <w:t>交互数据，实现费用结算、订单管理等一系列信息服务功能。</w:t>
      </w:r>
    </w:p>
    <w:p w14:paraId="567FC8B5" w14:textId="77777777" w:rsidR="005B03C4" w:rsidRPr="00711F61" w:rsidRDefault="00974AD0">
      <w:pPr>
        <w:spacing w:line="360" w:lineRule="auto"/>
        <w:ind w:firstLine="420"/>
        <w:rPr>
          <w:rFonts w:asciiTheme="minorEastAsia" w:eastAsiaTheme="minorEastAsia" w:hAnsiTheme="minorEastAsia" w:cs="仿宋_GB2312"/>
          <w:b/>
          <w:sz w:val="24"/>
          <w:szCs w:val="24"/>
        </w:rPr>
      </w:pPr>
      <w:bookmarkStart w:id="8" w:name="_Toc27948"/>
      <w:bookmarkStart w:id="9" w:name="_Toc21812"/>
      <w:bookmarkStart w:id="10" w:name="_Toc29868"/>
      <w:bookmarkStart w:id="11" w:name="_Toc14454"/>
      <w:r w:rsidRPr="00711F61">
        <w:rPr>
          <w:rFonts w:asciiTheme="minorEastAsia" w:eastAsiaTheme="minorEastAsia" w:hAnsiTheme="minorEastAsia" w:cs="仿宋_GB2312" w:hint="eastAsia"/>
          <w:b/>
          <w:sz w:val="24"/>
          <w:szCs w:val="24"/>
        </w:rPr>
        <w:t>远程计量平台 remote metering platform</w:t>
      </w:r>
      <w:bookmarkEnd w:id="8"/>
      <w:bookmarkEnd w:id="9"/>
      <w:bookmarkEnd w:id="10"/>
      <w:bookmarkEnd w:id="11"/>
    </w:p>
    <w:p w14:paraId="6A5F6F3B" w14:textId="77777777" w:rsidR="005B03C4" w:rsidRPr="00711F61" w:rsidRDefault="00974AD0">
      <w:pPr>
        <w:snapToGrid w:val="0"/>
        <w:spacing w:line="360" w:lineRule="auto"/>
        <w:ind w:firstLine="500"/>
        <w:rPr>
          <w:rFonts w:asciiTheme="minorEastAsia" w:eastAsiaTheme="minorEastAsia" w:hAnsiTheme="minorEastAsia" w:cs="仿宋_GB2312"/>
          <w:sz w:val="24"/>
          <w:szCs w:val="24"/>
        </w:rPr>
      </w:pPr>
      <w:r w:rsidRPr="00711F61">
        <w:rPr>
          <w:rFonts w:asciiTheme="minorEastAsia" w:eastAsiaTheme="minorEastAsia" w:hAnsiTheme="minorEastAsia" w:cs="仿宋_GB2312" w:hint="eastAsia"/>
          <w:sz w:val="24"/>
          <w:szCs w:val="24"/>
        </w:rPr>
        <w:t>通过充电设备计量数据的采集与清洗，实现在线分析与远程计量监测的平台。</w:t>
      </w:r>
    </w:p>
    <w:p w14:paraId="416AA32A" w14:textId="77777777" w:rsidR="005B03C4" w:rsidRPr="00711F61" w:rsidRDefault="00974AD0">
      <w:pPr>
        <w:spacing w:line="360" w:lineRule="auto"/>
        <w:ind w:firstLine="420"/>
        <w:rPr>
          <w:rFonts w:asciiTheme="minorEastAsia" w:eastAsiaTheme="minorEastAsia" w:hAnsiTheme="minorEastAsia" w:cs="仿宋_GB2312"/>
          <w:b/>
          <w:sz w:val="24"/>
          <w:szCs w:val="24"/>
        </w:rPr>
      </w:pPr>
      <w:r w:rsidRPr="00711F61">
        <w:rPr>
          <w:rFonts w:asciiTheme="minorEastAsia" w:eastAsiaTheme="minorEastAsia" w:hAnsiTheme="minorEastAsia" w:cs="仿宋_GB2312" w:hint="eastAsia"/>
          <w:b/>
          <w:sz w:val="24"/>
          <w:szCs w:val="24"/>
        </w:rPr>
        <w:t>标准桩 standard charging pile</w:t>
      </w:r>
    </w:p>
    <w:p w14:paraId="3C68E428" w14:textId="77777777" w:rsidR="005B03C4" w:rsidRPr="00711F61" w:rsidRDefault="00974AD0">
      <w:pPr>
        <w:snapToGrid w:val="0"/>
        <w:spacing w:line="360" w:lineRule="auto"/>
        <w:ind w:firstLine="500"/>
        <w:rPr>
          <w:rFonts w:asciiTheme="minorEastAsia" w:eastAsiaTheme="minorEastAsia" w:hAnsiTheme="minorEastAsia" w:cs="仿宋_GB2312"/>
          <w:sz w:val="24"/>
          <w:szCs w:val="24"/>
        </w:rPr>
      </w:pPr>
      <w:r w:rsidRPr="00711F61">
        <w:rPr>
          <w:rFonts w:asciiTheme="minorEastAsia" w:eastAsiaTheme="minorEastAsia" w:hAnsiTheme="minorEastAsia" w:cs="仿宋_GB2312" w:hint="eastAsia"/>
          <w:sz w:val="24"/>
          <w:szCs w:val="24"/>
        </w:rPr>
        <w:t>使用频率及量值传播效率较高、完成</w:t>
      </w:r>
      <w:proofErr w:type="gramStart"/>
      <w:r w:rsidRPr="00711F61">
        <w:rPr>
          <w:rFonts w:asciiTheme="minorEastAsia" w:eastAsiaTheme="minorEastAsia" w:hAnsiTheme="minorEastAsia" w:cs="仿宋_GB2312" w:hint="eastAsia"/>
          <w:sz w:val="24"/>
          <w:szCs w:val="24"/>
        </w:rPr>
        <w:t>检定且</w:t>
      </w:r>
      <w:proofErr w:type="gramEnd"/>
      <w:r w:rsidRPr="00711F61">
        <w:rPr>
          <w:rFonts w:asciiTheme="minorEastAsia" w:eastAsiaTheme="minorEastAsia" w:hAnsiTheme="minorEastAsia" w:cs="仿宋_GB2312" w:hint="eastAsia"/>
          <w:sz w:val="24"/>
          <w:szCs w:val="24"/>
        </w:rPr>
        <w:t>安装直流标准模块的超充设备。</w:t>
      </w:r>
    </w:p>
    <w:p w14:paraId="63D8A872" w14:textId="77777777" w:rsidR="005B03C4" w:rsidRPr="00711F61" w:rsidRDefault="00974AD0">
      <w:pPr>
        <w:spacing w:line="360" w:lineRule="auto"/>
        <w:ind w:firstLine="420"/>
        <w:rPr>
          <w:rFonts w:asciiTheme="minorEastAsia" w:eastAsiaTheme="minorEastAsia" w:hAnsiTheme="minorEastAsia" w:cs="仿宋_GB2312"/>
          <w:b/>
          <w:sz w:val="24"/>
          <w:szCs w:val="24"/>
        </w:rPr>
      </w:pPr>
      <w:r w:rsidRPr="00711F61">
        <w:rPr>
          <w:rFonts w:asciiTheme="minorEastAsia" w:eastAsiaTheme="minorEastAsia" w:hAnsiTheme="minorEastAsia" w:cs="仿宋_GB2312" w:hint="eastAsia"/>
          <w:b/>
          <w:sz w:val="24"/>
          <w:szCs w:val="24"/>
        </w:rPr>
        <w:t>标准车 standard car</w:t>
      </w:r>
    </w:p>
    <w:p w14:paraId="6C07B170" w14:textId="77777777" w:rsidR="005B03C4" w:rsidRDefault="00974AD0">
      <w:pPr>
        <w:snapToGrid w:val="0"/>
        <w:spacing w:line="360" w:lineRule="auto"/>
        <w:ind w:firstLine="500"/>
        <w:rPr>
          <w:rFonts w:ascii="仿宋_GB2312" w:eastAsia="仿宋_GB2312" w:hAnsi="仿宋_GB2312" w:cs="仿宋_GB2312"/>
          <w:sz w:val="24"/>
          <w:szCs w:val="24"/>
        </w:rPr>
      </w:pPr>
      <w:r w:rsidRPr="00711F61">
        <w:rPr>
          <w:rFonts w:asciiTheme="minorEastAsia" w:eastAsiaTheme="minorEastAsia" w:hAnsiTheme="minorEastAsia" w:cs="仿宋_GB2312" w:hint="eastAsia"/>
          <w:sz w:val="24"/>
          <w:szCs w:val="24"/>
        </w:rPr>
        <w:t>结合标准桩与电动汽车之间的网状关系，适用于构建误差评估模型的电动汽车。</w:t>
      </w:r>
    </w:p>
    <w:p w14:paraId="11EEFEB1" w14:textId="77777777" w:rsidR="005B03C4" w:rsidRPr="00711F61" w:rsidRDefault="0010521C">
      <w:pPr>
        <w:snapToGrid w:val="0"/>
        <w:spacing w:line="360" w:lineRule="auto"/>
        <w:rPr>
          <w:rFonts w:asciiTheme="minorEastAsia" w:eastAsiaTheme="minorEastAsia" w:hAnsiTheme="minorEastAsia"/>
        </w:rPr>
      </w:pPr>
      <w:hyperlink w:anchor="_Toc31855" w:history="1">
        <w:r w:rsidR="00974AD0" w:rsidRPr="00711F61">
          <w:rPr>
            <w:rFonts w:asciiTheme="minorEastAsia" w:eastAsiaTheme="minorEastAsia" w:hAnsiTheme="minorEastAsia" w:cs="仿宋_GB2312" w:hint="eastAsia"/>
            <w:b/>
            <w:sz w:val="24"/>
          </w:rPr>
          <w:t>2、规范主要内容</w:t>
        </w:r>
      </w:hyperlink>
    </w:p>
    <w:p w14:paraId="5A7FC242" w14:textId="77777777" w:rsidR="005B03C4" w:rsidRPr="00711F61" w:rsidRDefault="00974AD0">
      <w:pPr>
        <w:widowControl/>
        <w:snapToGrid w:val="0"/>
        <w:spacing w:line="360" w:lineRule="auto"/>
        <w:ind w:firstLineChars="200" w:firstLine="480"/>
        <w:rPr>
          <w:rFonts w:asciiTheme="minorEastAsia" w:eastAsiaTheme="minorEastAsia" w:hAnsiTheme="minorEastAsia"/>
        </w:rPr>
      </w:pPr>
      <w:r w:rsidRPr="00711F61">
        <w:rPr>
          <w:rFonts w:asciiTheme="minorEastAsia" w:eastAsiaTheme="minorEastAsia" w:hAnsiTheme="minorEastAsia" w:cs="宋体" w:hint="eastAsia"/>
          <w:sz w:val="24"/>
        </w:rPr>
        <w:t xml:space="preserve">主要内容分为：1 范围、2 引用文件、3 术语和定义、4 概述、5 测量条件、6 测试方法、7 </w:t>
      </w:r>
      <w:bookmarkStart w:id="12" w:name="_Toc21453"/>
      <w:r w:rsidRPr="00711F61">
        <w:rPr>
          <w:rFonts w:asciiTheme="minorEastAsia" w:eastAsiaTheme="minorEastAsia" w:hAnsiTheme="minorEastAsia" w:cs="宋体" w:hint="eastAsia"/>
          <w:sz w:val="24"/>
        </w:rPr>
        <w:t>数据验证</w:t>
      </w:r>
      <w:bookmarkEnd w:id="12"/>
      <w:r w:rsidRPr="00711F61">
        <w:rPr>
          <w:rFonts w:asciiTheme="minorEastAsia" w:eastAsiaTheme="minorEastAsia" w:hAnsiTheme="minorEastAsia" w:cs="宋体" w:hint="eastAsia"/>
          <w:sz w:val="24"/>
        </w:rPr>
        <w:t>、附 录 A超</w:t>
      </w:r>
      <w:proofErr w:type="gramStart"/>
      <w:r w:rsidRPr="00711F61">
        <w:rPr>
          <w:rFonts w:asciiTheme="minorEastAsia" w:eastAsiaTheme="minorEastAsia" w:hAnsiTheme="minorEastAsia" w:cs="宋体" w:hint="eastAsia"/>
          <w:sz w:val="24"/>
        </w:rPr>
        <w:t>充设备</w:t>
      </w:r>
      <w:proofErr w:type="gramEnd"/>
      <w:r w:rsidRPr="00711F61">
        <w:rPr>
          <w:rFonts w:asciiTheme="minorEastAsia" w:eastAsiaTheme="minorEastAsia" w:hAnsiTheme="minorEastAsia" w:cs="宋体" w:hint="eastAsia"/>
          <w:sz w:val="24"/>
        </w:rPr>
        <w:t>计量数据定义、附 录 B 直流标准模块数据定义。</w:t>
      </w:r>
    </w:p>
    <w:p w14:paraId="6B65F7A3" w14:textId="00DEEE7D" w:rsidR="005B03C4" w:rsidRDefault="005B03C4">
      <w:pPr>
        <w:snapToGrid w:val="0"/>
        <w:spacing w:line="360" w:lineRule="auto"/>
        <w:ind w:firstLineChars="200" w:firstLine="480"/>
        <w:rPr>
          <w:rFonts w:ascii="仿宋_GB2312" w:eastAsia="仿宋_GB2312" w:hAnsi="仿宋_GB2312" w:cs="仿宋_GB2312"/>
          <w:sz w:val="24"/>
        </w:rPr>
      </w:pPr>
    </w:p>
    <w:p w14:paraId="74344696" w14:textId="6B5DC83C" w:rsidR="00711F61" w:rsidRDefault="00711F61" w:rsidP="00711F61">
      <w:pPr>
        <w:snapToGrid w:val="0"/>
        <w:spacing w:line="360" w:lineRule="auto"/>
        <w:ind w:firstLineChars="200" w:firstLine="600"/>
        <w:rPr>
          <w:rFonts w:ascii="宋体" w:hAnsi="宋体" w:cs="宋体"/>
          <w:sz w:val="24"/>
        </w:rPr>
      </w:pPr>
      <w:r>
        <w:rPr>
          <w:rFonts w:hAnsi="宋体" w:hint="eastAsia"/>
          <w:sz w:val="30"/>
          <w:szCs w:val="30"/>
        </w:rPr>
        <w:t xml:space="preserve"> </w:t>
      </w:r>
      <w:r>
        <w:rPr>
          <w:rFonts w:ascii="宋体" w:hAnsi="宋体" w:cs="宋体" w:hint="eastAsia"/>
          <w:sz w:val="24"/>
        </w:rPr>
        <w:t xml:space="preserve"> </w:t>
      </w:r>
      <w:r>
        <w:rPr>
          <w:rFonts w:ascii="宋体" w:hAnsi="宋体" w:cs="宋体"/>
          <w:sz w:val="24"/>
        </w:rPr>
        <w:t xml:space="preserve">                                                </w:t>
      </w:r>
      <w:r w:rsidR="00674E89">
        <w:rPr>
          <w:rFonts w:ascii="宋体" w:hAnsi="宋体" w:cs="宋体"/>
          <w:sz w:val="24"/>
        </w:rPr>
        <w:t xml:space="preserve"> </w:t>
      </w:r>
      <w:r>
        <w:rPr>
          <w:rFonts w:ascii="宋体" w:hAnsi="宋体" w:cs="宋体"/>
          <w:sz w:val="24"/>
        </w:rPr>
        <w:t xml:space="preserve">  </w:t>
      </w:r>
      <w:r>
        <w:rPr>
          <w:rFonts w:ascii="宋体" w:hAnsi="宋体" w:cs="宋体" w:hint="eastAsia"/>
          <w:sz w:val="24"/>
        </w:rPr>
        <w:t>编制工作组</w:t>
      </w:r>
    </w:p>
    <w:p w14:paraId="1484E5A8" w14:textId="1A9ABD2B" w:rsidR="00711F61" w:rsidRDefault="00711F61" w:rsidP="00711F61">
      <w:pPr>
        <w:snapToGrid w:val="0"/>
        <w:spacing w:line="360" w:lineRule="auto"/>
        <w:ind w:firstLineChars="200" w:firstLine="480"/>
        <w:rPr>
          <w:rFonts w:ascii="宋体" w:hAnsi="宋体" w:cs="宋体"/>
          <w:sz w:val="24"/>
        </w:rPr>
      </w:pPr>
      <w:r>
        <w:rPr>
          <w:rFonts w:ascii="宋体" w:hAnsi="宋体" w:cs="宋体" w:hint="eastAsia"/>
          <w:sz w:val="24"/>
        </w:rPr>
        <w:t xml:space="preserve">                                                 </w:t>
      </w:r>
      <w:r>
        <w:rPr>
          <w:rFonts w:ascii="宋体" w:hAnsi="宋体" w:cs="宋体"/>
          <w:sz w:val="24"/>
        </w:rPr>
        <w:t xml:space="preserve"> </w:t>
      </w:r>
      <w:bookmarkStart w:id="13" w:name="_GoBack"/>
      <w:bookmarkEnd w:id="13"/>
      <w:r>
        <w:rPr>
          <w:rFonts w:ascii="宋体" w:hAnsi="宋体" w:cs="宋体"/>
          <w:sz w:val="24"/>
        </w:rPr>
        <w:t xml:space="preserve">  </w:t>
      </w:r>
      <w:r>
        <w:rPr>
          <w:rFonts w:ascii="宋体" w:hAnsi="宋体" w:cs="宋体" w:hint="eastAsia"/>
          <w:sz w:val="24"/>
        </w:rPr>
        <w:t xml:space="preserve"> 202</w:t>
      </w:r>
      <w:r>
        <w:rPr>
          <w:rFonts w:ascii="宋体" w:hAnsi="宋体" w:cs="宋体"/>
          <w:sz w:val="24"/>
        </w:rPr>
        <w:t>5</w:t>
      </w:r>
      <w:r>
        <w:rPr>
          <w:rFonts w:ascii="宋体" w:hAnsi="宋体" w:cs="宋体" w:hint="eastAsia"/>
          <w:sz w:val="24"/>
        </w:rPr>
        <w:t>年</w:t>
      </w:r>
      <w:r>
        <w:rPr>
          <w:rFonts w:ascii="宋体" w:hAnsi="宋体" w:cs="宋体"/>
          <w:sz w:val="24"/>
        </w:rPr>
        <w:t>11</w:t>
      </w:r>
      <w:r>
        <w:rPr>
          <w:rFonts w:ascii="宋体" w:hAnsi="宋体" w:cs="宋体" w:hint="eastAsia"/>
          <w:sz w:val="24"/>
        </w:rPr>
        <w:t>月</w:t>
      </w:r>
    </w:p>
    <w:p w14:paraId="036FD468" w14:textId="77777777" w:rsidR="00711F61" w:rsidRDefault="00711F61">
      <w:pPr>
        <w:snapToGrid w:val="0"/>
        <w:spacing w:line="360" w:lineRule="auto"/>
        <w:ind w:firstLineChars="200" w:firstLine="480"/>
        <w:rPr>
          <w:rFonts w:ascii="仿宋_GB2312" w:eastAsia="仿宋_GB2312" w:hAnsi="仿宋_GB2312" w:cs="仿宋_GB2312"/>
          <w:sz w:val="24"/>
        </w:rPr>
      </w:pPr>
    </w:p>
    <w:sectPr w:rsidR="00711F61">
      <w:footerReference w:type="default" r:id="rId6"/>
      <w:pgSz w:w="11906" w:h="16838"/>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31672B" w14:textId="77777777" w:rsidR="0010521C" w:rsidRDefault="0010521C"/>
  </w:endnote>
  <w:endnote w:type="continuationSeparator" w:id="0">
    <w:p w14:paraId="18055A55" w14:textId="77777777" w:rsidR="0010521C" w:rsidRDefault="00105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2366229"/>
      <w:docPartObj>
        <w:docPartGallery w:val="Page Numbers (Bottom of Page)"/>
        <w:docPartUnique/>
      </w:docPartObj>
    </w:sdtPr>
    <w:sdtEndPr/>
    <w:sdtContent>
      <w:p w14:paraId="6BE3530C" w14:textId="5C1559D6" w:rsidR="00711F61" w:rsidRDefault="00711F61" w:rsidP="00711F61">
        <w:pPr>
          <w:pStyle w:val="a5"/>
          <w:jc w:val="center"/>
        </w:pPr>
        <w:r>
          <w:fldChar w:fldCharType="begin"/>
        </w:r>
        <w:r>
          <w:instrText>PAGE   \* MERGEFORMAT</w:instrText>
        </w:r>
        <w:r>
          <w:fldChar w:fldCharType="separate"/>
        </w:r>
        <w:r w:rsidR="00674E89" w:rsidRPr="00674E89">
          <w:rPr>
            <w:noProof/>
            <w:lang w:val="zh-CN"/>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0C589" w14:textId="77777777" w:rsidR="0010521C" w:rsidRDefault="0010521C"/>
  </w:footnote>
  <w:footnote w:type="continuationSeparator" w:id="0">
    <w:p w14:paraId="0458BBE7" w14:textId="77777777" w:rsidR="0010521C" w:rsidRDefault="0010521C"/>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isplayBackgroundShape/>
  <w:bordersDoNotSurroundHeader/>
  <w:bordersDoNotSurroundFooter/>
  <w:proofState w:spelling="clean" w:grammar="clean"/>
  <w:defaultTabStop w:val="4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cxMmJmYTJlMDBjZjJjMjIyMjdkYWQ3Nzg3ZWNmMWQifQ=="/>
  </w:docVars>
  <w:rsids>
    <w:rsidRoot w:val="005B03C4"/>
    <w:rsid w:val="AB573842"/>
    <w:rsid w:val="BEDD54D2"/>
    <w:rsid w:val="F97AEC55"/>
    <w:rsid w:val="FF5AA635"/>
    <w:rsid w:val="FF6FA3DB"/>
    <w:rsid w:val="FFB796A2"/>
    <w:rsid w:val="FFBF7408"/>
    <w:rsid w:val="0010521C"/>
    <w:rsid w:val="00280144"/>
    <w:rsid w:val="005B03C4"/>
    <w:rsid w:val="00640412"/>
    <w:rsid w:val="00674E89"/>
    <w:rsid w:val="006B7823"/>
    <w:rsid w:val="00711F61"/>
    <w:rsid w:val="00974AD0"/>
    <w:rsid w:val="0A7814BB"/>
    <w:rsid w:val="1CA63246"/>
    <w:rsid w:val="217A60CB"/>
    <w:rsid w:val="255C07C2"/>
    <w:rsid w:val="28310E3D"/>
    <w:rsid w:val="31BC0FAD"/>
    <w:rsid w:val="3E032A38"/>
    <w:rsid w:val="3F731B06"/>
    <w:rsid w:val="3FFB9213"/>
    <w:rsid w:val="3FFD6D27"/>
    <w:rsid w:val="44840368"/>
    <w:rsid w:val="45F133DE"/>
    <w:rsid w:val="58CDC212"/>
    <w:rsid w:val="6AFBF364"/>
    <w:rsid w:val="6BFDD1AF"/>
    <w:rsid w:val="6F7D269E"/>
    <w:rsid w:val="71280B52"/>
    <w:rsid w:val="782FF77D"/>
    <w:rsid w:val="7EA25A26"/>
    <w:rsid w:val="7EB7B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5BB4B"/>
  <w15:docId w15:val="{6C8D9217-5F8F-4AD1-A4E6-1B7F0F005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annotation text" w:qFormat="1"/>
    <w:lsdException w:name="footer" w:uiPriority="99" w:qFormat="1"/>
    <w:lsdException w:name="caption" w:semiHidden="1" w:unhideWhenUsed="1" w:qFormat="1"/>
    <w:lsdException w:name="footnote reference" w:semiHidden="1" w:uiPriority="99" w:unhideWhenUsed="1" w:qFormat="1"/>
    <w:lsdException w:name="Title" w:qFormat="1"/>
    <w:lsdException w:name="Default Paragraph Font" w:semiHidden="1" w:qFormat="1"/>
    <w:lsdException w:name="Body Text" w:qFormat="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 w:val="21"/>
      <w:szCs w:val="22"/>
    </w:rPr>
  </w:style>
  <w:style w:type="paragraph" w:styleId="1">
    <w:name w:val="heading 1"/>
    <w:basedOn w:val="a"/>
    <w:next w:val="a"/>
    <w:qFormat/>
    <w:pPr>
      <w:spacing w:before="380" w:after="140" w:line="288" w:lineRule="auto"/>
      <w:jc w:val="left"/>
      <w:outlineLvl w:val="0"/>
    </w:pPr>
    <w:rPr>
      <w:rFonts w:ascii="Arial" w:eastAsia="等线" w:hAnsi="Arial" w:cs="Arial"/>
      <w:b/>
      <w:bCs/>
      <w:sz w:val="36"/>
      <w:szCs w:val="36"/>
    </w:rPr>
  </w:style>
  <w:style w:type="paragraph" w:styleId="2">
    <w:name w:val="heading 2"/>
    <w:basedOn w:val="a"/>
    <w:next w:val="a"/>
    <w:qFormat/>
    <w:pPr>
      <w:spacing w:before="320" w:after="120" w:line="288" w:lineRule="auto"/>
      <w:jc w:val="left"/>
      <w:outlineLvl w:val="1"/>
    </w:pPr>
    <w:rPr>
      <w:rFonts w:ascii="Arial" w:eastAsia="等线" w:hAnsi="Arial" w:cs="Arial"/>
      <w:b/>
      <w:bCs/>
      <w:sz w:val="32"/>
      <w:szCs w:val="32"/>
    </w:rPr>
  </w:style>
  <w:style w:type="paragraph" w:styleId="3">
    <w:name w:val="heading 3"/>
    <w:next w:val="a"/>
    <w:qFormat/>
    <w:pPr>
      <w:spacing w:before="300" w:after="120" w:line="288" w:lineRule="auto"/>
      <w:outlineLvl w:val="2"/>
    </w:pPr>
    <w:rPr>
      <w:rFonts w:ascii="Arial" w:eastAsia="等线" w:hAnsi="Arial" w:cs="Arial"/>
      <w:b/>
      <w:bCs/>
      <w:sz w:val="30"/>
      <w:szCs w:val="30"/>
    </w:rPr>
  </w:style>
  <w:style w:type="paragraph" w:styleId="4">
    <w:name w:val="heading 4"/>
    <w:next w:val="a"/>
    <w:qFormat/>
    <w:pPr>
      <w:spacing w:before="260" w:after="120" w:line="288" w:lineRule="auto"/>
      <w:outlineLvl w:val="3"/>
    </w:pPr>
    <w:rPr>
      <w:rFonts w:ascii="Arial" w:eastAsia="等线" w:hAnsi="Arial" w:cs="Arial"/>
      <w:b/>
      <w:bCs/>
      <w:sz w:val="28"/>
      <w:szCs w:val="28"/>
    </w:rPr>
  </w:style>
  <w:style w:type="paragraph" w:styleId="5">
    <w:name w:val="heading 5"/>
    <w:next w:val="a"/>
    <w:qFormat/>
    <w:pPr>
      <w:spacing w:before="240" w:after="120" w:line="288" w:lineRule="auto"/>
      <w:outlineLvl w:val="4"/>
    </w:pPr>
    <w:rPr>
      <w:rFonts w:ascii="Arial" w:eastAsia="等线" w:hAnsi="Arial" w:cs="Arial"/>
      <w:b/>
      <w:bCs/>
      <w:sz w:val="24"/>
      <w:szCs w:val="24"/>
    </w:rPr>
  </w:style>
  <w:style w:type="paragraph" w:styleId="6">
    <w:name w:val="heading 6"/>
    <w:next w:val="a"/>
    <w:qFormat/>
    <w:pPr>
      <w:spacing w:before="240" w:after="120" w:line="288" w:lineRule="auto"/>
      <w:outlineLvl w:val="5"/>
    </w:pPr>
    <w:rPr>
      <w:rFonts w:ascii="Arial" w:eastAsia="等线" w:hAnsi="Arial" w:cs="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ody Text"/>
    <w:basedOn w:val="a"/>
    <w:qFormat/>
    <w:rPr>
      <w:sz w:val="28"/>
    </w:rPr>
  </w:style>
  <w:style w:type="paragraph" w:styleId="20">
    <w:name w:val="Body Text Indent 2"/>
    <w:basedOn w:val="a"/>
    <w:qFormat/>
    <w:pPr>
      <w:spacing w:after="120" w:line="480" w:lineRule="auto"/>
      <w:ind w:leftChars="200" w:left="420"/>
    </w:pPr>
  </w:style>
  <w:style w:type="paragraph" w:styleId="a5">
    <w:name w:val="footer"/>
    <w:basedOn w:val="a"/>
    <w:link w:val="a6"/>
    <w:uiPriority w:val="99"/>
    <w:qFormat/>
    <w:pPr>
      <w:tabs>
        <w:tab w:val="center" w:pos="4153"/>
        <w:tab w:val="right" w:pos="8306"/>
      </w:tabs>
      <w:snapToGrid w:val="0"/>
      <w:jc w:val="left"/>
    </w:pPr>
    <w:rPr>
      <w:sz w:val="18"/>
    </w:rPr>
  </w:style>
  <w:style w:type="paragraph" w:styleId="a7">
    <w:name w:val="footnote text"/>
    <w:link w:val="a8"/>
    <w:uiPriority w:val="99"/>
    <w:semiHidden/>
    <w:unhideWhenUsed/>
    <w:qFormat/>
  </w:style>
  <w:style w:type="paragraph" w:styleId="a9">
    <w:name w:val="Title"/>
    <w:qFormat/>
    <w:pPr>
      <w:spacing w:before="480" w:after="480" w:line="288" w:lineRule="auto"/>
    </w:pPr>
    <w:rPr>
      <w:rFonts w:ascii="Arial" w:eastAsia="等线" w:hAnsi="Arial" w:cs="Arial"/>
      <w:b/>
      <w:bCs/>
      <w:sz w:val="52"/>
      <w:szCs w:val="52"/>
    </w:rPr>
  </w:style>
  <w:style w:type="character" w:styleId="aa">
    <w:name w:val="Strong"/>
    <w:basedOn w:val="a0"/>
    <w:qFormat/>
    <w:rPr>
      <w:b/>
    </w:rPr>
  </w:style>
  <w:style w:type="character" w:styleId="ab">
    <w:name w:val="Hyperlink"/>
    <w:uiPriority w:val="99"/>
    <w:unhideWhenUsed/>
    <w:qFormat/>
    <w:rPr>
      <w:color w:val="0563C1"/>
      <w:u w:val="single"/>
    </w:rPr>
  </w:style>
  <w:style w:type="character" w:styleId="ac">
    <w:name w:val="footnote reference"/>
    <w:uiPriority w:val="99"/>
    <w:semiHidden/>
    <w:unhideWhenUsed/>
    <w:qFormat/>
    <w:rPr>
      <w:vertAlign w:val="superscript"/>
    </w:rPr>
  </w:style>
  <w:style w:type="paragraph" w:styleId="ad">
    <w:name w:val="List Paragraph"/>
    <w:qFormat/>
    <w:rPr>
      <w:sz w:val="21"/>
      <w:szCs w:val="22"/>
    </w:rPr>
  </w:style>
  <w:style w:type="character" w:customStyle="1" w:styleId="a8">
    <w:name w:val="脚注文本 字符"/>
    <w:link w:val="a7"/>
    <w:uiPriority w:val="99"/>
    <w:semiHidden/>
    <w:unhideWhenUsed/>
    <w:qFormat/>
    <w:rPr>
      <w:sz w:val="20"/>
      <w:szCs w:val="20"/>
    </w:rPr>
  </w:style>
  <w:style w:type="paragraph" w:customStyle="1" w:styleId="Style13">
    <w:name w:val="_Style 13"/>
    <w:qFormat/>
    <w:pPr>
      <w:spacing w:before="120" w:after="120" w:line="288" w:lineRule="auto"/>
    </w:pPr>
    <w:rPr>
      <w:rFonts w:ascii="Arial" w:eastAsia="等线" w:hAnsi="Arial" w:cs="Arial"/>
      <w:sz w:val="22"/>
      <w:szCs w:val="22"/>
    </w:rPr>
  </w:style>
  <w:style w:type="paragraph" w:customStyle="1" w:styleId="Style14">
    <w:name w:val="_Style 14"/>
    <w:qFormat/>
    <w:pPr>
      <w:spacing w:before="120" w:after="120" w:line="288" w:lineRule="auto"/>
    </w:pPr>
    <w:rPr>
      <w:rFonts w:ascii="Arial" w:eastAsia="等线" w:hAnsi="Arial" w:cs="Arial"/>
      <w:color w:val="8F959E"/>
      <w:sz w:val="22"/>
      <w:szCs w:val="22"/>
    </w:rPr>
  </w:style>
  <w:style w:type="paragraph" w:customStyle="1" w:styleId="ae">
    <w:name w:val="标准文件_段"/>
    <w:qFormat/>
    <w:pPr>
      <w:autoSpaceDE w:val="0"/>
      <w:autoSpaceDN w:val="0"/>
      <w:adjustRightInd w:val="0"/>
      <w:snapToGrid w:val="0"/>
      <w:spacing w:line="360" w:lineRule="auto"/>
      <w:ind w:leftChars="-50" w:left="-105" w:rightChars="-50" w:right="-105"/>
      <w:jc w:val="both"/>
    </w:pPr>
    <w:rPr>
      <w:rFonts w:ascii="宋体"/>
      <w:spacing w:val="2"/>
      <w:sz w:val="21"/>
    </w:rPr>
  </w:style>
  <w:style w:type="paragraph" w:styleId="af">
    <w:name w:val="header"/>
    <w:basedOn w:val="a"/>
    <w:link w:val="af0"/>
    <w:rsid w:val="00711F61"/>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0"/>
    <w:link w:val="af"/>
    <w:rsid w:val="00711F61"/>
    <w:rPr>
      <w:sz w:val="18"/>
      <w:szCs w:val="18"/>
    </w:rPr>
  </w:style>
  <w:style w:type="character" w:customStyle="1" w:styleId="a6">
    <w:name w:val="页脚 字符"/>
    <w:basedOn w:val="a0"/>
    <w:link w:val="a5"/>
    <w:uiPriority w:val="99"/>
    <w:rsid w:val="00711F61"/>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363</Words>
  <Characters>2070</Characters>
  <Application>Microsoft Office Word</Application>
  <DocSecurity>0</DocSecurity>
  <Lines>17</Lines>
  <Paragraphs>4</Paragraphs>
  <ScaleCrop>false</ScaleCrop>
  <Company>WORKGROUP</Company>
  <LinksUpToDate>false</LinksUpToDate>
  <CharactersWithSpaces>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杨桂芬</cp:lastModifiedBy>
  <cp:revision>5</cp:revision>
  <dcterms:created xsi:type="dcterms:W3CDTF">2025-11-19T01:54:00Z</dcterms:created>
  <dcterms:modified xsi:type="dcterms:W3CDTF">2025-11-19T07:24:00Z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4CC8E15575D64A1BAB23A810D0079B57_13</vt:lpwstr>
  </property>
  <property fmtid="{D5CDD505-2E9C-101B-9397-08002B2CF9AE}" pid="4" name="KSOTemplateDocerSaveRecord">
    <vt:lpwstr>eyJoZGlkIjoiZWEwMThiNzdlMGRjZTlhMDEyODc3YTNlZWY0ZTI0NGQiLCJ1c2VySWQiOiI0MDczODgyNzQifQ==</vt:lpwstr>
  </property>
</Properties>
</file>