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AEAEA"/>
  <w:body>
    <w:p w:rsidR="00D95AC8" w:rsidRDefault="00D95AC8">
      <w:pPr>
        <w:spacing w:before="120" w:line="300" w:lineRule="auto"/>
        <w:jc w:val="center"/>
        <w:rPr>
          <w:spacing w:val="20"/>
          <w:sz w:val="84"/>
        </w:rPr>
      </w:pPr>
    </w:p>
    <w:p w:rsidR="00D95AC8" w:rsidRDefault="00D95AC8">
      <w:pPr>
        <w:spacing w:before="120" w:line="300" w:lineRule="auto"/>
        <w:jc w:val="center"/>
        <w:rPr>
          <w:spacing w:val="20"/>
          <w:sz w:val="84"/>
        </w:rPr>
      </w:pPr>
    </w:p>
    <w:p w:rsidR="00D95AC8" w:rsidRDefault="00CC7B78">
      <w:pPr>
        <w:spacing w:line="480" w:lineRule="auto"/>
        <w:ind w:leftChars="-2" w:left="-4" w:firstLine="6"/>
        <w:jc w:val="center"/>
        <w:rPr>
          <w:rFonts w:ascii="黑体" w:eastAsia="黑体" w:hAnsi="黑体"/>
          <w:b/>
          <w:spacing w:val="20"/>
          <w:sz w:val="48"/>
          <w:szCs w:val="48"/>
        </w:rPr>
      </w:pPr>
      <w:r>
        <w:rPr>
          <w:rFonts w:ascii="黑体" w:eastAsia="黑体" w:hAnsi="黑体" w:hint="eastAsia"/>
          <w:b/>
          <w:spacing w:val="20"/>
          <w:sz w:val="48"/>
          <w:szCs w:val="48"/>
        </w:rPr>
        <w:t>《</w:t>
      </w:r>
      <w:r w:rsidR="00BF7D65" w:rsidRPr="00BF7D65">
        <w:rPr>
          <w:rFonts w:ascii="黑体" w:eastAsia="黑体" w:hAnsi="黑体" w:hint="eastAsia"/>
          <w:b/>
          <w:spacing w:val="20"/>
          <w:sz w:val="48"/>
          <w:szCs w:val="48"/>
        </w:rPr>
        <w:t>经皮起搏器分析仪校准方法</w:t>
      </w:r>
      <w:r>
        <w:rPr>
          <w:rFonts w:ascii="黑体" w:eastAsia="黑体" w:hAnsi="黑体" w:hint="eastAsia"/>
          <w:b/>
          <w:spacing w:val="20"/>
          <w:sz w:val="48"/>
          <w:szCs w:val="48"/>
        </w:rPr>
        <w:t>》</w:t>
      </w:r>
    </w:p>
    <w:p w:rsidR="00D95AC8" w:rsidRDefault="00D95AC8">
      <w:pPr>
        <w:spacing w:before="156" w:line="300" w:lineRule="auto"/>
        <w:jc w:val="center"/>
        <w:rPr>
          <w:rFonts w:ascii="黑体" w:eastAsia="黑体" w:hAnsi="黑体"/>
          <w:b/>
          <w:spacing w:val="20"/>
          <w:sz w:val="48"/>
          <w:szCs w:val="48"/>
        </w:rPr>
      </w:pPr>
    </w:p>
    <w:p w:rsidR="00D95AC8" w:rsidRDefault="00CC7B78">
      <w:pPr>
        <w:ind w:leftChars="-233" w:left="576" w:hangingChars="204" w:hanging="1065"/>
        <w:jc w:val="center"/>
        <w:rPr>
          <w:rFonts w:ascii="黑体" w:eastAsia="黑体" w:hAnsi="黑体"/>
          <w:b/>
          <w:spacing w:val="20"/>
          <w:sz w:val="48"/>
          <w:szCs w:val="48"/>
        </w:rPr>
      </w:pPr>
      <w:r>
        <w:rPr>
          <w:rFonts w:ascii="黑体" w:eastAsia="黑体" w:hAnsi="黑体" w:hint="eastAsia"/>
          <w:b/>
          <w:spacing w:val="20"/>
          <w:sz w:val="48"/>
          <w:szCs w:val="48"/>
        </w:rPr>
        <w:t xml:space="preserve">　</w:t>
      </w:r>
      <w:r w:rsidR="00014CA5" w:rsidRPr="00014CA5">
        <w:rPr>
          <w:rFonts w:ascii="黑体" w:eastAsia="黑体" w:hAnsi="黑体" w:hint="eastAsia"/>
          <w:b/>
          <w:spacing w:val="20"/>
          <w:sz w:val="48"/>
          <w:szCs w:val="48"/>
        </w:rPr>
        <w:t>编制说明</w:t>
      </w:r>
    </w:p>
    <w:p w:rsidR="00D95AC8" w:rsidRDefault="00D95AC8">
      <w:pPr>
        <w:spacing w:before="120" w:line="300" w:lineRule="auto"/>
        <w:jc w:val="center"/>
        <w:rPr>
          <w:spacing w:val="20"/>
          <w:sz w:val="52"/>
        </w:rPr>
      </w:pPr>
    </w:p>
    <w:p w:rsidR="00D95AC8" w:rsidRDefault="00D95AC8">
      <w:pPr>
        <w:spacing w:before="120" w:line="300" w:lineRule="auto"/>
        <w:jc w:val="center"/>
        <w:rPr>
          <w:spacing w:val="20"/>
          <w:sz w:val="52"/>
        </w:rPr>
      </w:pPr>
    </w:p>
    <w:p w:rsidR="00D95AC8" w:rsidRDefault="00D95AC8">
      <w:pPr>
        <w:spacing w:before="120" w:line="300" w:lineRule="auto"/>
        <w:jc w:val="center"/>
        <w:rPr>
          <w:spacing w:val="20"/>
          <w:sz w:val="52"/>
        </w:rPr>
      </w:pPr>
    </w:p>
    <w:p w:rsidR="00D95AC8" w:rsidRDefault="00D95AC8">
      <w:pPr>
        <w:spacing w:before="120" w:line="300" w:lineRule="auto"/>
        <w:jc w:val="center"/>
        <w:rPr>
          <w:spacing w:val="20"/>
          <w:sz w:val="52"/>
        </w:rPr>
      </w:pPr>
    </w:p>
    <w:p w:rsidR="00D95AC8" w:rsidRDefault="00D95AC8">
      <w:pPr>
        <w:spacing w:before="120" w:line="300" w:lineRule="auto"/>
        <w:jc w:val="center"/>
        <w:rPr>
          <w:spacing w:val="20"/>
          <w:sz w:val="52"/>
        </w:rPr>
      </w:pPr>
    </w:p>
    <w:p w:rsidR="00D95AC8" w:rsidRDefault="00D95AC8">
      <w:pPr>
        <w:spacing w:before="120" w:line="300" w:lineRule="auto"/>
        <w:jc w:val="center"/>
        <w:rPr>
          <w:spacing w:val="20"/>
          <w:sz w:val="52"/>
        </w:rPr>
      </w:pPr>
    </w:p>
    <w:p w:rsidR="00D95AC8" w:rsidRDefault="00D95AC8">
      <w:pPr>
        <w:spacing w:before="120" w:line="300" w:lineRule="auto"/>
        <w:jc w:val="center"/>
        <w:rPr>
          <w:spacing w:val="20"/>
          <w:sz w:val="52"/>
        </w:rPr>
      </w:pPr>
    </w:p>
    <w:p w:rsidR="00D95AC8" w:rsidRDefault="00D95AC8">
      <w:pPr>
        <w:spacing w:before="120" w:line="300" w:lineRule="auto"/>
        <w:jc w:val="center"/>
        <w:rPr>
          <w:spacing w:val="20"/>
          <w:sz w:val="52"/>
        </w:rPr>
      </w:pPr>
    </w:p>
    <w:p w:rsidR="00D95AC8" w:rsidRDefault="00D95AC8">
      <w:pPr>
        <w:pStyle w:val="af0"/>
        <w:snapToGrid w:val="0"/>
        <w:spacing w:line="360" w:lineRule="auto"/>
        <w:ind w:left="0" w:firstLine="0"/>
        <w:rPr>
          <w:rFonts w:ascii="宋体" w:hAnsi="宋体"/>
          <w:b/>
          <w:color w:val="000000"/>
          <w:sz w:val="24"/>
          <w:szCs w:val="24"/>
          <w:lang w:eastAsia="zh-CN"/>
        </w:rPr>
      </w:pPr>
    </w:p>
    <w:p w:rsidR="00D95AC8" w:rsidRDefault="00D95AC8">
      <w:pPr>
        <w:pStyle w:val="af0"/>
        <w:snapToGrid w:val="0"/>
        <w:spacing w:line="360" w:lineRule="auto"/>
        <w:ind w:left="0" w:firstLine="0"/>
        <w:rPr>
          <w:rFonts w:ascii="宋体" w:hAnsi="宋体"/>
          <w:b/>
          <w:color w:val="000000"/>
          <w:sz w:val="24"/>
          <w:szCs w:val="24"/>
          <w:lang w:eastAsia="zh-CN"/>
        </w:rPr>
      </w:pPr>
    </w:p>
    <w:p w:rsidR="00D95AC8" w:rsidRDefault="00BF7D65">
      <w:pPr>
        <w:pStyle w:val="af0"/>
        <w:snapToGrid w:val="0"/>
        <w:spacing w:line="360" w:lineRule="auto"/>
        <w:ind w:left="0" w:firstLine="0"/>
        <w:jc w:val="center"/>
        <w:rPr>
          <w:rFonts w:ascii="Times New Roman"/>
          <w:b/>
          <w:color w:val="000000"/>
          <w:sz w:val="24"/>
          <w:szCs w:val="24"/>
          <w:lang w:eastAsia="zh-CN"/>
        </w:rPr>
      </w:pPr>
      <w:r w:rsidRPr="00BF7D65">
        <w:rPr>
          <w:rFonts w:ascii="宋体" w:hAnsi="宋体" w:hint="eastAsia"/>
          <w:b/>
          <w:color w:val="000000"/>
          <w:sz w:val="24"/>
          <w:szCs w:val="24"/>
          <w:lang w:eastAsia="zh-CN"/>
        </w:rPr>
        <w:t>经皮起搏器分析仪校准方法</w:t>
      </w:r>
      <w:r w:rsidR="00CC7B78">
        <w:rPr>
          <w:rFonts w:ascii="Times New Roman" w:hint="eastAsia"/>
          <w:b/>
          <w:color w:val="000000"/>
          <w:sz w:val="24"/>
          <w:szCs w:val="24"/>
          <w:lang w:eastAsia="zh-CN"/>
        </w:rPr>
        <w:t>编写组</w:t>
      </w:r>
    </w:p>
    <w:p w:rsidR="00D95AC8" w:rsidRDefault="00CC7B78">
      <w:pPr>
        <w:spacing w:before="120" w:line="300" w:lineRule="auto"/>
        <w:jc w:val="center"/>
        <w:rPr>
          <w:b/>
          <w:color w:val="000000"/>
          <w:sz w:val="24"/>
        </w:rPr>
      </w:pPr>
      <w:r>
        <w:rPr>
          <w:b/>
          <w:color w:val="000000"/>
          <w:sz w:val="24"/>
        </w:rPr>
        <w:t>202</w:t>
      </w:r>
      <w:r w:rsidR="00BF7D65">
        <w:rPr>
          <w:rFonts w:hint="eastAsia"/>
          <w:b/>
          <w:color w:val="000000"/>
          <w:sz w:val="24"/>
        </w:rPr>
        <w:t>5</w:t>
      </w:r>
      <w:r>
        <w:rPr>
          <w:b/>
          <w:color w:val="000000"/>
          <w:sz w:val="24"/>
        </w:rPr>
        <w:t>-</w:t>
      </w:r>
      <w:r w:rsidR="00BF7D65">
        <w:rPr>
          <w:rFonts w:hint="eastAsia"/>
          <w:b/>
          <w:color w:val="000000"/>
          <w:sz w:val="24"/>
        </w:rPr>
        <w:t>11</w:t>
      </w:r>
      <w:r>
        <w:rPr>
          <w:b/>
          <w:color w:val="000000"/>
          <w:sz w:val="24"/>
        </w:rPr>
        <w:t>-</w:t>
      </w:r>
      <w:r>
        <w:rPr>
          <w:rFonts w:hint="eastAsia"/>
          <w:b/>
          <w:color w:val="000000"/>
          <w:sz w:val="24"/>
        </w:rPr>
        <w:t>2</w:t>
      </w:r>
      <w:r w:rsidR="00BF7D65">
        <w:rPr>
          <w:rFonts w:hint="eastAsia"/>
          <w:b/>
          <w:color w:val="000000"/>
          <w:sz w:val="24"/>
        </w:rPr>
        <w:t>4</w:t>
      </w:r>
    </w:p>
    <w:p w:rsidR="00D95AC8" w:rsidRDefault="00D95AC8">
      <w:pPr>
        <w:spacing w:before="120" w:line="300" w:lineRule="auto"/>
        <w:jc w:val="center"/>
        <w:rPr>
          <w:spacing w:val="20"/>
          <w:sz w:val="52"/>
        </w:rPr>
      </w:pPr>
    </w:p>
    <w:p w:rsidR="00D95AC8" w:rsidRDefault="00D95AC8">
      <w:pPr>
        <w:spacing w:beforeLines="50" w:before="156" w:afterLines="50" w:after="156" w:line="360" w:lineRule="auto"/>
        <w:rPr>
          <w:b/>
          <w:sz w:val="24"/>
        </w:rPr>
      </w:pPr>
    </w:p>
    <w:p w:rsidR="00D95AC8" w:rsidRDefault="00CC7B78" w:rsidP="001C0706">
      <w:pPr>
        <w:spacing w:beforeLines="50" w:before="156" w:afterLines="50" w:after="156" w:line="360" w:lineRule="auto"/>
        <w:outlineLvl w:val="0"/>
        <w:rPr>
          <w:b/>
          <w:sz w:val="24"/>
        </w:rPr>
      </w:pPr>
      <w:r>
        <w:rPr>
          <w:b/>
          <w:sz w:val="24"/>
        </w:rPr>
        <w:lastRenderedPageBreak/>
        <w:t>一、任务来源</w:t>
      </w:r>
    </w:p>
    <w:p w:rsidR="00731DC1" w:rsidRDefault="00CC7B78">
      <w:pPr>
        <w:snapToGrid w:val="0"/>
        <w:spacing w:line="360" w:lineRule="auto"/>
        <w:ind w:firstLineChars="200" w:firstLine="480"/>
        <w:rPr>
          <w:rFonts w:hint="eastAsia"/>
          <w:color w:val="000000"/>
          <w:sz w:val="24"/>
        </w:rPr>
      </w:pPr>
      <w:r>
        <w:rPr>
          <w:rFonts w:hint="eastAsia"/>
          <w:color w:val="000000"/>
          <w:sz w:val="24"/>
        </w:rPr>
        <w:t>按照《中国计量协会团体标准制修订工作管理办法》有关要求，经中国计量协会协调、审核，</w:t>
      </w:r>
      <w:r w:rsidR="00731DC1" w:rsidRPr="00731DC1">
        <w:rPr>
          <w:rFonts w:hint="eastAsia"/>
          <w:color w:val="000000"/>
          <w:sz w:val="24"/>
        </w:rPr>
        <w:t>该标准由中国计量协会立项，并在</w:t>
      </w:r>
      <w:r w:rsidR="00731DC1" w:rsidRPr="00731DC1">
        <w:rPr>
          <w:rFonts w:hint="eastAsia"/>
          <w:color w:val="000000"/>
          <w:sz w:val="24"/>
        </w:rPr>
        <w:t xml:space="preserve"> 2024 </w:t>
      </w:r>
      <w:r w:rsidR="00731DC1" w:rsidRPr="00731DC1">
        <w:rPr>
          <w:rFonts w:hint="eastAsia"/>
          <w:color w:val="000000"/>
          <w:sz w:val="24"/>
        </w:rPr>
        <w:t>年</w:t>
      </w:r>
      <w:r w:rsidR="00731DC1" w:rsidRPr="00731DC1">
        <w:rPr>
          <w:rFonts w:hint="eastAsia"/>
          <w:color w:val="000000"/>
          <w:sz w:val="24"/>
        </w:rPr>
        <w:t xml:space="preserve"> 6</w:t>
      </w:r>
      <w:r w:rsidR="00731DC1" w:rsidRPr="00731DC1">
        <w:rPr>
          <w:rFonts w:hint="eastAsia"/>
          <w:color w:val="000000"/>
          <w:sz w:val="24"/>
        </w:rPr>
        <w:t>月</w:t>
      </w:r>
      <w:r w:rsidR="00731DC1" w:rsidRPr="00731DC1">
        <w:rPr>
          <w:rFonts w:hint="eastAsia"/>
          <w:color w:val="000000"/>
          <w:sz w:val="24"/>
        </w:rPr>
        <w:t xml:space="preserve"> 18 </w:t>
      </w:r>
      <w:r w:rsidR="00731DC1" w:rsidRPr="00731DC1">
        <w:rPr>
          <w:rFonts w:hint="eastAsia"/>
          <w:color w:val="000000"/>
          <w:sz w:val="24"/>
        </w:rPr>
        <w:t>日下发的《中国计量协会关于下达</w:t>
      </w:r>
      <w:r w:rsidR="00731DC1" w:rsidRPr="00731DC1">
        <w:rPr>
          <w:rFonts w:hint="eastAsia"/>
          <w:color w:val="000000"/>
          <w:sz w:val="24"/>
        </w:rPr>
        <w:t>2024</w:t>
      </w:r>
      <w:r w:rsidR="00731DC1" w:rsidRPr="00731DC1">
        <w:rPr>
          <w:rFonts w:hint="eastAsia"/>
          <w:color w:val="000000"/>
          <w:sz w:val="24"/>
        </w:rPr>
        <w:t>年第一批团体标准计划项目的通知》（</w:t>
      </w:r>
      <w:proofErr w:type="gramStart"/>
      <w:r w:rsidR="00731DC1" w:rsidRPr="00731DC1">
        <w:rPr>
          <w:rFonts w:hint="eastAsia"/>
          <w:color w:val="000000"/>
          <w:sz w:val="24"/>
        </w:rPr>
        <w:t>中计协函【</w:t>
      </w:r>
      <w:r w:rsidR="00731DC1" w:rsidRPr="00731DC1">
        <w:rPr>
          <w:rFonts w:hint="eastAsia"/>
          <w:color w:val="000000"/>
          <w:sz w:val="24"/>
        </w:rPr>
        <w:t>2024</w:t>
      </w:r>
      <w:r w:rsidR="00731DC1" w:rsidRPr="00731DC1">
        <w:rPr>
          <w:rFonts w:hint="eastAsia"/>
          <w:color w:val="000000"/>
          <w:sz w:val="24"/>
        </w:rPr>
        <w:t>】</w:t>
      </w:r>
      <w:proofErr w:type="gramEnd"/>
      <w:r w:rsidR="00731DC1" w:rsidRPr="00731DC1">
        <w:rPr>
          <w:rFonts w:hint="eastAsia"/>
          <w:color w:val="000000"/>
          <w:sz w:val="24"/>
        </w:rPr>
        <w:t xml:space="preserve">73 </w:t>
      </w:r>
      <w:r w:rsidR="00731DC1" w:rsidRPr="00731DC1">
        <w:rPr>
          <w:rFonts w:hint="eastAsia"/>
          <w:color w:val="000000"/>
          <w:sz w:val="24"/>
        </w:rPr>
        <w:t>号）的通知附件中列明，具体为附件第</w:t>
      </w:r>
      <w:r w:rsidR="00731DC1" w:rsidRPr="00731DC1">
        <w:rPr>
          <w:rFonts w:hint="eastAsia"/>
          <w:color w:val="000000"/>
          <w:sz w:val="24"/>
        </w:rPr>
        <w:t>18</w:t>
      </w:r>
      <w:r w:rsidR="00731DC1" w:rsidRPr="00731DC1">
        <w:rPr>
          <w:rFonts w:hint="eastAsia"/>
          <w:color w:val="000000"/>
          <w:sz w:val="24"/>
        </w:rPr>
        <w:t>条“</w:t>
      </w:r>
      <w:r w:rsidR="00731DC1" w:rsidRPr="00731DC1">
        <w:rPr>
          <w:rFonts w:hint="eastAsia"/>
          <w:color w:val="000000"/>
          <w:sz w:val="24"/>
        </w:rPr>
        <w:t xml:space="preserve">T/CMA YX216 </w:t>
      </w:r>
      <w:r w:rsidR="00731DC1" w:rsidRPr="00731DC1">
        <w:rPr>
          <w:rFonts w:hint="eastAsia"/>
          <w:color w:val="000000"/>
          <w:sz w:val="24"/>
        </w:rPr>
        <w:t>经皮起搏器分析仪校准方法”。</w:t>
      </w:r>
    </w:p>
    <w:p w:rsidR="000A3CBE" w:rsidRDefault="00CC7B78">
      <w:pPr>
        <w:snapToGrid w:val="0"/>
        <w:spacing w:line="360" w:lineRule="auto"/>
        <w:ind w:firstLineChars="200" w:firstLine="480"/>
        <w:rPr>
          <w:rFonts w:hint="eastAsia"/>
          <w:sz w:val="24"/>
        </w:rPr>
      </w:pPr>
      <w:r>
        <w:rPr>
          <w:rFonts w:hint="eastAsia"/>
          <w:sz w:val="24"/>
        </w:rPr>
        <w:t>由</w:t>
      </w:r>
      <w:r w:rsidR="000A3CBE" w:rsidRPr="000A3CBE">
        <w:rPr>
          <w:rFonts w:hint="eastAsia"/>
          <w:sz w:val="24"/>
        </w:rPr>
        <w:t>中国测试技术研究院、广东省计量科学研究院</w:t>
      </w:r>
      <w:r w:rsidR="000A3CBE">
        <w:rPr>
          <w:rFonts w:hint="eastAsia"/>
          <w:sz w:val="24"/>
        </w:rPr>
        <w:t>和</w:t>
      </w:r>
      <w:r w:rsidR="000A3CBE" w:rsidRPr="000A3CBE">
        <w:rPr>
          <w:rFonts w:hint="eastAsia"/>
          <w:sz w:val="24"/>
        </w:rPr>
        <w:t>重庆市计量质量检测研究院</w:t>
      </w:r>
      <w:r w:rsidR="000A3CBE">
        <w:rPr>
          <w:rFonts w:hint="eastAsia"/>
          <w:sz w:val="24"/>
        </w:rPr>
        <w:t>作为起草单位，</w:t>
      </w:r>
      <w:r w:rsidR="000A3CBE">
        <w:rPr>
          <w:rFonts w:hint="eastAsia"/>
          <w:color w:val="000000"/>
          <w:sz w:val="24"/>
        </w:rPr>
        <w:t>承担编制工作。</w:t>
      </w:r>
    </w:p>
    <w:p w:rsidR="00D95AC8" w:rsidRDefault="00CC7B78" w:rsidP="001C0706">
      <w:pPr>
        <w:spacing w:beforeLines="50" w:before="156" w:afterLines="50" w:after="156" w:line="360" w:lineRule="auto"/>
        <w:outlineLvl w:val="0"/>
        <w:rPr>
          <w:b/>
          <w:sz w:val="24"/>
        </w:rPr>
      </w:pPr>
      <w:r>
        <w:rPr>
          <w:b/>
          <w:sz w:val="24"/>
        </w:rPr>
        <w:t>二、</w:t>
      </w:r>
      <w:r>
        <w:rPr>
          <w:rFonts w:hint="eastAsia"/>
          <w:b/>
          <w:sz w:val="24"/>
        </w:rPr>
        <w:t>团体标准</w:t>
      </w:r>
      <w:r>
        <w:rPr>
          <w:b/>
          <w:sz w:val="24"/>
        </w:rPr>
        <w:t>制定的必要性</w:t>
      </w:r>
    </w:p>
    <w:p w:rsidR="00770D4D" w:rsidRPr="00770D4D" w:rsidRDefault="00770D4D" w:rsidP="00770D4D">
      <w:pPr>
        <w:spacing w:line="360" w:lineRule="auto"/>
        <w:ind w:firstLine="480"/>
        <w:rPr>
          <w:rFonts w:hint="eastAsia"/>
          <w:color w:val="000000"/>
          <w:sz w:val="24"/>
          <w:lang w:val="zh-CN"/>
        </w:rPr>
      </w:pPr>
      <w:r w:rsidRPr="00770D4D">
        <w:rPr>
          <w:rFonts w:hint="eastAsia"/>
          <w:color w:val="000000"/>
          <w:sz w:val="24"/>
          <w:lang w:val="zh-CN"/>
        </w:rPr>
        <w:t>为了解决医学计量领域中对经皮起搏器进行质量控制的分析仪器的</w:t>
      </w:r>
      <w:r w:rsidR="001C0706">
        <w:rPr>
          <w:rFonts w:hint="eastAsia"/>
          <w:color w:val="000000"/>
          <w:sz w:val="24"/>
          <w:lang w:val="zh-CN"/>
        </w:rPr>
        <w:t>校准</w:t>
      </w:r>
      <w:r w:rsidRPr="00770D4D">
        <w:rPr>
          <w:rFonts w:hint="eastAsia"/>
          <w:color w:val="000000"/>
          <w:sz w:val="24"/>
          <w:lang w:val="zh-CN"/>
        </w:rPr>
        <w:t>问题，本</w:t>
      </w:r>
      <w:r w:rsidR="001C0706">
        <w:rPr>
          <w:rFonts w:hint="eastAsia"/>
          <w:color w:val="000000"/>
          <w:sz w:val="24"/>
          <w:lang w:val="zh-CN"/>
        </w:rPr>
        <w:t>标准</w:t>
      </w:r>
      <w:r w:rsidRPr="00770D4D">
        <w:rPr>
          <w:rFonts w:hint="eastAsia"/>
          <w:color w:val="000000"/>
          <w:sz w:val="24"/>
          <w:lang w:val="zh-CN"/>
        </w:rPr>
        <w:t>根据</w:t>
      </w:r>
      <w:r w:rsidR="002B40CE" w:rsidRPr="00731DC1">
        <w:rPr>
          <w:rFonts w:hint="eastAsia"/>
          <w:color w:val="000000"/>
          <w:sz w:val="24"/>
        </w:rPr>
        <w:t>中国计量协会</w:t>
      </w:r>
      <w:r w:rsidRPr="00770D4D">
        <w:rPr>
          <w:rFonts w:hint="eastAsia"/>
          <w:color w:val="000000"/>
          <w:sz w:val="24"/>
          <w:lang w:val="zh-CN"/>
        </w:rPr>
        <w:t>的要求、社会需求和广阔的市场前景</w:t>
      </w:r>
      <w:r w:rsidR="000B142D">
        <w:rPr>
          <w:rFonts w:hint="eastAsia"/>
          <w:color w:val="000000"/>
          <w:sz w:val="24"/>
          <w:lang w:val="zh-CN"/>
        </w:rPr>
        <w:t>而</w:t>
      </w:r>
      <w:r w:rsidRPr="00770D4D">
        <w:rPr>
          <w:rFonts w:hint="eastAsia"/>
          <w:color w:val="000000"/>
          <w:sz w:val="24"/>
          <w:lang w:val="zh-CN"/>
        </w:rPr>
        <w:t>制定。</w:t>
      </w:r>
    </w:p>
    <w:p w:rsidR="00770D4D" w:rsidRPr="00770D4D" w:rsidRDefault="00770D4D" w:rsidP="00770D4D">
      <w:pPr>
        <w:spacing w:line="360" w:lineRule="auto"/>
        <w:ind w:firstLine="480"/>
        <w:rPr>
          <w:rFonts w:hint="eastAsia"/>
          <w:color w:val="000000"/>
          <w:sz w:val="24"/>
          <w:lang w:val="zh-CN"/>
        </w:rPr>
      </w:pPr>
      <w:r w:rsidRPr="00770D4D">
        <w:rPr>
          <w:rFonts w:hint="eastAsia"/>
          <w:color w:val="000000"/>
          <w:sz w:val="24"/>
          <w:lang w:val="zh-CN"/>
        </w:rPr>
        <w:t>随着经皮起搏器的广泛应用，经皮起搏器分析仪的需求也愈发广泛。作为重要的事关人命的医学质控设备，经皮起搏器分析仪的应用量越来越大，无论是医疗卫生系统还是计量检校系统，如何保证经皮起搏器分析仪的量值准确逐渐成为各个机构十分关心的问题，作为质量控制和计量校准的重要保证手段，确保其量值准确可靠意义重大，在医用治疗上可以有效控制经皮起搏的范围、疗效和安全。因此，急需解决经皮起搏器分析仪的</w:t>
      </w:r>
      <w:r w:rsidR="006F3523">
        <w:rPr>
          <w:rFonts w:hint="eastAsia"/>
          <w:color w:val="000000"/>
          <w:sz w:val="24"/>
          <w:lang w:val="zh-CN"/>
        </w:rPr>
        <w:t>计量校准</w:t>
      </w:r>
      <w:r w:rsidRPr="00770D4D">
        <w:rPr>
          <w:rFonts w:hint="eastAsia"/>
          <w:color w:val="000000"/>
          <w:sz w:val="24"/>
          <w:lang w:val="zh-CN"/>
        </w:rPr>
        <w:t>问题，但</w:t>
      </w:r>
      <w:r w:rsidR="006F3523" w:rsidRPr="00770D4D">
        <w:rPr>
          <w:rFonts w:hint="eastAsia"/>
          <w:color w:val="000000"/>
          <w:sz w:val="24"/>
          <w:lang w:val="zh-CN"/>
        </w:rPr>
        <w:t>目前</w:t>
      </w:r>
      <w:r w:rsidR="006F3523">
        <w:rPr>
          <w:rFonts w:hint="eastAsia"/>
          <w:color w:val="000000"/>
          <w:sz w:val="24"/>
          <w:lang w:val="zh-CN"/>
        </w:rPr>
        <w:t>该产品在国家标准、行业标准和团体标准制定方面，尚存在较大空白。</w:t>
      </w:r>
      <w:r w:rsidRPr="00770D4D">
        <w:rPr>
          <w:rFonts w:hint="eastAsia"/>
          <w:color w:val="000000"/>
          <w:sz w:val="24"/>
          <w:lang w:val="zh-CN"/>
        </w:rPr>
        <w:t>因此，面对经皮起搏器分析仪</w:t>
      </w:r>
      <w:r w:rsidR="006F3523" w:rsidRPr="006F3523">
        <w:rPr>
          <w:rFonts w:hint="eastAsia"/>
          <w:color w:val="000000"/>
          <w:sz w:val="24"/>
          <w:lang w:val="zh-CN"/>
        </w:rPr>
        <w:t>校准方法</w:t>
      </w:r>
      <w:r w:rsidR="006F3523" w:rsidRPr="00770D4D">
        <w:rPr>
          <w:rFonts w:hint="eastAsia"/>
          <w:color w:val="000000"/>
          <w:sz w:val="24"/>
          <w:lang w:val="zh-CN"/>
        </w:rPr>
        <w:t>的</w:t>
      </w:r>
      <w:r w:rsidR="006F3523">
        <w:rPr>
          <w:rFonts w:hint="eastAsia"/>
          <w:color w:val="000000"/>
          <w:sz w:val="24"/>
          <w:lang w:val="zh-CN"/>
        </w:rPr>
        <w:t>强烈</w:t>
      </w:r>
      <w:r w:rsidRPr="00770D4D">
        <w:rPr>
          <w:rFonts w:hint="eastAsia"/>
          <w:color w:val="000000"/>
          <w:sz w:val="24"/>
          <w:lang w:val="zh-CN"/>
        </w:rPr>
        <w:t>需求，</w:t>
      </w:r>
      <w:r w:rsidR="008D740F">
        <w:rPr>
          <w:rFonts w:hint="eastAsia"/>
          <w:color w:val="000000"/>
          <w:sz w:val="24"/>
          <w:lang w:val="zh-CN"/>
        </w:rPr>
        <w:t>本</w:t>
      </w:r>
      <w:r w:rsidR="008D740F">
        <w:rPr>
          <w:rFonts w:hint="eastAsia"/>
          <w:color w:val="000000"/>
          <w:sz w:val="24"/>
          <w:lang w:val="zh-CN"/>
        </w:rPr>
        <w:t>标准</w:t>
      </w:r>
      <w:r w:rsidRPr="00770D4D">
        <w:rPr>
          <w:rFonts w:hint="eastAsia"/>
          <w:color w:val="000000"/>
          <w:sz w:val="24"/>
          <w:lang w:val="zh-CN"/>
        </w:rPr>
        <w:t>的制定是非常有必要的，具有重大的意义。</w:t>
      </w:r>
    </w:p>
    <w:p w:rsidR="00770D4D" w:rsidRPr="00770D4D" w:rsidRDefault="00770D4D" w:rsidP="00770D4D">
      <w:pPr>
        <w:spacing w:line="360" w:lineRule="auto"/>
        <w:ind w:firstLine="480"/>
        <w:rPr>
          <w:rFonts w:hint="eastAsia"/>
          <w:color w:val="000000"/>
          <w:sz w:val="24"/>
          <w:lang w:val="zh-CN"/>
        </w:rPr>
      </w:pPr>
      <w:r w:rsidRPr="00770D4D">
        <w:rPr>
          <w:rFonts w:hint="eastAsia"/>
          <w:color w:val="000000"/>
          <w:sz w:val="24"/>
          <w:lang w:val="zh-CN"/>
        </w:rPr>
        <w:t>在国外已发布的规范中与经皮起搏器分析仪校准比较接近的是</w:t>
      </w:r>
      <w:r w:rsidRPr="00770D4D">
        <w:rPr>
          <w:rFonts w:hint="eastAsia"/>
          <w:color w:val="000000"/>
          <w:sz w:val="24"/>
          <w:lang w:val="zh-CN"/>
        </w:rPr>
        <w:t>IEC 60601-2-4:2018 Medical electrical equipment - Part 2-4</w:t>
      </w:r>
      <w:r w:rsidRPr="00770D4D">
        <w:rPr>
          <w:rFonts w:hint="eastAsia"/>
          <w:color w:val="000000"/>
          <w:sz w:val="24"/>
          <w:lang w:val="zh-CN"/>
        </w:rPr>
        <w:t>，它规定了心脏除颤器基本安全和必要性能的特殊要求，但其中没有对经皮起搏器分析仪校准参数进行限定。在国内已发布的技术规范标准文件中与经皮起搏器分析仪校准相关的是</w:t>
      </w:r>
      <w:r w:rsidRPr="00770D4D">
        <w:rPr>
          <w:rFonts w:hint="eastAsia"/>
          <w:color w:val="000000"/>
          <w:sz w:val="24"/>
          <w:lang w:val="zh-CN"/>
        </w:rPr>
        <w:t>JJF 1149-2014</w:t>
      </w:r>
      <w:r w:rsidRPr="00770D4D">
        <w:rPr>
          <w:rFonts w:hint="eastAsia"/>
          <w:color w:val="000000"/>
          <w:sz w:val="24"/>
          <w:lang w:val="zh-CN"/>
        </w:rPr>
        <w:t>《心脏除颤器校准规范》、</w:t>
      </w:r>
      <w:r w:rsidRPr="00770D4D">
        <w:rPr>
          <w:rFonts w:hint="eastAsia"/>
          <w:color w:val="000000"/>
          <w:sz w:val="24"/>
          <w:lang w:val="zh-CN"/>
        </w:rPr>
        <w:t>JJF 2150-2024</w:t>
      </w:r>
      <w:r w:rsidRPr="00770D4D">
        <w:rPr>
          <w:rFonts w:hint="eastAsia"/>
          <w:color w:val="000000"/>
          <w:sz w:val="24"/>
          <w:lang w:val="zh-CN"/>
        </w:rPr>
        <w:t>《体外起搏器校准规范》、</w:t>
      </w:r>
      <w:r w:rsidRPr="00770D4D">
        <w:rPr>
          <w:rFonts w:hint="eastAsia"/>
          <w:color w:val="000000"/>
          <w:sz w:val="24"/>
          <w:lang w:val="zh-CN"/>
        </w:rPr>
        <w:t>YY 0945.2-2015</w:t>
      </w:r>
      <w:r w:rsidRPr="00770D4D">
        <w:rPr>
          <w:rFonts w:hint="eastAsia"/>
          <w:color w:val="000000"/>
          <w:sz w:val="24"/>
          <w:lang w:val="zh-CN"/>
        </w:rPr>
        <w:t>《医用电气设备</w:t>
      </w:r>
      <w:r w:rsidRPr="00770D4D">
        <w:rPr>
          <w:rFonts w:hint="eastAsia"/>
          <w:color w:val="000000"/>
          <w:sz w:val="24"/>
          <w:lang w:val="zh-CN"/>
        </w:rPr>
        <w:t xml:space="preserve"> </w:t>
      </w:r>
      <w:r w:rsidRPr="00770D4D">
        <w:rPr>
          <w:rFonts w:hint="eastAsia"/>
          <w:color w:val="000000"/>
          <w:sz w:val="24"/>
          <w:lang w:val="zh-CN"/>
        </w:rPr>
        <w:t>第</w:t>
      </w:r>
      <w:r w:rsidRPr="00770D4D">
        <w:rPr>
          <w:rFonts w:hint="eastAsia"/>
          <w:color w:val="000000"/>
          <w:sz w:val="24"/>
          <w:lang w:val="zh-CN"/>
        </w:rPr>
        <w:t>2</w:t>
      </w:r>
      <w:r w:rsidRPr="00770D4D">
        <w:rPr>
          <w:rFonts w:hint="eastAsia"/>
          <w:color w:val="000000"/>
          <w:sz w:val="24"/>
          <w:lang w:val="zh-CN"/>
        </w:rPr>
        <w:t>部分：带内部电源的体外心脏起搏器安全专用要求》和</w:t>
      </w:r>
      <w:r w:rsidRPr="00770D4D">
        <w:rPr>
          <w:rFonts w:hint="eastAsia"/>
          <w:color w:val="000000"/>
          <w:sz w:val="24"/>
          <w:lang w:val="zh-CN"/>
        </w:rPr>
        <w:t>GB 9706.204-2022</w:t>
      </w:r>
      <w:r w:rsidRPr="00770D4D">
        <w:rPr>
          <w:rFonts w:hint="eastAsia"/>
          <w:color w:val="000000"/>
          <w:sz w:val="24"/>
          <w:lang w:val="zh-CN"/>
        </w:rPr>
        <w:t>《医用电气设备</w:t>
      </w:r>
      <w:r w:rsidRPr="00770D4D">
        <w:rPr>
          <w:rFonts w:hint="eastAsia"/>
          <w:color w:val="000000"/>
          <w:sz w:val="24"/>
          <w:lang w:val="zh-CN"/>
        </w:rPr>
        <w:t xml:space="preserve"> </w:t>
      </w:r>
      <w:r w:rsidRPr="00770D4D">
        <w:rPr>
          <w:rFonts w:hint="eastAsia"/>
          <w:color w:val="000000"/>
          <w:sz w:val="24"/>
          <w:lang w:val="zh-CN"/>
        </w:rPr>
        <w:t>第</w:t>
      </w:r>
      <w:r w:rsidRPr="00770D4D">
        <w:rPr>
          <w:rFonts w:hint="eastAsia"/>
          <w:color w:val="000000"/>
          <w:sz w:val="24"/>
          <w:lang w:val="zh-CN"/>
        </w:rPr>
        <w:t>2-4</w:t>
      </w:r>
      <w:r w:rsidRPr="00770D4D">
        <w:rPr>
          <w:rFonts w:hint="eastAsia"/>
          <w:color w:val="000000"/>
          <w:sz w:val="24"/>
          <w:lang w:val="zh-CN"/>
        </w:rPr>
        <w:t>部分：心脏除颤器的基本安全和基本性能专用要求》。</w:t>
      </w:r>
      <w:r w:rsidRPr="00770D4D">
        <w:rPr>
          <w:rFonts w:hint="eastAsia"/>
          <w:color w:val="000000"/>
          <w:sz w:val="24"/>
          <w:lang w:val="zh-CN"/>
        </w:rPr>
        <w:t>JJF 1149-2014</w:t>
      </w:r>
      <w:r w:rsidRPr="00770D4D">
        <w:rPr>
          <w:rFonts w:hint="eastAsia"/>
          <w:color w:val="000000"/>
          <w:sz w:val="24"/>
          <w:lang w:val="zh-CN"/>
        </w:rPr>
        <w:t>主要适用于手动心脏除颤器和自动经皮除颤器与除颤功能直接相关的计量特性的校准，但是并未对经皮起搏器分析仪的校准条件和校准方法等内容进行限定。</w:t>
      </w:r>
      <w:r w:rsidRPr="00770D4D">
        <w:rPr>
          <w:rFonts w:hint="eastAsia"/>
          <w:color w:val="000000"/>
          <w:sz w:val="24"/>
          <w:lang w:val="zh-CN"/>
        </w:rPr>
        <w:t>JJF 2150-2024</w:t>
      </w:r>
      <w:r w:rsidRPr="00770D4D">
        <w:rPr>
          <w:rFonts w:hint="eastAsia"/>
          <w:color w:val="000000"/>
          <w:sz w:val="24"/>
          <w:lang w:val="zh-CN"/>
        </w:rPr>
        <w:t>对用于校准经皮起搏的起</w:t>
      </w:r>
      <w:r w:rsidRPr="00770D4D">
        <w:rPr>
          <w:rFonts w:hint="eastAsia"/>
          <w:color w:val="000000"/>
          <w:sz w:val="24"/>
          <w:lang w:val="zh-CN"/>
        </w:rPr>
        <w:lastRenderedPageBreak/>
        <w:t>搏器分析仪的计量特性进行了规定，</w:t>
      </w:r>
      <w:r w:rsidR="001A274A" w:rsidRPr="00770D4D">
        <w:rPr>
          <w:rFonts w:hint="eastAsia"/>
          <w:color w:val="000000"/>
          <w:sz w:val="24"/>
          <w:lang w:val="zh-CN"/>
        </w:rPr>
        <w:t>但是并未对</w:t>
      </w:r>
      <w:r w:rsidR="001A274A" w:rsidRPr="001A274A">
        <w:rPr>
          <w:rFonts w:hint="eastAsia"/>
          <w:color w:val="000000"/>
          <w:sz w:val="24"/>
          <w:lang w:val="zh-CN"/>
        </w:rPr>
        <w:t>经皮起搏器分析仪</w:t>
      </w:r>
      <w:r w:rsidR="001A274A">
        <w:rPr>
          <w:rFonts w:hint="eastAsia"/>
          <w:color w:val="000000"/>
          <w:sz w:val="24"/>
          <w:lang w:val="zh-CN"/>
        </w:rPr>
        <w:t>的</w:t>
      </w:r>
      <w:r w:rsidR="001A274A" w:rsidRPr="001A274A">
        <w:rPr>
          <w:rFonts w:hint="eastAsia"/>
          <w:color w:val="000000"/>
          <w:sz w:val="24"/>
          <w:lang w:val="zh-CN"/>
        </w:rPr>
        <w:t>校准方法</w:t>
      </w:r>
      <w:r w:rsidR="001A274A" w:rsidRPr="00770D4D">
        <w:rPr>
          <w:rFonts w:hint="eastAsia"/>
          <w:color w:val="000000"/>
          <w:sz w:val="24"/>
          <w:lang w:val="zh-CN"/>
        </w:rPr>
        <w:t>进行</w:t>
      </w:r>
      <w:r w:rsidR="001A274A">
        <w:rPr>
          <w:rFonts w:hint="eastAsia"/>
          <w:color w:val="000000"/>
          <w:sz w:val="24"/>
          <w:lang w:val="zh-CN"/>
        </w:rPr>
        <w:t>研究制定。</w:t>
      </w:r>
      <w:r w:rsidRPr="00770D4D">
        <w:rPr>
          <w:rFonts w:hint="eastAsia"/>
          <w:color w:val="000000"/>
          <w:sz w:val="24"/>
          <w:lang w:val="zh-CN"/>
        </w:rPr>
        <w:t>YY 0945.2-2015</w:t>
      </w:r>
      <w:r w:rsidRPr="00770D4D">
        <w:rPr>
          <w:rFonts w:hint="eastAsia"/>
          <w:color w:val="000000"/>
          <w:sz w:val="24"/>
          <w:lang w:val="zh-CN"/>
        </w:rPr>
        <w:t>主要是对</w:t>
      </w:r>
      <w:proofErr w:type="gramStart"/>
      <w:r w:rsidRPr="00770D4D">
        <w:rPr>
          <w:rFonts w:hint="eastAsia"/>
          <w:color w:val="000000"/>
          <w:sz w:val="24"/>
          <w:lang w:val="zh-CN"/>
        </w:rPr>
        <w:t>带内部</w:t>
      </w:r>
      <w:proofErr w:type="gramEnd"/>
      <w:r w:rsidRPr="00770D4D">
        <w:rPr>
          <w:rFonts w:hint="eastAsia"/>
          <w:color w:val="000000"/>
          <w:sz w:val="24"/>
          <w:lang w:val="zh-CN"/>
        </w:rPr>
        <w:t>电源的经皮心脏起搏器提出了安全专用要求，但是并未提到经皮起搏器分析</w:t>
      </w:r>
      <w:proofErr w:type="gramStart"/>
      <w:r w:rsidRPr="00770D4D">
        <w:rPr>
          <w:rFonts w:hint="eastAsia"/>
          <w:color w:val="000000"/>
          <w:sz w:val="24"/>
          <w:lang w:val="zh-CN"/>
        </w:rPr>
        <w:t>仪相关</w:t>
      </w:r>
      <w:proofErr w:type="gramEnd"/>
      <w:r w:rsidRPr="00770D4D">
        <w:rPr>
          <w:rFonts w:hint="eastAsia"/>
          <w:color w:val="000000"/>
          <w:sz w:val="24"/>
          <w:lang w:val="zh-CN"/>
        </w:rPr>
        <w:t>内容。</w:t>
      </w:r>
      <w:r w:rsidRPr="00770D4D">
        <w:rPr>
          <w:rFonts w:hint="eastAsia"/>
          <w:color w:val="000000"/>
          <w:sz w:val="24"/>
          <w:lang w:val="zh-CN"/>
        </w:rPr>
        <w:t>GB 9706.204-2022</w:t>
      </w:r>
      <w:r w:rsidRPr="00770D4D">
        <w:rPr>
          <w:rFonts w:hint="eastAsia"/>
          <w:color w:val="000000"/>
          <w:sz w:val="24"/>
          <w:lang w:val="zh-CN"/>
        </w:rPr>
        <w:t>主要是对心脏除颤器的基本安全和性能提出的技术要求，但是并未对经皮起搏器分析仪的校准做出要求。</w:t>
      </w:r>
    </w:p>
    <w:p w:rsidR="00D95AC8" w:rsidRDefault="00D71EB4">
      <w:pPr>
        <w:spacing w:line="360" w:lineRule="auto"/>
        <w:ind w:firstLine="480"/>
        <w:rPr>
          <w:color w:val="000000"/>
          <w:sz w:val="24"/>
          <w:lang w:val="zh-CN"/>
        </w:rPr>
      </w:pPr>
      <w:r>
        <w:rPr>
          <w:rFonts w:hint="eastAsia"/>
          <w:color w:val="000000"/>
          <w:sz w:val="24"/>
          <w:lang w:val="zh-CN"/>
        </w:rPr>
        <w:t>综上所述，</w:t>
      </w:r>
      <w:r w:rsidR="00770D4D" w:rsidRPr="00770D4D">
        <w:rPr>
          <w:rFonts w:hint="eastAsia"/>
          <w:color w:val="000000"/>
          <w:sz w:val="24"/>
          <w:lang w:val="zh-CN"/>
        </w:rPr>
        <w:t>本</w:t>
      </w:r>
      <w:r w:rsidR="000E7258">
        <w:rPr>
          <w:rFonts w:hint="eastAsia"/>
          <w:color w:val="000000"/>
          <w:sz w:val="24"/>
          <w:lang w:val="zh-CN"/>
        </w:rPr>
        <w:t>标准</w:t>
      </w:r>
      <w:r w:rsidR="00770D4D" w:rsidRPr="00770D4D">
        <w:rPr>
          <w:rFonts w:hint="eastAsia"/>
          <w:color w:val="000000"/>
          <w:sz w:val="24"/>
          <w:lang w:val="zh-CN"/>
        </w:rPr>
        <w:t>的制定将为经皮起搏器分析仪的计量校准和</w:t>
      </w:r>
      <w:proofErr w:type="gramStart"/>
      <w:r w:rsidR="00770D4D" w:rsidRPr="00770D4D">
        <w:rPr>
          <w:rFonts w:hint="eastAsia"/>
          <w:color w:val="000000"/>
          <w:sz w:val="24"/>
          <w:lang w:val="zh-CN"/>
        </w:rPr>
        <w:t>质控</w:t>
      </w:r>
      <w:proofErr w:type="gramEnd"/>
      <w:r w:rsidR="00770D4D" w:rsidRPr="00770D4D">
        <w:rPr>
          <w:rFonts w:hint="eastAsia"/>
          <w:color w:val="000000"/>
          <w:sz w:val="24"/>
          <w:lang w:val="zh-CN"/>
        </w:rPr>
        <w:t>检测提供科学、高效、可行的技术</w:t>
      </w:r>
      <w:r w:rsidR="000E7258">
        <w:rPr>
          <w:rFonts w:hint="eastAsia"/>
          <w:color w:val="000000"/>
          <w:sz w:val="24"/>
          <w:lang w:val="zh-CN"/>
        </w:rPr>
        <w:t>依据</w:t>
      </w:r>
      <w:r w:rsidR="00770D4D" w:rsidRPr="00770D4D">
        <w:rPr>
          <w:rFonts w:hint="eastAsia"/>
          <w:color w:val="000000"/>
          <w:sz w:val="24"/>
          <w:lang w:val="zh-CN"/>
        </w:rPr>
        <w:t>，有利于促进经皮起搏器分析仪产品的监督管理，有利于提高经皮起搏器分析仪的使用质量，确保计量数据的准确性</w:t>
      </w:r>
      <w:r w:rsidR="009575CC">
        <w:rPr>
          <w:rFonts w:hint="eastAsia"/>
          <w:color w:val="000000"/>
          <w:sz w:val="24"/>
          <w:lang w:val="zh-CN"/>
        </w:rPr>
        <w:t>，</w:t>
      </w:r>
      <w:r w:rsidR="00770D4D" w:rsidRPr="00770D4D">
        <w:rPr>
          <w:rFonts w:hint="eastAsia"/>
          <w:color w:val="000000"/>
          <w:sz w:val="24"/>
          <w:lang w:val="zh-CN"/>
        </w:rPr>
        <w:t>从而保障我国经皮起搏器产业的发展及其量值的准确可靠，提升经皮起搏医疗质量，促进医疗器械</w:t>
      </w:r>
      <w:r w:rsidR="009F4368">
        <w:rPr>
          <w:rFonts w:hint="eastAsia"/>
          <w:color w:val="000000"/>
          <w:sz w:val="24"/>
          <w:lang w:val="zh-CN"/>
        </w:rPr>
        <w:t>产业</w:t>
      </w:r>
      <w:r w:rsidR="00770D4D" w:rsidRPr="00770D4D">
        <w:rPr>
          <w:rFonts w:hint="eastAsia"/>
          <w:color w:val="000000"/>
          <w:sz w:val="24"/>
          <w:lang w:val="zh-CN"/>
        </w:rPr>
        <w:t>高质量发展。</w:t>
      </w:r>
    </w:p>
    <w:p w:rsidR="00D95AC8" w:rsidRDefault="00CC7B78" w:rsidP="001C0706">
      <w:pPr>
        <w:spacing w:beforeLines="50" w:before="156" w:afterLines="50" w:after="156" w:line="360" w:lineRule="auto"/>
        <w:outlineLvl w:val="0"/>
        <w:rPr>
          <w:b/>
          <w:sz w:val="24"/>
        </w:rPr>
      </w:pPr>
      <w:r>
        <w:rPr>
          <w:b/>
          <w:sz w:val="24"/>
        </w:rPr>
        <w:t>三、制定过程</w:t>
      </w:r>
    </w:p>
    <w:p w:rsidR="00E50612" w:rsidRDefault="00E86775">
      <w:pPr>
        <w:spacing w:line="360" w:lineRule="auto"/>
        <w:ind w:firstLineChars="200" w:firstLine="480"/>
        <w:rPr>
          <w:rFonts w:hint="eastAsia"/>
          <w:color w:val="000000"/>
          <w:sz w:val="24"/>
        </w:rPr>
      </w:pPr>
      <w:r w:rsidRPr="00731DC1">
        <w:rPr>
          <w:rFonts w:hint="eastAsia"/>
          <w:color w:val="000000"/>
          <w:sz w:val="24"/>
        </w:rPr>
        <w:t>2024</w:t>
      </w:r>
      <w:r w:rsidRPr="00731DC1">
        <w:rPr>
          <w:rFonts w:hint="eastAsia"/>
          <w:color w:val="000000"/>
          <w:sz w:val="24"/>
        </w:rPr>
        <w:t>年</w:t>
      </w:r>
      <w:r w:rsidRPr="00731DC1">
        <w:rPr>
          <w:rFonts w:hint="eastAsia"/>
          <w:color w:val="000000"/>
          <w:sz w:val="24"/>
        </w:rPr>
        <w:t>6</w:t>
      </w:r>
      <w:r w:rsidRPr="00731DC1">
        <w:rPr>
          <w:rFonts w:hint="eastAsia"/>
          <w:color w:val="000000"/>
          <w:sz w:val="24"/>
        </w:rPr>
        <w:t>月</w:t>
      </w:r>
      <w:r>
        <w:rPr>
          <w:sz w:val="24"/>
        </w:rPr>
        <w:t>至</w:t>
      </w:r>
      <w:r w:rsidR="00A07BFB">
        <w:rPr>
          <w:color w:val="000000"/>
          <w:sz w:val="24"/>
        </w:rPr>
        <w:t>20</w:t>
      </w:r>
      <w:r w:rsidR="00A07BFB">
        <w:rPr>
          <w:rFonts w:hint="eastAsia"/>
          <w:color w:val="000000"/>
          <w:sz w:val="24"/>
        </w:rPr>
        <w:t>24</w:t>
      </w:r>
      <w:r w:rsidR="00A07BFB">
        <w:rPr>
          <w:color w:val="000000"/>
          <w:sz w:val="24"/>
        </w:rPr>
        <w:t>年</w:t>
      </w:r>
      <w:r>
        <w:rPr>
          <w:rFonts w:hint="eastAsia"/>
          <w:sz w:val="24"/>
        </w:rPr>
        <w:t>8</w:t>
      </w:r>
      <w:r>
        <w:rPr>
          <w:rFonts w:hint="eastAsia"/>
          <w:sz w:val="24"/>
        </w:rPr>
        <w:t>月，</w:t>
      </w:r>
      <w:r w:rsidR="0030496B" w:rsidRPr="0030496B">
        <w:rPr>
          <w:rFonts w:hint="eastAsia"/>
          <w:sz w:val="24"/>
        </w:rPr>
        <w:t>《</w:t>
      </w:r>
      <w:r w:rsidR="0030496B" w:rsidRPr="00731DC1">
        <w:rPr>
          <w:rFonts w:hint="eastAsia"/>
          <w:color w:val="000000"/>
          <w:sz w:val="24"/>
        </w:rPr>
        <w:t>经皮起搏器分析仪校准方法</w:t>
      </w:r>
      <w:r w:rsidR="0030496B" w:rsidRPr="0030496B">
        <w:rPr>
          <w:rFonts w:hint="eastAsia"/>
          <w:sz w:val="24"/>
        </w:rPr>
        <w:t>》团体标准制</w:t>
      </w:r>
      <w:r w:rsidR="00CA485F">
        <w:rPr>
          <w:rFonts w:hint="eastAsia"/>
          <w:sz w:val="24"/>
        </w:rPr>
        <w:t>定</w:t>
      </w:r>
      <w:r w:rsidR="0030496B" w:rsidRPr="0030496B">
        <w:rPr>
          <w:rFonts w:hint="eastAsia"/>
          <w:sz w:val="24"/>
        </w:rPr>
        <w:t>任务下达后，参加标准起草的单位成立了标准编制工作组</w:t>
      </w:r>
      <w:r w:rsidR="00E50612">
        <w:rPr>
          <w:rFonts w:hint="eastAsia"/>
          <w:color w:val="000000"/>
          <w:sz w:val="24"/>
        </w:rPr>
        <w:t>。</w:t>
      </w:r>
      <w:r w:rsidR="00CC7B78">
        <w:rPr>
          <w:color w:val="000000"/>
          <w:sz w:val="24"/>
        </w:rPr>
        <w:t>调研相关文献资料，</w:t>
      </w:r>
      <w:r w:rsidR="00E50612" w:rsidRPr="00E50612">
        <w:rPr>
          <w:rFonts w:hint="eastAsia"/>
          <w:color w:val="000000"/>
          <w:sz w:val="24"/>
        </w:rPr>
        <w:t>工作组查找了有关的现行法律、法规，检索了</w:t>
      </w:r>
      <w:r w:rsidR="00430CF6" w:rsidRPr="00E50612">
        <w:rPr>
          <w:rFonts w:hint="eastAsia"/>
          <w:color w:val="000000"/>
          <w:sz w:val="24"/>
        </w:rPr>
        <w:t>相关的</w:t>
      </w:r>
      <w:r w:rsidR="00E50612" w:rsidRPr="00E50612">
        <w:rPr>
          <w:rFonts w:hint="eastAsia"/>
          <w:color w:val="000000"/>
          <w:sz w:val="24"/>
        </w:rPr>
        <w:t>技术文献和</w:t>
      </w:r>
      <w:r w:rsidR="009F5C49">
        <w:rPr>
          <w:rFonts w:hint="eastAsia"/>
          <w:color w:val="000000"/>
          <w:sz w:val="24"/>
        </w:rPr>
        <w:t>国家标准。</w:t>
      </w:r>
    </w:p>
    <w:p w:rsidR="009F5C49" w:rsidRDefault="009F5C49" w:rsidP="009F5C49">
      <w:pPr>
        <w:spacing w:line="360" w:lineRule="auto"/>
        <w:ind w:firstLineChars="200" w:firstLine="480"/>
        <w:rPr>
          <w:color w:val="000000"/>
          <w:sz w:val="24"/>
        </w:rPr>
      </w:pPr>
      <w:r>
        <w:rPr>
          <w:color w:val="000000"/>
          <w:sz w:val="24"/>
        </w:rPr>
        <w:t>20</w:t>
      </w:r>
      <w:r>
        <w:rPr>
          <w:rFonts w:hint="eastAsia"/>
          <w:color w:val="000000"/>
          <w:sz w:val="24"/>
        </w:rPr>
        <w:t>2</w:t>
      </w:r>
      <w:r>
        <w:rPr>
          <w:rFonts w:hint="eastAsia"/>
          <w:color w:val="000000"/>
          <w:sz w:val="24"/>
        </w:rPr>
        <w:t>4</w:t>
      </w:r>
      <w:r>
        <w:rPr>
          <w:color w:val="000000"/>
          <w:sz w:val="24"/>
        </w:rPr>
        <w:t>年</w:t>
      </w:r>
      <w:r w:rsidR="00A07BFB">
        <w:rPr>
          <w:rFonts w:hint="eastAsia"/>
          <w:color w:val="000000"/>
          <w:sz w:val="24"/>
        </w:rPr>
        <w:t>9</w:t>
      </w:r>
      <w:r>
        <w:rPr>
          <w:color w:val="000000"/>
          <w:sz w:val="24"/>
        </w:rPr>
        <w:t>月至</w:t>
      </w:r>
      <w:r w:rsidR="00A07BFB">
        <w:rPr>
          <w:color w:val="000000"/>
          <w:sz w:val="24"/>
        </w:rPr>
        <w:t>20</w:t>
      </w:r>
      <w:r w:rsidR="00A07BFB">
        <w:rPr>
          <w:rFonts w:hint="eastAsia"/>
          <w:color w:val="000000"/>
          <w:sz w:val="24"/>
        </w:rPr>
        <w:t>24</w:t>
      </w:r>
      <w:r w:rsidR="00A07BFB">
        <w:rPr>
          <w:color w:val="000000"/>
          <w:sz w:val="24"/>
        </w:rPr>
        <w:t>年</w:t>
      </w:r>
      <w:r w:rsidR="00A07BFB">
        <w:rPr>
          <w:rFonts w:hint="eastAsia"/>
          <w:color w:val="000000"/>
          <w:sz w:val="24"/>
        </w:rPr>
        <w:t>1</w:t>
      </w:r>
      <w:r w:rsidR="007D43B8">
        <w:rPr>
          <w:rFonts w:hint="eastAsia"/>
          <w:color w:val="000000"/>
          <w:sz w:val="24"/>
        </w:rPr>
        <w:t>2</w:t>
      </w:r>
      <w:r>
        <w:rPr>
          <w:color w:val="000000"/>
          <w:sz w:val="24"/>
        </w:rPr>
        <w:t>月，通过文献整理，</w:t>
      </w:r>
      <w:r>
        <w:rPr>
          <w:rFonts w:hint="eastAsia"/>
          <w:color w:val="000000"/>
          <w:sz w:val="24"/>
        </w:rPr>
        <w:t>认真研究多个</w:t>
      </w:r>
      <w:r w:rsidR="00191FFC">
        <w:rPr>
          <w:rFonts w:hint="eastAsia"/>
          <w:color w:val="000000"/>
          <w:sz w:val="24"/>
        </w:rPr>
        <w:t>与</w:t>
      </w:r>
      <w:r w:rsidR="00191FFC" w:rsidRPr="00731DC1">
        <w:rPr>
          <w:rFonts w:hint="eastAsia"/>
          <w:color w:val="000000"/>
          <w:sz w:val="24"/>
        </w:rPr>
        <w:t>经皮起搏器分析仪校准</w:t>
      </w:r>
      <w:r w:rsidR="00191FFC">
        <w:rPr>
          <w:rFonts w:hint="eastAsia"/>
          <w:color w:val="000000"/>
          <w:sz w:val="24"/>
        </w:rPr>
        <w:t>相关的</w:t>
      </w:r>
      <w:r>
        <w:rPr>
          <w:rFonts w:hint="eastAsia"/>
          <w:color w:val="000000"/>
          <w:sz w:val="24"/>
        </w:rPr>
        <w:t>标准及</w:t>
      </w:r>
      <w:r w:rsidR="00191FFC">
        <w:rPr>
          <w:rFonts w:hint="eastAsia"/>
          <w:color w:val="000000"/>
          <w:sz w:val="24"/>
        </w:rPr>
        <w:t>其</w:t>
      </w:r>
      <w:r>
        <w:rPr>
          <w:rFonts w:hint="eastAsia"/>
          <w:color w:val="000000"/>
          <w:sz w:val="24"/>
        </w:rPr>
        <w:t>使用说明书等，</w:t>
      </w:r>
      <w:r>
        <w:rPr>
          <w:color w:val="000000"/>
          <w:sz w:val="24"/>
        </w:rPr>
        <w:t>初步确定校准方法</w:t>
      </w:r>
      <w:r w:rsidR="003F33DD">
        <w:rPr>
          <w:color w:val="000000"/>
          <w:sz w:val="24"/>
        </w:rPr>
        <w:t>，</w:t>
      </w:r>
      <w:r w:rsidR="003F33DD">
        <w:rPr>
          <w:color w:val="000000"/>
          <w:sz w:val="24"/>
        </w:rPr>
        <w:t>搭建测试条件</w:t>
      </w:r>
      <w:r>
        <w:rPr>
          <w:color w:val="000000"/>
          <w:sz w:val="24"/>
        </w:rPr>
        <w:t>。</w:t>
      </w:r>
    </w:p>
    <w:p w:rsidR="00D95AC8" w:rsidRDefault="007D43B8">
      <w:pPr>
        <w:spacing w:line="360" w:lineRule="auto"/>
        <w:ind w:firstLineChars="200" w:firstLine="480"/>
        <w:rPr>
          <w:rFonts w:hint="eastAsia"/>
          <w:color w:val="000000"/>
          <w:sz w:val="24"/>
        </w:rPr>
      </w:pPr>
      <w:r>
        <w:rPr>
          <w:color w:val="000000"/>
          <w:sz w:val="24"/>
        </w:rPr>
        <w:t>20</w:t>
      </w:r>
      <w:r>
        <w:rPr>
          <w:rFonts w:hint="eastAsia"/>
          <w:color w:val="000000"/>
          <w:sz w:val="24"/>
        </w:rPr>
        <w:t>25</w:t>
      </w:r>
      <w:r>
        <w:rPr>
          <w:color w:val="000000"/>
          <w:sz w:val="24"/>
        </w:rPr>
        <w:t>年</w:t>
      </w:r>
      <w:r w:rsidR="00A07BFB">
        <w:rPr>
          <w:rFonts w:hint="eastAsia"/>
          <w:color w:val="000000"/>
          <w:sz w:val="24"/>
        </w:rPr>
        <w:t>1</w:t>
      </w:r>
      <w:r w:rsidR="00CC7B78">
        <w:rPr>
          <w:color w:val="000000"/>
          <w:sz w:val="24"/>
        </w:rPr>
        <w:t>月至</w:t>
      </w:r>
      <w:r w:rsidR="00A07BFB">
        <w:rPr>
          <w:color w:val="000000"/>
          <w:sz w:val="24"/>
        </w:rPr>
        <w:t>20</w:t>
      </w:r>
      <w:r w:rsidR="00A07BFB">
        <w:rPr>
          <w:rFonts w:hint="eastAsia"/>
          <w:color w:val="000000"/>
          <w:sz w:val="24"/>
        </w:rPr>
        <w:t>2</w:t>
      </w:r>
      <w:r w:rsidR="00A07BFB">
        <w:rPr>
          <w:rFonts w:hint="eastAsia"/>
          <w:color w:val="000000"/>
          <w:sz w:val="24"/>
        </w:rPr>
        <w:t>5</w:t>
      </w:r>
      <w:r w:rsidR="00A07BFB">
        <w:rPr>
          <w:color w:val="000000"/>
          <w:sz w:val="24"/>
        </w:rPr>
        <w:t>年</w:t>
      </w:r>
      <w:r w:rsidR="00517A0F">
        <w:rPr>
          <w:rFonts w:hint="eastAsia"/>
          <w:color w:val="000000"/>
          <w:sz w:val="24"/>
        </w:rPr>
        <w:t>7</w:t>
      </w:r>
      <w:r w:rsidR="00CC7B78">
        <w:rPr>
          <w:color w:val="000000"/>
          <w:sz w:val="24"/>
        </w:rPr>
        <w:t>月，实验测量，确定</w:t>
      </w:r>
      <w:r w:rsidR="00CC7B78">
        <w:rPr>
          <w:rFonts w:hint="eastAsia"/>
          <w:color w:val="000000"/>
          <w:sz w:val="24"/>
        </w:rPr>
        <w:t>校准方法、</w:t>
      </w:r>
      <w:r w:rsidR="00CC7B78">
        <w:rPr>
          <w:color w:val="000000"/>
          <w:sz w:val="24"/>
        </w:rPr>
        <w:t>校准</w:t>
      </w:r>
      <w:r w:rsidR="00CC7B78">
        <w:rPr>
          <w:rFonts w:hint="eastAsia"/>
          <w:color w:val="000000"/>
          <w:sz w:val="24"/>
        </w:rPr>
        <w:t>条件和校准结果等。</w:t>
      </w:r>
      <w:bookmarkStart w:id="0" w:name="_GoBack"/>
      <w:bookmarkEnd w:id="0"/>
    </w:p>
    <w:p w:rsidR="00D95AC8" w:rsidRDefault="00631CE5">
      <w:pPr>
        <w:spacing w:line="360" w:lineRule="auto"/>
        <w:ind w:firstLineChars="150" w:firstLine="360"/>
        <w:rPr>
          <w:color w:val="000000"/>
          <w:sz w:val="24"/>
        </w:rPr>
      </w:pPr>
      <w:r>
        <w:rPr>
          <w:color w:val="000000"/>
          <w:sz w:val="24"/>
        </w:rPr>
        <w:t>20</w:t>
      </w:r>
      <w:r>
        <w:rPr>
          <w:rFonts w:hint="eastAsia"/>
          <w:color w:val="000000"/>
          <w:sz w:val="24"/>
        </w:rPr>
        <w:t>25</w:t>
      </w:r>
      <w:r>
        <w:rPr>
          <w:color w:val="000000"/>
          <w:sz w:val="24"/>
        </w:rPr>
        <w:t>年</w:t>
      </w:r>
      <w:r w:rsidR="00517A0F">
        <w:rPr>
          <w:rFonts w:hint="eastAsia"/>
          <w:color w:val="000000"/>
          <w:sz w:val="24"/>
        </w:rPr>
        <w:t>8</w:t>
      </w:r>
      <w:r>
        <w:rPr>
          <w:color w:val="000000"/>
          <w:sz w:val="24"/>
        </w:rPr>
        <w:t>月</w:t>
      </w:r>
      <w:r w:rsidR="00CC7B78">
        <w:rPr>
          <w:color w:val="000000"/>
          <w:sz w:val="24"/>
        </w:rPr>
        <w:t>至</w:t>
      </w:r>
      <w:r>
        <w:rPr>
          <w:color w:val="000000"/>
          <w:sz w:val="24"/>
        </w:rPr>
        <w:t>20</w:t>
      </w:r>
      <w:r>
        <w:rPr>
          <w:rFonts w:hint="eastAsia"/>
          <w:color w:val="000000"/>
          <w:sz w:val="24"/>
        </w:rPr>
        <w:t>25</w:t>
      </w:r>
      <w:r>
        <w:rPr>
          <w:color w:val="000000"/>
          <w:sz w:val="24"/>
        </w:rPr>
        <w:t>年</w:t>
      </w:r>
      <w:r>
        <w:rPr>
          <w:rFonts w:hint="eastAsia"/>
          <w:color w:val="000000"/>
          <w:sz w:val="24"/>
        </w:rPr>
        <w:t>11</w:t>
      </w:r>
      <w:r>
        <w:rPr>
          <w:color w:val="000000"/>
          <w:sz w:val="24"/>
        </w:rPr>
        <w:t>月</w:t>
      </w:r>
      <w:r w:rsidR="00CC7B78">
        <w:rPr>
          <w:color w:val="000000"/>
          <w:sz w:val="24"/>
        </w:rPr>
        <w:t>，完成校准</w:t>
      </w:r>
      <w:r w:rsidR="00CC7B78">
        <w:rPr>
          <w:rFonts w:hint="eastAsia"/>
          <w:color w:val="000000"/>
          <w:sz w:val="24"/>
        </w:rPr>
        <w:t>方法</w:t>
      </w:r>
      <w:r w:rsidR="00CC7B78">
        <w:rPr>
          <w:color w:val="000000"/>
          <w:sz w:val="24"/>
        </w:rPr>
        <w:t>征求意见稿、编制说明</w:t>
      </w:r>
      <w:r w:rsidR="00CC7B78">
        <w:rPr>
          <w:rFonts w:hint="eastAsia"/>
          <w:color w:val="000000"/>
          <w:sz w:val="24"/>
        </w:rPr>
        <w:t>和</w:t>
      </w:r>
      <w:r w:rsidR="005B58AC">
        <w:rPr>
          <w:color w:val="000000"/>
          <w:sz w:val="24"/>
        </w:rPr>
        <w:t>实验报告等编制工作，并递交到技术委员会</w:t>
      </w:r>
      <w:r w:rsidR="00CC7B78">
        <w:rPr>
          <w:color w:val="000000"/>
          <w:sz w:val="24"/>
        </w:rPr>
        <w:t>征求意见。</w:t>
      </w:r>
    </w:p>
    <w:p w:rsidR="00D95AC8" w:rsidRDefault="00CC7B78">
      <w:pPr>
        <w:spacing w:line="360" w:lineRule="auto"/>
        <w:ind w:firstLineChars="200" w:firstLine="480"/>
        <w:rPr>
          <w:color w:val="000000"/>
          <w:sz w:val="24"/>
        </w:rPr>
      </w:pPr>
      <w:r>
        <w:rPr>
          <w:color w:val="000000"/>
          <w:sz w:val="24"/>
        </w:rPr>
        <w:t>后续</w:t>
      </w:r>
      <w:r w:rsidR="00F06D17">
        <w:rPr>
          <w:color w:val="000000"/>
          <w:sz w:val="24"/>
        </w:rPr>
        <w:t>将</w:t>
      </w:r>
      <w:r w:rsidR="00F06D17">
        <w:rPr>
          <w:color w:val="000000"/>
          <w:sz w:val="24"/>
        </w:rPr>
        <w:t>汇总意见，形成送审稿。</w:t>
      </w:r>
      <w:r>
        <w:rPr>
          <w:color w:val="000000"/>
          <w:sz w:val="24"/>
        </w:rPr>
        <w:t>经</w:t>
      </w:r>
      <w:r>
        <w:rPr>
          <w:rFonts w:hint="eastAsia"/>
          <w:color w:val="000000"/>
          <w:sz w:val="24"/>
        </w:rPr>
        <w:t>中国计量协会</w:t>
      </w:r>
      <w:r>
        <w:rPr>
          <w:color w:val="000000"/>
          <w:sz w:val="24"/>
        </w:rPr>
        <w:t>秘书处择时召开</w:t>
      </w:r>
      <w:r>
        <w:rPr>
          <w:rFonts w:hint="eastAsia"/>
          <w:color w:val="000000"/>
          <w:sz w:val="24"/>
        </w:rPr>
        <w:t>团体标准</w:t>
      </w:r>
      <w:r>
        <w:rPr>
          <w:color w:val="000000"/>
          <w:sz w:val="24"/>
        </w:rPr>
        <w:t>审定会审议，并综合审定意见形成报批稿。</w:t>
      </w:r>
    </w:p>
    <w:p w:rsidR="00D95AC8" w:rsidRDefault="00CC7B78" w:rsidP="001C0706">
      <w:pPr>
        <w:spacing w:beforeLines="50" w:before="156" w:afterLines="50" w:after="156" w:line="360" w:lineRule="auto"/>
        <w:outlineLvl w:val="0"/>
        <w:rPr>
          <w:b/>
          <w:sz w:val="24"/>
        </w:rPr>
      </w:pPr>
      <w:r>
        <w:rPr>
          <w:b/>
          <w:sz w:val="24"/>
        </w:rPr>
        <w:t>四、</w:t>
      </w:r>
      <w:r>
        <w:rPr>
          <w:rFonts w:hint="eastAsia"/>
          <w:b/>
          <w:sz w:val="24"/>
        </w:rPr>
        <w:t>校准方法</w:t>
      </w:r>
      <w:r>
        <w:rPr>
          <w:b/>
          <w:sz w:val="24"/>
        </w:rPr>
        <w:t>的主要技术依据</w:t>
      </w:r>
    </w:p>
    <w:p w:rsidR="00D95AC8" w:rsidRDefault="00CC7B78" w:rsidP="00E7778C">
      <w:pPr>
        <w:spacing w:line="360" w:lineRule="auto"/>
        <w:ind w:firstLineChars="200" w:firstLine="480"/>
        <w:rPr>
          <w:rFonts w:hint="eastAsia"/>
          <w:color w:val="000000"/>
          <w:sz w:val="24"/>
        </w:rPr>
      </w:pPr>
      <w:r>
        <w:rPr>
          <w:color w:val="000000"/>
          <w:sz w:val="24"/>
        </w:rPr>
        <w:t>《</w:t>
      </w:r>
      <w:r w:rsidR="00773BFD" w:rsidRPr="00E7778C">
        <w:rPr>
          <w:rFonts w:hint="eastAsia"/>
          <w:color w:val="000000"/>
          <w:sz w:val="24"/>
        </w:rPr>
        <w:t>经皮起搏器分析仪校准方法</w:t>
      </w:r>
      <w:r>
        <w:rPr>
          <w:color w:val="000000"/>
          <w:sz w:val="24"/>
        </w:rPr>
        <w:t>》</w:t>
      </w:r>
      <w:r>
        <w:rPr>
          <w:rFonts w:hint="eastAsia"/>
          <w:color w:val="000000"/>
          <w:sz w:val="24"/>
        </w:rPr>
        <w:t>团体标准</w:t>
      </w:r>
      <w:r>
        <w:rPr>
          <w:color w:val="000000"/>
          <w:sz w:val="24"/>
        </w:rPr>
        <w:t>编制的主要参考资料和依据如下：</w:t>
      </w:r>
    </w:p>
    <w:p w:rsidR="00E7778C" w:rsidRPr="00E7778C" w:rsidRDefault="00E7778C" w:rsidP="00E7778C">
      <w:pPr>
        <w:spacing w:line="360" w:lineRule="auto"/>
        <w:ind w:firstLineChars="200" w:firstLine="480"/>
        <w:rPr>
          <w:rFonts w:hint="eastAsia"/>
          <w:color w:val="000000"/>
          <w:sz w:val="24"/>
        </w:rPr>
      </w:pPr>
      <w:bookmarkStart w:id="1" w:name="_Toc8632"/>
      <w:bookmarkStart w:id="2" w:name="_Toc6468"/>
      <w:r w:rsidRPr="00E7778C">
        <w:rPr>
          <w:rFonts w:hint="eastAsia"/>
          <w:color w:val="000000"/>
          <w:sz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E7778C" w:rsidRPr="00E7778C" w:rsidRDefault="00E7778C" w:rsidP="00E7778C">
      <w:pPr>
        <w:spacing w:line="360" w:lineRule="auto"/>
        <w:ind w:firstLineChars="200" w:firstLine="480"/>
        <w:rPr>
          <w:color w:val="000000"/>
          <w:sz w:val="24"/>
        </w:rPr>
      </w:pPr>
      <w:r w:rsidRPr="00E7778C">
        <w:rPr>
          <w:rFonts w:hint="eastAsia"/>
          <w:color w:val="000000"/>
          <w:sz w:val="24"/>
        </w:rPr>
        <w:t xml:space="preserve">JJF 1001-2011 </w:t>
      </w:r>
      <w:r w:rsidRPr="00E7778C">
        <w:rPr>
          <w:rFonts w:hint="eastAsia"/>
          <w:color w:val="000000"/>
          <w:sz w:val="24"/>
        </w:rPr>
        <w:t>《通用计量术语及定义》</w:t>
      </w:r>
      <w:bookmarkEnd w:id="1"/>
      <w:bookmarkEnd w:id="2"/>
    </w:p>
    <w:p w:rsidR="00E7778C" w:rsidRPr="00E7778C" w:rsidRDefault="00E7778C" w:rsidP="00E7778C">
      <w:pPr>
        <w:spacing w:line="360" w:lineRule="auto"/>
        <w:ind w:firstLineChars="200" w:firstLine="480"/>
        <w:rPr>
          <w:color w:val="000000"/>
          <w:sz w:val="24"/>
        </w:rPr>
      </w:pPr>
      <w:r w:rsidRPr="00E7778C">
        <w:rPr>
          <w:rFonts w:hint="eastAsia"/>
          <w:color w:val="000000"/>
          <w:sz w:val="24"/>
        </w:rPr>
        <w:lastRenderedPageBreak/>
        <w:t xml:space="preserve">JJF 1059.1-2012 </w:t>
      </w:r>
      <w:r w:rsidRPr="00E7778C">
        <w:rPr>
          <w:rFonts w:hint="eastAsia"/>
          <w:color w:val="000000"/>
          <w:sz w:val="24"/>
        </w:rPr>
        <w:t>《测量不确定度评定与表示》</w:t>
      </w:r>
    </w:p>
    <w:p w:rsidR="00E7778C" w:rsidRPr="00E7778C" w:rsidRDefault="00E7778C" w:rsidP="00E7778C">
      <w:pPr>
        <w:spacing w:line="360" w:lineRule="auto"/>
        <w:ind w:firstLineChars="200" w:firstLine="480"/>
        <w:rPr>
          <w:rFonts w:hint="eastAsia"/>
          <w:color w:val="000000"/>
          <w:sz w:val="24"/>
        </w:rPr>
      </w:pPr>
      <w:r w:rsidRPr="00E7778C">
        <w:rPr>
          <w:rFonts w:hint="eastAsia"/>
          <w:color w:val="000000"/>
          <w:sz w:val="24"/>
        </w:rPr>
        <w:t>JJF 1149-2014</w:t>
      </w:r>
      <w:r w:rsidRPr="00E7778C">
        <w:rPr>
          <w:rFonts w:hint="eastAsia"/>
          <w:color w:val="000000"/>
          <w:sz w:val="24"/>
        </w:rPr>
        <w:t>《心脏除颤器校准规范》</w:t>
      </w:r>
    </w:p>
    <w:p w:rsidR="00E7778C" w:rsidRPr="00E7778C" w:rsidRDefault="00E7778C" w:rsidP="00E7778C">
      <w:pPr>
        <w:spacing w:line="360" w:lineRule="auto"/>
        <w:ind w:firstLineChars="200" w:firstLine="480"/>
        <w:rPr>
          <w:rFonts w:hint="eastAsia"/>
          <w:color w:val="000000"/>
          <w:sz w:val="24"/>
        </w:rPr>
      </w:pPr>
      <w:r w:rsidRPr="00E7778C">
        <w:rPr>
          <w:rFonts w:hint="eastAsia"/>
          <w:color w:val="000000"/>
          <w:sz w:val="24"/>
        </w:rPr>
        <w:t xml:space="preserve">JJF 2150-2024 </w:t>
      </w:r>
      <w:r w:rsidRPr="00E7778C">
        <w:rPr>
          <w:rFonts w:hint="eastAsia"/>
          <w:color w:val="000000"/>
          <w:sz w:val="24"/>
        </w:rPr>
        <w:t>《体外起搏器校准规范》</w:t>
      </w:r>
    </w:p>
    <w:p w:rsidR="00E7778C" w:rsidRDefault="00E7778C" w:rsidP="008362F5">
      <w:pPr>
        <w:spacing w:line="360" w:lineRule="auto"/>
        <w:ind w:firstLineChars="200" w:firstLine="480"/>
        <w:rPr>
          <w:color w:val="000000"/>
          <w:sz w:val="24"/>
        </w:rPr>
      </w:pPr>
      <w:r w:rsidRPr="00E7778C">
        <w:rPr>
          <w:rFonts w:hint="eastAsia"/>
          <w:color w:val="000000"/>
          <w:sz w:val="24"/>
        </w:rPr>
        <w:t xml:space="preserve">GB 9706.204-2022 </w:t>
      </w:r>
      <w:r w:rsidRPr="00E7778C">
        <w:rPr>
          <w:rFonts w:hint="eastAsia"/>
          <w:color w:val="000000"/>
          <w:sz w:val="24"/>
        </w:rPr>
        <w:t>《医用电气设备</w:t>
      </w:r>
      <w:r w:rsidRPr="00E7778C">
        <w:rPr>
          <w:rFonts w:hint="eastAsia"/>
          <w:color w:val="000000"/>
          <w:sz w:val="24"/>
        </w:rPr>
        <w:t xml:space="preserve"> </w:t>
      </w:r>
      <w:r w:rsidRPr="00E7778C">
        <w:rPr>
          <w:rFonts w:hint="eastAsia"/>
          <w:color w:val="000000"/>
          <w:sz w:val="24"/>
        </w:rPr>
        <w:t>第</w:t>
      </w:r>
      <w:r w:rsidRPr="00E7778C">
        <w:rPr>
          <w:rFonts w:hint="eastAsia"/>
          <w:color w:val="000000"/>
          <w:sz w:val="24"/>
        </w:rPr>
        <w:t>2-4</w:t>
      </w:r>
      <w:r w:rsidRPr="00E7778C">
        <w:rPr>
          <w:rFonts w:hint="eastAsia"/>
          <w:color w:val="000000"/>
          <w:sz w:val="24"/>
        </w:rPr>
        <w:t>部分：心脏除颤器的基本安全和基本性能专用要求》</w:t>
      </w:r>
    </w:p>
    <w:p w:rsidR="00D95AC8" w:rsidRDefault="00CC7B78" w:rsidP="001C0706">
      <w:pPr>
        <w:spacing w:beforeLines="50" w:before="156" w:afterLines="50" w:after="156" w:line="360" w:lineRule="auto"/>
        <w:outlineLvl w:val="0"/>
        <w:rPr>
          <w:b/>
          <w:sz w:val="24"/>
        </w:rPr>
      </w:pPr>
      <w:r>
        <w:rPr>
          <w:b/>
          <w:sz w:val="24"/>
        </w:rPr>
        <w:t>五、</w:t>
      </w:r>
      <w:r>
        <w:rPr>
          <w:rFonts w:hint="eastAsia"/>
          <w:b/>
          <w:sz w:val="24"/>
        </w:rPr>
        <w:t>团体标准</w:t>
      </w:r>
      <w:r>
        <w:rPr>
          <w:b/>
          <w:sz w:val="24"/>
        </w:rPr>
        <w:t>的主要内容及主要技术关键</w:t>
      </w:r>
    </w:p>
    <w:p w:rsidR="00631FDA" w:rsidRPr="00631FDA" w:rsidRDefault="00631FDA" w:rsidP="00631FDA">
      <w:pPr>
        <w:spacing w:line="360" w:lineRule="auto"/>
        <w:ind w:firstLineChars="200" w:firstLine="480"/>
        <w:rPr>
          <w:rFonts w:hint="eastAsia"/>
          <w:sz w:val="24"/>
        </w:rPr>
      </w:pPr>
      <w:r w:rsidRPr="00770D4D">
        <w:rPr>
          <w:rFonts w:hint="eastAsia"/>
          <w:color w:val="000000"/>
          <w:sz w:val="24"/>
          <w:lang w:val="zh-CN"/>
        </w:rPr>
        <w:t>本</w:t>
      </w:r>
      <w:r>
        <w:rPr>
          <w:rFonts w:hint="eastAsia"/>
          <w:color w:val="000000"/>
          <w:sz w:val="24"/>
          <w:lang w:val="zh-CN"/>
        </w:rPr>
        <w:t>标准</w:t>
      </w:r>
      <w:r w:rsidRPr="00631FDA">
        <w:rPr>
          <w:rFonts w:hint="eastAsia"/>
          <w:sz w:val="24"/>
        </w:rPr>
        <w:t>的主要内容旨在制定经皮起搏器分析</w:t>
      </w:r>
      <w:proofErr w:type="gramStart"/>
      <w:r w:rsidRPr="00631FDA">
        <w:rPr>
          <w:rFonts w:hint="eastAsia"/>
          <w:sz w:val="24"/>
        </w:rPr>
        <w:t>仪关键</w:t>
      </w:r>
      <w:proofErr w:type="gramEnd"/>
      <w:r w:rsidRPr="00631FDA">
        <w:rPr>
          <w:rFonts w:hint="eastAsia"/>
          <w:sz w:val="24"/>
        </w:rPr>
        <w:t>参数的校准方法，参考国内外相关技术标准，下列几项参数的校准是必要的：</w:t>
      </w:r>
    </w:p>
    <w:p w:rsidR="00631FDA" w:rsidRPr="00631FDA" w:rsidRDefault="00631FDA" w:rsidP="00631FDA">
      <w:pPr>
        <w:spacing w:line="360" w:lineRule="auto"/>
        <w:ind w:firstLineChars="200" w:firstLine="480"/>
        <w:rPr>
          <w:rFonts w:hint="eastAsia"/>
          <w:sz w:val="24"/>
        </w:rPr>
      </w:pPr>
      <w:r w:rsidRPr="00631FDA">
        <w:rPr>
          <w:rFonts w:hint="eastAsia"/>
          <w:sz w:val="24"/>
        </w:rPr>
        <w:t xml:space="preserve">1. </w:t>
      </w:r>
      <w:r w:rsidRPr="00631FDA">
        <w:rPr>
          <w:rFonts w:hint="eastAsia"/>
          <w:sz w:val="24"/>
        </w:rPr>
        <w:t>电流幅度</w:t>
      </w:r>
    </w:p>
    <w:p w:rsidR="00631FDA" w:rsidRPr="00631FDA" w:rsidRDefault="00631FDA" w:rsidP="00631FDA">
      <w:pPr>
        <w:spacing w:line="360" w:lineRule="auto"/>
        <w:ind w:firstLineChars="200" w:firstLine="480"/>
        <w:rPr>
          <w:rFonts w:hint="eastAsia"/>
          <w:sz w:val="24"/>
        </w:rPr>
      </w:pPr>
      <w:r w:rsidRPr="00631FDA">
        <w:rPr>
          <w:rFonts w:hint="eastAsia"/>
          <w:sz w:val="24"/>
        </w:rPr>
        <w:t>测量范围：（</w:t>
      </w:r>
      <w:r w:rsidRPr="00631FDA">
        <w:rPr>
          <w:rFonts w:hint="eastAsia"/>
          <w:sz w:val="24"/>
        </w:rPr>
        <w:t>4~200</w:t>
      </w:r>
      <w:r w:rsidRPr="00631FDA">
        <w:rPr>
          <w:rFonts w:hint="eastAsia"/>
          <w:sz w:val="24"/>
        </w:rPr>
        <w:t>）</w:t>
      </w:r>
      <w:r w:rsidRPr="00631FDA">
        <w:rPr>
          <w:rFonts w:hint="eastAsia"/>
          <w:sz w:val="24"/>
        </w:rPr>
        <w:t>mA</w:t>
      </w:r>
      <w:r w:rsidRPr="00631FDA">
        <w:rPr>
          <w:rFonts w:hint="eastAsia"/>
          <w:sz w:val="24"/>
        </w:rPr>
        <w:t>；最大允许误差：±</w:t>
      </w:r>
      <w:r w:rsidRPr="00631FDA">
        <w:rPr>
          <w:rFonts w:hint="eastAsia"/>
          <w:sz w:val="24"/>
        </w:rPr>
        <w:t>2%</w:t>
      </w:r>
      <w:r w:rsidRPr="00631FDA">
        <w:rPr>
          <w:rFonts w:hint="eastAsia"/>
          <w:sz w:val="24"/>
        </w:rPr>
        <w:t>或±</w:t>
      </w:r>
      <w:r w:rsidRPr="00631FDA">
        <w:rPr>
          <w:rFonts w:hint="eastAsia"/>
          <w:sz w:val="24"/>
        </w:rPr>
        <w:t>2 mA</w:t>
      </w:r>
      <w:r w:rsidRPr="00631FDA">
        <w:rPr>
          <w:rFonts w:hint="eastAsia"/>
          <w:sz w:val="24"/>
        </w:rPr>
        <w:t>（二者取</w:t>
      </w:r>
      <w:r w:rsidR="00286283" w:rsidRPr="00286283">
        <w:rPr>
          <w:rFonts w:hint="eastAsia"/>
          <w:sz w:val="24"/>
        </w:rPr>
        <w:t>绝对值</w:t>
      </w:r>
      <w:r w:rsidRPr="00631FDA">
        <w:rPr>
          <w:rFonts w:hint="eastAsia"/>
          <w:sz w:val="24"/>
        </w:rPr>
        <w:t xml:space="preserve">较大值）。　</w:t>
      </w:r>
    </w:p>
    <w:p w:rsidR="00631FDA" w:rsidRPr="00631FDA" w:rsidRDefault="00631FDA" w:rsidP="00631FDA">
      <w:pPr>
        <w:spacing w:line="360" w:lineRule="auto"/>
        <w:ind w:firstLineChars="200" w:firstLine="480"/>
        <w:rPr>
          <w:rFonts w:hint="eastAsia"/>
          <w:sz w:val="24"/>
        </w:rPr>
      </w:pPr>
      <w:r w:rsidRPr="00631FDA">
        <w:rPr>
          <w:rFonts w:hint="eastAsia"/>
          <w:sz w:val="24"/>
        </w:rPr>
        <w:t xml:space="preserve">2. </w:t>
      </w:r>
      <w:r w:rsidRPr="00631FDA">
        <w:rPr>
          <w:rFonts w:hint="eastAsia"/>
          <w:sz w:val="24"/>
        </w:rPr>
        <w:t>脉冲频率</w:t>
      </w:r>
    </w:p>
    <w:p w:rsidR="00631FDA" w:rsidRPr="00631FDA" w:rsidRDefault="00631FDA" w:rsidP="00631FDA">
      <w:pPr>
        <w:spacing w:line="360" w:lineRule="auto"/>
        <w:ind w:firstLineChars="200" w:firstLine="480"/>
        <w:rPr>
          <w:rFonts w:hint="eastAsia"/>
          <w:sz w:val="24"/>
        </w:rPr>
      </w:pPr>
      <w:r w:rsidRPr="00631FDA">
        <w:rPr>
          <w:rFonts w:hint="eastAsia"/>
          <w:sz w:val="24"/>
        </w:rPr>
        <w:t>测量范围：（</w:t>
      </w:r>
      <w:r w:rsidRPr="00631FDA">
        <w:rPr>
          <w:rFonts w:hint="eastAsia"/>
          <w:sz w:val="24"/>
        </w:rPr>
        <w:t>30~300</w:t>
      </w:r>
      <w:r w:rsidRPr="00631FDA">
        <w:rPr>
          <w:rFonts w:hint="eastAsia"/>
          <w:sz w:val="24"/>
        </w:rPr>
        <w:t>）次</w:t>
      </w:r>
      <w:r w:rsidRPr="00631FDA">
        <w:rPr>
          <w:rFonts w:hint="eastAsia"/>
          <w:sz w:val="24"/>
        </w:rPr>
        <w:t>/</w:t>
      </w:r>
      <w:r w:rsidRPr="00631FDA">
        <w:rPr>
          <w:rFonts w:hint="eastAsia"/>
          <w:sz w:val="24"/>
        </w:rPr>
        <w:t>分；最大允许误差：±</w:t>
      </w:r>
      <w:r w:rsidRPr="00631FDA">
        <w:rPr>
          <w:rFonts w:hint="eastAsia"/>
          <w:sz w:val="24"/>
        </w:rPr>
        <w:t>1%</w:t>
      </w:r>
      <w:r w:rsidRPr="00631FDA">
        <w:rPr>
          <w:rFonts w:hint="eastAsia"/>
          <w:sz w:val="24"/>
        </w:rPr>
        <w:t>或±</w:t>
      </w:r>
      <w:r w:rsidRPr="00631FDA">
        <w:rPr>
          <w:rFonts w:hint="eastAsia"/>
          <w:sz w:val="24"/>
        </w:rPr>
        <w:t>1</w:t>
      </w:r>
      <w:r w:rsidRPr="00631FDA">
        <w:rPr>
          <w:rFonts w:hint="eastAsia"/>
          <w:sz w:val="24"/>
        </w:rPr>
        <w:t>次</w:t>
      </w:r>
      <w:r w:rsidRPr="00631FDA">
        <w:rPr>
          <w:rFonts w:hint="eastAsia"/>
          <w:sz w:val="24"/>
        </w:rPr>
        <w:t>/</w:t>
      </w:r>
      <w:r w:rsidRPr="00631FDA">
        <w:rPr>
          <w:rFonts w:hint="eastAsia"/>
          <w:sz w:val="24"/>
        </w:rPr>
        <w:t>分（二者取</w:t>
      </w:r>
      <w:r w:rsidR="00286283" w:rsidRPr="00286283">
        <w:rPr>
          <w:rFonts w:hint="eastAsia"/>
          <w:sz w:val="24"/>
        </w:rPr>
        <w:t>绝对值</w:t>
      </w:r>
      <w:r w:rsidRPr="00631FDA">
        <w:rPr>
          <w:rFonts w:hint="eastAsia"/>
          <w:sz w:val="24"/>
        </w:rPr>
        <w:t>较大值）。</w:t>
      </w:r>
    </w:p>
    <w:p w:rsidR="00631FDA" w:rsidRPr="00631FDA" w:rsidRDefault="00631FDA" w:rsidP="00631FDA">
      <w:pPr>
        <w:spacing w:line="360" w:lineRule="auto"/>
        <w:ind w:firstLineChars="200" w:firstLine="480"/>
        <w:rPr>
          <w:rFonts w:hint="eastAsia"/>
          <w:sz w:val="24"/>
        </w:rPr>
      </w:pPr>
      <w:r w:rsidRPr="00631FDA">
        <w:rPr>
          <w:rFonts w:hint="eastAsia"/>
          <w:sz w:val="24"/>
        </w:rPr>
        <w:t xml:space="preserve">3. </w:t>
      </w:r>
      <w:r w:rsidRPr="00631FDA">
        <w:rPr>
          <w:rFonts w:hint="eastAsia"/>
          <w:sz w:val="24"/>
        </w:rPr>
        <w:t>脉冲宽度</w:t>
      </w:r>
    </w:p>
    <w:p w:rsidR="00631FDA" w:rsidRPr="00631FDA" w:rsidRDefault="00631FDA" w:rsidP="00631FDA">
      <w:pPr>
        <w:spacing w:line="360" w:lineRule="auto"/>
        <w:ind w:firstLineChars="200" w:firstLine="480"/>
        <w:rPr>
          <w:rFonts w:hint="eastAsia"/>
          <w:sz w:val="24"/>
        </w:rPr>
      </w:pPr>
      <w:r w:rsidRPr="00631FDA">
        <w:rPr>
          <w:rFonts w:hint="eastAsia"/>
          <w:sz w:val="24"/>
        </w:rPr>
        <w:t>测量范围：（</w:t>
      </w:r>
      <w:r w:rsidRPr="00631FDA">
        <w:rPr>
          <w:rFonts w:hint="eastAsia"/>
          <w:sz w:val="24"/>
        </w:rPr>
        <w:t>10~80</w:t>
      </w:r>
      <w:r w:rsidRPr="00631FDA">
        <w:rPr>
          <w:rFonts w:hint="eastAsia"/>
          <w:sz w:val="24"/>
        </w:rPr>
        <w:t>）</w:t>
      </w:r>
      <w:proofErr w:type="spellStart"/>
      <w:r w:rsidRPr="00631FDA">
        <w:rPr>
          <w:rFonts w:hint="eastAsia"/>
          <w:sz w:val="24"/>
        </w:rPr>
        <w:t>ms</w:t>
      </w:r>
      <w:proofErr w:type="spellEnd"/>
      <w:r w:rsidRPr="00631FDA">
        <w:rPr>
          <w:rFonts w:hint="eastAsia"/>
          <w:sz w:val="24"/>
        </w:rPr>
        <w:t>；最大允许误差：±</w:t>
      </w:r>
      <w:r w:rsidRPr="00631FDA">
        <w:rPr>
          <w:rFonts w:hint="eastAsia"/>
          <w:sz w:val="24"/>
        </w:rPr>
        <w:t>2%</w:t>
      </w:r>
      <w:r w:rsidRPr="00631FDA">
        <w:rPr>
          <w:rFonts w:hint="eastAsia"/>
          <w:sz w:val="24"/>
        </w:rPr>
        <w:t>或±</w:t>
      </w:r>
      <w:r w:rsidRPr="00631FDA">
        <w:rPr>
          <w:rFonts w:hint="eastAsia"/>
          <w:sz w:val="24"/>
        </w:rPr>
        <w:t xml:space="preserve">0.5 </w:t>
      </w:r>
      <w:proofErr w:type="spellStart"/>
      <w:r w:rsidRPr="00631FDA">
        <w:rPr>
          <w:rFonts w:hint="eastAsia"/>
          <w:sz w:val="24"/>
        </w:rPr>
        <w:t>ms</w:t>
      </w:r>
      <w:proofErr w:type="spellEnd"/>
      <w:r w:rsidRPr="00631FDA">
        <w:rPr>
          <w:rFonts w:hint="eastAsia"/>
          <w:sz w:val="24"/>
        </w:rPr>
        <w:t>（二者取</w:t>
      </w:r>
      <w:r w:rsidR="00286283" w:rsidRPr="00286283">
        <w:rPr>
          <w:rFonts w:hint="eastAsia"/>
          <w:sz w:val="24"/>
        </w:rPr>
        <w:t>绝对值</w:t>
      </w:r>
      <w:r w:rsidRPr="00631FDA">
        <w:rPr>
          <w:rFonts w:hint="eastAsia"/>
          <w:sz w:val="24"/>
        </w:rPr>
        <w:t>较大值）。</w:t>
      </w:r>
    </w:p>
    <w:p w:rsidR="00631FDA" w:rsidRPr="00631FDA" w:rsidRDefault="00631FDA" w:rsidP="00631FDA">
      <w:pPr>
        <w:spacing w:line="360" w:lineRule="auto"/>
        <w:ind w:firstLineChars="200" w:firstLine="480"/>
        <w:rPr>
          <w:rFonts w:hint="eastAsia"/>
          <w:sz w:val="24"/>
        </w:rPr>
      </w:pPr>
      <w:r w:rsidRPr="00631FDA">
        <w:rPr>
          <w:rFonts w:hint="eastAsia"/>
          <w:sz w:val="24"/>
        </w:rPr>
        <w:t>根据</w:t>
      </w:r>
      <w:r w:rsidRPr="00631FDA">
        <w:rPr>
          <w:rFonts w:hint="eastAsia"/>
          <w:sz w:val="24"/>
        </w:rPr>
        <w:t>JJF 1149-2014</w:t>
      </w:r>
      <w:r w:rsidRPr="00631FDA">
        <w:rPr>
          <w:rFonts w:hint="eastAsia"/>
          <w:sz w:val="24"/>
        </w:rPr>
        <w:t>《心脏除颤器校准规范》在</w:t>
      </w:r>
      <w:r w:rsidRPr="00631FDA">
        <w:rPr>
          <w:rFonts w:hint="eastAsia"/>
          <w:sz w:val="24"/>
        </w:rPr>
        <w:t>6.2</w:t>
      </w:r>
      <w:r w:rsidRPr="00631FDA">
        <w:rPr>
          <w:rFonts w:hint="eastAsia"/>
          <w:sz w:val="24"/>
        </w:rPr>
        <w:t>节中对经皮起搏电流幅度、脉冲频率及脉冲宽度进行测量的校准条件要求，经皮起搏电流幅度测量范围：（</w:t>
      </w:r>
      <w:r w:rsidRPr="00631FDA">
        <w:rPr>
          <w:rFonts w:hint="eastAsia"/>
          <w:sz w:val="24"/>
        </w:rPr>
        <w:t>2~200</w:t>
      </w:r>
      <w:r w:rsidRPr="00631FDA">
        <w:rPr>
          <w:rFonts w:hint="eastAsia"/>
          <w:sz w:val="24"/>
        </w:rPr>
        <w:t>）</w:t>
      </w:r>
      <w:r w:rsidRPr="00631FDA">
        <w:rPr>
          <w:rFonts w:hint="eastAsia"/>
          <w:sz w:val="24"/>
        </w:rPr>
        <w:t>mA</w:t>
      </w:r>
      <w:r w:rsidRPr="00631FDA">
        <w:rPr>
          <w:rFonts w:hint="eastAsia"/>
          <w:sz w:val="24"/>
        </w:rPr>
        <w:t>；最大允许误差：测量值的±</w:t>
      </w:r>
      <w:r w:rsidRPr="00631FDA">
        <w:rPr>
          <w:rFonts w:hint="eastAsia"/>
          <w:sz w:val="24"/>
        </w:rPr>
        <w:t>2%</w:t>
      </w:r>
      <w:r w:rsidRPr="00631FDA">
        <w:rPr>
          <w:rFonts w:hint="eastAsia"/>
          <w:sz w:val="24"/>
        </w:rPr>
        <w:t>或±</w:t>
      </w:r>
      <w:r w:rsidRPr="00631FDA">
        <w:rPr>
          <w:rFonts w:hint="eastAsia"/>
          <w:sz w:val="24"/>
        </w:rPr>
        <w:t>2 mA</w:t>
      </w:r>
      <w:r w:rsidRPr="00631FDA">
        <w:rPr>
          <w:rFonts w:hint="eastAsia"/>
          <w:sz w:val="24"/>
        </w:rPr>
        <w:t>（二者取较大值）。又根据</w:t>
      </w:r>
      <w:r w:rsidRPr="00631FDA">
        <w:rPr>
          <w:rFonts w:hint="eastAsia"/>
          <w:sz w:val="24"/>
        </w:rPr>
        <w:t>JJF 2150-2024</w:t>
      </w:r>
      <w:r w:rsidRPr="00631FDA">
        <w:rPr>
          <w:rFonts w:hint="eastAsia"/>
          <w:sz w:val="24"/>
        </w:rPr>
        <w:t>《体外起搏器校准规范》在</w:t>
      </w:r>
      <w:r w:rsidRPr="00631FDA">
        <w:rPr>
          <w:rFonts w:hint="eastAsia"/>
          <w:sz w:val="24"/>
        </w:rPr>
        <w:t>6.2.2</w:t>
      </w:r>
      <w:r w:rsidRPr="00631FDA">
        <w:rPr>
          <w:rFonts w:hint="eastAsia"/>
          <w:sz w:val="24"/>
        </w:rPr>
        <w:t>节中对用于校准经皮起搏的起搏器分析仪的脉冲电流幅度要求：测量范围应覆盖（</w:t>
      </w:r>
      <w:r w:rsidRPr="00631FDA">
        <w:rPr>
          <w:rFonts w:hint="eastAsia"/>
          <w:sz w:val="24"/>
        </w:rPr>
        <w:t>2~200</w:t>
      </w:r>
      <w:r w:rsidRPr="00631FDA">
        <w:rPr>
          <w:rFonts w:hint="eastAsia"/>
          <w:sz w:val="24"/>
        </w:rPr>
        <w:t>）</w:t>
      </w:r>
      <w:r w:rsidRPr="00631FDA">
        <w:rPr>
          <w:rFonts w:hint="eastAsia"/>
          <w:sz w:val="24"/>
        </w:rPr>
        <w:t>mA</w:t>
      </w:r>
      <w:r w:rsidRPr="00631FDA">
        <w:rPr>
          <w:rFonts w:hint="eastAsia"/>
          <w:sz w:val="24"/>
        </w:rPr>
        <w:t>；最大允许误差：±</w:t>
      </w:r>
      <w:r w:rsidRPr="00631FDA">
        <w:rPr>
          <w:rFonts w:hint="eastAsia"/>
          <w:sz w:val="24"/>
        </w:rPr>
        <w:t>2%</w:t>
      </w:r>
      <w:r w:rsidRPr="00631FDA">
        <w:rPr>
          <w:rFonts w:hint="eastAsia"/>
          <w:sz w:val="24"/>
        </w:rPr>
        <w:t>或±</w:t>
      </w:r>
      <w:r w:rsidRPr="00631FDA">
        <w:rPr>
          <w:rFonts w:hint="eastAsia"/>
          <w:sz w:val="24"/>
        </w:rPr>
        <w:t>2 mA</w:t>
      </w:r>
      <w:r w:rsidRPr="00631FDA">
        <w:rPr>
          <w:rFonts w:hint="eastAsia"/>
          <w:sz w:val="24"/>
        </w:rPr>
        <w:t>（二者取较大值）。通过调研市面上常见的经皮起搏器分析仪的经皮起搏电流幅度测量范围，结合测量实验，发现常见的经皮起搏器分析仪的经皮起搏电流幅度通常不能小于</w:t>
      </w:r>
      <w:r w:rsidRPr="00631FDA">
        <w:rPr>
          <w:rFonts w:hint="eastAsia"/>
          <w:sz w:val="24"/>
        </w:rPr>
        <w:t>4mA</w:t>
      </w:r>
      <w:r w:rsidRPr="00631FDA">
        <w:rPr>
          <w:rFonts w:hint="eastAsia"/>
          <w:sz w:val="24"/>
        </w:rPr>
        <w:t>，而在校准经皮起搏的实际工作中也极少用到小于</w:t>
      </w:r>
      <w:r w:rsidRPr="00631FDA">
        <w:rPr>
          <w:rFonts w:hint="eastAsia"/>
          <w:sz w:val="24"/>
        </w:rPr>
        <w:t>4mA</w:t>
      </w:r>
      <w:r w:rsidRPr="00631FDA">
        <w:rPr>
          <w:rFonts w:hint="eastAsia"/>
          <w:sz w:val="24"/>
        </w:rPr>
        <w:t>的经皮起搏电流幅度，考虑到未来实际校准的必要性与可行性，因此推荐经皮起搏器分析仪电流幅度测量范围：（</w:t>
      </w:r>
      <w:r w:rsidRPr="00631FDA">
        <w:rPr>
          <w:rFonts w:hint="eastAsia"/>
          <w:sz w:val="24"/>
        </w:rPr>
        <w:t>4~200</w:t>
      </w:r>
      <w:r w:rsidRPr="00631FDA">
        <w:rPr>
          <w:rFonts w:hint="eastAsia"/>
          <w:sz w:val="24"/>
        </w:rPr>
        <w:t>）</w:t>
      </w:r>
      <w:r w:rsidRPr="00631FDA">
        <w:rPr>
          <w:rFonts w:hint="eastAsia"/>
          <w:sz w:val="24"/>
        </w:rPr>
        <w:t>mA</w:t>
      </w:r>
      <w:r w:rsidRPr="00631FDA">
        <w:rPr>
          <w:rFonts w:hint="eastAsia"/>
          <w:sz w:val="24"/>
        </w:rPr>
        <w:t>；最大允许误差：±</w:t>
      </w:r>
      <w:r w:rsidRPr="00631FDA">
        <w:rPr>
          <w:rFonts w:hint="eastAsia"/>
          <w:sz w:val="24"/>
        </w:rPr>
        <w:t>2%</w:t>
      </w:r>
      <w:r w:rsidRPr="00631FDA">
        <w:rPr>
          <w:rFonts w:hint="eastAsia"/>
          <w:sz w:val="24"/>
        </w:rPr>
        <w:t>或±</w:t>
      </w:r>
      <w:r w:rsidRPr="00631FDA">
        <w:rPr>
          <w:rFonts w:hint="eastAsia"/>
          <w:sz w:val="24"/>
        </w:rPr>
        <w:t>2 mA</w:t>
      </w:r>
      <w:r w:rsidRPr="00631FDA">
        <w:rPr>
          <w:rFonts w:hint="eastAsia"/>
          <w:sz w:val="24"/>
        </w:rPr>
        <w:t>（二者取较大值）。将标准电流源的输出两极与经皮起搏器分析仪上的两个极板连接，调节标准电流源输出脉冲频率</w:t>
      </w:r>
      <w:r w:rsidRPr="00631FDA">
        <w:rPr>
          <w:rFonts w:hint="eastAsia"/>
          <w:sz w:val="24"/>
        </w:rPr>
        <w:t>120</w:t>
      </w:r>
      <w:r w:rsidRPr="00631FDA">
        <w:rPr>
          <w:rFonts w:hint="eastAsia"/>
          <w:sz w:val="24"/>
        </w:rPr>
        <w:t>次</w:t>
      </w:r>
      <w:r w:rsidRPr="00631FDA">
        <w:rPr>
          <w:rFonts w:hint="eastAsia"/>
          <w:sz w:val="24"/>
        </w:rPr>
        <w:t>/</w:t>
      </w:r>
      <w:r w:rsidRPr="00631FDA">
        <w:rPr>
          <w:rFonts w:hint="eastAsia"/>
          <w:sz w:val="24"/>
        </w:rPr>
        <w:t>分、脉冲宽度</w:t>
      </w:r>
      <w:r w:rsidRPr="00631FDA">
        <w:rPr>
          <w:rFonts w:hint="eastAsia"/>
          <w:sz w:val="24"/>
        </w:rPr>
        <w:t xml:space="preserve">40 </w:t>
      </w:r>
      <w:proofErr w:type="spellStart"/>
      <w:r w:rsidRPr="00631FDA">
        <w:rPr>
          <w:rFonts w:hint="eastAsia"/>
          <w:sz w:val="24"/>
        </w:rPr>
        <w:t>ms</w:t>
      </w:r>
      <w:proofErr w:type="spellEnd"/>
      <w:r w:rsidRPr="00631FDA">
        <w:rPr>
          <w:rFonts w:hint="eastAsia"/>
          <w:sz w:val="24"/>
        </w:rPr>
        <w:lastRenderedPageBreak/>
        <w:t>的电流。在（</w:t>
      </w:r>
      <w:r w:rsidRPr="00631FDA">
        <w:rPr>
          <w:rFonts w:hint="eastAsia"/>
          <w:sz w:val="24"/>
        </w:rPr>
        <w:t>4~200</w:t>
      </w:r>
      <w:r w:rsidRPr="00631FDA">
        <w:rPr>
          <w:rFonts w:hint="eastAsia"/>
          <w:sz w:val="24"/>
        </w:rPr>
        <w:t>）</w:t>
      </w:r>
      <w:r w:rsidRPr="00631FDA">
        <w:rPr>
          <w:rFonts w:hint="eastAsia"/>
          <w:sz w:val="24"/>
        </w:rPr>
        <w:t>mA</w:t>
      </w:r>
      <w:r w:rsidRPr="00631FDA">
        <w:rPr>
          <w:rFonts w:hint="eastAsia"/>
          <w:sz w:val="24"/>
        </w:rPr>
        <w:t>电流幅度范围内至少选取常用的</w:t>
      </w:r>
      <w:r w:rsidRPr="00631FDA">
        <w:rPr>
          <w:rFonts w:hint="eastAsia"/>
          <w:sz w:val="24"/>
        </w:rPr>
        <w:t>5</w:t>
      </w:r>
      <w:r w:rsidRPr="00631FDA">
        <w:rPr>
          <w:rFonts w:hint="eastAsia"/>
          <w:sz w:val="24"/>
        </w:rPr>
        <w:t>个点对经皮起搏器分析仪进行测量。</w:t>
      </w:r>
    </w:p>
    <w:p w:rsidR="00631FDA" w:rsidRPr="00631FDA" w:rsidRDefault="00631FDA" w:rsidP="00631FDA">
      <w:pPr>
        <w:spacing w:line="360" w:lineRule="auto"/>
        <w:ind w:firstLineChars="200" w:firstLine="480"/>
        <w:rPr>
          <w:rFonts w:hint="eastAsia"/>
          <w:sz w:val="24"/>
        </w:rPr>
      </w:pPr>
      <w:r w:rsidRPr="00631FDA">
        <w:rPr>
          <w:rFonts w:hint="eastAsia"/>
          <w:sz w:val="24"/>
        </w:rPr>
        <w:t>根据</w:t>
      </w:r>
      <w:r w:rsidRPr="00631FDA">
        <w:rPr>
          <w:rFonts w:hint="eastAsia"/>
          <w:sz w:val="24"/>
        </w:rPr>
        <w:t>JJF 1149-2014</w:t>
      </w:r>
      <w:r w:rsidRPr="00631FDA">
        <w:rPr>
          <w:rFonts w:hint="eastAsia"/>
          <w:sz w:val="24"/>
        </w:rPr>
        <w:t>在</w:t>
      </w:r>
      <w:r w:rsidRPr="00631FDA">
        <w:rPr>
          <w:rFonts w:hint="eastAsia"/>
          <w:sz w:val="24"/>
        </w:rPr>
        <w:t>6.2</w:t>
      </w:r>
      <w:r w:rsidRPr="00631FDA">
        <w:rPr>
          <w:rFonts w:hint="eastAsia"/>
          <w:sz w:val="24"/>
        </w:rPr>
        <w:t>节中对经皮起搏电流幅度、脉冲频率及脉冲宽度进行测量的校准条件要求，经皮起搏脉冲频率测量范围：（</w:t>
      </w:r>
      <w:r w:rsidRPr="00631FDA">
        <w:rPr>
          <w:rFonts w:hint="eastAsia"/>
          <w:sz w:val="24"/>
        </w:rPr>
        <w:t>30~300</w:t>
      </w:r>
      <w:r w:rsidRPr="00631FDA">
        <w:rPr>
          <w:rFonts w:hint="eastAsia"/>
          <w:sz w:val="24"/>
        </w:rPr>
        <w:t>）次</w:t>
      </w:r>
      <w:r w:rsidRPr="00631FDA">
        <w:rPr>
          <w:rFonts w:hint="eastAsia"/>
          <w:sz w:val="24"/>
        </w:rPr>
        <w:t>/</w:t>
      </w:r>
      <w:r w:rsidRPr="00631FDA">
        <w:rPr>
          <w:rFonts w:hint="eastAsia"/>
          <w:sz w:val="24"/>
        </w:rPr>
        <w:t>分；最大允许误差：测量值的±</w:t>
      </w:r>
      <w:r w:rsidRPr="00631FDA">
        <w:rPr>
          <w:rFonts w:hint="eastAsia"/>
          <w:sz w:val="24"/>
        </w:rPr>
        <w:t>1%</w:t>
      </w:r>
      <w:r w:rsidRPr="00631FDA">
        <w:rPr>
          <w:rFonts w:hint="eastAsia"/>
          <w:sz w:val="24"/>
        </w:rPr>
        <w:t>或±</w:t>
      </w:r>
      <w:r w:rsidRPr="00631FDA">
        <w:rPr>
          <w:rFonts w:hint="eastAsia"/>
          <w:sz w:val="24"/>
        </w:rPr>
        <w:t>1</w:t>
      </w:r>
      <w:r w:rsidRPr="00631FDA">
        <w:rPr>
          <w:rFonts w:hint="eastAsia"/>
          <w:sz w:val="24"/>
        </w:rPr>
        <w:t>次</w:t>
      </w:r>
      <w:r w:rsidRPr="00631FDA">
        <w:rPr>
          <w:rFonts w:hint="eastAsia"/>
          <w:sz w:val="24"/>
        </w:rPr>
        <w:t>/</w:t>
      </w:r>
      <w:r w:rsidRPr="00631FDA">
        <w:rPr>
          <w:rFonts w:hint="eastAsia"/>
          <w:sz w:val="24"/>
        </w:rPr>
        <w:t>分（二者取较大值）。又根据</w:t>
      </w:r>
      <w:r w:rsidRPr="00631FDA">
        <w:rPr>
          <w:rFonts w:hint="eastAsia"/>
          <w:sz w:val="24"/>
        </w:rPr>
        <w:t>JJF 2150-2024</w:t>
      </w:r>
      <w:r w:rsidRPr="00631FDA">
        <w:rPr>
          <w:rFonts w:hint="eastAsia"/>
          <w:sz w:val="24"/>
        </w:rPr>
        <w:t>在</w:t>
      </w:r>
      <w:r w:rsidRPr="00631FDA">
        <w:rPr>
          <w:rFonts w:hint="eastAsia"/>
          <w:sz w:val="24"/>
        </w:rPr>
        <w:t>6.2.2</w:t>
      </w:r>
      <w:r w:rsidRPr="00631FDA">
        <w:rPr>
          <w:rFonts w:hint="eastAsia"/>
          <w:sz w:val="24"/>
        </w:rPr>
        <w:t>节中对用于校准经皮起搏的起搏器分析仪的脉冲频率要求：测量范围应覆盖（</w:t>
      </w:r>
      <w:r w:rsidRPr="00631FDA">
        <w:rPr>
          <w:rFonts w:hint="eastAsia"/>
          <w:sz w:val="24"/>
        </w:rPr>
        <w:t>30~300</w:t>
      </w:r>
      <w:r w:rsidRPr="00631FDA">
        <w:rPr>
          <w:rFonts w:hint="eastAsia"/>
          <w:sz w:val="24"/>
        </w:rPr>
        <w:t>）次</w:t>
      </w:r>
      <w:r w:rsidRPr="00631FDA">
        <w:rPr>
          <w:rFonts w:hint="eastAsia"/>
          <w:sz w:val="24"/>
        </w:rPr>
        <w:t>/</w:t>
      </w:r>
      <w:r w:rsidRPr="00631FDA">
        <w:rPr>
          <w:rFonts w:hint="eastAsia"/>
          <w:sz w:val="24"/>
        </w:rPr>
        <w:t>分；最大允许误差：±</w:t>
      </w:r>
      <w:r w:rsidRPr="00631FDA">
        <w:rPr>
          <w:rFonts w:hint="eastAsia"/>
          <w:sz w:val="24"/>
        </w:rPr>
        <w:t>1%</w:t>
      </w:r>
      <w:r w:rsidRPr="00631FDA">
        <w:rPr>
          <w:rFonts w:hint="eastAsia"/>
          <w:sz w:val="24"/>
        </w:rPr>
        <w:t>或±</w:t>
      </w:r>
      <w:r w:rsidRPr="00631FDA">
        <w:rPr>
          <w:rFonts w:hint="eastAsia"/>
          <w:sz w:val="24"/>
        </w:rPr>
        <w:t>1</w:t>
      </w:r>
      <w:r w:rsidRPr="00631FDA">
        <w:rPr>
          <w:rFonts w:hint="eastAsia"/>
          <w:sz w:val="24"/>
        </w:rPr>
        <w:t>次</w:t>
      </w:r>
      <w:r w:rsidRPr="00631FDA">
        <w:rPr>
          <w:rFonts w:hint="eastAsia"/>
          <w:sz w:val="24"/>
        </w:rPr>
        <w:t>/</w:t>
      </w:r>
      <w:r w:rsidRPr="00631FDA">
        <w:rPr>
          <w:rFonts w:hint="eastAsia"/>
          <w:sz w:val="24"/>
        </w:rPr>
        <w:t>分（二者取较大值）。通过调研市面上常见的经皮起搏器分析仪的脉冲频率测量范围，结合测量实验，发现这一要求比较符合未来实际校准的必要性与可行性，因此推荐经皮起搏器分析仪脉冲频率测量范围：（</w:t>
      </w:r>
      <w:r w:rsidRPr="00631FDA">
        <w:rPr>
          <w:rFonts w:hint="eastAsia"/>
          <w:sz w:val="24"/>
        </w:rPr>
        <w:t>30~300</w:t>
      </w:r>
      <w:r w:rsidRPr="00631FDA">
        <w:rPr>
          <w:rFonts w:hint="eastAsia"/>
          <w:sz w:val="24"/>
        </w:rPr>
        <w:t>）次</w:t>
      </w:r>
      <w:r w:rsidRPr="00631FDA">
        <w:rPr>
          <w:rFonts w:hint="eastAsia"/>
          <w:sz w:val="24"/>
        </w:rPr>
        <w:t>/</w:t>
      </w:r>
      <w:r w:rsidRPr="00631FDA">
        <w:rPr>
          <w:rFonts w:hint="eastAsia"/>
          <w:sz w:val="24"/>
        </w:rPr>
        <w:t>分；最大允许误差：±</w:t>
      </w:r>
      <w:r w:rsidRPr="00631FDA">
        <w:rPr>
          <w:rFonts w:hint="eastAsia"/>
          <w:sz w:val="24"/>
        </w:rPr>
        <w:t>1%</w:t>
      </w:r>
      <w:r w:rsidRPr="00631FDA">
        <w:rPr>
          <w:rFonts w:hint="eastAsia"/>
          <w:sz w:val="24"/>
        </w:rPr>
        <w:t>或±</w:t>
      </w:r>
      <w:r w:rsidRPr="00631FDA">
        <w:rPr>
          <w:rFonts w:hint="eastAsia"/>
          <w:sz w:val="24"/>
        </w:rPr>
        <w:t>1</w:t>
      </w:r>
      <w:r w:rsidRPr="00631FDA">
        <w:rPr>
          <w:rFonts w:hint="eastAsia"/>
          <w:sz w:val="24"/>
        </w:rPr>
        <w:t>次</w:t>
      </w:r>
      <w:r w:rsidRPr="00631FDA">
        <w:rPr>
          <w:rFonts w:hint="eastAsia"/>
          <w:sz w:val="24"/>
        </w:rPr>
        <w:t>/</w:t>
      </w:r>
      <w:r w:rsidRPr="00631FDA">
        <w:rPr>
          <w:rFonts w:hint="eastAsia"/>
          <w:sz w:val="24"/>
        </w:rPr>
        <w:t>分（二者取较大值）。将标准电流源的输出两极与经皮起搏器分析仪上的两个极板连接，调节标准电流源输出电流幅度</w:t>
      </w:r>
      <w:r w:rsidRPr="00631FDA">
        <w:rPr>
          <w:rFonts w:hint="eastAsia"/>
          <w:sz w:val="24"/>
        </w:rPr>
        <w:t>60 mA</w:t>
      </w:r>
      <w:r w:rsidRPr="00631FDA">
        <w:rPr>
          <w:rFonts w:hint="eastAsia"/>
          <w:sz w:val="24"/>
        </w:rPr>
        <w:t>、脉冲宽度</w:t>
      </w:r>
      <w:r w:rsidRPr="00631FDA">
        <w:rPr>
          <w:rFonts w:hint="eastAsia"/>
          <w:sz w:val="24"/>
        </w:rPr>
        <w:t xml:space="preserve">40 </w:t>
      </w:r>
      <w:proofErr w:type="spellStart"/>
      <w:r w:rsidRPr="00631FDA">
        <w:rPr>
          <w:rFonts w:hint="eastAsia"/>
          <w:sz w:val="24"/>
        </w:rPr>
        <w:t>ms</w:t>
      </w:r>
      <w:proofErr w:type="spellEnd"/>
      <w:r w:rsidRPr="00631FDA">
        <w:rPr>
          <w:rFonts w:hint="eastAsia"/>
          <w:sz w:val="24"/>
        </w:rPr>
        <w:t>的电流。在（</w:t>
      </w:r>
      <w:r w:rsidRPr="00631FDA">
        <w:rPr>
          <w:rFonts w:hint="eastAsia"/>
          <w:sz w:val="24"/>
        </w:rPr>
        <w:t>30~300</w:t>
      </w:r>
      <w:r w:rsidRPr="00631FDA">
        <w:rPr>
          <w:rFonts w:hint="eastAsia"/>
          <w:sz w:val="24"/>
        </w:rPr>
        <w:t>）次</w:t>
      </w:r>
      <w:r w:rsidRPr="00631FDA">
        <w:rPr>
          <w:rFonts w:hint="eastAsia"/>
          <w:sz w:val="24"/>
        </w:rPr>
        <w:t>/</w:t>
      </w:r>
      <w:r w:rsidRPr="00631FDA">
        <w:rPr>
          <w:rFonts w:hint="eastAsia"/>
          <w:sz w:val="24"/>
        </w:rPr>
        <w:t>分脉冲频率范围内至少选取常用的</w:t>
      </w:r>
      <w:r w:rsidRPr="00631FDA">
        <w:rPr>
          <w:rFonts w:hint="eastAsia"/>
          <w:sz w:val="24"/>
        </w:rPr>
        <w:t>5</w:t>
      </w:r>
      <w:r w:rsidRPr="00631FDA">
        <w:rPr>
          <w:rFonts w:hint="eastAsia"/>
          <w:sz w:val="24"/>
        </w:rPr>
        <w:t>个点对经皮起搏器分析仪进行测量。</w:t>
      </w:r>
    </w:p>
    <w:p w:rsidR="00631FDA" w:rsidRDefault="00631FDA" w:rsidP="00631FDA">
      <w:pPr>
        <w:spacing w:line="360" w:lineRule="auto"/>
        <w:ind w:firstLineChars="200" w:firstLine="480"/>
        <w:rPr>
          <w:rFonts w:hint="eastAsia"/>
          <w:sz w:val="24"/>
        </w:rPr>
      </w:pPr>
      <w:r w:rsidRPr="00631FDA">
        <w:rPr>
          <w:rFonts w:hint="eastAsia"/>
          <w:sz w:val="24"/>
        </w:rPr>
        <w:t>根据</w:t>
      </w:r>
      <w:r w:rsidRPr="00631FDA">
        <w:rPr>
          <w:rFonts w:hint="eastAsia"/>
          <w:sz w:val="24"/>
        </w:rPr>
        <w:t>JJF 1149-2014</w:t>
      </w:r>
      <w:r w:rsidRPr="00631FDA">
        <w:rPr>
          <w:rFonts w:hint="eastAsia"/>
          <w:sz w:val="24"/>
        </w:rPr>
        <w:t>在</w:t>
      </w:r>
      <w:r w:rsidRPr="00631FDA">
        <w:rPr>
          <w:rFonts w:hint="eastAsia"/>
          <w:sz w:val="24"/>
        </w:rPr>
        <w:t>6.2</w:t>
      </w:r>
      <w:r w:rsidRPr="00631FDA">
        <w:rPr>
          <w:rFonts w:hint="eastAsia"/>
          <w:sz w:val="24"/>
        </w:rPr>
        <w:t>节中对经皮起搏电流幅度、脉冲频率及脉冲宽度进行测量的校准条件要求，经皮起搏脉冲宽度测量范围：（</w:t>
      </w:r>
      <w:r w:rsidRPr="00631FDA">
        <w:rPr>
          <w:rFonts w:hint="eastAsia"/>
          <w:sz w:val="24"/>
        </w:rPr>
        <w:t>10~80</w:t>
      </w:r>
      <w:r w:rsidRPr="00631FDA">
        <w:rPr>
          <w:rFonts w:hint="eastAsia"/>
          <w:sz w:val="24"/>
        </w:rPr>
        <w:t>）</w:t>
      </w:r>
      <w:proofErr w:type="spellStart"/>
      <w:r w:rsidRPr="00631FDA">
        <w:rPr>
          <w:rFonts w:hint="eastAsia"/>
          <w:sz w:val="24"/>
        </w:rPr>
        <w:t>ms</w:t>
      </w:r>
      <w:proofErr w:type="spellEnd"/>
      <w:r w:rsidRPr="00631FDA">
        <w:rPr>
          <w:rFonts w:hint="eastAsia"/>
          <w:sz w:val="24"/>
        </w:rPr>
        <w:t>；最大允许误差：测量值的±</w:t>
      </w:r>
      <w:r w:rsidRPr="00631FDA">
        <w:rPr>
          <w:rFonts w:hint="eastAsia"/>
          <w:sz w:val="24"/>
        </w:rPr>
        <w:t>2%</w:t>
      </w:r>
      <w:r w:rsidRPr="00631FDA">
        <w:rPr>
          <w:rFonts w:hint="eastAsia"/>
          <w:sz w:val="24"/>
        </w:rPr>
        <w:t>或±</w:t>
      </w:r>
      <w:r w:rsidRPr="00631FDA">
        <w:rPr>
          <w:rFonts w:hint="eastAsia"/>
          <w:sz w:val="24"/>
        </w:rPr>
        <w:t xml:space="preserve">0.5 </w:t>
      </w:r>
      <w:proofErr w:type="spellStart"/>
      <w:r w:rsidRPr="00631FDA">
        <w:rPr>
          <w:rFonts w:hint="eastAsia"/>
          <w:sz w:val="24"/>
        </w:rPr>
        <w:t>ms</w:t>
      </w:r>
      <w:proofErr w:type="spellEnd"/>
      <w:r w:rsidRPr="00631FDA">
        <w:rPr>
          <w:rFonts w:hint="eastAsia"/>
          <w:sz w:val="24"/>
        </w:rPr>
        <w:t>（二者取较大值）。又根据</w:t>
      </w:r>
      <w:r w:rsidRPr="00631FDA">
        <w:rPr>
          <w:rFonts w:hint="eastAsia"/>
          <w:sz w:val="24"/>
        </w:rPr>
        <w:t>JJF 2150-2024</w:t>
      </w:r>
      <w:r w:rsidRPr="00631FDA">
        <w:rPr>
          <w:rFonts w:hint="eastAsia"/>
          <w:sz w:val="24"/>
        </w:rPr>
        <w:t>在</w:t>
      </w:r>
      <w:r w:rsidRPr="00631FDA">
        <w:rPr>
          <w:rFonts w:hint="eastAsia"/>
          <w:sz w:val="24"/>
        </w:rPr>
        <w:t>6.2.2</w:t>
      </w:r>
      <w:r w:rsidRPr="00631FDA">
        <w:rPr>
          <w:rFonts w:hint="eastAsia"/>
          <w:sz w:val="24"/>
        </w:rPr>
        <w:t>节中对用于校准经皮起搏的起搏器分析仪的脉冲宽度要求：测量范围应覆盖（</w:t>
      </w:r>
      <w:r w:rsidRPr="00631FDA">
        <w:rPr>
          <w:rFonts w:hint="eastAsia"/>
          <w:sz w:val="24"/>
        </w:rPr>
        <w:t>10~80</w:t>
      </w:r>
      <w:r w:rsidRPr="00631FDA">
        <w:rPr>
          <w:rFonts w:hint="eastAsia"/>
          <w:sz w:val="24"/>
        </w:rPr>
        <w:t>）</w:t>
      </w:r>
      <w:proofErr w:type="spellStart"/>
      <w:r w:rsidRPr="00631FDA">
        <w:rPr>
          <w:rFonts w:hint="eastAsia"/>
          <w:sz w:val="24"/>
        </w:rPr>
        <w:t>ms</w:t>
      </w:r>
      <w:proofErr w:type="spellEnd"/>
      <w:r w:rsidRPr="00631FDA">
        <w:rPr>
          <w:rFonts w:hint="eastAsia"/>
          <w:sz w:val="24"/>
        </w:rPr>
        <w:t>；最大允许误差：±</w:t>
      </w:r>
      <w:r w:rsidRPr="00631FDA">
        <w:rPr>
          <w:rFonts w:hint="eastAsia"/>
          <w:sz w:val="24"/>
        </w:rPr>
        <w:t>2%</w:t>
      </w:r>
      <w:r w:rsidRPr="00631FDA">
        <w:rPr>
          <w:rFonts w:hint="eastAsia"/>
          <w:sz w:val="24"/>
        </w:rPr>
        <w:t>或±</w:t>
      </w:r>
      <w:r w:rsidRPr="00631FDA">
        <w:rPr>
          <w:rFonts w:hint="eastAsia"/>
          <w:sz w:val="24"/>
        </w:rPr>
        <w:t xml:space="preserve">0.5 </w:t>
      </w:r>
      <w:proofErr w:type="spellStart"/>
      <w:r w:rsidRPr="00631FDA">
        <w:rPr>
          <w:rFonts w:hint="eastAsia"/>
          <w:sz w:val="24"/>
        </w:rPr>
        <w:t>ms</w:t>
      </w:r>
      <w:proofErr w:type="spellEnd"/>
      <w:r w:rsidRPr="00631FDA">
        <w:rPr>
          <w:rFonts w:hint="eastAsia"/>
          <w:sz w:val="24"/>
        </w:rPr>
        <w:t>（二者取较大值）。通过调研市面上常见的经皮起搏器分析仪的脉冲宽度测量范围，结合测量实验，发现这一要求比较符合未来实际校准的必要性与可行性，因此推荐经皮起搏器分析仪脉冲宽度测量范围：（</w:t>
      </w:r>
      <w:r w:rsidRPr="00631FDA">
        <w:rPr>
          <w:rFonts w:hint="eastAsia"/>
          <w:sz w:val="24"/>
        </w:rPr>
        <w:t>10~80</w:t>
      </w:r>
      <w:r w:rsidRPr="00631FDA">
        <w:rPr>
          <w:rFonts w:hint="eastAsia"/>
          <w:sz w:val="24"/>
        </w:rPr>
        <w:t>）</w:t>
      </w:r>
      <w:proofErr w:type="spellStart"/>
      <w:r w:rsidRPr="00631FDA">
        <w:rPr>
          <w:rFonts w:hint="eastAsia"/>
          <w:sz w:val="24"/>
        </w:rPr>
        <w:t>ms</w:t>
      </w:r>
      <w:proofErr w:type="spellEnd"/>
      <w:r w:rsidRPr="00631FDA">
        <w:rPr>
          <w:rFonts w:hint="eastAsia"/>
          <w:sz w:val="24"/>
        </w:rPr>
        <w:t>；最大允许误差：±</w:t>
      </w:r>
      <w:r w:rsidRPr="00631FDA">
        <w:rPr>
          <w:rFonts w:hint="eastAsia"/>
          <w:sz w:val="24"/>
        </w:rPr>
        <w:t>2%</w:t>
      </w:r>
      <w:r w:rsidRPr="00631FDA">
        <w:rPr>
          <w:rFonts w:hint="eastAsia"/>
          <w:sz w:val="24"/>
        </w:rPr>
        <w:t>或±</w:t>
      </w:r>
      <w:r w:rsidRPr="00631FDA">
        <w:rPr>
          <w:rFonts w:hint="eastAsia"/>
          <w:sz w:val="24"/>
        </w:rPr>
        <w:t xml:space="preserve">0.5 </w:t>
      </w:r>
      <w:proofErr w:type="spellStart"/>
      <w:r w:rsidRPr="00631FDA">
        <w:rPr>
          <w:rFonts w:hint="eastAsia"/>
          <w:sz w:val="24"/>
        </w:rPr>
        <w:t>ms</w:t>
      </w:r>
      <w:proofErr w:type="spellEnd"/>
      <w:r w:rsidRPr="00631FDA">
        <w:rPr>
          <w:rFonts w:hint="eastAsia"/>
          <w:sz w:val="24"/>
        </w:rPr>
        <w:t>（二者取较大值）。将标准电流源的输出两极与经皮起搏器分析仪上的两个极板连接，调节标准电流源输出电流幅度</w:t>
      </w:r>
      <w:r w:rsidRPr="00631FDA">
        <w:rPr>
          <w:rFonts w:hint="eastAsia"/>
          <w:sz w:val="24"/>
        </w:rPr>
        <w:t>60 mA</w:t>
      </w:r>
      <w:r w:rsidRPr="00631FDA">
        <w:rPr>
          <w:rFonts w:hint="eastAsia"/>
          <w:sz w:val="24"/>
        </w:rPr>
        <w:t>、脉冲频率</w:t>
      </w:r>
      <w:r w:rsidRPr="00631FDA">
        <w:rPr>
          <w:rFonts w:hint="eastAsia"/>
          <w:sz w:val="24"/>
        </w:rPr>
        <w:t>120</w:t>
      </w:r>
      <w:r w:rsidRPr="00631FDA">
        <w:rPr>
          <w:rFonts w:hint="eastAsia"/>
          <w:sz w:val="24"/>
        </w:rPr>
        <w:t>次</w:t>
      </w:r>
      <w:r w:rsidRPr="00631FDA">
        <w:rPr>
          <w:rFonts w:hint="eastAsia"/>
          <w:sz w:val="24"/>
        </w:rPr>
        <w:t>/</w:t>
      </w:r>
      <w:r w:rsidRPr="00631FDA">
        <w:rPr>
          <w:rFonts w:hint="eastAsia"/>
          <w:sz w:val="24"/>
        </w:rPr>
        <w:t>分的电流。在（</w:t>
      </w:r>
      <w:r w:rsidRPr="00631FDA">
        <w:rPr>
          <w:rFonts w:hint="eastAsia"/>
          <w:sz w:val="24"/>
        </w:rPr>
        <w:t>10~80</w:t>
      </w:r>
      <w:r w:rsidRPr="00631FDA">
        <w:rPr>
          <w:rFonts w:hint="eastAsia"/>
          <w:sz w:val="24"/>
        </w:rPr>
        <w:t>）</w:t>
      </w:r>
      <w:proofErr w:type="spellStart"/>
      <w:r w:rsidRPr="00631FDA">
        <w:rPr>
          <w:rFonts w:hint="eastAsia"/>
          <w:sz w:val="24"/>
        </w:rPr>
        <w:t>ms</w:t>
      </w:r>
      <w:proofErr w:type="spellEnd"/>
      <w:r w:rsidRPr="00631FDA">
        <w:rPr>
          <w:rFonts w:hint="eastAsia"/>
          <w:sz w:val="24"/>
        </w:rPr>
        <w:t>脉冲宽度范围内至少选取常用的</w:t>
      </w:r>
      <w:r w:rsidRPr="00631FDA">
        <w:rPr>
          <w:rFonts w:hint="eastAsia"/>
          <w:sz w:val="24"/>
        </w:rPr>
        <w:t>5</w:t>
      </w:r>
      <w:r w:rsidRPr="00631FDA">
        <w:rPr>
          <w:rFonts w:hint="eastAsia"/>
          <w:sz w:val="24"/>
        </w:rPr>
        <w:t>个点对经皮起搏器分析仪进行测量。</w:t>
      </w:r>
    </w:p>
    <w:p w:rsidR="00C05A40" w:rsidRDefault="00C05A40" w:rsidP="00C05A40">
      <w:pPr>
        <w:spacing w:line="360" w:lineRule="auto"/>
        <w:ind w:firstLineChars="200" w:firstLine="480"/>
        <w:rPr>
          <w:rFonts w:hint="eastAsia"/>
          <w:sz w:val="24"/>
        </w:rPr>
      </w:pPr>
      <w:r w:rsidRPr="00C05A40">
        <w:rPr>
          <w:rFonts w:hint="eastAsia"/>
          <w:sz w:val="24"/>
        </w:rPr>
        <w:t>经皮起搏器分析仪是用于经皮起搏器的专用检测仪器，含有模拟人体阻抗的负载电阻，通过测量经皮起搏器产生的电脉冲施加于该负载电阻上的信号来得到经皮起搏器产生电脉冲的幅度、频率及宽度。因此本</w:t>
      </w:r>
      <w:r w:rsidR="00605055">
        <w:rPr>
          <w:rFonts w:hint="eastAsia"/>
          <w:color w:val="000000"/>
          <w:sz w:val="24"/>
          <w:lang w:val="zh-CN"/>
        </w:rPr>
        <w:t>标准</w:t>
      </w:r>
      <w:r w:rsidRPr="00C05A40">
        <w:rPr>
          <w:rFonts w:hint="eastAsia"/>
          <w:sz w:val="24"/>
        </w:rPr>
        <w:t>的</w:t>
      </w:r>
      <w:r w:rsidR="00605055" w:rsidRPr="00605055">
        <w:rPr>
          <w:rFonts w:hint="eastAsia"/>
          <w:sz w:val="24"/>
        </w:rPr>
        <w:t>主要技术关键</w:t>
      </w:r>
      <w:r w:rsidRPr="00C05A40">
        <w:rPr>
          <w:rFonts w:hint="eastAsia"/>
          <w:sz w:val="24"/>
        </w:rPr>
        <w:t>是建立用于校准经皮起搏器分析仪的标准装置，该装置能够输出电流幅度（</w:t>
      </w:r>
      <w:r w:rsidRPr="00C05A40">
        <w:rPr>
          <w:rFonts w:hint="eastAsia"/>
          <w:sz w:val="24"/>
        </w:rPr>
        <w:t>4~200</w:t>
      </w:r>
      <w:r w:rsidRPr="00C05A40">
        <w:rPr>
          <w:rFonts w:hint="eastAsia"/>
          <w:sz w:val="24"/>
        </w:rPr>
        <w:t>）</w:t>
      </w:r>
      <w:r w:rsidRPr="00C05A40">
        <w:rPr>
          <w:rFonts w:hint="eastAsia"/>
          <w:sz w:val="24"/>
        </w:rPr>
        <w:t>mA</w:t>
      </w:r>
      <w:r w:rsidRPr="00C05A40">
        <w:rPr>
          <w:rFonts w:hint="eastAsia"/>
          <w:sz w:val="24"/>
        </w:rPr>
        <w:t>、脉冲频率（</w:t>
      </w:r>
      <w:r w:rsidRPr="00C05A40">
        <w:rPr>
          <w:rFonts w:hint="eastAsia"/>
          <w:sz w:val="24"/>
        </w:rPr>
        <w:t>30~300</w:t>
      </w:r>
      <w:r w:rsidRPr="00C05A40">
        <w:rPr>
          <w:rFonts w:hint="eastAsia"/>
          <w:sz w:val="24"/>
        </w:rPr>
        <w:t>）次</w:t>
      </w:r>
      <w:r w:rsidRPr="00C05A40">
        <w:rPr>
          <w:rFonts w:hint="eastAsia"/>
          <w:sz w:val="24"/>
        </w:rPr>
        <w:t>/</w:t>
      </w:r>
      <w:r w:rsidRPr="00C05A40">
        <w:rPr>
          <w:rFonts w:hint="eastAsia"/>
          <w:sz w:val="24"/>
        </w:rPr>
        <w:t>分、脉冲宽度（</w:t>
      </w:r>
      <w:r w:rsidRPr="00C05A40">
        <w:rPr>
          <w:rFonts w:hint="eastAsia"/>
          <w:sz w:val="24"/>
        </w:rPr>
        <w:t>10~80</w:t>
      </w:r>
      <w:r w:rsidRPr="00C05A40">
        <w:rPr>
          <w:rFonts w:hint="eastAsia"/>
          <w:sz w:val="24"/>
        </w:rPr>
        <w:t>）</w:t>
      </w:r>
      <w:proofErr w:type="spellStart"/>
      <w:r w:rsidRPr="00C05A40">
        <w:rPr>
          <w:rFonts w:hint="eastAsia"/>
          <w:sz w:val="24"/>
        </w:rPr>
        <w:t>ms</w:t>
      </w:r>
      <w:proofErr w:type="spellEnd"/>
      <w:r w:rsidRPr="00C05A40">
        <w:rPr>
          <w:rFonts w:hint="eastAsia"/>
          <w:sz w:val="24"/>
        </w:rPr>
        <w:t>的标准脉冲电流源。</w:t>
      </w:r>
    </w:p>
    <w:p w:rsidR="00D95AC8" w:rsidRPr="001C0706" w:rsidRDefault="00CC7B78" w:rsidP="001C0706">
      <w:pPr>
        <w:spacing w:beforeLines="50" w:before="156" w:afterLines="50" w:after="156" w:line="360" w:lineRule="auto"/>
        <w:outlineLvl w:val="0"/>
        <w:rPr>
          <w:b/>
          <w:sz w:val="24"/>
        </w:rPr>
      </w:pPr>
      <w:r w:rsidRPr="001C0706">
        <w:rPr>
          <w:rFonts w:hint="eastAsia"/>
          <w:b/>
          <w:sz w:val="24"/>
        </w:rPr>
        <w:lastRenderedPageBreak/>
        <w:t>六、</w:t>
      </w:r>
      <w:r w:rsidR="00792884" w:rsidRPr="00792884">
        <w:rPr>
          <w:rFonts w:hint="eastAsia"/>
          <w:b/>
          <w:sz w:val="24"/>
        </w:rPr>
        <w:t>本标准采用国际和国外先进标准的，说明采标程度，以及与国内外同</w:t>
      </w:r>
      <w:r w:rsidR="003C4A69">
        <w:rPr>
          <w:rFonts w:hint="eastAsia"/>
          <w:b/>
          <w:sz w:val="24"/>
        </w:rPr>
        <w:t>类标准水平的对比情况</w:t>
      </w:r>
    </w:p>
    <w:p w:rsidR="0078198E" w:rsidRPr="0078198E" w:rsidRDefault="0078198E" w:rsidP="0078198E">
      <w:pPr>
        <w:spacing w:line="360" w:lineRule="auto"/>
        <w:ind w:firstLineChars="200" w:firstLine="480"/>
        <w:rPr>
          <w:rFonts w:hint="eastAsia"/>
          <w:sz w:val="24"/>
        </w:rPr>
      </w:pPr>
      <w:r w:rsidRPr="0078198E">
        <w:rPr>
          <w:rFonts w:hint="eastAsia"/>
          <w:sz w:val="24"/>
        </w:rPr>
        <w:t>在国外已发布的</w:t>
      </w:r>
      <w:r w:rsidR="00B13BB8">
        <w:rPr>
          <w:rFonts w:hint="eastAsia"/>
          <w:sz w:val="24"/>
        </w:rPr>
        <w:t>标准文件</w:t>
      </w:r>
      <w:r w:rsidRPr="0078198E">
        <w:rPr>
          <w:rFonts w:hint="eastAsia"/>
          <w:sz w:val="24"/>
        </w:rPr>
        <w:t>中与经皮起搏器分析仪校准比较接近的是</w:t>
      </w:r>
      <w:r w:rsidRPr="0078198E">
        <w:rPr>
          <w:rFonts w:hint="eastAsia"/>
          <w:sz w:val="24"/>
        </w:rPr>
        <w:t>IEC 60601-2-4:2018 Medical electrical equipment - Part 2-4</w:t>
      </w:r>
      <w:r w:rsidRPr="0078198E">
        <w:rPr>
          <w:rFonts w:hint="eastAsia"/>
          <w:sz w:val="24"/>
        </w:rPr>
        <w:t>，它规定了心脏除颤器基本安全和必要性能的特殊要求，但其中没有对经皮起搏器分析仪校准参数进行限定。在国内已发布的技术规范标准文件中与经皮起搏器分析仪校准相关的是</w:t>
      </w:r>
      <w:r w:rsidRPr="0078198E">
        <w:rPr>
          <w:rFonts w:hint="eastAsia"/>
          <w:sz w:val="24"/>
        </w:rPr>
        <w:t>JJF 1149-2014</w:t>
      </w:r>
      <w:r w:rsidRPr="0078198E">
        <w:rPr>
          <w:rFonts w:hint="eastAsia"/>
          <w:sz w:val="24"/>
        </w:rPr>
        <w:t>《心脏除颤器校准规范》、</w:t>
      </w:r>
      <w:r w:rsidRPr="0078198E">
        <w:rPr>
          <w:rFonts w:hint="eastAsia"/>
          <w:sz w:val="24"/>
        </w:rPr>
        <w:t>JJF 2150-2024</w:t>
      </w:r>
      <w:r w:rsidRPr="0078198E">
        <w:rPr>
          <w:rFonts w:hint="eastAsia"/>
          <w:sz w:val="24"/>
        </w:rPr>
        <w:t>《体外起搏器校准规范》、</w:t>
      </w:r>
      <w:r w:rsidRPr="0078198E">
        <w:rPr>
          <w:rFonts w:hint="eastAsia"/>
          <w:sz w:val="24"/>
        </w:rPr>
        <w:t>YY 0945.2-2015</w:t>
      </w:r>
      <w:r w:rsidRPr="0078198E">
        <w:rPr>
          <w:rFonts w:hint="eastAsia"/>
          <w:sz w:val="24"/>
        </w:rPr>
        <w:t>《医用电气设备</w:t>
      </w:r>
      <w:r w:rsidRPr="0078198E">
        <w:rPr>
          <w:rFonts w:hint="eastAsia"/>
          <w:sz w:val="24"/>
        </w:rPr>
        <w:t xml:space="preserve"> </w:t>
      </w:r>
      <w:r w:rsidRPr="0078198E">
        <w:rPr>
          <w:rFonts w:hint="eastAsia"/>
          <w:sz w:val="24"/>
        </w:rPr>
        <w:t>第</w:t>
      </w:r>
      <w:r w:rsidRPr="0078198E">
        <w:rPr>
          <w:rFonts w:hint="eastAsia"/>
          <w:sz w:val="24"/>
        </w:rPr>
        <w:t>2</w:t>
      </w:r>
      <w:r w:rsidRPr="0078198E">
        <w:rPr>
          <w:rFonts w:hint="eastAsia"/>
          <w:sz w:val="24"/>
        </w:rPr>
        <w:t>部分：带内部电源的体外心脏起搏器安全专用要求》和</w:t>
      </w:r>
      <w:r w:rsidRPr="0078198E">
        <w:rPr>
          <w:rFonts w:hint="eastAsia"/>
          <w:sz w:val="24"/>
        </w:rPr>
        <w:t>GB 9706.204-2022</w:t>
      </w:r>
      <w:r w:rsidRPr="0078198E">
        <w:rPr>
          <w:rFonts w:hint="eastAsia"/>
          <w:sz w:val="24"/>
        </w:rPr>
        <w:t>《医用电气设备</w:t>
      </w:r>
      <w:r w:rsidRPr="0078198E">
        <w:rPr>
          <w:rFonts w:hint="eastAsia"/>
          <w:sz w:val="24"/>
        </w:rPr>
        <w:t xml:space="preserve"> </w:t>
      </w:r>
      <w:r w:rsidRPr="0078198E">
        <w:rPr>
          <w:rFonts w:hint="eastAsia"/>
          <w:sz w:val="24"/>
        </w:rPr>
        <w:t>第</w:t>
      </w:r>
      <w:r w:rsidRPr="0078198E">
        <w:rPr>
          <w:rFonts w:hint="eastAsia"/>
          <w:sz w:val="24"/>
        </w:rPr>
        <w:t>2-4</w:t>
      </w:r>
      <w:r w:rsidRPr="0078198E">
        <w:rPr>
          <w:rFonts w:hint="eastAsia"/>
          <w:sz w:val="24"/>
        </w:rPr>
        <w:t>部分：心脏除颤器的基本安全和基本性能专用要求》。</w:t>
      </w:r>
      <w:r w:rsidRPr="0078198E">
        <w:rPr>
          <w:rFonts w:hint="eastAsia"/>
          <w:sz w:val="24"/>
        </w:rPr>
        <w:t>JJF 1149-2014</w:t>
      </w:r>
      <w:r w:rsidRPr="0078198E">
        <w:rPr>
          <w:rFonts w:hint="eastAsia"/>
          <w:sz w:val="24"/>
        </w:rPr>
        <w:t>主要适用于手动心脏除颤器和自动经皮除颤器与除颤功能直接相关的计量特性的校准，但是并未对经皮起搏器分析仪的校准条件和校准方法等内容进行限定。</w:t>
      </w:r>
      <w:r w:rsidRPr="0078198E">
        <w:rPr>
          <w:rFonts w:hint="eastAsia"/>
          <w:sz w:val="24"/>
        </w:rPr>
        <w:t>JJF 2150-2024</w:t>
      </w:r>
      <w:r w:rsidRPr="0078198E">
        <w:rPr>
          <w:rFonts w:hint="eastAsia"/>
          <w:sz w:val="24"/>
        </w:rPr>
        <w:t>对用于校准经皮起搏的起搏器分析仪的计量特性进行了规定，</w:t>
      </w:r>
      <w:r w:rsidR="001F5EF0" w:rsidRPr="00770D4D">
        <w:rPr>
          <w:rFonts w:hint="eastAsia"/>
          <w:color w:val="000000"/>
          <w:sz w:val="24"/>
          <w:lang w:val="zh-CN"/>
        </w:rPr>
        <w:t>但是并未对</w:t>
      </w:r>
      <w:r w:rsidR="001F5EF0" w:rsidRPr="001A274A">
        <w:rPr>
          <w:rFonts w:hint="eastAsia"/>
          <w:color w:val="000000"/>
          <w:sz w:val="24"/>
          <w:lang w:val="zh-CN"/>
        </w:rPr>
        <w:t>经皮起搏器分析仪</w:t>
      </w:r>
      <w:r w:rsidR="001F5EF0">
        <w:rPr>
          <w:rFonts w:hint="eastAsia"/>
          <w:color w:val="000000"/>
          <w:sz w:val="24"/>
          <w:lang w:val="zh-CN"/>
        </w:rPr>
        <w:t>的</w:t>
      </w:r>
      <w:r w:rsidR="001F5EF0" w:rsidRPr="001A274A">
        <w:rPr>
          <w:rFonts w:hint="eastAsia"/>
          <w:color w:val="000000"/>
          <w:sz w:val="24"/>
          <w:lang w:val="zh-CN"/>
        </w:rPr>
        <w:t>校准方法</w:t>
      </w:r>
      <w:r w:rsidR="001F5EF0" w:rsidRPr="00770D4D">
        <w:rPr>
          <w:rFonts w:hint="eastAsia"/>
          <w:color w:val="000000"/>
          <w:sz w:val="24"/>
          <w:lang w:val="zh-CN"/>
        </w:rPr>
        <w:t>进行</w:t>
      </w:r>
      <w:r w:rsidR="001F5EF0">
        <w:rPr>
          <w:rFonts w:hint="eastAsia"/>
          <w:color w:val="000000"/>
          <w:sz w:val="24"/>
          <w:lang w:val="zh-CN"/>
        </w:rPr>
        <w:t>研究制定。</w:t>
      </w:r>
      <w:r w:rsidRPr="0078198E">
        <w:rPr>
          <w:rFonts w:hint="eastAsia"/>
          <w:sz w:val="24"/>
        </w:rPr>
        <w:t>YY 0945.2-2015</w:t>
      </w:r>
      <w:r w:rsidRPr="0078198E">
        <w:rPr>
          <w:rFonts w:hint="eastAsia"/>
          <w:sz w:val="24"/>
        </w:rPr>
        <w:t>主要是对</w:t>
      </w:r>
      <w:proofErr w:type="gramStart"/>
      <w:r w:rsidRPr="0078198E">
        <w:rPr>
          <w:rFonts w:hint="eastAsia"/>
          <w:sz w:val="24"/>
        </w:rPr>
        <w:t>带内部</w:t>
      </w:r>
      <w:proofErr w:type="gramEnd"/>
      <w:r w:rsidRPr="0078198E">
        <w:rPr>
          <w:rFonts w:hint="eastAsia"/>
          <w:sz w:val="24"/>
        </w:rPr>
        <w:t>电源的经皮心脏起搏器提出了安全专用要求，但是并未提到经皮起搏器分析</w:t>
      </w:r>
      <w:proofErr w:type="gramStart"/>
      <w:r w:rsidRPr="0078198E">
        <w:rPr>
          <w:rFonts w:hint="eastAsia"/>
          <w:sz w:val="24"/>
        </w:rPr>
        <w:t>仪相关</w:t>
      </w:r>
      <w:proofErr w:type="gramEnd"/>
      <w:r w:rsidRPr="0078198E">
        <w:rPr>
          <w:rFonts w:hint="eastAsia"/>
          <w:sz w:val="24"/>
        </w:rPr>
        <w:t>内容。</w:t>
      </w:r>
      <w:r w:rsidRPr="0078198E">
        <w:rPr>
          <w:rFonts w:hint="eastAsia"/>
          <w:sz w:val="24"/>
        </w:rPr>
        <w:t>GB 9706.204-2022</w:t>
      </w:r>
      <w:r w:rsidRPr="0078198E">
        <w:rPr>
          <w:rFonts w:hint="eastAsia"/>
          <w:sz w:val="24"/>
        </w:rPr>
        <w:t>主要是对心脏除颤器的基本安全和性能提出的技术要求，但是并未对经皮起搏器分析仪的校准做出要求。</w:t>
      </w:r>
    </w:p>
    <w:p w:rsidR="00D95AC8" w:rsidRDefault="00CC7B78" w:rsidP="001C0706">
      <w:pPr>
        <w:spacing w:beforeLines="50" w:before="156" w:afterLines="50" w:after="156" w:line="360" w:lineRule="auto"/>
        <w:outlineLvl w:val="0"/>
        <w:rPr>
          <w:b/>
          <w:sz w:val="24"/>
        </w:rPr>
      </w:pPr>
      <w:r w:rsidRPr="001C0706">
        <w:rPr>
          <w:rFonts w:hint="eastAsia"/>
          <w:b/>
          <w:sz w:val="24"/>
        </w:rPr>
        <w:t>七、</w:t>
      </w:r>
      <w:r w:rsidRPr="001C0706">
        <w:rPr>
          <w:rFonts w:hint="eastAsia"/>
          <w:b/>
          <w:sz w:val="24"/>
        </w:rPr>
        <w:t xml:space="preserve"> </w:t>
      </w:r>
      <w:r w:rsidRPr="001C0706">
        <w:rPr>
          <w:rFonts w:hint="eastAsia"/>
          <w:b/>
          <w:sz w:val="24"/>
        </w:rPr>
        <w:t>与有关的现行法律、法规和强制性国家标准的关系</w:t>
      </w:r>
    </w:p>
    <w:p w:rsidR="00573737" w:rsidRPr="001E11D9" w:rsidRDefault="00922172" w:rsidP="001E11D9">
      <w:pPr>
        <w:spacing w:line="360" w:lineRule="auto"/>
        <w:ind w:firstLineChars="200" w:firstLine="480"/>
        <w:rPr>
          <w:sz w:val="24"/>
        </w:rPr>
      </w:pPr>
      <w:r w:rsidRPr="001E11D9">
        <w:rPr>
          <w:rFonts w:hint="eastAsia"/>
          <w:sz w:val="24"/>
        </w:rPr>
        <w:t>《</w:t>
      </w:r>
      <w:r w:rsidRPr="00922172">
        <w:rPr>
          <w:rFonts w:hint="eastAsia"/>
          <w:sz w:val="24"/>
        </w:rPr>
        <w:t>经皮起搏器分析仪校准方法</w:t>
      </w:r>
      <w:r w:rsidRPr="001E11D9">
        <w:rPr>
          <w:rFonts w:hint="eastAsia"/>
          <w:sz w:val="24"/>
        </w:rPr>
        <w:t>》标准内容符合国家现行法律、法规要求，并与参照采用的相关标准、管理办法有一定的对应关系。</w:t>
      </w:r>
      <w:r>
        <w:rPr>
          <w:rFonts w:hint="eastAsia"/>
          <w:sz w:val="24"/>
        </w:rPr>
        <w:t>本标准的制定，贯彻了国家标准法、产品质量法、强制性安全认证等法律法规要求；与现行法律</w:t>
      </w:r>
      <w:r w:rsidR="00CC7B78" w:rsidRPr="001E11D9">
        <w:rPr>
          <w:rFonts w:hint="eastAsia"/>
          <w:sz w:val="24"/>
        </w:rPr>
        <w:t>法规无抵触不矛盾。</w:t>
      </w:r>
    </w:p>
    <w:p w:rsidR="00D95AC8" w:rsidRDefault="00CC7B78" w:rsidP="001C0706">
      <w:pPr>
        <w:spacing w:beforeLines="50" w:before="156" w:afterLines="50" w:after="156" w:line="360" w:lineRule="auto"/>
        <w:outlineLvl w:val="0"/>
        <w:rPr>
          <w:b/>
          <w:sz w:val="24"/>
        </w:rPr>
      </w:pPr>
      <w:r w:rsidRPr="001C0706">
        <w:rPr>
          <w:rFonts w:hint="eastAsia"/>
          <w:b/>
          <w:sz w:val="24"/>
        </w:rPr>
        <w:t>八</w:t>
      </w:r>
      <w:r w:rsidRPr="001C0706">
        <w:rPr>
          <w:rFonts w:hint="eastAsia"/>
          <w:b/>
          <w:sz w:val="24"/>
        </w:rPr>
        <w:t xml:space="preserve"> </w:t>
      </w:r>
      <w:r w:rsidRPr="001C0706">
        <w:rPr>
          <w:rFonts w:hint="eastAsia"/>
          <w:b/>
          <w:sz w:val="24"/>
        </w:rPr>
        <w:t>、</w:t>
      </w:r>
      <w:r>
        <w:rPr>
          <w:rFonts w:hint="eastAsia"/>
          <w:b/>
          <w:sz w:val="24"/>
        </w:rPr>
        <w:t>重大分歧意见的处理经过和依据</w:t>
      </w:r>
    </w:p>
    <w:p w:rsidR="00D95AC8" w:rsidRDefault="00B614F0">
      <w:pPr>
        <w:spacing w:line="276" w:lineRule="auto"/>
        <w:ind w:firstLine="480"/>
        <w:rPr>
          <w:rFonts w:hAnsi="宋体"/>
          <w:sz w:val="24"/>
        </w:rPr>
      </w:pPr>
      <w:r w:rsidRPr="00B614F0">
        <w:rPr>
          <w:rFonts w:hint="eastAsia"/>
          <w:sz w:val="24"/>
        </w:rPr>
        <w:t>制定过程中未出现重大的分歧意见。</w:t>
      </w:r>
    </w:p>
    <w:p w:rsidR="00D95AC8" w:rsidRDefault="00CC7B78" w:rsidP="001C0706">
      <w:pPr>
        <w:spacing w:beforeLines="50" w:before="156" w:afterLines="50" w:after="156" w:line="360" w:lineRule="auto"/>
        <w:outlineLvl w:val="0"/>
        <w:rPr>
          <w:b/>
          <w:sz w:val="24"/>
        </w:rPr>
      </w:pPr>
      <w:r w:rsidRPr="001C0706">
        <w:rPr>
          <w:rFonts w:hint="eastAsia"/>
          <w:b/>
          <w:sz w:val="24"/>
        </w:rPr>
        <w:t>九</w:t>
      </w:r>
      <w:r w:rsidRPr="001C0706">
        <w:rPr>
          <w:rFonts w:hint="eastAsia"/>
          <w:b/>
          <w:sz w:val="24"/>
        </w:rPr>
        <w:t xml:space="preserve"> </w:t>
      </w:r>
      <w:r w:rsidRPr="001C0706">
        <w:rPr>
          <w:rFonts w:hint="eastAsia"/>
          <w:b/>
          <w:sz w:val="24"/>
        </w:rPr>
        <w:t>、</w:t>
      </w:r>
      <w:r w:rsidR="00FC54BA" w:rsidRPr="00FC54BA">
        <w:rPr>
          <w:rFonts w:hint="eastAsia"/>
          <w:b/>
          <w:sz w:val="24"/>
        </w:rPr>
        <w:t>废止现行有关标准的建议</w:t>
      </w:r>
    </w:p>
    <w:p w:rsidR="00D95AC8" w:rsidRDefault="00FC54BA">
      <w:pPr>
        <w:spacing w:line="276" w:lineRule="auto"/>
        <w:ind w:firstLineChars="200" w:firstLine="480"/>
        <w:jc w:val="left"/>
        <w:rPr>
          <w:rFonts w:hAnsi="宋体"/>
          <w:sz w:val="24"/>
        </w:rPr>
      </w:pPr>
      <w:r>
        <w:rPr>
          <w:rFonts w:hAnsi="宋体" w:hint="eastAsia"/>
          <w:sz w:val="24"/>
        </w:rPr>
        <w:t>无</w:t>
      </w:r>
      <w:r w:rsidR="00CC7B78">
        <w:rPr>
          <w:rFonts w:hAnsi="宋体" w:hint="eastAsia"/>
          <w:sz w:val="24"/>
        </w:rPr>
        <w:t>。</w:t>
      </w:r>
    </w:p>
    <w:p w:rsidR="00D95AC8" w:rsidRDefault="00CC7B78" w:rsidP="001C0706">
      <w:pPr>
        <w:spacing w:beforeLines="50" w:before="156" w:afterLines="50" w:after="156" w:line="360" w:lineRule="auto"/>
        <w:outlineLvl w:val="0"/>
        <w:rPr>
          <w:b/>
          <w:sz w:val="24"/>
        </w:rPr>
      </w:pPr>
      <w:r w:rsidRPr="001C0706">
        <w:rPr>
          <w:rFonts w:hint="eastAsia"/>
          <w:b/>
          <w:sz w:val="24"/>
        </w:rPr>
        <w:t>十</w:t>
      </w:r>
      <w:r w:rsidRPr="001C0706">
        <w:rPr>
          <w:rFonts w:hint="eastAsia"/>
          <w:b/>
          <w:sz w:val="24"/>
        </w:rPr>
        <w:t xml:space="preserve"> </w:t>
      </w:r>
      <w:r w:rsidR="003363CB">
        <w:rPr>
          <w:rFonts w:hint="eastAsia"/>
          <w:b/>
          <w:sz w:val="24"/>
        </w:rPr>
        <w:t>、贯彻</w:t>
      </w:r>
      <w:r w:rsidRPr="001C0706">
        <w:rPr>
          <w:rFonts w:hint="eastAsia"/>
          <w:b/>
          <w:sz w:val="24"/>
        </w:rPr>
        <w:t>标准的要求和措施建议</w:t>
      </w:r>
    </w:p>
    <w:p w:rsidR="00D95AC8" w:rsidRPr="003363CB" w:rsidRDefault="00CC7B78" w:rsidP="003363CB">
      <w:pPr>
        <w:spacing w:line="360" w:lineRule="auto"/>
        <w:ind w:firstLineChars="200" w:firstLine="480"/>
        <w:rPr>
          <w:rFonts w:hint="eastAsia"/>
          <w:sz w:val="24"/>
        </w:rPr>
      </w:pPr>
      <w:r w:rsidRPr="003363CB">
        <w:rPr>
          <w:rFonts w:hint="eastAsia"/>
          <w:sz w:val="24"/>
        </w:rPr>
        <w:lastRenderedPageBreak/>
        <w:t>应在实施前保证标准文本的充足供应</w:t>
      </w:r>
      <w:r w:rsidR="00D7160E">
        <w:rPr>
          <w:rFonts w:hint="eastAsia"/>
          <w:sz w:val="24"/>
        </w:rPr>
        <w:t>，</w:t>
      </w:r>
      <w:r w:rsidRPr="003363CB">
        <w:rPr>
          <w:rFonts w:hint="eastAsia"/>
          <w:sz w:val="24"/>
        </w:rPr>
        <w:t>以及确保各使用单位必要的试验仪器设备配备及精度符合要求。</w:t>
      </w:r>
      <w:r w:rsidR="00E45C04">
        <w:rPr>
          <w:rFonts w:hint="eastAsia"/>
          <w:sz w:val="24"/>
        </w:rPr>
        <w:t>在</w:t>
      </w:r>
      <w:r w:rsidR="00E45C04" w:rsidRPr="003363CB">
        <w:rPr>
          <w:rFonts w:hint="eastAsia"/>
          <w:sz w:val="24"/>
        </w:rPr>
        <w:t>标准</w:t>
      </w:r>
      <w:r w:rsidRPr="003363CB">
        <w:rPr>
          <w:rFonts w:hint="eastAsia"/>
          <w:sz w:val="24"/>
        </w:rPr>
        <w:t>发布后实施前，应及时组织标准的宣贯、培训，并由制定单位负责标准条文的解释。实施后，由制定单位负责实施中产生问题的汇总与备案。</w:t>
      </w:r>
    </w:p>
    <w:p w:rsidR="003363CB" w:rsidRPr="003363CB" w:rsidRDefault="003363CB" w:rsidP="003363CB">
      <w:pPr>
        <w:spacing w:line="360" w:lineRule="auto"/>
        <w:ind w:firstLineChars="200" w:firstLine="480"/>
        <w:rPr>
          <w:sz w:val="24"/>
        </w:rPr>
      </w:pPr>
      <w:r w:rsidRPr="003363CB">
        <w:rPr>
          <w:rFonts w:hint="eastAsia"/>
          <w:sz w:val="24"/>
        </w:rPr>
        <w:t>建议标准发布后，中国计量协会可组织起草单位编写标准宣贯出版物、开展专题标准培训等活动，更好地推动本标准的具体实施工作。</w:t>
      </w:r>
    </w:p>
    <w:p w:rsidR="00D95AC8" w:rsidRDefault="00CC7B78" w:rsidP="001C0706">
      <w:pPr>
        <w:spacing w:beforeLines="50" w:before="156" w:afterLines="50" w:after="156" w:line="360" w:lineRule="auto"/>
        <w:outlineLvl w:val="0"/>
        <w:rPr>
          <w:b/>
          <w:sz w:val="24"/>
        </w:rPr>
      </w:pPr>
      <w:r w:rsidRPr="001C0706">
        <w:rPr>
          <w:rFonts w:hint="eastAsia"/>
          <w:b/>
          <w:sz w:val="24"/>
        </w:rPr>
        <w:t>十一</w:t>
      </w:r>
      <w:r w:rsidRPr="001C0706">
        <w:rPr>
          <w:rFonts w:hint="eastAsia"/>
          <w:b/>
          <w:sz w:val="24"/>
        </w:rPr>
        <w:t xml:space="preserve"> </w:t>
      </w:r>
      <w:r w:rsidRPr="001C0706">
        <w:rPr>
          <w:rFonts w:hint="eastAsia"/>
          <w:b/>
          <w:sz w:val="24"/>
        </w:rPr>
        <w:t>、</w:t>
      </w:r>
      <w:r>
        <w:rPr>
          <w:rFonts w:hint="eastAsia"/>
          <w:b/>
          <w:sz w:val="24"/>
        </w:rPr>
        <w:t>其他应予说明的事项</w:t>
      </w:r>
    </w:p>
    <w:p w:rsidR="00FD6D86" w:rsidRDefault="00FD6D86" w:rsidP="00FD6D86">
      <w:pPr>
        <w:spacing w:line="276" w:lineRule="auto"/>
        <w:ind w:firstLineChars="200" w:firstLine="480"/>
        <w:jc w:val="left"/>
        <w:rPr>
          <w:rFonts w:hAnsi="宋体"/>
          <w:sz w:val="24"/>
        </w:rPr>
      </w:pPr>
      <w:r>
        <w:rPr>
          <w:rFonts w:hAnsi="宋体" w:hint="eastAsia"/>
          <w:sz w:val="24"/>
        </w:rPr>
        <w:t>无。</w:t>
      </w:r>
    </w:p>
    <w:p w:rsidR="00D95AC8" w:rsidRDefault="00E62042" w:rsidP="00E62042">
      <w:pPr>
        <w:autoSpaceDE w:val="0"/>
        <w:autoSpaceDN w:val="0"/>
        <w:adjustRightInd w:val="0"/>
        <w:spacing w:line="360" w:lineRule="auto"/>
        <w:ind w:right="480" w:firstLineChars="200" w:firstLine="482"/>
        <w:jc w:val="right"/>
        <w:rPr>
          <w:rFonts w:hAnsi="Calibri"/>
          <w:b/>
          <w:color w:val="000000"/>
          <w:kern w:val="0"/>
          <w:sz w:val="24"/>
          <w:lang w:bidi="en-US"/>
        </w:rPr>
      </w:pPr>
      <w:r w:rsidRPr="00E62042">
        <w:rPr>
          <w:rFonts w:hAnsi="Calibri" w:hint="eastAsia"/>
          <w:b/>
          <w:color w:val="000000"/>
          <w:kern w:val="0"/>
          <w:sz w:val="24"/>
          <w:lang w:bidi="en-US"/>
        </w:rPr>
        <w:t>经皮起搏器分析仪校准方法</w:t>
      </w:r>
      <w:r w:rsidR="00CC7B78">
        <w:rPr>
          <w:rFonts w:hAnsi="Calibri" w:hint="eastAsia"/>
          <w:b/>
          <w:color w:val="000000"/>
          <w:kern w:val="0"/>
          <w:sz w:val="24"/>
          <w:lang w:bidi="en-US"/>
        </w:rPr>
        <w:t>编写小组</w:t>
      </w:r>
    </w:p>
    <w:p w:rsidR="00D95AC8" w:rsidRDefault="00CC7B78">
      <w:pPr>
        <w:autoSpaceDE w:val="0"/>
        <w:autoSpaceDN w:val="0"/>
        <w:adjustRightInd w:val="0"/>
        <w:spacing w:line="360" w:lineRule="auto"/>
        <w:ind w:right="480" w:firstLineChars="200" w:firstLine="482"/>
        <w:jc w:val="center"/>
        <w:rPr>
          <w:color w:val="000000"/>
          <w:sz w:val="24"/>
        </w:rPr>
      </w:pPr>
      <w:r>
        <w:rPr>
          <w:rFonts w:hint="eastAsia"/>
          <w:b/>
          <w:color w:val="000000"/>
          <w:sz w:val="24"/>
        </w:rPr>
        <w:t xml:space="preserve">                                    </w:t>
      </w:r>
      <w:r w:rsidR="00E62042">
        <w:rPr>
          <w:b/>
          <w:color w:val="000000"/>
          <w:sz w:val="24"/>
        </w:rPr>
        <w:t>202</w:t>
      </w:r>
      <w:r w:rsidR="00E62042">
        <w:rPr>
          <w:rFonts w:hint="eastAsia"/>
          <w:b/>
          <w:color w:val="000000"/>
          <w:sz w:val="24"/>
        </w:rPr>
        <w:t>5</w:t>
      </w:r>
      <w:r w:rsidR="00E62042">
        <w:rPr>
          <w:b/>
          <w:color w:val="000000"/>
          <w:sz w:val="24"/>
        </w:rPr>
        <w:t>-</w:t>
      </w:r>
      <w:r w:rsidR="00E62042">
        <w:rPr>
          <w:rFonts w:hint="eastAsia"/>
          <w:b/>
          <w:color w:val="000000"/>
          <w:sz w:val="24"/>
        </w:rPr>
        <w:t>11</w:t>
      </w:r>
      <w:r w:rsidR="00E62042">
        <w:rPr>
          <w:b/>
          <w:color w:val="000000"/>
          <w:sz w:val="24"/>
        </w:rPr>
        <w:t>-</w:t>
      </w:r>
      <w:r w:rsidR="00E62042">
        <w:rPr>
          <w:rFonts w:hint="eastAsia"/>
          <w:b/>
          <w:color w:val="000000"/>
          <w:sz w:val="24"/>
        </w:rPr>
        <w:t>24</w:t>
      </w:r>
      <w:r>
        <w:rPr>
          <w:b/>
          <w:color w:val="000000"/>
          <w:sz w:val="24"/>
        </w:rPr>
        <w:t xml:space="preserve"> </w:t>
      </w:r>
    </w:p>
    <w:sectPr w:rsidR="00D95AC8">
      <w:headerReference w:type="default" r:id="rId9"/>
      <w:footerReference w:type="even"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CB2" w:rsidRDefault="00CB5CB2">
      <w:r>
        <w:separator/>
      </w:r>
    </w:p>
  </w:endnote>
  <w:endnote w:type="continuationSeparator" w:id="0">
    <w:p w:rsidR="00CB5CB2" w:rsidRDefault="00CB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AC8" w:rsidRDefault="00CC7B78">
    <w:pPr>
      <w:pStyle w:val="a8"/>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D95AC8" w:rsidRDefault="00D95AC8">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AC8" w:rsidRDefault="00CC7B78">
    <w:pPr>
      <w:pStyle w:val="a8"/>
      <w:ind w:right="360"/>
      <w:jc w:val="cente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7D43B8">
      <w:rPr>
        <w:noProof/>
        <w:kern w:val="0"/>
        <w:szCs w:val="21"/>
      </w:rPr>
      <w:t>3</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7D43B8">
      <w:rPr>
        <w:noProof/>
        <w:kern w:val="0"/>
        <w:szCs w:val="21"/>
      </w:rPr>
      <w:t>7</w:t>
    </w:r>
    <w:r>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CB2" w:rsidRDefault="00CB5CB2">
      <w:r>
        <w:separator/>
      </w:r>
    </w:p>
  </w:footnote>
  <w:footnote w:type="continuationSeparator" w:id="0">
    <w:p w:rsidR="00CB5CB2" w:rsidRDefault="00CB5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AC8" w:rsidRDefault="00CC7B78">
    <w:pPr>
      <w:pStyle w:val="1"/>
      <w:numPr>
        <w:ilvl w:val="0"/>
        <w:numId w:val="0"/>
      </w:numPr>
      <w:tabs>
        <w:tab w:val="left" w:pos="8364"/>
      </w:tabs>
      <w:snapToGrid w:val="0"/>
      <w:spacing w:before="0" w:after="0" w:line="240" w:lineRule="auto"/>
      <w:ind w:left="142" w:right="240"/>
      <w:jc w:val="center"/>
      <w:rPr>
        <w:b w:val="0"/>
        <w:sz w:val="21"/>
        <w:szCs w:val="21"/>
      </w:rPr>
    </w:pPr>
    <w:r>
      <w:rPr>
        <w:rFonts w:hint="eastAsia"/>
        <w:b w:val="0"/>
        <w:kern w:val="2"/>
        <w:sz w:val="21"/>
        <w:szCs w:val="21"/>
      </w:rPr>
      <w:t>《</w:t>
    </w:r>
    <w:r w:rsidR="00BF7D65" w:rsidRPr="00BF7D65">
      <w:rPr>
        <w:rFonts w:hint="eastAsia"/>
        <w:b w:val="0"/>
        <w:kern w:val="2"/>
        <w:sz w:val="21"/>
        <w:szCs w:val="21"/>
      </w:rPr>
      <w:t>经皮起搏器分析仪校准方法</w:t>
    </w:r>
    <w:r>
      <w:rPr>
        <w:rFonts w:hint="eastAsia"/>
        <w:b w:val="0"/>
        <w:kern w:val="2"/>
        <w:sz w:val="21"/>
        <w:szCs w:val="21"/>
      </w:rPr>
      <w:t>》</w:t>
    </w:r>
    <w:r w:rsidR="00014CA5" w:rsidRPr="00014CA5">
      <w:rPr>
        <w:rFonts w:hint="eastAsia"/>
        <w:b w:val="0"/>
        <w:sz w:val="21"/>
        <w:szCs w:val="21"/>
      </w:rPr>
      <w:t>编制说明</w:t>
    </w:r>
  </w:p>
  <w:p w:rsidR="00D95AC8" w:rsidRDefault="00CC7B78">
    <w:r>
      <w:rPr>
        <w:rFonts w:hint="eastAsia"/>
        <w:noProof/>
      </w:rPr>
      <mc:AlternateContent>
        <mc:Choice Requires="wps">
          <w:drawing>
            <wp:anchor distT="0" distB="0" distL="114300" distR="114300" simplePos="0" relativeHeight="251659264" behindDoc="0" locked="0" layoutInCell="1" allowOverlap="1" wp14:anchorId="3C8CFFEE" wp14:editId="08431B17">
              <wp:simplePos x="0" y="0"/>
              <wp:positionH relativeFrom="column">
                <wp:posOffset>0</wp:posOffset>
              </wp:positionH>
              <wp:positionV relativeFrom="paragraph">
                <wp:posOffset>3175</wp:posOffset>
              </wp:positionV>
              <wp:extent cx="5257800" cy="0"/>
              <wp:effectExtent l="9525" t="12700" r="9525" b="63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Line 3" o:spid="_x0000_s1026" o:spt="20" style="position:absolute;left:0pt;margin-left:0pt;margin-top:0.25pt;height:0pt;width:414pt;z-index:251659264;mso-width-relative:page;mso-height-relative:page;" filled="f" stroked="t" coordsize="21600,21600" o:gfxdata="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F35VnXQAAAAAgEAAA8AAAAAAAAAAQAgAAAAIgAAAGRycy9kb3ducmV2Lnht&#10;bFBLAQIUABQAAAAIAIdO4kBhQWveyAEAAJ8DAAAOAAAAAAAAAAEAIAAAAB8BAABkcnMvZTJvRG9j&#10;LnhtbFBLBQYAAAAABgAGAFkBAABZBQAAAAA=&#10;">
              <v:fill on="f" focussize="0,0"/>
              <v:stroke color="#00000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start w:val="1"/>
      <w:numFmt w:val="decimal"/>
      <w:pStyle w:val="1"/>
      <w:lvlText w:val="%1"/>
      <w:lvlJc w:val="left"/>
      <w:pPr>
        <w:ind w:left="432" w:hanging="432"/>
      </w:pPr>
      <w:rPr>
        <w:rFonts w:hint="eastAsia"/>
      </w:rPr>
    </w:lvl>
    <w:lvl w:ilvl="1">
      <w:start w:val="1"/>
      <w:numFmt w:val="decimal"/>
      <w:lvlRestart w:val="0"/>
      <w:pStyle w:val="2"/>
      <w:lvlText w:val="3.%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7.3.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nsid w:val="5E59477B"/>
    <w:multiLevelType w:val="multilevel"/>
    <w:tmpl w:val="5E59477B"/>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1"/>
  <w:drawingGridVerticalSpacing w:val="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3MjBhODg1M2JkNTRhMDFhZDQyZTU2ZDhiOWZlYTIifQ=="/>
  </w:docVars>
  <w:rsids>
    <w:rsidRoot w:val="00E34560"/>
    <w:rsid w:val="00000D3E"/>
    <w:rsid w:val="00001790"/>
    <w:rsid w:val="00004C9B"/>
    <w:rsid w:val="0000541E"/>
    <w:rsid w:val="00014CA5"/>
    <w:rsid w:val="00026D5A"/>
    <w:rsid w:val="00027479"/>
    <w:rsid w:val="000319D6"/>
    <w:rsid w:val="00036127"/>
    <w:rsid w:val="00036666"/>
    <w:rsid w:val="00037352"/>
    <w:rsid w:val="00041757"/>
    <w:rsid w:val="000421FC"/>
    <w:rsid w:val="00042C40"/>
    <w:rsid w:val="00044DCB"/>
    <w:rsid w:val="0004561B"/>
    <w:rsid w:val="0004726A"/>
    <w:rsid w:val="00047A9A"/>
    <w:rsid w:val="000548A0"/>
    <w:rsid w:val="00060F35"/>
    <w:rsid w:val="0006211D"/>
    <w:rsid w:val="00070AE5"/>
    <w:rsid w:val="00071404"/>
    <w:rsid w:val="00071A70"/>
    <w:rsid w:val="00072955"/>
    <w:rsid w:val="000733FE"/>
    <w:rsid w:val="00076FBF"/>
    <w:rsid w:val="00080C0B"/>
    <w:rsid w:val="00081E96"/>
    <w:rsid w:val="00084171"/>
    <w:rsid w:val="00087B59"/>
    <w:rsid w:val="00087CFD"/>
    <w:rsid w:val="00091DE8"/>
    <w:rsid w:val="00092912"/>
    <w:rsid w:val="00093058"/>
    <w:rsid w:val="00094C17"/>
    <w:rsid w:val="000A0FE0"/>
    <w:rsid w:val="000A1438"/>
    <w:rsid w:val="000A15F5"/>
    <w:rsid w:val="000A2D77"/>
    <w:rsid w:val="000A3CBE"/>
    <w:rsid w:val="000B0DDC"/>
    <w:rsid w:val="000B142D"/>
    <w:rsid w:val="000B21D3"/>
    <w:rsid w:val="000C066D"/>
    <w:rsid w:val="000C08AC"/>
    <w:rsid w:val="000D04B2"/>
    <w:rsid w:val="000D1372"/>
    <w:rsid w:val="000D4783"/>
    <w:rsid w:val="000D4EC5"/>
    <w:rsid w:val="000D4ED8"/>
    <w:rsid w:val="000D6289"/>
    <w:rsid w:val="000D7BE6"/>
    <w:rsid w:val="000E05FC"/>
    <w:rsid w:val="000E7258"/>
    <w:rsid w:val="000F06E1"/>
    <w:rsid w:val="000F3743"/>
    <w:rsid w:val="000F6481"/>
    <w:rsid w:val="000F6B9A"/>
    <w:rsid w:val="000F7E3C"/>
    <w:rsid w:val="0010179C"/>
    <w:rsid w:val="00102EC4"/>
    <w:rsid w:val="001045E9"/>
    <w:rsid w:val="001057D3"/>
    <w:rsid w:val="0010696E"/>
    <w:rsid w:val="0010706B"/>
    <w:rsid w:val="00112362"/>
    <w:rsid w:val="0013081B"/>
    <w:rsid w:val="00132F9E"/>
    <w:rsid w:val="0013476C"/>
    <w:rsid w:val="001349A2"/>
    <w:rsid w:val="0013728C"/>
    <w:rsid w:val="0013756B"/>
    <w:rsid w:val="00142053"/>
    <w:rsid w:val="001429FB"/>
    <w:rsid w:val="001472C1"/>
    <w:rsid w:val="00147D73"/>
    <w:rsid w:val="0015140C"/>
    <w:rsid w:val="00152A4B"/>
    <w:rsid w:val="00154EE3"/>
    <w:rsid w:val="00155F58"/>
    <w:rsid w:val="0016440B"/>
    <w:rsid w:val="001732B3"/>
    <w:rsid w:val="00180736"/>
    <w:rsid w:val="00181459"/>
    <w:rsid w:val="00186458"/>
    <w:rsid w:val="00187A1E"/>
    <w:rsid w:val="0019027E"/>
    <w:rsid w:val="00191B61"/>
    <w:rsid w:val="00191FFC"/>
    <w:rsid w:val="00193674"/>
    <w:rsid w:val="0019702B"/>
    <w:rsid w:val="0019753D"/>
    <w:rsid w:val="001A1D6E"/>
    <w:rsid w:val="001A260E"/>
    <w:rsid w:val="001A274A"/>
    <w:rsid w:val="001A2E84"/>
    <w:rsid w:val="001A33F0"/>
    <w:rsid w:val="001A3B11"/>
    <w:rsid w:val="001A583F"/>
    <w:rsid w:val="001B48A6"/>
    <w:rsid w:val="001B6249"/>
    <w:rsid w:val="001B6E11"/>
    <w:rsid w:val="001B7CAF"/>
    <w:rsid w:val="001B7E65"/>
    <w:rsid w:val="001C0706"/>
    <w:rsid w:val="001C175A"/>
    <w:rsid w:val="001D16D3"/>
    <w:rsid w:val="001D235D"/>
    <w:rsid w:val="001D28BC"/>
    <w:rsid w:val="001D30DC"/>
    <w:rsid w:val="001D3F41"/>
    <w:rsid w:val="001D61C1"/>
    <w:rsid w:val="001D6906"/>
    <w:rsid w:val="001E11D9"/>
    <w:rsid w:val="001E2D51"/>
    <w:rsid w:val="001E57EC"/>
    <w:rsid w:val="001F0676"/>
    <w:rsid w:val="001F0B6F"/>
    <w:rsid w:val="001F5049"/>
    <w:rsid w:val="001F5EF0"/>
    <w:rsid w:val="00202C63"/>
    <w:rsid w:val="00204863"/>
    <w:rsid w:val="00213336"/>
    <w:rsid w:val="00214035"/>
    <w:rsid w:val="00215493"/>
    <w:rsid w:val="0022311B"/>
    <w:rsid w:val="0022483F"/>
    <w:rsid w:val="00226C0E"/>
    <w:rsid w:val="0022702D"/>
    <w:rsid w:val="00227C59"/>
    <w:rsid w:val="00232914"/>
    <w:rsid w:val="00235284"/>
    <w:rsid w:val="00235693"/>
    <w:rsid w:val="00235B83"/>
    <w:rsid w:val="002367BB"/>
    <w:rsid w:val="00236C64"/>
    <w:rsid w:val="002400A3"/>
    <w:rsid w:val="002430BE"/>
    <w:rsid w:val="002431AC"/>
    <w:rsid w:val="00244829"/>
    <w:rsid w:val="00245B40"/>
    <w:rsid w:val="002518A4"/>
    <w:rsid w:val="00255B47"/>
    <w:rsid w:val="00260594"/>
    <w:rsid w:val="00260F7A"/>
    <w:rsid w:val="00271E81"/>
    <w:rsid w:val="0027212F"/>
    <w:rsid w:val="00275A6D"/>
    <w:rsid w:val="00276033"/>
    <w:rsid w:val="00277406"/>
    <w:rsid w:val="00280573"/>
    <w:rsid w:val="00283C9F"/>
    <w:rsid w:val="00285B6A"/>
    <w:rsid w:val="00286283"/>
    <w:rsid w:val="0028715F"/>
    <w:rsid w:val="002951A4"/>
    <w:rsid w:val="002A5DC3"/>
    <w:rsid w:val="002B40CE"/>
    <w:rsid w:val="002B6875"/>
    <w:rsid w:val="002B6BC6"/>
    <w:rsid w:val="002C047A"/>
    <w:rsid w:val="002C2CF7"/>
    <w:rsid w:val="002C5447"/>
    <w:rsid w:val="002C6039"/>
    <w:rsid w:val="002C70C7"/>
    <w:rsid w:val="002C799F"/>
    <w:rsid w:val="002D0A2E"/>
    <w:rsid w:val="002D0FF5"/>
    <w:rsid w:val="002D231B"/>
    <w:rsid w:val="002D4973"/>
    <w:rsid w:val="002D6C54"/>
    <w:rsid w:val="002D78D2"/>
    <w:rsid w:val="002E1F9B"/>
    <w:rsid w:val="002E38BF"/>
    <w:rsid w:val="002E7F4A"/>
    <w:rsid w:val="002F3E88"/>
    <w:rsid w:val="002F52F8"/>
    <w:rsid w:val="002F7F81"/>
    <w:rsid w:val="003026EB"/>
    <w:rsid w:val="0030496B"/>
    <w:rsid w:val="00305AAF"/>
    <w:rsid w:val="0030627D"/>
    <w:rsid w:val="0031041C"/>
    <w:rsid w:val="00315A4D"/>
    <w:rsid w:val="0031635A"/>
    <w:rsid w:val="0031665E"/>
    <w:rsid w:val="003174DE"/>
    <w:rsid w:val="00317603"/>
    <w:rsid w:val="003205E5"/>
    <w:rsid w:val="003218C6"/>
    <w:rsid w:val="00322343"/>
    <w:rsid w:val="0032488E"/>
    <w:rsid w:val="00326EF0"/>
    <w:rsid w:val="00333C55"/>
    <w:rsid w:val="003363CB"/>
    <w:rsid w:val="00337657"/>
    <w:rsid w:val="003424E1"/>
    <w:rsid w:val="00345D3F"/>
    <w:rsid w:val="00347148"/>
    <w:rsid w:val="00354942"/>
    <w:rsid w:val="0035698A"/>
    <w:rsid w:val="00356FCB"/>
    <w:rsid w:val="00360C8D"/>
    <w:rsid w:val="00360E20"/>
    <w:rsid w:val="00362297"/>
    <w:rsid w:val="00364314"/>
    <w:rsid w:val="00371D38"/>
    <w:rsid w:val="003736F9"/>
    <w:rsid w:val="003771B0"/>
    <w:rsid w:val="00383CA1"/>
    <w:rsid w:val="00390D94"/>
    <w:rsid w:val="00391AF4"/>
    <w:rsid w:val="00391E1C"/>
    <w:rsid w:val="00392F85"/>
    <w:rsid w:val="00393DF8"/>
    <w:rsid w:val="0039414E"/>
    <w:rsid w:val="003A0B72"/>
    <w:rsid w:val="003A1C05"/>
    <w:rsid w:val="003A258F"/>
    <w:rsid w:val="003A6FE4"/>
    <w:rsid w:val="003B1C9D"/>
    <w:rsid w:val="003B27F1"/>
    <w:rsid w:val="003B6F1A"/>
    <w:rsid w:val="003C0D2A"/>
    <w:rsid w:val="003C28D0"/>
    <w:rsid w:val="003C2EB8"/>
    <w:rsid w:val="003C4A69"/>
    <w:rsid w:val="003C71E7"/>
    <w:rsid w:val="003D488D"/>
    <w:rsid w:val="003D5605"/>
    <w:rsid w:val="003D7ED0"/>
    <w:rsid w:val="003E12BF"/>
    <w:rsid w:val="003E1DB2"/>
    <w:rsid w:val="003E28D4"/>
    <w:rsid w:val="003F0326"/>
    <w:rsid w:val="003F18A3"/>
    <w:rsid w:val="003F33DD"/>
    <w:rsid w:val="003F529E"/>
    <w:rsid w:val="00401B08"/>
    <w:rsid w:val="00402FC0"/>
    <w:rsid w:val="00404C74"/>
    <w:rsid w:val="00411754"/>
    <w:rsid w:val="00413EF5"/>
    <w:rsid w:val="00430CF6"/>
    <w:rsid w:val="004316DE"/>
    <w:rsid w:val="0043188D"/>
    <w:rsid w:val="00434865"/>
    <w:rsid w:val="00436083"/>
    <w:rsid w:val="00443F38"/>
    <w:rsid w:val="00463204"/>
    <w:rsid w:val="00463F66"/>
    <w:rsid w:val="00464C6B"/>
    <w:rsid w:val="0046555F"/>
    <w:rsid w:val="00467F61"/>
    <w:rsid w:val="00471E4C"/>
    <w:rsid w:val="00477367"/>
    <w:rsid w:val="00480A2F"/>
    <w:rsid w:val="004817C9"/>
    <w:rsid w:val="004832C2"/>
    <w:rsid w:val="00485259"/>
    <w:rsid w:val="00485C1F"/>
    <w:rsid w:val="00485EEC"/>
    <w:rsid w:val="00487950"/>
    <w:rsid w:val="004909FE"/>
    <w:rsid w:val="00492095"/>
    <w:rsid w:val="0049294F"/>
    <w:rsid w:val="00497CC1"/>
    <w:rsid w:val="004A07A6"/>
    <w:rsid w:val="004A0928"/>
    <w:rsid w:val="004A1924"/>
    <w:rsid w:val="004A3404"/>
    <w:rsid w:val="004A5D2E"/>
    <w:rsid w:val="004A6EC7"/>
    <w:rsid w:val="004B0013"/>
    <w:rsid w:val="004B25CE"/>
    <w:rsid w:val="004B369D"/>
    <w:rsid w:val="004B5667"/>
    <w:rsid w:val="004C19F8"/>
    <w:rsid w:val="004C6592"/>
    <w:rsid w:val="004C6C60"/>
    <w:rsid w:val="004D03F4"/>
    <w:rsid w:val="004D156D"/>
    <w:rsid w:val="004D22C3"/>
    <w:rsid w:val="004D7CB4"/>
    <w:rsid w:val="004E2A42"/>
    <w:rsid w:val="004E2E10"/>
    <w:rsid w:val="004E5DD4"/>
    <w:rsid w:val="004E5FFC"/>
    <w:rsid w:val="004E6565"/>
    <w:rsid w:val="004F2957"/>
    <w:rsid w:val="004F2DD3"/>
    <w:rsid w:val="004F3BB6"/>
    <w:rsid w:val="004F437D"/>
    <w:rsid w:val="004F4733"/>
    <w:rsid w:val="004F6882"/>
    <w:rsid w:val="00501A88"/>
    <w:rsid w:val="00504343"/>
    <w:rsid w:val="00505B38"/>
    <w:rsid w:val="00506797"/>
    <w:rsid w:val="00507364"/>
    <w:rsid w:val="00516173"/>
    <w:rsid w:val="0051783C"/>
    <w:rsid w:val="00517A0F"/>
    <w:rsid w:val="00521E76"/>
    <w:rsid w:val="00523279"/>
    <w:rsid w:val="005243AC"/>
    <w:rsid w:val="00531611"/>
    <w:rsid w:val="00533858"/>
    <w:rsid w:val="005442C2"/>
    <w:rsid w:val="005469D6"/>
    <w:rsid w:val="00550298"/>
    <w:rsid w:val="00552671"/>
    <w:rsid w:val="00553414"/>
    <w:rsid w:val="00557B6B"/>
    <w:rsid w:val="005628A1"/>
    <w:rsid w:val="005661A4"/>
    <w:rsid w:val="005700BC"/>
    <w:rsid w:val="00571D83"/>
    <w:rsid w:val="005721A3"/>
    <w:rsid w:val="00573057"/>
    <w:rsid w:val="00573737"/>
    <w:rsid w:val="00574C88"/>
    <w:rsid w:val="00576443"/>
    <w:rsid w:val="00581BF6"/>
    <w:rsid w:val="00581E6B"/>
    <w:rsid w:val="00584DB0"/>
    <w:rsid w:val="005850FB"/>
    <w:rsid w:val="0058575D"/>
    <w:rsid w:val="00592945"/>
    <w:rsid w:val="0059452F"/>
    <w:rsid w:val="00596276"/>
    <w:rsid w:val="005A0391"/>
    <w:rsid w:val="005A0BBA"/>
    <w:rsid w:val="005A2979"/>
    <w:rsid w:val="005A3005"/>
    <w:rsid w:val="005A633F"/>
    <w:rsid w:val="005B2F89"/>
    <w:rsid w:val="005B58AC"/>
    <w:rsid w:val="005B5DD9"/>
    <w:rsid w:val="005B7112"/>
    <w:rsid w:val="005C0032"/>
    <w:rsid w:val="005C033A"/>
    <w:rsid w:val="005C1674"/>
    <w:rsid w:val="005C215E"/>
    <w:rsid w:val="005C3201"/>
    <w:rsid w:val="005C324F"/>
    <w:rsid w:val="005C3F2A"/>
    <w:rsid w:val="005C7B25"/>
    <w:rsid w:val="005C7C35"/>
    <w:rsid w:val="005C7ECC"/>
    <w:rsid w:val="005D1BBF"/>
    <w:rsid w:val="005D4671"/>
    <w:rsid w:val="005D492A"/>
    <w:rsid w:val="005D4DAB"/>
    <w:rsid w:val="005D71B0"/>
    <w:rsid w:val="005D7532"/>
    <w:rsid w:val="005E48B0"/>
    <w:rsid w:val="005F2AEC"/>
    <w:rsid w:val="005F31B3"/>
    <w:rsid w:val="006015C5"/>
    <w:rsid w:val="00602906"/>
    <w:rsid w:val="00605055"/>
    <w:rsid w:val="00605402"/>
    <w:rsid w:val="00605F26"/>
    <w:rsid w:val="00612632"/>
    <w:rsid w:val="00613314"/>
    <w:rsid w:val="00615859"/>
    <w:rsid w:val="00617293"/>
    <w:rsid w:val="006200A9"/>
    <w:rsid w:val="00630B64"/>
    <w:rsid w:val="00631CE5"/>
    <w:rsid w:val="00631FDA"/>
    <w:rsid w:val="00645146"/>
    <w:rsid w:val="006470A5"/>
    <w:rsid w:val="0065011D"/>
    <w:rsid w:val="00664F97"/>
    <w:rsid w:val="00671208"/>
    <w:rsid w:val="006721FD"/>
    <w:rsid w:val="00674959"/>
    <w:rsid w:val="0067585A"/>
    <w:rsid w:val="00675F8B"/>
    <w:rsid w:val="006805C6"/>
    <w:rsid w:val="00684AE0"/>
    <w:rsid w:val="00684B92"/>
    <w:rsid w:val="00685239"/>
    <w:rsid w:val="0068610A"/>
    <w:rsid w:val="00693636"/>
    <w:rsid w:val="006947F2"/>
    <w:rsid w:val="0069592D"/>
    <w:rsid w:val="006A30E5"/>
    <w:rsid w:val="006A408E"/>
    <w:rsid w:val="006B1408"/>
    <w:rsid w:val="006B1AE5"/>
    <w:rsid w:val="006B1BB0"/>
    <w:rsid w:val="006B2472"/>
    <w:rsid w:val="006B38D5"/>
    <w:rsid w:val="006B78D7"/>
    <w:rsid w:val="006C4D64"/>
    <w:rsid w:val="006C4E86"/>
    <w:rsid w:val="006D0E2B"/>
    <w:rsid w:val="006E6A7F"/>
    <w:rsid w:val="006E7DCF"/>
    <w:rsid w:val="006F3523"/>
    <w:rsid w:val="006F37D5"/>
    <w:rsid w:val="00703260"/>
    <w:rsid w:val="007042FC"/>
    <w:rsid w:val="00706A2A"/>
    <w:rsid w:val="00710770"/>
    <w:rsid w:val="00710846"/>
    <w:rsid w:val="0071193E"/>
    <w:rsid w:val="0071368E"/>
    <w:rsid w:val="00715992"/>
    <w:rsid w:val="00722F49"/>
    <w:rsid w:val="00723710"/>
    <w:rsid w:val="00731DC1"/>
    <w:rsid w:val="0073513F"/>
    <w:rsid w:val="007371E9"/>
    <w:rsid w:val="00737961"/>
    <w:rsid w:val="00740951"/>
    <w:rsid w:val="00742E1A"/>
    <w:rsid w:val="007576C0"/>
    <w:rsid w:val="00765538"/>
    <w:rsid w:val="0076624D"/>
    <w:rsid w:val="00767641"/>
    <w:rsid w:val="00767984"/>
    <w:rsid w:val="00770983"/>
    <w:rsid w:val="00770D4D"/>
    <w:rsid w:val="00773BFD"/>
    <w:rsid w:val="00774656"/>
    <w:rsid w:val="00775E9B"/>
    <w:rsid w:val="0078198E"/>
    <w:rsid w:val="00782DA2"/>
    <w:rsid w:val="00783005"/>
    <w:rsid w:val="00792884"/>
    <w:rsid w:val="0079306E"/>
    <w:rsid w:val="00796071"/>
    <w:rsid w:val="007A087C"/>
    <w:rsid w:val="007A0A48"/>
    <w:rsid w:val="007A57ED"/>
    <w:rsid w:val="007B1674"/>
    <w:rsid w:val="007B1937"/>
    <w:rsid w:val="007B36AB"/>
    <w:rsid w:val="007B4725"/>
    <w:rsid w:val="007B7134"/>
    <w:rsid w:val="007C02A2"/>
    <w:rsid w:val="007C3BFF"/>
    <w:rsid w:val="007C48F7"/>
    <w:rsid w:val="007C5737"/>
    <w:rsid w:val="007C7878"/>
    <w:rsid w:val="007D0AE8"/>
    <w:rsid w:val="007D3CB5"/>
    <w:rsid w:val="007D43B8"/>
    <w:rsid w:val="007D4A7F"/>
    <w:rsid w:val="007E0228"/>
    <w:rsid w:val="007E1CEF"/>
    <w:rsid w:val="007E5367"/>
    <w:rsid w:val="007E5753"/>
    <w:rsid w:val="007E59CA"/>
    <w:rsid w:val="007E761B"/>
    <w:rsid w:val="007F0604"/>
    <w:rsid w:val="007F1588"/>
    <w:rsid w:val="007F1766"/>
    <w:rsid w:val="007F31B0"/>
    <w:rsid w:val="00800BD2"/>
    <w:rsid w:val="00800FC9"/>
    <w:rsid w:val="00802B47"/>
    <w:rsid w:val="00802CE7"/>
    <w:rsid w:val="00802DF5"/>
    <w:rsid w:val="00805595"/>
    <w:rsid w:val="008063F8"/>
    <w:rsid w:val="008079BE"/>
    <w:rsid w:val="00807BF5"/>
    <w:rsid w:val="00811964"/>
    <w:rsid w:val="0081799B"/>
    <w:rsid w:val="0082308A"/>
    <w:rsid w:val="00823245"/>
    <w:rsid w:val="00830469"/>
    <w:rsid w:val="00831C53"/>
    <w:rsid w:val="00832A20"/>
    <w:rsid w:val="00834F2B"/>
    <w:rsid w:val="00835233"/>
    <w:rsid w:val="008362F5"/>
    <w:rsid w:val="00836896"/>
    <w:rsid w:val="0083726F"/>
    <w:rsid w:val="00841BF8"/>
    <w:rsid w:val="00842AFE"/>
    <w:rsid w:val="0084654D"/>
    <w:rsid w:val="00855398"/>
    <w:rsid w:val="008555D0"/>
    <w:rsid w:val="00862746"/>
    <w:rsid w:val="00863731"/>
    <w:rsid w:val="00863E9F"/>
    <w:rsid w:val="00866C91"/>
    <w:rsid w:val="00870DB5"/>
    <w:rsid w:val="00873B72"/>
    <w:rsid w:val="00874939"/>
    <w:rsid w:val="00875940"/>
    <w:rsid w:val="008763E9"/>
    <w:rsid w:val="00881457"/>
    <w:rsid w:val="00881DAD"/>
    <w:rsid w:val="0088244B"/>
    <w:rsid w:val="00882C31"/>
    <w:rsid w:val="00882D89"/>
    <w:rsid w:val="0088374F"/>
    <w:rsid w:val="00886786"/>
    <w:rsid w:val="00890846"/>
    <w:rsid w:val="008938E5"/>
    <w:rsid w:val="00897BD6"/>
    <w:rsid w:val="008A0DA2"/>
    <w:rsid w:val="008A0DD4"/>
    <w:rsid w:val="008A14CF"/>
    <w:rsid w:val="008A303E"/>
    <w:rsid w:val="008A499B"/>
    <w:rsid w:val="008A4F55"/>
    <w:rsid w:val="008A4FC8"/>
    <w:rsid w:val="008A773C"/>
    <w:rsid w:val="008A7E71"/>
    <w:rsid w:val="008B0C62"/>
    <w:rsid w:val="008B5F27"/>
    <w:rsid w:val="008C561B"/>
    <w:rsid w:val="008C6ABD"/>
    <w:rsid w:val="008C7F00"/>
    <w:rsid w:val="008D1691"/>
    <w:rsid w:val="008D5A64"/>
    <w:rsid w:val="008D6B36"/>
    <w:rsid w:val="008D736D"/>
    <w:rsid w:val="008D740F"/>
    <w:rsid w:val="008E028B"/>
    <w:rsid w:val="008E1312"/>
    <w:rsid w:val="008E20F2"/>
    <w:rsid w:val="008E3E82"/>
    <w:rsid w:val="008F21E8"/>
    <w:rsid w:val="008F3912"/>
    <w:rsid w:val="008F3EC3"/>
    <w:rsid w:val="008F5164"/>
    <w:rsid w:val="008F66FE"/>
    <w:rsid w:val="008F6C3C"/>
    <w:rsid w:val="008F6C60"/>
    <w:rsid w:val="008F7B51"/>
    <w:rsid w:val="009040AA"/>
    <w:rsid w:val="009062B0"/>
    <w:rsid w:val="00911077"/>
    <w:rsid w:val="009117B9"/>
    <w:rsid w:val="00914396"/>
    <w:rsid w:val="009154CF"/>
    <w:rsid w:val="00917595"/>
    <w:rsid w:val="00917A20"/>
    <w:rsid w:val="00922172"/>
    <w:rsid w:val="00922303"/>
    <w:rsid w:val="00926BEA"/>
    <w:rsid w:val="00927CB5"/>
    <w:rsid w:val="00931231"/>
    <w:rsid w:val="00932493"/>
    <w:rsid w:val="009330CC"/>
    <w:rsid w:val="00935245"/>
    <w:rsid w:val="009356D5"/>
    <w:rsid w:val="00941909"/>
    <w:rsid w:val="00943A43"/>
    <w:rsid w:val="00944693"/>
    <w:rsid w:val="009449FE"/>
    <w:rsid w:val="00947991"/>
    <w:rsid w:val="009545A2"/>
    <w:rsid w:val="009575CC"/>
    <w:rsid w:val="009601A9"/>
    <w:rsid w:val="009601EA"/>
    <w:rsid w:val="00961C9F"/>
    <w:rsid w:val="0097290B"/>
    <w:rsid w:val="00973177"/>
    <w:rsid w:val="00974DEA"/>
    <w:rsid w:val="009757CD"/>
    <w:rsid w:val="00976BD8"/>
    <w:rsid w:val="0098378A"/>
    <w:rsid w:val="0098608F"/>
    <w:rsid w:val="00986FAA"/>
    <w:rsid w:val="00987BB6"/>
    <w:rsid w:val="00987E46"/>
    <w:rsid w:val="00992589"/>
    <w:rsid w:val="009954E8"/>
    <w:rsid w:val="009A067A"/>
    <w:rsid w:val="009A2191"/>
    <w:rsid w:val="009A3C91"/>
    <w:rsid w:val="009A48C2"/>
    <w:rsid w:val="009A656B"/>
    <w:rsid w:val="009B142C"/>
    <w:rsid w:val="009B5CDE"/>
    <w:rsid w:val="009B67EF"/>
    <w:rsid w:val="009C301F"/>
    <w:rsid w:val="009C339E"/>
    <w:rsid w:val="009C4301"/>
    <w:rsid w:val="009C5044"/>
    <w:rsid w:val="009C76A4"/>
    <w:rsid w:val="009D178B"/>
    <w:rsid w:val="009D2997"/>
    <w:rsid w:val="009D4207"/>
    <w:rsid w:val="009E0340"/>
    <w:rsid w:val="009E113D"/>
    <w:rsid w:val="009E2C7E"/>
    <w:rsid w:val="009E451C"/>
    <w:rsid w:val="009E54CB"/>
    <w:rsid w:val="009E58C3"/>
    <w:rsid w:val="009E6ED9"/>
    <w:rsid w:val="009F0071"/>
    <w:rsid w:val="009F3EEE"/>
    <w:rsid w:val="009F4368"/>
    <w:rsid w:val="009F509B"/>
    <w:rsid w:val="009F5C49"/>
    <w:rsid w:val="009F6FBF"/>
    <w:rsid w:val="009F7C1A"/>
    <w:rsid w:val="00A00516"/>
    <w:rsid w:val="00A01223"/>
    <w:rsid w:val="00A03542"/>
    <w:rsid w:val="00A04382"/>
    <w:rsid w:val="00A05588"/>
    <w:rsid w:val="00A07BFB"/>
    <w:rsid w:val="00A13B79"/>
    <w:rsid w:val="00A16BD7"/>
    <w:rsid w:val="00A173A8"/>
    <w:rsid w:val="00A2371C"/>
    <w:rsid w:val="00A237B3"/>
    <w:rsid w:val="00A24BD4"/>
    <w:rsid w:val="00A26600"/>
    <w:rsid w:val="00A267DA"/>
    <w:rsid w:val="00A2767C"/>
    <w:rsid w:val="00A27B69"/>
    <w:rsid w:val="00A30F87"/>
    <w:rsid w:val="00A3161D"/>
    <w:rsid w:val="00A3219D"/>
    <w:rsid w:val="00A35A51"/>
    <w:rsid w:val="00A35FBA"/>
    <w:rsid w:val="00A4106E"/>
    <w:rsid w:val="00A43D05"/>
    <w:rsid w:val="00A50081"/>
    <w:rsid w:val="00A52BF3"/>
    <w:rsid w:val="00A53306"/>
    <w:rsid w:val="00A53C7D"/>
    <w:rsid w:val="00A55573"/>
    <w:rsid w:val="00A60AC2"/>
    <w:rsid w:val="00A73BC8"/>
    <w:rsid w:val="00A742AE"/>
    <w:rsid w:val="00A771BE"/>
    <w:rsid w:val="00A771CF"/>
    <w:rsid w:val="00A81CFC"/>
    <w:rsid w:val="00A83DEA"/>
    <w:rsid w:val="00A85E42"/>
    <w:rsid w:val="00A9398C"/>
    <w:rsid w:val="00A9503B"/>
    <w:rsid w:val="00A97AA2"/>
    <w:rsid w:val="00AA0164"/>
    <w:rsid w:val="00AA1A91"/>
    <w:rsid w:val="00AA25DF"/>
    <w:rsid w:val="00AB2224"/>
    <w:rsid w:val="00AB7937"/>
    <w:rsid w:val="00AC019D"/>
    <w:rsid w:val="00AC0542"/>
    <w:rsid w:val="00AC41EC"/>
    <w:rsid w:val="00AC5AF9"/>
    <w:rsid w:val="00AC5B79"/>
    <w:rsid w:val="00AC7902"/>
    <w:rsid w:val="00AD172D"/>
    <w:rsid w:val="00AD52D1"/>
    <w:rsid w:val="00AD6DF0"/>
    <w:rsid w:val="00AE0244"/>
    <w:rsid w:val="00AE1AE2"/>
    <w:rsid w:val="00AE3106"/>
    <w:rsid w:val="00AE7C67"/>
    <w:rsid w:val="00AF19E6"/>
    <w:rsid w:val="00AF5E62"/>
    <w:rsid w:val="00AF62C1"/>
    <w:rsid w:val="00AF70EC"/>
    <w:rsid w:val="00AF7E92"/>
    <w:rsid w:val="00B01071"/>
    <w:rsid w:val="00B0343E"/>
    <w:rsid w:val="00B045D2"/>
    <w:rsid w:val="00B07E20"/>
    <w:rsid w:val="00B12EAA"/>
    <w:rsid w:val="00B133D6"/>
    <w:rsid w:val="00B13BB8"/>
    <w:rsid w:val="00B14CF8"/>
    <w:rsid w:val="00B21E44"/>
    <w:rsid w:val="00B22C3A"/>
    <w:rsid w:val="00B23B06"/>
    <w:rsid w:val="00B24FAA"/>
    <w:rsid w:val="00B26D40"/>
    <w:rsid w:val="00B33A5F"/>
    <w:rsid w:val="00B35FF2"/>
    <w:rsid w:val="00B41F9D"/>
    <w:rsid w:val="00B424BF"/>
    <w:rsid w:val="00B42BFE"/>
    <w:rsid w:val="00B437BA"/>
    <w:rsid w:val="00B454F9"/>
    <w:rsid w:val="00B5088C"/>
    <w:rsid w:val="00B51EA2"/>
    <w:rsid w:val="00B54678"/>
    <w:rsid w:val="00B5555F"/>
    <w:rsid w:val="00B55CE2"/>
    <w:rsid w:val="00B614F0"/>
    <w:rsid w:val="00B61E41"/>
    <w:rsid w:val="00B63EB0"/>
    <w:rsid w:val="00B70B7A"/>
    <w:rsid w:val="00B75D37"/>
    <w:rsid w:val="00B8058F"/>
    <w:rsid w:val="00B83D72"/>
    <w:rsid w:val="00B84472"/>
    <w:rsid w:val="00B84D9F"/>
    <w:rsid w:val="00B855B6"/>
    <w:rsid w:val="00B936EC"/>
    <w:rsid w:val="00B96F11"/>
    <w:rsid w:val="00BA27FC"/>
    <w:rsid w:val="00BA3189"/>
    <w:rsid w:val="00BA434E"/>
    <w:rsid w:val="00BA5F43"/>
    <w:rsid w:val="00BA6EFA"/>
    <w:rsid w:val="00BA7037"/>
    <w:rsid w:val="00BB2081"/>
    <w:rsid w:val="00BB4F5A"/>
    <w:rsid w:val="00BB634C"/>
    <w:rsid w:val="00BC257C"/>
    <w:rsid w:val="00BC6677"/>
    <w:rsid w:val="00BD12D2"/>
    <w:rsid w:val="00BD5C6D"/>
    <w:rsid w:val="00BD679B"/>
    <w:rsid w:val="00BD781D"/>
    <w:rsid w:val="00BE05DF"/>
    <w:rsid w:val="00BE1CF6"/>
    <w:rsid w:val="00BE27DC"/>
    <w:rsid w:val="00BE3DC5"/>
    <w:rsid w:val="00BE7F1A"/>
    <w:rsid w:val="00BF14CB"/>
    <w:rsid w:val="00BF7D65"/>
    <w:rsid w:val="00C025B1"/>
    <w:rsid w:val="00C05A40"/>
    <w:rsid w:val="00C065DC"/>
    <w:rsid w:val="00C15B9B"/>
    <w:rsid w:val="00C17A67"/>
    <w:rsid w:val="00C22144"/>
    <w:rsid w:val="00C22864"/>
    <w:rsid w:val="00C22C0B"/>
    <w:rsid w:val="00C24464"/>
    <w:rsid w:val="00C27440"/>
    <w:rsid w:val="00C3218F"/>
    <w:rsid w:val="00C32A30"/>
    <w:rsid w:val="00C36495"/>
    <w:rsid w:val="00C435DF"/>
    <w:rsid w:val="00C44638"/>
    <w:rsid w:val="00C474F0"/>
    <w:rsid w:val="00C5213A"/>
    <w:rsid w:val="00C53C75"/>
    <w:rsid w:val="00C5521E"/>
    <w:rsid w:val="00C61EA5"/>
    <w:rsid w:val="00C6402B"/>
    <w:rsid w:val="00C7093A"/>
    <w:rsid w:val="00C746E6"/>
    <w:rsid w:val="00C755D3"/>
    <w:rsid w:val="00C75DEE"/>
    <w:rsid w:val="00C8110D"/>
    <w:rsid w:val="00C82A8B"/>
    <w:rsid w:val="00C92148"/>
    <w:rsid w:val="00C9273F"/>
    <w:rsid w:val="00C9437F"/>
    <w:rsid w:val="00C95C75"/>
    <w:rsid w:val="00C965C8"/>
    <w:rsid w:val="00CA485F"/>
    <w:rsid w:val="00CA64A4"/>
    <w:rsid w:val="00CB0EAB"/>
    <w:rsid w:val="00CB1A68"/>
    <w:rsid w:val="00CB1BA9"/>
    <w:rsid w:val="00CB1D78"/>
    <w:rsid w:val="00CB5245"/>
    <w:rsid w:val="00CB5737"/>
    <w:rsid w:val="00CB5CB2"/>
    <w:rsid w:val="00CB701D"/>
    <w:rsid w:val="00CB7C1B"/>
    <w:rsid w:val="00CB7F44"/>
    <w:rsid w:val="00CC06B2"/>
    <w:rsid w:val="00CC3616"/>
    <w:rsid w:val="00CC4169"/>
    <w:rsid w:val="00CC41EE"/>
    <w:rsid w:val="00CC4526"/>
    <w:rsid w:val="00CC668B"/>
    <w:rsid w:val="00CC7B78"/>
    <w:rsid w:val="00CD1F4C"/>
    <w:rsid w:val="00CD2C9B"/>
    <w:rsid w:val="00CD3B5E"/>
    <w:rsid w:val="00CE4AFC"/>
    <w:rsid w:val="00CF57C8"/>
    <w:rsid w:val="00CF7B9B"/>
    <w:rsid w:val="00D01E81"/>
    <w:rsid w:val="00D04827"/>
    <w:rsid w:val="00D04C24"/>
    <w:rsid w:val="00D057B9"/>
    <w:rsid w:val="00D102DD"/>
    <w:rsid w:val="00D11F9F"/>
    <w:rsid w:val="00D12B19"/>
    <w:rsid w:val="00D16210"/>
    <w:rsid w:val="00D168A5"/>
    <w:rsid w:val="00D24030"/>
    <w:rsid w:val="00D31AE8"/>
    <w:rsid w:val="00D354F6"/>
    <w:rsid w:val="00D36FAC"/>
    <w:rsid w:val="00D37405"/>
    <w:rsid w:val="00D401DC"/>
    <w:rsid w:val="00D421AA"/>
    <w:rsid w:val="00D5340B"/>
    <w:rsid w:val="00D5602E"/>
    <w:rsid w:val="00D56AA8"/>
    <w:rsid w:val="00D57D1B"/>
    <w:rsid w:val="00D649E7"/>
    <w:rsid w:val="00D704DC"/>
    <w:rsid w:val="00D7160E"/>
    <w:rsid w:val="00D71EB4"/>
    <w:rsid w:val="00D73C17"/>
    <w:rsid w:val="00D824DC"/>
    <w:rsid w:val="00D83480"/>
    <w:rsid w:val="00D83FD3"/>
    <w:rsid w:val="00D842A3"/>
    <w:rsid w:val="00D84840"/>
    <w:rsid w:val="00D84E78"/>
    <w:rsid w:val="00D86D3C"/>
    <w:rsid w:val="00D9205F"/>
    <w:rsid w:val="00D9465D"/>
    <w:rsid w:val="00D95AC8"/>
    <w:rsid w:val="00D96584"/>
    <w:rsid w:val="00DA13E7"/>
    <w:rsid w:val="00DA1B80"/>
    <w:rsid w:val="00DA3568"/>
    <w:rsid w:val="00DA68C1"/>
    <w:rsid w:val="00DA6914"/>
    <w:rsid w:val="00DA720A"/>
    <w:rsid w:val="00DA77F9"/>
    <w:rsid w:val="00DA7883"/>
    <w:rsid w:val="00DB088F"/>
    <w:rsid w:val="00DB3817"/>
    <w:rsid w:val="00DB473A"/>
    <w:rsid w:val="00DB64F3"/>
    <w:rsid w:val="00DB763F"/>
    <w:rsid w:val="00DB7D69"/>
    <w:rsid w:val="00DC0E9B"/>
    <w:rsid w:val="00DC3690"/>
    <w:rsid w:val="00DC5BD2"/>
    <w:rsid w:val="00DC7506"/>
    <w:rsid w:val="00DD01B4"/>
    <w:rsid w:val="00DD3CB7"/>
    <w:rsid w:val="00DE2331"/>
    <w:rsid w:val="00DE247B"/>
    <w:rsid w:val="00DE2A74"/>
    <w:rsid w:val="00DE5D91"/>
    <w:rsid w:val="00DE743A"/>
    <w:rsid w:val="00DF1FB0"/>
    <w:rsid w:val="00DF65DD"/>
    <w:rsid w:val="00E002F8"/>
    <w:rsid w:val="00E01892"/>
    <w:rsid w:val="00E02B64"/>
    <w:rsid w:val="00E03B00"/>
    <w:rsid w:val="00E03D0B"/>
    <w:rsid w:val="00E03E2C"/>
    <w:rsid w:val="00E056DC"/>
    <w:rsid w:val="00E0624B"/>
    <w:rsid w:val="00E10B98"/>
    <w:rsid w:val="00E10D80"/>
    <w:rsid w:val="00E116F7"/>
    <w:rsid w:val="00E14051"/>
    <w:rsid w:val="00E1587D"/>
    <w:rsid w:val="00E17B73"/>
    <w:rsid w:val="00E22363"/>
    <w:rsid w:val="00E33650"/>
    <w:rsid w:val="00E34560"/>
    <w:rsid w:val="00E34E7A"/>
    <w:rsid w:val="00E351A3"/>
    <w:rsid w:val="00E36216"/>
    <w:rsid w:val="00E36F2A"/>
    <w:rsid w:val="00E45BDB"/>
    <w:rsid w:val="00E45C04"/>
    <w:rsid w:val="00E5028A"/>
    <w:rsid w:val="00E50612"/>
    <w:rsid w:val="00E53030"/>
    <w:rsid w:val="00E60B27"/>
    <w:rsid w:val="00E62042"/>
    <w:rsid w:val="00E6412D"/>
    <w:rsid w:val="00E6697B"/>
    <w:rsid w:val="00E70243"/>
    <w:rsid w:val="00E71283"/>
    <w:rsid w:val="00E72FC0"/>
    <w:rsid w:val="00E7778C"/>
    <w:rsid w:val="00E800E0"/>
    <w:rsid w:val="00E821B5"/>
    <w:rsid w:val="00E8387E"/>
    <w:rsid w:val="00E864B0"/>
    <w:rsid w:val="00E86775"/>
    <w:rsid w:val="00E86BDD"/>
    <w:rsid w:val="00E92C88"/>
    <w:rsid w:val="00EA0456"/>
    <w:rsid w:val="00EA1409"/>
    <w:rsid w:val="00EA152A"/>
    <w:rsid w:val="00EA1AD1"/>
    <w:rsid w:val="00EA1FD7"/>
    <w:rsid w:val="00EA2299"/>
    <w:rsid w:val="00EA324B"/>
    <w:rsid w:val="00EA6236"/>
    <w:rsid w:val="00EB0287"/>
    <w:rsid w:val="00EB5D9C"/>
    <w:rsid w:val="00EB7F67"/>
    <w:rsid w:val="00EC14AB"/>
    <w:rsid w:val="00EC2C5B"/>
    <w:rsid w:val="00EC2C94"/>
    <w:rsid w:val="00EC56B2"/>
    <w:rsid w:val="00EC614E"/>
    <w:rsid w:val="00ED0355"/>
    <w:rsid w:val="00ED0B89"/>
    <w:rsid w:val="00ED3FB1"/>
    <w:rsid w:val="00ED5319"/>
    <w:rsid w:val="00EE0B2E"/>
    <w:rsid w:val="00EE0CF9"/>
    <w:rsid w:val="00EE3968"/>
    <w:rsid w:val="00EE4DBE"/>
    <w:rsid w:val="00EF053E"/>
    <w:rsid w:val="00EF4CED"/>
    <w:rsid w:val="00F0206C"/>
    <w:rsid w:val="00F02CB9"/>
    <w:rsid w:val="00F03322"/>
    <w:rsid w:val="00F0334D"/>
    <w:rsid w:val="00F03AB9"/>
    <w:rsid w:val="00F041BE"/>
    <w:rsid w:val="00F064F8"/>
    <w:rsid w:val="00F06D17"/>
    <w:rsid w:val="00F10CF4"/>
    <w:rsid w:val="00F1167D"/>
    <w:rsid w:val="00F12BDE"/>
    <w:rsid w:val="00F14FFD"/>
    <w:rsid w:val="00F1706F"/>
    <w:rsid w:val="00F22F4E"/>
    <w:rsid w:val="00F23555"/>
    <w:rsid w:val="00F2492B"/>
    <w:rsid w:val="00F24BFF"/>
    <w:rsid w:val="00F27827"/>
    <w:rsid w:val="00F278A0"/>
    <w:rsid w:val="00F32980"/>
    <w:rsid w:val="00F337A1"/>
    <w:rsid w:val="00F40718"/>
    <w:rsid w:val="00F4136E"/>
    <w:rsid w:val="00F42401"/>
    <w:rsid w:val="00F42A75"/>
    <w:rsid w:val="00F43015"/>
    <w:rsid w:val="00F4409B"/>
    <w:rsid w:val="00F44DD9"/>
    <w:rsid w:val="00F4565A"/>
    <w:rsid w:val="00F5245A"/>
    <w:rsid w:val="00F53756"/>
    <w:rsid w:val="00F54F61"/>
    <w:rsid w:val="00F62704"/>
    <w:rsid w:val="00F65840"/>
    <w:rsid w:val="00F71CA7"/>
    <w:rsid w:val="00F71FFD"/>
    <w:rsid w:val="00F73B3F"/>
    <w:rsid w:val="00F742D7"/>
    <w:rsid w:val="00F746AC"/>
    <w:rsid w:val="00F770E3"/>
    <w:rsid w:val="00F7733C"/>
    <w:rsid w:val="00F802B8"/>
    <w:rsid w:val="00F84A47"/>
    <w:rsid w:val="00F84D0A"/>
    <w:rsid w:val="00F86689"/>
    <w:rsid w:val="00F920A2"/>
    <w:rsid w:val="00F92A63"/>
    <w:rsid w:val="00F9364C"/>
    <w:rsid w:val="00F937FC"/>
    <w:rsid w:val="00F9682A"/>
    <w:rsid w:val="00F968E0"/>
    <w:rsid w:val="00F97AC3"/>
    <w:rsid w:val="00FA323E"/>
    <w:rsid w:val="00FA368F"/>
    <w:rsid w:val="00FA4CD0"/>
    <w:rsid w:val="00FA684F"/>
    <w:rsid w:val="00FB10F7"/>
    <w:rsid w:val="00FB265E"/>
    <w:rsid w:val="00FB3B4E"/>
    <w:rsid w:val="00FC0355"/>
    <w:rsid w:val="00FC0EBB"/>
    <w:rsid w:val="00FC3596"/>
    <w:rsid w:val="00FC371A"/>
    <w:rsid w:val="00FC48AE"/>
    <w:rsid w:val="00FC54BA"/>
    <w:rsid w:val="00FC5711"/>
    <w:rsid w:val="00FC734E"/>
    <w:rsid w:val="00FC75AA"/>
    <w:rsid w:val="00FD119A"/>
    <w:rsid w:val="00FD3795"/>
    <w:rsid w:val="00FD5A58"/>
    <w:rsid w:val="00FD6559"/>
    <w:rsid w:val="00FD6D86"/>
    <w:rsid w:val="00FD7B35"/>
    <w:rsid w:val="00FE0F48"/>
    <w:rsid w:val="00FE2E0E"/>
    <w:rsid w:val="00FE5106"/>
    <w:rsid w:val="00FE7530"/>
    <w:rsid w:val="00FE78CC"/>
    <w:rsid w:val="00FF3958"/>
    <w:rsid w:val="00FF45E6"/>
    <w:rsid w:val="00FF5D63"/>
    <w:rsid w:val="01E325D0"/>
    <w:rsid w:val="020E1599"/>
    <w:rsid w:val="028216F3"/>
    <w:rsid w:val="045E7DD1"/>
    <w:rsid w:val="04B55696"/>
    <w:rsid w:val="057E7E22"/>
    <w:rsid w:val="06BD5DFB"/>
    <w:rsid w:val="06E43E93"/>
    <w:rsid w:val="086415D8"/>
    <w:rsid w:val="0B354AFA"/>
    <w:rsid w:val="0B5E4410"/>
    <w:rsid w:val="0B676E9E"/>
    <w:rsid w:val="0B756E97"/>
    <w:rsid w:val="0D221CF8"/>
    <w:rsid w:val="0EA22361"/>
    <w:rsid w:val="0EB52D6A"/>
    <w:rsid w:val="0ED446D6"/>
    <w:rsid w:val="11145782"/>
    <w:rsid w:val="114D607F"/>
    <w:rsid w:val="12891287"/>
    <w:rsid w:val="12C67212"/>
    <w:rsid w:val="1432288E"/>
    <w:rsid w:val="17626CD9"/>
    <w:rsid w:val="17D559CB"/>
    <w:rsid w:val="185C5BFE"/>
    <w:rsid w:val="18842A7A"/>
    <w:rsid w:val="18A37073"/>
    <w:rsid w:val="18F141C5"/>
    <w:rsid w:val="18FB5089"/>
    <w:rsid w:val="1A4354A9"/>
    <w:rsid w:val="1CCF6597"/>
    <w:rsid w:val="2081209D"/>
    <w:rsid w:val="20A43E5C"/>
    <w:rsid w:val="20CF4912"/>
    <w:rsid w:val="21130AEB"/>
    <w:rsid w:val="236845EA"/>
    <w:rsid w:val="23C714D4"/>
    <w:rsid w:val="25486966"/>
    <w:rsid w:val="25723EDB"/>
    <w:rsid w:val="257559C5"/>
    <w:rsid w:val="262421BF"/>
    <w:rsid w:val="2755096A"/>
    <w:rsid w:val="27913E32"/>
    <w:rsid w:val="279F66AE"/>
    <w:rsid w:val="27C718B5"/>
    <w:rsid w:val="28D63020"/>
    <w:rsid w:val="2C101127"/>
    <w:rsid w:val="2C363DD6"/>
    <w:rsid w:val="2EDD1647"/>
    <w:rsid w:val="2F1F43A3"/>
    <w:rsid w:val="2F6617B0"/>
    <w:rsid w:val="30AC282A"/>
    <w:rsid w:val="30CF42B4"/>
    <w:rsid w:val="31810E30"/>
    <w:rsid w:val="32870EE7"/>
    <w:rsid w:val="328F7449"/>
    <w:rsid w:val="345319C9"/>
    <w:rsid w:val="34C40D15"/>
    <w:rsid w:val="34E65F37"/>
    <w:rsid w:val="34EA65BA"/>
    <w:rsid w:val="36F82A6E"/>
    <w:rsid w:val="37290ED0"/>
    <w:rsid w:val="3A8730BD"/>
    <w:rsid w:val="40D73C42"/>
    <w:rsid w:val="42261D71"/>
    <w:rsid w:val="426C3010"/>
    <w:rsid w:val="44180BC9"/>
    <w:rsid w:val="456A3772"/>
    <w:rsid w:val="45817528"/>
    <w:rsid w:val="46146942"/>
    <w:rsid w:val="473C00B4"/>
    <w:rsid w:val="48145762"/>
    <w:rsid w:val="48E92CAA"/>
    <w:rsid w:val="49045C17"/>
    <w:rsid w:val="4AAC10A9"/>
    <w:rsid w:val="4CA949E8"/>
    <w:rsid w:val="4CFC119D"/>
    <w:rsid w:val="4D050AB9"/>
    <w:rsid w:val="4F295F32"/>
    <w:rsid w:val="502D3FBD"/>
    <w:rsid w:val="50625B3A"/>
    <w:rsid w:val="52E968AB"/>
    <w:rsid w:val="537F3FA9"/>
    <w:rsid w:val="541A330F"/>
    <w:rsid w:val="55A45872"/>
    <w:rsid w:val="562B6E1C"/>
    <w:rsid w:val="564E23E7"/>
    <w:rsid w:val="57671CF1"/>
    <w:rsid w:val="580764A3"/>
    <w:rsid w:val="5AF661FE"/>
    <w:rsid w:val="5B2E5727"/>
    <w:rsid w:val="5B4210D1"/>
    <w:rsid w:val="5B4F4DFA"/>
    <w:rsid w:val="5CCC77EB"/>
    <w:rsid w:val="5DDC7A8A"/>
    <w:rsid w:val="5F5E6FEC"/>
    <w:rsid w:val="611834CF"/>
    <w:rsid w:val="62974E20"/>
    <w:rsid w:val="62B114E5"/>
    <w:rsid w:val="62B36139"/>
    <w:rsid w:val="669B6734"/>
    <w:rsid w:val="67144738"/>
    <w:rsid w:val="671E16FD"/>
    <w:rsid w:val="6D6B201E"/>
    <w:rsid w:val="6DAB3360"/>
    <w:rsid w:val="704E6E05"/>
    <w:rsid w:val="70AA22AB"/>
    <w:rsid w:val="723C2178"/>
    <w:rsid w:val="73403FAF"/>
    <w:rsid w:val="73D74B24"/>
    <w:rsid w:val="74262FC9"/>
    <w:rsid w:val="75491DAC"/>
    <w:rsid w:val="76E64C26"/>
    <w:rsid w:val="77202EE9"/>
    <w:rsid w:val="77D27871"/>
    <w:rsid w:val="77E36BD8"/>
    <w:rsid w:val="78887ECD"/>
    <w:rsid w:val="78CE3658"/>
    <w:rsid w:val="7BE56AA2"/>
    <w:rsid w:val="7E472500"/>
    <w:rsid w:val="7F2F1985"/>
    <w:rsid w:val="7FE16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Hyperlink"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5C49"/>
    <w:pPr>
      <w:widowControl w:val="0"/>
      <w:jc w:val="both"/>
    </w:pPr>
    <w:rPr>
      <w:kern w:val="2"/>
      <w:sz w:val="21"/>
      <w:szCs w:val="24"/>
    </w:rPr>
  </w:style>
  <w:style w:type="paragraph" w:styleId="1">
    <w:name w:val="heading 1"/>
    <w:basedOn w:val="a"/>
    <w:next w:val="a"/>
    <w:qFormat/>
    <w:pPr>
      <w:keepNext/>
      <w:keepLines/>
      <w:numPr>
        <w:numId w:val="1"/>
      </w:numPr>
      <w:spacing w:before="340" w:after="330" w:line="576" w:lineRule="auto"/>
      <w:outlineLvl w:val="0"/>
    </w:pPr>
    <w:rPr>
      <w:b/>
      <w:bCs/>
      <w:color w:val="000000"/>
      <w:kern w:val="44"/>
      <w:sz w:val="44"/>
      <w:szCs w:val="44"/>
    </w:rPr>
  </w:style>
  <w:style w:type="paragraph" w:styleId="2">
    <w:name w:val="heading 2"/>
    <w:basedOn w:val="a"/>
    <w:next w:val="a"/>
    <w:link w:val="2Char"/>
    <w:qFormat/>
    <w:pPr>
      <w:keepNext/>
      <w:keepLines/>
      <w:numPr>
        <w:ilvl w:val="1"/>
        <w:numId w:val="1"/>
      </w:numPr>
      <w:spacing w:before="260" w:after="260" w:line="413" w:lineRule="auto"/>
      <w:outlineLvl w:val="1"/>
    </w:pPr>
    <w:rPr>
      <w:rFonts w:ascii="Arial" w:hAnsi="Arial"/>
      <w:b/>
      <w:bCs/>
      <w:sz w:val="24"/>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szCs w:val="20"/>
    </w:rPr>
  </w:style>
  <w:style w:type="paragraph" w:styleId="a4">
    <w:name w:val="annotation text"/>
    <w:basedOn w:val="a"/>
    <w:link w:val="Char"/>
    <w:qFormat/>
    <w:pPr>
      <w:jc w:val="left"/>
    </w:pPr>
    <w:rPr>
      <w:sz w:val="24"/>
    </w:rPr>
  </w:style>
  <w:style w:type="paragraph" w:styleId="a5">
    <w:name w:val="Body Text Indent"/>
    <w:basedOn w:val="a"/>
    <w:link w:val="Char0"/>
    <w:qFormat/>
    <w:pPr>
      <w:spacing w:after="120"/>
      <w:ind w:leftChars="200" w:left="420"/>
    </w:pPr>
    <w:rPr>
      <w:szCs w:val="20"/>
    </w:rPr>
  </w:style>
  <w:style w:type="paragraph" w:styleId="a6">
    <w:name w:val="Plain Text"/>
    <w:basedOn w:val="a"/>
    <w:link w:val="Char1"/>
    <w:qFormat/>
    <w:rPr>
      <w:rFonts w:ascii="宋体" w:hAnsi="Courier New"/>
      <w:szCs w:val="20"/>
      <w:lang w:val="zh-CN"/>
    </w:rPr>
  </w:style>
  <w:style w:type="paragraph" w:styleId="a7">
    <w:name w:val="Date"/>
    <w:basedOn w:val="a"/>
    <w:next w:val="a"/>
    <w:link w:val="Char2"/>
    <w:qFormat/>
    <w:pPr>
      <w:ind w:leftChars="2500" w:left="100"/>
    </w:pPr>
  </w:style>
  <w:style w:type="paragraph" w:styleId="a8">
    <w:name w:val="footer"/>
    <w:basedOn w:val="a"/>
    <w:link w:val="Char3"/>
    <w:uiPriority w:val="99"/>
    <w:qFormat/>
    <w:pPr>
      <w:tabs>
        <w:tab w:val="center" w:pos="4153"/>
        <w:tab w:val="right" w:pos="8306"/>
      </w:tabs>
      <w:snapToGrid w:val="0"/>
      <w:jc w:val="left"/>
    </w:pPr>
    <w:rPr>
      <w:sz w:val="18"/>
      <w:szCs w:val="18"/>
      <w:lang w:val="zh-CN"/>
    </w:rPr>
  </w:style>
  <w:style w:type="paragraph" w:styleId="a9">
    <w:name w:val="header"/>
    <w:basedOn w:val="a"/>
    <w:link w:val="Char4"/>
    <w:uiPriority w:val="99"/>
    <w:qFormat/>
    <w:pPr>
      <w:pBdr>
        <w:bottom w:val="single" w:sz="6" w:space="1" w:color="auto"/>
      </w:pBdr>
      <w:tabs>
        <w:tab w:val="center" w:pos="4153"/>
        <w:tab w:val="right" w:pos="8306"/>
      </w:tabs>
      <w:snapToGrid w:val="0"/>
      <w:jc w:val="center"/>
    </w:pPr>
    <w:rPr>
      <w:sz w:val="18"/>
      <w:szCs w:val="18"/>
      <w:lang w:val="zh-CN"/>
    </w:rPr>
  </w:style>
  <w:style w:type="paragraph" w:styleId="aa">
    <w:name w:val="Subtitle"/>
    <w:basedOn w:val="a"/>
    <w:next w:val="a"/>
    <w:link w:val="Char5"/>
    <w:qFormat/>
    <w:pPr>
      <w:spacing w:line="312" w:lineRule="auto"/>
      <w:ind w:leftChars="100" w:left="240" w:rightChars="100" w:right="100"/>
      <w:jc w:val="left"/>
      <w:outlineLvl w:val="1"/>
    </w:pPr>
    <w:rPr>
      <w:rFonts w:ascii="Cambria" w:hAnsi="Cambria"/>
      <w:bCs/>
      <w:kern w:val="28"/>
      <w:sz w:val="24"/>
      <w:szCs w:val="32"/>
    </w:rPr>
  </w:style>
  <w:style w:type="paragraph" w:styleId="HTML">
    <w:name w:val="HTML Preformatted"/>
    <w:basedOn w:val="a"/>
    <w:qFormat/>
    <w:pPr>
      <w:spacing w:line="312" w:lineRule="auto"/>
    </w:pPr>
    <w:rPr>
      <w:rFonts w:ascii="Courier New" w:hAnsi="Courier New" w:cs="Courier New"/>
      <w:sz w:val="20"/>
      <w:szCs w:val="20"/>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Theme"/>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basedOn w:val="a1"/>
    <w:qFormat/>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d">
    <w:name w:val="page number"/>
    <w:basedOn w:val="a0"/>
    <w:qFormat/>
  </w:style>
  <w:style w:type="character" w:styleId="ae">
    <w:name w:val="Emphasis"/>
    <w:qFormat/>
    <w:rPr>
      <w:color w:val="CC0033"/>
    </w:rPr>
  </w:style>
  <w:style w:type="character" w:styleId="af">
    <w:name w:val="Hyperlink"/>
    <w:unhideWhenUsed/>
    <w:qFormat/>
    <w:rPr>
      <w:color w:val="0000FF"/>
      <w:u w:val="single"/>
    </w:rPr>
  </w:style>
  <w:style w:type="character" w:customStyle="1" w:styleId="2Char">
    <w:name w:val="标题 2 Char"/>
    <w:link w:val="2"/>
    <w:qFormat/>
    <w:rPr>
      <w:rFonts w:ascii="Arial" w:eastAsia="宋体" w:hAnsi="Arial"/>
      <w:b/>
      <w:bCs/>
      <w:kern w:val="2"/>
      <w:sz w:val="24"/>
      <w:szCs w:val="32"/>
      <w:lang w:val="zh-CN" w:eastAsia="zh-CN" w:bidi="ar-SA"/>
    </w:rPr>
  </w:style>
  <w:style w:type="paragraph" w:customStyle="1" w:styleId="CharCharCharCharCharCharCharCharCharCharCharCharCharCharCharCharCharCharCharCharChar">
    <w:name w:val="Char Char Char Char Char Char Char Char Char Char Char Char Char Char Char Char Char Char Char Char Char"/>
    <w:basedOn w:val="a"/>
    <w:qFormat/>
    <w:pPr>
      <w:spacing w:line="360" w:lineRule="auto"/>
      <w:ind w:left="420"/>
    </w:pPr>
  </w:style>
  <w:style w:type="character" w:customStyle="1" w:styleId="style111">
    <w:name w:val="style111"/>
    <w:qFormat/>
    <w:rPr>
      <w:sz w:val="24"/>
      <w:szCs w:val="24"/>
    </w:rPr>
  </w:style>
  <w:style w:type="character" w:customStyle="1" w:styleId="apple-style-span">
    <w:name w:val="apple-style-span"/>
    <w:basedOn w:val="a0"/>
    <w:qFormat/>
  </w:style>
  <w:style w:type="character" w:customStyle="1" w:styleId="Char5">
    <w:name w:val="副标题 Char"/>
    <w:link w:val="aa"/>
    <w:qFormat/>
    <w:rPr>
      <w:rFonts w:ascii="Cambria" w:eastAsia="宋体" w:hAnsi="Cambria"/>
      <w:bCs/>
      <w:kern w:val="28"/>
      <w:sz w:val="24"/>
      <w:szCs w:val="32"/>
      <w:lang w:val="en-US" w:eastAsia="zh-CN" w:bidi="ar-SA"/>
    </w:rPr>
  </w:style>
  <w:style w:type="paragraph" w:styleId="af0">
    <w:name w:val="List Paragraph"/>
    <w:basedOn w:val="a"/>
    <w:uiPriority w:val="34"/>
    <w:qFormat/>
    <w:pPr>
      <w:widowControl/>
      <w:ind w:left="720" w:firstLine="360"/>
      <w:contextualSpacing/>
      <w:jc w:val="left"/>
    </w:pPr>
    <w:rPr>
      <w:rFonts w:ascii="Calibri" w:hAnsi="Calibri"/>
      <w:kern w:val="0"/>
      <w:sz w:val="22"/>
      <w:szCs w:val="22"/>
      <w:lang w:eastAsia="en-US" w:bidi="en-US"/>
    </w:rPr>
  </w:style>
  <w:style w:type="character" w:customStyle="1" w:styleId="Char1">
    <w:name w:val="纯文本 Char"/>
    <w:link w:val="a6"/>
    <w:qFormat/>
    <w:rPr>
      <w:rFonts w:ascii="宋体" w:hAnsi="Courier New"/>
      <w:kern w:val="2"/>
      <w:sz w:val="21"/>
      <w:lang w:val="zh-CN" w:eastAsia="zh-CN"/>
    </w:rPr>
  </w:style>
  <w:style w:type="character" w:customStyle="1" w:styleId="Char0">
    <w:name w:val="正文文本缩进 Char"/>
    <w:link w:val="a5"/>
    <w:qFormat/>
    <w:rPr>
      <w:kern w:val="2"/>
      <w:sz w:val="21"/>
    </w:rPr>
  </w:style>
  <w:style w:type="character" w:customStyle="1" w:styleId="Char4">
    <w:name w:val="页眉 Char"/>
    <w:link w:val="a9"/>
    <w:uiPriority w:val="99"/>
    <w:qFormat/>
    <w:rPr>
      <w:kern w:val="2"/>
      <w:sz w:val="18"/>
      <w:szCs w:val="18"/>
    </w:rPr>
  </w:style>
  <w:style w:type="character" w:customStyle="1" w:styleId="Char3">
    <w:name w:val="页脚 Char"/>
    <w:link w:val="a8"/>
    <w:uiPriority w:val="99"/>
    <w:qFormat/>
    <w:rPr>
      <w:kern w:val="2"/>
      <w:sz w:val="18"/>
      <w:szCs w:val="18"/>
    </w:rPr>
  </w:style>
  <w:style w:type="character" w:customStyle="1" w:styleId="Char2">
    <w:name w:val="日期 Char"/>
    <w:link w:val="a7"/>
    <w:qFormat/>
    <w:rPr>
      <w:kern w:val="2"/>
      <w:sz w:val="21"/>
      <w:szCs w:val="24"/>
    </w:rPr>
  </w:style>
  <w:style w:type="paragraph" w:customStyle="1" w:styleId="af1">
    <w:name w:val="标准文件_段"/>
    <w:qFormat/>
    <w:pPr>
      <w:autoSpaceDE w:val="0"/>
      <w:autoSpaceDN w:val="0"/>
      <w:adjustRightInd w:val="0"/>
      <w:snapToGrid w:val="0"/>
      <w:spacing w:line="360" w:lineRule="auto"/>
      <w:ind w:firstLineChars="200" w:firstLine="488"/>
    </w:pPr>
    <w:rPr>
      <w:color w:val="000000"/>
      <w:spacing w:val="2"/>
      <w:sz w:val="24"/>
      <w:szCs w:val="24"/>
    </w:rPr>
  </w:style>
  <w:style w:type="paragraph" w:customStyle="1" w:styleId="af2">
    <w:name w:val="标准文件_正文公式"/>
    <w:basedOn w:val="a"/>
    <w:next w:val="a"/>
    <w:qFormat/>
    <w:pPr>
      <w:tabs>
        <w:tab w:val="right" w:leader="middleDot" w:pos="0"/>
      </w:tabs>
      <w:adjustRightInd w:val="0"/>
      <w:spacing w:line="276" w:lineRule="auto"/>
      <w:jc w:val="right"/>
    </w:pPr>
    <w:rPr>
      <w:rFonts w:ascii="宋体"/>
      <w:szCs w:val="20"/>
    </w:rPr>
  </w:style>
  <w:style w:type="table" w:customStyle="1" w:styleId="11">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批注文字 字符"/>
    <w:basedOn w:val="a0"/>
    <w:qFormat/>
    <w:rPr>
      <w:kern w:val="2"/>
      <w:sz w:val="21"/>
      <w:szCs w:val="24"/>
    </w:rPr>
  </w:style>
  <w:style w:type="character" w:customStyle="1" w:styleId="Char">
    <w:name w:val="批注文字 Char"/>
    <w:link w:val="a4"/>
    <w:qFormat/>
    <w:rPr>
      <w:kern w:val="2"/>
      <w:sz w:val="24"/>
      <w:szCs w:val="24"/>
    </w:rPr>
  </w:style>
  <w:style w:type="paragraph" w:styleId="af4">
    <w:name w:val="Balloon Text"/>
    <w:basedOn w:val="a"/>
    <w:link w:val="Char6"/>
    <w:rsid w:val="00E62042"/>
    <w:rPr>
      <w:sz w:val="18"/>
      <w:szCs w:val="18"/>
    </w:rPr>
  </w:style>
  <w:style w:type="character" w:customStyle="1" w:styleId="Char6">
    <w:name w:val="批注框文本 Char"/>
    <w:basedOn w:val="a0"/>
    <w:link w:val="af4"/>
    <w:rsid w:val="00E6204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Hyperlink"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5C49"/>
    <w:pPr>
      <w:widowControl w:val="0"/>
      <w:jc w:val="both"/>
    </w:pPr>
    <w:rPr>
      <w:kern w:val="2"/>
      <w:sz w:val="21"/>
      <w:szCs w:val="24"/>
    </w:rPr>
  </w:style>
  <w:style w:type="paragraph" w:styleId="1">
    <w:name w:val="heading 1"/>
    <w:basedOn w:val="a"/>
    <w:next w:val="a"/>
    <w:qFormat/>
    <w:pPr>
      <w:keepNext/>
      <w:keepLines/>
      <w:numPr>
        <w:numId w:val="1"/>
      </w:numPr>
      <w:spacing w:before="340" w:after="330" w:line="576" w:lineRule="auto"/>
      <w:outlineLvl w:val="0"/>
    </w:pPr>
    <w:rPr>
      <w:b/>
      <w:bCs/>
      <w:color w:val="000000"/>
      <w:kern w:val="44"/>
      <w:sz w:val="44"/>
      <w:szCs w:val="44"/>
    </w:rPr>
  </w:style>
  <w:style w:type="paragraph" w:styleId="2">
    <w:name w:val="heading 2"/>
    <w:basedOn w:val="a"/>
    <w:next w:val="a"/>
    <w:link w:val="2Char"/>
    <w:qFormat/>
    <w:pPr>
      <w:keepNext/>
      <w:keepLines/>
      <w:numPr>
        <w:ilvl w:val="1"/>
        <w:numId w:val="1"/>
      </w:numPr>
      <w:spacing w:before="260" w:after="260" w:line="413" w:lineRule="auto"/>
      <w:outlineLvl w:val="1"/>
    </w:pPr>
    <w:rPr>
      <w:rFonts w:ascii="Arial" w:hAnsi="Arial"/>
      <w:b/>
      <w:bCs/>
      <w:sz w:val="24"/>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szCs w:val="20"/>
    </w:rPr>
  </w:style>
  <w:style w:type="paragraph" w:styleId="a4">
    <w:name w:val="annotation text"/>
    <w:basedOn w:val="a"/>
    <w:link w:val="Char"/>
    <w:qFormat/>
    <w:pPr>
      <w:jc w:val="left"/>
    </w:pPr>
    <w:rPr>
      <w:sz w:val="24"/>
    </w:rPr>
  </w:style>
  <w:style w:type="paragraph" w:styleId="a5">
    <w:name w:val="Body Text Indent"/>
    <w:basedOn w:val="a"/>
    <w:link w:val="Char0"/>
    <w:qFormat/>
    <w:pPr>
      <w:spacing w:after="120"/>
      <w:ind w:leftChars="200" w:left="420"/>
    </w:pPr>
    <w:rPr>
      <w:szCs w:val="20"/>
    </w:rPr>
  </w:style>
  <w:style w:type="paragraph" w:styleId="a6">
    <w:name w:val="Plain Text"/>
    <w:basedOn w:val="a"/>
    <w:link w:val="Char1"/>
    <w:qFormat/>
    <w:rPr>
      <w:rFonts w:ascii="宋体" w:hAnsi="Courier New"/>
      <w:szCs w:val="20"/>
      <w:lang w:val="zh-CN"/>
    </w:rPr>
  </w:style>
  <w:style w:type="paragraph" w:styleId="a7">
    <w:name w:val="Date"/>
    <w:basedOn w:val="a"/>
    <w:next w:val="a"/>
    <w:link w:val="Char2"/>
    <w:qFormat/>
    <w:pPr>
      <w:ind w:leftChars="2500" w:left="100"/>
    </w:pPr>
  </w:style>
  <w:style w:type="paragraph" w:styleId="a8">
    <w:name w:val="footer"/>
    <w:basedOn w:val="a"/>
    <w:link w:val="Char3"/>
    <w:uiPriority w:val="99"/>
    <w:qFormat/>
    <w:pPr>
      <w:tabs>
        <w:tab w:val="center" w:pos="4153"/>
        <w:tab w:val="right" w:pos="8306"/>
      </w:tabs>
      <w:snapToGrid w:val="0"/>
      <w:jc w:val="left"/>
    </w:pPr>
    <w:rPr>
      <w:sz w:val="18"/>
      <w:szCs w:val="18"/>
      <w:lang w:val="zh-CN"/>
    </w:rPr>
  </w:style>
  <w:style w:type="paragraph" w:styleId="a9">
    <w:name w:val="header"/>
    <w:basedOn w:val="a"/>
    <w:link w:val="Char4"/>
    <w:uiPriority w:val="99"/>
    <w:qFormat/>
    <w:pPr>
      <w:pBdr>
        <w:bottom w:val="single" w:sz="6" w:space="1" w:color="auto"/>
      </w:pBdr>
      <w:tabs>
        <w:tab w:val="center" w:pos="4153"/>
        <w:tab w:val="right" w:pos="8306"/>
      </w:tabs>
      <w:snapToGrid w:val="0"/>
      <w:jc w:val="center"/>
    </w:pPr>
    <w:rPr>
      <w:sz w:val="18"/>
      <w:szCs w:val="18"/>
      <w:lang w:val="zh-CN"/>
    </w:rPr>
  </w:style>
  <w:style w:type="paragraph" w:styleId="aa">
    <w:name w:val="Subtitle"/>
    <w:basedOn w:val="a"/>
    <w:next w:val="a"/>
    <w:link w:val="Char5"/>
    <w:qFormat/>
    <w:pPr>
      <w:spacing w:line="312" w:lineRule="auto"/>
      <w:ind w:leftChars="100" w:left="240" w:rightChars="100" w:right="100"/>
      <w:jc w:val="left"/>
      <w:outlineLvl w:val="1"/>
    </w:pPr>
    <w:rPr>
      <w:rFonts w:ascii="Cambria" w:hAnsi="Cambria"/>
      <w:bCs/>
      <w:kern w:val="28"/>
      <w:sz w:val="24"/>
      <w:szCs w:val="32"/>
    </w:rPr>
  </w:style>
  <w:style w:type="paragraph" w:styleId="HTML">
    <w:name w:val="HTML Preformatted"/>
    <w:basedOn w:val="a"/>
    <w:qFormat/>
    <w:pPr>
      <w:spacing w:line="312" w:lineRule="auto"/>
    </w:pPr>
    <w:rPr>
      <w:rFonts w:ascii="Courier New" w:hAnsi="Courier New" w:cs="Courier New"/>
      <w:sz w:val="20"/>
      <w:szCs w:val="20"/>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Theme"/>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basedOn w:val="a1"/>
    <w:qFormat/>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d">
    <w:name w:val="page number"/>
    <w:basedOn w:val="a0"/>
    <w:qFormat/>
  </w:style>
  <w:style w:type="character" w:styleId="ae">
    <w:name w:val="Emphasis"/>
    <w:qFormat/>
    <w:rPr>
      <w:color w:val="CC0033"/>
    </w:rPr>
  </w:style>
  <w:style w:type="character" w:styleId="af">
    <w:name w:val="Hyperlink"/>
    <w:unhideWhenUsed/>
    <w:qFormat/>
    <w:rPr>
      <w:color w:val="0000FF"/>
      <w:u w:val="single"/>
    </w:rPr>
  </w:style>
  <w:style w:type="character" w:customStyle="1" w:styleId="2Char">
    <w:name w:val="标题 2 Char"/>
    <w:link w:val="2"/>
    <w:qFormat/>
    <w:rPr>
      <w:rFonts w:ascii="Arial" w:eastAsia="宋体" w:hAnsi="Arial"/>
      <w:b/>
      <w:bCs/>
      <w:kern w:val="2"/>
      <w:sz w:val="24"/>
      <w:szCs w:val="32"/>
      <w:lang w:val="zh-CN" w:eastAsia="zh-CN" w:bidi="ar-SA"/>
    </w:rPr>
  </w:style>
  <w:style w:type="paragraph" w:customStyle="1" w:styleId="CharCharCharCharCharCharCharCharCharCharCharCharCharCharCharCharCharCharCharCharChar">
    <w:name w:val="Char Char Char Char Char Char Char Char Char Char Char Char Char Char Char Char Char Char Char Char Char"/>
    <w:basedOn w:val="a"/>
    <w:qFormat/>
    <w:pPr>
      <w:spacing w:line="360" w:lineRule="auto"/>
      <w:ind w:left="420"/>
    </w:pPr>
  </w:style>
  <w:style w:type="character" w:customStyle="1" w:styleId="style111">
    <w:name w:val="style111"/>
    <w:qFormat/>
    <w:rPr>
      <w:sz w:val="24"/>
      <w:szCs w:val="24"/>
    </w:rPr>
  </w:style>
  <w:style w:type="character" w:customStyle="1" w:styleId="apple-style-span">
    <w:name w:val="apple-style-span"/>
    <w:basedOn w:val="a0"/>
    <w:qFormat/>
  </w:style>
  <w:style w:type="character" w:customStyle="1" w:styleId="Char5">
    <w:name w:val="副标题 Char"/>
    <w:link w:val="aa"/>
    <w:qFormat/>
    <w:rPr>
      <w:rFonts w:ascii="Cambria" w:eastAsia="宋体" w:hAnsi="Cambria"/>
      <w:bCs/>
      <w:kern w:val="28"/>
      <w:sz w:val="24"/>
      <w:szCs w:val="32"/>
      <w:lang w:val="en-US" w:eastAsia="zh-CN" w:bidi="ar-SA"/>
    </w:rPr>
  </w:style>
  <w:style w:type="paragraph" w:styleId="af0">
    <w:name w:val="List Paragraph"/>
    <w:basedOn w:val="a"/>
    <w:uiPriority w:val="34"/>
    <w:qFormat/>
    <w:pPr>
      <w:widowControl/>
      <w:ind w:left="720" w:firstLine="360"/>
      <w:contextualSpacing/>
      <w:jc w:val="left"/>
    </w:pPr>
    <w:rPr>
      <w:rFonts w:ascii="Calibri" w:hAnsi="Calibri"/>
      <w:kern w:val="0"/>
      <w:sz w:val="22"/>
      <w:szCs w:val="22"/>
      <w:lang w:eastAsia="en-US" w:bidi="en-US"/>
    </w:rPr>
  </w:style>
  <w:style w:type="character" w:customStyle="1" w:styleId="Char1">
    <w:name w:val="纯文本 Char"/>
    <w:link w:val="a6"/>
    <w:qFormat/>
    <w:rPr>
      <w:rFonts w:ascii="宋体" w:hAnsi="Courier New"/>
      <w:kern w:val="2"/>
      <w:sz w:val="21"/>
      <w:lang w:val="zh-CN" w:eastAsia="zh-CN"/>
    </w:rPr>
  </w:style>
  <w:style w:type="character" w:customStyle="1" w:styleId="Char0">
    <w:name w:val="正文文本缩进 Char"/>
    <w:link w:val="a5"/>
    <w:qFormat/>
    <w:rPr>
      <w:kern w:val="2"/>
      <w:sz w:val="21"/>
    </w:rPr>
  </w:style>
  <w:style w:type="character" w:customStyle="1" w:styleId="Char4">
    <w:name w:val="页眉 Char"/>
    <w:link w:val="a9"/>
    <w:uiPriority w:val="99"/>
    <w:qFormat/>
    <w:rPr>
      <w:kern w:val="2"/>
      <w:sz w:val="18"/>
      <w:szCs w:val="18"/>
    </w:rPr>
  </w:style>
  <w:style w:type="character" w:customStyle="1" w:styleId="Char3">
    <w:name w:val="页脚 Char"/>
    <w:link w:val="a8"/>
    <w:uiPriority w:val="99"/>
    <w:qFormat/>
    <w:rPr>
      <w:kern w:val="2"/>
      <w:sz w:val="18"/>
      <w:szCs w:val="18"/>
    </w:rPr>
  </w:style>
  <w:style w:type="character" w:customStyle="1" w:styleId="Char2">
    <w:name w:val="日期 Char"/>
    <w:link w:val="a7"/>
    <w:qFormat/>
    <w:rPr>
      <w:kern w:val="2"/>
      <w:sz w:val="21"/>
      <w:szCs w:val="24"/>
    </w:rPr>
  </w:style>
  <w:style w:type="paragraph" w:customStyle="1" w:styleId="af1">
    <w:name w:val="标准文件_段"/>
    <w:qFormat/>
    <w:pPr>
      <w:autoSpaceDE w:val="0"/>
      <w:autoSpaceDN w:val="0"/>
      <w:adjustRightInd w:val="0"/>
      <w:snapToGrid w:val="0"/>
      <w:spacing w:line="360" w:lineRule="auto"/>
      <w:ind w:firstLineChars="200" w:firstLine="488"/>
    </w:pPr>
    <w:rPr>
      <w:color w:val="000000"/>
      <w:spacing w:val="2"/>
      <w:sz w:val="24"/>
      <w:szCs w:val="24"/>
    </w:rPr>
  </w:style>
  <w:style w:type="paragraph" w:customStyle="1" w:styleId="af2">
    <w:name w:val="标准文件_正文公式"/>
    <w:basedOn w:val="a"/>
    <w:next w:val="a"/>
    <w:qFormat/>
    <w:pPr>
      <w:tabs>
        <w:tab w:val="right" w:leader="middleDot" w:pos="0"/>
      </w:tabs>
      <w:adjustRightInd w:val="0"/>
      <w:spacing w:line="276" w:lineRule="auto"/>
      <w:jc w:val="right"/>
    </w:pPr>
    <w:rPr>
      <w:rFonts w:ascii="宋体"/>
      <w:szCs w:val="20"/>
    </w:rPr>
  </w:style>
  <w:style w:type="table" w:customStyle="1" w:styleId="11">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批注文字 字符"/>
    <w:basedOn w:val="a0"/>
    <w:qFormat/>
    <w:rPr>
      <w:kern w:val="2"/>
      <w:sz w:val="21"/>
      <w:szCs w:val="24"/>
    </w:rPr>
  </w:style>
  <w:style w:type="character" w:customStyle="1" w:styleId="Char">
    <w:name w:val="批注文字 Char"/>
    <w:link w:val="a4"/>
    <w:qFormat/>
    <w:rPr>
      <w:kern w:val="2"/>
      <w:sz w:val="24"/>
      <w:szCs w:val="24"/>
    </w:rPr>
  </w:style>
  <w:style w:type="paragraph" w:styleId="af4">
    <w:name w:val="Balloon Text"/>
    <w:basedOn w:val="a"/>
    <w:link w:val="Char6"/>
    <w:rsid w:val="00E62042"/>
    <w:rPr>
      <w:sz w:val="18"/>
      <w:szCs w:val="18"/>
    </w:rPr>
  </w:style>
  <w:style w:type="character" w:customStyle="1" w:styleId="Char6">
    <w:name w:val="批注框文本 Char"/>
    <w:basedOn w:val="a0"/>
    <w:link w:val="af4"/>
    <w:rsid w:val="00E6204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7</Pages>
  <Words>725</Words>
  <Characters>4133</Characters>
  <Application>Microsoft Office Word</Application>
  <DocSecurity>0</DocSecurity>
  <Lines>34</Lines>
  <Paragraphs>9</Paragraphs>
  <ScaleCrop>false</ScaleCrop>
  <Company>freeman</Company>
  <LinksUpToDate>false</LinksUpToDate>
  <CharactersWithSpaces>4849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王继</dc:creator>
  <cp:lastModifiedBy>Fu</cp:lastModifiedBy>
  <cp:revision>89</cp:revision>
  <dcterms:created xsi:type="dcterms:W3CDTF">2021-04-16T07:06:00Z</dcterms:created>
  <dcterms:modified xsi:type="dcterms:W3CDTF">2025-11-27T19:59:00Z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19C30AA45E62447189DB39489A4381E8</vt:lpwstr>
  </property>
</Properties>
</file>