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EAEA"/>
  <w:body>
    <w:p w14:paraId="57C0E598" w14:textId="77777777" w:rsidR="00EF1E5D" w:rsidRDefault="00EF1E5D">
      <w:pPr>
        <w:spacing w:before="120" w:line="300" w:lineRule="auto"/>
        <w:jc w:val="center"/>
        <w:rPr>
          <w:spacing w:val="20"/>
          <w:sz w:val="84"/>
        </w:rPr>
      </w:pPr>
    </w:p>
    <w:p w14:paraId="1E34E58B" w14:textId="77777777" w:rsidR="00EF1E5D" w:rsidRDefault="00EF1E5D">
      <w:pPr>
        <w:spacing w:before="120" w:line="300" w:lineRule="auto"/>
        <w:jc w:val="center"/>
        <w:rPr>
          <w:spacing w:val="20"/>
          <w:sz w:val="84"/>
        </w:rPr>
      </w:pPr>
    </w:p>
    <w:p w14:paraId="6E56B97E" w14:textId="77777777" w:rsidR="00EF1E5D" w:rsidRDefault="00000000">
      <w:pPr>
        <w:spacing w:line="480" w:lineRule="auto"/>
        <w:ind w:leftChars="-2" w:left="-4" w:firstLine="6"/>
        <w:jc w:val="center"/>
        <w:rPr>
          <w:rFonts w:ascii="黑体" w:eastAsia="黑体" w:hAnsi="黑体" w:hint="eastAsia"/>
          <w:b/>
          <w:spacing w:val="20"/>
          <w:sz w:val="48"/>
          <w:szCs w:val="48"/>
        </w:rPr>
      </w:pPr>
      <w:r>
        <w:rPr>
          <w:rFonts w:ascii="黑体" w:eastAsia="黑体" w:hAnsi="黑体" w:hint="eastAsia"/>
          <w:b/>
          <w:spacing w:val="20"/>
          <w:sz w:val="48"/>
          <w:szCs w:val="48"/>
        </w:rPr>
        <w:t>《</w:t>
      </w:r>
      <w:r>
        <w:rPr>
          <w:rFonts w:eastAsia="黑体" w:hint="eastAsia"/>
          <w:kern w:val="0"/>
          <w:sz w:val="52"/>
          <w:szCs w:val="22"/>
          <w:lang w:bidi="en-US"/>
        </w:rPr>
        <w:t>全血检验红细胞</w:t>
      </w:r>
      <w:r>
        <w:rPr>
          <w:rFonts w:eastAsia="黑体" w:hint="eastAsia"/>
          <w:kern w:val="0"/>
          <w:sz w:val="52"/>
          <w:szCs w:val="22"/>
          <w:lang w:eastAsia="zh-Hans" w:bidi="en-US"/>
        </w:rPr>
        <w:t>项目基于患者数据的质量控制算法溯源方法</w:t>
      </w:r>
      <w:r>
        <w:rPr>
          <w:rFonts w:ascii="黑体" w:eastAsia="黑体" w:hAnsi="黑体" w:hint="eastAsia"/>
          <w:b/>
          <w:spacing w:val="20"/>
          <w:sz w:val="48"/>
          <w:szCs w:val="48"/>
        </w:rPr>
        <w:t>》</w:t>
      </w:r>
    </w:p>
    <w:p w14:paraId="1017193A" w14:textId="77777777" w:rsidR="00EF1E5D" w:rsidRDefault="00EF1E5D">
      <w:pPr>
        <w:spacing w:before="156" w:line="300" w:lineRule="auto"/>
        <w:jc w:val="center"/>
        <w:rPr>
          <w:rFonts w:ascii="黑体" w:eastAsia="黑体" w:hAnsi="黑体" w:hint="eastAsia"/>
          <w:b/>
          <w:spacing w:val="20"/>
          <w:sz w:val="48"/>
          <w:szCs w:val="48"/>
        </w:rPr>
      </w:pPr>
    </w:p>
    <w:p w14:paraId="612F82B0" w14:textId="77777777" w:rsidR="00EF1E5D" w:rsidRDefault="00000000">
      <w:pPr>
        <w:ind w:leftChars="-233" w:left="576" w:hangingChars="204" w:hanging="1065"/>
        <w:jc w:val="center"/>
        <w:rPr>
          <w:rFonts w:ascii="黑体" w:eastAsia="黑体" w:hAnsi="黑体" w:hint="eastAsia"/>
          <w:b/>
          <w:spacing w:val="20"/>
          <w:sz w:val="48"/>
          <w:szCs w:val="48"/>
        </w:rPr>
      </w:pPr>
      <w:r>
        <w:rPr>
          <w:rFonts w:ascii="黑体" w:eastAsia="黑体" w:hAnsi="黑体" w:hint="eastAsia"/>
          <w:b/>
          <w:spacing w:val="20"/>
          <w:sz w:val="48"/>
          <w:szCs w:val="48"/>
        </w:rPr>
        <w:t xml:space="preserve">　编写说明</w:t>
      </w:r>
    </w:p>
    <w:p w14:paraId="76B571C0" w14:textId="77777777" w:rsidR="00EF1E5D" w:rsidRDefault="00EF1E5D">
      <w:pPr>
        <w:spacing w:before="120" w:line="300" w:lineRule="auto"/>
        <w:jc w:val="center"/>
        <w:rPr>
          <w:spacing w:val="20"/>
          <w:sz w:val="52"/>
        </w:rPr>
      </w:pPr>
    </w:p>
    <w:p w14:paraId="29D9CE75" w14:textId="77777777" w:rsidR="00EF1E5D" w:rsidRDefault="00EF1E5D">
      <w:pPr>
        <w:spacing w:before="120" w:line="300" w:lineRule="auto"/>
        <w:jc w:val="center"/>
        <w:rPr>
          <w:spacing w:val="20"/>
          <w:sz w:val="52"/>
        </w:rPr>
      </w:pPr>
    </w:p>
    <w:p w14:paraId="23D23426" w14:textId="77777777" w:rsidR="00EF1E5D" w:rsidRDefault="00EF1E5D">
      <w:pPr>
        <w:spacing w:before="120" w:line="300" w:lineRule="auto"/>
        <w:jc w:val="center"/>
        <w:rPr>
          <w:spacing w:val="20"/>
          <w:sz w:val="52"/>
        </w:rPr>
      </w:pPr>
    </w:p>
    <w:p w14:paraId="522760E2" w14:textId="77777777" w:rsidR="00EF1E5D" w:rsidRDefault="00EF1E5D">
      <w:pPr>
        <w:spacing w:before="120" w:line="300" w:lineRule="auto"/>
        <w:jc w:val="center"/>
        <w:rPr>
          <w:spacing w:val="20"/>
          <w:sz w:val="52"/>
        </w:rPr>
      </w:pPr>
    </w:p>
    <w:p w14:paraId="4BBC9817" w14:textId="77777777" w:rsidR="00EF1E5D" w:rsidRDefault="00EF1E5D">
      <w:pPr>
        <w:spacing w:before="120" w:line="300" w:lineRule="auto"/>
        <w:jc w:val="center"/>
        <w:rPr>
          <w:spacing w:val="20"/>
          <w:sz w:val="52"/>
        </w:rPr>
      </w:pPr>
    </w:p>
    <w:p w14:paraId="1D2389F7" w14:textId="77777777" w:rsidR="00EF1E5D" w:rsidRDefault="00EF1E5D">
      <w:pPr>
        <w:spacing w:before="120" w:line="300" w:lineRule="auto"/>
        <w:jc w:val="center"/>
        <w:rPr>
          <w:spacing w:val="20"/>
          <w:sz w:val="52"/>
        </w:rPr>
      </w:pPr>
    </w:p>
    <w:p w14:paraId="777099E0" w14:textId="77777777" w:rsidR="00EF1E5D" w:rsidRDefault="00EF1E5D">
      <w:pPr>
        <w:spacing w:before="120" w:line="300" w:lineRule="auto"/>
        <w:jc w:val="center"/>
        <w:rPr>
          <w:spacing w:val="20"/>
          <w:sz w:val="52"/>
        </w:rPr>
      </w:pPr>
    </w:p>
    <w:p w14:paraId="35CC1BB7" w14:textId="77777777" w:rsidR="00EF1E5D" w:rsidRDefault="00EF1E5D">
      <w:pPr>
        <w:spacing w:before="120" w:line="300" w:lineRule="auto"/>
        <w:jc w:val="center"/>
        <w:rPr>
          <w:spacing w:val="20"/>
          <w:sz w:val="52"/>
        </w:rPr>
      </w:pPr>
    </w:p>
    <w:p w14:paraId="72500056" w14:textId="77777777" w:rsidR="00EF1E5D" w:rsidRDefault="00EF1E5D">
      <w:pPr>
        <w:pStyle w:val="afb"/>
        <w:snapToGrid w:val="0"/>
        <w:spacing w:line="360" w:lineRule="auto"/>
        <w:ind w:left="0" w:firstLine="0"/>
        <w:rPr>
          <w:rFonts w:ascii="宋体" w:hAnsi="宋体" w:hint="eastAsia"/>
          <w:b/>
          <w:sz w:val="24"/>
          <w:szCs w:val="24"/>
          <w:lang w:eastAsia="zh-CN"/>
        </w:rPr>
      </w:pPr>
    </w:p>
    <w:p w14:paraId="0229E0AD" w14:textId="77777777" w:rsidR="00EF1E5D" w:rsidRDefault="00EF1E5D">
      <w:pPr>
        <w:pStyle w:val="afb"/>
        <w:snapToGrid w:val="0"/>
        <w:spacing w:line="360" w:lineRule="auto"/>
        <w:ind w:left="0" w:firstLine="0"/>
        <w:rPr>
          <w:rFonts w:ascii="宋体" w:hAnsi="宋体" w:hint="eastAsia"/>
          <w:b/>
          <w:sz w:val="24"/>
          <w:szCs w:val="24"/>
          <w:lang w:eastAsia="zh-CN"/>
        </w:rPr>
      </w:pPr>
    </w:p>
    <w:p w14:paraId="1B9D0306" w14:textId="77777777" w:rsidR="00EF1E5D" w:rsidRDefault="00000000">
      <w:pPr>
        <w:pStyle w:val="afb"/>
        <w:snapToGrid w:val="0"/>
        <w:spacing w:line="360" w:lineRule="auto"/>
        <w:ind w:left="0" w:firstLine="0"/>
        <w:jc w:val="center"/>
        <w:rPr>
          <w:rFonts w:ascii="Times New Roman"/>
          <w:b/>
          <w:sz w:val="24"/>
          <w:szCs w:val="24"/>
          <w:lang w:eastAsia="zh-CN"/>
        </w:rPr>
      </w:pPr>
      <w:r>
        <w:rPr>
          <w:rFonts w:ascii="宋体" w:hAnsi="宋体" w:hint="eastAsia"/>
          <w:b/>
          <w:sz w:val="24"/>
          <w:szCs w:val="24"/>
          <w:lang w:eastAsia="zh-CN"/>
        </w:rPr>
        <w:t>全血检验红细胞项目基于患者数据的质量控制算法溯源方法</w:t>
      </w:r>
      <w:r>
        <w:rPr>
          <w:rFonts w:ascii="Times New Roman" w:hint="eastAsia"/>
          <w:b/>
          <w:sz w:val="24"/>
          <w:szCs w:val="24"/>
          <w:lang w:eastAsia="zh-CN"/>
        </w:rPr>
        <w:t>编写组</w:t>
      </w:r>
    </w:p>
    <w:p w14:paraId="7189BD2B" w14:textId="77777777" w:rsidR="00EF1E5D" w:rsidRDefault="00000000">
      <w:pPr>
        <w:spacing w:before="120" w:line="300" w:lineRule="auto"/>
        <w:jc w:val="center"/>
        <w:rPr>
          <w:b/>
          <w:sz w:val="24"/>
        </w:rPr>
      </w:pPr>
      <w:r>
        <w:rPr>
          <w:b/>
          <w:sz w:val="24"/>
        </w:rPr>
        <w:t>202</w:t>
      </w:r>
      <w:r>
        <w:rPr>
          <w:rFonts w:hint="eastAsia"/>
          <w:b/>
          <w:sz w:val="24"/>
        </w:rPr>
        <w:t>5</w:t>
      </w:r>
      <w:r>
        <w:rPr>
          <w:b/>
          <w:sz w:val="24"/>
        </w:rPr>
        <w:t>-0</w:t>
      </w:r>
      <w:r>
        <w:rPr>
          <w:rFonts w:hint="eastAsia"/>
          <w:b/>
          <w:sz w:val="24"/>
        </w:rPr>
        <w:t>9</w:t>
      </w:r>
      <w:r>
        <w:rPr>
          <w:b/>
          <w:sz w:val="24"/>
        </w:rPr>
        <w:t>-</w:t>
      </w:r>
      <w:r>
        <w:rPr>
          <w:rFonts w:hint="eastAsia"/>
          <w:b/>
          <w:sz w:val="24"/>
        </w:rPr>
        <w:t>05</w:t>
      </w:r>
    </w:p>
    <w:p w14:paraId="4C2B101C" w14:textId="77777777" w:rsidR="00EF1E5D" w:rsidRDefault="00EF1E5D">
      <w:pPr>
        <w:spacing w:before="120" w:line="300" w:lineRule="auto"/>
        <w:jc w:val="center"/>
        <w:rPr>
          <w:b/>
          <w:sz w:val="24"/>
        </w:rPr>
      </w:pPr>
    </w:p>
    <w:p w14:paraId="2B15D4D2" w14:textId="77777777" w:rsidR="00EF1E5D" w:rsidRDefault="00000000">
      <w:pPr>
        <w:spacing w:beforeLines="50" w:before="156" w:afterLines="50" w:after="156" w:line="360" w:lineRule="auto"/>
        <w:rPr>
          <w:b/>
          <w:sz w:val="24"/>
        </w:rPr>
      </w:pPr>
      <w:r>
        <w:rPr>
          <w:b/>
          <w:sz w:val="24"/>
        </w:rPr>
        <w:t>一、任务来源</w:t>
      </w:r>
    </w:p>
    <w:p w14:paraId="7F923D2C" w14:textId="5112102F" w:rsidR="00EF1E5D" w:rsidRDefault="00000000">
      <w:pPr>
        <w:snapToGrid w:val="0"/>
        <w:spacing w:line="360" w:lineRule="auto"/>
        <w:ind w:firstLineChars="200" w:firstLine="480"/>
        <w:rPr>
          <w:sz w:val="24"/>
        </w:rPr>
      </w:pPr>
      <w:r>
        <w:rPr>
          <w:rFonts w:hint="eastAsia"/>
          <w:sz w:val="24"/>
        </w:rPr>
        <w:t>按照《中国计量协会团体标准制修订工作管理办法》有关要求，经中国计量协会协调、审核，组织编制了</w:t>
      </w:r>
      <w:r>
        <w:rPr>
          <w:rFonts w:hint="eastAsia"/>
          <w:sz w:val="24"/>
        </w:rPr>
        <w:t>2024</w:t>
      </w:r>
      <w:r>
        <w:rPr>
          <w:rFonts w:hint="eastAsia"/>
          <w:sz w:val="24"/>
        </w:rPr>
        <w:t>年第一批团体标准计划项目。根据中国计量协会关于下达第一批团体标准计划项目的通知，制定全血检验红细胞项目基于患者数据的质量控制算法溯源方法团体标准。由</w:t>
      </w:r>
      <w:r w:rsidR="004301C5" w:rsidRPr="004301C5">
        <w:rPr>
          <w:rFonts w:hint="eastAsia"/>
          <w:sz w:val="24"/>
        </w:rPr>
        <w:t>内蒙古自治区计量测试研究院、内蒙古卫数数据科技有限公司、内蒙古自治区上医智检大数据研究院、内蒙古科技大学包头医学院第一附属医院、内蒙古自治区妇幼保健院、中国医科大学第二附属医院盛京医院、通辽市市场检验检测中心、包头市检验检测中心</w:t>
      </w:r>
      <w:r>
        <w:rPr>
          <w:rFonts w:hint="eastAsia"/>
          <w:sz w:val="24"/>
        </w:rPr>
        <w:t>作为起草单位，承担编制工作。</w:t>
      </w:r>
      <w:r>
        <w:rPr>
          <w:rFonts w:hint="eastAsia"/>
          <w:sz w:val="24"/>
        </w:rPr>
        <w:t xml:space="preserve">     </w:t>
      </w:r>
    </w:p>
    <w:p w14:paraId="2841CCBA" w14:textId="77777777" w:rsidR="00EF1E5D" w:rsidRDefault="00000000">
      <w:pPr>
        <w:spacing w:beforeLines="50" w:before="156" w:afterLines="50" w:after="156" w:line="360" w:lineRule="auto"/>
        <w:rPr>
          <w:b/>
          <w:sz w:val="24"/>
        </w:rPr>
      </w:pPr>
      <w:r>
        <w:rPr>
          <w:b/>
          <w:sz w:val="24"/>
        </w:rPr>
        <w:t>二、制定</w:t>
      </w:r>
      <w:r>
        <w:rPr>
          <w:rFonts w:hint="eastAsia"/>
          <w:b/>
          <w:sz w:val="24"/>
        </w:rPr>
        <w:t>标准</w:t>
      </w:r>
      <w:r>
        <w:rPr>
          <w:b/>
          <w:sz w:val="24"/>
        </w:rPr>
        <w:t>的</w:t>
      </w:r>
      <w:r>
        <w:rPr>
          <w:rFonts w:hint="eastAsia"/>
          <w:b/>
          <w:sz w:val="24"/>
        </w:rPr>
        <w:t>目的与意义</w:t>
      </w:r>
    </w:p>
    <w:p w14:paraId="7F57CC44" w14:textId="77777777" w:rsidR="00EF1E5D" w:rsidRDefault="00000000">
      <w:pPr>
        <w:spacing w:line="360" w:lineRule="auto"/>
        <w:ind w:firstLine="480"/>
        <w:rPr>
          <w:sz w:val="24"/>
          <w:lang w:val="zh-CN"/>
        </w:rPr>
      </w:pPr>
      <w:r>
        <w:rPr>
          <w:rFonts w:hint="eastAsia"/>
          <w:sz w:val="24"/>
          <w:lang w:val="zh-CN"/>
        </w:rPr>
        <w:t>国家计量技术规范《检验医学定量检测项目基于患者数据的质量控制算法溯源方法》即将发布，其对常规检验项目的实时质量控制算法的溯源方法进行了规范化。鉴于该规范是对所有检验医学定量检测项目的溯源方法进行了统一约束，缺乏对单个指定项目的具体实施要求，内蒙古自治区计量测试研究院组织相关专家参考国家及国际相关行业专家共识，结合对《内蒙古自治区检查检验结果互认工作方案》的需求，根据内蒙古自治区卫生健康委员会办公室印发的《关于定期反馈检查检验结果自治区级互认机构及项目清单的通知》，对全血红细胞（</w:t>
      </w:r>
      <w:r>
        <w:rPr>
          <w:rFonts w:hint="eastAsia"/>
          <w:sz w:val="24"/>
        </w:rPr>
        <w:t>R</w:t>
      </w:r>
      <w:r>
        <w:rPr>
          <w:rFonts w:hint="eastAsia"/>
          <w:sz w:val="24"/>
          <w:lang w:val="zh-CN"/>
        </w:rPr>
        <w:t>BC</w:t>
      </w:r>
      <w:r>
        <w:rPr>
          <w:rFonts w:hint="eastAsia"/>
          <w:sz w:val="24"/>
          <w:lang w:val="zh-CN"/>
        </w:rPr>
        <w:t>）下的基于患者数据的质量控制算法（</w:t>
      </w:r>
      <w:r>
        <w:rPr>
          <w:rFonts w:hint="eastAsia"/>
          <w:sz w:val="24"/>
          <w:lang w:val="zh-CN"/>
        </w:rPr>
        <w:t>PBRTQC</w:t>
      </w:r>
      <w:r>
        <w:rPr>
          <w:rFonts w:hint="eastAsia"/>
          <w:sz w:val="24"/>
          <w:lang w:val="zh-CN"/>
        </w:rPr>
        <w:t>），提出一套规范定量评价该类算法在临床应用的可靠程度。</w:t>
      </w:r>
    </w:p>
    <w:p w14:paraId="66443E98" w14:textId="77777777" w:rsidR="00EF1E5D" w:rsidRDefault="00000000">
      <w:pPr>
        <w:spacing w:beforeLines="50" w:before="156" w:afterLines="50" w:after="156" w:line="360" w:lineRule="auto"/>
        <w:rPr>
          <w:b/>
          <w:sz w:val="24"/>
        </w:rPr>
      </w:pPr>
      <w:r>
        <w:rPr>
          <w:b/>
          <w:sz w:val="24"/>
        </w:rPr>
        <w:t>三、制定过程</w:t>
      </w:r>
    </w:p>
    <w:p w14:paraId="63222AA7" w14:textId="77777777" w:rsidR="00EF1E5D"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5</w:t>
      </w:r>
      <w:r>
        <w:rPr>
          <w:rFonts w:hint="eastAsia"/>
          <w:sz w:val="24"/>
        </w:rPr>
        <w:t>月，内蒙古自治区计量测试研究院联合内蒙古卫数数据科技有限公司、内蒙古自治区上医智检大数据研究院共同组建技术规范编制小组，召开项目启动会。会议审议并通过了技术规范修订的管理规定、工作流程及时间安排，明确了提案内容和立项计划，并对各参与单位的具体分工进行了统筹安排。各成员单位按照任务分工和时间节点，系统开展了国内外政策法规、管理制度及相关技术标准的资料搜集与整理工作。</w:t>
      </w:r>
    </w:p>
    <w:p w14:paraId="30CB35EA" w14:textId="77777777" w:rsidR="00EF1E5D"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6</w:t>
      </w:r>
      <w:r>
        <w:rPr>
          <w:rFonts w:hint="eastAsia"/>
          <w:sz w:val="24"/>
        </w:rPr>
        <w:t>月，编制小组召开第一次推进会，研究确定了技术规范的整体框</w:t>
      </w:r>
      <w:r>
        <w:rPr>
          <w:rFonts w:hint="eastAsia"/>
          <w:sz w:val="24"/>
        </w:rPr>
        <w:lastRenderedPageBreak/>
        <w:t>架及各章节结构。</w:t>
      </w:r>
    </w:p>
    <w:p w14:paraId="7EE02566" w14:textId="77777777" w:rsidR="00EF1E5D"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8</w:t>
      </w:r>
      <w:r>
        <w:rPr>
          <w:rFonts w:hint="eastAsia"/>
          <w:sz w:val="24"/>
        </w:rPr>
        <w:t>月，编制小组召开第二次推进会，围绕技术规范的核心内容进行深入研讨，重点对前言、术语定义和概述等部分进行了修改与完善。</w:t>
      </w:r>
    </w:p>
    <w:p w14:paraId="7807C09F" w14:textId="77777777" w:rsidR="00EF1E5D"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10</w:t>
      </w:r>
      <w:r>
        <w:rPr>
          <w:rFonts w:hint="eastAsia"/>
          <w:sz w:val="24"/>
        </w:rPr>
        <w:t>月，编制小组召开第三次推进会，继续对技术规范内容进行优化，进一步提升了前言、术语定义和概述等部分的准确性与规范性。</w:t>
      </w:r>
    </w:p>
    <w:p w14:paraId="5C759CA8" w14:textId="77777777" w:rsidR="00EF1E5D"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12</w:t>
      </w:r>
      <w:r>
        <w:rPr>
          <w:rFonts w:hint="eastAsia"/>
          <w:sz w:val="24"/>
        </w:rPr>
        <w:t>月，编制小组赴内蒙古自治区综合疾病预防控制中心开展实地调研，结合临床实际需求，完成了关于检验医学定量检测项目基于患者数据的质量控制算法溯源方法的初稿编制工作。</w:t>
      </w:r>
    </w:p>
    <w:p w14:paraId="2707AD7A" w14:textId="77777777" w:rsidR="00EF1E5D" w:rsidRDefault="00000000">
      <w:pPr>
        <w:spacing w:line="360" w:lineRule="auto"/>
        <w:ind w:firstLineChars="200" w:firstLine="480"/>
        <w:rPr>
          <w:sz w:val="24"/>
        </w:rPr>
      </w:pPr>
      <w:r>
        <w:rPr>
          <w:rFonts w:hint="eastAsia"/>
          <w:sz w:val="24"/>
        </w:rPr>
        <w:t>2025</w:t>
      </w:r>
      <w:r>
        <w:rPr>
          <w:rFonts w:hint="eastAsia"/>
          <w:sz w:val="24"/>
        </w:rPr>
        <w:t>年</w:t>
      </w:r>
      <w:r>
        <w:rPr>
          <w:rFonts w:hint="eastAsia"/>
          <w:sz w:val="24"/>
        </w:rPr>
        <w:t>1</w:t>
      </w:r>
      <w:r>
        <w:rPr>
          <w:rFonts w:hint="eastAsia"/>
          <w:sz w:val="24"/>
        </w:rPr>
        <w:t>月，整合来自内蒙古科技大学包头医学院第一附属医院、内蒙古自治区妇幼保健院、中国医科大学第二附属医院盛京医院等机构的红细胞真实数据，研制形成质量在控数字量具</w:t>
      </w:r>
      <w:r>
        <w:rPr>
          <w:rFonts w:hint="eastAsia"/>
          <w:sz w:val="24"/>
        </w:rPr>
        <w:t>3.5</w:t>
      </w:r>
      <w:r>
        <w:rPr>
          <w:rFonts w:hint="eastAsia"/>
          <w:sz w:val="24"/>
        </w:rPr>
        <w:t>万余条。</w:t>
      </w:r>
    </w:p>
    <w:p w14:paraId="6C96EFFE" w14:textId="77777777" w:rsidR="00EF1E5D" w:rsidRDefault="00000000">
      <w:pPr>
        <w:spacing w:line="360" w:lineRule="auto"/>
        <w:ind w:firstLineChars="200" w:firstLine="480"/>
        <w:rPr>
          <w:sz w:val="24"/>
        </w:rPr>
      </w:pPr>
      <w:r>
        <w:rPr>
          <w:rFonts w:hint="eastAsia"/>
          <w:sz w:val="24"/>
        </w:rPr>
        <w:t>2025</w:t>
      </w:r>
      <w:r>
        <w:rPr>
          <w:rFonts w:hint="eastAsia"/>
          <w:sz w:val="24"/>
        </w:rPr>
        <w:t>年</w:t>
      </w:r>
      <w:r>
        <w:rPr>
          <w:rFonts w:hint="eastAsia"/>
          <w:sz w:val="24"/>
        </w:rPr>
        <w:t>2</w:t>
      </w:r>
      <w:r>
        <w:rPr>
          <w:rFonts w:hint="eastAsia"/>
          <w:sz w:val="24"/>
        </w:rPr>
        <w:t>月至</w:t>
      </w:r>
      <w:r>
        <w:rPr>
          <w:rFonts w:hint="eastAsia"/>
          <w:sz w:val="24"/>
        </w:rPr>
        <w:t>3</w:t>
      </w:r>
      <w:r>
        <w:rPr>
          <w:rFonts w:hint="eastAsia"/>
          <w:sz w:val="24"/>
        </w:rPr>
        <w:t>月，基于红细胞真实数据及患者数据质量控制算法原理，研制生成比例偏倚质量失控数字量具</w:t>
      </w:r>
      <w:r>
        <w:rPr>
          <w:rFonts w:hint="eastAsia"/>
          <w:sz w:val="24"/>
        </w:rPr>
        <w:t>175</w:t>
      </w:r>
      <w:r>
        <w:rPr>
          <w:rFonts w:hint="eastAsia"/>
          <w:sz w:val="24"/>
        </w:rPr>
        <w:t>万余条、恒定偏倚质量失控数字量具</w:t>
      </w:r>
      <w:r>
        <w:rPr>
          <w:rFonts w:hint="eastAsia"/>
          <w:sz w:val="24"/>
        </w:rPr>
        <w:t>35</w:t>
      </w:r>
      <w:r>
        <w:rPr>
          <w:rFonts w:hint="eastAsia"/>
          <w:sz w:val="24"/>
        </w:rPr>
        <w:t>万余条、随机偏倚质量失控数字量具</w:t>
      </w:r>
      <w:r>
        <w:rPr>
          <w:rFonts w:hint="eastAsia"/>
          <w:sz w:val="24"/>
        </w:rPr>
        <w:t>210</w:t>
      </w:r>
      <w:r>
        <w:rPr>
          <w:rFonts w:hint="eastAsia"/>
          <w:sz w:val="24"/>
        </w:rPr>
        <w:t>万余条。</w:t>
      </w:r>
    </w:p>
    <w:p w14:paraId="7581D8D5" w14:textId="77777777" w:rsidR="00EF1E5D" w:rsidRDefault="00000000">
      <w:pPr>
        <w:spacing w:line="360" w:lineRule="auto"/>
        <w:ind w:firstLineChars="200" w:firstLine="480"/>
        <w:rPr>
          <w:sz w:val="24"/>
        </w:rPr>
      </w:pPr>
      <w:r>
        <w:rPr>
          <w:rFonts w:hint="eastAsia"/>
          <w:sz w:val="24"/>
        </w:rPr>
        <w:t>2025</w:t>
      </w:r>
      <w:r>
        <w:rPr>
          <w:rFonts w:hint="eastAsia"/>
          <w:sz w:val="24"/>
        </w:rPr>
        <w:t>年</w:t>
      </w:r>
      <w:r>
        <w:rPr>
          <w:rFonts w:hint="eastAsia"/>
          <w:sz w:val="24"/>
        </w:rPr>
        <w:t>4</w:t>
      </w:r>
      <w:r>
        <w:rPr>
          <w:rFonts w:hint="eastAsia"/>
          <w:sz w:val="24"/>
        </w:rPr>
        <w:t>月至</w:t>
      </w:r>
      <w:r>
        <w:rPr>
          <w:rFonts w:hint="eastAsia"/>
          <w:sz w:val="24"/>
        </w:rPr>
        <w:t>6</w:t>
      </w:r>
      <w:r>
        <w:rPr>
          <w:rFonts w:hint="eastAsia"/>
          <w:sz w:val="24"/>
        </w:rPr>
        <w:t>月，依据技术规范流程对已研制的数字量具进行全面验证，完善了比例偏倚、恒定偏倚和随机偏倚的溯源评价结果记录格式。</w:t>
      </w:r>
    </w:p>
    <w:p w14:paraId="1168636F" w14:textId="77777777" w:rsidR="00EF1E5D" w:rsidRDefault="00000000">
      <w:pPr>
        <w:spacing w:line="360" w:lineRule="auto"/>
        <w:ind w:firstLineChars="200" w:firstLine="480"/>
        <w:rPr>
          <w:sz w:val="24"/>
        </w:rPr>
      </w:pPr>
      <w:r>
        <w:rPr>
          <w:rFonts w:hint="eastAsia"/>
          <w:sz w:val="24"/>
        </w:rPr>
        <w:t>2025</w:t>
      </w:r>
      <w:r>
        <w:rPr>
          <w:rFonts w:hint="eastAsia"/>
          <w:sz w:val="24"/>
        </w:rPr>
        <w:t>年</w:t>
      </w:r>
      <w:r>
        <w:rPr>
          <w:rFonts w:hint="eastAsia"/>
          <w:sz w:val="24"/>
        </w:rPr>
        <w:t>7</w:t>
      </w:r>
      <w:r>
        <w:rPr>
          <w:rFonts w:hint="eastAsia"/>
          <w:sz w:val="24"/>
        </w:rPr>
        <w:t>月至</w:t>
      </w:r>
      <w:r>
        <w:rPr>
          <w:rFonts w:hint="eastAsia"/>
          <w:sz w:val="24"/>
        </w:rPr>
        <w:t>8</w:t>
      </w:r>
      <w:r>
        <w:rPr>
          <w:rFonts w:hint="eastAsia"/>
          <w:sz w:val="24"/>
        </w:rPr>
        <w:t>月，编制小组组织召开线上专家咨询会，邀请产业界、学术界及相关企业专家参与研讨，并征求了内蒙古科技大学包头医学院第一附属医院、内蒙古自治区妇幼保健院、中国医科大学第二附属医院盛京医院等多家单位的意见建议。根据反馈意见，编制小组对征求意见稿进行了进一步修改与完善，最终形成《全血检验红细胞项目基于患者数据的质量控制算法溯源方法》送审稿。</w:t>
      </w:r>
    </w:p>
    <w:p w14:paraId="6CBB5D22" w14:textId="77777777" w:rsidR="00EF1E5D" w:rsidRDefault="00000000">
      <w:pPr>
        <w:spacing w:beforeLines="50" w:before="156" w:afterLines="50" w:after="156" w:line="360" w:lineRule="auto"/>
        <w:rPr>
          <w:b/>
          <w:sz w:val="24"/>
        </w:rPr>
      </w:pPr>
      <w:r>
        <w:rPr>
          <w:b/>
          <w:sz w:val="24"/>
        </w:rPr>
        <w:t>四、</w:t>
      </w:r>
      <w:r>
        <w:rPr>
          <w:rFonts w:hint="eastAsia"/>
          <w:b/>
          <w:sz w:val="24"/>
        </w:rPr>
        <w:t>校准方法</w:t>
      </w:r>
      <w:r>
        <w:rPr>
          <w:b/>
          <w:sz w:val="24"/>
        </w:rPr>
        <w:t>的主要技术依据</w:t>
      </w:r>
    </w:p>
    <w:p w14:paraId="6AF0C9F3" w14:textId="77777777" w:rsidR="00EF1E5D" w:rsidRDefault="00000000">
      <w:pPr>
        <w:pStyle w:val="a9"/>
        <w:tabs>
          <w:tab w:val="left" w:pos="0"/>
        </w:tabs>
        <w:snapToGrid w:val="0"/>
        <w:spacing w:after="0" w:line="360" w:lineRule="auto"/>
        <w:ind w:leftChars="0" w:left="0" w:firstLineChars="200" w:firstLine="480"/>
        <w:rPr>
          <w:sz w:val="24"/>
        </w:rPr>
      </w:pPr>
      <w:r>
        <w:rPr>
          <w:sz w:val="24"/>
          <w:szCs w:val="24"/>
        </w:rPr>
        <w:t>《</w:t>
      </w:r>
      <w:r>
        <w:rPr>
          <w:rFonts w:hint="eastAsia"/>
          <w:sz w:val="24"/>
          <w:szCs w:val="24"/>
          <w:lang w:val="zh-CN"/>
        </w:rPr>
        <w:t>全血检验红细胞项目基于患者数据的质量控制算法溯源方法</w:t>
      </w:r>
      <w:r>
        <w:rPr>
          <w:sz w:val="24"/>
          <w:szCs w:val="24"/>
        </w:rPr>
        <w:t>》</w:t>
      </w:r>
      <w:r>
        <w:rPr>
          <w:rFonts w:hint="eastAsia"/>
          <w:sz w:val="24"/>
          <w:szCs w:val="24"/>
        </w:rPr>
        <w:t>团体标准</w:t>
      </w:r>
      <w:r>
        <w:rPr>
          <w:sz w:val="24"/>
          <w:szCs w:val="24"/>
        </w:rPr>
        <w:t>的编制的主要参考资料和依据如下：</w:t>
      </w:r>
      <w:r>
        <w:rPr>
          <w:rFonts w:hint="eastAsia"/>
          <w:sz w:val="24"/>
          <w:szCs w:val="24"/>
        </w:rPr>
        <w:t>JJF XXXX</w:t>
      </w:r>
      <w:r>
        <w:rPr>
          <w:rFonts w:hint="eastAsia"/>
          <w:sz w:val="24"/>
          <w:szCs w:val="24"/>
        </w:rPr>
        <w:t>—</w:t>
      </w:r>
      <w:r>
        <w:rPr>
          <w:rFonts w:hint="eastAsia"/>
          <w:sz w:val="24"/>
          <w:szCs w:val="24"/>
        </w:rPr>
        <w:t>202X</w:t>
      </w:r>
      <w:r>
        <w:rPr>
          <w:rFonts w:hint="eastAsia"/>
          <w:sz w:val="24"/>
          <w:szCs w:val="24"/>
        </w:rPr>
        <w:t>《检验医学定量检测项目基于患者数据的质量控制算法溯源方法》、</w:t>
      </w:r>
      <w:r>
        <w:rPr>
          <w:rFonts w:hint="eastAsia"/>
          <w:sz w:val="24"/>
          <w:szCs w:val="24"/>
        </w:rPr>
        <w:t>GB/T 3358.2-2009/ISO 3534-2:2006</w:t>
      </w:r>
      <w:r>
        <w:rPr>
          <w:rFonts w:hint="eastAsia"/>
          <w:sz w:val="24"/>
          <w:szCs w:val="24"/>
        </w:rPr>
        <w:t>《统计学词汇及符号</w:t>
      </w:r>
      <w:r>
        <w:rPr>
          <w:rFonts w:hint="eastAsia"/>
          <w:sz w:val="24"/>
          <w:szCs w:val="24"/>
        </w:rPr>
        <w:t xml:space="preserve"> </w:t>
      </w:r>
      <w:r>
        <w:rPr>
          <w:rFonts w:hint="eastAsia"/>
          <w:sz w:val="24"/>
          <w:szCs w:val="24"/>
        </w:rPr>
        <w:t>第</w:t>
      </w:r>
      <w:r>
        <w:rPr>
          <w:rFonts w:hint="eastAsia"/>
          <w:sz w:val="24"/>
          <w:szCs w:val="24"/>
        </w:rPr>
        <w:t>2</w:t>
      </w:r>
      <w:r>
        <w:rPr>
          <w:rFonts w:hint="eastAsia"/>
          <w:sz w:val="24"/>
          <w:szCs w:val="24"/>
        </w:rPr>
        <w:t>部分：应用统计》、</w:t>
      </w:r>
      <w:r>
        <w:rPr>
          <w:rFonts w:hint="eastAsia"/>
          <w:sz w:val="24"/>
          <w:szCs w:val="24"/>
        </w:rPr>
        <w:t>GB/T 19000-2016</w:t>
      </w:r>
      <w:r>
        <w:rPr>
          <w:rFonts w:hint="eastAsia"/>
          <w:sz w:val="24"/>
          <w:szCs w:val="24"/>
        </w:rPr>
        <w:t>《质量管理体系</w:t>
      </w:r>
      <w:r>
        <w:rPr>
          <w:rFonts w:hint="eastAsia"/>
          <w:sz w:val="24"/>
          <w:szCs w:val="24"/>
        </w:rPr>
        <w:t xml:space="preserve"> </w:t>
      </w:r>
      <w:r>
        <w:rPr>
          <w:rFonts w:hint="eastAsia"/>
          <w:sz w:val="24"/>
          <w:szCs w:val="24"/>
        </w:rPr>
        <w:t>基础和术语》、</w:t>
      </w:r>
      <w:r>
        <w:rPr>
          <w:rFonts w:hint="eastAsia"/>
          <w:sz w:val="24"/>
          <w:szCs w:val="24"/>
        </w:rPr>
        <w:t>WS/T 403-2012</w:t>
      </w:r>
      <w:r>
        <w:rPr>
          <w:rFonts w:hint="eastAsia"/>
          <w:sz w:val="24"/>
          <w:szCs w:val="24"/>
        </w:rPr>
        <w:t>《临床生物化学检验常规项目分析质量指标》、</w:t>
      </w:r>
      <w:r>
        <w:rPr>
          <w:rFonts w:hint="eastAsia"/>
          <w:sz w:val="24"/>
          <w:szCs w:val="24"/>
        </w:rPr>
        <w:t>WS/T 415-2013</w:t>
      </w:r>
      <w:r>
        <w:rPr>
          <w:rFonts w:hint="eastAsia"/>
          <w:sz w:val="24"/>
          <w:szCs w:val="24"/>
        </w:rPr>
        <w:t>《无室间质量评价时实验室检测评估方法》、</w:t>
      </w:r>
      <w:r>
        <w:rPr>
          <w:rFonts w:hint="eastAsia"/>
          <w:sz w:val="24"/>
          <w:szCs w:val="24"/>
        </w:rPr>
        <w:t xml:space="preserve">CLSI C24 </w:t>
      </w:r>
      <w:r>
        <w:rPr>
          <w:rFonts w:hint="eastAsia"/>
          <w:sz w:val="24"/>
          <w:szCs w:val="24"/>
        </w:rPr>
        <w:t>第</w:t>
      </w:r>
      <w:r>
        <w:rPr>
          <w:rFonts w:hint="eastAsia"/>
          <w:sz w:val="24"/>
          <w:szCs w:val="24"/>
        </w:rPr>
        <w:t>4</w:t>
      </w:r>
      <w:r>
        <w:rPr>
          <w:rFonts w:hint="eastAsia"/>
          <w:sz w:val="24"/>
          <w:szCs w:val="24"/>
        </w:rPr>
        <w:t>版《定量测量程序的统计质量控制：原理和定义》。</w:t>
      </w:r>
    </w:p>
    <w:p w14:paraId="32805EFF" w14:textId="77777777" w:rsidR="00EF1E5D" w:rsidRDefault="00000000">
      <w:pPr>
        <w:spacing w:beforeLines="50" w:before="156" w:afterLines="50" w:after="156" w:line="360" w:lineRule="auto"/>
        <w:rPr>
          <w:b/>
          <w:sz w:val="24"/>
        </w:rPr>
      </w:pPr>
      <w:r>
        <w:rPr>
          <w:b/>
          <w:sz w:val="24"/>
        </w:rPr>
        <w:lastRenderedPageBreak/>
        <w:t>五、</w:t>
      </w:r>
      <w:r>
        <w:rPr>
          <w:rFonts w:hint="eastAsia"/>
          <w:b/>
          <w:sz w:val="24"/>
        </w:rPr>
        <w:t>团体标准</w:t>
      </w:r>
      <w:r>
        <w:rPr>
          <w:b/>
          <w:sz w:val="24"/>
        </w:rPr>
        <w:t>的主要内容及主要技术关键</w:t>
      </w:r>
    </w:p>
    <w:p w14:paraId="01C92FE3" w14:textId="77777777" w:rsidR="00EF1E5D" w:rsidRDefault="00000000">
      <w:pPr>
        <w:spacing w:line="360" w:lineRule="auto"/>
        <w:ind w:firstLineChars="200" w:firstLine="480"/>
        <w:rPr>
          <w:sz w:val="24"/>
        </w:rPr>
      </w:pPr>
      <w:r>
        <w:rPr>
          <w:rFonts w:hint="eastAsia"/>
          <w:sz w:val="24"/>
        </w:rPr>
        <w:t>1</w:t>
      </w:r>
      <w:r>
        <w:rPr>
          <w:rFonts w:hint="eastAsia"/>
          <w:sz w:val="24"/>
        </w:rPr>
        <w:t xml:space="preserve">　范围</w:t>
      </w:r>
    </w:p>
    <w:p w14:paraId="1E3EC360" w14:textId="77777777" w:rsidR="00EF1E5D" w:rsidRDefault="00000000">
      <w:pPr>
        <w:spacing w:line="360" w:lineRule="auto"/>
        <w:ind w:firstLineChars="200" w:firstLine="480"/>
        <w:rPr>
          <w:sz w:val="24"/>
        </w:rPr>
      </w:pPr>
      <w:r>
        <w:rPr>
          <w:rFonts w:hint="eastAsia"/>
          <w:sz w:val="24"/>
        </w:rPr>
        <w:t>2</w:t>
      </w:r>
      <w:r>
        <w:rPr>
          <w:rFonts w:hint="eastAsia"/>
          <w:sz w:val="24"/>
        </w:rPr>
        <w:t xml:space="preserve">　规范性引用文件</w:t>
      </w:r>
    </w:p>
    <w:p w14:paraId="68D9FE49" w14:textId="77777777" w:rsidR="00EF1E5D" w:rsidRDefault="00000000">
      <w:pPr>
        <w:spacing w:line="360" w:lineRule="auto"/>
        <w:ind w:firstLineChars="200" w:firstLine="480"/>
        <w:rPr>
          <w:sz w:val="24"/>
        </w:rPr>
      </w:pPr>
      <w:r>
        <w:rPr>
          <w:rFonts w:hint="eastAsia"/>
          <w:sz w:val="24"/>
        </w:rPr>
        <w:t>3</w:t>
      </w:r>
      <w:r>
        <w:rPr>
          <w:rFonts w:hint="eastAsia"/>
          <w:sz w:val="24"/>
        </w:rPr>
        <w:t xml:space="preserve">　术语和定义</w:t>
      </w:r>
    </w:p>
    <w:p w14:paraId="0DFD2125" w14:textId="77777777" w:rsidR="00EF1E5D" w:rsidRDefault="00000000">
      <w:pPr>
        <w:spacing w:line="360" w:lineRule="auto"/>
        <w:ind w:firstLineChars="200" w:firstLine="480"/>
        <w:rPr>
          <w:sz w:val="24"/>
        </w:rPr>
      </w:pPr>
      <w:r>
        <w:rPr>
          <w:rFonts w:hint="eastAsia"/>
          <w:sz w:val="24"/>
        </w:rPr>
        <w:t>4</w:t>
      </w:r>
      <w:r>
        <w:rPr>
          <w:rFonts w:hint="eastAsia"/>
          <w:sz w:val="24"/>
        </w:rPr>
        <w:t xml:space="preserve">　概述</w:t>
      </w:r>
    </w:p>
    <w:p w14:paraId="42ED4E20" w14:textId="77777777" w:rsidR="00EF1E5D" w:rsidRDefault="00000000">
      <w:pPr>
        <w:spacing w:line="360" w:lineRule="auto"/>
        <w:ind w:firstLineChars="200" w:firstLine="480"/>
        <w:rPr>
          <w:sz w:val="24"/>
        </w:rPr>
      </w:pPr>
      <w:r>
        <w:rPr>
          <w:rFonts w:hint="eastAsia"/>
          <w:sz w:val="24"/>
        </w:rPr>
        <w:t>5</w:t>
      </w:r>
      <w:r>
        <w:rPr>
          <w:rFonts w:hint="eastAsia"/>
          <w:sz w:val="24"/>
        </w:rPr>
        <w:t xml:space="preserve">　技术要求</w:t>
      </w:r>
    </w:p>
    <w:p w14:paraId="24DAF89E" w14:textId="77777777" w:rsidR="00EF1E5D" w:rsidRDefault="00000000">
      <w:pPr>
        <w:spacing w:line="360" w:lineRule="auto"/>
        <w:ind w:firstLineChars="200" w:firstLine="480"/>
        <w:rPr>
          <w:sz w:val="24"/>
        </w:rPr>
      </w:pPr>
      <w:r>
        <w:rPr>
          <w:rFonts w:hint="eastAsia"/>
          <w:sz w:val="24"/>
        </w:rPr>
        <w:t xml:space="preserve">5.1 </w:t>
      </w:r>
      <w:r>
        <w:rPr>
          <w:rFonts w:hint="eastAsia"/>
          <w:sz w:val="24"/>
        </w:rPr>
        <w:t>假性失控率</w:t>
      </w:r>
    </w:p>
    <w:p w14:paraId="7F809AD0" w14:textId="77777777" w:rsidR="00EF1E5D" w:rsidRDefault="00000000">
      <w:pPr>
        <w:spacing w:line="360" w:lineRule="auto"/>
        <w:ind w:firstLineChars="200" w:firstLine="480"/>
        <w:rPr>
          <w:sz w:val="24"/>
        </w:rPr>
      </w:pPr>
      <w:r>
        <w:rPr>
          <w:rFonts w:hint="eastAsia"/>
          <w:sz w:val="24"/>
        </w:rPr>
        <w:t xml:space="preserve">5.2 </w:t>
      </w:r>
      <w:r>
        <w:rPr>
          <w:rFonts w:hint="eastAsia"/>
          <w:sz w:val="24"/>
        </w:rPr>
        <w:t>误差检出率</w:t>
      </w:r>
    </w:p>
    <w:p w14:paraId="03C02077" w14:textId="77777777" w:rsidR="00EF1E5D" w:rsidRDefault="00000000">
      <w:pPr>
        <w:spacing w:line="360" w:lineRule="auto"/>
        <w:ind w:firstLineChars="200" w:firstLine="480"/>
        <w:rPr>
          <w:sz w:val="24"/>
        </w:rPr>
      </w:pPr>
      <w:r>
        <w:rPr>
          <w:rFonts w:hint="eastAsia"/>
          <w:sz w:val="24"/>
        </w:rPr>
        <w:t xml:space="preserve">5.3 </w:t>
      </w:r>
      <w:r>
        <w:rPr>
          <w:rFonts w:hint="eastAsia"/>
          <w:sz w:val="24"/>
        </w:rPr>
        <w:t>错误报告患者检测结果数量中位值</w:t>
      </w:r>
      <w:r>
        <w:rPr>
          <w:rFonts w:hint="eastAsia"/>
          <w:sz w:val="24"/>
        </w:rPr>
        <w:t>/</w:t>
      </w:r>
      <w:r>
        <w:rPr>
          <w:rFonts w:hint="eastAsia"/>
          <w:sz w:val="24"/>
        </w:rPr>
        <w:t>平均值</w:t>
      </w:r>
    </w:p>
    <w:p w14:paraId="7CAA354A" w14:textId="77777777" w:rsidR="00EF1E5D" w:rsidRDefault="00000000">
      <w:pPr>
        <w:spacing w:line="360" w:lineRule="auto"/>
        <w:ind w:firstLineChars="200" w:firstLine="480"/>
        <w:rPr>
          <w:sz w:val="24"/>
        </w:rPr>
      </w:pPr>
      <w:r>
        <w:rPr>
          <w:rFonts w:hint="eastAsia"/>
          <w:sz w:val="24"/>
        </w:rPr>
        <w:t xml:space="preserve">5.4 </w:t>
      </w:r>
      <w:r>
        <w:rPr>
          <w:rFonts w:hint="eastAsia"/>
          <w:sz w:val="24"/>
        </w:rPr>
        <w:t>算法评价值</w:t>
      </w:r>
    </w:p>
    <w:p w14:paraId="28CB63B3" w14:textId="77777777" w:rsidR="00EF1E5D" w:rsidRDefault="00000000">
      <w:pPr>
        <w:spacing w:line="360" w:lineRule="auto"/>
        <w:ind w:firstLineChars="200" w:firstLine="480"/>
        <w:rPr>
          <w:sz w:val="24"/>
        </w:rPr>
      </w:pPr>
      <w:r>
        <w:rPr>
          <w:rFonts w:hint="eastAsia"/>
          <w:sz w:val="24"/>
        </w:rPr>
        <w:t>6</w:t>
      </w:r>
      <w:r>
        <w:rPr>
          <w:rFonts w:hint="eastAsia"/>
          <w:sz w:val="24"/>
        </w:rPr>
        <w:t xml:space="preserve">　数字量具特性</w:t>
      </w:r>
    </w:p>
    <w:p w14:paraId="1DBCA1C5" w14:textId="77777777" w:rsidR="00EF1E5D" w:rsidRDefault="00000000">
      <w:pPr>
        <w:spacing w:line="360" w:lineRule="auto"/>
        <w:ind w:firstLineChars="200" w:firstLine="480"/>
        <w:rPr>
          <w:sz w:val="24"/>
        </w:rPr>
      </w:pPr>
      <w:r>
        <w:rPr>
          <w:rFonts w:hint="eastAsia"/>
          <w:sz w:val="24"/>
        </w:rPr>
        <w:t xml:space="preserve">6.1 </w:t>
      </w:r>
      <w:r>
        <w:rPr>
          <w:rFonts w:hint="eastAsia"/>
          <w:sz w:val="24"/>
        </w:rPr>
        <w:t>红细胞质量在控数字量具</w:t>
      </w:r>
    </w:p>
    <w:p w14:paraId="6896D0F0" w14:textId="77777777" w:rsidR="00EF1E5D" w:rsidRDefault="00000000">
      <w:pPr>
        <w:spacing w:line="360" w:lineRule="auto"/>
        <w:ind w:firstLineChars="200" w:firstLine="480"/>
        <w:rPr>
          <w:sz w:val="24"/>
        </w:rPr>
      </w:pPr>
      <w:r>
        <w:rPr>
          <w:rFonts w:hint="eastAsia"/>
          <w:sz w:val="24"/>
        </w:rPr>
        <w:t xml:space="preserve">6.2 </w:t>
      </w:r>
      <w:r>
        <w:rPr>
          <w:rFonts w:hint="eastAsia"/>
          <w:sz w:val="24"/>
        </w:rPr>
        <w:t>红细胞质量失控数字量具</w:t>
      </w:r>
    </w:p>
    <w:p w14:paraId="7CDA873D" w14:textId="77777777" w:rsidR="00EF1E5D" w:rsidRDefault="00000000">
      <w:pPr>
        <w:spacing w:line="360" w:lineRule="auto"/>
        <w:ind w:firstLineChars="200" w:firstLine="480"/>
        <w:rPr>
          <w:sz w:val="24"/>
        </w:rPr>
      </w:pPr>
      <w:r>
        <w:rPr>
          <w:rFonts w:hint="eastAsia"/>
          <w:sz w:val="24"/>
        </w:rPr>
        <w:t>6.2.1</w:t>
      </w:r>
      <w:r>
        <w:rPr>
          <w:rFonts w:hint="eastAsia"/>
          <w:sz w:val="24"/>
        </w:rPr>
        <w:t xml:space="preserve">　系统偏倚数字量具</w:t>
      </w:r>
    </w:p>
    <w:p w14:paraId="66831942" w14:textId="77777777" w:rsidR="00EF1E5D" w:rsidRDefault="00000000">
      <w:pPr>
        <w:spacing w:line="360" w:lineRule="auto"/>
        <w:ind w:firstLineChars="200" w:firstLine="480"/>
        <w:rPr>
          <w:sz w:val="24"/>
        </w:rPr>
      </w:pPr>
      <w:r>
        <w:rPr>
          <w:rFonts w:hint="eastAsia"/>
          <w:sz w:val="24"/>
        </w:rPr>
        <w:t>6.2.2</w:t>
      </w:r>
      <w:r>
        <w:rPr>
          <w:rFonts w:hint="eastAsia"/>
          <w:sz w:val="24"/>
        </w:rPr>
        <w:t xml:space="preserve">　随机失控数字量具</w:t>
      </w:r>
    </w:p>
    <w:p w14:paraId="4E6CDA9C" w14:textId="77777777" w:rsidR="00EF1E5D" w:rsidRDefault="00000000">
      <w:pPr>
        <w:spacing w:line="360" w:lineRule="auto"/>
        <w:ind w:firstLineChars="200" w:firstLine="480"/>
        <w:rPr>
          <w:sz w:val="24"/>
        </w:rPr>
      </w:pPr>
      <w:r>
        <w:rPr>
          <w:rFonts w:hint="eastAsia"/>
          <w:sz w:val="24"/>
        </w:rPr>
        <w:t>7</w:t>
      </w:r>
      <w:r>
        <w:rPr>
          <w:rFonts w:hint="eastAsia"/>
          <w:sz w:val="24"/>
        </w:rPr>
        <w:t xml:space="preserve">　溯源时间及范围</w:t>
      </w:r>
    </w:p>
    <w:p w14:paraId="410B6026" w14:textId="77777777" w:rsidR="00EF1E5D" w:rsidRDefault="00000000">
      <w:pPr>
        <w:spacing w:line="360" w:lineRule="auto"/>
        <w:ind w:firstLineChars="200" w:firstLine="480"/>
        <w:rPr>
          <w:sz w:val="24"/>
        </w:rPr>
      </w:pPr>
      <w:r>
        <w:rPr>
          <w:rFonts w:hint="eastAsia"/>
          <w:sz w:val="24"/>
        </w:rPr>
        <w:t xml:space="preserve">7.1 </w:t>
      </w:r>
      <w:r>
        <w:rPr>
          <w:rFonts w:hint="eastAsia"/>
          <w:sz w:val="24"/>
        </w:rPr>
        <w:t>首次核查</w:t>
      </w:r>
    </w:p>
    <w:p w14:paraId="6C746499" w14:textId="77777777" w:rsidR="00EF1E5D" w:rsidRDefault="00000000">
      <w:pPr>
        <w:spacing w:line="360" w:lineRule="auto"/>
        <w:ind w:firstLineChars="200" w:firstLine="480"/>
        <w:rPr>
          <w:sz w:val="24"/>
        </w:rPr>
      </w:pPr>
      <w:r>
        <w:rPr>
          <w:rFonts w:hint="eastAsia"/>
          <w:sz w:val="24"/>
        </w:rPr>
        <w:t xml:space="preserve">7.2 </w:t>
      </w:r>
      <w:r>
        <w:rPr>
          <w:rFonts w:hint="eastAsia"/>
          <w:sz w:val="24"/>
        </w:rPr>
        <w:t>周期核查</w:t>
      </w:r>
    </w:p>
    <w:p w14:paraId="484436C5" w14:textId="77777777" w:rsidR="00EF1E5D" w:rsidRDefault="00000000">
      <w:pPr>
        <w:spacing w:line="360" w:lineRule="auto"/>
        <w:ind w:firstLineChars="200" w:firstLine="480"/>
        <w:rPr>
          <w:sz w:val="24"/>
        </w:rPr>
      </w:pPr>
      <w:r>
        <w:rPr>
          <w:rFonts w:hint="eastAsia"/>
          <w:sz w:val="24"/>
        </w:rPr>
        <w:t xml:space="preserve">7.3 </w:t>
      </w:r>
      <w:r>
        <w:rPr>
          <w:rFonts w:hint="eastAsia"/>
          <w:sz w:val="24"/>
        </w:rPr>
        <w:t>关键点核查</w:t>
      </w:r>
    </w:p>
    <w:p w14:paraId="7BF600B3" w14:textId="77777777" w:rsidR="00EF1E5D" w:rsidRDefault="00000000">
      <w:pPr>
        <w:spacing w:line="360" w:lineRule="auto"/>
        <w:ind w:firstLineChars="200" w:firstLine="480"/>
        <w:rPr>
          <w:sz w:val="24"/>
        </w:rPr>
      </w:pPr>
      <w:r>
        <w:rPr>
          <w:rFonts w:hint="eastAsia"/>
          <w:sz w:val="24"/>
        </w:rPr>
        <w:t>8</w:t>
      </w:r>
      <w:r>
        <w:rPr>
          <w:rFonts w:hint="eastAsia"/>
          <w:sz w:val="24"/>
        </w:rPr>
        <w:t xml:space="preserve">　溯源方法</w:t>
      </w:r>
    </w:p>
    <w:p w14:paraId="2785CAC4" w14:textId="77777777" w:rsidR="00EF1E5D" w:rsidRDefault="00000000">
      <w:pPr>
        <w:spacing w:line="360" w:lineRule="auto"/>
        <w:ind w:firstLineChars="200" w:firstLine="480"/>
        <w:rPr>
          <w:sz w:val="24"/>
        </w:rPr>
      </w:pPr>
      <w:r>
        <w:rPr>
          <w:rFonts w:hint="eastAsia"/>
          <w:sz w:val="24"/>
        </w:rPr>
        <w:t xml:space="preserve">8.1 </w:t>
      </w:r>
      <w:r>
        <w:rPr>
          <w:rFonts w:hint="eastAsia"/>
          <w:sz w:val="24"/>
        </w:rPr>
        <w:t>假性失控率</w:t>
      </w:r>
    </w:p>
    <w:p w14:paraId="52C07EDE" w14:textId="77777777" w:rsidR="00EF1E5D" w:rsidRDefault="00000000">
      <w:pPr>
        <w:spacing w:line="360" w:lineRule="auto"/>
        <w:ind w:firstLineChars="200" w:firstLine="480"/>
        <w:rPr>
          <w:sz w:val="24"/>
        </w:rPr>
      </w:pPr>
      <w:r>
        <w:rPr>
          <w:rFonts w:hint="eastAsia"/>
          <w:sz w:val="24"/>
        </w:rPr>
        <w:t xml:space="preserve">8.2 </w:t>
      </w:r>
      <w:r>
        <w:rPr>
          <w:rFonts w:hint="eastAsia"/>
          <w:sz w:val="24"/>
        </w:rPr>
        <w:t>误差检出率</w:t>
      </w:r>
    </w:p>
    <w:p w14:paraId="3DCFF74B" w14:textId="77777777" w:rsidR="00EF1E5D" w:rsidRDefault="00000000">
      <w:pPr>
        <w:spacing w:line="360" w:lineRule="auto"/>
        <w:ind w:firstLineChars="200" w:firstLine="480"/>
        <w:rPr>
          <w:sz w:val="24"/>
        </w:rPr>
      </w:pPr>
      <w:r>
        <w:rPr>
          <w:rFonts w:hint="eastAsia"/>
          <w:sz w:val="24"/>
        </w:rPr>
        <w:t xml:space="preserve">8.3 </w:t>
      </w:r>
      <w:r>
        <w:rPr>
          <w:rFonts w:hint="eastAsia"/>
          <w:sz w:val="24"/>
        </w:rPr>
        <w:t>错误报告患者检测结果数量中位值</w:t>
      </w:r>
      <w:r>
        <w:rPr>
          <w:rFonts w:hint="eastAsia"/>
          <w:sz w:val="24"/>
        </w:rPr>
        <w:t>/</w:t>
      </w:r>
      <w:r>
        <w:rPr>
          <w:rFonts w:hint="eastAsia"/>
          <w:sz w:val="24"/>
        </w:rPr>
        <w:t>平均值</w:t>
      </w:r>
    </w:p>
    <w:p w14:paraId="6E4EE09E" w14:textId="77777777" w:rsidR="00EF1E5D" w:rsidRDefault="00000000">
      <w:pPr>
        <w:spacing w:line="360" w:lineRule="auto"/>
        <w:ind w:firstLineChars="200" w:firstLine="480"/>
        <w:rPr>
          <w:sz w:val="24"/>
        </w:rPr>
      </w:pPr>
      <w:r>
        <w:rPr>
          <w:rFonts w:hint="eastAsia"/>
          <w:sz w:val="24"/>
        </w:rPr>
        <w:t xml:space="preserve">8.4 </w:t>
      </w:r>
      <w:r>
        <w:rPr>
          <w:rFonts w:hint="eastAsia"/>
          <w:sz w:val="24"/>
        </w:rPr>
        <w:t>算法评价值</w:t>
      </w:r>
    </w:p>
    <w:p w14:paraId="630C0E93" w14:textId="77777777" w:rsidR="00EF1E5D" w:rsidRDefault="00000000">
      <w:pPr>
        <w:spacing w:line="276" w:lineRule="auto"/>
        <w:rPr>
          <w:rFonts w:hAnsi="宋体" w:hint="eastAsia"/>
          <w:sz w:val="24"/>
        </w:rPr>
      </w:pPr>
      <w:r>
        <w:rPr>
          <w:rFonts w:hint="eastAsia"/>
          <w:b/>
          <w:sz w:val="28"/>
          <w:szCs w:val="28"/>
        </w:rPr>
        <w:t>六、</w:t>
      </w:r>
      <w:r>
        <w:rPr>
          <w:rFonts w:hAnsi="宋体" w:hint="eastAsia"/>
          <w:b/>
          <w:sz w:val="24"/>
        </w:rPr>
        <w:t>采用国际标准和国外先进标准的程度，以及与国际、国外同类标准水平的对比情况，或与测试的国外样品、样机的有关数据对比情况</w:t>
      </w:r>
    </w:p>
    <w:p w14:paraId="6097FCEF" w14:textId="77777777" w:rsidR="00EF1E5D" w:rsidRDefault="00000000">
      <w:pPr>
        <w:spacing w:line="360" w:lineRule="auto"/>
        <w:ind w:firstLineChars="200" w:firstLine="480"/>
        <w:rPr>
          <w:rFonts w:hAnsi="宋体" w:hint="eastAsia"/>
          <w:sz w:val="24"/>
        </w:rPr>
      </w:pPr>
      <w:r>
        <w:rPr>
          <w:rFonts w:hAnsi="宋体" w:hint="eastAsia"/>
          <w:sz w:val="24"/>
        </w:rPr>
        <w:t>本标准</w:t>
      </w:r>
      <w:r>
        <w:rPr>
          <w:rFonts w:hint="eastAsia"/>
          <w:sz w:val="24"/>
        </w:rPr>
        <w:t>按国内实际使用经验编写。</w:t>
      </w:r>
    </w:p>
    <w:p w14:paraId="41CF4D5E" w14:textId="77777777" w:rsidR="00EF1E5D" w:rsidRDefault="00000000">
      <w:pPr>
        <w:spacing w:line="276" w:lineRule="auto"/>
        <w:rPr>
          <w:b/>
          <w:sz w:val="24"/>
        </w:rPr>
      </w:pPr>
      <w:r>
        <w:rPr>
          <w:rFonts w:hint="eastAsia"/>
          <w:b/>
          <w:sz w:val="28"/>
          <w:szCs w:val="28"/>
        </w:rPr>
        <w:t>七、</w:t>
      </w:r>
      <w:r>
        <w:rPr>
          <w:rFonts w:hint="eastAsia"/>
          <w:b/>
          <w:sz w:val="28"/>
          <w:szCs w:val="28"/>
        </w:rPr>
        <w:t xml:space="preserve"> </w:t>
      </w:r>
      <w:r>
        <w:rPr>
          <w:rFonts w:hAnsi="宋体" w:hint="eastAsia"/>
          <w:b/>
          <w:sz w:val="24"/>
        </w:rPr>
        <w:t>与有关的现行法律、法规和强制性国家标准的关系</w:t>
      </w:r>
    </w:p>
    <w:p w14:paraId="48D7E23E" w14:textId="77777777" w:rsidR="00EF1E5D" w:rsidRDefault="00000000">
      <w:pPr>
        <w:spacing w:line="360" w:lineRule="auto"/>
        <w:ind w:firstLineChars="200" w:firstLine="480"/>
        <w:rPr>
          <w:rFonts w:hAnsi="宋体" w:hint="eastAsia"/>
          <w:sz w:val="24"/>
        </w:rPr>
      </w:pPr>
      <w:r>
        <w:rPr>
          <w:rFonts w:hAnsi="宋体" w:hint="eastAsia"/>
          <w:sz w:val="24"/>
        </w:rPr>
        <w:t>本标准的制定，贯彻了国家标准化法、产品质量法、强制性安全认证等法律</w:t>
      </w:r>
      <w:r>
        <w:rPr>
          <w:rFonts w:hAnsi="宋体" w:hint="eastAsia"/>
          <w:sz w:val="24"/>
        </w:rPr>
        <w:lastRenderedPageBreak/>
        <w:t>法规要求；与现行法律、法规无抵触不矛盾。</w:t>
      </w:r>
    </w:p>
    <w:p w14:paraId="1D0F4F39" w14:textId="77777777" w:rsidR="00EF1E5D" w:rsidRDefault="00000000">
      <w:pPr>
        <w:spacing w:line="276" w:lineRule="auto"/>
        <w:rPr>
          <w:b/>
          <w:sz w:val="24"/>
        </w:rPr>
      </w:pPr>
      <w:r>
        <w:rPr>
          <w:rFonts w:hint="eastAsia"/>
          <w:b/>
          <w:sz w:val="28"/>
          <w:szCs w:val="28"/>
        </w:rPr>
        <w:t>八</w:t>
      </w:r>
      <w:r>
        <w:rPr>
          <w:rFonts w:hint="eastAsia"/>
          <w:b/>
          <w:sz w:val="28"/>
          <w:szCs w:val="28"/>
        </w:rPr>
        <w:t xml:space="preserve"> </w:t>
      </w:r>
      <w:r>
        <w:rPr>
          <w:rFonts w:hint="eastAsia"/>
          <w:b/>
          <w:sz w:val="28"/>
          <w:szCs w:val="28"/>
        </w:rPr>
        <w:t>、</w:t>
      </w:r>
      <w:r>
        <w:rPr>
          <w:rFonts w:hint="eastAsia"/>
          <w:b/>
          <w:sz w:val="24"/>
        </w:rPr>
        <w:t>重大分歧意见的处理经过和依据</w:t>
      </w:r>
    </w:p>
    <w:p w14:paraId="6F5F0A5B" w14:textId="77777777" w:rsidR="00EF1E5D" w:rsidRDefault="00000000">
      <w:pPr>
        <w:spacing w:line="360" w:lineRule="auto"/>
        <w:ind w:firstLineChars="200" w:firstLine="480"/>
        <w:rPr>
          <w:rFonts w:hAnsi="宋体" w:hint="eastAsia"/>
          <w:sz w:val="24"/>
        </w:rPr>
      </w:pPr>
      <w:r>
        <w:rPr>
          <w:rFonts w:hAnsi="宋体" w:hint="eastAsia"/>
          <w:sz w:val="24"/>
        </w:rPr>
        <w:t>无。</w:t>
      </w:r>
    </w:p>
    <w:p w14:paraId="2C1D3E4B" w14:textId="77777777" w:rsidR="00EF1E5D" w:rsidRDefault="00000000">
      <w:pPr>
        <w:spacing w:line="276" w:lineRule="auto"/>
        <w:rPr>
          <w:b/>
          <w:sz w:val="24"/>
        </w:rPr>
      </w:pPr>
      <w:r>
        <w:rPr>
          <w:rFonts w:hint="eastAsia"/>
          <w:b/>
          <w:sz w:val="28"/>
          <w:szCs w:val="28"/>
        </w:rPr>
        <w:t>九</w:t>
      </w:r>
      <w:r>
        <w:rPr>
          <w:rFonts w:hint="eastAsia"/>
          <w:b/>
          <w:sz w:val="28"/>
          <w:szCs w:val="28"/>
        </w:rPr>
        <w:t xml:space="preserve"> </w:t>
      </w:r>
      <w:r>
        <w:rPr>
          <w:rFonts w:hint="eastAsia"/>
          <w:b/>
          <w:sz w:val="28"/>
          <w:szCs w:val="28"/>
        </w:rPr>
        <w:t>、</w:t>
      </w:r>
      <w:r>
        <w:rPr>
          <w:rFonts w:hAnsi="宋体" w:hint="eastAsia"/>
          <w:b/>
          <w:sz w:val="24"/>
        </w:rPr>
        <w:t>国家标准作为强制性国家标准或推荐性国家标准的建议</w:t>
      </w:r>
    </w:p>
    <w:p w14:paraId="78EB9930" w14:textId="77777777" w:rsidR="00EF1E5D" w:rsidRDefault="00000000">
      <w:pPr>
        <w:spacing w:line="360" w:lineRule="auto"/>
        <w:ind w:firstLineChars="200" w:firstLine="480"/>
        <w:rPr>
          <w:rFonts w:hAnsi="宋体" w:hint="eastAsia"/>
          <w:sz w:val="24"/>
        </w:rPr>
      </w:pPr>
      <w:r>
        <w:rPr>
          <w:rFonts w:hAnsi="宋体" w:hint="eastAsia"/>
          <w:sz w:val="24"/>
        </w:rPr>
        <w:t>建议本标准作为推荐性团体标准。</w:t>
      </w:r>
      <w:r>
        <w:rPr>
          <w:rFonts w:hAnsi="宋体" w:hint="eastAsia"/>
          <w:sz w:val="24"/>
        </w:rPr>
        <w:t xml:space="preserve"> </w:t>
      </w:r>
    </w:p>
    <w:p w14:paraId="0160AD65" w14:textId="77777777" w:rsidR="00EF1E5D" w:rsidRDefault="00000000">
      <w:pPr>
        <w:spacing w:line="276" w:lineRule="auto"/>
        <w:rPr>
          <w:b/>
          <w:sz w:val="24"/>
        </w:rPr>
      </w:pPr>
      <w:r>
        <w:rPr>
          <w:rFonts w:hint="eastAsia"/>
          <w:b/>
          <w:sz w:val="28"/>
          <w:szCs w:val="28"/>
        </w:rPr>
        <w:t>十</w:t>
      </w:r>
      <w:r>
        <w:rPr>
          <w:rFonts w:hAnsi="宋体" w:hint="eastAsia"/>
          <w:b/>
          <w:sz w:val="24"/>
        </w:rPr>
        <w:t xml:space="preserve"> </w:t>
      </w:r>
      <w:r>
        <w:rPr>
          <w:rFonts w:hAnsi="宋体" w:hint="eastAsia"/>
          <w:b/>
          <w:sz w:val="24"/>
        </w:rPr>
        <w:t>、贯彻国家标准的要求和措施建议（包括组织措施、技术措施、过渡办法等内容）</w:t>
      </w:r>
    </w:p>
    <w:p w14:paraId="74E89EFB" w14:textId="77777777" w:rsidR="00EF1E5D" w:rsidRDefault="00000000">
      <w:pPr>
        <w:spacing w:line="360" w:lineRule="auto"/>
        <w:rPr>
          <w:rFonts w:hAnsi="宋体" w:hint="eastAsia"/>
          <w:sz w:val="24"/>
        </w:rPr>
      </w:pPr>
      <w:r>
        <w:rPr>
          <w:sz w:val="24"/>
        </w:rPr>
        <w:t xml:space="preserve">    </w:t>
      </w:r>
      <w:r>
        <w:rPr>
          <w:rFonts w:hAnsi="宋体" w:hint="eastAsia"/>
          <w:sz w:val="24"/>
        </w:rPr>
        <w:t>应在实施前保证标准文本的充足供应以及确保各使用单位必要的试验仪器设备配备及精度符合要求。发布后实施前，应及时组织标准的宣贯、培训，并由制定单位负责标准条文的解释。实施后，由制定单位负责实施中产生问题的汇总与备案。</w:t>
      </w:r>
    </w:p>
    <w:p w14:paraId="1B27F23B" w14:textId="77777777" w:rsidR="00EF1E5D" w:rsidRDefault="00000000">
      <w:pPr>
        <w:spacing w:line="276" w:lineRule="auto"/>
        <w:rPr>
          <w:b/>
          <w:sz w:val="24"/>
        </w:rPr>
      </w:pPr>
      <w:r>
        <w:rPr>
          <w:rFonts w:hint="eastAsia"/>
          <w:b/>
          <w:sz w:val="28"/>
          <w:szCs w:val="28"/>
        </w:rPr>
        <w:t>十一</w:t>
      </w:r>
      <w:r>
        <w:rPr>
          <w:rFonts w:hint="eastAsia"/>
          <w:b/>
          <w:sz w:val="28"/>
          <w:szCs w:val="28"/>
        </w:rPr>
        <w:t xml:space="preserve"> </w:t>
      </w:r>
      <w:r>
        <w:rPr>
          <w:rFonts w:hint="eastAsia"/>
          <w:b/>
          <w:sz w:val="28"/>
          <w:szCs w:val="28"/>
        </w:rPr>
        <w:t>、</w:t>
      </w:r>
      <w:r>
        <w:rPr>
          <w:rFonts w:hint="eastAsia"/>
          <w:b/>
          <w:sz w:val="24"/>
        </w:rPr>
        <w:t>其他应予说明的事项</w:t>
      </w:r>
    </w:p>
    <w:p w14:paraId="668487CA" w14:textId="77777777" w:rsidR="00EF1E5D" w:rsidRDefault="00000000">
      <w:pPr>
        <w:spacing w:line="288" w:lineRule="auto"/>
        <w:ind w:firstLineChars="200" w:firstLine="480"/>
        <w:rPr>
          <w:sz w:val="24"/>
        </w:rPr>
      </w:pPr>
      <w:r>
        <w:rPr>
          <w:rFonts w:hint="eastAsia"/>
          <w:sz w:val="24"/>
        </w:rPr>
        <w:t>无。</w:t>
      </w:r>
    </w:p>
    <w:p w14:paraId="055A3FBB" w14:textId="77777777" w:rsidR="00EF1E5D" w:rsidRDefault="00EF1E5D">
      <w:pPr>
        <w:spacing w:line="288" w:lineRule="auto"/>
        <w:ind w:firstLineChars="200" w:firstLine="480"/>
        <w:rPr>
          <w:sz w:val="24"/>
        </w:rPr>
      </w:pPr>
    </w:p>
    <w:p w14:paraId="724B9942" w14:textId="77777777" w:rsidR="00EF1E5D" w:rsidRDefault="00000000">
      <w:pPr>
        <w:autoSpaceDE w:val="0"/>
        <w:autoSpaceDN w:val="0"/>
        <w:adjustRightInd w:val="0"/>
        <w:spacing w:line="360" w:lineRule="auto"/>
        <w:ind w:right="480" w:firstLineChars="200" w:firstLine="482"/>
        <w:jc w:val="right"/>
        <w:rPr>
          <w:rFonts w:hAnsi="Calibri"/>
          <w:b/>
          <w:kern w:val="0"/>
          <w:sz w:val="24"/>
          <w:lang w:bidi="en-US"/>
        </w:rPr>
      </w:pPr>
      <w:r>
        <w:rPr>
          <w:rFonts w:hAnsi="Calibri" w:hint="eastAsia"/>
          <w:b/>
          <w:kern w:val="0"/>
          <w:sz w:val="24"/>
          <w:lang w:bidi="en-US"/>
        </w:rPr>
        <w:t>全血检验红细胞项目基于患者数据的质量</w:t>
      </w:r>
    </w:p>
    <w:p w14:paraId="59437F3F" w14:textId="77777777" w:rsidR="00EF1E5D" w:rsidRDefault="00000000">
      <w:pPr>
        <w:autoSpaceDE w:val="0"/>
        <w:autoSpaceDN w:val="0"/>
        <w:adjustRightInd w:val="0"/>
        <w:spacing w:line="360" w:lineRule="auto"/>
        <w:ind w:right="1203" w:firstLineChars="200" w:firstLine="482"/>
        <w:jc w:val="right"/>
        <w:rPr>
          <w:sz w:val="24"/>
        </w:rPr>
      </w:pPr>
      <w:r>
        <w:rPr>
          <w:rFonts w:hAnsi="Calibri" w:hint="eastAsia"/>
          <w:b/>
          <w:kern w:val="0"/>
          <w:sz w:val="24"/>
          <w:lang w:bidi="en-US"/>
        </w:rPr>
        <w:t>控制算法溯源方法编写小组</w:t>
      </w:r>
      <w:r>
        <w:rPr>
          <w:rFonts w:hint="eastAsia"/>
          <w:b/>
          <w:sz w:val="24"/>
        </w:rPr>
        <w:t xml:space="preserve">                             </w:t>
      </w:r>
      <w:r>
        <w:rPr>
          <w:b/>
          <w:sz w:val="24"/>
        </w:rPr>
        <w:t>202</w:t>
      </w:r>
      <w:r>
        <w:rPr>
          <w:rFonts w:hint="eastAsia"/>
          <w:b/>
          <w:sz w:val="24"/>
        </w:rPr>
        <w:t>5</w:t>
      </w:r>
      <w:r>
        <w:rPr>
          <w:rFonts w:hint="eastAsia"/>
          <w:b/>
          <w:sz w:val="24"/>
        </w:rPr>
        <w:t>年</w:t>
      </w:r>
      <w:r>
        <w:rPr>
          <w:b/>
          <w:sz w:val="24"/>
        </w:rPr>
        <w:t>0</w:t>
      </w:r>
      <w:r>
        <w:rPr>
          <w:rFonts w:hint="eastAsia"/>
          <w:b/>
          <w:sz w:val="24"/>
        </w:rPr>
        <w:t>9</w:t>
      </w:r>
      <w:r>
        <w:rPr>
          <w:rFonts w:hint="eastAsia"/>
          <w:b/>
          <w:sz w:val="24"/>
        </w:rPr>
        <w:t>月</w:t>
      </w:r>
      <w:r>
        <w:rPr>
          <w:rFonts w:hint="eastAsia"/>
          <w:b/>
          <w:sz w:val="24"/>
        </w:rPr>
        <w:t>05</w:t>
      </w:r>
      <w:r>
        <w:rPr>
          <w:rFonts w:hint="eastAsia"/>
          <w:b/>
          <w:sz w:val="24"/>
        </w:rPr>
        <w:t>日</w:t>
      </w:r>
      <w:r>
        <w:rPr>
          <w:b/>
          <w:sz w:val="24"/>
        </w:rPr>
        <w:t xml:space="preserve"> </w:t>
      </w:r>
    </w:p>
    <w:sectPr w:rsidR="00EF1E5D">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46F13" w14:textId="77777777" w:rsidR="0025009B" w:rsidRDefault="0025009B">
      <w:r>
        <w:separator/>
      </w:r>
    </w:p>
  </w:endnote>
  <w:endnote w:type="continuationSeparator" w:id="0">
    <w:p w14:paraId="02CFFCB0" w14:textId="77777777" w:rsidR="0025009B" w:rsidRDefault="0025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1BEB" w14:textId="77777777" w:rsidR="00EF1E5D" w:rsidRDefault="00000000">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409E3CE" w14:textId="77777777" w:rsidR="00EF1E5D" w:rsidRDefault="00EF1E5D">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5007" w14:textId="77777777" w:rsidR="00EF1E5D" w:rsidRDefault="00000000">
    <w:pPr>
      <w:pStyle w:val="af"/>
      <w:ind w:right="360"/>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A4CBA" w14:textId="77777777" w:rsidR="0025009B" w:rsidRDefault="0025009B">
      <w:r>
        <w:separator/>
      </w:r>
    </w:p>
  </w:footnote>
  <w:footnote w:type="continuationSeparator" w:id="0">
    <w:p w14:paraId="1B4D571B" w14:textId="77777777" w:rsidR="0025009B" w:rsidRDefault="00250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2D4B0" w14:textId="77777777" w:rsidR="00EF1E5D" w:rsidRDefault="00000000">
    <w:pPr>
      <w:pStyle w:val="1"/>
      <w:numPr>
        <w:ilvl w:val="0"/>
        <w:numId w:val="0"/>
      </w:numPr>
      <w:tabs>
        <w:tab w:val="left" w:pos="8364"/>
      </w:tabs>
      <w:snapToGrid w:val="0"/>
      <w:spacing w:before="0" w:after="0" w:line="240" w:lineRule="auto"/>
      <w:ind w:left="142" w:right="240"/>
      <w:jc w:val="center"/>
      <w:rPr>
        <w:b w:val="0"/>
        <w:sz w:val="21"/>
        <w:szCs w:val="21"/>
      </w:rPr>
    </w:pPr>
    <w:r>
      <w:rPr>
        <w:rFonts w:hint="eastAsia"/>
        <w:b w:val="0"/>
        <w:kern w:val="2"/>
        <w:sz w:val="21"/>
        <w:szCs w:val="21"/>
      </w:rPr>
      <w:t>《洗板机校准方法》</w:t>
    </w:r>
    <w:r>
      <w:rPr>
        <w:rFonts w:hint="eastAsia"/>
        <w:b w:val="0"/>
        <w:sz w:val="21"/>
        <w:szCs w:val="21"/>
      </w:rPr>
      <w:t>编写说明</w:t>
    </w:r>
  </w:p>
  <w:p w14:paraId="6A165F7E" w14:textId="77777777" w:rsidR="00EF1E5D" w:rsidRDefault="00000000">
    <w:r>
      <w:rPr>
        <w:rFonts w:hint="eastAsia"/>
        <w:noProof/>
      </w:rPr>
      <mc:AlternateContent>
        <mc:Choice Requires="wps">
          <w:drawing>
            <wp:anchor distT="0" distB="0" distL="114300" distR="114300" simplePos="0" relativeHeight="251659264" behindDoc="0" locked="0" layoutInCell="1" allowOverlap="1" wp14:anchorId="1908BA82" wp14:editId="7EE7D4EE">
              <wp:simplePos x="0" y="0"/>
              <wp:positionH relativeFrom="column">
                <wp:posOffset>0</wp:posOffset>
              </wp:positionH>
              <wp:positionV relativeFrom="paragraph">
                <wp:posOffset>3175</wp:posOffset>
              </wp:positionV>
              <wp:extent cx="5257800" cy="0"/>
              <wp:effectExtent l="9525" t="12700" r="952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3" o:spid="_x0000_s1026" o:spt="20" style="position:absolute;left:0pt;margin-left:0pt;margin-top:0.25pt;height:0pt;width:414pt;z-index:251659264;mso-width-relative:page;mso-height-relative:page;" filled="f" stroked="t" coordsize="21600,21600" o:gfxdata="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35VnXQAAAAAgEAAA8AAAAAAAAAAQAgAAAAIgAAAGRycy9kb3ducmV2Lnht&#10;bFBLAQIUABQAAAAIAIdO4kBhQWveyAEAAJ8DAAAOAAAAAAAAAAEAIAAAAB8BAABkcnMvZTJvRG9j&#10;LnhtbFBLBQYAAAAABgAGAFkBAABZBQAAAAA=&#10;">
              <v:fill on="f" focussize="0,0"/>
              <v:stroke color="#000000" joinstyle="round"/>
              <v:imagedata o:title=""/>
              <o:lock v:ext="edit" aspectratio="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lvl w:ilvl="0">
      <w:start w:val="1"/>
      <w:numFmt w:val="decimal"/>
      <w:pStyle w:val="1"/>
      <w:lvlText w:val="%1"/>
      <w:lvlJc w:val="left"/>
      <w:pPr>
        <w:ind w:left="432" w:hanging="432"/>
      </w:pPr>
      <w:rPr>
        <w:rFonts w:hint="eastAsia"/>
      </w:rPr>
    </w:lvl>
    <w:lvl w:ilvl="1">
      <w:start w:val="1"/>
      <w:numFmt w:val="decimal"/>
      <w:lvlRestart w:val="0"/>
      <w:pStyle w:val="2"/>
      <w:lvlText w:val="3.%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7.3.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pStyle w:val="a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1"/>
      <w:suff w:val="nothing"/>
      <w:lvlText w:val="%1%2.%3.%4　"/>
      <w:lvlJc w:val="left"/>
      <w:pPr>
        <w:ind w:left="0" w:firstLine="0"/>
      </w:pPr>
      <w:rPr>
        <w:rFonts w:ascii="黑体" w:eastAsia="黑体" w:hint="eastAsia"/>
        <w:b w:val="0"/>
        <w:i w:val="0"/>
        <w:sz w:val="21"/>
      </w:rPr>
    </w:lvl>
    <w:lvl w:ilvl="4">
      <w:start w:val="1"/>
      <w:numFmt w:val="decimal"/>
      <w:pStyle w:val="a2"/>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448939907">
    <w:abstractNumId w:val="0"/>
  </w:num>
  <w:num w:numId="2" w16cid:durableId="945772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3MjBhODg1M2JkNTRhMDFhZDQyZTU2ZDhiOWZlYTIifQ=="/>
  </w:docVars>
  <w:rsids>
    <w:rsidRoot w:val="00E34560"/>
    <w:rsid w:val="00000D3E"/>
    <w:rsid w:val="00001790"/>
    <w:rsid w:val="00004C9B"/>
    <w:rsid w:val="0000541E"/>
    <w:rsid w:val="00026D5A"/>
    <w:rsid w:val="00027479"/>
    <w:rsid w:val="000319D6"/>
    <w:rsid w:val="00036127"/>
    <w:rsid w:val="00036666"/>
    <w:rsid w:val="00037352"/>
    <w:rsid w:val="00041757"/>
    <w:rsid w:val="000421FC"/>
    <w:rsid w:val="00042C40"/>
    <w:rsid w:val="00044DCB"/>
    <w:rsid w:val="0004561B"/>
    <w:rsid w:val="0004726A"/>
    <w:rsid w:val="00047A9A"/>
    <w:rsid w:val="000548A0"/>
    <w:rsid w:val="00060F35"/>
    <w:rsid w:val="0006211D"/>
    <w:rsid w:val="00070AE5"/>
    <w:rsid w:val="00071404"/>
    <w:rsid w:val="00071A70"/>
    <w:rsid w:val="00072955"/>
    <w:rsid w:val="000733FE"/>
    <w:rsid w:val="00076FBF"/>
    <w:rsid w:val="00080C0B"/>
    <w:rsid w:val="00081E96"/>
    <w:rsid w:val="00084171"/>
    <w:rsid w:val="00087B59"/>
    <w:rsid w:val="00087CFD"/>
    <w:rsid w:val="00091DE8"/>
    <w:rsid w:val="00092912"/>
    <w:rsid w:val="00093058"/>
    <w:rsid w:val="00094B73"/>
    <w:rsid w:val="00094C17"/>
    <w:rsid w:val="000A0FE0"/>
    <w:rsid w:val="000A1438"/>
    <w:rsid w:val="000A15F5"/>
    <w:rsid w:val="000A2D77"/>
    <w:rsid w:val="000B0DDC"/>
    <w:rsid w:val="000B21D3"/>
    <w:rsid w:val="000C066D"/>
    <w:rsid w:val="000C08AC"/>
    <w:rsid w:val="000D04B2"/>
    <w:rsid w:val="000D1372"/>
    <w:rsid w:val="000D4783"/>
    <w:rsid w:val="000D4EC5"/>
    <w:rsid w:val="000D4ED8"/>
    <w:rsid w:val="000D6289"/>
    <w:rsid w:val="000D7BE6"/>
    <w:rsid w:val="000E05FC"/>
    <w:rsid w:val="000F06E1"/>
    <w:rsid w:val="000F3743"/>
    <w:rsid w:val="000F6481"/>
    <w:rsid w:val="000F6B9A"/>
    <w:rsid w:val="000F7E3C"/>
    <w:rsid w:val="0010179C"/>
    <w:rsid w:val="00102EC4"/>
    <w:rsid w:val="001045E9"/>
    <w:rsid w:val="001057D3"/>
    <w:rsid w:val="0010696E"/>
    <w:rsid w:val="0010706B"/>
    <w:rsid w:val="00112362"/>
    <w:rsid w:val="00132F9E"/>
    <w:rsid w:val="0013476C"/>
    <w:rsid w:val="001349A2"/>
    <w:rsid w:val="0013728C"/>
    <w:rsid w:val="00142053"/>
    <w:rsid w:val="001429FB"/>
    <w:rsid w:val="001472C1"/>
    <w:rsid w:val="00147D73"/>
    <w:rsid w:val="0015140C"/>
    <w:rsid w:val="00152A4B"/>
    <w:rsid w:val="00154EE3"/>
    <w:rsid w:val="00155F58"/>
    <w:rsid w:val="0016440B"/>
    <w:rsid w:val="001732B3"/>
    <w:rsid w:val="00180736"/>
    <w:rsid w:val="00181459"/>
    <w:rsid w:val="00186458"/>
    <w:rsid w:val="00187A1E"/>
    <w:rsid w:val="0019027E"/>
    <w:rsid w:val="00191B61"/>
    <w:rsid w:val="00193674"/>
    <w:rsid w:val="0019702B"/>
    <w:rsid w:val="0019753D"/>
    <w:rsid w:val="001A1D6E"/>
    <w:rsid w:val="001A260E"/>
    <w:rsid w:val="001A2E84"/>
    <w:rsid w:val="001A33F0"/>
    <w:rsid w:val="001A3B11"/>
    <w:rsid w:val="001A583F"/>
    <w:rsid w:val="001B48A6"/>
    <w:rsid w:val="001B6249"/>
    <w:rsid w:val="001B6E11"/>
    <w:rsid w:val="001B7CAF"/>
    <w:rsid w:val="001B7E65"/>
    <w:rsid w:val="001C175A"/>
    <w:rsid w:val="001D16D3"/>
    <w:rsid w:val="001D235D"/>
    <w:rsid w:val="001D28BC"/>
    <w:rsid w:val="001D30DC"/>
    <w:rsid w:val="001D3F41"/>
    <w:rsid w:val="001D61C1"/>
    <w:rsid w:val="001D6906"/>
    <w:rsid w:val="001E2D51"/>
    <w:rsid w:val="001E57EC"/>
    <w:rsid w:val="001F0676"/>
    <w:rsid w:val="001F0B6F"/>
    <w:rsid w:val="001F5049"/>
    <w:rsid w:val="00202C63"/>
    <w:rsid w:val="00204863"/>
    <w:rsid w:val="00213336"/>
    <w:rsid w:val="00214035"/>
    <w:rsid w:val="00215493"/>
    <w:rsid w:val="0022311B"/>
    <w:rsid w:val="0022483F"/>
    <w:rsid w:val="00226C0E"/>
    <w:rsid w:val="0022702D"/>
    <w:rsid w:val="00227C59"/>
    <w:rsid w:val="00232914"/>
    <w:rsid w:val="00235284"/>
    <w:rsid w:val="00235693"/>
    <w:rsid w:val="00235B83"/>
    <w:rsid w:val="002367BB"/>
    <w:rsid w:val="00236C64"/>
    <w:rsid w:val="002400A3"/>
    <w:rsid w:val="002430BE"/>
    <w:rsid w:val="002431AC"/>
    <w:rsid w:val="00244829"/>
    <w:rsid w:val="00245B40"/>
    <w:rsid w:val="0025009B"/>
    <w:rsid w:val="002518A4"/>
    <w:rsid w:val="00255B47"/>
    <w:rsid w:val="00260594"/>
    <w:rsid w:val="00260F7A"/>
    <w:rsid w:val="00271E81"/>
    <w:rsid w:val="0027212F"/>
    <w:rsid w:val="00275A6D"/>
    <w:rsid w:val="00276033"/>
    <w:rsid w:val="00277406"/>
    <w:rsid w:val="00280573"/>
    <w:rsid w:val="00283C9F"/>
    <w:rsid w:val="00285B6A"/>
    <w:rsid w:val="0028715F"/>
    <w:rsid w:val="002951A4"/>
    <w:rsid w:val="002A5DC3"/>
    <w:rsid w:val="002B6875"/>
    <w:rsid w:val="002B6BC6"/>
    <w:rsid w:val="002C047A"/>
    <w:rsid w:val="002C2CF7"/>
    <w:rsid w:val="002C5447"/>
    <w:rsid w:val="002C6039"/>
    <w:rsid w:val="002C70C7"/>
    <w:rsid w:val="002C799F"/>
    <w:rsid w:val="002D0A2E"/>
    <w:rsid w:val="002D0FF5"/>
    <w:rsid w:val="002D231B"/>
    <w:rsid w:val="002D4973"/>
    <w:rsid w:val="002D6C54"/>
    <w:rsid w:val="002D78D2"/>
    <w:rsid w:val="002E1F9B"/>
    <w:rsid w:val="002E38BF"/>
    <w:rsid w:val="002E7F4A"/>
    <w:rsid w:val="002F3E88"/>
    <w:rsid w:val="002F52F8"/>
    <w:rsid w:val="002F7F81"/>
    <w:rsid w:val="003026EB"/>
    <w:rsid w:val="00305AAF"/>
    <w:rsid w:val="0030627D"/>
    <w:rsid w:val="0031041C"/>
    <w:rsid w:val="00315A4D"/>
    <w:rsid w:val="0031635A"/>
    <w:rsid w:val="003174DE"/>
    <w:rsid w:val="00317603"/>
    <w:rsid w:val="003205E5"/>
    <w:rsid w:val="003218C6"/>
    <w:rsid w:val="00322343"/>
    <w:rsid w:val="0032488E"/>
    <w:rsid w:val="00326EF0"/>
    <w:rsid w:val="00333C55"/>
    <w:rsid w:val="00337657"/>
    <w:rsid w:val="003424E1"/>
    <w:rsid w:val="00345D3F"/>
    <w:rsid w:val="00347148"/>
    <w:rsid w:val="00354942"/>
    <w:rsid w:val="0035698A"/>
    <w:rsid w:val="00356FCB"/>
    <w:rsid w:val="00360C8D"/>
    <w:rsid w:val="00360E20"/>
    <w:rsid w:val="00362297"/>
    <w:rsid w:val="00364314"/>
    <w:rsid w:val="00371D38"/>
    <w:rsid w:val="003736F9"/>
    <w:rsid w:val="003771B0"/>
    <w:rsid w:val="00383CA1"/>
    <w:rsid w:val="00390D94"/>
    <w:rsid w:val="00391AF4"/>
    <w:rsid w:val="00391E1C"/>
    <w:rsid w:val="00392F85"/>
    <w:rsid w:val="00393DF8"/>
    <w:rsid w:val="0039414E"/>
    <w:rsid w:val="003A0B72"/>
    <w:rsid w:val="003A1C05"/>
    <w:rsid w:val="003A258F"/>
    <w:rsid w:val="003A6FE4"/>
    <w:rsid w:val="003B1C9D"/>
    <w:rsid w:val="003B27F1"/>
    <w:rsid w:val="003B343C"/>
    <w:rsid w:val="003B6F1A"/>
    <w:rsid w:val="003C0D2A"/>
    <w:rsid w:val="003C28D0"/>
    <w:rsid w:val="003C2EB8"/>
    <w:rsid w:val="003C71E7"/>
    <w:rsid w:val="003D488D"/>
    <w:rsid w:val="003D5605"/>
    <w:rsid w:val="003D74CE"/>
    <w:rsid w:val="003D7ED0"/>
    <w:rsid w:val="003E12BF"/>
    <w:rsid w:val="003E1DB2"/>
    <w:rsid w:val="003E28D4"/>
    <w:rsid w:val="003F0326"/>
    <w:rsid w:val="003F18A3"/>
    <w:rsid w:val="003F529E"/>
    <w:rsid w:val="00401B08"/>
    <w:rsid w:val="00402FC0"/>
    <w:rsid w:val="00404C74"/>
    <w:rsid w:val="00411754"/>
    <w:rsid w:val="00413EF5"/>
    <w:rsid w:val="004301C5"/>
    <w:rsid w:val="004316DE"/>
    <w:rsid w:val="0043188D"/>
    <w:rsid w:val="00436083"/>
    <w:rsid w:val="00443F38"/>
    <w:rsid w:val="00463204"/>
    <w:rsid w:val="00464C6B"/>
    <w:rsid w:val="0046555F"/>
    <w:rsid w:val="00467F61"/>
    <w:rsid w:val="00471E4C"/>
    <w:rsid w:val="00477367"/>
    <w:rsid w:val="00480A2F"/>
    <w:rsid w:val="004817C9"/>
    <w:rsid w:val="004832C2"/>
    <w:rsid w:val="00485259"/>
    <w:rsid w:val="00485C1F"/>
    <w:rsid w:val="00485EEC"/>
    <w:rsid w:val="00487950"/>
    <w:rsid w:val="004909FE"/>
    <w:rsid w:val="0049294F"/>
    <w:rsid w:val="00497CC1"/>
    <w:rsid w:val="004A07A6"/>
    <w:rsid w:val="004A0928"/>
    <w:rsid w:val="004A1924"/>
    <w:rsid w:val="004A3404"/>
    <w:rsid w:val="004A5D2E"/>
    <w:rsid w:val="004A6EC7"/>
    <w:rsid w:val="004B0013"/>
    <w:rsid w:val="004B25CE"/>
    <w:rsid w:val="004B369D"/>
    <w:rsid w:val="004B5667"/>
    <w:rsid w:val="004C19F8"/>
    <w:rsid w:val="004C6592"/>
    <w:rsid w:val="004C6C60"/>
    <w:rsid w:val="004D03F4"/>
    <w:rsid w:val="004D156D"/>
    <w:rsid w:val="004D22C3"/>
    <w:rsid w:val="004D7CB4"/>
    <w:rsid w:val="004E2A42"/>
    <w:rsid w:val="004E2E10"/>
    <w:rsid w:val="004E5DD4"/>
    <w:rsid w:val="004E5FFC"/>
    <w:rsid w:val="004E6565"/>
    <w:rsid w:val="004F2957"/>
    <w:rsid w:val="004F2DD3"/>
    <w:rsid w:val="004F3BB6"/>
    <w:rsid w:val="004F437D"/>
    <w:rsid w:val="004F4733"/>
    <w:rsid w:val="004F6882"/>
    <w:rsid w:val="00501A88"/>
    <w:rsid w:val="00504343"/>
    <w:rsid w:val="00505B38"/>
    <w:rsid w:val="00506797"/>
    <w:rsid w:val="00507364"/>
    <w:rsid w:val="00516173"/>
    <w:rsid w:val="0051783C"/>
    <w:rsid w:val="00521E76"/>
    <w:rsid w:val="00523279"/>
    <w:rsid w:val="005243AC"/>
    <w:rsid w:val="00531611"/>
    <w:rsid w:val="00533858"/>
    <w:rsid w:val="005442C2"/>
    <w:rsid w:val="005469D6"/>
    <w:rsid w:val="00550298"/>
    <w:rsid w:val="00552671"/>
    <w:rsid w:val="00553414"/>
    <w:rsid w:val="00557B6B"/>
    <w:rsid w:val="005628A1"/>
    <w:rsid w:val="005661A4"/>
    <w:rsid w:val="005700BC"/>
    <w:rsid w:val="00571D83"/>
    <w:rsid w:val="005721A3"/>
    <w:rsid w:val="00574C88"/>
    <w:rsid w:val="00576443"/>
    <w:rsid w:val="00581BF6"/>
    <w:rsid w:val="00581E6B"/>
    <w:rsid w:val="00584DB0"/>
    <w:rsid w:val="005850FB"/>
    <w:rsid w:val="0058575D"/>
    <w:rsid w:val="00592945"/>
    <w:rsid w:val="0059452F"/>
    <w:rsid w:val="00596276"/>
    <w:rsid w:val="005A0391"/>
    <w:rsid w:val="005A0BBA"/>
    <w:rsid w:val="005A2979"/>
    <w:rsid w:val="005A3005"/>
    <w:rsid w:val="005A633F"/>
    <w:rsid w:val="005B2F89"/>
    <w:rsid w:val="005B5DD9"/>
    <w:rsid w:val="005B7112"/>
    <w:rsid w:val="005C0032"/>
    <w:rsid w:val="005C033A"/>
    <w:rsid w:val="005C1674"/>
    <w:rsid w:val="005C215E"/>
    <w:rsid w:val="005C3201"/>
    <w:rsid w:val="005C324F"/>
    <w:rsid w:val="005C3F2A"/>
    <w:rsid w:val="005C7B25"/>
    <w:rsid w:val="005C7C35"/>
    <w:rsid w:val="005C7ECC"/>
    <w:rsid w:val="005D1BBF"/>
    <w:rsid w:val="005D4671"/>
    <w:rsid w:val="005D492A"/>
    <w:rsid w:val="005D4DAB"/>
    <w:rsid w:val="005D71B0"/>
    <w:rsid w:val="005D7532"/>
    <w:rsid w:val="005E48B0"/>
    <w:rsid w:val="005F31B3"/>
    <w:rsid w:val="006015C5"/>
    <w:rsid w:val="00602906"/>
    <w:rsid w:val="00605402"/>
    <w:rsid w:val="00605F26"/>
    <w:rsid w:val="00612632"/>
    <w:rsid w:val="00613314"/>
    <w:rsid w:val="00615859"/>
    <w:rsid w:val="00617293"/>
    <w:rsid w:val="006200A9"/>
    <w:rsid w:val="00630B64"/>
    <w:rsid w:val="00645146"/>
    <w:rsid w:val="006470A5"/>
    <w:rsid w:val="0065011D"/>
    <w:rsid w:val="00664F97"/>
    <w:rsid w:val="00671208"/>
    <w:rsid w:val="006721FD"/>
    <w:rsid w:val="00674959"/>
    <w:rsid w:val="0067585A"/>
    <w:rsid w:val="00675F8B"/>
    <w:rsid w:val="006805C6"/>
    <w:rsid w:val="00684AE0"/>
    <w:rsid w:val="00684B92"/>
    <w:rsid w:val="00685239"/>
    <w:rsid w:val="0068610A"/>
    <w:rsid w:val="00693636"/>
    <w:rsid w:val="006947F2"/>
    <w:rsid w:val="0069592D"/>
    <w:rsid w:val="006A408E"/>
    <w:rsid w:val="006B1408"/>
    <w:rsid w:val="006B1AE5"/>
    <w:rsid w:val="006B1BB0"/>
    <w:rsid w:val="006B2472"/>
    <w:rsid w:val="006B38D5"/>
    <w:rsid w:val="006B78D7"/>
    <w:rsid w:val="006C4D64"/>
    <w:rsid w:val="006C4E86"/>
    <w:rsid w:val="006D0E2B"/>
    <w:rsid w:val="006E6A7F"/>
    <w:rsid w:val="006E7280"/>
    <w:rsid w:val="006E7DCF"/>
    <w:rsid w:val="006F37D5"/>
    <w:rsid w:val="00703260"/>
    <w:rsid w:val="007042FC"/>
    <w:rsid w:val="00706A2A"/>
    <w:rsid w:val="00710770"/>
    <w:rsid w:val="00710846"/>
    <w:rsid w:val="0071193E"/>
    <w:rsid w:val="0071368E"/>
    <w:rsid w:val="00715992"/>
    <w:rsid w:val="00722F49"/>
    <w:rsid w:val="00723710"/>
    <w:rsid w:val="0073513F"/>
    <w:rsid w:val="007371E9"/>
    <w:rsid w:val="00737961"/>
    <w:rsid w:val="00740951"/>
    <w:rsid w:val="00742E1A"/>
    <w:rsid w:val="00745728"/>
    <w:rsid w:val="00754D86"/>
    <w:rsid w:val="007576C0"/>
    <w:rsid w:val="00765538"/>
    <w:rsid w:val="0076624D"/>
    <w:rsid w:val="00767641"/>
    <w:rsid w:val="00767984"/>
    <w:rsid w:val="00770983"/>
    <w:rsid w:val="00774656"/>
    <w:rsid w:val="00775E9B"/>
    <w:rsid w:val="00782DA2"/>
    <w:rsid w:val="00783005"/>
    <w:rsid w:val="0079306E"/>
    <w:rsid w:val="00796071"/>
    <w:rsid w:val="007A087C"/>
    <w:rsid w:val="007A0A48"/>
    <w:rsid w:val="007A57ED"/>
    <w:rsid w:val="007B1937"/>
    <w:rsid w:val="007B36AB"/>
    <w:rsid w:val="007B4725"/>
    <w:rsid w:val="007B7134"/>
    <w:rsid w:val="007C02A2"/>
    <w:rsid w:val="007C3BFF"/>
    <w:rsid w:val="007C48F7"/>
    <w:rsid w:val="007C5737"/>
    <w:rsid w:val="007C7878"/>
    <w:rsid w:val="007D0AE8"/>
    <w:rsid w:val="007D3CB5"/>
    <w:rsid w:val="007D4A7F"/>
    <w:rsid w:val="007E0228"/>
    <w:rsid w:val="007E1CEF"/>
    <w:rsid w:val="007E5367"/>
    <w:rsid w:val="007E5753"/>
    <w:rsid w:val="007E59CA"/>
    <w:rsid w:val="007E761B"/>
    <w:rsid w:val="007F0604"/>
    <w:rsid w:val="007F1588"/>
    <w:rsid w:val="007F1766"/>
    <w:rsid w:val="007F31B0"/>
    <w:rsid w:val="00800BD2"/>
    <w:rsid w:val="00800FC9"/>
    <w:rsid w:val="00802B47"/>
    <w:rsid w:val="00802CE7"/>
    <w:rsid w:val="00802DF5"/>
    <w:rsid w:val="00805595"/>
    <w:rsid w:val="008063F8"/>
    <w:rsid w:val="008079BE"/>
    <w:rsid w:val="00807BF5"/>
    <w:rsid w:val="00811964"/>
    <w:rsid w:val="0081799B"/>
    <w:rsid w:val="0082308A"/>
    <w:rsid w:val="00823245"/>
    <w:rsid w:val="00830469"/>
    <w:rsid w:val="00831C53"/>
    <w:rsid w:val="00832A20"/>
    <w:rsid w:val="00834F2B"/>
    <w:rsid w:val="00835233"/>
    <w:rsid w:val="00836896"/>
    <w:rsid w:val="0083726F"/>
    <w:rsid w:val="00841BF8"/>
    <w:rsid w:val="00842AFE"/>
    <w:rsid w:val="0084654D"/>
    <w:rsid w:val="00855398"/>
    <w:rsid w:val="008555D0"/>
    <w:rsid w:val="00862746"/>
    <w:rsid w:val="00863731"/>
    <w:rsid w:val="00863E9F"/>
    <w:rsid w:val="00866C91"/>
    <w:rsid w:val="00870DB5"/>
    <w:rsid w:val="00873B72"/>
    <w:rsid w:val="00874939"/>
    <w:rsid w:val="00875940"/>
    <w:rsid w:val="008763E9"/>
    <w:rsid w:val="00881DAD"/>
    <w:rsid w:val="0088244B"/>
    <w:rsid w:val="00882C31"/>
    <w:rsid w:val="00882D89"/>
    <w:rsid w:val="0088374F"/>
    <w:rsid w:val="00886786"/>
    <w:rsid w:val="00890846"/>
    <w:rsid w:val="00897BD6"/>
    <w:rsid w:val="008A0DA2"/>
    <w:rsid w:val="008A0DD4"/>
    <w:rsid w:val="008A14CF"/>
    <w:rsid w:val="008A303E"/>
    <w:rsid w:val="008A499B"/>
    <w:rsid w:val="008A4F55"/>
    <w:rsid w:val="008A4FC8"/>
    <w:rsid w:val="008A773C"/>
    <w:rsid w:val="008A7E71"/>
    <w:rsid w:val="008B0C62"/>
    <w:rsid w:val="008B5F27"/>
    <w:rsid w:val="008C561B"/>
    <w:rsid w:val="008C6ABD"/>
    <w:rsid w:val="008C7F00"/>
    <w:rsid w:val="008D1691"/>
    <w:rsid w:val="008D5A64"/>
    <w:rsid w:val="008D6B36"/>
    <w:rsid w:val="008D736D"/>
    <w:rsid w:val="008E028B"/>
    <w:rsid w:val="008E1312"/>
    <w:rsid w:val="008E20F2"/>
    <w:rsid w:val="008E3E82"/>
    <w:rsid w:val="008F21E8"/>
    <w:rsid w:val="008F3912"/>
    <w:rsid w:val="008F3EC3"/>
    <w:rsid w:val="008F5164"/>
    <w:rsid w:val="008F66FE"/>
    <w:rsid w:val="008F6C3C"/>
    <w:rsid w:val="008F6C60"/>
    <w:rsid w:val="008F7B51"/>
    <w:rsid w:val="009040AA"/>
    <w:rsid w:val="009062B0"/>
    <w:rsid w:val="00911077"/>
    <w:rsid w:val="009117B9"/>
    <w:rsid w:val="00914396"/>
    <w:rsid w:val="009154CF"/>
    <w:rsid w:val="00917595"/>
    <w:rsid w:val="00917A20"/>
    <w:rsid w:val="00922303"/>
    <w:rsid w:val="00926BEA"/>
    <w:rsid w:val="00927CB5"/>
    <w:rsid w:val="00931231"/>
    <w:rsid w:val="00932493"/>
    <w:rsid w:val="009330CC"/>
    <w:rsid w:val="00935245"/>
    <w:rsid w:val="009356D5"/>
    <w:rsid w:val="00941909"/>
    <w:rsid w:val="00943A43"/>
    <w:rsid w:val="00944693"/>
    <w:rsid w:val="009449FE"/>
    <w:rsid w:val="00947991"/>
    <w:rsid w:val="009545A2"/>
    <w:rsid w:val="009601A9"/>
    <w:rsid w:val="009601EA"/>
    <w:rsid w:val="00961C9F"/>
    <w:rsid w:val="0097290B"/>
    <w:rsid w:val="00973177"/>
    <w:rsid w:val="00974DEA"/>
    <w:rsid w:val="009757CD"/>
    <w:rsid w:val="00976BD8"/>
    <w:rsid w:val="0098378A"/>
    <w:rsid w:val="0098608F"/>
    <w:rsid w:val="00986FAA"/>
    <w:rsid w:val="00987BB6"/>
    <w:rsid w:val="00987E46"/>
    <w:rsid w:val="00992589"/>
    <w:rsid w:val="009954E8"/>
    <w:rsid w:val="009A067A"/>
    <w:rsid w:val="009A2191"/>
    <w:rsid w:val="009A3C91"/>
    <w:rsid w:val="009A48C2"/>
    <w:rsid w:val="009A656B"/>
    <w:rsid w:val="009B142C"/>
    <w:rsid w:val="009B5CDE"/>
    <w:rsid w:val="009B67EF"/>
    <w:rsid w:val="009C301F"/>
    <w:rsid w:val="009C339E"/>
    <w:rsid w:val="009C4301"/>
    <w:rsid w:val="009C5044"/>
    <w:rsid w:val="009C76A4"/>
    <w:rsid w:val="009D178B"/>
    <w:rsid w:val="009D2997"/>
    <w:rsid w:val="009D4207"/>
    <w:rsid w:val="009E0340"/>
    <w:rsid w:val="009E113D"/>
    <w:rsid w:val="009E2C7E"/>
    <w:rsid w:val="009E451C"/>
    <w:rsid w:val="009E54CB"/>
    <w:rsid w:val="009E58C3"/>
    <w:rsid w:val="009E6ED9"/>
    <w:rsid w:val="009F0071"/>
    <w:rsid w:val="009F3EEE"/>
    <w:rsid w:val="009F509B"/>
    <w:rsid w:val="009F6FBF"/>
    <w:rsid w:val="009F7C1A"/>
    <w:rsid w:val="00A00516"/>
    <w:rsid w:val="00A01223"/>
    <w:rsid w:val="00A03542"/>
    <w:rsid w:val="00A04382"/>
    <w:rsid w:val="00A05588"/>
    <w:rsid w:val="00A13B79"/>
    <w:rsid w:val="00A16BD7"/>
    <w:rsid w:val="00A173A8"/>
    <w:rsid w:val="00A2371C"/>
    <w:rsid w:val="00A237B3"/>
    <w:rsid w:val="00A24BD4"/>
    <w:rsid w:val="00A26600"/>
    <w:rsid w:val="00A267DA"/>
    <w:rsid w:val="00A2767C"/>
    <w:rsid w:val="00A27B69"/>
    <w:rsid w:val="00A30F87"/>
    <w:rsid w:val="00A3161D"/>
    <w:rsid w:val="00A3219D"/>
    <w:rsid w:val="00A35A51"/>
    <w:rsid w:val="00A35FBA"/>
    <w:rsid w:val="00A4106E"/>
    <w:rsid w:val="00A43D05"/>
    <w:rsid w:val="00A50081"/>
    <w:rsid w:val="00A52BF3"/>
    <w:rsid w:val="00A53306"/>
    <w:rsid w:val="00A53C7D"/>
    <w:rsid w:val="00A55573"/>
    <w:rsid w:val="00A60AC2"/>
    <w:rsid w:val="00A73BC8"/>
    <w:rsid w:val="00A742AE"/>
    <w:rsid w:val="00A771BE"/>
    <w:rsid w:val="00A771CF"/>
    <w:rsid w:val="00A81CFC"/>
    <w:rsid w:val="00A83DEA"/>
    <w:rsid w:val="00A9398C"/>
    <w:rsid w:val="00A9503B"/>
    <w:rsid w:val="00A97AA2"/>
    <w:rsid w:val="00AA0164"/>
    <w:rsid w:val="00AA1A91"/>
    <w:rsid w:val="00AA25DF"/>
    <w:rsid w:val="00AB2224"/>
    <w:rsid w:val="00AB7937"/>
    <w:rsid w:val="00AC019D"/>
    <w:rsid w:val="00AC0542"/>
    <w:rsid w:val="00AC41EC"/>
    <w:rsid w:val="00AC5AF9"/>
    <w:rsid w:val="00AC5B79"/>
    <w:rsid w:val="00AC7902"/>
    <w:rsid w:val="00AD172D"/>
    <w:rsid w:val="00AD52D1"/>
    <w:rsid w:val="00AD6DF0"/>
    <w:rsid w:val="00AE0244"/>
    <w:rsid w:val="00AE1AE2"/>
    <w:rsid w:val="00AE3106"/>
    <w:rsid w:val="00AE7C67"/>
    <w:rsid w:val="00AF19E6"/>
    <w:rsid w:val="00AF5E62"/>
    <w:rsid w:val="00AF62C1"/>
    <w:rsid w:val="00AF70EC"/>
    <w:rsid w:val="00AF7E92"/>
    <w:rsid w:val="00B01071"/>
    <w:rsid w:val="00B0343E"/>
    <w:rsid w:val="00B045D2"/>
    <w:rsid w:val="00B07E20"/>
    <w:rsid w:val="00B12EAA"/>
    <w:rsid w:val="00B133D6"/>
    <w:rsid w:val="00B14CF8"/>
    <w:rsid w:val="00B21E44"/>
    <w:rsid w:val="00B22C3A"/>
    <w:rsid w:val="00B23B06"/>
    <w:rsid w:val="00B24FAA"/>
    <w:rsid w:val="00B26D40"/>
    <w:rsid w:val="00B33A5F"/>
    <w:rsid w:val="00B35FF2"/>
    <w:rsid w:val="00B41F9D"/>
    <w:rsid w:val="00B424BF"/>
    <w:rsid w:val="00B42BFE"/>
    <w:rsid w:val="00B437BA"/>
    <w:rsid w:val="00B454F9"/>
    <w:rsid w:val="00B5088C"/>
    <w:rsid w:val="00B51EA2"/>
    <w:rsid w:val="00B54678"/>
    <w:rsid w:val="00B5555F"/>
    <w:rsid w:val="00B55CE2"/>
    <w:rsid w:val="00B61E41"/>
    <w:rsid w:val="00B63EB0"/>
    <w:rsid w:val="00B70B7A"/>
    <w:rsid w:val="00B75D37"/>
    <w:rsid w:val="00B83D72"/>
    <w:rsid w:val="00B84472"/>
    <w:rsid w:val="00B84D9F"/>
    <w:rsid w:val="00B855B6"/>
    <w:rsid w:val="00B936EC"/>
    <w:rsid w:val="00B96F11"/>
    <w:rsid w:val="00BA27FC"/>
    <w:rsid w:val="00BA3189"/>
    <w:rsid w:val="00BA434E"/>
    <w:rsid w:val="00BA5F43"/>
    <w:rsid w:val="00BA6EFA"/>
    <w:rsid w:val="00BA7037"/>
    <w:rsid w:val="00BB2081"/>
    <w:rsid w:val="00BB4F5A"/>
    <w:rsid w:val="00BB634C"/>
    <w:rsid w:val="00BC257C"/>
    <w:rsid w:val="00BC6677"/>
    <w:rsid w:val="00BD12D2"/>
    <w:rsid w:val="00BD5C6D"/>
    <w:rsid w:val="00BD679B"/>
    <w:rsid w:val="00BD781D"/>
    <w:rsid w:val="00BE05DF"/>
    <w:rsid w:val="00BE1CF6"/>
    <w:rsid w:val="00BE27DC"/>
    <w:rsid w:val="00BE3DC5"/>
    <w:rsid w:val="00BE7F1A"/>
    <w:rsid w:val="00BF14CB"/>
    <w:rsid w:val="00C025B1"/>
    <w:rsid w:val="00C065DC"/>
    <w:rsid w:val="00C15B9B"/>
    <w:rsid w:val="00C17A67"/>
    <w:rsid w:val="00C22144"/>
    <w:rsid w:val="00C22864"/>
    <w:rsid w:val="00C22C0B"/>
    <w:rsid w:val="00C24464"/>
    <w:rsid w:val="00C27440"/>
    <w:rsid w:val="00C3218F"/>
    <w:rsid w:val="00C32A30"/>
    <w:rsid w:val="00C36495"/>
    <w:rsid w:val="00C435DF"/>
    <w:rsid w:val="00C44638"/>
    <w:rsid w:val="00C474F0"/>
    <w:rsid w:val="00C5213A"/>
    <w:rsid w:val="00C5521E"/>
    <w:rsid w:val="00C61EA5"/>
    <w:rsid w:val="00C6402B"/>
    <w:rsid w:val="00C7093A"/>
    <w:rsid w:val="00C746E6"/>
    <w:rsid w:val="00C755D3"/>
    <w:rsid w:val="00C75DEE"/>
    <w:rsid w:val="00C8110D"/>
    <w:rsid w:val="00C82A8B"/>
    <w:rsid w:val="00C92148"/>
    <w:rsid w:val="00C9273F"/>
    <w:rsid w:val="00C9437F"/>
    <w:rsid w:val="00C95C75"/>
    <w:rsid w:val="00C965C8"/>
    <w:rsid w:val="00CA64A4"/>
    <w:rsid w:val="00CB0EAB"/>
    <w:rsid w:val="00CB1A68"/>
    <w:rsid w:val="00CB1BA9"/>
    <w:rsid w:val="00CB1D78"/>
    <w:rsid w:val="00CB5245"/>
    <w:rsid w:val="00CB5737"/>
    <w:rsid w:val="00CB701D"/>
    <w:rsid w:val="00CB7C1B"/>
    <w:rsid w:val="00CB7F44"/>
    <w:rsid w:val="00CC06B2"/>
    <w:rsid w:val="00CC3616"/>
    <w:rsid w:val="00CC4169"/>
    <w:rsid w:val="00CC41EE"/>
    <w:rsid w:val="00CC4526"/>
    <w:rsid w:val="00CC668B"/>
    <w:rsid w:val="00CD1F4C"/>
    <w:rsid w:val="00CD2C9B"/>
    <w:rsid w:val="00CD3B5E"/>
    <w:rsid w:val="00CE4AFC"/>
    <w:rsid w:val="00CF57C8"/>
    <w:rsid w:val="00CF7B9B"/>
    <w:rsid w:val="00D01E81"/>
    <w:rsid w:val="00D04827"/>
    <w:rsid w:val="00D04C24"/>
    <w:rsid w:val="00D057B9"/>
    <w:rsid w:val="00D102DD"/>
    <w:rsid w:val="00D11F9F"/>
    <w:rsid w:val="00D12B19"/>
    <w:rsid w:val="00D16210"/>
    <w:rsid w:val="00D168A5"/>
    <w:rsid w:val="00D24030"/>
    <w:rsid w:val="00D31AE8"/>
    <w:rsid w:val="00D354F6"/>
    <w:rsid w:val="00D36FAC"/>
    <w:rsid w:val="00D37405"/>
    <w:rsid w:val="00D401DC"/>
    <w:rsid w:val="00D421AA"/>
    <w:rsid w:val="00D5340B"/>
    <w:rsid w:val="00D5602E"/>
    <w:rsid w:val="00D56AA8"/>
    <w:rsid w:val="00D57D1B"/>
    <w:rsid w:val="00D649E7"/>
    <w:rsid w:val="00D704DC"/>
    <w:rsid w:val="00D73C17"/>
    <w:rsid w:val="00D818D2"/>
    <w:rsid w:val="00D824DC"/>
    <w:rsid w:val="00D83480"/>
    <w:rsid w:val="00D83FD3"/>
    <w:rsid w:val="00D842A3"/>
    <w:rsid w:val="00D84840"/>
    <w:rsid w:val="00D84E78"/>
    <w:rsid w:val="00D86D3C"/>
    <w:rsid w:val="00D9205F"/>
    <w:rsid w:val="00D9465D"/>
    <w:rsid w:val="00D96584"/>
    <w:rsid w:val="00DA13E7"/>
    <w:rsid w:val="00DA1B80"/>
    <w:rsid w:val="00DA3568"/>
    <w:rsid w:val="00DA4480"/>
    <w:rsid w:val="00DA68C1"/>
    <w:rsid w:val="00DA6914"/>
    <w:rsid w:val="00DA720A"/>
    <w:rsid w:val="00DA77F9"/>
    <w:rsid w:val="00DA7883"/>
    <w:rsid w:val="00DB088F"/>
    <w:rsid w:val="00DB3817"/>
    <w:rsid w:val="00DB473A"/>
    <w:rsid w:val="00DB64F3"/>
    <w:rsid w:val="00DB7D69"/>
    <w:rsid w:val="00DC0E9B"/>
    <w:rsid w:val="00DC3690"/>
    <w:rsid w:val="00DC5BD2"/>
    <w:rsid w:val="00DC7506"/>
    <w:rsid w:val="00DD01B4"/>
    <w:rsid w:val="00DD3CB7"/>
    <w:rsid w:val="00DE2331"/>
    <w:rsid w:val="00DE247B"/>
    <w:rsid w:val="00DE2A74"/>
    <w:rsid w:val="00DE5D91"/>
    <w:rsid w:val="00DE743A"/>
    <w:rsid w:val="00DF1FB0"/>
    <w:rsid w:val="00DF65DD"/>
    <w:rsid w:val="00E002F8"/>
    <w:rsid w:val="00E01892"/>
    <w:rsid w:val="00E01978"/>
    <w:rsid w:val="00E02B64"/>
    <w:rsid w:val="00E03B00"/>
    <w:rsid w:val="00E03D0B"/>
    <w:rsid w:val="00E03E2C"/>
    <w:rsid w:val="00E056DC"/>
    <w:rsid w:val="00E0624B"/>
    <w:rsid w:val="00E10B98"/>
    <w:rsid w:val="00E10D80"/>
    <w:rsid w:val="00E116F7"/>
    <w:rsid w:val="00E14051"/>
    <w:rsid w:val="00E1587D"/>
    <w:rsid w:val="00E17B73"/>
    <w:rsid w:val="00E22363"/>
    <w:rsid w:val="00E33650"/>
    <w:rsid w:val="00E34560"/>
    <w:rsid w:val="00E34E7A"/>
    <w:rsid w:val="00E351A3"/>
    <w:rsid w:val="00E36216"/>
    <w:rsid w:val="00E36F2A"/>
    <w:rsid w:val="00E45BDB"/>
    <w:rsid w:val="00E5028A"/>
    <w:rsid w:val="00E60B27"/>
    <w:rsid w:val="00E6412D"/>
    <w:rsid w:val="00E6697B"/>
    <w:rsid w:val="00E70243"/>
    <w:rsid w:val="00E71283"/>
    <w:rsid w:val="00E72FC0"/>
    <w:rsid w:val="00E800E0"/>
    <w:rsid w:val="00E821B5"/>
    <w:rsid w:val="00E8387E"/>
    <w:rsid w:val="00E864B0"/>
    <w:rsid w:val="00E86BDD"/>
    <w:rsid w:val="00E92C88"/>
    <w:rsid w:val="00E96F73"/>
    <w:rsid w:val="00EA0456"/>
    <w:rsid w:val="00EA1409"/>
    <w:rsid w:val="00EA152A"/>
    <w:rsid w:val="00EA1AD1"/>
    <w:rsid w:val="00EA1FD7"/>
    <w:rsid w:val="00EA2299"/>
    <w:rsid w:val="00EA324B"/>
    <w:rsid w:val="00EA6236"/>
    <w:rsid w:val="00EB0287"/>
    <w:rsid w:val="00EB5D9C"/>
    <w:rsid w:val="00EB7F67"/>
    <w:rsid w:val="00EC14AB"/>
    <w:rsid w:val="00EC2C5B"/>
    <w:rsid w:val="00EC2C94"/>
    <w:rsid w:val="00EC56B2"/>
    <w:rsid w:val="00EC614E"/>
    <w:rsid w:val="00ED0355"/>
    <w:rsid w:val="00ED0B89"/>
    <w:rsid w:val="00ED3FB1"/>
    <w:rsid w:val="00ED5319"/>
    <w:rsid w:val="00EE0B2E"/>
    <w:rsid w:val="00EE0CF9"/>
    <w:rsid w:val="00EE3968"/>
    <w:rsid w:val="00EE4DBE"/>
    <w:rsid w:val="00EF053E"/>
    <w:rsid w:val="00EF1E5D"/>
    <w:rsid w:val="00EF4CED"/>
    <w:rsid w:val="00F001FF"/>
    <w:rsid w:val="00F0206C"/>
    <w:rsid w:val="00F02CB9"/>
    <w:rsid w:val="00F03322"/>
    <w:rsid w:val="00F0334D"/>
    <w:rsid w:val="00F03AB9"/>
    <w:rsid w:val="00F041BE"/>
    <w:rsid w:val="00F064F8"/>
    <w:rsid w:val="00F10CF4"/>
    <w:rsid w:val="00F1167D"/>
    <w:rsid w:val="00F12BDE"/>
    <w:rsid w:val="00F14FFD"/>
    <w:rsid w:val="00F1706F"/>
    <w:rsid w:val="00F22F4E"/>
    <w:rsid w:val="00F23555"/>
    <w:rsid w:val="00F2492B"/>
    <w:rsid w:val="00F24BFF"/>
    <w:rsid w:val="00F27827"/>
    <w:rsid w:val="00F278A0"/>
    <w:rsid w:val="00F32980"/>
    <w:rsid w:val="00F337A1"/>
    <w:rsid w:val="00F40718"/>
    <w:rsid w:val="00F4136E"/>
    <w:rsid w:val="00F42401"/>
    <w:rsid w:val="00F42A75"/>
    <w:rsid w:val="00F43015"/>
    <w:rsid w:val="00F4409B"/>
    <w:rsid w:val="00F44DD9"/>
    <w:rsid w:val="00F4565A"/>
    <w:rsid w:val="00F5245A"/>
    <w:rsid w:val="00F53756"/>
    <w:rsid w:val="00F54F61"/>
    <w:rsid w:val="00F62704"/>
    <w:rsid w:val="00F65840"/>
    <w:rsid w:val="00F71CA7"/>
    <w:rsid w:val="00F71FFD"/>
    <w:rsid w:val="00F73B3F"/>
    <w:rsid w:val="00F742D7"/>
    <w:rsid w:val="00F746AC"/>
    <w:rsid w:val="00F770E3"/>
    <w:rsid w:val="00F7733C"/>
    <w:rsid w:val="00F802B8"/>
    <w:rsid w:val="00F84A47"/>
    <w:rsid w:val="00F84D0A"/>
    <w:rsid w:val="00F86689"/>
    <w:rsid w:val="00F920A2"/>
    <w:rsid w:val="00F92A63"/>
    <w:rsid w:val="00F9364C"/>
    <w:rsid w:val="00F937FC"/>
    <w:rsid w:val="00F9682A"/>
    <w:rsid w:val="00F968E0"/>
    <w:rsid w:val="00F97AC3"/>
    <w:rsid w:val="00FA323E"/>
    <w:rsid w:val="00FA368F"/>
    <w:rsid w:val="00FA4CD0"/>
    <w:rsid w:val="00FA684F"/>
    <w:rsid w:val="00FB10F7"/>
    <w:rsid w:val="00FB265E"/>
    <w:rsid w:val="00FB3B4E"/>
    <w:rsid w:val="00FC0355"/>
    <w:rsid w:val="00FC0EBB"/>
    <w:rsid w:val="00FC3596"/>
    <w:rsid w:val="00FC371A"/>
    <w:rsid w:val="00FC48AE"/>
    <w:rsid w:val="00FC5711"/>
    <w:rsid w:val="00FC734E"/>
    <w:rsid w:val="00FC75AA"/>
    <w:rsid w:val="00FD119A"/>
    <w:rsid w:val="00FD3795"/>
    <w:rsid w:val="00FD5A58"/>
    <w:rsid w:val="00FD6559"/>
    <w:rsid w:val="00FD7B35"/>
    <w:rsid w:val="00FE0F48"/>
    <w:rsid w:val="00FE2E0E"/>
    <w:rsid w:val="00FE5106"/>
    <w:rsid w:val="00FE7530"/>
    <w:rsid w:val="00FE78CC"/>
    <w:rsid w:val="00FF3958"/>
    <w:rsid w:val="00FF45E6"/>
    <w:rsid w:val="00FF5D63"/>
    <w:rsid w:val="01E325D0"/>
    <w:rsid w:val="020E1599"/>
    <w:rsid w:val="028216F3"/>
    <w:rsid w:val="045E7DD1"/>
    <w:rsid w:val="04B55696"/>
    <w:rsid w:val="057E7E22"/>
    <w:rsid w:val="06BD5DFB"/>
    <w:rsid w:val="06E43E93"/>
    <w:rsid w:val="086415D8"/>
    <w:rsid w:val="0AD66FA0"/>
    <w:rsid w:val="0B354AFA"/>
    <w:rsid w:val="0B5E4410"/>
    <w:rsid w:val="0B676E9E"/>
    <w:rsid w:val="0B756E97"/>
    <w:rsid w:val="0D221CF8"/>
    <w:rsid w:val="0EA22361"/>
    <w:rsid w:val="0EB52D6A"/>
    <w:rsid w:val="0ED446D6"/>
    <w:rsid w:val="11145782"/>
    <w:rsid w:val="114D607F"/>
    <w:rsid w:val="12891287"/>
    <w:rsid w:val="12C67212"/>
    <w:rsid w:val="1432288E"/>
    <w:rsid w:val="17626CD9"/>
    <w:rsid w:val="17D559CB"/>
    <w:rsid w:val="185C5BFE"/>
    <w:rsid w:val="18842A7A"/>
    <w:rsid w:val="18A37073"/>
    <w:rsid w:val="18F141C5"/>
    <w:rsid w:val="18FB5089"/>
    <w:rsid w:val="1A4354A9"/>
    <w:rsid w:val="1CCF6597"/>
    <w:rsid w:val="2081209D"/>
    <w:rsid w:val="20A43E5C"/>
    <w:rsid w:val="20CF4912"/>
    <w:rsid w:val="21130AEB"/>
    <w:rsid w:val="236845EA"/>
    <w:rsid w:val="23C714D4"/>
    <w:rsid w:val="25486966"/>
    <w:rsid w:val="25723EDB"/>
    <w:rsid w:val="257559C5"/>
    <w:rsid w:val="262421BF"/>
    <w:rsid w:val="2755096A"/>
    <w:rsid w:val="27913E32"/>
    <w:rsid w:val="279F66AE"/>
    <w:rsid w:val="27C718B5"/>
    <w:rsid w:val="28D63020"/>
    <w:rsid w:val="2C101127"/>
    <w:rsid w:val="2C363DD6"/>
    <w:rsid w:val="2EDD1647"/>
    <w:rsid w:val="2F1F43A3"/>
    <w:rsid w:val="2F6617B0"/>
    <w:rsid w:val="30AC282A"/>
    <w:rsid w:val="30CF42B4"/>
    <w:rsid w:val="31810E30"/>
    <w:rsid w:val="32870EE7"/>
    <w:rsid w:val="328F7449"/>
    <w:rsid w:val="345319C9"/>
    <w:rsid w:val="34C40D15"/>
    <w:rsid w:val="34E65F37"/>
    <w:rsid w:val="34EA65BA"/>
    <w:rsid w:val="36F82A6E"/>
    <w:rsid w:val="37290ED0"/>
    <w:rsid w:val="3A8730BD"/>
    <w:rsid w:val="3FBD351E"/>
    <w:rsid w:val="40D73C42"/>
    <w:rsid w:val="42261D71"/>
    <w:rsid w:val="426C3010"/>
    <w:rsid w:val="428B3ACA"/>
    <w:rsid w:val="44180BC9"/>
    <w:rsid w:val="456A3772"/>
    <w:rsid w:val="45817528"/>
    <w:rsid w:val="46146942"/>
    <w:rsid w:val="473C00B4"/>
    <w:rsid w:val="48145762"/>
    <w:rsid w:val="48E92CAA"/>
    <w:rsid w:val="49045C17"/>
    <w:rsid w:val="4AAC10A9"/>
    <w:rsid w:val="4CA949E8"/>
    <w:rsid w:val="4CFC119D"/>
    <w:rsid w:val="4D050AB9"/>
    <w:rsid w:val="4F295F32"/>
    <w:rsid w:val="502D3FBD"/>
    <w:rsid w:val="50625B3A"/>
    <w:rsid w:val="52E968AB"/>
    <w:rsid w:val="537F3FA9"/>
    <w:rsid w:val="541A330F"/>
    <w:rsid w:val="55A45872"/>
    <w:rsid w:val="562B6E1C"/>
    <w:rsid w:val="564E23E7"/>
    <w:rsid w:val="57671CF1"/>
    <w:rsid w:val="580764A3"/>
    <w:rsid w:val="5AF661FE"/>
    <w:rsid w:val="5B2E5727"/>
    <w:rsid w:val="5B4210D1"/>
    <w:rsid w:val="5B4F4DFA"/>
    <w:rsid w:val="5CCC77EB"/>
    <w:rsid w:val="5DDC7A8A"/>
    <w:rsid w:val="5F5E6FEC"/>
    <w:rsid w:val="611834CF"/>
    <w:rsid w:val="62974E20"/>
    <w:rsid w:val="62B114E5"/>
    <w:rsid w:val="62B36139"/>
    <w:rsid w:val="669B6734"/>
    <w:rsid w:val="67144738"/>
    <w:rsid w:val="671E16FD"/>
    <w:rsid w:val="6D6B201E"/>
    <w:rsid w:val="6DAB3360"/>
    <w:rsid w:val="704E6E05"/>
    <w:rsid w:val="70AA22AB"/>
    <w:rsid w:val="723C2178"/>
    <w:rsid w:val="73403FAF"/>
    <w:rsid w:val="73D74B24"/>
    <w:rsid w:val="74262FC9"/>
    <w:rsid w:val="75491DAC"/>
    <w:rsid w:val="76E64C26"/>
    <w:rsid w:val="77202EE9"/>
    <w:rsid w:val="77D27871"/>
    <w:rsid w:val="77E36BD8"/>
    <w:rsid w:val="78887ECD"/>
    <w:rsid w:val="78CE3658"/>
    <w:rsid w:val="7BE56AA2"/>
    <w:rsid w:val="7E472500"/>
    <w:rsid w:val="7F2F1985"/>
    <w:rsid w:val="7FE16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43348"/>
  <w15:docId w15:val="{7464505D-EA06-4516-8A45-E58B0A9C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uiPriority="1" w:unhideWhenUsed="1" w:qFormat="1"/>
    <w:lsdException w:name="Body Text Indent" w:qFormat="1"/>
    <w:lsdException w:name="Subtitle" w:qFormat="1"/>
    <w:lsdException w:name="Date" w:qFormat="1"/>
    <w:lsdException w:name="Hyperlink"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
    <w:name w:val="heading 1"/>
    <w:basedOn w:val="a3"/>
    <w:next w:val="a3"/>
    <w:qFormat/>
    <w:pPr>
      <w:keepNext/>
      <w:keepLines/>
      <w:numPr>
        <w:numId w:val="1"/>
      </w:numPr>
      <w:spacing w:before="340" w:after="330" w:line="576" w:lineRule="auto"/>
      <w:outlineLvl w:val="0"/>
    </w:pPr>
    <w:rPr>
      <w:b/>
      <w:bCs/>
      <w:color w:val="000000"/>
      <w:kern w:val="44"/>
      <w:sz w:val="44"/>
      <w:szCs w:val="44"/>
    </w:rPr>
  </w:style>
  <w:style w:type="paragraph" w:styleId="2">
    <w:name w:val="heading 2"/>
    <w:basedOn w:val="a3"/>
    <w:next w:val="a3"/>
    <w:link w:val="20"/>
    <w:qFormat/>
    <w:pPr>
      <w:keepNext/>
      <w:keepLines/>
      <w:numPr>
        <w:ilvl w:val="1"/>
        <w:numId w:val="1"/>
      </w:numPr>
      <w:spacing w:before="260" w:after="260" w:line="413" w:lineRule="auto"/>
      <w:outlineLvl w:val="1"/>
    </w:pPr>
    <w:rPr>
      <w:rFonts w:ascii="Arial" w:hAnsi="Arial"/>
      <w:b/>
      <w:bCs/>
      <w:sz w:val="24"/>
      <w:szCs w:val="32"/>
      <w:lang w:val="zh-CN"/>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Indent"/>
    <w:basedOn w:val="a3"/>
    <w:qFormat/>
    <w:pPr>
      <w:ind w:firstLine="420"/>
    </w:pPr>
    <w:rPr>
      <w:szCs w:val="20"/>
    </w:rPr>
  </w:style>
  <w:style w:type="paragraph" w:styleId="a8">
    <w:name w:val="annotation text"/>
    <w:basedOn w:val="a3"/>
    <w:link w:val="10"/>
    <w:qFormat/>
    <w:pPr>
      <w:jc w:val="left"/>
    </w:pPr>
    <w:rPr>
      <w:sz w:val="24"/>
    </w:rPr>
  </w:style>
  <w:style w:type="paragraph" w:styleId="a9">
    <w:name w:val="Body Text Indent"/>
    <w:basedOn w:val="a3"/>
    <w:link w:val="aa"/>
    <w:qFormat/>
    <w:pPr>
      <w:spacing w:after="120"/>
      <w:ind w:leftChars="200" w:left="420"/>
    </w:pPr>
    <w:rPr>
      <w:szCs w:val="20"/>
    </w:rPr>
  </w:style>
  <w:style w:type="paragraph" w:styleId="ab">
    <w:name w:val="Plain Text"/>
    <w:basedOn w:val="a3"/>
    <w:link w:val="ac"/>
    <w:qFormat/>
    <w:rPr>
      <w:rFonts w:ascii="宋体" w:hAnsi="Courier New"/>
      <w:szCs w:val="20"/>
      <w:lang w:val="zh-CN"/>
    </w:rPr>
  </w:style>
  <w:style w:type="paragraph" w:styleId="ad">
    <w:name w:val="Date"/>
    <w:basedOn w:val="a3"/>
    <w:next w:val="a3"/>
    <w:link w:val="ae"/>
    <w:qFormat/>
    <w:pPr>
      <w:ind w:leftChars="2500" w:left="100"/>
    </w:pPr>
  </w:style>
  <w:style w:type="paragraph" w:styleId="af">
    <w:name w:val="footer"/>
    <w:basedOn w:val="a3"/>
    <w:link w:val="af0"/>
    <w:uiPriority w:val="99"/>
    <w:qFormat/>
    <w:pPr>
      <w:tabs>
        <w:tab w:val="center" w:pos="4153"/>
        <w:tab w:val="right" w:pos="8306"/>
      </w:tabs>
      <w:snapToGrid w:val="0"/>
      <w:jc w:val="left"/>
    </w:pPr>
    <w:rPr>
      <w:sz w:val="18"/>
      <w:szCs w:val="18"/>
      <w:lang w:val="zh-CN"/>
    </w:rPr>
  </w:style>
  <w:style w:type="paragraph" w:styleId="af1">
    <w:name w:val="header"/>
    <w:basedOn w:val="a3"/>
    <w:link w:val="af2"/>
    <w:uiPriority w:val="99"/>
    <w:qFormat/>
    <w:pPr>
      <w:pBdr>
        <w:bottom w:val="single" w:sz="6" w:space="1" w:color="auto"/>
      </w:pBdr>
      <w:tabs>
        <w:tab w:val="center" w:pos="4153"/>
        <w:tab w:val="right" w:pos="8306"/>
      </w:tabs>
      <w:snapToGrid w:val="0"/>
      <w:jc w:val="center"/>
    </w:pPr>
    <w:rPr>
      <w:sz w:val="18"/>
      <w:szCs w:val="18"/>
      <w:lang w:val="zh-CN"/>
    </w:rPr>
  </w:style>
  <w:style w:type="paragraph" w:styleId="af3">
    <w:name w:val="Subtitle"/>
    <w:basedOn w:val="a3"/>
    <w:next w:val="a3"/>
    <w:link w:val="af4"/>
    <w:qFormat/>
    <w:pPr>
      <w:spacing w:line="312" w:lineRule="auto"/>
      <w:ind w:leftChars="100" w:left="240" w:rightChars="100" w:right="100"/>
      <w:jc w:val="left"/>
      <w:outlineLvl w:val="1"/>
    </w:pPr>
    <w:rPr>
      <w:rFonts w:ascii="Cambria" w:hAnsi="Cambria"/>
      <w:bCs/>
      <w:kern w:val="28"/>
      <w:sz w:val="24"/>
      <w:szCs w:val="32"/>
    </w:rPr>
  </w:style>
  <w:style w:type="paragraph" w:styleId="HTML">
    <w:name w:val="HTML Preformatted"/>
    <w:basedOn w:val="a3"/>
    <w:qFormat/>
    <w:pPr>
      <w:spacing w:line="312" w:lineRule="auto"/>
    </w:pPr>
    <w:rPr>
      <w:rFonts w:ascii="Courier New" w:hAnsi="Courier New" w:cs="Courier New"/>
      <w:sz w:val="20"/>
      <w:szCs w:val="20"/>
    </w:rPr>
  </w:style>
  <w:style w:type="paragraph" w:styleId="af5">
    <w:name w:val="Normal (Web)"/>
    <w:basedOn w:val="a3"/>
    <w:rPr>
      <w:sz w:val="24"/>
    </w:rPr>
  </w:style>
  <w:style w:type="table" w:styleId="af6">
    <w:name w:val="Table Grid"/>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5"/>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5"/>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page number"/>
    <w:basedOn w:val="a4"/>
    <w:qFormat/>
  </w:style>
  <w:style w:type="character" w:styleId="af9">
    <w:name w:val="Emphasis"/>
    <w:qFormat/>
    <w:rPr>
      <w:color w:val="CC0033"/>
    </w:rPr>
  </w:style>
  <w:style w:type="character" w:styleId="afa">
    <w:name w:val="Hyperlink"/>
    <w:unhideWhenUsed/>
    <w:qFormat/>
    <w:rPr>
      <w:color w:val="0000FF"/>
      <w:u w:val="single"/>
    </w:rPr>
  </w:style>
  <w:style w:type="character" w:customStyle="1" w:styleId="20">
    <w:name w:val="标题 2 字符"/>
    <w:link w:val="2"/>
    <w:qFormat/>
    <w:rPr>
      <w:rFonts w:ascii="Arial" w:eastAsia="宋体" w:hAnsi="Arial"/>
      <w:b/>
      <w:bCs/>
      <w:kern w:val="2"/>
      <w:sz w:val="24"/>
      <w:szCs w:val="32"/>
      <w:lang w:val="zh-CN" w:eastAsia="zh-CN" w:bidi="ar-SA"/>
    </w:rPr>
  </w:style>
  <w:style w:type="paragraph" w:customStyle="1" w:styleId="CharCharCharCharCharCharCharCharCharCharCharCharCharCharCharCharCharCharCharCharChar">
    <w:name w:val="Char Char Char Char Char Char Char Char Char Char Char Char Char Char Char Char Char Char Char Char Char"/>
    <w:basedOn w:val="a3"/>
    <w:qFormat/>
    <w:pPr>
      <w:spacing w:line="360" w:lineRule="auto"/>
      <w:ind w:left="420"/>
    </w:pPr>
  </w:style>
  <w:style w:type="character" w:customStyle="1" w:styleId="style111">
    <w:name w:val="style111"/>
    <w:qFormat/>
    <w:rPr>
      <w:sz w:val="24"/>
      <w:szCs w:val="24"/>
    </w:rPr>
  </w:style>
  <w:style w:type="character" w:customStyle="1" w:styleId="apple-style-span">
    <w:name w:val="apple-style-span"/>
    <w:basedOn w:val="a4"/>
    <w:qFormat/>
  </w:style>
  <w:style w:type="character" w:customStyle="1" w:styleId="af4">
    <w:name w:val="副标题 字符"/>
    <w:link w:val="af3"/>
    <w:qFormat/>
    <w:rPr>
      <w:rFonts w:ascii="Cambria" w:eastAsia="宋体" w:hAnsi="Cambria"/>
      <w:bCs/>
      <w:kern w:val="28"/>
      <w:sz w:val="24"/>
      <w:szCs w:val="32"/>
      <w:lang w:val="en-US" w:eastAsia="zh-CN" w:bidi="ar-SA"/>
    </w:rPr>
  </w:style>
  <w:style w:type="paragraph" w:styleId="afb">
    <w:name w:val="List Paragraph"/>
    <w:basedOn w:val="a3"/>
    <w:uiPriority w:val="34"/>
    <w:qFormat/>
    <w:pPr>
      <w:widowControl/>
      <w:ind w:left="720" w:firstLine="360"/>
      <w:contextualSpacing/>
      <w:jc w:val="left"/>
    </w:pPr>
    <w:rPr>
      <w:rFonts w:ascii="Calibri" w:hAnsi="Calibri"/>
      <w:kern w:val="0"/>
      <w:sz w:val="22"/>
      <w:szCs w:val="22"/>
      <w:lang w:eastAsia="en-US" w:bidi="en-US"/>
    </w:rPr>
  </w:style>
  <w:style w:type="character" w:customStyle="1" w:styleId="ac">
    <w:name w:val="纯文本 字符"/>
    <w:link w:val="ab"/>
    <w:qFormat/>
    <w:rPr>
      <w:rFonts w:ascii="宋体" w:hAnsi="Courier New"/>
      <w:kern w:val="2"/>
      <w:sz w:val="21"/>
      <w:lang w:val="zh-CN" w:eastAsia="zh-CN"/>
    </w:rPr>
  </w:style>
  <w:style w:type="character" w:customStyle="1" w:styleId="aa">
    <w:name w:val="正文文本缩进 字符"/>
    <w:link w:val="a9"/>
    <w:qFormat/>
    <w:rPr>
      <w:kern w:val="2"/>
      <w:sz w:val="21"/>
    </w:rPr>
  </w:style>
  <w:style w:type="character" w:customStyle="1" w:styleId="af2">
    <w:name w:val="页眉 字符"/>
    <w:link w:val="af1"/>
    <w:uiPriority w:val="99"/>
    <w:qFormat/>
    <w:rPr>
      <w:kern w:val="2"/>
      <w:sz w:val="18"/>
      <w:szCs w:val="18"/>
    </w:rPr>
  </w:style>
  <w:style w:type="character" w:customStyle="1" w:styleId="af0">
    <w:name w:val="页脚 字符"/>
    <w:link w:val="af"/>
    <w:uiPriority w:val="99"/>
    <w:qFormat/>
    <w:rPr>
      <w:kern w:val="2"/>
      <w:sz w:val="18"/>
      <w:szCs w:val="18"/>
    </w:rPr>
  </w:style>
  <w:style w:type="character" w:customStyle="1" w:styleId="ae">
    <w:name w:val="日期 字符"/>
    <w:link w:val="ad"/>
    <w:qFormat/>
    <w:rPr>
      <w:kern w:val="2"/>
      <w:sz w:val="21"/>
      <w:szCs w:val="24"/>
    </w:rPr>
  </w:style>
  <w:style w:type="paragraph" w:customStyle="1" w:styleId="afc">
    <w:name w:val="标准文件_段"/>
    <w:qFormat/>
    <w:pPr>
      <w:autoSpaceDE w:val="0"/>
      <w:autoSpaceDN w:val="0"/>
      <w:adjustRightInd w:val="0"/>
      <w:snapToGrid w:val="0"/>
      <w:spacing w:line="360" w:lineRule="auto"/>
      <w:ind w:firstLineChars="200" w:firstLine="488"/>
    </w:pPr>
    <w:rPr>
      <w:color w:val="000000"/>
      <w:spacing w:val="2"/>
      <w:sz w:val="24"/>
      <w:szCs w:val="24"/>
    </w:rPr>
  </w:style>
  <w:style w:type="paragraph" w:customStyle="1" w:styleId="afd">
    <w:name w:val="标准文件_正文公式"/>
    <w:basedOn w:val="a3"/>
    <w:next w:val="a3"/>
    <w:qFormat/>
    <w:pPr>
      <w:tabs>
        <w:tab w:val="right" w:leader="middleDot" w:pos="0"/>
      </w:tabs>
      <w:adjustRightInd w:val="0"/>
      <w:spacing w:line="276" w:lineRule="auto"/>
      <w:jc w:val="right"/>
    </w:pPr>
    <w:rPr>
      <w:rFonts w:ascii="宋体"/>
      <w:szCs w:val="20"/>
    </w:rPr>
  </w:style>
  <w:style w:type="table" w:customStyle="1" w:styleId="12">
    <w:name w:val="网格型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批注文字 字符"/>
    <w:basedOn w:val="a4"/>
    <w:qFormat/>
    <w:rPr>
      <w:kern w:val="2"/>
      <w:sz w:val="21"/>
      <w:szCs w:val="24"/>
    </w:rPr>
  </w:style>
  <w:style w:type="character" w:customStyle="1" w:styleId="10">
    <w:name w:val="批注文字 字符1"/>
    <w:link w:val="a8"/>
    <w:qFormat/>
    <w:rPr>
      <w:kern w:val="2"/>
      <w:sz w:val="24"/>
      <w:szCs w:val="24"/>
    </w:rPr>
  </w:style>
  <w:style w:type="paragraph" w:customStyle="1" w:styleId="a">
    <w:name w:val="标准文件_章标题"/>
    <w:next w:val="afc"/>
    <w:qFormat/>
    <w:pPr>
      <w:numPr>
        <w:ilvl w:val="1"/>
        <w:numId w:val="2"/>
      </w:numPr>
      <w:spacing w:beforeLines="100" w:before="100" w:afterLines="100" w:after="100"/>
      <w:jc w:val="both"/>
      <w:outlineLvl w:val="0"/>
    </w:pPr>
    <w:rPr>
      <w:rFonts w:ascii="黑体" w:eastAsia="黑体"/>
      <w:sz w:val="21"/>
    </w:rPr>
  </w:style>
  <w:style w:type="paragraph" w:customStyle="1" w:styleId="a0">
    <w:name w:val="标准文件_一级条标题"/>
    <w:basedOn w:val="a"/>
    <w:next w:val="afc"/>
    <w:qFormat/>
    <w:pPr>
      <w:numPr>
        <w:ilvl w:val="2"/>
      </w:numPr>
      <w:spacing w:beforeLines="50" w:before="50" w:afterLines="50" w:after="50"/>
      <w:outlineLvl w:val="1"/>
    </w:pPr>
  </w:style>
  <w:style w:type="paragraph" w:customStyle="1" w:styleId="aff">
    <w:name w:val="标准文件_一级无标题"/>
    <w:basedOn w:val="a0"/>
    <w:qFormat/>
    <w:pPr>
      <w:spacing w:beforeLines="0" w:before="0" w:afterLines="0" w:after="0"/>
      <w:outlineLvl w:val="9"/>
    </w:pPr>
    <w:rPr>
      <w:rFonts w:ascii="宋体" w:eastAsia="宋体"/>
    </w:rPr>
  </w:style>
  <w:style w:type="paragraph" w:customStyle="1" w:styleId="a1">
    <w:name w:val="标准文件_二级条标题"/>
    <w:next w:val="afc"/>
    <w:qFormat/>
    <w:pPr>
      <w:widowControl w:val="0"/>
      <w:numPr>
        <w:ilvl w:val="3"/>
        <w:numId w:val="2"/>
      </w:numPr>
      <w:spacing w:beforeLines="50" w:before="50" w:afterLines="50" w:after="50"/>
      <w:jc w:val="both"/>
      <w:outlineLvl w:val="2"/>
    </w:pPr>
    <w:rPr>
      <w:rFonts w:ascii="黑体" w:eastAsia="黑体"/>
      <w:sz w:val="21"/>
    </w:rPr>
  </w:style>
  <w:style w:type="paragraph" w:customStyle="1" w:styleId="a2">
    <w:name w:val="标准文件_三级条标题"/>
    <w:basedOn w:val="a1"/>
    <w:next w:val="afc"/>
    <w:qFormat/>
    <w:pPr>
      <w:widowControl/>
      <w:numPr>
        <w:ilvl w:val="4"/>
      </w:num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1245</Words>
  <Characters>1334</Characters>
  <Application>Microsoft Office Word</Application>
  <DocSecurity>0</DocSecurity>
  <Lines>66</Lines>
  <Paragraphs>61</Paragraphs>
  <ScaleCrop>false</ScaleCrop>
  <Company>freeman</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王继</dc:creator>
  <cp:lastModifiedBy>慧 许</cp:lastModifiedBy>
  <cp:revision>2</cp:revision>
  <dcterms:created xsi:type="dcterms:W3CDTF">2025-11-30T01:33:00Z</dcterms:created>
  <dcterms:modified xsi:type="dcterms:W3CDTF">2025-11-30T01:33:00Z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19C30AA45E62447189DB39489A4381E8</vt:lpwstr>
  </property>
  <property fmtid="{D5CDD505-2E9C-101B-9397-08002B2CF9AE}" pid="4" name="KSOTemplateDocerSaveRecord">
    <vt:lpwstr>eyJoZGlkIjoiNzhlY2MzODRjMjJhNjE5ZWQwN2YyM2QyN2JhNGRjODMiLCJ1c2VySWQiOiIyODU0OTMwODYifQ==</vt:lpwstr>
  </property>
</Properties>
</file>