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 国 计 量 协 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hint="eastAsia"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全血检验白细胞项目基于患者数据的质量控制算法溯源方法</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A Traceable Method of Patient-based Real-time Quality Control Algorithms for Value of Whole Blood WBC</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bookmarkStart w:id="85" w:name="_GoBack"/>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bookmarkEnd w:id="85"/>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 国 计 量 协 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360"/>
      </w:pPr>
      <w:bookmarkStart w:id="21" w:name="BookMark1"/>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"_Toc215387077" </w:instrText>
      </w:r>
      <w:r>
        <w:fldChar w:fldCharType="separate"/>
      </w:r>
      <w:r>
        <w:rPr>
          <w:rStyle w:val="33"/>
          <w:rFonts w:hint="eastAsia"/>
          <w:spacing w:val="320"/>
        </w:rPr>
        <w:t>前</w:t>
      </w:r>
      <w:r>
        <w:rPr>
          <w:rStyle w:val="33"/>
          <w:rFonts w:hint="eastAsia"/>
        </w:rPr>
        <w:t>言</w:t>
      </w:r>
      <w:r>
        <w:rPr>
          <w:rFonts w:hint="eastAsia"/>
        </w:rPr>
        <w:tab/>
      </w:r>
      <w:r>
        <w:rPr>
          <w:rFonts w:hint="eastAsia"/>
        </w:rPr>
        <w:fldChar w:fldCharType="begin"/>
      </w:r>
      <w:r>
        <w:rPr>
          <w:rFonts w:hint="eastAsia"/>
        </w:rPr>
        <w:instrText xml:space="preserve"> </w:instrText>
      </w:r>
      <w:r>
        <w:instrText xml:space="preserve">PAGEREF _Toc215387077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"_Toc215387078" </w:instrText>
      </w:r>
      <w:r>
        <w:fldChar w:fldCharType="separate"/>
      </w:r>
      <w:r>
        <w:rPr>
          <w:rStyle w:val="33"/>
          <w:rFonts w:hint="eastAsia"/>
        </w:rPr>
        <w:t>1 范围</w:t>
      </w:r>
      <w:r>
        <w:rPr>
          <w:rFonts w:hint="eastAsia"/>
        </w:rPr>
        <w:tab/>
      </w:r>
      <w:r>
        <w:rPr>
          <w:rFonts w:hint="eastAsia"/>
        </w:rPr>
        <w:fldChar w:fldCharType="begin"/>
      </w:r>
      <w:r>
        <w:rPr>
          <w:rFonts w:hint="eastAsia"/>
        </w:rPr>
        <w:instrText xml:space="preserve"> </w:instrText>
      </w:r>
      <w:r>
        <w:instrText xml:space="preserve">PAGEREF _Toc215387078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"_Toc215387079" </w:instrText>
      </w:r>
      <w:r>
        <w:fldChar w:fldCharType="separate"/>
      </w:r>
      <w:r>
        <w:rPr>
          <w:rStyle w:val="33"/>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_Toc215387079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"_Toc215387080" </w:instrText>
      </w:r>
      <w:r>
        <w:fldChar w:fldCharType="separate"/>
      </w:r>
      <w:r>
        <w:rPr>
          <w:rStyle w:val="33"/>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_Toc215387080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"_Toc215387081" </w:instrText>
      </w:r>
      <w:r>
        <w:fldChar w:fldCharType="separate"/>
      </w:r>
      <w:r>
        <w:rPr>
          <w:rStyle w:val="33"/>
          <w:rFonts w:hint="eastAsia"/>
          <w14:scene3d w14:prst="orthographicFront">
            <w14:lightRig w14:rig="threePt" w14:dir="t">
              <w14:rot w14:lat="0" w14:lon="0" w14:rev="0"/>
            </w14:lightRig>
          </w14:scene3d>
        </w:rPr>
        <w:t>3.1</w:t>
      </w:r>
      <w:r>
        <w:rPr>
          <w:rStyle w:val="33"/>
          <w:rFonts w:hint="eastAsia"/>
        </w:rPr>
        <w:t xml:space="preserve"> 质量控制</w:t>
      </w:r>
      <w:r>
        <w:rPr>
          <w:rFonts w:hint="eastAsia"/>
        </w:rPr>
        <w:tab/>
      </w:r>
      <w:r>
        <w:rPr>
          <w:rFonts w:hint="eastAsia"/>
        </w:rPr>
        <w:fldChar w:fldCharType="begin"/>
      </w:r>
      <w:r>
        <w:rPr>
          <w:rFonts w:hint="eastAsia"/>
        </w:rPr>
        <w:instrText xml:space="preserve"> </w:instrText>
      </w:r>
      <w:r>
        <w:instrText xml:space="preserve">PAGEREF _Toc215387081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"_Toc215387082" </w:instrText>
      </w:r>
      <w:r>
        <w:fldChar w:fldCharType="separate"/>
      </w:r>
      <w:r>
        <w:rPr>
          <w:rStyle w:val="33"/>
          <w:rFonts w:hint="eastAsia"/>
          <w14:scene3d w14:prst="orthographicFront">
            <w14:lightRig w14:rig="threePt" w14:dir="t">
              <w14:rot w14:lat="0" w14:lon="0" w14:rev="0"/>
            </w14:lightRig>
          </w14:scene3d>
        </w:rPr>
        <w:t>3.2</w:t>
      </w:r>
      <w:r>
        <w:rPr>
          <w:rStyle w:val="33"/>
          <w:rFonts w:hint="eastAsia"/>
        </w:rPr>
        <w:t xml:space="preserve"> 质量控制算法</w:t>
      </w:r>
      <w:r>
        <w:rPr>
          <w:rFonts w:hint="eastAsia"/>
        </w:rPr>
        <w:tab/>
      </w:r>
      <w:r>
        <w:rPr>
          <w:rFonts w:hint="eastAsia"/>
        </w:rPr>
        <w:fldChar w:fldCharType="begin"/>
      </w:r>
      <w:r>
        <w:rPr>
          <w:rFonts w:hint="eastAsia"/>
        </w:rPr>
        <w:instrText xml:space="preserve"> </w:instrText>
      </w:r>
      <w:r>
        <w:instrText xml:space="preserve">PAGEREF _Toc215387082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"_Toc215387083" </w:instrText>
      </w:r>
      <w:r>
        <w:fldChar w:fldCharType="separate"/>
      </w:r>
      <w:r>
        <w:rPr>
          <w:rStyle w:val="33"/>
          <w:rFonts w:hint="eastAsia"/>
          <w14:scene3d w14:prst="orthographicFront">
            <w14:lightRig w14:rig="threePt" w14:dir="t">
              <w14:rot w14:lat="0" w14:lon="0" w14:rev="0"/>
            </w14:lightRig>
          </w14:scene3d>
        </w:rPr>
        <w:t>3.3</w:t>
      </w:r>
      <w:r>
        <w:rPr>
          <w:rStyle w:val="33"/>
          <w:rFonts w:hint="eastAsia"/>
        </w:rPr>
        <w:t xml:space="preserve"> 失控状态</w:t>
      </w:r>
      <w:r>
        <w:rPr>
          <w:rFonts w:hint="eastAsia"/>
        </w:rPr>
        <w:tab/>
      </w:r>
      <w:r>
        <w:rPr>
          <w:rFonts w:hint="eastAsia"/>
        </w:rPr>
        <w:fldChar w:fldCharType="begin"/>
      </w:r>
      <w:r>
        <w:rPr>
          <w:rFonts w:hint="eastAsia"/>
        </w:rPr>
        <w:instrText xml:space="preserve"> </w:instrText>
      </w:r>
      <w:r>
        <w:instrText xml:space="preserve">PAGEREF _Toc215387083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"_Toc215387084" </w:instrText>
      </w:r>
      <w:r>
        <w:fldChar w:fldCharType="separate"/>
      </w:r>
      <w:r>
        <w:rPr>
          <w:rStyle w:val="33"/>
          <w:rFonts w:hint="eastAsia"/>
          <w14:scene3d w14:prst="orthographicFront">
            <w14:lightRig w14:rig="threePt" w14:dir="t">
              <w14:rot w14:lat="0" w14:lon="0" w14:rev="0"/>
            </w14:lightRig>
          </w14:scene3d>
        </w:rPr>
        <w:t>3.4</w:t>
      </w:r>
      <w:r>
        <w:rPr>
          <w:rStyle w:val="33"/>
          <w:rFonts w:hint="eastAsia"/>
        </w:rPr>
        <w:t xml:space="preserve"> 在控状态</w:t>
      </w:r>
      <w:r>
        <w:rPr>
          <w:rFonts w:hint="eastAsia"/>
        </w:rPr>
        <w:tab/>
      </w:r>
      <w:r>
        <w:rPr>
          <w:rFonts w:hint="eastAsia"/>
        </w:rPr>
        <w:fldChar w:fldCharType="begin"/>
      </w:r>
      <w:r>
        <w:rPr>
          <w:rFonts w:hint="eastAsia"/>
        </w:rPr>
        <w:instrText xml:space="preserve"> </w:instrText>
      </w:r>
      <w:r>
        <w:instrText xml:space="preserve">PAGEREF _Toc215387084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"_Toc215387085" </w:instrText>
      </w:r>
      <w:r>
        <w:fldChar w:fldCharType="separate"/>
      </w:r>
      <w:r>
        <w:rPr>
          <w:rStyle w:val="33"/>
          <w:rFonts w:hint="eastAsia"/>
          <w14:scene3d w14:prst="orthographicFront">
            <w14:lightRig w14:rig="threePt" w14:dir="t">
              <w14:rot w14:lat="0" w14:lon="0" w14:rev="0"/>
            </w14:lightRig>
          </w14:scene3d>
        </w:rPr>
        <w:t>3.5</w:t>
      </w:r>
      <w:r>
        <w:rPr>
          <w:rStyle w:val="33"/>
          <w:rFonts w:hint="eastAsia"/>
        </w:rPr>
        <w:t xml:space="preserve"> 控制限</w:t>
      </w:r>
      <w:r>
        <w:rPr>
          <w:rFonts w:hint="eastAsia"/>
        </w:rPr>
        <w:tab/>
      </w:r>
      <w:r>
        <w:rPr>
          <w:rFonts w:hint="eastAsia"/>
        </w:rPr>
        <w:fldChar w:fldCharType="begin"/>
      </w:r>
      <w:r>
        <w:rPr>
          <w:rFonts w:hint="eastAsia"/>
        </w:rPr>
        <w:instrText xml:space="preserve"> </w:instrText>
      </w:r>
      <w:r>
        <w:instrText xml:space="preserve">PAGEREF _Toc215387085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"_Toc215387086" </w:instrText>
      </w:r>
      <w:r>
        <w:fldChar w:fldCharType="separate"/>
      </w:r>
      <w:r>
        <w:rPr>
          <w:rStyle w:val="33"/>
          <w:rFonts w:hint="eastAsia"/>
          <w14:scene3d w14:prst="orthographicFront">
            <w14:lightRig w14:rig="threePt" w14:dir="t">
              <w14:rot w14:lat="0" w14:lon="0" w14:rev="0"/>
            </w14:lightRig>
          </w14:scene3d>
        </w:rPr>
        <w:t>3.6</w:t>
      </w:r>
      <w:r>
        <w:rPr>
          <w:rStyle w:val="33"/>
          <w:rFonts w:hint="eastAsia"/>
        </w:rPr>
        <w:t xml:space="preserve"> 不精密度</w:t>
      </w:r>
      <w:r>
        <w:rPr>
          <w:rFonts w:hint="eastAsia"/>
        </w:rPr>
        <w:tab/>
      </w:r>
      <w:r>
        <w:rPr>
          <w:rFonts w:hint="eastAsia"/>
        </w:rPr>
        <w:fldChar w:fldCharType="begin"/>
      </w:r>
      <w:r>
        <w:rPr>
          <w:rFonts w:hint="eastAsia"/>
        </w:rPr>
        <w:instrText xml:space="preserve"> </w:instrText>
      </w:r>
      <w:r>
        <w:instrText xml:space="preserve">PAGEREF _Toc215387086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"_Toc215387087" </w:instrText>
      </w:r>
      <w:r>
        <w:fldChar w:fldCharType="separate"/>
      </w:r>
      <w:r>
        <w:rPr>
          <w:rStyle w:val="33"/>
          <w:rFonts w:hint="eastAsia"/>
          <w14:scene3d w14:prst="orthographicFront">
            <w14:lightRig w14:rig="threePt" w14:dir="t">
              <w14:rot w14:lat="0" w14:lon="0" w14:rev="0"/>
            </w14:lightRig>
          </w14:scene3d>
        </w:rPr>
        <w:t>3.7</w:t>
      </w:r>
      <w:r>
        <w:rPr>
          <w:rStyle w:val="33"/>
          <w:rFonts w:hint="eastAsia"/>
        </w:rPr>
        <w:t xml:space="preserve"> 允许总误差</w:t>
      </w:r>
      <w:r>
        <w:rPr>
          <w:rFonts w:hint="eastAsia"/>
        </w:rPr>
        <w:tab/>
      </w:r>
      <w:r>
        <w:rPr>
          <w:rFonts w:hint="eastAsia"/>
        </w:rPr>
        <w:fldChar w:fldCharType="begin"/>
      </w:r>
      <w:r>
        <w:rPr>
          <w:rFonts w:hint="eastAsia"/>
        </w:rPr>
        <w:instrText xml:space="preserve"> </w:instrText>
      </w:r>
      <w:r>
        <w:instrText xml:space="preserve">PAGEREF _Toc215387087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"_Toc215387088" </w:instrText>
      </w:r>
      <w:r>
        <w:fldChar w:fldCharType="separate"/>
      </w:r>
      <w:r>
        <w:rPr>
          <w:rStyle w:val="33"/>
          <w:rFonts w:hint="eastAsia"/>
          <w14:scene3d w14:prst="orthographicFront">
            <w14:lightRig w14:rig="threePt" w14:dir="t">
              <w14:rot w14:lat="0" w14:lon="0" w14:rev="0"/>
            </w14:lightRig>
          </w14:scene3d>
        </w:rPr>
        <w:t>3.8</w:t>
      </w:r>
      <w:r>
        <w:rPr>
          <w:rStyle w:val="33"/>
          <w:rFonts w:hint="eastAsia"/>
        </w:rPr>
        <w:t xml:space="preserve"> 特异性</w:t>
      </w:r>
      <w:r>
        <w:rPr>
          <w:rFonts w:hint="eastAsia"/>
        </w:rPr>
        <w:tab/>
      </w:r>
      <w:r>
        <w:rPr>
          <w:rFonts w:hint="eastAsia"/>
        </w:rPr>
        <w:fldChar w:fldCharType="begin"/>
      </w:r>
      <w:r>
        <w:rPr>
          <w:rFonts w:hint="eastAsia"/>
        </w:rPr>
        <w:instrText xml:space="preserve"> </w:instrText>
      </w:r>
      <w:r>
        <w:instrText xml:space="preserve">PAGEREF _Toc215387088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"_Toc215387089" </w:instrText>
      </w:r>
      <w:r>
        <w:fldChar w:fldCharType="separate"/>
      </w:r>
      <w:r>
        <w:rPr>
          <w:rStyle w:val="33"/>
          <w:rFonts w:hint="eastAsia"/>
          <w14:scene3d w14:prst="orthographicFront">
            <w14:lightRig w14:rig="threePt" w14:dir="t">
              <w14:rot w14:lat="0" w14:lon="0" w14:rev="0"/>
            </w14:lightRig>
          </w14:scene3d>
        </w:rPr>
        <w:t>3.9</w:t>
      </w:r>
      <w:r>
        <w:rPr>
          <w:rStyle w:val="33"/>
          <w:rFonts w:hint="eastAsia"/>
        </w:rPr>
        <w:t xml:space="preserve"> 敏感度</w:t>
      </w:r>
      <w:r>
        <w:rPr>
          <w:rFonts w:hint="eastAsia"/>
        </w:rPr>
        <w:tab/>
      </w:r>
      <w:r>
        <w:rPr>
          <w:rFonts w:hint="eastAsia"/>
        </w:rPr>
        <w:fldChar w:fldCharType="begin"/>
      </w:r>
      <w:r>
        <w:rPr>
          <w:rFonts w:hint="eastAsia"/>
        </w:rPr>
        <w:instrText xml:space="preserve"> </w:instrText>
      </w:r>
      <w:r>
        <w:instrText xml:space="preserve">PAGEREF _Toc215387089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"_Toc215387090" </w:instrText>
      </w:r>
      <w:r>
        <w:fldChar w:fldCharType="separate"/>
      </w:r>
      <w:r>
        <w:rPr>
          <w:rStyle w:val="33"/>
          <w:rFonts w:hint="eastAsia"/>
          <w14:scene3d w14:prst="orthographicFront">
            <w14:lightRig w14:rig="threePt" w14:dir="t">
              <w14:rot w14:lat="0" w14:lon="0" w14:rev="0"/>
            </w14:lightRig>
          </w14:scene3d>
        </w:rPr>
        <w:t>3.10</w:t>
      </w:r>
      <w:r>
        <w:rPr>
          <w:rStyle w:val="33"/>
          <w:rFonts w:hint="eastAsia"/>
        </w:rPr>
        <w:t xml:space="preserve"> 数字量具</w:t>
      </w:r>
      <w:r>
        <w:rPr>
          <w:rFonts w:hint="eastAsia"/>
        </w:rPr>
        <w:tab/>
      </w:r>
      <w:r>
        <w:rPr>
          <w:rFonts w:hint="eastAsia"/>
        </w:rPr>
        <w:fldChar w:fldCharType="begin"/>
      </w:r>
      <w:r>
        <w:rPr>
          <w:rFonts w:hint="eastAsia"/>
        </w:rPr>
        <w:instrText xml:space="preserve"> </w:instrText>
      </w:r>
      <w:r>
        <w:instrText xml:space="preserve">PAGEREF _Toc215387090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"_Toc215387091" </w:instrText>
      </w:r>
      <w:r>
        <w:fldChar w:fldCharType="separate"/>
      </w:r>
      <w:r>
        <w:rPr>
          <w:rStyle w:val="33"/>
          <w:rFonts w:hint="eastAsia"/>
        </w:rPr>
        <w:t>4 概述</w:t>
      </w:r>
      <w:r>
        <w:rPr>
          <w:rFonts w:hint="eastAsia"/>
        </w:rPr>
        <w:tab/>
      </w:r>
      <w:r>
        <w:rPr>
          <w:rFonts w:hint="eastAsia"/>
        </w:rPr>
        <w:fldChar w:fldCharType="begin"/>
      </w:r>
      <w:r>
        <w:rPr>
          <w:rFonts w:hint="eastAsia"/>
        </w:rPr>
        <w:instrText xml:space="preserve"> </w:instrText>
      </w:r>
      <w:r>
        <w:instrText xml:space="preserve">PAGEREF _Toc215387091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spacing w:line="300" w:lineRule="exact"/>
        <w:rPr>
          <w:rFonts w:hint="eastAsia" w:asciiTheme="minorHAnsi" w:hAnsiTheme="minorHAnsi" w:eastAsiaTheme="minorEastAsia" w:cstheme="minorBidi"/>
          <w:sz w:val="22"/>
          <w:szCs w:val="24"/>
          <w14:ligatures w14:val="standardContextual"/>
        </w:rPr>
      </w:pPr>
      <w:r>
        <w:fldChar w:fldCharType="begin"/>
      </w:r>
      <w:r>
        <w:instrText xml:space="preserve"> HYPERLINK \l "_Toc215387092" </w:instrText>
      </w:r>
      <w:r>
        <w:fldChar w:fldCharType="separate"/>
      </w:r>
      <w:r>
        <w:rPr>
          <w:rStyle w:val="33"/>
          <w:rFonts w:hint="eastAsia"/>
        </w:rPr>
        <w:t>5 技术要求</w:t>
      </w:r>
      <w:r>
        <w:rPr>
          <w:rFonts w:hint="eastAsia"/>
        </w:rPr>
        <w:tab/>
      </w:r>
      <w:r>
        <w:rPr>
          <w:rFonts w:hint="eastAsia"/>
        </w:rPr>
        <w:fldChar w:fldCharType="begin"/>
      </w:r>
      <w:r>
        <w:rPr>
          <w:rFonts w:hint="eastAsia"/>
        </w:rPr>
        <w:instrText xml:space="preserve"> </w:instrText>
      </w:r>
      <w:r>
        <w:instrText xml:space="preserve">PAGEREF _Toc215387092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"_Toc215387093" </w:instrText>
      </w:r>
      <w:r>
        <w:fldChar w:fldCharType="separate"/>
      </w:r>
      <w:r>
        <w:rPr>
          <w:rStyle w:val="33"/>
          <w:rFonts w:hint="eastAsia"/>
          <w14:scene3d w14:prst="orthographicFront">
            <w14:lightRig w14:rig="threePt" w14:dir="t">
              <w14:rot w14:lat="0" w14:lon="0" w14:rev="0"/>
            </w14:lightRig>
          </w14:scene3d>
        </w:rPr>
        <w:t>5.1</w:t>
      </w:r>
      <w:r>
        <w:rPr>
          <w:rStyle w:val="33"/>
          <w:rFonts w:hint="eastAsia"/>
        </w:rPr>
        <w:t xml:space="preserve"> 假性失控率</w:t>
      </w:r>
      <w:r>
        <w:rPr>
          <w:rFonts w:hint="eastAsia"/>
        </w:rPr>
        <w:tab/>
      </w:r>
      <w:r>
        <w:rPr>
          <w:rFonts w:hint="eastAsia"/>
        </w:rPr>
        <w:fldChar w:fldCharType="begin"/>
      </w:r>
      <w:r>
        <w:rPr>
          <w:rFonts w:hint="eastAsia"/>
        </w:rPr>
        <w:instrText xml:space="preserve"> </w:instrText>
      </w:r>
      <w:r>
        <w:instrText xml:space="preserve">PAGEREF _Toc215387093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"_Toc215387094" </w:instrText>
      </w:r>
      <w:r>
        <w:fldChar w:fldCharType="separate"/>
      </w:r>
      <w:r>
        <w:rPr>
          <w:rStyle w:val="33"/>
          <w:rFonts w:hint="eastAsia"/>
          <w14:scene3d w14:prst="orthographicFront">
            <w14:lightRig w14:rig="threePt" w14:dir="t">
              <w14:rot w14:lat="0" w14:lon="0" w14:rev="0"/>
            </w14:lightRig>
          </w14:scene3d>
        </w:rPr>
        <w:t>5.2</w:t>
      </w:r>
      <w:r>
        <w:rPr>
          <w:rStyle w:val="33"/>
          <w:rFonts w:hint="eastAsia"/>
        </w:rPr>
        <w:t xml:space="preserve"> 误差检出率</w:t>
      </w:r>
      <w:r>
        <w:rPr>
          <w:rFonts w:hint="eastAsia"/>
        </w:rPr>
        <w:tab/>
      </w:r>
      <w:r>
        <w:rPr>
          <w:rFonts w:hint="eastAsia"/>
        </w:rPr>
        <w:fldChar w:fldCharType="begin"/>
      </w:r>
      <w:r>
        <w:rPr>
          <w:rFonts w:hint="eastAsia"/>
        </w:rPr>
        <w:instrText xml:space="preserve"> </w:instrText>
      </w:r>
      <w:r>
        <w:instrText xml:space="preserve">PAGEREF _Toc215387094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"_Toc215387095" </w:instrText>
      </w:r>
      <w:r>
        <w:fldChar w:fldCharType="separate"/>
      </w:r>
      <w:r>
        <w:rPr>
          <w:rStyle w:val="33"/>
          <w:rFonts w:hint="eastAsia"/>
          <w14:scene3d w14:prst="orthographicFront">
            <w14:lightRig w14:rig="threePt" w14:dir="t">
              <w14:rot w14:lat="0" w14:lon="0" w14:rev="0"/>
            </w14:lightRig>
          </w14:scene3d>
        </w:rPr>
        <w:t>5.3</w:t>
      </w:r>
      <w:r>
        <w:rPr>
          <w:rStyle w:val="33"/>
          <w:rFonts w:hint="eastAsia"/>
        </w:rPr>
        <w:t xml:space="preserve"> 错误报告患者检测结果数量中位值/平均值</w:t>
      </w:r>
      <w:r>
        <w:rPr>
          <w:rFonts w:hint="eastAsia"/>
        </w:rPr>
        <w:tab/>
      </w:r>
      <w:r>
        <w:rPr>
          <w:rFonts w:hint="eastAsia"/>
        </w:rPr>
        <w:fldChar w:fldCharType="begin"/>
      </w:r>
      <w:r>
        <w:rPr>
          <w:rFonts w:hint="eastAsia"/>
        </w:rPr>
        <w:instrText xml:space="preserve"> </w:instrText>
      </w:r>
      <w:r>
        <w:instrText xml:space="preserve">PAGEREF _Toc215387095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"_Toc215387096" </w:instrText>
      </w:r>
      <w:r>
        <w:fldChar w:fldCharType="separate"/>
      </w:r>
      <w:r>
        <w:rPr>
          <w:rStyle w:val="33"/>
          <w:rFonts w:hint="eastAsia"/>
          <w14:scene3d w14:prst="orthographicFront">
            <w14:lightRig w14:rig="threePt" w14:dir="t">
              <w14:rot w14:lat="0" w14:lon="0" w14:rev="0"/>
            </w14:lightRig>
          </w14:scene3d>
        </w:rPr>
        <w:t>5.4</w:t>
      </w:r>
      <w:r>
        <w:rPr>
          <w:rStyle w:val="33"/>
          <w:rFonts w:hint="eastAsia"/>
        </w:rPr>
        <w:t xml:space="preserve"> 算法评价值</w:t>
      </w:r>
      <w:r>
        <w:rPr>
          <w:rFonts w:hint="eastAsia"/>
        </w:rPr>
        <w:tab/>
      </w:r>
      <w:r>
        <w:rPr>
          <w:rFonts w:hint="eastAsia"/>
        </w:rPr>
        <w:fldChar w:fldCharType="begin"/>
      </w:r>
      <w:r>
        <w:rPr>
          <w:rFonts w:hint="eastAsia"/>
        </w:rPr>
        <w:instrText xml:space="preserve"> </w:instrText>
      </w:r>
      <w:r>
        <w:instrText xml:space="preserve">PAGEREF _Toc215387096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"_Toc215387097" </w:instrText>
      </w:r>
      <w:r>
        <w:fldChar w:fldCharType="separate"/>
      </w:r>
      <w:r>
        <w:rPr>
          <w:rStyle w:val="33"/>
          <w:rFonts w:hint="eastAsia"/>
        </w:rPr>
        <w:t>6 数字量具特性</w:t>
      </w:r>
      <w:r>
        <w:rPr>
          <w:rFonts w:hint="eastAsia"/>
        </w:rPr>
        <w:tab/>
      </w:r>
      <w:r>
        <w:rPr>
          <w:rFonts w:hint="eastAsia"/>
        </w:rPr>
        <w:fldChar w:fldCharType="begin"/>
      </w:r>
      <w:r>
        <w:rPr>
          <w:rFonts w:hint="eastAsia"/>
        </w:rPr>
        <w:instrText xml:space="preserve"> </w:instrText>
      </w:r>
      <w:r>
        <w:instrText xml:space="preserve">PAGEREF _Toc215387097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"_Toc215387098" </w:instrText>
      </w:r>
      <w:r>
        <w:fldChar w:fldCharType="separate"/>
      </w:r>
      <w:r>
        <w:rPr>
          <w:rStyle w:val="33"/>
          <w:rFonts w:hint="eastAsia"/>
          <w14:scene3d w14:prst="orthographicFront">
            <w14:lightRig w14:rig="threePt" w14:dir="t">
              <w14:rot w14:lat="0" w14:lon="0" w14:rev="0"/>
            </w14:lightRig>
          </w14:scene3d>
        </w:rPr>
        <w:t>6.1</w:t>
      </w:r>
      <w:r>
        <w:rPr>
          <w:rStyle w:val="33"/>
          <w:rFonts w:hint="eastAsia"/>
        </w:rPr>
        <w:t xml:space="preserve"> 白细胞质量在控数字量具</w:t>
      </w:r>
      <w:r>
        <w:rPr>
          <w:rFonts w:hint="eastAsia"/>
        </w:rPr>
        <w:tab/>
      </w:r>
      <w:r>
        <w:rPr>
          <w:rFonts w:hint="eastAsia"/>
        </w:rPr>
        <w:fldChar w:fldCharType="begin"/>
      </w:r>
      <w:r>
        <w:rPr>
          <w:rFonts w:hint="eastAsia"/>
        </w:rPr>
        <w:instrText xml:space="preserve"> </w:instrText>
      </w:r>
      <w:r>
        <w:instrText xml:space="preserve">PAGEREF _Toc215387098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"_Toc215387099" </w:instrText>
      </w:r>
      <w:r>
        <w:fldChar w:fldCharType="separate"/>
      </w:r>
      <w:r>
        <w:rPr>
          <w:rStyle w:val="33"/>
          <w:rFonts w:hint="eastAsia"/>
          <w14:scene3d w14:prst="orthographicFront">
            <w14:lightRig w14:rig="threePt" w14:dir="t">
              <w14:rot w14:lat="0" w14:lon="0" w14:rev="0"/>
            </w14:lightRig>
          </w14:scene3d>
        </w:rPr>
        <w:t>6.2</w:t>
      </w:r>
      <w:r>
        <w:rPr>
          <w:rStyle w:val="33"/>
          <w:rFonts w:hint="eastAsia"/>
        </w:rPr>
        <w:t xml:space="preserve"> 白细胞质量失控数字量具</w:t>
      </w:r>
      <w:r>
        <w:rPr>
          <w:rFonts w:hint="eastAsia"/>
        </w:rPr>
        <w:tab/>
      </w:r>
      <w:r>
        <w:rPr>
          <w:rFonts w:hint="eastAsia"/>
        </w:rPr>
        <w:fldChar w:fldCharType="begin"/>
      </w:r>
      <w:r>
        <w:rPr>
          <w:rFonts w:hint="eastAsia"/>
        </w:rPr>
        <w:instrText xml:space="preserve"> </w:instrText>
      </w:r>
      <w:r>
        <w:instrText xml:space="preserve">PAGEREF _Toc215387099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"_Toc215387100" </w:instrText>
      </w:r>
      <w:r>
        <w:fldChar w:fldCharType="separate"/>
      </w:r>
      <w:r>
        <w:rPr>
          <w:rStyle w:val="33"/>
          <w:rFonts w:hint="eastAsia"/>
        </w:rPr>
        <w:t>6.2.1 系统偏倚数字量具</w:t>
      </w:r>
      <w:r>
        <w:rPr>
          <w:rFonts w:hint="eastAsia"/>
        </w:rPr>
        <w:tab/>
      </w:r>
      <w:r>
        <w:rPr>
          <w:rFonts w:hint="eastAsia"/>
        </w:rPr>
        <w:fldChar w:fldCharType="begin"/>
      </w:r>
      <w:r>
        <w:rPr>
          <w:rFonts w:hint="eastAsia"/>
        </w:rPr>
        <w:instrText xml:space="preserve"> </w:instrText>
      </w:r>
      <w:r>
        <w:instrText xml:space="preserve">PAGEREF _Toc215387100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"_Toc215387101" </w:instrText>
      </w:r>
      <w:r>
        <w:fldChar w:fldCharType="separate"/>
      </w:r>
      <w:r>
        <w:rPr>
          <w:rStyle w:val="33"/>
          <w:rFonts w:hint="eastAsia"/>
        </w:rPr>
        <w:t>6.2.2 随机失控数字量具</w:t>
      </w:r>
      <w:r>
        <w:rPr>
          <w:rFonts w:hint="eastAsia"/>
        </w:rPr>
        <w:tab/>
      </w:r>
      <w:r>
        <w:rPr>
          <w:rFonts w:hint="eastAsia"/>
        </w:rPr>
        <w:fldChar w:fldCharType="begin"/>
      </w:r>
      <w:r>
        <w:rPr>
          <w:rFonts w:hint="eastAsia"/>
        </w:rPr>
        <w:instrText xml:space="preserve"> </w:instrText>
      </w:r>
      <w:r>
        <w:instrText xml:space="preserve">PAGEREF _Toc215387101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"_Toc215387102" </w:instrText>
      </w:r>
      <w:r>
        <w:fldChar w:fldCharType="separate"/>
      </w:r>
      <w:r>
        <w:rPr>
          <w:rStyle w:val="33"/>
          <w:rFonts w:hint="eastAsia"/>
        </w:rPr>
        <w:t>7 溯源时间及范围</w:t>
      </w:r>
      <w:r>
        <w:rPr>
          <w:rFonts w:hint="eastAsia"/>
        </w:rPr>
        <w:tab/>
      </w:r>
      <w:r>
        <w:rPr>
          <w:rFonts w:hint="eastAsia"/>
        </w:rPr>
        <w:fldChar w:fldCharType="begin"/>
      </w:r>
      <w:r>
        <w:rPr>
          <w:rFonts w:hint="eastAsia"/>
        </w:rPr>
        <w:instrText xml:space="preserve"> </w:instrText>
      </w:r>
      <w:r>
        <w:instrText xml:space="preserve">PAGEREF _Toc215387102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"_Toc215387103" </w:instrText>
      </w:r>
      <w:r>
        <w:fldChar w:fldCharType="separate"/>
      </w:r>
      <w:r>
        <w:rPr>
          <w:rStyle w:val="33"/>
          <w:rFonts w:hint="eastAsia"/>
          <w14:scene3d w14:prst="orthographicFront">
            <w14:lightRig w14:rig="threePt" w14:dir="t">
              <w14:rot w14:lat="0" w14:lon="0" w14:rev="0"/>
            </w14:lightRig>
          </w14:scene3d>
        </w:rPr>
        <w:t>7.1</w:t>
      </w:r>
      <w:r>
        <w:rPr>
          <w:rStyle w:val="33"/>
          <w:rFonts w:hint="eastAsia"/>
        </w:rPr>
        <w:t xml:space="preserve"> 首次核查</w:t>
      </w:r>
      <w:r>
        <w:rPr>
          <w:rFonts w:hint="eastAsia"/>
        </w:rPr>
        <w:tab/>
      </w:r>
      <w:r>
        <w:rPr>
          <w:rFonts w:hint="eastAsia"/>
        </w:rPr>
        <w:fldChar w:fldCharType="begin"/>
      </w:r>
      <w:r>
        <w:rPr>
          <w:rFonts w:hint="eastAsia"/>
        </w:rPr>
        <w:instrText xml:space="preserve"> </w:instrText>
      </w:r>
      <w:r>
        <w:instrText xml:space="preserve">PAGEREF _Toc215387103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"_Toc215387104" </w:instrText>
      </w:r>
      <w:r>
        <w:fldChar w:fldCharType="separate"/>
      </w:r>
      <w:r>
        <w:rPr>
          <w:rStyle w:val="33"/>
          <w:rFonts w:hint="eastAsia"/>
          <w14:scene3d w14:prst="orthographicFront">
            <w14:lightRig w14:rig="threePt" w14:dir="t">
              <w14:rot w14:lat="0" w14:lon="0" w14:rev="0"/>
            </w14:lightRig>
          </w14:scene3d>
        </w:rPr>
        <w:t>7.2</w:t>
      </w:r>
      <w:r>
        <w:rPr>
          <w:rStyle w:val="33"/>
          <w:rFonts w:hint="eastAsia"/>
        </w:rPr>
        <w:t xml:space="preserve"> 周期核查</w:t>
      </w:r>
      <w:r>
        <w:rPr>
          <w:rFonts w:hint="eastAsia"/>
        </w:rPr>
        <w:tab/>
      </w:r>
      <w:r>
        <w:rPr>
          <w:rFonts w:hint="eastAsia"/>
        </w:rPr>
        <w:fldChar w:fldCharType="begin"/>
      </w:r>
      <w:r>
        <w:rPr>
          <w:rFonts w:hint="eastAsia"/>
        </w:rPr>
        <w:instrText xml:space="preserve"> </w:instrText>
      </w:r>
      <w:r>
        <w:instrText xml:space="preserve">PAGEREF _Toc215387104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"_Toc215387105" </w:instrText>
      </w:r>
      <w:r>
        <w:fldChar w:fldCharType="separate"/>
      </w:r>
      <w:r>
        <w:rPr>
          <w:rStyle w:val="33"/>
          <w:rFonts w:hint="eastAsia"/>
          <w14:scene3d w14:prst="orthographicFront">
            <w14:lightRig w14:rig="threePt" w14:dir="t">
              <w14:rot w14:lat="0" w14:lon="0" w14:rev="0"/>
            </w14:lightRig>
          </w14:scene3d>
        </w:rPr>
        <w:t>7.3</w:t>
      </w:r>
      <w:r>
        <w:rPr>
          <w:rStyle w:val="33"/>
          <w:rFonts w:hint="eastAsia"/>
        </w:rPr>
        <w:t xml:space="preserve"> 关键点核查</w:t>
      </w:r>
      <w:r>
        <w:rPr>
          <w:rFonts w:hint="eastAsia"/>
        </w:rPr>
        <w:tab/>
      </w:r>
      <w:r>
        <w:rPr>
          <w:rFonts w:hint="eastAsia"/>
        </w:rPr>
        <w:fldChar w:fldCharType="begin"/>
      </w:r>
      <w:r>
        <w:rPr>
          <w:rFonts w:hint="eastAsia"/>
        </w:rPr>
        <w:instrText xml:space="preserve"> </w:instrText>
      </w:r>
      <w:r>
        <w:instrText xml:space="preserve">PAGEREF _Toc215387105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"_Toc215387106" </w:instrText>
      </w:r>
      <w:r>
        <w:fldChar w:fldCharType="separate"/>
      </w:r>
      <w:r>
        <w:rPr>
          <w:rStyle w:val="33"/>
          <w:rFonts w:hint="eastAsia"/>
        </w:rPr>
        <w:t>8 溯源方法</w:t>
      </w:r>
      <w:r>
        <w:rPr>
          <w:rFonts w:hint="eastAsia"/>
        </w:rPr>
        <w:tab/>
      </w:r>
      <w:r>
        <w:rPr>
          <w:rFonts w:hint="eastAsia"/>
        </w:rPr>
        <w:fldChar w:fldCharType="begin"/>
      </w:r>
      <w:r>
        <w:rPr>
          <w:rFonts w:hint="eastAsia"/>
        </w:rPr>
        <w:instrText xml:space="preserve"> </w:instrText>
      </w:r>
      <w:r>
        <w:instrText xml:space="preserve">PAGEREF _Toc215387106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"_Toc215387107" </w:instrText>
      </w:r>
      <w:r>
        <w:fldChar w:fldCharType="separate"/>
      </w:r>
      <w:r>
        <w:rPr>
          <w:rStyle w:val="33"/>
          <w:rFonts w:hint="eastAsia"/>
          <w14:scene3d w14:prst="orthographicFront">
            <w14:lightRig w14:rig="threePt" w14:dir="t">
              <w14:rot w14:lat="0" w14:lon="0" w14:rev="0"/>
            </w14:lightRig>
          </w14:scene3d>
        </w:rPr>
        <w:t>8.1</w:t>
      </w:r>
      <w:r>
        <w:rPr>
          <w:rStyle w:val="33"/>
          <w:rFonts w:hint="eastAsia"/>
        </w:rPr>
        <w:t xml:space="preserve"> 假性失控率</w:t>
      </w:r>
      <w:r>
        <w:rPr>
          <w:rFonts w:hint="eastAsia"/>
        </w:rPr>
        <w:tab/>
      </w:r>
      <w:r>
        <w:rPr>
          <w:rFonts w:hint="eastAsia"/>
        </w:rPr>
        <w:fldChar w:fldCharType="begin"/>
      </w:r>
      <w:r>
        <w:rPr>
          <w:rFonts w:hint="eastAsia"/>
        </w:rPr>
        <w:instrText xml:space="preserve"> </w:instrText>
      </w:r>
      <w:r>
        <w:instrText xml:space="preserve">PAGEREF _Toc215387107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"_Toc215387108" </w:instrText>
      </w:r>
      <w:r>
        <w:fldChar w:fldCharType="separate"/>
      </w:r>
      <w:r>
        <w:rPr>
          <w:rStyle w:val="33"/>
          <w:rFonts w:hint="eastAsia"/>
          <w14:scene3d w14:prst="orthographicFront">
            <w14:lightRig w14:rig="threePt" w14:dir="t">
              <w14:rot w14:lat="0" w14:lon="0" w14:rev="0"/>
            </w14:lightRig>
          </w14:scene3d>
        </w:rPr>
        <w:t>8.2</w:t>
      </w:r>
      <w:r>
        <w:rPr>
          <w:rStyle w:val="33"/>
          <w:rFonts w:hint="eastAsia"/>
        </w:rPr>
        <w:t xml:space="preserve"> 误差检出率</w:t>
      </w:r>
      <w:r>
        <w:rPr>
          <w:rFonts w:hint="eastAsia"/>
        </w:rPr>
        <w:tab/>
      </w:r>
      <w:r>
        <w:rPr>
          <w:rFonts w:hint="eastAsia"/>
        </w:rPr>
        <w:fldChar w:fldCharType="begin"/>
      </w:r>
      <w:r>
        <w:rPr>
          <w:rFonts w:hint="eastAsia"/>
        </w:rPr>
        <w:instrText xml:space="preserve"> </w:instrText>
      </w:r>
      <w:r>
        <w:instrText xml:space="preserve">PAGEREF _Toc215387108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"_Toc215387109" </w:instrText>
      </w:r>
      <w:r>
        <w:fldChar w:fldCharType="separate"/>
      </w:r>
      <w:r>
        <w:rPr>
          <w:rStyle w:val="33"/>
          <w:rFonts w:hint="eastAsia"/>
          <w14:scene3d w14:prst="orthographicFront">
            <w14:lightRig w14:rig="threePt" w14:dir="t">
              <w14:rot w14:lat="0" w14:lon="0" w14:rev="0"/>
            </w14:lightRig>
          </w14:scene3d>
        </w:rPr>
        <w:t>8.3</w:t>
      </w:r>
      <w:r>
        <w:rPr>
          <w:rStyle w:val="33"/>
          <w:rFonts w:hint="eastAsia"/>
        </w:rPr>
        <w:t xml:space="preserve"> 错误报告患者检测结果数量中位值/平均值</w:t>
      </w:r>
      <w:r>
        <w:rPr>
          <w:rFonts w:hint="eastAsia"/>
        </w:rPr>
        <w:tab/>
      </w:r>
      <w:r>
        <w:rPr>
          <w:rFonts w:hint="eastAsia"/>
        </w:rPr>
        <w:fldChar w:fldCharType="begin"/>
      </w:r>
      <w:r>
        <w:rPr>
          <w:rFonts w:hint="eastAsia"/>
        </w:rPr>
        <w:instrText xml:space="preserve"> </w:instrText>
      </w:r>
      <w:r>
        <w:instrText xml:space="preserve">PAGEREF _Toc215387109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"_Toc215387110" </w:instrText>
      </w:r>
      <w:r>
        <w:fldChar w:fldCharType="separate"/>
      </w:r>
      <w:r>
        <w:rPr>
          <w:rStyle w:val="33"/>
          <w:rFonts w:hint="eastAsia"/>
          <w14:scene3d w14:prst="orthographicFront">
            <w14:lightRig w14:rig="threePt" w14:dir="t">
              <w14:rot w14:lat="0" w14:lon="0" w14:rev="0"/>
            </w14:lightRig>
          </w14:scene3d>
        </w:rPr>
        <w:t>8.4</w:t>
      </w:r>
      <w:r>
        <w:rPr>
          <w:rStyle w:val="33"/>
          <w:rFonts w:hint="eastAsia"/>
        </w:rPr>
        <w:t xml:space="preserve"> 算法评价值</w:t>
      </w:r>
      <w:r>
        <w:rPr>
          <w:rFonts w:hint="eastAsia"/>
        </w:rPr>
        <w:tab/>
      </w:r>
      <w:r>
        <w:rPr>
          <w:rFonts w:hint="eastAsia"/>
        </w:rPr>
        <w:fldChar w:fldCharType="begin"/>
      </w:r>
      <w:r>
        <w:rPr>
          <w:rFonts w:hint="eastAsia"/>
        </w:rPr>
        <w:instrText xml:space="preserve"> </w:instrText>
      </w:r>
      <w:r>
        <w:instrText xml:space="preserve">PAGEREF _Toc215387110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"_Toc215387111" </w:instrText>
      </w:r>
      <w:r>
        <w:fldChar w:fldCharType="separate"/>
      </w:r>
      <w:r>
        <w:rPr>
          <w:rStyle w:val="33"/>
          <w:rFonts w:hint="eastAsia"/>
          <w:spacing w:val="100"/>
        </w:rPr>
        <w:t>附录A</w:t>
      </w:r>
      <w:r>
        <w:rPr>
          <w:rStyle w:val="33"/>
          <w:rFonts w:hint="eastAsia"/>
        </w:rPr>
        <w:t xml:space="preserve"> 比例偏倚溯源记录格式</w:t>
      </w:r>
      <w:r>
        <w:rPr>
          <w:rFonts w:hint="eastAsia"/>
        </w:rPr>
        <w:tab/>
      </w:r>
      <w:r>
        <w:rPr>
          <w:rFonts w:hint="eastAsia"/>
        </w:rPr>
        <w:fldChar w:fldCharType="begin"/>
      </w:r>
      <w:r>
        <w:rPr>
          <w:rFonts w:hint="eastAsia"/>
        </w:rPr>
        <w:instrText xml:space="preserve"> </w:instrText>
      </w:r>
      <w:r>
        <w:instrText xml:space="preserve">PAGEREF _Toc215387111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"_Toc215387112" </w:instrText>
      </w:r>
      <w:r>
        <w:fldChar w:fldCharType="separate"/>
      </w:r>
      <w:r>
        <w:rPr>
          <w:rStyle w:val="33"/>
          <w:rFonts w:hint="eastAsia"/>
          <w:spacing w:val="100"/>
        </w:rPr>
        <w:t>附录B</w:t>
      </w:r>
      <w:r>
        <w:rPr>
          <w:rStyle w:val="33"/>
          <w:rFonts w:hint="eastAsia"/>
        </w:rPr>
        <w:t xml:space="preserve"> 恒定偏倚溯源记录格式</w:t>
      </w:r>
      <w:r>
        <w:rPr>
          <w:rFonts w:hint="eastAsia"/>
        </w:rPr>
        <w:tab/>
      </w:r>
      <w:r>
        <w:rPr>
          <w:rFonts w:hint="eastAsia"/>
        </w:rPr>
        <w:fldChar w:fldCharType="begin"/>
      </w:r>
      <w:r>
        <w:rPr>
          <w:rFonts w:hint="eastAsia"/>
        </w:rPr>
        <w:instrText xml:space="preserve"> </w:instrText>
      </w:r>
      <w:r>
        <w:instrText xml:space="preserve">PAGEREF _Toc215387112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"_Toc215387113" </w:instrText>
      </w:r>
      <w:r>
        <w:fldChar w:fldCharType="separate"/>
      </w:r>
      <w:r>
        <w:rPr>
          <w:rStyle w:val="33"/>
          <w:rFonts w:hint="eastAsia"/>
          <w:spacing w:val="100"/>
        </w:rPr>
        <w:t>附录C</w:t>
      </w:r>
      <w:r>
        <w:rPr>
          <w:rStyle w:val="33"/>
          <w:rFonts w:hint="eastAsia"/>
        </w:rPr>
        <w:t xml:space="preserve"> 随机偏倚溯源记录格式</w:t>
      </w:r>
      <w:r>
        <w:rPr>
          <w:rFonts w:hint="eastAsia"/>
        </w:rPr>
        <w:tab/>
      </w:r>
      <w:r>
        <w:rPr>
          <w:rFonts w:hint="eastAsia"/>
        </w:rPr>
        <w:fldChar w:fldCharType="begin"/>
      </w:r>
      <w:r>
        <w:rPr>
          <w:rFonts w:hint="eastAsia"/>
        </w:rPr>
        <w:instrText xml:space="preserve"> </w:instrText>
      </w:r>
      <w:r>
        <w:instrText xml:space="preserve">PAGEREF _Toc215387113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92"/>
        <w:spacing w:after="36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21"/>
    <w:p>
      <w:pPr>
        <w:pStyle w:val="90"/>
        <w:spacing w:after="360"/>
      </w:pPr>
      <w:bookmarkStart w:id="22" w:name="_Toc215387077"/>
      <w:bookmarkStart w:id="23" w:name="BookMark2"/>
      <w:r>
        <w:rPr>
          <w:spacing w:val="320"/>
        </w:rPr>
        <w:t>前</w:t>
      </w:r>
      <w:r>
        <w:t>言</w:t>
      </w:r>
      <w:bookmarkEnd w:id="22"/>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w:t>
      </w:r>
      <w:r>
        <w:rPr>
          <w:rFonts w:hint="eastAsia"/>
          <w:color w:val="EE0000"/>
        </w:rPr>
        <w:t>中国计量协会</w:t>
      </w:r>
      <w:r>
        <w:rPr>
          <w:rFonts w:hint="eastAsia"/>
        </w:rPr>
        <w:t>提出。</w:t>
      </w:r>
    </w:p>
    <w:p>
      <w:pPr>
        <w:pStyle w:val="57"/>
        <w:ind w:firstLine="420"/>
      </w:pPr>
      <w:r>
        <w:rPr>
          <w:rFonts w:hint="eastAsia"/>
        </w:rPr>
        <w:t>本文件由</w:t>
      </w:r>
      <w:r>
        <w:rPr>
          <w:rFonts w:hint="eastAsia"/>
          <w:color w:val="EE0000"/>
        </w:rPr>
        <w:t>中国计量协会医学计量专业委员会</w:t>
      </w:r>
      <w:r>
        <w:rPr>
          <w:rFonts w:hint="eastAsia"/>
        </w:rPr>
        <w:t>归口。</w:t>
      </w:r>
    </w:p>
    <w:p>
      <w:pPr>
        <w:pStyle w:val="57"/>
        <w:ind w:firstLine="420"/>
      </w:pPr>
      <w:r>
        <w:rPr>
          <w:rFonts w:hint="eastAsia"/>
        </w:rPr>
        <w:t>本文件起草单位：内蒙古自治区计量测试研究院、内蒙古卫数数据科技有限公司、内蒙古自治区上医智检大数据研究院、内蒙古科技大学包头医学院第一附属医院、内蒙古自治区妇幼保健院、中国医科大学第二附属医院盛京医院、通辽市市场检验检测中心、包头市检验检测中心。</w:t>
      </w:r>
    </w:p>
    <w:p>
      <w:pPr>
        <w:pStyle w:val="57"/>
        <w:ind w:firstLine="420"/>
      </w:pPr>
      <w:r>
        <w:rPr>
          <w:rFonts w:hint="eastAsia"/>
        </w:rPr>
        <w:t>本文件主要起草人：许春彬、宋彪、王哲、罗海涛、贺娜、许慧、王翠峰、李勃妍、李耀宁、李敬珍、李霞。</w:t>
      </w:r>
    </w:p>
    <w:p>
      <w:pPr>
        <w:pStyle w:val="57"/>
        <w:ind w:firstLine="420"/>
      </w:pPr>
    </w:p>
    <w:p>
      <w:pPr>
        <w:pStyle w:val="57"/>
        <w:ind w:firstLine="420"/>
        <w:sectPr>
          <w:pgSz w:w="11906" w:h="16838"/>
          <w:pgMar w:top="2410" w:right="1134" w:bottom="1134" w:left="1134" w:header="1418" w:footer="1134" w:gutter="284"/>
          <w:pgNumType w:fmt="upperRoman"/>
          <w:cols w:space="425" w:num="1"/>
          <w:formProt w:val="0"/>
          <w:docGrid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4614A3D6AE8A41E28199D4B60DFCCD77"/>
        </w:placeholder>
      </w:sdtPr>
      <w:sdtContent>
        <w:p>
          <w:pPr>
            <w:pStyle w:val="178"/>
            <w:spacing w:before="2" w:beforeLines="1" w:after="528" w:afterLines="220"/>
            <w:rPr>
              <w:rFonts w:hint="eastAsia"/>
            </w:rPr>
          </w:pPr>
          <w:bookmarkStart w:id="25" w:name="NEW_STAND_NAME"/>
          <w:r>
            <w:rPr>
              <w:rFonts w:hint="eastAsia"/>
            </w:rPr>
            <w:t>全血检验白细胞项目基于患者数据的质量控制算法溯源方法</w:t>
          </w:r>
        </w:p>
      </w:sdtContent>
    </w:sdt>
    <w:bookmarkEnd w:id="25"/>
    <w:p>
      <w:pPr>
        <w:pStyle w:val="105"/>
        <w:spacing w:before="240" w:after="240"/>
      </w:pPr>
      <w:bookmarkStart w:id="26" w:name="_Toc26986530"/>
      <w:bookmarkStart w:id="27" w:name="_Toc26718930"/>
      <w:bookmarkStart w:id="28" w:name="_Toc17233333"/>
      <w:bookmarkStart w:id="29" w:name="_Toc26648465"/>
      <w:bookmarkStart w:id="30" w:name="_Toc17233325"/>
      <w:bookmarkStart w:id="31" w:name="_Toc24884211"/>
      <w:bookmarkStart w:id="32" w:name="_Toc24884218"/>
      <w:bookmarkStart w:id="33" w:name="_Toc26986771"/>
      <w:bookmarkStart w:id="34" w:name="_Toc215387078"/>
      <w:r>
        <w:rPr>
          <w:rFonts w:hint="eastAsia"/>
        </w:rPr>
        <w:t>范围</w:t>
      </w:r>
      <w:bookmarkEnd w:id="26"/>
      <w:bookmarkEnd w:id="27"/>
      <w:bookmarkEnd w:id="28"/>
      <w:bookmarkEnd w:id="29"/>
      <w:bookmarkEnd w:id="30"/>
      <w:bookmarkEnd w:id="31"/>
      <w:bookmarkEnd w:id="32"/>
      <w:bookmarkEnd w:id="33"/>
      <w:bookmarkEnd w:id="34"/>
    </w:p>
    <w:p>
      <w:pPr>
        <w:pStyle w:val="57"/>
        <w:ind w:firstLine="420"/>
      </w:pPr>
      <w:bookmarkStart w:id="35" w:name="_Toc24884212"/>
      <w:bookmarkStart w:id="36" w:name="_Toc17233326"/>
      <w:bookmarkStart w:id="37" w:name="_Toc17233334"/>
      <w:bookmarkStart w:id="38" w:name="_Toc24884219"/>
      <w:bookmarkStart w:id="39" w:name="_Toc26648466"/>
      <w:r>
        <w:rPr>
          <w:rFonts w:hint="eastAsia"/>
        </w:rPr>
        <w:t>本文件适用于血常规检验下的白细胞项目，对实验室或生产厂商基于患者数据的质量控制算法软件的评价。</w:t>
      </w:r>
    </w:p>
    <w:p>
      <w:pPr>
        <w:pStyle w:val="105"/>
        <w:spacing w:before="240" w:after="240"/>
      </w:pPr>
      <w:bookmarkStart w:id="40" w:name="_Toc215387079"/>
      <w:bookmarkStart w:id="41" w:name="_Toc26986531"/>
      <w:bookmarkStart w:id="42" w:name="_Toc26718931"/>
      <w:bookmarkStart w:id="43" w:name="_Toc26986772"/>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598FC3E2F6EF4D6B968152E6CDF4F19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GB/T 3358.2-2009/ISO 3534-2:2006 统计学词汇及符号 第2部分：应用统计</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 xml:space="preserve">GB/T 19000-2016 质量管理体系 基础和术语 </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WS/T 403-2012 临床生物化学检验常规项目分析质量指标</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WS/T 415-2013 无室间质量评价时实验室检测评估方法</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CLSI C24 第4版 定量测量程序的统计质量控制：原理和定义</w:t>
      </w:r>
    </w:p>
    <w:p>
      <w:pPr>
        <w:pStyle w:val="105"/>
        <w:spacing w:before="240" w:after="240"/>
      </w:pPr>
      <w:bookmarkStart w:id="44" w:name="_Toc215387080"/>
      <w:r>
        <w:rPr>
          <w:rFonts w:hint="eastAsia"/>
          <w:szCs w:val="21"/>
        </w:rPr>
        <w:t>术语和定义</w:t>
      </w:r>
      <w:bookmarkEnd w:id="44"/>
    </w:p>
    <w:sdt>
      <w:sdtPr>
        <w:id w:val="-1909835108"/>
        <w:placeholder>
          <w:docPart w:val="CAB24BAFB59349E38361A2A6784D2A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5" w:name="_Toc26986532"/>
          <w:bookmarkEnd w:id="45"/>
          <w:r>
            <w:t>下列术语和定义适用于本文件。</w:t>
          </w:r>
        </w:p>
      </w:sdtContent>
    </w:sdt>
    <w:p>
      <w:pPr>
        <w:pStyle w:val="106"/>
        <w:spacing w:before="120" w:after="120"/>
      </w:pPr>
      <w:bookmarkStart w:id="46" w:name="_Toc215387081"/>
      <w:r>
        <w:rPr>
          <w:rFonts w:hint="eastAsia"/>
        </w:rPr>
        <w:t>质量控制 quality control</w:t>
      </w:r>
      <w:bookmarkEnd w:id="46"/>
    </w:p>
    <w:p>
      <w:pPr>
        <w:pStyle w:val="57"/>
        <w:ind w:firstLine="420"/>
      </w:pPr>
      <w:r>
        <w:rPr>
          <w:rFonts w:hint="eastAsia"/>
        </w:rPr>
        <w:t>质量管理的一部分，致力于满足质量要求。</w:t>
      </w:r>
    </w:p>
    <w:p>
      <w:pPr>
        <w:pStyle w:val="57"/>
        <w:ind w:firstLine="420"/>
      </w:pPr>
      <w:r>
        <w:rPr>
          <w:rFonts w:hint="eastAsia"/>
        </w:rPr>
        <w:t>[来源：GB/T 19000-2016，3.3.7]</w:t>
      </w:r>
    </w:p>
    <w:p>
      <w:pPr>
        <w:pStyle w:val="106"/>
        <w:spacing w:before="120" w:after="120"/>
      </w:pPr>
      <w:bookmarkStart w:id="47" w:name="_Toc215387082"/>
      <w:r>
        <w:rPr>
          <w:rFonts w:hint="eastAsia"/>
        </w:rPr>
        <w:t>质量控制算法 quality control algorithm</w:t>
      </w:r>
      <w:bookmarkEnd w:id="47"/>
    </w:p>
    <w:p>
      <w:pPr>
        <w:pStyle w:val="57"/>
        <w:ind w:firstLine="420"/>
      </w:pPr>
      <w:r>
        <w:rPr>
          <w:rFonts w:hint="eastAsia"/>
        </w:rPr>
        <w:t>质量管理所用的算法。</w:t>
      </w:r>
    </w:p>
    <w:p>
      <w:pPr>
        <w:pStyle w:val="106"/>
        <w:spacing w:before="120" w:after="120"/>
      </w:pPr>
      <w:bookmarkStart w:id="48" w:name="_Toc215387083"/>
      <w:r>
        <w:rPr>
          <w:rFonts w:hint="eastAsia"/>
        </w:rPr>
        <w:t>失控状态 out-of-control condition</w:t>
      </w:r>
      <w:bookmarkEnd w:id="48"/>
    </w:p>
    <w:p>
      <w:pPr>
        <w:pStyle w:val="57"/>
        <w:ind w:firstLine="420"/>
      </w:pPr>
      <w:r>
        <w:rPr>
          <w:rFonts w:hint="eastAsia"/>
        </w:rPr>
        <w:t>某过程或过程中的某部分操作处于非稳定状态。</w:t>
      </w:r>
    </w:p>
    <w:p>
      <w:pPr>
        <w:pStyle w:val="57"/>
        <w:ind w:firstLine="360"/>
      </w:pPr>
      <w:r>
        <w:rPr>
          <w:rFonts w:hint="eastAsia" w:hAnsi="宋体" w:cs="黑体"/>
          <w:sz w:val="18"/>
          <w:szCs w:val="16"/>
        </w:rPr>
        <w:t>注</w:t>
      </w:r>
      <w:r>
        <w:rPr>
          <w:rFonts w:hint="eastAsia"/>
          <w:sz w:val="18"/>
          <w:szCs w:val="18"/>
        </w:rPr>
        <w:t>：</w:t>
      </w:r>
      <w:r>
        <w:rPr>
          <w:rFonts w:hint="eastAsia"/>
          <w:sz w:val="18"/>
          <w:szCs w:val="16"/>
        </w:rPr>
        <w:t>对于定量测量程序，失控状态通常表现为测量程序偏离稳定均值或者稳定精密度增大。</w:t>
      </w:r>
    </w:p>
    <w:p>
      <w:pPr>
        <w:pStyle w:val="57"/>
        <w:ind w:firstLine="420"/>
      </w:pPr>
      <w:r>
        <w:rPr>
          <w:rFonts w:hint="eastAsia"/>
        </w:rPr>
        <w:t>[来源：CLSI C24 第4版]</w:t>
      </w:r>
    </w:p>
    <w:p>
      <w:pPr>
        <w:pStyle w:val="106"/>
        <w:spacing w:before="120" w:after="120"/>
      </w:pPr>
      <w:bookmarkStart w:id="49" w:name="_Toc215387084"/>
      <w:r>
        <w:rPr>
          <w:rFonts w:hint="eastAsia"/>
        </w:rPr>
        <w:t>在控状态 in-control status of quality control</w:t>
      </w:r>
      <w:bookmarkEnd w:id="49"/>
    </w:p>
    <w:p>
      <w:pPr>
        <w:pStyle w:val="57"/>
        <w:ind w:firstLine="420"/>
      </w:pPr>
      <w:r>
        <w:rPr>
          <w:rFonts w:hint="eastAsia"/>
        </w:rPr>
        <w:t>某过程或过程中的某部分操作处于非失控状态的稳定状态。</w:t>
      </w:r>
    </w:p>
    <w:p>
      <w:pPr>
        <w:pStyle w:val="106"/>
        <w:spacing w:before="120" w:after="120"/>
      </w:pPr>
      <w:bookmarkStart w:id="50" w:name="_Toc215387085"/>
      <w:r>
        <w:rPr>
          <w:rFonts w:hint="eastAsia"/>
        </w:rPr>
        <w:t>控制限 control limit</w:t>
      </w:r>
      <w:bookmarkEnd w:id="50"/>
    </w:p>
    <w:p>
      <w:pPr>
        <w:pStyle w:val="57"/>
        <w:ind w:firstLine="420"/>
      </w:pPr>
      <w:r>
        <w:rPr>
          <w:rFonts w:hint="eastAsia"/>
        </w:rPr>
        <w:t>控制图中用以判定过程稳定性的直线。</w:t>
      </w:r>
    </w:p>
    <w:p>
      <w:pPr>
        <w:pStyle w:val="57"/>
        <w:ind w:firstLine="360"/>
        <w:rPr>
          <w:rFonts w:hint="eastAsia" w:hAnsi="宋体" w:cs="黑体"/>
          <w:sz w:val="18"/>
          <w:szCs w:val="16"/>
        </w:rPr>
      </w:pPr>
      <w:r>
        <w:rPr>
          <w:rFonts w:hint="eastAsia" w:hAnsi="宋体" w:cs="黑体"/>
          <w:sz w:val="18"/>
          <w:szCs w:val="16"/>
        </w:rPr>
        <w:t>注：</w:t>
      </w:r>
    </w:p>
    <w:p>
      <w:pPr>
        <w:pStyle w:val="57"/>
        <w:ind w:firstLine="360"/>
        <w:rPr>
          <w:sz w:val="18"/>
          <w:szCs w:val="16"/>
        </w:rPr>
      </w:pPr>
      <w:r>
        <w:rPr>
          <w:rFonts w:hint="eastAsia"/>
          <w:sz w:val="18"/>
          <w:szCs w:val="16"/>
        </w:rPr>
        <w:t>1.在控制图上用控制线表示控制限。</w:t>
      </w:r>
    </w:p>
    <w:p>
      <w:pPr>
        <w:pStyle w:val="57"/>
        <w:ind w:firstLine="360"/>
        <w:rPr>
          <w:sz w:val="18"/>
          <w:szCs w:val="16"/>
        </w:rPr>
      </w:pPr>
      <w:r>
        <w:rPr>
          <w:rFonts w:hint="eastAsia"/>
          <w:sz w:val="18"/>
          <w:szCs w:val="16"/>
        </w:rPr>
        <w:t>2.在常规控制图中，控制限提供了只因随机原因引起的统计量偏离中心线的边界。</w:t>
      </w:r>
    </w:p>
    <w:p>
      <w:pPr>
        <w:pStyle w:val="57"/>
        <w:ind w:firstLine="360"/>
        <w:rPr>
          <w:sz w:val="18"/>
          <w:szCs w:val="16"/>
        </w:rPr>
      </w:pPr>
      <w:r>
        <w:rPr>
          <w:rFonts w:hint="eastAsia"/>
          <w:sz w:val="18"/>
          <w:szCs w:val="16"/>
        </w:rPr>
        <w:t>3.除验收控制图外，控制限都是基于实际测量数据，而不是基于规范限的。</w:t>
      </w:r>
    </w:p>
    <w:p>
      <w:pPr>
        <w:pStyle w:val="57"/>
        <w:ind w:firstLine="360"/>
        <w:rPr>
          <w:sz w:val="18"/>
          <w:szCs w:val="16"/>
        </w:rPr>
      </w:pPr>
      <w:r>
        <w:rPr>
          <w:rFonts w:hint="eastAsia"/>
          <w:sz w:val="18"/>
          <w:szCs w:val="16"/>
        </w:rPr>
        <w:t>4.除将落在控制限之外的点看作“失控”外，失控准则也将落在控制限之内的链、趋势、循环、周期等异常情况也视为失控。</w:t>
      </w:r>
    </w:p>
    <w:p>
      <w:pPr>
        <w:pStyle w:val="57"/>
        <w:ind w:firstLine="420"/>
      </w:pPr>
      <w:r>
        <w:rPr>
          <w:rFonts w:hint="eastAsia"/>
        </w:rPr>
        <w:t>[来源：GB/T 3358.2-2009/ISO 3534-2:2006，2.4.2]</w:t>
      </w:r>
    </w:p>
    <w:p>
      <w:pPr>
        <w:pStyle w:val="57"/>
        <w:ind w:firstLine="420"/>
      </w:pPr>
    </w:p>
    <w:p>
      <w:pPr>
        <w:pStyle w:val="106"/>
        <w:spacing w:before="120" w:after="120"/>
      </w:pPr>
      <w:bookmarkStart w:id="51" w:name="_Toc215387086"/>
      <w:r>
        <w:rPr>
          <w:rFonts w:hint="eastAsia"/>
        </w:rPr>
        <w:t>不精密度 imprecision</w:t>
      </w:r>
      <w:bookmarkEnd w:id="51"/>
    </w:p>
    <w:p>
      <w:pPr>
        <w:pStyle w:val="57"/>
        <w:ind w:firstLine="420"/>
      </w:pPr>
      <w:r>
        <w:rPr>
          <w:rFonts w:hint="eastAsia"/>
        </w:rPr>
        <w:t>检验结果精密度指标，指同一实验室用同种方法在多次独立检验中分析同一样品所得结果的离散程度。</w:t>
      </w:r>
    </w:p>
    <w:p>
      <w:pPr>
        <w:pStyle w:val="57"/>
        <w:ind w:firstLine="360"/>
        <w:rPr>
          <w:rFonts w:hint="eastAsia" w:hAnsi="宋体" w:cs="黑体"/>
          <w:sz w:val="18"/>
          <w:szCs w:val="16"/>
        </w:rPr>
      </w:pPr>
      <w:r>
        <w:rPr>
          <w:rFonts w:hint="eastAsia" w:hAnsi="宋体" w:cs="黑体"/>
          <w:sz w:val="18"/>
          <w:szCs w:val="16"/>
        </w:rPr>
        <w:t>注：</w:t>
      </w:r>
    </w:p>
    <w:p>
      <w:pPr>
        <w:pStyle w:val="57"/>
        <w:ind w:left="420" w:leftChars="200" w:firstLine="0" w:firstLineChars="0"/>
        <w:rPr>
          <w:sz w:val="18"/>
          <w:szCs w:val="16"/>
        </w:rPr>
      </w:pPr>
      <w:r>
        <w:rPr>
          <w:rFonts w:hint="eastAsia"/>
          <w:sz w:val="18"/>
          <w:szCs w:val="16"/>
        </w:rPr>
        <w:t>1.不精密度有多种，如“批内”、“批间”、“室内”、“室间”不精密度等，计量学领域分重复性、中间、再现性不精密度等。本规范中的不精密度指室内（或中间）不精密度。</w:t>
      </w:r>
    </w:p>
    <w:p>
      <w:pPr>
        <w:pStyle w:val="57"/>
        <w:ind w:left="420" w:leftChars="200" w:firstLine="0" w:firstLineChars="0"/>
        <w:rPr>
          <w:sz w:val="18"/>
          <w:szCs w:val="16"/>
        </w:rPr>
      </w:pPr>
      <w:r>
        <w:rPr>
          <w:rFonts w:hint="eastAsia"/>
          <w:sz w:val="18"/>
          <w:szCs w:val="16"/>
        </w:rPr>
        <w:t>2.对于临床实验室，不精密度一般来自室内质量控制数据；在方法评价中，本规范不精密度包括批内和批间不精密度。</w:t>
      </w:r>
    </w:p>
    <w:p>
      <w:pPr>
        <w:pStyle w:val="57"/>
        <w:ind w:left="420" w:leftChars="200" w:firstLine="0" w:firstLineChars="0"/>
        <w:rPr>
          <w:sz w:val="18"/>
          <w:szCs w:val="16"/>
        </w:rPr>
      </w:pPr>
      <w:r>
        <w:rPr>
          <w:rFonts w:hint="eastAsia"/>
          <w:sz w:val="18"/>
          <w:szCs w:val="16"/>
        </w:rPr>
        <w:t>3.不精密度用标准差（SD）或变异系数（CV）表示。</w:t>
      </w:r>
    </w:p>
    <w:p>
      <w:pPr>
        <w:pStyle w:val="57"/>
        <w:ind w:firstLine="420"/>
      </w:pPr>
      <w:r>
        <w:rPr>
          <w:rFonts w:hint="eastAsia"/>
        </w:rPr>
        <w:t>[来源：WS/T 403-2012，2.2，有修改]</w:t>
      </w:r>
    </w:p>
    <w:p>
      <w:pPr>
        <w:pStyle w:val="106"/>
        <w:spacing w:before="120" w:after="120"/>
      </w:pPr>
      <w:bookmarkStart w:id="52" w:name="_Toc215387087"/>
      <w:r>
        <w:rPr>
          <w:rFonts w:hint="eastAsia"/>
        </w:rPr>
        <w:t>允许总误差 allowable total error</w:t>
      </w:r>
      <w:bookmarkEnd w:id="52"/>
    </w:p>
    <w:p>
      <w:pPr>
        <w:pStyle w:val="57"/>
        <w:ind w:firstLine="420"/>
      </w:pPr>
      <w:r>
        <w:t>TEa</w:t>
      </w:r>
      <w:r>
        <w:tab/>
      </w:r>
    </w:p>
    <w:p>
      <w:pPr>
        <w:pStyle w:val="57"/>
        <w:ind w:firstLine="420"/>
      </w:pPr>
      <w:r>
        <w:rPr>
          <w:rFonts w:hint="eastAsia"/>
        </w:rPr>
        <w:t>指分析过程需要达到的质量目标，即单次测量或单次检测结果内不精密度（随机误差）和偏倚（系统误差）可允许的最大误差范围。</w:t>
      </w:r>
    </w:p>
    <w:p>
      <w:pPr>
        <w:pStyle w:val="57"/>
        <w:ind w:firstLine="360"/>
        <w:rPr>
          <w:rFonts w:hint="eastAsia" w:hAnsi="宋体" w:cs="黑体"/>
          <w:sz w:val="18"/>
          <w:szCs w:val="16"/>
        </w:rPr>
      </w:pPr>
      <w:r>
        <w:rPr>
          <w:rFonts w:hint="eastAsia" w:hAnsi="宋体" w:cs="黑体"/>
          <w:sz w:val="18"/>
          <w:szCs w:val="16"/>
        </w:rPr>
        <w:t>注：</w:t>
      </w:r>
    </w:p>
    <w:p>
      <w:pPr>
        <w:pStyle w:val="57"/>
        <w:ind w:firstLine="360"/>
        <w:rPr>
          <w:sz w:val="18"/>
          <w:szCs w:val="16"/>
        </w:rPr>
      </w:pPr>
      <w:r>
        <w:rPr>
          <w:rFonts w:hint="eastAsia"/>
          <w:sz w:val="18"/>
          <w:szCs w:val="16"/>
        </w:rPr>
        <w:t>1.在质量控制计划中假定无标本特异性影响，因为标本特异性属方法整体性能的一部分，非质量控制监测范围。</w:t>
      </w:r>
    </w:p>
    <w:p>
      <w:pPr>
        <w:pStyle w:val="57"/>
        <w:ind w:firstLine="360"/>
        <w:rPr>
          <w:sz w:val="18"/>
          <w:szCs w:val="16"/>
        </w:rPr>
      </w:pPr>
      <w:r>
        <w:rPr>
          <w:rFonts w:hint="eastAsia"/>
          <w:sz w:val="18"/>
          <w:szCs w:val="16"/>
        </w:rPr>
        <w:t>2.该值与临床检验分析性能质量规范要求有关，详见附录A。</w:t>
      </w:r>
    </w:p>
    <w:p>
      <w:pPr>
        <w:pStyle w:val="57"/>
        <w:ind w:firstLine="420"/>
      </w:pPr>
      <w:r>
        <w:rPr>
          <w:rFonts w:hint="eastAsia"/>
        </w:rPr>
        <w:t>[来源：CLSI C24 第4版，1.4.2]</w:t>
      </w:r>
    </w:p>
    <w:p>
      <w:pPr>
        <w:pStyle w:val="106"/>
        <w:spacing w:before="120" w:after="120"/>
      </w:pPr>
      <w:bookmarkStart w:id="53" w:name="_Toc215387088"/>
      <w:r>
        <w:rPr>
          <w:rFonts w:hint="eastAsia"/>
        </w:rPr>
        <w:t>特异性 specificity</w:t>
      </w:r>
      <w:bookmarkEnd w:id="53"/>
    </w:p>
    <w:p>
      <w:pPr>
        <w:pStyle w:val="57"/>
        <w:ind w:firstLine="420"/>
      </w:pPr>
      <w:r>
        <w:rPr>
          <w:rFonts w:hint="eastAsia"/>
        </w:rPr>
        <w:t>在出现干扰现象（影响量）时，试验或检测程序能够正确地识别或定量确定某一实体物质的能力。</w:t>
      </w:r>
    </w:p>
    <w:p>
      <w:pPr>
        <w:pStyle w:val="57"/>
        <w:ind w:firstLine="360"/>
        <w:rPr>
          <w:sz w:val="18"/>
          <w:szCs w:val="16"/>
        </w:rPr>
      </w:pPr>
      <w:r>
        <w:rPr>
          <w:rFonts w:hint="eastAsia"/>
          <w:sz w:val="18"/>
          <w:szCs w:val="18"/>
        </w:rPr>
        <w:t>注：</w:t>
      </w:r>
      <w:r>
        <w:rPr>
          <w:rFonts w:hint="eastAsia"/>
          <w:sz w:val="18"/>
          <w:szCs w:val="16"/>
        </w:rPr>
        <w:t>在质量控制中，是指当特定原因变异确实不存在时，质量控制系统能够指出特定原因变异不存在的概率。</w:t>
      </w:r>
    </w:p>
    <w:p>
      <w:pPr>
        <w:pStyle w:val="57"/>
        <w:ind w:firstLine="420"/>
      </w:pPr>
      <w:r>
        <w:rPr>
          <w:rFonts w:hint="eastAsia"/>
        </w:rPr>
        <w:t>[来源：WS/T 415-2013，2.8]</w:t>
      </w:r>
    </w:p>
    <w:p>
      <w:pPr>
        <w:pStyle w:val="106"/>
        <w:spacing w:before="120" w:after="120"/>
      </w:pPr>
      <w:bookmarkStart w:id="54" w:name="_Toc215387089"/>
      <w:r>
        <w:rPr>
          <w:rFonts w:hint="eastAsia"/>
        </w:rPr>
        <w:t>敏感度 sensitivity</w:t>
      </w:r>
      <w:bookmarkEnd w:id="54"/>
    </w:p>
    <w:p>
      <w:pPr>
        <w:pStyle w:val="57"/>
        <w:ind w:firstLine="420"/>
      </w:pPr>
      <w:r>
        <w:rPr>
          <w:rFonts w:hint="eastAsia"/>
        </w:rPr>
        <w:t>测量系统的示值变化除以相应的被测量值变化所得的商。</w:t>
      </w:r>
    </w:p>
    <w:p>
      <w:pPr>
        <w:pStyle w:val="57"/>
        <w:ind w:firstLine="360"/>
        <w:rPr>
          <w:rFonts w:hint="eastAsia" w:hAnsi="宋体" w:cs="黑体"/>
          <w:sz w:val="18"/>
          <w:szCs w:val="16"/>
        </w:rPr>
      </w:pPr>
      <w:r>
        <w:rPr>
          <w:rFonts w:hint="eastAsia" w:hAnsi="宋体" w:cs="黑体"/>
          <w:sz w:val="18"/>
          <w:szCs w:val="16"/>
        </w:rPr>
        <w:t>注</w:t>
      </w:r>
      <w:r>
        <w:rPr>
          <w:rFonts w:hint="eastAsia"/>
          <w:sz w:val="18"/>
          <w:szCs w:val="18"/>
        </w:rPr>
        <w:t>：</w:t>
      </w:r>
    </w:p>
    <w:p>
      <w:pPr>
        <w:pStyle w:val="57"/>
        <w:ind w:firstLine="360"/>
        <w:rPr>
          <w:sz w:val="18"/>
          <w:szCs w:val="16"/>
        </w:rPr>
      </w:pPr>
      <w:r>
        <w:rPr>
          <w:rFonts w:hint="eastAsia"/>
          <w:sz w:val="18"/>
          <w:szCs w:val="16"/>
        </w:rPr>
        <w:t>1.在质量控制中，是指质量控制系统检测误差的能力。</w:t>
      </w:r>
    </w:p>
    <w:p>
      <w:pPr>
        <w:pStyle w:val="57"/>
        <w:ind w:firstLine="360"/>
        <w:rPr>
          <w:sz w:val="18"/>
          <w:szCs w:val="16"/>
        </w:rPr>
      </w:pPr>
      <w:r>
        <w:rPr>
          <w:rFonts w:hint="eastAsia"/>
          <w:sz w:val="18"/>
          <w:szCs w:val="16"/>
        </w:rPr>
        <w:t xml:space="preserve">2.在定性试验中， 是指试验方法获得阳性结果的能力。 </w:t>
      </w:r>
    </w:p>
    <w:p>
      <w:pPr>
        <w:pStyle w:val="57"/>
        <w:ind w:firstLine="420"/>
      </w:pPr>
      <w:r>
        <w:rPr>
          <w:rFonts w:hint="eastAsia"/>
        </w:rPr>
        <w:t>[来源：WS/T 415-2013，2.7]</w:t>
      </w:r>
    </w:p>
    <w:p>
      <w:pPr>
        <w:pStyle w:val="106"/>
        <w:spacing w:before="120" w:after="120"/>
      </w:pPr>
      <w:bookmarkStart w:id="55" w:name="_Toc215387090"/>
      <w:r>
        <w:rPr>
          <w:rFonts w:hint="eastAsia"/>
        </w:rPr>
        <w:t>数字量具 digit measuring instrument</w:t>
      </w:r>
      <w:bookmarkEnd w:id="55"/>
    </w:p>
    <w:p>
      <w:pPr>
        <w:pStyle w:val="57"/>
        <w:ind w:firstLine="420"/>
      </w:pPr>
      <w:r>
        <w:rPr>
          <w:rFonts w:hint="eastAsia"/>
        </w:rPr>
        <w:t>具有所赋量值及测量不确定度，使用时以固定格式复现或提供一个或多个量值及测量不确定度的数据集、算法软件或装置。</w:t>
      </w:r>
    </w:p>
    <w:p>
      <w:pPr>
        <w:pStyle w:val="57"/>
        <w:ind w:firstLine="360"/>
        <w:rPr>
          <w:sz w:val="18"/>
          <w:szCs w:val="16"/>
        </w:rPr>
      </w:pPr>
      <w:r>
        <w:rPr>
          <w:rFonts w:hint="eastAsia" w:hAnsi="宋体" w:cs="黑体"/>
          <w:sz w:val="18"/>
          <w:szCs w:val="16"/>
        </w:rPr>
        <w:t>注</w:t>
      </w:r>
      <w:r>
        <w:rPr>
          <w:rFonts w:hint="eastAsia"/>
          <w:sz w:val="18"/>
          <w:szCs w:val="18"/>
        </w:rPr>
        <w:t>：</w:t>
      </w:r>
    </w:p>
    <w:p>
      <w:pPr>
        <w:pStyle w:val="57"/>
        <w:ind w:firstLine="360"/>
        <w:rPr>
          <w:sz w:val="18"/>
          <w:szCs w:val="16"/>
        </w:rPr>
      </w:pPr>
      <w:r>
        <w:rPr>
          <w:rFonts w:hint="eastAsia"/>
          <w:sz w:val="18"/>
          <w:szCs w:val="16"/>
        </w:rPr>
        <w:t>数字量具包括但不限于：</w:t>
      </w:r>
    </w:p>
    <w:p>
      <w:pPr>
        <w:pStyle w:val="57"/>
        <w:ind w:firstLine="360"/>
        <w:rPr>
          <w:sz w:val="18"/>
          <w:szCs w:val="16"/>
        </w:rPr>
      </w:pPr>
      <w:r>
        <w:rPr>
          <w:rFonts w:hint="eastAsia"/>
          <w:sz w:val="18"/>
          <w:szCs w:val="16"/>
        </w:rPr>
        <w:t>1.参考数据、标准参考数据、数学模型、仿真模型、数字孪生模型；</w:t>
      </w:r>
    </w:p>
    <w:p>
      <w:pPr>
        <w:pStyle w:val="57"/>
        <w:ind w:firstLine="360"/>
        <w:rPr>
          <w:sz w:val="18"/>
          <w:szCs w:val="16"/>
        </w:rPr>
      </w:pPr>
      <w:r>
        <w:rPr>
          <w:rFonts w:hint="eastAsia"/>
          <w:sz w:val="18"/>
          <w:szCs w:val="16"/>
        </w:rPr>
        <w:t>2.能够实时生成所赋量值及测量不确定度数据集的算法软件；</w:t>
      </w:r>
    </w:p>
    <w:p>
      <w:pPr>
        <w:pStyle w:val="57"/>
        <w:ind w:firstLine="360"/>
        <w:rPr>
          <w:sz w:val="18"/>
          <w:szCs w:val="16"/>
        </w:rPr>
      </w:pPr>
      <w:r>
        <w:rPr>
          <w:rFonts w:hint="eastAsia"/>
          <w:sz w:val="18"/>
          <w:szCs w:val="16"/>
        </w:rPr>
        <w:t>3.能够实时生成所赋量值及测量不确定度数据集的装置。</w:t>
      </w:r>
    </w:p>
    <w:p>
      <w:pPr>
        <w:pStyle w:val="105"/>
        <w:spacing w:before="240" w:after="240"/>
      </w:pPr>
      <w:bookmarkStart w:id="56" w:name="_Toc215387091"/>
      <w:r>
        <w:rPr>
          <w:rFonts w:hint="eastAsia"/>
        </w:rPr>
        <w:t>概述</w:t>
      </w:r>
      <w:bookmarkEnd w:id="56"/>
    </w:p>
    <w:p>
      <w:pPr>
        <w:pStyle w:val="163"/>
        <w:numPr>
          <w:ilvl w:val="0"/>
          <w:numId w:val="0"/>
        </w:numPr>
        <w:ind w:firstLine="420"/>
      </w:pPr>
      <w:r>
        <w:rPr>
          <w:rFonts w:hint="eastAsia"/>
        </w:rPr>
        <w:t>全血检验白细胞项目基于患者数据的质量控制算法，是通过患者的白细胞结果数据动态监控实验室检测系统质量的算法软件，按照原理可分为统计学和机器学习两类。两类算法均利用患者白细胞检测结果的历史数据，其中统计学通过数据清洗、分析处理、浮动特征值计算后，给出用于检测应用阶段的最优控制限；机器学习通过数据清洗、分析处理、模型训练后，构建出用于检测应用阶段的最优模型。</w:t>
      </w:r>
    </w:p>
    <w:p>
      <w:pPr>
        <w:pStyle w:val="105"/>
        <w:spacing w:before="240" w:after="240"/>
      </w:pPr>
      <w:bookmarkStart w:id="57" w:name="_Toc215387092"/>
      <w:r>
        <w:rPr>
          <w:rFonts w:hint="eastAsia"/>
        </w:rPr>
        <w:t>技术要求</w:t>
      </w:r>
      <w:bookmarkEnd w:id="57"/>
    </w:p>
    <w:p>
      <w:pPr>
        <w:pStyle w:val="106"/>
        <w:spacing w:before="120" w:after="120"/>
      </w:pPr>
      <w:bookmarkStart w:id="58" w:name="_Toc215387093"/>
      <w:r>
        <w:rPr>
          <w:rFonts w:hint="eastAsia"/>
        </w:rPr>
        <w:t>假性失控率</w:t>
      </w:r>
      <w:bookmarkEnd w:id="58"/>
    </w:p>
    <w:p>
      <w:pPr>
        <w:pStyle w:val="57"/>
        <w:ind w:firstLine="420"/>
      </w:pPr>
      <w:r>
        <w:rPr>
          <w:rFonts w:hint="eastAsia"/>
        </w:rPr>
        <w:t>假性失控率（</w:t>
      </w:r>
      <w:r>
        <w:rPr>
          <w:rFonts w:hint="eastAsia" w:hAnsi="宋体" w:cs="宋体"/>
          <w:i/>
          <w:iCs/>
        </w:rPr>
        <w:t>P</w:t>
      </w:r>
      <w:r>
        <w:rPr>
          <w:rFonts w:hint="eastAsia" w:hAnsi="宋体" w:cs="宋体"/>
          <w:vertAlign w:val="subscript"/>
        </w:rPr>
        <w:t>FR</w:t>
      </w:r>
      <w:r>
        <w:rPr>
          <w:rFonts w:hint="eastAsia"/>
        </w:rPr>
        <w:t>）表征被测试对象的特异性，反映算法对于预期在控状态的误判概率。</w:t>
      </w:r>
    </w:p>
    <w:p>
      <w:pPr>
        <w:pStyle w:val="106"/>
        <w:spacing w:before="120" w:after="120"/>
      </w:pPr>
      <w:bookmarkStart w:id="59" w:name="_Toc215387094"/>
      <w:r>
        <w:rPr>
          <w:rFonts w:hint="eastAsia"/>
        </w:rPr>
        <w:t>误差检出率</w:t>
      </w:r>
      <w:bookmarkEnd w:id="59"/>
    </w:p>
    <w:p>
      <w:pPr>
        <w:pStyle w:val="57"/>
        <w:ind w:firstLine="420"/>
      </w:pPr>
      <w:r>
        <w:rPr>
          <w:rFonts w:hint="eastAsia"/>
        </w:rPr>
        <w:t>误差检出率（</w:t>
      </w:r>
      <w:r>
        <w:rPr>
          <w:rFonts w:hint="eastAsia" w:hAnsi="宋体" w:cs="宋体"/>
          <w:i/>
          <w:iCs/>
        </w:rPr>
        <w:t>P</w:t>
      </w:r>
      <w:r>
        <w:rPr>
          <w:rFonts w:hint="eastAsia" w:hAnsi="宋体" w:cs="宋体"/>
          <w:vertAlign w:val="subscript"/>
        </w:rPr>
        <w:t>ED</w:t>
      </w:r>
      <w:r>
        <w:rPr>
          <w:rFonts w:hint="eastAsia"/>
        </w:rPr>
        <w:t>）表征被测试对象的敏感度，反映算法对于预期失控状态的识别概率。</w:t>
      </w:r>
    </w:p>
    <w:p>
      <w:pPr>
        <w:pStyle w:val="106"/>
        <w:spacing w:before="120" w:after="120"/>
      </w:pPr>
      <w:bookmarkStart w:id="60" w:name="_Toc215387095"/>
      <w:r>
        <w:rPr>
          <w:rFonts w:hint="eastAsia"/>
        </w:rPr>
        <w:t>错误报告患者检测结果数量中位值/平均值</w:t>
      </w:r>
      <w:bookmarkEnd w:id="60"/>
    </w:p>
    <w:p>
      <w:pPr>
        <w:pStyle w:val="57"/>
        <w:ind w:firstLine="420"/>
      </w:pPr>
      <w:r>
        <w:rPr>
          <w:rFonts w:hint="eastAsia"/>
        </w:rPr>
        <w:t>错误报告患者检测结果数量（number of patient results affected before error detection, Nped）表征被测试对象的识别速度，反映算法对预期失控状态的识别中所延误的结果数量。其定义为：在某次质量控制检测中，以引入失控状态数据的位置为起点，以算法初次识别为失控状态的位置为终点，统计两点之间的结果个数。应计算多个Nped的中位值（median of Nped, MNped）/平均值（average of Nped, ANPed)，每次质量控制检测均采用相同的检测结果数量。</w:t>
      </w:r>
    </w:p>
    <w:p>
      <w:pPr>
        <w:pStyle w:val="106"/>
        <w:spacing w:before="120" w:after="120"/>
      </w:pPr>
      <w:bookmarkStart w:id="61" w:name="_Toc215387096"/>
      <w:r>
        <w:rPr>
          <w:rFonts w:hint="eastAsia"/>
        </w:rPr>
        <w:t>算法评价值</w:t>
      </w:r>
      <w:bookmarkEnd w:id="61"/>
    </w:p>
    <w:p>
      <w:pPr>
        <w:pStyle w:val="57"/>
        <w:ind w:firstLine="420"/>
      </w:pPr>
      <w:r>
        <w:rPr>
          <w:rFonts w:hint="eastAsia"/>
        </w:rPr>
        <w:t>算法评价值反映算法对于假性失控率、误差检出率、错误报告患者检测结果数量中位值/平均值的综合特性，其算法评价值（Y）表征被测试对象的准确性和可靠性。</w:t>
      </w:r>
    </w:p>
    <w:p>
      <w:pPr>
        <w:pStyle w:val="105"/>
        <w:spacing w:before="240" w:after="240"/>
      </w:pPr>
      <w:bookmarkStart w:id="62" w:name="_Toc215387097"/>
      <w:r>
        <w:rPr>
          <w:rFonts w:hint="eastAsia"/>
        </w:rPr>
        <w:t>数字量具特性</w:t>
      </w:r>
      <w:bookmarkEnd w:id="62"/>
    </w:p>
    <w:p>
      <w:pPr>
        <w:pStyle w:val="57"/>
        <w:ind w:firstLine="420"/>
      </w:pPr>
      <w:r>
        <w:rPr>
          <w:rFonts w:hint="eastAsia"/>
        </w:rPr>
        <w:t>本规范所使用的数字量具包括两类参考数据集，分别为：白细胞质量在控数字量具、白细胞质量失控数字量具。数字量具应涵盖临床常规检验项目。</w:t>
      </w:r>
    </w:p>
    <w:p>
      <w:pPr>
        <w:pStyle w:val="106"/>
        <w:spacing w:before="120" w:after="120"/>
      </w:pPr>
      <w:bookmarkStart w:id="63" w:name="_Toc215387098"/>
      <w:r>
        <w:rPr>
          <w:rFonts w:hint="eastAsia"/>
        </w:rPr>
        <w:t>白细胞质量在控数字量具</w:t>
      </w:r>
      <w:bookmarkEnd w:id="63"/>
    </w:p>
    <w:p>
      <w:pPr>
        <w:pStyle w:val="57"/>
        <w:ind w:firstLine="420"/>
      </w:pPr>
      <w:r>
        <w:rPr>
          <w:rFonts w:hint="eastAsia"/>
        </w:rPr>
        <w:t>白细胞质量在控数字量具依据临床实际在控的全血白细胞项目检测结果采集而来。临床排除标准为：</w:t>
      </w:r>
    </w:p>
    <w:p>
      <w:pPr>
        <w:pStyle w:val="57"/>
        <w:ind w:firstLine="420"/>
      </w:pPr>
      <w:r>
        <w:rPr>
          <w:rFonts w:hint="eastAsia"/>
        </w:rPr>
        <w:t>a）剔除原始患者数据中血液肿瘤科化疗前后患者和儿科患者的数据部分；</w:t>
      </w:r>
    </w:p>
    <w:p>
      <w:pPr>
        <w:pStyle w:val="57"/>
        <w:ind w:firstLine="420"/>
      </w:pPr>
      <w:r>
        <w:rPr>
          <w:rFonts w:hint="eastAsia"/>
        </w:rPr>
        <w:t>b）剔除已知明确的错误患者结果数据和非患者标本结果数据。</w:t>
      </w:r>
    </w:p>
    <w:p>
      <w:pPr>
        <w:pStyle w:val="57"/>
        <w:ind w:firstLine="420"/>
      </w:pPr>
      <w:r>
        <w:rPr>
          <w:rFonts w:hint="eastAsia"/>
        </w:rPr>
        <w:t>临床纳入标准为：</w:t>
      </w:r>
    </w:p>
    <w:p>
      <w:pPr>
        <w:pStyle w:val="57"/>
        <w:ind w:firstLine="420"/>
      </w:pPr>
      <w:r>
        <w:rPr>
          <w:rFonts w:hint="eastAsia"/>
        </w:rPr>
        <w:t>a）按照实际测试量，提取时间不少于6个月的患者数据（包含足够的节假日及季节引起的变异因素）；</w:t>
      </w:r>
    </w:p>
    <w:p>
      <w:pPr>
        <w:pStyle w:val="57"/>
        <w:ind w:firstLine="420"/>
      </w:pPr>
      <w:r>
        <w:rPr>
          <w:rFonts w:hint="eastAsia"/>
        </w:rPr>
        <w:t>b）提取的患者数据至少包括两个不同批号定标品和试剂改变。</w:t>
      </w:r>
    </w:p>
    <w:p>
      <w:pPr>
        <w:pStyle w:val="57"/>
        <w:ind w:firstLine="420"/>
      </w:pPr>
      <w:r>
        <w:rPr>
          <w:rFonts w:hint="eastAsia"/>
        </w:rPr>
        <w:t>在控数据量不少于20条数据/(天•维度)。在控检测结果应以四舍五入的形式保留小数点后2位，其相对标准测量不确定度不大于15%。</w:t>
      </w:r>
    </w:p>
    <w:p>
      <w:pPr>
        <w:pStyle w:val="106"/>
        <w:spacing w:before="120" w:after="120"/>
      </w:pPr>
      <w:bookmarkStart w:id="64" w:name="_Toc215387099"/>
      <w:r>
        <w:rPr>
          <w:rFonts w:hint="eastAsia"/>
        </w:rPr>
        <w:t>白细胞质量失控数字量具</w:t>
      </w:r>
      <w:bookmarkEnd w:id="64"/>
    </w:p>
    <w:p>
      <w:pPr>
        <w:pStyle w:val="57"/>
        <w:ind w:firstLine="420"/>
      </w:pPr>
      <w:r>
        <w:rPr>
          <w:rFonts w:hint="eastAsia"/>
        </w:rPr>
        <w:t>白细胞质量失控数字量具依据临床在控的全血白细胞项目检测结果计算得来，其临床排除标准和临床纳入标准遵循6.1。不同核查场景下的白细胞质量失控数字量具计量特性不同。对于首次核查，失控数据量不少于20条数据/(天•维度)，白细胞质量失控数字量具包括系统偏倚数字量具（比例偏倚数字量具和恒定偏倚数字量具）和随机失控数字量具；对于期间核查和关键点核查，失控数据量不少于20条数据/(天•维度)，白细胞质量失控数字量具至少包含比例偏倚数字量具类型。检测结果应以四舍五入的形式保留至小数点后2位，其相对标准测量不确定度不大于20%。</w:t>
      </w:r>
    </w:p>
    <w:p>
      <w:pPr>
        <w:pStyle w:val="66"/>
        <w:spacing w:before="120" w:after="120"/>
      </w:pPr>
      <w:bookmarkStart w:id="65" w:name="_Toc215387100"/>
      <w:r>
        <w:rPr>
          <w:rFonts w:hint="eastAsia"/>
        </w:rPr>
        <w:t>系统偏倚数字量具</w:t>
      </w:r>
      <w:bookmarkEnd w:id="65"/>
    </w:p>
    <w:p>
      <w:pPr>
        <w:pStyle w:val="57"/>
        <w:ind w:firstLine="420"/>
      </w:pPr>
      <w:r>
        <w:rPr>
          <w:rFonts w:hint="eastAsia"/>
        </w:rPr>
        <w:t>系统偏倚数字量具包含比例偏倚数字量具和恒定偏倚数字量具两种类型。</w:t>
      </w:r>
    </w:p>
    <w:p>
      <w:pPr>
        <w:pStyle w:val="95"/>
        <w:spacing w:before="120" w:after="120"/>
      </w:pPr>
      <w:r>
        <w:rPr>
          <w:rFonts w:hint="eastAsia"/>
        </w:rPr>
        <w:t>比例偏倚数字量具</w:t>
      </w:r>
    </w:p>
    <w:p>
      <w:pPr>
        <w:pStyle w:val="57"/>
        <w:ind w:firstLine="420"/>
      </w:pPr>
      <w:r>
        <w:rPr>
          <w:rFonts w:hint="eastAsia"/>
        </w:rPr>
        <w:t>比例偏倚数字量具中的数据量值依据公式（1）计算：</w:t>
      </w:r>
    </w:p>
    <w:p>
      <w:pPr>
        <w:pStyle w:val="57"/>
        <w:ind w:firstLine="420"/>
      </w:pPr>
      <w:r>
        <w:t xml:space="preserve"> </w:t>
      </w:r>
      <w:r>
        <w:rPr>
          <w:rFonts w:hint="eastAsia"/>
        </w:rPr>
        <w:t xml:space="preserve">                              </w:t>
      </w:r>
      <w:r>
        <w:rPr>
          <w:rFonts w:hint="eastAsia"/>
          <w:position w:val="-10"/>
        </w:rPr>
        <w:object>
          <v:shape id="_x0000_i1025" o:spt="75" type="#_x0000_t75" style="height:16.6pt;width:66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t>…………………………………………………(1)</w:t>
      </w:r>
    </w:p>
    <w:p>
      <w:pPr>
        <w:pStyle w:val="57"/>
        <w:ind w:firstLine="420"/>
      </w:pPr>
      <w:r>
        <w:rPr>
          <w:rFonts w:hint="eastAsia"/>
        </w:rPr>
        <w:t>式中：</w:t>
      </w:r>
    </w:p>
    <w:p>
      <w:pPr>
        <w:pStyle w:val="57"/>
        <w:ind w:firstLine="420"/>
      </w:pPr>
      <w:r>
        <w:rPr>
          <w:rFonts w:hint="eastAsia"/>
          <w:vertAlign w:val="subscript"/>
        </w:rPr>
        <w:object>
          <v:shape id="_x0000_i1026" o:spt="75" type="#_x0000_t75" style="height:16.6pt;width:12.3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rFonts w:hint="eastAsia"/>
        </w:rPr>
        <w:t>——比例偏倚数字量具的数据量值；</w:t>
      </w:r>
    </w:p>
    <w:p>
      <w:pPr>
        <w:pStyle w:val="57"/>
        <w:ind w:firstLine="304" w:firstLineChars="145"/>
      </w:pPr>
      <w:r>
        <w:rPr>
          <w:rFonts w:hint="eastAsia"/>
        </w:rPr>
        <w:t xml:space="preserve"> </w:t>
      </w:r>
      <w:r>
        <w:rPr>
          <w:rFonts w:hint="eastAsia"/>
          <w:position w:val="-6"/>
        </w:rPr>
        <w:object>
          <v:shape id="_x0000_i1027" o:spt="75" type="#_x0000_t75" style="height:10.6pt;width:10.6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rFonts w:hint="eastAsia"/>
        </w:rPr>
        <w:t>——质量在控数字量具的数据量值；</w:t>
      </w:r>
    </w:p>
    <w:p>
      <w:pPr>
        <w:pStyle w:val="57"/>
        <w:ind w:firstLine="420"/>
      </w:pPr>
      <w:r>
        <w:rPr>
          <w:rFonts w:hint="eastAsia"/>
        </w:rPr>
        <w:object>
          <v:shape id="_x0000_i1028" o:spt="75" type="#_x0000_t75" style="height:10.6pt;width:10.6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r>
        <w:rPr>
          <w:rFonts w:hint="eastAsia"/>
        </w:rPr>
        <w:t>——偏倚因子，取值为±0.5、±0.48、±0.46、...、±0.06、±0.04、±0.02。</w:t>
      </w:r>
    </w:p>
    <w:p>
      <w:pPr>
        <w:pStyle w:val="57"/>
        <w:ind w:firstLine="420"/>
      </w:pPr>
      <w:r>
        <w:rPr>
          <w:rFonts w:hint="eastAsia"/>
        </w:rPr>
        <w:t>每种偏倚因子下比例偏倚数字量具的数量相同，均等于质量在控数字量具的数量。</w:t>
      </w:r>
    </w:p>
    <w:p>
      <w:pPr>
        <w:pStyle w:val="95"/>
        <w:spacing w:before="120" w:after="120"/>
      </w:pPr>
      <w:r>
        <w:rPr>
          <w:rFonts w:hint="eastAsia"/>
        </w:rPr>
        <w:t>恒定偏倚数字量具</w:t>
      </w:r>
    </w:p>
    <w:p>
      <w:pPr>
        <w:pStyle w:val="57"/>
        <w:ind w:firstLine="420"/>
      </w:pPr>
      <w:r>
        <w:rPr>
          <w:rFonts w:hint="eastAsia"/>
        </w:rPr>
        <w:t>恒定偏倚数字量具中的数据量值依据公式（2）计算：</w:t>
      </w:r>
    </w:p>
    <w:p>
      <w:pPr>
        <w:pStyle w:val="57"/>
        <w:ind w:firstLine="3570" w:firstLineChars="1700"/>
      </w:pPr>
      <w:r>
        <w:rPr>
          <w:rFonts w:hint="eastAsia"/>
        </w:rPr>
        <w:object>
          <v:shape id="_x0000_i1029" o:spt="75" type="#_x0000_t75" style="height:16.6pt;width:89.65pt;" o:ole="t" filled="f" o:preferrelative="t" stroked="f" coordsize="21600,21600">
            <v:path/>
            <v:fill on="f" focussize="0,0"/>
            <v:stroke on="f" joinstyle="miter"/>
            <v:imagedata r:id="rId26" o:title=""/>
            <o:lock v:ext="edit" aspectratio="t"/>
            <w10:wrap type="none"/>
            <w10:anchorlock/>
          </v:shape>
          <o:OLEObject Type="Embed" ProgID="Equation.3" ShapeID="_x0000_i1029" DrawAspect="Content" ObjectID="_1468075729" r:id="rId25">
            <o:LockedField>false</o:LockedField>
          </o:OLEObject>
        </w:object>
      </w:r>
      <w:r>
        <w:t>……………………………………………(2)</w:t>
      </w:r>
    </w:p>
    <w:p>
      <w:pPr>
        <w:pStyle w:val="57"/>
        <w:ind w:firstLine="420"/>
      </w:pPr>
      <w:r>
        <w:rPr>
          <w:rFonts w:hint="eastAsia"/>
        </w:rPr>
        <w:t>式中：</w:t>
      </w:r>
    </w:p>
    <w:p>
      <w:pPr>
        <w:pStyle w:val="57"/>
        <w:ind w:firstLine="420"/>
      </w:pPr>
      <w:r>
        <w:rPr>
          <w:rFonts w:hint="eastAsia"/>
        </w:rPr>
        <w:object>
          <v:shape id="_x0000_i1030" o:spt="75" type="#_x0000_t75" style="height:16.6pt;width:12.7pt;" o:ole="t" filled="f" o:preferrelative="t" stroked="f" coordsize="21600,21600">
            <v:path/>
            <v:fill on="f" focussize="0,0"/>
            <v:stroke on="f" joinstyle="miter"/>
            <v:imagedata r:id="rId28" o:title=""/>
            <o:lock v:ext="edit" aspectratio="t"/>
            <w10:wrap type="none"/>
            <w10:anchorlock/>
          </v:shape>
          <o:OLEObject Type="Embed" ProgID="Equation.3" ShapeID="_x0000_i1030" DrawAspect="Content" ObjectID="_1468075730" r:id="rId27">
            <o:LockedField>false</o:LockedField>
          </o:OLEObject>
        </w:object>
      </w:r>
      <w:r>
        <w:rPr>
          <w:rFonts w:hint="eastAsia"/>
        </w:rPr>
        <w:t>——恒定偏倚数字量具的数据量值；</w:t>
      </w:r>
    </w:p>
    <w:p>
      <w:pPr>
        <w:pStyle w:val="57"/>
        <w:ind w:firstLine="304" w:firstLineChars="145"/>
      </w:pPr>
      <w:r>
        <w:rPr>
          <w:rFonts w:hint="eastAsia"/>
        </w:rPr>
        <w:t xml:space="preserve"> </w:t>
      </w:r>
      <w:r>
        <w:rPr>
          <w:rFonts w:hint="eastAsia"/>
        </w:rPr>
        <w:object>
          <v:shape id="_x0000_i1031" o:spt="75" type="#_x0000_t75" style="height:10.6pt;width:10.6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9">
            <o:LockedField>false</o:LockedField>
          </o:OLEObject>
        </w:object>
      </w:r>
      <w:r>
        <w:rPr>
          <w:rFonts w:hint="eastAsia"/>
        </w:rPr>
        <w:t>——质量在控数字量具的数据量值；</w:t>
      </w:r>
    </w:p>
    <w:p>
      <w:pPr>
        <w:pStyle w:val="57"/>
        <w:ind w:firstLine="420"/>
      </w:pPr>
      <w:r>
        <w:rPr>
          <w:rFonts w:hint="eastAsia"/>
        </w:rPr>
        <w:object>
          <v:shape id="_x0000_i1032" o:spt="75" type="#_x0000_t75" style="height:10.6pt;width:10.6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30">
            <o:LockedField>false</o:LockedField>
          </o:OLEObject>
        </w:object>
      </w:r>
      <w:r>
        <w:rPr>
          <w:rFonts w:hint="eastAsia"/>
        </w:rPr>
        <w:t>——偏倚因子，取值为±1/6、±1/4、±1/2、±1、±3/2；</w:t>
      </w:r>
    </w:p>
    <w:p>
      <w:pPr>
        <w:pStyle w:val="57"/>
        <w:ind w:firstLine="420"/>
      </w:pPr>
      <w:r>
        <w:rPr>
          <w:rFonts w:hint="eastAsia"/>
        </w:rPr>
        <w:t>TEa——项目的允许总误差；</w:t>
      </w:r>
    </w:p>
    <w:p>
      <w:pPr>
        <w:pStyle w:val="57"/>
        <w:ind w:firstLine="420"/>
      </w:pPr>
      <w:r>
        <w:rPr>
          <w:rFonts w:hint="eastAsia"/>
        </w:rPr>
        <w:object>
          <v:shape id="_x0000_i1033" o:spt="75" type="#_x0000_t75" style="height:12.7pt;width:11.65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1">
            <o:LockedField>false</o:LockedField>
          </o:OLEObject>
        </w:object>
      </w:r>
      <w:r>
        <w:rPr>
          <w:rFonts w:hint="eastAsia"/>
        </w:rPr>
        <w:t>——所有质量在控检验结果的平均值。</w:t>
      </w:r>
    </w:p>
    <w:p>
      <w:pPr>
        <w:pStyle w:val="57"/>
        <w:ind w:firstLine="420"/>
      </w:pPr>
      <w:r>
        <w:rPr>
          <w:rFonts w:hint="eastAsia"/>
        </w:rPr>
        <w:t>每种偏倚因子下比例偏倚数字量具的数量相同，均等于质量在控数字量具的数量。</w:t>
      </w:r>
    </w:p>
    <w:p>
      <w:pPr>
        <w:pStyle w:val="66"/>
        <w:spacing w:before="120" w:after="120"/>
      </w:pPr>
      <w:bookmarkStart w:id="66" w:name="_Toc215387101"/>
      <w:r>
        <w:rPr>
          <w:rFonts w:hint="eastAsia"/>
        </w:rPr>
        <w:t>随机失控数字量具</w:t>
      </w:r>
      <w:bookmarkEnd w:id="66"/>
    </w:p>
    <w:p>
      <w:pPr>
        <w:pStyle w:val="57"/>
        <w:ind w:firstLine="420"/>
      </w:pPr>
      <w:r>
        <w:rPr>
          <w:rFonts w:hint="eastAsia"/>
        </w:rPr>
        <w:t>随机失控数字量具中的数据量值依据公式（3）计算：</w:t>
      </w:r>
    </w:p>
    <w:p>
      <w:pPr>
        <w:pStyle w:val="57"/>
        <w:ind w:firstLine="210" w:firstLineChars="0"/>
        <w:jc w:val="center"/>
      </w:pPr>
      <w:r>
        <w:rPr>
          <w:rFonts w:hint="eastAsia"/>
        </w:rPr>
        <w:t xml:space="preserve">                              </w:t>
      </w:r>
      <w:r>
        <w:rPr>
          <w:rFonts w:hint="eastAsia"/>
        </w:rPr>
        <w:object>
          <v:shape id="_x0000_i1034" o:spt="75" type="#_x0000_t75" style="height:17.65pt;width:47.65pt;" o:ole="t" filled="f" o:preferrelative="t" stroked="f" coordsize="21600,21600">
            <v:path/>
            <v:fill on="f" focussize="0,0"/>
            <v:stroke on="f" joinstyle="miter"/>
            <v:imagedata r:id="rId34" o:title=""/>
            <o:lock v:ext="edit" aspectratio="t"/>
            <w10:wrap type="none"/>
            <w10:anchorlock/>
          </v:shape>
          <o:OLEObject Type="Embed" ProgID="Equation.3" ShapeID="_x0000_i1034" DrawAspect="Content" ObjectID="_1468075734" r:id="rId33">
            <o:LockedField>false</o:LockedField>
          </o:OLEObject>
        </w:object>
      </w:r>
      <w:r>
        <w:t>………………………………………………………(3)</w:t>
      </w:r>
    </w:p>
    <w:p>
      <w:pPr>
        <w:pStyle w:val="57"/>
        <w:ind w:firstLine="420"/>
      </w:pPr>
      <w:r>
        <w:rPr>
          <w:rFonts w:hint="eastAsia"/>
        </w:rPr>
        <w:t>式中：</w:t>
      </w:r>
    </w:p>
    <w:p>
      <w:pPr>
        <w:pStyle w:val="57"/>
        <w:ind w:firstLine="199" w:firstLineChars="95"/>
      </w:pPr>
      <w:r>
        <w:rPr>
          <w:rFonts w:hint="eastAsia"/>
        </w:rPr>
        <w:t xml:space="preserve"> </w:t>
      </w:r>
      <w:r>
        <w:rPr>
          <w:rFonts w:hint="eastAsia"/>
        </w:rPr>
        <w:object>
          <v:shape id="_x0000_i1035" o:spt="75" type="#_x0000_t75" style="height:17.65pt;width:12.7pt;" o:ole="t" filled="f" o:preferrelative="t" stroked="f" coordsize="21600,21600">
            <v:path/>
            <v:fill on="f" focussize="0,0"/>
            <v:stroke on="f" joinstyle="miter"/>
            <v:imagedata r:id="rId36" o:title=""/>
            <o:lock v:ext="edit" aspectratio="t"/>
            <w10:wrap type="none"/>
            <w10:anchorlock/>
          </v:shape>
          <o:OLEObject Type="Embed" ProgID="Equation.3" ShapeID="_x0000_i1035" DrawAspect="Content" ObjectID="_1468075735" r:id="rId35">
            <o:LockedField>false</o:LockedField>
          </o:OLEObject>
        </w:object>
      </w:r>
      <w:r>
        <w:rPr>
          <w:rFonts w:hint="eastAsia" w:hAnsi="宋体" w:cs="宋体"/>
        </w:rPr>
        <w:t>—</w:t>
      </w:r>
      <w:r>
        <w:rPr>
          <w:rFonts w:hint="eastAsia"/>
        </w:rPr>
        <w:t>随机失控数字量具的数据量值；</w:t>
      </w:r>
    </w:p>
    <w:p>
      <w:pPr>
        <w:pStyle w:val="57"/>
        <w:ind w:firstLine="304" w:firstLineChars="145"/>
      </w:pPr>
      <w:r>
        <w:rPr>
          <w:rFonts w:hint="eastAsia"/>
        </w:rPr>
        <w:object>
          <v:shape id="_x0000_i1036" o:spt="75" type="#_x0000_t75" style="height:10.6pt;width:10.6pt;" o:ole="t" filled="f" o:preferrelative="t" stroked="f" coordsize="21600,21600">
            <v:path/>
            <v:fill on="f" focussize="0,0"/>
            <v:stroke on="f" joinstyle="miter"/>
            <v:imagedata r:id="rId22" o:title=""/>
            <o:lock v:ext="edit" aspectratio="t"/>
            <w10:wrap type="none"/>
            <w10:anchorlock/>
          </v:shape>
          <o:OLEObject Type="Embed" ProgID="Equation.3" ShapeID="_x0000_i1036" DrawAspect="Content" ObjectID="_1468075736" r:id="rId37">
            <o:LockedField>false</o:LockedField>
          </o:OLEObject>
        </w:object>
      </w:r>
      <w:r>
        <w:rPr>
          <w:rFonts w:hint="eastAsia"/>
        </w:rPr>
        <w:t>——质量在控数字量具的数据量值；</w:t>
      </w:r>
    </w:p>
    <w:p>
      <w:pPr>
        <w:pStyle w:val="57"/>
        <w:ind w:firstLine="304" w:firstLineChars="145"/>
      </w:pPr>
      <w:r>
        <w:rPr>
          <w:rFonts w:hint="eastAsia"/>
          <w:position w:val="-6"/>
        </w:rPr>
        <w:object>
          <v:shape id="_x0000_i1037" o:spt="75" type="#_x0000_t75" style="height:10.6pt;width:9.2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37" r:id="rId38">
            <o:LockedField>false</o:LockedField>
          </o:OLEObject>
        </w:object>
      </w:r>
      <w:r>
        <w:rPr>
          <w:rFonts w:hint="eastAsia"/>
        </w:rPr>
        <w:t>——引入的噪音成分。</w:t>
      </w:r>
    </w:p>
    <w:p>
      <w:pPr>
        <w:pStyle w:val="57"/>
        <w:ind w:firstLine="420"/>
      </w:pPr>
      <w:r>
        <w:rPr>
          <w:rFonts w:hint="eastAsia"/>
        </w:rPr>
        <w:t>本数字量具按照所分布的噪音类型可分为高斯分布、U形分布、均匀分布三类。</w:t>
      </w:r>
    </w:p>
    <w:p>
      <w:pPr>
        <w:pStyle w:val="57"/>
        <w:ind w:firstLine="420"/>
      </w:pPr>
      <w:r>
        <w:rPr>
          <w:rFonts w:hint="eastAsia"/>
        </w:rPr>
        <w:t>高斯分布随机失控数字量具中的高斯分布噪音均值满足±1/3、±1/2、0倍TEa，标准差满足1/3、1/2、3/2、3倍的质量在控数字量具的标准差。</w:t>
      </w:r>
    </w:p>
    <w:p>
      <w:pPr>
        <w:pStyle w:val="57"/>
        <w:ind w:firstLine="420"/>
      </w:pPr>
      <w:r>
        <w:rPr>
          <w:rFonts w:hint="eastAsia"/>
        </w:rPr>
        <w:t xml:space="preserve">U形分布随机失控数字量具中的U形分布噪音均值满足±1/3、±1/2、0倍TEa，标准差满足1/3、1/2、3/2、3倍的质量在控数字量具的标准差。    </w:t>
      </w:r>
    </w:p>
    <w:p>
      <w:pPr>
        <w:pStyle w:val="57"/>
        <w:ind w:firstLine="420"/>
      </w:pPr>
      <w:r>
        <w:rPr>
          <w:rFonts w:hint="eastAsia"/>
        </w:rPr>
        <w:t>均匀分布随机失控数字量具中的均匀分布噪音上下限范围满足±1/3、±1/2、0倍TEa或1/3、1/2、3/2、3倍的质量在控数字量具的标准差。</w:t>
      </w:r>
    </w:p>
    <w:p>
      <w:pPr>
        <w:pStyle w:val="105"/>
        <w:spacing w:before="240" w:after="240"/>
      </w:pPr>
      <w:bookmarkStart w:id="67" w:name="_Toc215387102"/>
      <w:r>
        <w:rPr>
          <w:rFonts w:hint="eastAsia"/>
        </w:rPr>
        <w:t>溯源时间及范围</w:t>
      </w:r>
      <w:bookmarkEnd w:id="67"/>
    </w:p>
    <w:p>
      <w:pPr>
        <w:pStyle w:val="106"/>
        <w:spacing w:before="120" w:after="120"/>
      </w:pPr>
      <w:bookmarkStart w:id="68" w:name="_Toc215387103"/>
      <w:r>
        <w:rPr>
          <w:rFonts w:hint="eastAsia"/>
        </w:rPr>
        <w:t>首次核查</w:t>
      </w:r>
      <w:bookmarkEnd w:id="68"/>
    </w:p>
    <w:p>
      <w:pPr>
        <w:pStyle w:val="57"/>
        <w:ind w:firstLine="420"/>
      </w:pPr>
      <w:r>
        <w:rPr>
          <w:rFonts w:hint="eastAsia"/>
        </w:rPr>
        <w:t>算法首次部署开机核查时，应实施全部检查项目：假性失控率、误差检出率、错误报告患者检测结果数量中位值/平均值、算法评价值。其中质量失控数字量具数据量至少5万/维度，且需核查以下全部偏倚类型：比例偏倚、恒定偏倚、随机失控。</w:t>
      </w:r>
    </w:p>
    <w:p>
      <w:pPr>
        <w:pStyle w:val="106"/>
        <w:spacing w:before="120" w:after="120"/>
      </w:pPr>
      <w:bookmarkStart w:id="69" w:name="_Toc215387104"/>
      <w:r>
        <w:rPr>
          <w:rFonts w:hint="eastAsia"/>
        </w:rPr>
        <w:t>周期核查</w:t>
      </w:r>
      <w:bookmarkEnd w:id="69"/>
    </w:p>
    <w:p>
      <w:pPr>
        <w:pStyle w:val="57"/>
        <w:ind w:firstLine="420"/>
      </w:pPr>
      <w:r>
        <w:rPr>
          <w:rFonts w:hint="eastAsia"/>
        </w:rPr>
        <w:t>算法常规使用期间，可利用日常工作产生的检验和质控数据，定期对算法的计量特性进行核查。建议核查周期不超过1年。只针对假性失控率、误差检出率进行核查。其中质量失控数字量具每维度数量为建方法所用数据集的1/4倍到1倍之间，只需核查比例偏倚类型。</w:t>
      </w:r>
    </w:p>
    <w:p>
      <w:pPr>
        <w:pStyle w:val="106"/>
        <w:spacing w:before="120" w:after="120"/>
      </w:pPr>
      <w:bookmarkStart w:id="70" w:name="_Toc215387105"/>
      <w:r>
        <w:rPr>
          <w:rFonts w:hint="eastAsia"/>
        </w:rPr>
        <w:t>关键点核查</w:t>
      </w:r>
      <w:bookmarkEnd w:id="70"/>
    </w:p>
    <w:p>
      <w:pPr>
        <w:pStyle w:val="57"/>
        <w:ind w:firstLine="420"/>
      </w:pPr>
      <w:r>
        <w:rPr>
          <w:rFonts w:hint="eastAsia"/>
        </w:rPr>
        <w:t>现有算法的任一要素（软件、仪器、试剂）变更影响质量控制算法计量特性的情况发生后，应在算法重新启用前对可能受影响的计量特性进行核查。关键点核查时只针对假性失控率、误差检出率。其中质量失控数字量具核查数据量至少1万条数据/维度，偏倚类型至少包括但不限于比例偏倚类型。影响算法计量特性的情况包括但不限于：</w:t>
      </w:r>
    </w:p>
    <w:p>
      <w:pPr>
        <w:pStyle w:val="57"/>
        <w:ind w:firstLine="420"/>
      </w:pPr>
      <w:r>
        <w:rPr>
          <w:rFonts w:hint="eastAsia"/>
        </w:rPr>
        <w:t>a）检测程序所在硬件更换升级；</w:t>
      </w:r>
    </w:p>
    <w:p>
      <w:pPr>
        <w:pStyle w:val="57"/>
        <w:ind w:firstLine="420"/>
      </w:pPr>
      <w:r>
        <w:rPr>
          <w:rFonts w:hint="eastAsia"/>
        </w:rPr>
        <w:t>b) 检测程序所在操作系统升级；</w:t>
      </w:r>
    </w:p>
    <w:p>
      <w:pPr>
        <w:pStyle w:val="57"/>
        <w:ind w:firstLine="420"/>
      </w:pPr>
      <w:r>
        <w:rPr>
          <w:rFonts w:hint="eastAsia"/>
        </w:rPr>
        <w:t>c) 检测程序所在软件环境进行其他软件的安装和删除；</w:t>
      </w:r>
    </w:p>
    <w:p>
      <w:pPr>
        <w:pStyle w:val="57"/>
        <w:ind w:firstLine="420"/>
      </w:pPr>
      <w:r>
        <w:rPr>
          <w:rFonts w:hint="eastAsia"/>
        </w:rPr>
        <w:t>d) 检测程序本身安装升级；</w:t>
      </w:r>
    </w:p>
    <w:p>
      <w:pPr>
        <w:pStyle w:val="57"/>
        <w:ind w:firstLine="420"/>
      </w:pPr>
      <w:r>
        <w:rPr>
          <w:rFonts w:hint="eastAsia"/>
        </w:rPr>
        <w:t>e) 远程校准；</w:t>
      </w:r>
    </w:p>
    <w:p>
      <w:pPr>
        <w:pStyle w:val="57"/>
        <w:ind w:firstLine="420"/>
      </w:pPr>
      <w:r>
        <w:rPr>
          <w:rFonts w:hint="eastAsia"/>
        </w:rPr>
        <w:t>f) 仪器发生维修；</w:t>
      </w:r>
    </w:p>
    <w:p>
      <w:pPr>
        <w:pStyle w:val="57"/>
        <w:ind w:firstLine="420"/>
      </w:pPr>
      <w:r>
        <w:rPr>
          <w:rFonts w:hint="eastAsia"/>
        </w:rPr>
        <w:t>g) 关键零部件更换；</w:t>
      </w:r>
    </w:p>
    <w:p>
      <w:pPr>
        <w:pStyle w:val="57"/>
        <w:ind w:firstLine="420"/>
      </w:pPr>
      <w:r>
        <w:rPr>
          <w:rFonts w:hint="eastAsia"/>
        </w:rPr>
        <w:t>h) 关键试剂更换；</w:t>
      </w:r>
    </w:p>
    <w:p>
      <w:pPr>
        <w:pStyle w:val="57"/>
        <w:ind w:firstLine="420"/>
      </w:pPr>
      <w:r>
        <w:rPr>
          <w:rFonts w:hint="eastAsia"/>
        </w:rPr>
        <w:t>i) 仪器搬迁；</w:t>
      </w:r>
    </w:p>
    <w:p>
      <w:pPr>
        <w:pStyle w:val="57"/>
        <w:ind w:firstLine="420"/>
      </w:pPr>
      <w:r>
        <w:rPr>
          <w:rFonts w:hint="eastAsia"/>
        </w:rPr>
        <w:t>j) 设施和环境发生重大变化。</w:t>
      </w:r>
    </w:p>
    <w:p>
      <w:pPr>
        <w:pStyle w:val="105"/>
        <w:spacing w:before="240" w:after="240"/>
      </w:pPr>
      <w:bookmarkStart w:id="71" w:name="_Toc215387106"/>
      <w:r>
        <w:rPr>
          <w:rFonts w:hint="eastAsia"/>
        </w:rPr>
        <w:t>溯源方法</w:t>
      </w:r>
      <w:bookmarkEnd w:id="71"/>
    </w:p>
    <w:p>
      <w:pPr>
        <w:pStyle w:val="57"/>
        <w:ind w:firstLine="420"/>
      </w:pPr>
      <w:r>
        <w:rPr>
          <w:rFonts w:hint="eastAsia"/>
        </w:rPr>
        <w:t>溯源方法采用本规范所使用的数字量具计算假性失控概率、误差检出概率、错误报告患者检测结果数量中位值/平均值、算法评价值。比例偏倚环境下溯源记录格式案例见附录A，恒定偏倚环境下溯源记录格式案例见附录B，随机偏倚环境下溯源记录格式案例见附录C。对于初始开机时核查，应满足：</w:t>
      </w:r>
      <w:r>
        <w:rPr>
          <w:i/>
          <w:iCs/>
        </w:rPr>
        <w:t>P</w:t>
      </w:r>
      <w:r>
        <w:rPr>
          <w:vertAlign w:val="subscript"/>
        </w:rPr>
        <w:t>ED</w:t>
      </w:r>
      <w:r>
        <w:rPr>
          <w:rFonts w:hint="eastAsia"/>
        </w:rPr>
        <w:t xml:space="preserve"> &gt;95%，</w:t>
      </w:r>
      <w:r>
        <w:rPr>
          <w:i/>
          <w:iCs/>
        </w:rPr>
        <w:t>P</w:t>
      </w:r>
      <w:r>
        <w:rPr>
          <w:vertAlign w:val="subscript"/>
        </w:rPr>
        <w:t>FR</w:t>
      </w:r>
      <w:r>
        <w:rPr>
          <w:rFonts w:hint="eastAsia"/>
        </w:rPr>
        <w:t xml:space="preserve"> &lt;5%；对于过程核查，应满足：</w:t>
      </w:r>
      <w:r>
        <w:rPr>
          <w:i/>
          <w:iCs/>
        </w:rPr>
        <w:t>P</w:t>
      </w:r>
      <w:r>
        <w:rPr>
          <w:vertAlign w:val="subscript"/>
        </w:rPr>
        <w:t>ED</w:t>
      </w:r>
      <w:r>
        <w:rPr>
          <w:rFonts w:hint="eastAsia"/>
        </w:rPr>
        <w:t xml:space="preserve"> &gt;90%，</w:t>
      </w:r>
      <w:r>
        <w:rPr>
          <w:i/>
          <w:iCs/>
        </w:rPr>
        <w:t>P</w:t>
      </w:r>
      <w:r>
        <w:rPr>
          <w:vertAlign w:val="subscript"/>
        </w:rPr>
        <w:t>FR</w:t>
      </w:r>
      <w:r>
        <w:rPr>
          <w:rFonts w:hint="eastAsia"/>
        </w:rPr>
        <w:t xml:space="preserve"> &lt;0.5%。</w:t>
      </w:r>
    </w:p>
    <w:bookmarkEnd w:id="24"/>
    <w:p>
      <w:pPr>
        <w:pStyle w:val="106"/>
        <w:spacing w:before="120" w:after="120"/>
      </w:pPr>
      <w:bookmarkStart w:id="72" w:name="_Toc215387107"/>
      <w:r>
        <w:rPr>
          <w:rFonts w:hint="eastAsia"/>
        </w:rPr>
        <w:t>假性失控率</w:t>
      </w:r>
      <w:bookmarkEnd w:id="72"/>
    </w:p>
    <w:p>
      <w:pPr>
        <w:pStyle w:val="57"/>
        <w:ind w:firstLine="420"/>
      </w:pPr>
      <w:r>
        <w:rPr>
          <w:rFonts w:hint="eastAsia"/>
        </w:rPr>
        <w:t>采用质量在控数字量具输入待测评算法，依据公式（4）计算PFR。</w:t>
      </w:r>
    </w:p>
    <w:p>
      <w:pPr>
        <w:pStyle w:val="57"/>
        <w:ind w:firstLine="3780" w:firstLineChars="1800"/>
      </w:pPr>
      <m:oMath>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FR</m:t>
            </m:r>
            <m:ctrlPr>
              <w:rPr>
                <w:rFonts w:hint="eastAsia" w:ascii="Cambria Math" w:hAnsi="Cambria Math"/>
              </w:rPr>
            </m:ctrlPr>
          </m:sub>
        </m:sSub>
        <m:r>
          <m:rPr>
            <m:sty m:val="p"/>
          </m:rPr>
          <w:rPr>
            <w:rFonts w:hint="eastAsia" w:ascii="Cambria Math" w:hAnsi="Cambria Math"/>
          </w:rPr>
          <m:t>=</m:t>
        </m:r>
        <m:f>
          <m:fPr>
            <m:ctrlPr>
              <w:rPr>
                <w:rFonts w:hint="eastAsia" w:ascii="Cambria Math" w:hAnsi="Cambria Math"/>
              </w:rPr>
            </m:ctrlPr>
          </m:fPr>
          <m:num>
            <m:r>
              <m:rPr>
                <m:sty m:val="p"/>
              </m:rPr>
              <w:rPr>
                <w:rFonts w:hint="eastAsia" w:ascii="Cambria Math" w:hAnsi="Cambria Math"/>
              </w:rPr>
              <m:t>1</m:t>
            </m:r>
            <m:ctrlPr>
              <w:rPr>
                <w:rFonts w:hint="eastAsia" w:ascii="Cambria Math" w:hAnsi="Cambria Math"/>
              </w:rPr>
            </m:ctrlPr>
          </m:num>
          <m:den>
            <m:r>
              <m:rPr>
                <m:sty m:val="p"/>
              </m:rPr>
              <w:rPr>
                <w:rFonts w:hint="eastAsia" w:ascii="Cambria Math" w:hAnsi="Cambria Math"/>
              </w:rPr>
              <m:t>n</m:t>
            </m:r>
            <m:ctrlPr>
              <w:rPr>
                <w:rFonts w:hint="eastAsia" w:ascii="Cambria Math" w:hAnsi="Cambria Math"/>
              </w:rPr>
            </m:ctrlPr>
          </m:den>
        </m:f>
        <m:nary>
          <m:naryPr>
            <m:chr m:val="∑"/>
            <m:limLoc m:val="undOvr"/>
            <m:ctrlPr>
              <w:rPr>
                <w:rFonts w:hint="eastAsia" w:ascii="Cambria Math" w:hAnsi="Cambria Math"/>
              </w:rPr>
            </m:ctrlPr>
          </m:naryPr>
          <m:sub>
            <m:r>
              <m:rPr>
                <m:sty m:val="p"/>
              </m:rPr>
              <w:rPr>
                <w:rFonts w:hint="eastAsia" w:ascii="Cambria Math" w:hAnsi="Cambria Math"/>
              </w:rPr>
              <m:t>i=1</m:t>
            </m:r>
            <m:ctrlPr>
              <w:rPr>
                <w:rFonts w:hint="eastAsia" w:ascii="Cambria Math" w:hAnsi="Cambria Math"/>
              </w:rPr>
            </m:ctrlPr>
          </m:sub>
          <m:sup>
            <m:r>
              <m:rPr>
                <m:sty m:val="p"/>
              </m:rPr>
              <w:rPr>
                <w:rFonts w:hint="eastAsia" w:ascii="Cambria Math" w:hAnsi="Cambria Math"/>
              </w:rPr>
              <m:t>n</m:t>
            </m:r>
            <m:ctrlPr>
              <w:rPr>
                <w:rFonts w:hint="eastAsia" w:ascii="Cambria Math" w:hAnsi="Cambria Math"/>
              </w:rPr>
            </m:ctrlPr>
          </m:sup>
          <m:e>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ctrlPr>
              <w:rPr>
                <w:rFonts w:hint="eastAsia" w:ascii="Cambria Math" w:hAnsi="Cambria Math"/>
              </w:rPr>
            </m:ctrlPr>
          </m:e>
        </m:nary>
        <m:r>
          <m:rPr>
            <m:sty m:val="p"/>
          </m:rPr>
          <w:rPr>
            <w:rFonts w:hint="eastAsia" w:ascii="Cambria Math" w:hAnsi="Cambria Math"/>
          </w:rPr>
          <m:t>×100%</m:t>
        </m:r>
      </m:oMath>
      <w:r>
        <w:rPr>
          <w:rFonts w:ascii="Calibri" w:hAnsi="Calibri" w:cs="Calibri"/>
        </w:rPr>
        <w:t>…………………………………………………………</w:t>
      </w:r>
      <w:r>
        <w:rPr>
          <w:rFonts w:hint="eastAsia"/>
        </w:rPr>
        <w:t>（</w:t>
      </w:r>
      <w:r>
        <w:t>4</w:t>
      </w:r>
      <w:r>
        <w:rPr>
          <w:rFonts w:hint="eastAsia"/>
        </w:rPr>
        <w:t>）</w:t>
      </w:r>
    </w:p>
    <w:p>
      <w:pPr>
        <w:pStyle w:val="57"/>
        <w:ind w:firstLine="420"/>
      </w:pPr>
      <w:r>
        <w:rPr>
          <w:rFonts w:hint="eastAsia"/>
        </w:rPr>
        <w:t>式中：</w:t>
      </w:r>
    </w:p>
    <w:p>
      <w:pPr>
        <w:pStyle w:val="57"/>
        <w:ind w:firstLine="420"/>
      </w:pPr>
      <w:r>
        <w:rPr>
          <w:rFonts w:hint="eastAsia"/>
        </w:rPr>
        <w:t>n——数字量具中数据的个数；</w:t>
      </w:r>
    </w:p>
    <w:p>
      <w:pPr>
        <w:pStyle w:val="57"/>
        <w:ind w:firstLine="420"/>
      </w:pPr>
      <m:oMath>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oMath>
      <w:r>
        <w:rPr>
          <w:rFonts w:hint="eastAsia"/>
        </w:rPr>
        <w:t>——第i个实际判定结果，取值为0（判定在控状态）或者1（判定失控状态）。</w:t>
      </w:r>
    </w:p>
    <w:p>
      <w:pPr>
        <w:pStyle w:val="106"/>
        <w:spacing w:before="120" w:after="120"/>
      </w:pPr>
      <w:bookmarkStart w:id="73" w:name="_Toc215387108"/>
      <w:r>
        <w:rPr>
          <w:rFonts w:hint="eastAsia"/>
        </w:rPr>
        <w:t>误差检出率</w:t>
      </w:r>
      <w:bookmarkEnd w:id="73"/>
    </w:p>
    <w:p>
      <w:pPr>
        <w:pStyle w:val="57"/>
        <w:ind w:firstLine="420"/>
      </w:pPr>
      <w:r>
        <w:rPr>
          <w:rFonts w:hint="eastAsia"/>
        </w:rPr>
        <w:t>采用质量失控数字量具输入待测评算法，依据公式（5）计算PED。</w:t>
      </w:r>
    </w:p>
    <w:p>
      <w:pPr>
        <w:pStyle w:val="57"/>
        <w:ind w:firstLine="3780" w:firstLineChars="1800"/>
      </w:pPr>
      <m:oMath>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ED</m:t>
            </m:r>
            <m:ctrlPr>
              <w:rPr>
                <w:rFonts w:hint="eastAsia" w:ascii="Cambria Math" w:hAnsi="Cambria Math"/>
              </w:rPr>
            </m:ctrlPr>
          </m:sub>
        </m:sSub>
        <m:r>
          <m:rPr>
            <m:sty m:val="p"/>
          </m:rPr>
          <w:rPr>
            <w:rFonts w:hint="eastAsia" w:ascii="Cambria Math" w:hAnsi="Cambria Math"/>
          </w:rPr>
          <m:t>=</m:t>
        </m:r>
        <m:f>
          <m:fPr>
            <m:ctrlPr>
              <w:rPr>
                <w:rFonts w:hint="eastAsia" w:ascii="Cambria Math" w:hAnsi="Cambria Math"/>
              </w:rPr>
            </m:ctrlPr>
          </m:fPr>
          <m:num>
            <m:r>
              <m:rPr>
                <m:sty m:val="p"/>
              </m:rPr>
              <w:rPr>
                <w:rFonts w:hint="eastAsia" w:ascii="Cambria Math" w:hAnsi="Cambria Math"/>
              </w:rPr>
              <m:t>1</m:t>
            </m:r>
            <m:ctrlPr>
              <w:rPr>
                <w:rFonts w:hint="eastAsia" w:ascii="Cambria Math" w:hAnsi="Cambria Math"/>
              </w:rPr>
            </m:ctrlPr>
          </m:num>
          <m:den>
            <m:r>
              <m:rPr>
                <m:sty m:val="p"/>
              </m:rPr>
              <w:rPr>
                <w:rFonts w:hint="eastAsia" w:ascii="Cambria Math" w:hAnsi="Cambria Math"/>
              </w:rPr>
              <m:t>n</m:t>
            </m:r>
            <m:ctrlPr>
              <w:rPr>
                <w:rFonts w:hint="eastAsia" w:ascii="Cambria Math" w:hAnsi="Cambria Math"/>
              </w:rPr>
            </m:ctrlPr>
          </m:den>
        </m:f>
        <m:nary>
          <m:naryPr>
            <m:chr m:val="∑"/>
            <m:limLoc m:val="undOvr"/>
            <m:ctrlPr>
              <w:rPr>
                <w:rFonts w:hint="eastAsia" w:ascii="Cambria Math" w:hAnsi="Cambria Math"/>
              </w:rPr>
            </m:ctrlPr>
          </m:naryPr>
          <m:sub>
            <m:r>
              <m:rPr>
                <m:sty m:val="p"/>
              </m:rPr>
              <w:rPr>
                <w:rFonts w:hint="eastAsia" w:ascii="Cambria Math" w:hAnsi="Cambria Math"/>
              </w:rPr>
              <m:t>i=1</m:t>
            </m:r>
            <m:ctrlPr>
              <w:rPr>
                <w:rFonts w:hint="eastAsia" w:ascii="Cambria Math" w:hAnsi="Cambria Math"/>
              </w:rPr>
            </m:ctrlPr>
          </m:sub>
          <m:sup>
            <m:r>
              <m:rPr>
                <m:sty m:val="p"/>
              </m:rPr>
              <w:rPr>
                <w:rFonts w:hint="eastAsia" w:ascii="Cambria Math" w:hAnsi="Cambria Math"/>
              </w:rPr>
              <m:t>n</m:t>
            </m:r>
            <m:ctrlPr>
              <w:rPr>
                <w:rFonts w:hint="eastAsia" w:ascii="Cambria Math" w:hAnsi="Cambria Math"/>
              </w:rPr>
            </m:ctrlPr>
          </m:sup>
          <m:e>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ctrlPr>
              <w:rPr>
                <w:rFonts w:hint="eastAsia" w:ascii="Cambria Math" w:hAnsi="Cambria Math"/>
              </w:rPr>
            </m:ctrlPr>
          </m:e>
        </m:nary>
        <m:r>
          <m:rPr>
            <m:sty m:val="p"/>
          </m:rPr>
          <w:rPr>
            <w:rFonts w:hint="eastAsia" w:ascii="Cambria Math" w:hAnsi="Cambria Math"/>
          </w:rPr>
          <m:t>×100%</m:t>
        </m:r>
      </m:oMath>
      <w:r>
        <w:rPr>
          <w:rFonts w:ascii="Calibri" w:hAnsi="Calibri" w:cs="Calibri"/>
        </w:rPr>
        <w:t>…………………………………………………………</w:t>
      </w:r>
      <w:r>
        <w:rPr>
          <w:rFonts w:hint="eastAsia"/>
        </w:rPr>
        <w:t>（</w:t>
      </w:r>
      <w:r>
        <w:t>5</w:t>
      </w:r>
      <w:r>
        <w:rPr>
          <w:rFonts w:hint="eastAsia"/>
        </w:rPr>
        <w:t>）</w:t>
      </w:r>
    </w:p>
    <w:p>
      <w:pPr>
        <w:pStyle w:val="57"/>
        <w:ind w:firstLine="420"/>
      </w:pPr>
      <w:r>
        <w:rPr>
          <w:rFonts w:hint="eastAsia"/>
        </w:rPr>
        <w:t>式中：</w:t>
      </w:r>
    </w:p>
    <w:p>
      <w:pPr>
        <w:pStyle w:val="57"/>
        <w:ind w:firstLine="420"/>
      </w:pPr>
      <w:r>
        <w:rPr>
          <w:rFonts w:hint="eastAsia"/>
        </w:rPr>
        <w:t>n——数字量具中数据的个数；</w:t>
      </w:r>
    </w:p>
    <w:p>
      <w:pPr>
        <w:pStyle w:val="57"/>
        <w:ind w:firstLine="420"/>
      </w:pPr>
      <m:oMath>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oMath>
      <w:r>
        <w:rPr>
          <w:rFonts w:hint="eastAsia"/>
        </w:rPr>
        <w:t>——第i个实际判定结果，取值为0（判定在控状态）或者1（判定失控状态）。</w:t>
      </w:r>
    </w:p>
    <w:p>
      <w:pPr>
        <w:pStyle w:val="106"/>
        <w:spacing w:before="120" w:after="120"/>
      </w:pPr>
      <w:bookmarkStart w:id="74" w:name="_Toc215387109"/>
      <w:r>
        <w:rPr>
          <w:rFonts w:hint="eastAsia"/>
        </w:rPr>
        <w:t>错误报告患者检测结果数量中位值/平均值</w:t>
      </w:r>
      <w:bookmarkEnd w:id="74"/>
    </w:p>
    <w:p>
      <w:pPr>
        <w:pStyle w:val="57"/>
        <w:ind w:firstLine="420"/>
      </w:pPr>
      <w:r>
        <w:rPr>
          <w:rFonts w:hint="eastAsia"/>
        </w:rPr>
        <w:t>为了使结果更可靠，设置多个虚拟日。每个虚拟日含有相同数量的质量失控数字量具，数据数量通常为1000。在质量失控数字量具的初始位置，引入一部分质量在控数字量具，以满足算法在计算时的数据量条件。每个虚拟日下，以质量失控数字量具出现位置为起点，算法初次判定为失控状态的位置为终点，统计两点之间的检测结果数量。如果未检测出，结果数量记作质量失控数字量具数据个数的110%，计算多个虚拟日的结果数量的中位值/平均值。检测过程应满足数据过滤比例不超过全部数据的5%，计算步长不超过40。</w:t>
      </w:r>
    </w:p>
    <w:p>
      <w:pPr>
        <w:pStyle w:val="106"/>
        <w:spacing w:before="120" w:after="120"/>
      </w:pPr>
      <w:bookmarkStart w:id="75" w:name="_Toc215387110"/>
      <w:r>
        <w:rPr>
          <w:rFonts w:hint="eastAsia"/>
        </w:rPr>
        <w:t>算法评价值</w:t>
      </w:r>
      <w:bookmarkEnd w:id="75"/>
    </w:p>
    <w:p>
      <w:pPr>
        <w:pStyle w:val="57"/>
        <w:ind w:firstLine="420"/>
      </w:pPr>
      <w:r>
        <w:rPr>
          <w:rFonts w:hint="eastAsia"/>
        </w:rPr>
        <w:t>基于假性失控率、误差检出率、错误报告患者检测结果数量中位值/平均值，可依据公式（6）和测量不确定度评定计算得出。</w:t>
      </w:r>
    </w:p>
    <w:p>
      <w:pPr>
        <w:pStyle w:val="57"/>
        <w:ind w:firstLine="420"/>
        <w:jc w:val="center"/>
      </w:pPr>
      <m:oMath>
        <m:r>
          <m:rPr/>
          <w:rPr>
            <w:rFonts w:ascii="Cambria Math" w:hAnsi="Cambria Math"/>
          </w:rPr>
          <m:t>Y</m:t>
        </m:r>
        <m:r>
          <m:rPr>
            <m:sty m:val="p"/>
          </m:rPr>
          <w:rPr>
            <w:rFonts w:hint="eastAsia" w:ascii="Cambria Math" w:hAnsi="Cambria Math"/>
          </w:rPr>
          <m:t>=</m:t>
        </m:r>
        <m:d>
          <m:dPr>
            <m:begChr m:val="{"/>
            <m:endChr m:val=""/>
            <m:ctrlPr>
              <w:rPr>
                <w:rFonts w:hint="eastAsia" w:ascii="Cambria Math" w:hAnsi="Cambria Math"/>
              </w:rPr>
            </m:ctrlPr>
          </m:dPr>
          <m:e>
            <m:eqArr>
              <m:eqArrPr>
                <m:ctrlPr>
                  <w:rPr>
                    <w:rFonts w:hint="eastAsia" w:ascii="Cambria Math" w:hAnsi="Cambria Math"/>
                  </w:rPr>
                </m:ctrlPr>
              </m:eqArrPr>
              <m:e>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1</m:t>
                    </m:r>
                    <m:ctrlPr>
                      <w:rPr>
                        <w:rFonts w:hint="eastAsia" w:ascii="Cambria Math" w:hAnsi="Cambria Math"/>
                      </w:rPr>
                    </m:ctrlPr>
                  </m:sub>
                </m:sSub>
                <m:r>
                  <m:rPr>
                    <m:sty m:val="p"/>
                  </m:rPr>
                  <w:rPr>
                    <w:rFonts w:hint="eastAsia" w:ascii="Cambria Math" w:hAnsi="Cambria Math"/>
                  </w:rPr>
                  <m:t>×</m:t>
                </m:r>
                <m:f>
                  <m:fPr>
                    <m:ctrlPr>
                      <w:rPr>
                        <w:rFonts w:hint="eastAsia" w:ascii="Cambria Math" w:hAnsi="Cambria Math"/>
                      </w:rPr>
                    </m:ctrlPr>
                  </m:fPr>
                  <m:num>
                    <m:r>
                      <m:rPr>
                        <m:sty m:val="p"/>
                      </m:rPr>
                      <w:rPr>
                        <w:rFonts w:hint="eastAsia" w:ascii="Cambria Math" w:hAnsi="Cambria Math"/>
                      </w:rPr>
                      <m:t>1−</m:t>
                    </m:r>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FR</m:t>
                        </m:r>
                        <m:ctrlPr>
                          <w:rPr>
                            <w:rFonts w:hint="eastAsia" w:ascii="Cambria Math" w:hAnsi="Cambria Math"/>
                          </w:rPr>
                        </m:ctrlPr>
                      </m:sub>
                    </m:sSub>
                    <m:r>
                      <m:rPr>
                        <m:sty m:val="p"/>
                      </m:rPr>
                      <w:rPr>
                        <w:rFonts w:hint="eastAsia" w:ascii="Cambria Math" w:hAnsi="Cambria Math"/>
                      </w:rPr>
                      <m:t>+</m:t>
                    </m:r>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ED</m:t>
                        </m:r>
                        <m:ctrlPr>
                          <w:rPr>
                            <w:rFonts w:hint="eastAsia" w:ascii="Cambria Math" w:hAnsi="Cambria Math"/>
                          </w:rPr>
                        </m:ctrlPr>
                      </m:sub>
                    </m:sSub>
                    <m:ctrlPr>
                      <w:rPr>
                        <w:rFonts w:hint="eastAsia" w:ascii="Cambria Math" w:hAnsi="Cambria Math"/>
                      </w:rPr>
                    </m:ctrlPr>
                  </m:num>
                  <m:den>
                    <m:r>
                      <m:rPr>
                        <m:sty m:val="p"/>
                      </m:rPr>
                      <w:rPr>
                        <w:rFonts w:hint="eastAsia" w:ascii="Cambria Math" w:hAnsi="Cambria Math"/>
                      </w:rPr>
                      <m:t>2</m:t>
                    </m:r>
                    <m:ctrlPr>
                      <w:rPr>
                        <w:rFonts w:hint="eastAsia" w:ascii="Cambria Math" w:hAnsi="Cambria Math"/>
                      </w:rPr>
                    </m:ctrlPr>
                  </m:den>
                </m:f>
                <m:r>
                  <m:rPr>
                    <m:sty m:val="p"/>
                  </m:rPr>
                  <w:rPr>
                    <w:rFonts w:hint="eastAsia" w:ascii="Cambria Math" w:hAnsi="Cambria Math"/>
                  </w:rPr>
                  <m:t>+</m:t>
                </m:r>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2</m:t>
                    </m:r>
                    <m:ctrlPr>
                      <w:rPr>
                        <w:rFonts w:hint="eastAsia" w:ascii="Cambria Math" w:hAnsi="Cambria Math"/>
                      </w:rPr>
                    </m:ctrlPr>
                  </m:sub>
                </m:sSub>
                <m:d>
                  <m:dPr>
                    <m:ctrlPr>
                      <w:rPr>
                        <w:rFonts w:hint="eastAsia" w:ascii="Cambria Math" w:hAnsi="Cambria Math"/>
                      </w:rPr>
                    </m:ctrlPr>
                  </m:dPr>
                  <m:e>
                    <m:r>
                      <m:rPr>
                        <m:sty m:val="p"/>
                      </m:rPr>
                      <w:rPr>
                        <w:rFonts w:hint="eastAsia" w:ascii="Cambria Math" w:hAnsi="Cambria Math"/>
                      </w:rPr>
                      <m:t>1−</m:t>
                    </m:r>
                    <m:f>
                      <m:fPr>
                        <m:ctrlPr>
                          <w:rPr>
                            <w:rFonts w:hint="eastAsia" w:ascii="Cambria Math" w:hAnsi="Cambria Math"/>
                          </w:rPr>
                        </m:ctrlPr>
                      </m:fPr>
                      <m:num>
                        <m:r>
                          <m:rPr>
                            <m:sty m:val="p"/>
                          </m:rPr>
                          <w:rPr>
                            <w:rFonts w:hint="eastAsia" w:ascii="Cambria Math" w:hAnsi="Cambria Math"/>
                          </w:rPr>
                          <m:t>MNped 或 ANPed</m:t>
                        </m:r>
                        <m:ctrlPr>
                          <w:rPr>
                            <w:rFonts w:hint="eastAsia" w:ascii="Cambria Math" w:hAnsi="Cambria Math"/>
                          </w:rPr>
                        </m:ctrlPr>
                      </m:num>
                      <m:den>
                        <m:r>
                          <m:rPr>
                            <m:sty m:val="p"/>
                          </m:rPr>
                          <w:rPr>
                            <w:rFonts w:hint="eastAsia" w:ascii="Cambria Math" w:hAnsi="Cambria Math"/>
                          </w:rPr>
                          <m:t>N</m:t>
                        </m:r>
                        <m:ctrlPr>
                          <w:rPr>
                            <w:rFonts w:hint="eastAsia" w:ascii="Cambria Math" w:hAnsi="Cambria Math"/>
                          </w:rPr>
                        </m:ctrlPr>
                      </m:den>
                    </m:f>
                    <m:ctrlPr>
                      <w:rPr>
                        <w:rFonts w:hint="eastAsia" w:ascii="Cambria Math" w:hAnsi="Cambria Math"/>
                      </w:rPr>
                    </m:ctrlPr>
                  </m:e>
                </m:d>
                <m:r>
                  <m:rPr>
                    <m:sty m:val="p"/>
                  </m:rPr>
                  <w:rPr>
                    <w:rFonts w:hint="eastAsia" w:ascii="Cambria Math" w:hAnsi="Cambria Math"/>
                  </w:rPr>
                  <m:t>，MNped 或 ANPed≠N×110%</m:t>
                </m:r>
                <m:ctrlPr>
                  <w:rPr>
                    <w:rFonts w:hint="eastAsia" w:ascii="Cambria Math" w:hAnsi="Cambria Math"/>
                  </w:rPr>
                </m:ctrlPr>
              </m:e>
              <m:e>
                <m:r>
                  <m:rPr>
                    <m:sty m:val="p"/>
                  </m:rPr>
                  <w:rPr>
                    <w:rFonts w:hint="eastAsia" w:ascii="Cambria Math" w:hAnsi="Cambria Math"/>
                  </w:rPr>
                  <m:t xml:space="preserve">                                         0                                ，MNped 或 ANPed=N×110%</m:t>
                </m:r>
                <m:ctrlPr>
                  <w:rPr>
                    <w:rFonts w:hint="eastAsia" w:ascii="Cambria Math" w:hAnsi="Cambria Math"/>
                  </w:rPr>
                </m:ctrlPr>
              </m:e>
            </m:eqArr>
            <m:ctrlPr>
              <w:rPr>
                <w:rFonts w:hint="eastAsia" w:ascii="Cambria Math" w:hAnsi="Cambria Math"/>
              </w:rPr>
            </m:ctrlPr>
          </m:e>
        </m:d>
      </m:oMath>
      <w:r>
        <w:rPr>
          <w:rFonts w:hint="eastAsia"/>
        </w:rPr>
        <w:t>………（6）</w:t>
      </w:r>
    </w:p>
    <w:p>
      <w:pPr>
        <w:pStyle w:val="57"/>
        <w:ind w:firstLine="420"/>
      </w:pPr>
      <w:r>
        <w:rPr>
          <w:rFonts w:hint="eastAsia"/>
        </w:rPr>
        <w:t>式中：</w:t>
      </w:r>
    </w:p>
    <w:p>
      <w:pPr>
        <w:pStyle w:val="57"/>
        <w:ind w:firstLine="420"/>
      </w:pPr>
      <m:oMath>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1</m:t>
            </m:r>
            <m:ctrlPr>
              <w:rPr>
                <w:rFonts w:hint="eastAsia" w:ascii="Cambria Math" w:hAnsi="Cambria Math"/>
              </w:rPr>
            </m:ctrlPr>
          </m:sub>
        </m:sSub>
      </m:oMath>
      <w:r>
        <w:rPr>
          <w:rFonts w:hint="eastAsia"/>
        </w:rPr>
        <w:t>，</w:t>
      </w:r>
      <m:oMath>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2</m:t>
            </m:r>
            <m:ctrlPr>
              <w:rPr>
                <w:rFonts w:hint="eastAsia" w:ascii="Cambria Math" w:hAnsi="Cambria Math"/>
              </w:rPr>
            </m:ctrlPr>
          </m:sub>
        </m:sSub>
      </m:oMath>
      <w:r>
        <w:rPr>
          <w:rFonts w:hint="eastAsia"/>
        </w:rPr>
        <w:t>——由专家经验评估的权重系数，默认取值为2/3，1/3；</w:t>
      </w:r>
    </w:p>
    <w:p>
      <w:pPr>
        <w:pStyle w:val="57"/>
        <w:ind w:firstLine="420"/>
      </w:pPr>
      <w:r>
        <w:rPr>
          <w:rFonts w:hint="eastAsia"/>
        </w:rPr>
        <w:t>N——每个虚拟日下质量失控数字量具中数据的数量。</w:t>
      </w:r>
    </w:p>
    <w:p>
      <w:pPr>
        <w:widowControl/>
        <w:adjustRightInd/>
        <w:spacing w:line="240" w:lineRule="auto"/>
        <w:jc w:val="left"/>
        <w:rPr>
          <w:rFonts w:ascii="宋体" w:hAnsi="Times New Roman"/>
          <w:kern w:val="0"/>
          <w:szCs w:val="20"/>
        </w:rPr>
      </w:pPr>
      <w:r>
        <w:br w:type="page"/>
      </w:r>
    </w:p>
    <w:p>
      <w:pPr>
        <w:pStyle w:val="232"/>
        <w:numPr>
          <w:ilvl w:val="0"/>
          <w:numId w:val="4"/>
        </w:numPr>
      </w:pPr>
      <w:bookmarkStart w:id="76" w:name="_Toc7322"/>
      <w:bookmarkStart w:id="77" w:name="_Toc4377"/>
      <w:r>
        <w:br w:type="textWrapping"/>
      </w:r>
      <w:bookmarkStart w:id="78" w:name="_Toc215387111"/>
      <w:r>
        <w:rPr>
          <w:rFonts w:hint="eastAsia"/>
        </w:rPr>
        <w:t>比例偏倚溯源记录格式</w:t>
      </w:r>
      <w:bookmarkEnd w:id="76"/>
      <w:bookmarkEnd w:id="77"/>
      <w:bookmarkEnd w:id="78"/>
    </w:p>
    <w:p>
      <w:pPr>
        <w:autoSpaceDE w:val="0"/>
        <w:autoSpaceDN w:val="0"/>
        <w:ind w:firstLine="420" w:firstLineChars="200"/>
        <w:rPr>
          <w:rFonts w:ascii="宋体" w:hAnsi="Times New Roman"/>
        </w:rPr>
      </w:pPr>
    </w:p>
    <w:tbl>
      <w:tblPr>
        <w:tblStyle w:val="27"/>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289"/>
        <w:gridCol w:w="1153"/>
        <w:gridCol w:w="690"/>
        <w:gridCol w:w="794"/>
        <w:gridCol w:w="907"/>
        <w:gridCol w:w="548"/>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366" w:type="dxa"/>
            <w:gridSpan w:val="8"/>
            <w:noWrap/>
            <w:vAlign w:val="center"/>
          </w:tcPr>
          <w:p>
            <w:pPr>
              <w:widowControl/>
              <w:jc w:val="center"/>
              <w:rPr>
                <w:rFonts w:hint="eastAsia" w:ascii="宋体" w:hAnsi="宋体"/>
                <w:sz w:val="18"/>
                <w:szCs w:val="18"/>
              </w:rPr>
            </w:pPr>
            <w:r>
              <w:rPr>
                <w:rFonts w:hint="eastAsia" w:ascii="宋体" w:hAnsi="宋体"/>
                <w:sz w:val="18"/>
                <w:szCs w:val="18"/>
              </w:rPr>
              <w:t>质量在控数字量具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38"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843" w:type="dxa"/>
            <w:gridSpan w:val="2"/>
            <w:noWrap/>
            <w:vAlign w:val="center"/>
          </w:tcPr>
          <w:p>
            <w:pPr>
              <w:widowControl/>
              <w:jc w:val="center"/>
              <w:rPr>
                <w:rFonts w:hint="eastAsia" w:ascii="宋体" w:hAnsi="宋体"/>
                <w:sz w:val="18"/>
                <w:szCs w:val="18"/>
              </w:rPr>
            </w:pPr>
            <w:r>
              <w:rPr>
                <w:rFonts w:hint="eastAsia" w:ascii="宋体" w:hAnsi="宋体"/>
                <w:sz w:val="18"/>
                <w:szCs w:val="18"/>
              </w:rPr>
              <w:t>30000</w:t>
            </w:r>
          </w:p>
        </w:tc>
        <w:tc>
          <w:tcPr>
            <w:tcW w:w="1701"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FR</w:t>
            </w:r>
          </w:p>
        </w:tc>
        <w:tc>
          <w:tcPr>
            <w:tcW w:w="1984" w:type="dxa"/>
            <w:gridSpan w:val="2"/>
            <w:noWrap/>
            <w:vAlign w:val="center"/>
          </w:tcPr>
          <w:p>
            <w:pPr>
              <w:widowControl/>
              <w:jc w:val="center"/>
              <w:rPr>
                <w:rFonts w:hint="eastAsia" w:ascii="宋体" w:hAnsi="宋体"/>
                <w:sz w:val="18"/>
                <w:szCs w:val="18"/>
              </w:rPr>
            </w:pPr>
            <w:r>
              <w:rPr>
                <w:rFonts w:hint="eastAsia" w:ascii="宋体" w:hAnsi="宋体"/>
                <w:sz w:val="18"/>
                <w:szCs w:val="18"/>
              </w:rPr>
              <w:t>0.486%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66" w:type="dxa"/>
            <w:gridSpan w:val="8"/>
            <w:noWrap/>
            <w:vAlign w:val="center"/>
          </w:tcPr>
          <w:p>
            <w:pPr>
              <w:widowControl/>
              <w:jc w:val="center"/>
              <w:rPr>
                <w:rFonts w:hint="eastAsia" w:ascii="宋体" w:hAnsi="宋体"/>
                <w:sz w:val="18"/>
                <w:szCs w:val="18"/>
              </w:rPr>
            </w:pPr>
            <w:r>
              <w:rPr>
                <w:rFonts w:hint="eastAsia" w:ascii="宋体" w:hAnsi="宋体"/>
                <w:sz w:val="18"/>
                <w:szCs w:val="18"/>
              </w:rPr>
              <w:t>质量失控数字量具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38" w:type="dxa"/>
            <w:gridSpan w:val="2"/>
            <w:noWrap/>
            <w:vAlign w:val="center"/>
          </w:tcPr>
          <w:p>
            <w:pPr>
              <w:widowControl/>
              <w:jc w:val="center"/>
              <w:rPr>
                <w:rFonts w:hint="eastAsia" w:ascii="宋体" w:hAnsi="宋体"/>
                <w:sz w:val="18"/>
                <w:szCs w:val="18"/>
              </w:rPr>
            </w:pPr>
            <w:r>
              <w:rPr>
                <w:rFonts w:hint="eastAsia" w:ascii="宋体" w:hAnsi="宋体"/>
                <w:sz w:val="18"/>
                <w:szCs w:val="18"/>
              </w:rPr>
              <w:t>偏倚类型</w:t>
            </w:r>
          </w:p>
        </w:tc>
        <w:tc>
          <w:tcPr>
            <w:tcW w:w="1843" w:type="dxa"/>
            <w:gridSpan w:val="2"/>
            <w:noWrap/>
            <w:vAlign w:val="center"/>
          </w:tcPr>
          <w:p>
            <w:pPr>
              <w:widowControl/>
              <w:jc w:val="center"/>
              <w:rPr>
                <w:rFonts w:hint="eastAsia" w:ascii="宋体" w:hAnsi="宋体"/>
                <w:sz w:val="18"/>
                <w:szCs w:val="18"/>
              </w:rPr>
            </w:pPr>
            <w:r>
              <w:rPr>
                <w:rFonts w:hint="eastAsia" w:ascii="宋体" w:hAnsi="宋体"/>
                <w:sz w:val="18"/>
                <w:szCs w:val="18"/>
              </w:rPr>
              <w:t>比例偏倚</w:t>
            </w:r>
          </w:p>
        </w:tc>
        <w:tc>
          <w:tcPr>
            <w:tcW w:w="1701"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984" w:type="dxa"/>
            <w:gridSpan w:val="2"/>
            <w:noWrap/>
            <w:vAlign w:val="center"/>
          </w:tcPr>
          <w:p>
            <w:pPr>
              <w:widowControl/>
              <w:jc w:val="center"/>
              <w:rPr>
                <w:rFonts w:hint="eastAsia" w:ascii="宋体" w:hAnsi="宋体"/>
                <w:sz w:val="18"/>
                <w:szCs w:val="18"/>
              </w:rPr>
            </w:pPr>
            <w:r>
              <w:rPr>
                <w:rFonts w:hint="eastAsia" w:ascii="宋体" w:hAnsi="宋体"/>
                <w:sz w:val="18"/>
                <w:szCs w:val="18"/>
              </w:rPr>
              <w:t>50×30000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66" w:type="dxa"/>
            <w:gridSpan w:val="8"/>
            <w:noWrap/>
            <w:vAlign w:val="center"/>
          </w:tcPr>
          <w:p>
            <w:pPr>
              <w:widowControl/>
              <w:jc w:val="center"/>
              <w:rPr>
                <w:rFonts w:hint="eastAsia" w:ascii="宋体" w:hAnsi="宋体"/>
                <w:sz w:val="18"/>
                <w:szCs w:val="18"/>
              </w:rPr>
            </w:pPr>
            <w:r>
              <w:rPr>
                <w:rFonts w:hint="eastAsia" w:ascii="宋体" w:hAnsi="宋体"/>
                <w:sz w:val="18"/>
                <w:szCs w:val="18"/>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ascii="Times New Roman" w:hAnsi="Times New Roman"/>
                <w:sz w:val="18"/>
                <w:szCs w:val="18"/>
              </w:rPr>
              <w:t>n</w:t>
            </w:r>
          </w:p>
        </w:tc>
        <w:tc>
          <w:tcPr>
            <w:tcW w:w="1442"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ED</w:t>
            </w:r>
          </w:p>
        </w:tc>
        <w:tc>
          <w:tcPr>
            <w:tcW w:w="1484" w:type="dxa"/>
            <w:gridSpan w:val="2"/>
            <w:noWrap/>
            <w:vAlign w:val="center"/>
          </w:tcPr>
          <w:p>
            <w:pPr>
              <w:widowControl/>
              <w:jc w:val="center"/>
              <w:rPr>
                <w:rFonts w:hint="eastAsia" w:ascii="宋体" w:hAnsi="宋体"/>
                <w:sz w:val="18"/>
                <w:szCs w:val="18"/>
              </w:rPr>
            </w:pPr>
            <w:r>
              <w:rPr>
                <w:rFonts w:ascii="宋体" w:hAnsi="宋体"/>
                <w:sz w:val="18"/>
                <w:szCs w:val="18"/>
              </w:rPr>
              <w:t>ANped</w:t>
            </w:r>
          </w:p>
        </w:tc>
        <w:tc>
          <w:tcPr>
            <w:tcW w:w="1455" w:type="dxa"/>
            <w:gridSpan w:val="2"/>
            <w:noWrap/>
            <w:vAlign w:val="center"/>
          </w:tcPr>
          <w:p>
            <w:pPr>
              <w:widowControl/>
              <w:jc w:val="center"/>
              <w:rPr>
                <w:rFonts w:hint="eastAsia" w:ascii="宋体" w:hAnsi="宋体"/>
                <w:sz w:val="18"/>
                <w:szCs w:val="18"/>
              </w:rPr>
            </w:pPr>
            <w:r>
              <w:rPr>
                <w:rFonts w:ascii="宋体" w:hAnsi="宋体"/>
                <w:sz w:val="18"/>
                <w:szCs w:val="18"/>
              </w:rPr>
              <w:t>MNped</w:t>
            </w:r>
          </w:p>
        </w:tc>
        <w:tc>
          <w:tcPr>
            <w:tcW w:w="1436" w:type="dxa"/>
            <w:noWrap/>
            <w:vAlign w:val="center"/>
          </w:tcPr>
          <w:p>
            <w:pPr>
              <w:widowControl/>
              <w:jc w:val="center"/>
              <w:rPr>
                <w:rFonts w:hint="eastAsia" w:ascii="宋体" w:hAnsi="宋体"/>
                <w:sz w:val="18"/>
                <w:szCs w:val="18"/>
              </w:rPr>
            </w:pPr>
            <w:r>
              <w:rPr>
                <w:rFonts w:ascii="Times New Roman" w:hAnsi="Times New Roman"/>
                <w:i/>
                <w:iCs/>
                <w:sz w:val="18"/>
                <w:szCs w:val="18"/>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-0.5</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86.88</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92.89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84.5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86.73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93.73</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86.55</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94.68</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85.5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86.32</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95.96</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86</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86.07</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97.11</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86.5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85.73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98.80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87</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85.34</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100.39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87.5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84.75</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102.45</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87.5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84.04</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105.05</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89</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83.01</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107.63</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89.5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81.42</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111.84</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90.5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78.12</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116.89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91</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73.41</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125.95</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91.5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66.42</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135.14</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92</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56.51</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156.80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93</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46.25</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176.38</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93.5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34.39</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224.79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96.5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23.43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262.73</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98</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15.38</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318.43</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98</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9.10</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376.07</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102.5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5.26</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461.29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164</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3.63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525.48</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256</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3.18</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539.96</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368</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3.14</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541.11</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388</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3.29</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550.50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550.5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3.67</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539.00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228.5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4.16</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508.45</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178.5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5.16</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495.36</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169</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0.08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6.83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452.00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125.5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9.05</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416.80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88</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11.86</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379.05</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87</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16.20</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332.09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87</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22.30</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280.50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86</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0.18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29.00</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251.55</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86</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36.34</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213.39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86</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44.64</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175.43</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85.5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52.99</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147.18</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84</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60.68</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137.54</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84</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0.28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67.12</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127.18</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84</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72.94</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120.14</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84</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77.37</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117.66</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83.5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80.65</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113.45</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83.5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82.50</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110.70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83.5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0.38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83.56</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105.71</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83.5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84.13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103.70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83</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0.42</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84.63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102.34</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83</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0.44</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85.04</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101.38</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83</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0.46</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85.33</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100.27</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82.5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0.48</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85.59</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99.00</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81.5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hint="eastAsia" w:ascii="宋体" w:hAnsi="宋体"/>
                <w:sz w:val="18"/>
                <w:szCs w:val="18"/>
              </w:rPr>
              <w:t>0.5</w:t>
            </w:r>
          </w:p>
        </w:tc>
        <w:tc>
          <w:tcPr>
            <w:tcW w:w="1442" w:type="dxa"/>
            <w:gridSpan w:val="2"/>
            <w:noWrap/>
            <w:vAlign w:val="center"/>
          </w:tcPr>
          <w:p>
            <w:pPr>
              <w:widowControl/>
              <w:jc w:val="center"/>
              <w:rPr>
                <w:rFonts w:hint="eastAsia" w:ascii="宋体" w:hAnsi="宋体"/>
                <w:sz w:val="18"/>
                <w:szCs w:val="18"/>
              </w:rPr>
            </w:pPr>
            <w:r>
              <w:rPr>
                <w:rFonts w:hint="eastAsia" w:ascii="宋体" w:hAnsi="宋体"/>
                <w:sz w:val="18"/>
                <w:szCs w:val="18"/>
              </w:rPr>
              <w:t>86.88</w:t>
            </w:r>
          </w:p>
        </w:tc>
        <w:tc>
          <w:tcPr>
            <w:tcW w:w="1484" w:type="dxa"/>
            <w:gridSpan w:val="2"/>
            <w:noWrap/>
            <w:vAlign w:val="center"/>
          </w:tcPr>
          <w:p>
            <w:pPr>
              <w:widowControl/>
              <w:jc w:val="center"/>
              <w:rPr>
                <w:rFonts w:hint="eastAsia" w:ascii="宋体" w:hAnsi="宋体"/>
                <w:sz w:val="18"/>
                <w:szCs w:val="18"/>
              </w:rPr>
            </w:pPr>
            <w:r>
              <w:rPr>
                <w:rFonts w:hint="eastAsia" w:ascii="宋体" w:hAnsi="宋体"/>
                <w:sz w:val="18"/>
                <w:szCs w:val="18"/>
              </w:rPr>
              <w:t>92.89</w:t>
            </w:r>
          </w:p>
        </w:tc>
        <w:tc>
          <w:tcPr>
            <w:tcW w:w="1455" w:type="dxa"/>
            <w:gridSpan w:val="2"/>
            <w:noWrap/>
            <w:vAlign w:val="center"/>
          </w:tcPr>
          <w:p>
            <w:pPr>
              <w:widowControl/>
              <w:jc w:val="center"/>
              <w:rPr>
                <w:rFonts w:hint="eastAsia" w:ascii="宋体" w:hAnsi="宋体"/>
                <w:sz w:val="18"/>
                <w:szCs w:val="18"/>
              </w:rPr>
            </w:pPr>
            <w:r>
              <w:rPr>
                <w:rFonts w:hint="eastAsia" w:ascii="宋体" w:hAnsi="宋体"/>
                <w:sz w:val="18"/>
                <w:szCs w:val="18"/>
              </w:rPr>
              <w:t>84.5</w:t>
            </w:r>
          </w:p>
        </w:tc>
        <w:tc>
          <w:tcPr>
            <w:tcW w:w="1436" w:type="dxa"/>
            <w:noWrap/>
            <w:vAlign w:val="center"/>
          </w:tcPr>
          <w:p>
            <w:pPr>
              <w:widowControl/>
              <w:jc w:val="center"/>
              <w:rPr>
                <w:rFonts w:hint="eastAsia" w:ascii="宋体" w:hAnsi="宋体"/>
                <w:sz w:val="18"/>
                <w:szCs w:val="18"/>
              </w:rPr>
            </w:pPr>
            <w:r>
              <w:rPr>
                <w:rFonts w:hint="eastAsia" w:ascii="宋体" w:hAnsi="宋体"/>
                <w:sz w:val="18"/>
                <w:szCs w:val="18"/>
              </w:rPr>
              <w:t>0.93</w:t>
            </w:r>
          </w:p>
        </w:tc>
      </w:tr>
    </w:tbl>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pStyle w:val="232"/>
        <w:numPr>
          <w:ilvl w:val="0"/>
          <w:numId w:val="4"/>
        </w:numPr>
      </w:pPr>
      <w:bookmarkStart w:id="79" w:name="_Toc20484"/>
      <w:bookmarkStart w:id="80" w:name="_Toc4504"/>
      <w:r>
        <w:br w:type="textWrapping"/>
      </w:r>
      <w:bookmarkStart w:id="81" w:name="_Toc215387112"/>
      <w:r>
        <w:rPr>
          <w:rFonts w:hint="eastAsia"/>
        </w:rPr>
        <w:t>恒定偏倚</w:t>
      </w:r>
      <w:bookmarkEnd w:id="79"/>
      <w:r>
        <w:rPr>
          <w:rFonts w:hint="eastAsia"/>
        </w:rPr>
        <w:t>溯源记录格式</w:t>
      </w:r>
      <w:bookmarkEnd w:id="80"/>
      <w:bookmarkEnd w:id="81"/>
    </w:p>
    <w:p>
      <w:pPr>
        <w:autoSpaceDE w:val="0"/>
        <w:autoSpaceDN w:val="0"/>
        <w:ind w:firstLine="420" w:firstLineChars="200"/>
        <w:rPr>
          <w:rFonts w:ascii="宋体" w:hAnsi="Times New Roman"/>
        </w:rPr>
      </w:pPr>
    </w:p>
    <w:tbl>
      <w:tblPr>
        <w:tblStyle w:val="27"/>
        <w:tblW w:w="7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425"/>
        <w:gridCol w:w="1081"/>
        <w:gridCol w:w="762"/>
        <w:gridCol w:w="708"/>
        <w:gridCol w:w="993"/>
        <w:gridCol w:w="44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382" w:type="dxa"/>
            <w:gridSpan w:val="8"/>
            <w:noWrap/>
            <w:vAlign w:val="center"/>
          </w:tcPr>
          <w:p>
            <w:pPr>
              <w:widowControl/>
              <w:jc w:val="center"/>
              <w:rPr>
                <w:rFonts w:hint="eastAsia" w:ascii="宋体" w:hAnsi="宋体"/>
                <w:sz w:val="18"/>
                <w:szCs w:val="18"/>
              </w:rPr>
            </w:pPr>
            <w:r>
              <w:rPr>
                <w:rFonts w:hint="eastAsia" w:ascii="宋体" w:hAnsi="宋体"/>
                <w:sz w:val="18"/>
                <w:szCs w:val="18"/>
              </w:rPr>
              <w:t>质量在控数字量具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80"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843" w:type="dxa"/>
            <w:gridSpan w:val="2"/>
            <w:noWrap/>
            <w:vAlign w:val="center"/>
          </w:tcPr>
          <w:p>
            <w:pPr>
              <w:widowControl/>
              <w:jc w:val="center"/>
              <w:rPr>
                <w:rFonts w:hint="eastAsia" w:ascii="宋体" w:hAnsi="宋体"/>
                <w:sz w:val="18"/>
                <w:szCs w:val="18"/>
              </w:rPr>
            </w:pPr>
            <w:r>
              <w:rPr>
                <w:rFonts w:hint="eastAsia" w:ascii="宋体" w:hAnsi="宋体"/>
                <w:sz w:val="18"/>
                <w:szCs w:val="18"/>
              </w:rPr>
              <w:t>30000</w:t>
            </w:r>
          </w:p>
        </w:tc>
        <w:tc>
          <w:tcPr>
            <w:tcW w:w="1701"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FR</w:t>
            </w:r>
          </w:p>
        </w:tc>
        <w:tc>
          <w:tcPr>
            <w:tcW w:w="1858" w:type="dxa"/>
            <w:gridSpan w:val="2"/>
            <w:noWrap/>
            <w:vAlign w:val="center"/>
          </w:tcPr>
          <w:p>
            <w:pPr>
              <w:widowControl/>
              <w:jc w:val="center"/>
              <w:rPr>
                <w:rFonts w:hint="eastAsia" w:ascii="宋体" w:hAnsi="宋体"/>
                <w:sz w:val="18"/>
                <w:szCs w:val="18"/>
              </w:rPr>
            </w:pPr>
            <w:r>
              <w:rPr>
                <w:rFonts w:hint="eastAsia" w:ascii="宋体" w:hAnsi="宋体"/>
                <w:sz w:val="18"/>
                <w:szCs w:val="18"/>
              </w:rPr>
              <w:t>0.486%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382" w:type="dxa"/>
            <w:gridSpan w:val="8"/>
            <w:noWrap/>
            <w:vAlign w:val="center"/>
          </w:tcPr>
          <w:p>
            <w:pPr>
              <w:widowControl/>
              <w:jc w:val="center"/>
              <w:rPr>
                <w:rFonts w:hint="eastAsia" w:ascii="宋体" w:hAnsi="宋体"/>
                <w:sz w:val="18"/>
                <w:szCs w:val="18"/>
              </w:rPr>
            </w:pPr>
            <w:r>
              <w:rPr>
                <w:rFonts w:hint="eastAsia" w:ascii="宋体" w:hAnsi="宋体"/>
                <w:sz w:val="18"/>
                <w:szCs w:val="18"/>
              </w:rPr>
              <w:t>质量失控数字量具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80" w:type="dxa"/>
            <w:gridSpan w:val="2"/>
            <w:noWrap/>
            <w:vAlign w:val="center"/>
          </w:tcPr>
          <w:p>
            <w:pPr>
              <w:widowControl/>
              <w:jc w:val="center"/>
              <w:rPr>
                <w:rFonts w:hint="eastAsia" w:ascii="宋体" w:hAnsi="宋体"/>
                <w:sz w:val="18"/>
                <w:szCs w:val="18"/>
              </w:rPr>
            </w:pPr>
            <w:r>
              <w:rPr>
                <w:rFonts w:hint="eastAsia" w:ascii="宋体" w:hAnsi="宋体"/>
                <w:sz w:val="18"/>
                <w:szCs w:val="18"/>
              </w:rPr>
              <w:t>偏倚类型</w:t>
            </w:r>
          </w:p>
        </w:tc>
        <w:tc>
          <w:tcPr>
            <w:tcW w:w="1843" w:type="dxa"/>
            <w:gridSpan w:val="2"/>
            <w:noWrap/>
            <w:vAlign w:val="center"/>
          </w:tcPr>
          <w:p>
            <w:pPr>
              <w:widowControl/>
              <w:jc w:val="center"/>
              <w:rPr>
                <w:rFonts w:hint="eastAsia" w:ascii="宋体" w:hAnsi="宋体"/>
                <w:sz w:val="18"/>
                <w:szCs w:val="18"/>
              </w:rPr>
            </w:pPr>
            <w:r>
              <w:rPr>
                <w:rFonts w:hint="eastAsia" w:ascii="宋体" w:hAnsi="宋体"/>
                <w:sz w:val="18"/>
                <w:szCs w:val="18"/>
              </w:rPr>
              <w:t>恒定偏倚</w:t>
            </w:r>
          </w:p>
        </w:tc>
        <w:tc>
          <w:tcPr>
            <w:tcW w:w="1701"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858" w:type="dxa"/>
            <w:gridSpan w:val="2"/>
            <w:noWrap/>
            <w:vAlign w:val="center"/>
          </w:tcPr>
          <w:p>
            <w:pPr>
              <w:widowControl/>
              <w:jc w:val="center"/>
              <w:rPr>
                <w:rFonts w:hint="eastAsia" w:ascii="宋体" w:hAnsi="宋体"/>
                <w:sz w:val="18"/>
                <w:szCs w:val="18"/>
              </w:rPr>
            </w:pPr>
            <w:r>
              <w:rPr>
                <w:rFonts w:hint="eastAsia" w:ascii="宋体" w:hAnsi="宋体"/>
                <w:sz w:val="18"/>
                <w:szCs w:val="18"/>
              </w:rPr>
              <w:t>10×30000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382" w:type="dxa"/>
            <w:gridSpan w:val="8"/>
            <w:noWrap/>
            <w:vAlign w:val="center"/>
          </w:tcPr>
          <w:p>
            <w:pPr>
              <w:widowControl/>
              <w:jc w:val="center"/>
              <w:rPr>
                <w:rFonts w:hint="eastAsia" w:ascii="宋体" w:hAnsi="宋体"/>
                <w:sz w:val="18"/>
                <w:szCs w:val="18"/>
              </w:rPr>
            </w:pPr>
            <w:r>
              <w:rPr>
                <w:rFonts w:hint="eastAsia" w:ascii="宋体" w:hAnsi="宋体"/>
                <w:sz w:val="18"/>
                <w:szCs w:val="18"/>
              </w:rPr>
              <w:t>计量结果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n</w:t>
            </w:r>
          </w:p>
        </w:tc>
        <w:tc>
          <w:tcPr>
            <w:tcW w:w="1506"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ED</w:t>
            </w:r>
          </w:p>
        </w:tc>
        <w:tc>
          <w:tcPr>
            <w:tcW w:w="1470" w:type="dxa"/>
            <w:gridSpan w:val="2"/>
            <w:noWrap/>
            <w:vAlign w:val="center"/>
          </w:tcPr>
          <w:p>
            <w:pPr>
              <w:widowControl/>
              <w:jc w:val="center"/>
              <w:rPr>
                <w:rFonts w:hint="eastAsia" w:ascii="宋体" w:hAnsi="宋体"/>
                <w:sz w:val="18"/>
                <w:szCs w:val="18"/>
              </w:rPr>
            </w:pPr>
            <w:r>
              <w:rPr>
                <w:rFonts w:ascii="宋体" w:hAnsi="宋体"/>
                <w:sz w:val="18"/>
                <w:szCs w:val="18"/>
              </w:rPr>
              <w:t>ANped</w:t>
            </w:r>
          </w:p>
        </w:tc>
        <w:tc>
          <w:tcPr>
            <w:tcW w:w="1434" w:type="dxa"/>
            <w:gridSpan w:val="2"/>
            <w:noWrap/>
            <w:vAlign w:val="center"/>
          </w:tcPr>
          <w:p>
            <w:pPr>
              <w:widowControl/>
              <w:jc w:val="center"/>
              <w:rPr>
                <w:rFonts w:hint="eastAsia" w:ascii="宋体" w:hAnsi="宋体"/>
                <w:sz w:val="18"/>
                <w:szCs w:val="18"/>
              </w:rPr>
            </w:pPr>
            <w:r>
              <w:rPr>
                <w:rFonts w:ascii="宋体" w:hAnsi="宋体"/>
                <w:sz w:val="18"/>
                <w:szCs w:val="18"/>
              </w:rPr>
              <w:t>MNped</w:t>
            </w:r>
          </w:p>
        </w:tc>
        <w:tc>
          <w:tcPr>
            <w:tcW w:w="1417" w:type="dxa"/>
            <w:noWrap/>
            <w:vAlign w:val="center"/>
          </w:tcPr>
          <w:p>
            <w:pPr>
              <w:widowControl/>
              <w:jc w:val="center"/>
              <w:rPr>
                <w:rFonts w:hint="eastAsia" w:ascii="宋体" w:hAnsi="宋体"/>
                <w:sz w:val="18"/>
                <w:szCs w:val="18"/>
              </w:rPr>
            </w:pPr>
            <w:r>
              <w:rPr>
                <w:rFonts w:ascii="宋体" w:hAnsi="宋体"/>
                <w:sz w:val="18"/>
                <w:szCs w:val="18"/>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-3/2</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86.33</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94.79</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85.5</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83.13</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106.95</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90</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-1/2</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61.11</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148.84</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93</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-1/4</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4.29</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498.77</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253.5</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-1/6</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3.16</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550.50</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550.5</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1/6</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3.68</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550.50</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550.5</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1/4</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22.39</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291.02</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87</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1/2</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70.47</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122.96</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84</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1</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83.94</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103.14</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83.5</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3/2</w:t>
            </w:r>
          </w:p>
        </w:tc>
        <w:tc>
          <w:tcPr>
            <w:tcW w:w="1506" w:type="dxa"/>
            <w:gridSpan w:val="2"/>
            <w:noWrap/>
            <w:vAlign w:val="center"/>
          </w:tcPr>
          <w:p>
            <w:pPr>
              <w:widowControl/>
              <w:jc w:val="center"/>
              <w:rPr>
                <w:rFonts w:hint="eastAsia" w:ascii="宋体" w:hAnsi="宋体"/>
                <w:sz w:val="18"/>
                <w:szCs w:val="18"/>
              </w:rPr>
            </w:pPr>
            <w:r>
              <w:rPr>
                <w:rFonts w:hint="eastAsia" w:ascii="宋体" w:hAnsi="宋体"/>
                <w:sz w:val="18"/>
                <w:szCs w:val="18"/>
              </w:rPr>
              <w:t>85.49</w:t>
            </w:r>
          </w:p>
        </w:tc>
        <w:tc>
          <w:tcPr>
            <w:tcW w:w="1470" w:type="dxa"/>
            <w:gridSpan w:val="2"/>
            <w:noWrap/>
            <w:vAlign w:val="center"/>
          </w:tcPr>
          <w:p>
            <w:pPr>
              <w:widowControl/>
              <w:jc w:val="center"/>
              <w:rPr>
                <w:rFonts w:hint="eastAsia" w:ascii="宋体" w:hAnsi="宋体"/>
                <w:sz w:val="18"/>
                <w:szCs w:val="18"/>
              </w:rPr>
            </w:pPr>
            <w:r>
              <w:rPr>
                <w:rFonts w:hint="eastAsia" w:ascii="宋体" w:hAnsi="宋体"/>
                <w:sz w:val="18"/>
                <w:szCs w:val="18"/>
              </w:rPr>
              <w:t>98.75</w:t>
            </w:r>
          </w:p>
        </w:tc>
        <w:tc>
          <w:tcPr>
            <w:tcW w:w="1434" w:type="dxa"/>
            <w:gridSpan w:val="2"/>
            <w:noWrap/>
            <w:vAlign w:val="center"/>
          </w:tcPr>
          <w:p>
            <w:pPr>
              <w:widowControl/>
              <w:jc w:val="center"/>
              <w:rPr>
                <w:rFonts w:hint="eastAsia" w:ascii="宋体" w:hAnsi="宋体"/>
                <w:sz w:val="18"/>
                <w:szCs w:val="18"/>
              </w:rPr>
            </w:pPr>
            <w:r>
              <w:rPr>
                <w:rFonts w:hint="eastAsia" w:ascii="宋体" w:hAnsi="宋体"/>
                <w:sz w:val="18"/>
                <w:szCs w:val="18"/>
              </w:rPr>
              <w:t>83</w:t>
            </w:r>
          </w:p>
        </w:tc>
        <w:tc>
          <w:tcPr>
            <w:tcW w:w="1417" w:type="dxa"/>
            <w:noWrap/>
            <w:vAlign w:val="center"/>
          </w:tcPr>
          <w:p>
            <w:pPr>
              <w:widowControl/>
              <w:jc w:val="center"/>
              <w:rPr>
                <w:rFonts w:hint="eastAsia" w:ascii="宋体" w:hAnsi="宋体"/>
                <w:sz w:val="18"/>
                <w:szCs w:val="18"/>
              </w:rPr>
            </w:pPr>
            <w:r>
              <w:rPr>
                <w:rFonts w:hint="eastAsia" w:ascii="宋体" w:hAnsi="宋体"/>
                <w:sz w:val="18"/>
                <w:szCs w:val="18"/>
              </w:rPr>
              <w:t>0.92</w:t>
            </w:r>
          </w:p>
        </w:tc>
      </w:tr>
    </w:tbl>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pStyle w:val="232"/>
        <w:numPr>
          <w:ilvl w:val="0"/>
          <w:numId w:val="4"/>
        </w:numPr>
      </w:pPr>
      <w:bookmarkStart w:id="82" w:name="_Toc28741"/>
      <w:bookmarkStart w:id="83" w:name="_Toc12363"/>
      <w:r>
        <w:br w:type="textWrapping"/>
      </w:r>
      <w:bookmarkStart w:id="84" w:name="_Toc215387113"/>
      <w:r>
        <w:rPr>
          <w:rFonts w:hint="eastAsia"/>
        </w:rPr>
        <w:t>随机偏倚</w:t>
      </w:r>
      <w:bookmarkEnd w:id="82"/>
      <w:r>
        <w:rPr>
          <w:rFonts w:hint="eastAsia"/>
        </w:rPr>
        <w:t>溯源记录格式</w:t>
      </w:r>
      <w:bookmarkEnd w:id="83"/>
      <w:bookmarkEnd w:id="84"/>
    </w:p>
    <w:p>
      <w:pPr>
        <w:autoSpaceDE w:val="0"/>
        <w:autoSpaceDN w:val="0"/>
        <w:ind w:firstLine="420" w:firstLineChars="200"/>
        <w:rPr>
          <w:rFonts w:ascii="宋体" w:hAnsi="Times New Roman"/>
        </w:rPr>
      </w:pPr>
    </w:p>
    <w:tbl>
      <w:tblPr>
        <w:tblStyle w:val="27"/>
        <w:tblW w:w="7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965"/>
        <w:gridCol w:w="150"/>
        <w:gridCol w:w="431"/>
        <w:gridCol w:w="1755"/>
        <w:gridCol w:w="922"/>
        <w:gridCol w:w="958"/>
        <w:gridCol w:w="134"/>
        <w:gridCol w:w="737"/>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4" w:type="dxa"/>
            <w:gridSpan w:val="10"/>
            <w:noWrap/>
            <w:vAlign w:val="center"/>
          </w:tcPr>
          <w:p>
            <w:pPr>
              <w:widowControl/>
              <w:jc w:val="center"/>
              <w:rPr>
                <w:rFonts w:hint="eastAsia" w:ascii="宋体" w:hAnsi="宋体"/>
                <w:sz w:val="18"/>
                <w:szCs w:val="18"/>
              </w:rPr>
            </w:pPr>
            <w:r>
              <w:rPr>
                <w:rFonts w:hint="eastAsia" w:ascii="宋体" w:hAnsi="宋体"/>
                <w:sz w:val="18"/>
                <w:szCs w:val="18"/>
              </w:rPr>
              <w:t>质量在控数字量具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2336" w:type="dxa"/>
            <w:gridSpan w:val="3"/>
            <w:noWrap/>
            <w:vAlign w:val="center"/>
          </w:tcPr>
          <w:p>
            <w:pPr>
              <w:widowControl/>
              <w:jc w:val="center"/>
              <w:rPr>
                <w:rFonts w:hint="eastAsia" w:ascii="宋体" w:hAnsi="宋体"/>
                <w:sz w:val="18"/>
                <w:szCs w:val="18"/>
              </w:rPr>
            </w:pPr>
            <w:r>
              <w:rPr>
                <w:rFonts w:hint="eastAsia" w:ascii="宋体" w:hAnsi="宋体"/>
                <w:sz w:val="18"/>
                <w:szCs w:val="18"/>
              </w:rPr>
              <w:t>30000</w:t>
            </w:r>
          </w:p>
        </w:tc>
        <w:tc>
          <w:tcPr>
            <w:tcW w:w="1880"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FR</w:t>
            </w:r>
          </w:p>
        </w:tc>
        <w:tc>
          <w:tcPr>
            <w:tcW w:w="1554" w:type="dxa"/>
            <w:gridSpan w:val="3"/>
            <w:noWrap/>
            <w:vAlign w:val="center"/>
          </w:tcPr>
          <w:p>
            <w:pPr>
              <w:widowControl/>
              <w:jc w:val="center"/>
              <w:rPr>
                <w:rFonts w:hint="eastAsia" w:ascii="宋体" w:hAnsi="宋体"/>
                <w:sz w:val="18"/>
                <w:szCs w:val="18"/>
              </w:rPr>
            </w:pPr>
            <w:r>
              <w:rPr>
                <w:rFonts w:hint="eastAsia" w:ascii="宋体" w:hAnsi="宋体"/>
                <w:sz w:val="18"/>
                <w:szCs w:val="18"/>
              </w:rPr>
              <w:t>0.486%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4" w:type="dxa"/>
            <w:gridSpan w:val="10"/>
            <w:noWrap/>
            <w:vAlign w:val="center"/>
          </w:tcPr>
          <w:p>
            <w:pPr>
              <w:widowControl/>
              <w:jc w:val="center"/>
              <w:rPr>
                <w:rFonts w:hint="eastAsia" w:ascii="宋体" w:hAnsi="宋体"/>
                <w:sz w:val="18"/>
                <w:szCs w:val="18"/>
              </w:rPr>
            </w:pPr>
            <w:r>
              <w:rPr>
                <w:rFonts w:hint="eastAsia" w:ascii="宋体" w:hAnsi="宋体"/>
                <w:sz w:val="18"/>
                <w:szCs w:val="18"/>
              </w:rPr>
              <w:t>质量失控数字量具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04" w:type="dxa"/>
            <w:gridSpan w:val="3"/>
            <w:noWrap/>
            <w:vAlign w:val="center"/>
          </w:tcPr>
          <w:p>
            <w:pPr>
              <w:widowControl/>
              <w:jc w:val="center"/>
              <w:rPr>
                <w:rFonts w:hint="eastAsia" w:ascii="宋体" w:hAnsi="宋体"/>
                <w:sz w:val="18"/>
                <w:szCs w:val="18"/>
              </w:rPr>
            </w:pPr>
            <w:r>
              <w:rPr>
                <w:rFonts w:hint="eastAsia" w:ascii="宋体" w:hAnsi="宋体"/>
                <w:sz w:val="18"/>
                <w:szCs w:val="18"/>
              </w:rPr>
              <w:t>偏倚类型</w:t>
            </w:r>
          </w:p>
        </w:tc>
        <w:tc>
          <w:tcPr>
            <w:tcW w:w="2186" w:type="dxa"/>
            <w:gridSpan w:val="2"/>
            <w:noWrap/>
            <w:vAlign w:val="center"/>
          </w:tcPr>
          <w:p>
            <w:pPr>
              <w:widowControl/>
              <w:jc w:val="center"/>
              <w:rPr>
                <w:rFonts w:hint="eastAsia" w:ascii="宋体" w:hAnsi="宋体"/>
                <w:sz w:val="18"/>
                <w:szCs w:val="18"/>
              </w:rPr>
            </w:pPr>
            <w:r>
              <w:rPr>
                <w:rFonts w:hint="eastAsia" w:ascii="宋体" w:hAnsi="宋体"/>
                <w:sz w:val="18"/>
                <w:szCs w:val="18"/>
              </w:rPr>
              <w:t>随机偏倚</w:t>
            </w:r>
          </w:p>
        </w:tc>
        <w:tc>
          <w:tcPr>
            <w:tcW w:w="2014" w:type="dxa"/>
            <w:gridSpan w:val="3"/>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420" w:type="dxa"/>
            <w:gridSpan w:val="2"/>
            <w:noWrap/>
            <w:vAlign w:val="center"/>
          </w:tcPr>
          <w:p>
            <w:pPr>
              <w:widowControl/>
              <w:jc w:val="center"/>
              <w:rPr>
                <w:rFonts w:hint="eastAsia" w:ascii="宋体" w:hAnsi="宋体"/>
                <w:sz w:val="18"/>
                <w:szCs w:val="18"/>
              </w:rPr>
            </w:pPr>
            <w:r>
              <w:rPr>
                <w:rFonts w:hint="eastAsia" w:ascii="宋体" w:hAnsi="宋体"/>
                <w:sz w:val="18"/>
                <w:szCs w:val="18"/>
              </w:rPr>
              <w:t>60×30000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4" w:type="dxa"/>
            <w:gridSpan w:val="10"/>
            <w:noWrap/>
            <w:vAlign w:val="center"/>
          </w:tcPr>
          <w:p>
            <w:pPr>
              <w:widowControl/>
              <w:jc w:val="center"/>
              <w:rPr>
                <w:rFonts w:hint="eastAsia" w:ascii="宋体" w:hAnsi="宋体"/>
                <w:sz w:val="18"/>
                <w:szCs w:val="18"/>
              </w:rPr>
            </w:pPr>
            <w:r>
              <w:rPr>
                <w:rFonts w:hint="eastAsia" w:ascii="宋体" w:hAnsi="宋体"/>
                <w:sz w:val="18"/>
                <w:szCs w:val="18"/>
              </w:rPr>
              <w:t>计量结果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5"/>
            <w:noWrap/>
            <w:vAlign w:val="center"/>
          </w:tcPr>
          <w:p>
            <w:pPr>
              <w:widowControl/>
              <w:jc w:val="center"/>
              <w:rPr>
                <w:rFonts w:hint="eastAsia" w:ascii="宋体" w:hAnsi="宋体"/>
                <w:sz w:val="18"/>
                <w:szCs w:val="18"/>
              </w:rPr>
            </w:pPr>
            <w:r>
              <w:rPr>
                <w:rFonts w:hint="eastAsia" w:ascii="宋体" w:hAnsi="宋体"/>
                <w:sz w:val="18"/>
                <w:szCs w:val="18"/>
              </w:rPr>
              <w:t>噪声类型</w:t>
            </w:r>
          </w:p>
        </w:tc>
        <w:tc>
          <w:tcPr>
            <w:tcW w:w="922" w:type="dxa"/>
            <w:vMerge w:val="restart"/>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ED</w:t>
            </w:r>
          </w:p>
        </w:tc>
        <w:tc>
          <w:tcPr>
            <w:tcW w:w="958" w:type="dxa"/>
            <w:vMerge w:val="restart"/>
            <w:noWrap/>
            <w:vAlign w:val="center"/>
          </w:tcPr>
          <w:p>
            <w:pPr>
              <w:widowControl/>
              <w:jc w:val="center"/>
              <w:rPr>
                <w:rFonts w:hint="eastAsia" w:ascii="宋体" w:hAnsi="宋体"/>
                <w:sz w:val="18"/>
                <w:szCs w:val="18"/>
              </w:rPr>
            </w:pPr>
            <w:r>
              <w:rPr>
                <w:rFonts w:ascii="宋体" w:hAnsi="宋体"/>
                <w:sz w:val="18"/>
                <w:szCs w:val="18"/>
              </w:rPr>
              <w:t>ANped</w:t>
            </w:r>
          </w:p>
        </w:tc>
        <w:tc>
          <w:tcPr>
            <w:tcW w:w="871" w:type="dxa"/>
            <w:gridSpan w:val="2"/>
            <w:vMerge w:val="restart"/>
            <w:noWrap/>
            <w:vAlign w:val="center"/>
          </w:tcPr>
          <w:p>
            <w:pPr>
              <w:widowControl/>
              <w:jc w:val="center"/>
              <w:rPr>
                <w:rFonts w:hint="eastAsia" w:ascii="宋体" w:hAnsi="宋体"/>
                <w:sz w:val="18"/>
                <w:szCs w:val="18"/>
              </w:rPr>
            </w:pPr>
            <w:r>
              <w:rPr>
                <w:rFonts w:ascii="宋体" w:hAnsi="宋体"/>
                <w:sz w:val="18"/>
                <w:szCs w:val="18"/>
              </w:rPr>
              <w:t>MNped</w:t>
            </w:r>
          </w:p>
        </w:tc>
        <w:tc>
          <w:tcPr>
            <w:tcW w:w="683" w:type="dxa"/>
            <w:vMerge w:val="restart"/>
            <w:noWrap/>
            <w:vAlign w:val="center"/>
          </w:tcPr>
          <w:p>
            <w:pPr>
              <w:widowControl/>
              <w:jc w:val="center"/>
              <w:rPr>
                <w:rFonts w:hint="eastAsia" w:ascii="宋体" w:hAnsi="宋体"/>
                <w:sz w:val="18"/>
                <w:szCs w:val="18"/>
              </w:rPr>
            </w:pPr>
            <w:r>
              <w:rPr>
                <w:rFonts w:ascii="宋体" w:hAnsi="宋体"/>
                <w:sz w:val="18"/>
                <w:szCs w:val="18"/>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noWrap/>
            <w:vAlign w:val="center"/>
          </w:tcPr>
          <w:p>
            <w:pPr>
              <w:widowControl/>
              <w:jc w:val="center"/>
              <w:rPr>
                <w:rFonts w:hint="eastAsia" w:ascii="宋体" w:hAnsi="宋体"/>
                <w:sz w:val="18"/>
                <w:szCs w:val="18"/>
              </w:rPr>
            </w:pPr>
            <w:r>
              <w:rPr>
                <w:rFonts w:ascii="宋体" w:hAnsi="宋体"/>
                <w:sz w:val="18"/>
                <w:szCs w:val="18"/>
              </w:rPr>
              <w:t>分布</w:t>
            </w:r>
            <w:r>
              <w:rPr>
                <w:rFonts w:hint="eastAsia" w:ascii="宋体" w:hAnsi="宋体"/>
                <w:sz w:val="18"/>
                <w:szCs w:val="18"/>
              </w:rPr>
              <w:t>形式</w:t>
            </w:r>
          </w:p>
        </w:tc>
        <w:tc>
          <w:tcPr>
            <w:tcW w:w="1546" w:type="dxa"/>
            <w:gridSpan w:val="3"/>
            <w:noWrap/>
            <w:vAlign w:val="center"/>
          </w:tcPr>
          <w:p>
            <w:pPr>
              <w:widowControl/>
              <w:jc w:val="center"/>
              <w:rPr>
                <w:rFonts w:hint="eastAsia" w:ascii="宋体" w:hAnsi="宋体"/>
                <w:sz w:val="18"/>
                <w:szCs w:val="18"/>
              </w:rPr>
            </w:pPr>
            <w:r>
              <w:rPr>
                <w:rFonts w:ascii="宋体" w:hAnsi="宋体"/>
                <w:sz w:val="18"/>
                <w:szCs w:val="18"/>
              </w:rPr>
              <w:t>均值</w:t>
            </w:r>
            <w:r>
              <w:rPr>
                <w:rFonts w:hint="eastAsia" w:ascii="宋体" w:hAnsi="宋体"/>
                <w:sz w:val="18"/>
                <w:szCs w:val="18"/>
              </w:rPr>
              <w:t>倍数（相对于TEa）</w:t>
            </w:r>
          </w:p>
        </w:tc>
        <w:tc>
          <w:tcPr>
            <w:tcW w:w="1755" w:type="dxa"/>
            <w:noWrap/>
            <w:vAlign w:val="center"/>
          </w:tcPr>
          <w:p>
            <w:pPr>
              <w:widowControl/>
              <w:jc w:val="center"/>
              <w:rPr>
                <w:rFonts w:hint="eastAsia" w:ascii="宋体" w:hAnsi="宋体"/>
                <w:sz w:val="18"/>
                <w:szCs w:val="18"/>
              </w:rPr>
            </w:pPr>
            <w:r>
              <w:rPr>
                <w:rFonts w:ascii="宋体" w:hAnsi="宋体"/>
                <w:sz w:val="18"/>
                <w:szCs w:val="18"/>
              </w:rPr>
              <w:t>标准差倍数</w:t>
            </w:r>
            <w:r>
              <w:rPr>
                <w:rFonts w:hint="eastAsia" w:ascii="宋体" w:hAnsi="宋体"/>
                <w:sz w:val="18"/>
                <w:szCs w:val="18"/>
              </w:rPr>
              <w:t>（相对于在控量具）</w:t>
            </w:r>
          </w:p>
        </w:tc>
        <w:tc>
          <w:tcPr>
            <w:tcW w:w="922" w:type="dxa"/>
            <w:vMerge w:val="continue"/>
            <w:noWrap/>
            <w:vAlign w:val="center"/>
          </w:tcPr>
          <w:p>
            <w:pPr>
              <w:widowControl/>
              <w:jc w:val="center"/>
              <w:rPr>
                <w:rFonts w:hint="eastAsia" w:ascii="宋体" w:hAnsi="宋体"/>
                <w:sz w:val="18"/>
                <w:szCs w:val="18"/>
              </w:rPr>
            </w:pPr>
          </w:p>
        </w:tc>
        <w:tc>
          <w:tcPr>
            <w:tcW w:w="958" w:type="dxa"/>
            <w:vMerge w:val="continue"/>
            <w:noWrap/>
            <w:vAlign w:val="center"/>
          </w:tcPr>
          <w:p>
            <w:pPr>
              <w:widowControl/>
              <w:jc w:val="center"/>
              <w:rPr>
                <w:rFonts w:hint="eastAsia" w:ascii="宋体" w:hAnsi="宋体"/>
                <w:sz w:val="18"/>
                <w:szCs w:val="18"/>
              </w:rPr>
            </w:pPr>
          </w:p>
        </w:tc>
        <w:tc>
          <w:tcPr>
            <w:tcW w:w="871" w:type="dxa"/>
            <w:gridSpan w:val="2"/>
            <w:vMerge w:val="continue"/>
            <w:noWrap/>
            <w:vAlign w:val="center"/>
          </w:tcPr>
          <w:p>
            <w:pPr>
              <w:widowControl/>
              <w:jc w:val="center"/>
              <w:rPr>
                <w:rFonts w:hint="eastAsia" w:ascii="宋体" w:hAnsi="宋体"/>
                <w:sz w:val="18"/>
                <w:szCs w:val="18"/>
              </w:rPr>
            </w:pPr>
          </w:p>
        </w:tc>
        <w:tc>
          <w:tcPr>
            <w:tcW w:w="683" w:type="dxa"/>
            <w:vMerge w:val="continue"/>
            <w:noWrap/>
            <w:vAlign w:val="center"/>
          </w:tcPr>
          <w:p>
            <w:pPr>
              <w:widowControl/>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restart"/>
            <w:noWrap/>
            <w:vAlign w:val="center"/>
          </w:tcPr>
          <w:p>
            <w:pPr>
              <w:widowControl/>
              <w:jc w:val="center"/>
              <w:rPr>
                <w:rFonts w:hint="eastAsia" w:ascii="宋体" w:hAnsi="宋体"/>
                <w:sz w:val="18"/>
                <w:szCs w:val="18"/>
              </w:rPr>
            </w:pPr>
            <w:r>
              <w:rPr>
                <w:rFonts w:ascii="宋体" w:hAnsi="宋体"/>
                <w:sz w:val="18"/>
                <w:szCs w:val="18"/>
              </w:rPr>
              <w:t>高斯分布</w:t>
            </w: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-1/2</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66.58</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59.84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69.5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71.57</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57.11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69.5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75.85</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54.71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79.69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53.20</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68</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-1/3</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44.24</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73.57</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49.81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68.50</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55.52</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64.48</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74.5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r>
              <w:rPr>
                <w:rFonts w:hint="eastAsia" w:ascii="宋体" w:hAnsi="宋体"/>
                <w:sz w:val="18"/>
                <w:szCs w:val="18"/>
              </w:rPr>
              <w:t>【</w:t>
            </w: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61.23</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63.23</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74</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0</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24.09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118.36</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84.5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28.60</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104.14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80</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33.44</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84.54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79.5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38.75</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80.39</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1/3</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88.89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68.02</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66.5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91.45</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63.48</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62.5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93.04</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60.38</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93.87</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57.66</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57</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1/2</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94.39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55.23</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54</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94.73</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52.43</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48.5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94.98</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50.32</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47.5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95.21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48.30</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47</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restart"/>
            <w:noWrap/>
            <w:vAlign w:val="center"/>
          </w:tcPr>
          <w:p>
            <w:pPr>
              <w:widowControl/>
              <w:jc w:val="center"/>
              <w:rPr>
                <w:rFonts w:hint="eastAsia" w:ascii="宋体" w:hAnsi="宋体"/>
                <w:sz w:val="18"/>
                <w:szCs w:val="18"/>
              </w:rPr>
            </w:pPr>
            <w:r>
              <w:rPr>
                <w:rFonts w:ascii="宋体" w:hAnsi="宋体"/>
                <w:sz w:val="18"/>
                <w:szCs w:val="18"/>
              </w:rPr>
              <w:t>U形分布</w:t>
            </w: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-1/2</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10.01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172.64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118</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12.73</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144.29</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111.5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16.05</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132.66</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107.5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19.87</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123.05</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87.5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-1/3</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68.23</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104.52</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89.5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74.59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88.93</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80.5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80.34</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80.34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79.5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84.91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72.36</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69.5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0</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4.09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296.64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134</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5.01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268.45</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134</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6.20</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240.91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134</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7.81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202.98</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118</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1/3</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14.01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536.02</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399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18.56</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428.02</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324.5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24.37</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322.39</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199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31.08</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272.68</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157.5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1/2</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38.66</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229.29</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125.5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46.05</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180.34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110.5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54.26</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145.36</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101</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61.36</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131.14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96.5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restart"/>
            <w:noWrap/>
            <w:vAlign w:val="center"/>
          </w:tcPr>
          <w:p>
            <w:pPr>
              <w:widowControl/>
              <w:jc w:val="center"/>
              <w:rPr>
                <w:rFonts w:hint="eastAsia" w:ascii="宋体" w:hAnsi="宋体"/>
                <w:sz w:val="18"/>
                <w:szCs w:val="18"/>
              </w:rPr>
            </w:pPr>
            <w:r>
              <w:rPr>
                <w:rFonts w:ascii="宋体" w:hAnsi="宋体"/>
                <w:sz w:val="18"/>
                <w:szCs w:val="18"/>
              </w:rPr>
              <w:t>均匀分布</w:t>
            </w: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-1/2</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88.50</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56.16</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73.5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90.17</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53.02</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71</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91.31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49.36</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69.5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92.22</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48.20</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69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-1/3</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65.88</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64.77</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80.5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74.43</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61.48</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77</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81.23</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59.63</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76</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85.79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57.71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74.5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0</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2.69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372.07</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165.5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5.17</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295.54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152</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9.36</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192.91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129</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15.41</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119.54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114</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1/3</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93.35</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57.21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58</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93.94</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54.34</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53.5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94.52</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51.82</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52.5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94.84</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49.61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51.5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widowControl/>
              <w:jc w:val="center"/>
              <w:rPr>
                <w:rFonts w:hint="eastAsia" w:ascii="宋体" w:hAnsi="宋体"/>
                <w:sz w:val="18"/>
                <w:szCs w:val="18"/>
              </w:rPr>
            </w:pPr>
            <w:r>
              <w:rPr>
                <w:rFonts w:ascii="宋体" w:hAnsi="宋体"/>
                <w:sz w:val="18"/>
                <w:szCs w:val="18"/>
              </w:rPr>
              <w:t>1/2</w:t>
            </w:r>
          </w:p>
        </w:tc>
        <w:tc>
          <w:tcPr>
            <w:tcW w:w="1755" w:type="dxa"/>
            <w:noWrap/>
            <w:vAlign w:val="center"/>
          </w:tcPr>
          <w:p>
            <w:pPr>
              <w:widowControl/>
              <w:jc w:val="center"/>
              <w:rPr>
                <w:rFonts w:hint="eastAsia" w:ascii="宋体" w:hAnsi="宋体"/>
                <w:sz w:val="18"/>
                <w:szCs w:val="18"/>
              </w:rPr>
            </w:pPr>
            <w:r>
              <w:rPr>
                <w:rFonts w:ascii="宋体" w:hAnsi="宋体"/>
                <w:sz w:val="18"/>
                <w:szCs w:val="18"/>
              </w:rPr>
              <w:t>1/3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95.19</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47.41</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50</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1/2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95.37</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45.68</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48.5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3/2</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95.58</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43.77</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46.5</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widowControl/>
              <w:jc w:val="center"/>
              <w:rPr>
                <w:rFonts w:hint="eastAsia" w:ascii="宋体" w:hAnsi="宋体"/>
                <w:sz w:val="18"/>
                <w:szCs w:val="18"/>
              </w:rPr>
            </w:pPr>
            <w:r>
              <w:rPr>
                <w:rFonts w:ascii="宋体" w:hAnsi="宋体"/>
                <w:sz w:val="18"/>
                <w:szCs w:val="18"/>
              </w:rPr>
              <w:t>3</w:t>
            </w:r>
          </w:p>
        </w:tc>
        <w:tc>
          <w:tcPr>
            <w:tcW w:w="922" w:type="dxa"/>
            <w:noWrap/>
            <w:vAlign w:val="center"/>
          </w:tcPr>
          <w:p>
            <w:pPr>
              <w:widowControl/>
              <w:jc w:val="center"/>
              <w:rPr>
                <w:rFonts w:hint="eastAsia" w:ascii="宋体" w:hAnsi="宋体"/>
                <w:sz w:val="18"/>
                <w:szCs w:val="18"/>
              </w:rPr>
            </w:pPr>
            <w:r>
              <w:rPr>
                <w:rFonts w:hint="eastAsia" w:ascii="宋体" w:hAnsi="宋体"/>
                <w:sz w:val="18"/>
                <w:szCs w:val="18"/>
              </w:rPr>
              <w:t>89.48</w:t>
            </w:r>
          </w:p>
        </w:tc>
        <w:tc>
          <w:tcPr>
            <w:tcW w:w="958" w:type="dxa"/>
            <w:noWrap/>
            <w:vAlign w:val="center"/>
          </w:tcPr>
          <w:p>
            <w:pPr>
              <w:widowControl/>
              <w:jc w:val="center"/>
              <w:rPr>
                <w:rFonts w:hint="eastAsia" w:ascii="宋体" w:hAnsi="宋体"/>
                <w:sz w:val="18"/>
                <w:szCs w:val="18"/>
              </w:rPr>
            </w:pPr>
            <w:r>
              <w:rPr>
                <w:rFonts w:hint="eastAsia" w:ascii="宋体" w:hAnsi="宋体"/>
                <w:sz w:val="18"/>
                <w:szCs w:val="18"/>
              </w:rPr>
              <w:t>64.63</w:t>
            </w:r>
          </w:p>
        </w:tc>
        <w:tc>
          <w:tcPr>
            <w:tcW w:w="871" w:type="dxa"/>
            <w:gridSpan w:val="2"/>
            <w:noWrap/>
            <w:vAlign w:val="center"/>
          </w:tcPr>
          <w:p>
            <w:pPr>
              <w:widowControl/>
              <w:jc w:val="center"/>
              <w:rPr>
                <w:rFonts w:hint="eastAsia" w:ascii="宋体" w:hAnsi="宋体"/>
                <w:sz w:val="18"/>
                <w:szCs w:val="18"/>
              </w:rPr>
            </w:pPr>
            <w:r>
              <w:rPr>
                <w:rFonts w:hint="eastAsia" w:ascii="宋体" w:hAnsi="宋体"/>
                <w:sz w:val="18"/>
                <w:szCs w:val="18"/>
              </w:rPr>
              <w:t>1</w:t>
            </w:r>
          </w:p>
        </w:tc>
        <w:tc>
          <w:tcPr>
            <w:tcW w:w="683" w:type="dxa"/>
            <w:noWrap/>
            <w:vAlign w:val="center"/>
          </w:tcPr>
          <w:p>
            <w:pPr>
              <w:widowControl/>
              <w:jc w:val="center"/>
              <w:rPr>
                <w:rFonts w:hint="eastAsia" w:ascii="宋体" w:hAnsi="宋体"/>
                <w:sz w:val="18"/>
                <w:szCs w:val="18"/>
              </w:rPr>
            </w:pPr>
            <w:r>
              <w:rPr>
                <w:rFonts w:hint="eastAsia" w:ascii="宋体" w:hAnsi="宋体"/>
                <w:sz w:val="18"/>
                <w:szCs w:val="18"/>
              </w:rPr>
              <w:t>0.96</w:t>
            </w:r>
          </w:p>
        </w:tc>
      </w:tr>
    </w:tbl>
    <w:p/>
    <w:p>
      <w:pPr>
        <w:pStyle w:val="57"/>
        <w:ind w:firstLine="420"/>
      </w:pPr>
    </w:p>
    <w:p>
      <w:pPr>
        <w:pStyle w:val="95"/>
        <w:numPr>
          <w:ilvl w:val="0"/>
          <w:numId w:val="0"/>
        </w:numPr>
        <w:spacing w:before="120" w:after="120"/>
      </w:pPr>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B2E"/>
    <w:rsid w:val="0000040A"/>
    <w:rsid w:val="00000A94"/>
    <w:rsid w:val="00001972"/>
    <w:rsid w:val="00001D9A"/>
    <w:rsid w:val="00007B2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812"/>
    <w:rsid w:val="000C2FBD"/>
    <w:rsid w:val="000C4B41"/>
    <w:rsid w:val="000C57D6"/>
    <w:rsid w:val="000C6362"/>
    <w:rsid w:val="000C7666"/>
    <w:rsid w:val="000D0A9C"/>
    <w:rsid w:val="000D1795"/>
    <w:rsid w:val="000D329A"/>
    <w:rsid w:val="000D4B9C"/>
    <w:rsid w:val="000D4EB6"/>
    <w:rsid w:val="000D6972"/>
    <w:rsid w:val="000D753B"/>
    <w:rsid w:val="000E4C9E"/>
    <w:rsid w:val="000E6FD7"/>
    <w:rsid w:val="000F06E1"/>
    <w:rsid w:val="000F0E3C"/>
    <w:rsid w:val="000F19D5"/>
    <w:rsid w:val="000F4050"/>
    <w:rsid w:val="000F4AEA"/>
    <w:rsid w:val="000F67E9"/>
    <w:rsid w:val="00103A79"/>
    <w:rsid w:val="00104926"/>
    <w:rsid w:val="00113B1E"/>
    <w:rsid w:val="0011711C"/>
    <w:rsid w:val="00124E4F"/>
    <w:rsid w:val="001260B7"/>
    <w:rsid w:val="001265CB"/>
    <w:rsid w:val="001321C6"/>
    <w:rsid w:val="001325C4"/>
    <w:rsid w:val="00133010"/>
    <w:rsid w:val="001338EE"/>
    <w:rsid w:val="00133AAE"/>
    <w:rsid w:val="00133E37"/>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DD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87"/>
    <w:rsid w:val="002142EA"/>
    <w:rsid w:val="00215ADD"/>
    <w:rsid w:val="002204BB"/>
    <w:rsid w:val="00221B79"/>
    <w:rsid w:val="00221C6B"/>
    <w:rsid w:val="002244A8"/>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584"/>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D2C"/>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009"/>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56F"/>
    <w:rsid w:val="00492F02"/>
    <w:rsid w:val="004939AE"/>
    <w:rsid w:val="004A12DF"/>
    <w:rsid w:val="004A1BA8"/>
    <w:rsid w:val="004A471F"/>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CD3"/>
    <w:rsid w:val="004D7C42"/>
    <w:rsid w:val="004E0465"/>
    <w:rsid w:val="004E0ACA"/>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09E7"/>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77A"/>
    <w:rsid w:val="005E7881"/>
    <w:rsid w:val="005E78E0"/>
    <w:rsid w:val="005E7A47"/>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1D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5C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C83"/>
    <w:rsid w:val="00724E1B"/>
    <w:rsid w:val="00725949"/>
    <w:rsid w:val="00727FA2"/>
    <w:rsid w:val="007322D9"/>
    <w:rsid w:val="00732BC0"/>
    <w:rsid w:val="00735FCC"/>
    <w:rsid w:val="0073720F"/>
    <w:rsid w:val="00737796"/>
    <w:rsid w:val="00741053"/>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06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15E"/>
    <w:rsid w:val="0085173A"/>
    <w:rsid w:val="008603CE"/>
    <w:rsid w:val="008620FC"/>
    <w:rsid w:val="008627A5"/>
    <w:rsid w:val="00863E05"/>
    <w:rsid w:val="00865ACA"/>
    <w:rsid w:val="00865D28"/>
    <w:rsid w:val="00865F85"/>
    <w:rsid w:val="00867C10"/>
    <w:rsid w:val="00870439"/>
    <w:rsid w:val="00870DA1"/>
    <w:rsid w:val="00871B4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1D4"/>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3F2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11D"/>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8B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4F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19F"/>
    <w:rsid w:val="00AF47C5"/>
    <w:rsid w:val="00AF5398"/>
    <w:rsid w:val="00B049AF"/>
    <w:rsid w:val="00B07242"/>
    <w:rsid w:val="00B10534"/>
    <w:rsid w:val="00B113DB"/>
    <w:rsid w:val="00B11D8A"/>
    <w:rsid w:val="00B12981"/>
    <w:rsid w:val="00B147DD"/>
    <w:rsid w:val="00B156FD"/>
    <w:rsid w:val="00B21F61"/>
    <w:rsid w:val="00B261F1"/>
    <w:rsid w:val="00B265BC"/>
    <w:rsid w:val="00B26F7B"/>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1B6A"/>
    <w:rsid w:val="00BC5DC7"/>
    <w:rsid w:val="00BC60B2"/>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B8A"/>
    <w:rsid w:val="00C521D6"/>
    <w:rsid w:val="00C55232"/>
    <w:rsid w:val="00C553A4"/>
    <w:rsid w:val="00C55A06"/>
    <w:rsid w:val="00C55D03"/>
    <w:rsid w:val="00C601BC"/>
    <w:rsid w:val="00C6329F"/>
    <w:rsid w:val="00C63340"/>
    <w:rsid w:val="00C643F9"/>
    <w:rsid w:val="00C64E95"/>
    <w:rsid w:val="00C71372"/>
    <w:rsid w:val="00C72410"/>
    <w:rsid w:val="00C7287F"/>
    <w:rsid w:val="00C76AC8"/>
    <w:rsid w:val="00C80CB8"/>
    <w:rsid w:val="00C819F8"/>
    <w:rsid w:val="00C8248C"/>
    <w:rsid w:val="00C84E33"/>
    <w:rsid w:val="00C86D6F"/>
    <w:rsid w:val="00C905FC"/>
    <w:rsid w:val="00C92D03"/>
    <w:rsid w:val="00C9319C"/>
    <w:rsid w:val="00C9435D"/>
    <w:rsid w:val="00C94DF2"/>
    <w:rsid w:val="00C96741"/>
    <w:rsid w:val="00CA2D1B"/>
    <w:rsid w:val="00CA329D"/>
    <w:rsid w:val="00CA375D"/>
    <w:rsid w:val="00CA662A"/>
    <w:rsid w:val="00CA7AFD"/>
    <w:rsid w:val="00CA7C3C"/>
    <w:rsid w:val="00CB0189"/>
    <w:rsid w:val="00CB0BA2"/>
    <w:rsid w:val="00CB1A42"/>
    <w:rsid w:val="00CB1B0C"/>
    <w:rsid w:val="00CB2C0B"/>
    <w:rsid w:val="00CB517D"/>
    <w:rsid w:val="00CC038D"/>
    <w:rsid w:val="00CC08DB"/>
    <w:rsid w:val="00CC315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EBB"/>
    <w:rsid w:val="00D0321C"/>
    <w:rsid w:val="00D035EC"/>
    <w:rsid w:val="00D06AB1"/>
    <w:rsid w:val="00D06FC1"/>
    <w:rsid w:val="00D072ED"/>
    <w:rsid w:val="00D07A16"/>
    <w:rsid w:val="00D1067E"/>
    <w:rsid w:val="00D10F50"/>
    <w:rsid w:val="00D11272"/>
    <w:rsid w:val="00D126F5"/>
    <w:rsid w:val="00D1489E"/>
    <w:rsid w:val="00D20737"/>
    <w:rsid w:val="00D21E81"/>
    <w:rsid w:val="00D220C9"/>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5DD1"/>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EA1"/>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547"/>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30F"/>
    <w:rsid w:val="00FA662D"/>
    <w:rsid w:val="00FA73B1"/>
    <w:rsid w:val="00FB0CB9"/>
    <w:rsid w:val="00FB231D"/>
    <w:rsid w:val="00FB420C"/>
    <w:rsid w:val="00FB45F1"/>
    <w:rsid w:val="00FB4A72"/>
    <w:rsid w:val="00FB54E8"/>
    <w:rsid w:val="00FB65C4"/>
    <w:rsid w:val="00FB7054"/>
    <w:rsid w:val="00FC17B7"/>
    <w:rsid w:val="00FC2CB7"/>
    <w:rsid w:val="00FC4090"/>
    <w:rsid w:val="00FC55B4"/>
    <w:rsid w:val="00FC70BF"/>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BCC0AE8"/>
    <w:rsid w:val="0D334323"/>
    <w:rsid w:val="157E1B9E"/>
    <w:rsid w:val="1D6F2CB0"/>
    <w:rsid w:val="2A4A44F0"/>
    <w:rsid w:val="356928AF"/>
    <w:rsid w:val="3EAC5859"/>
    <w:rsid w:val="5676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1"/>
    <w:qFormat/>
    <w:uiPriority w:val="0"/>
    <w:pPr>
      <w:adjustRightInd/>
      <w:spacing w:line="240" w:lineRule="auto"/>
      <w:jc w:val="left"/>
    </w:pPr>
    <w:rPr>
      <w:rFonts w:asciiTheme="minorHAnsi" w:hAnsiTheme="minorHAnsi" w:eastAsiaTheme="minorEastAsia" w:cstheme="minorBidi"/>
      <w:szCs w:val="24"/>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unhideWhenUsed/>
    <w:qFormat/>
    <w:uiPriority w:val="0"/>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qFormat/>
    <w:uiPriority w:val="0"/>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批注文字 字符"/>
    <w:basedOn w:val="29"/>
    <w:link w:val="13"/>
    <w:qFormat/>
    <w:uiPriority w:val="0"/>
    <w:rPr>
      <w:rFonts w:asciiTheme="minorHAnsi" w:hAnsiTheme="minorHAnsi" w:eastAsiaTheme="minorEastAsia" w:cstheme="minorBidi"/>
      <w:kern w:val="2"/>
      <w:sz w:val="21"/>
      <w:szCs w:val="24"/>
    </w:rPr>
  </w:style>
  <w:style w:type="paragraph" w:customStyle="1" w:styleId="232">
    <w:name w:val="附录1"/>
    <w:qFormat/>
    <w:uiPriority w:val="0"/>
    <w:pPr>
      <w:shd w:val="clear" w:color="FFFFFF" w:fill="FFFFFF"/>
      <w:tabs>
        <w:tab w:val="left" w:pos="6406"/>
      </w:tabs>
      <w:spacing w:before="560" w:after="120" w:afterLines="50"/>
      <w:jc w:val="center"/>
      <w:outlineLvl w:val="0"/>
    </w:pPr>
    <w:rPr>
      <w:rFonts w:ascii="黑体" w:hAnsi="Times New Roman" w:eastAsia="黑体" w:cs="Times New Roman"/>
      <w:sz w:val="21"/>
      <w:lang w:val="en-US" w:eastAsia="zh-CN" w:bidi="ar-SA"/>
    </w:rPr>
  </w:style>
  <w:style w:type="paragraph" w:customStyle="1" w:styleId="233">
    <w:name w:val="附录2"/>
    <w:qFormat/>
    <w:uiPriority w:val="0"/>
    <w:pPr>
      <w:adjustRightInd w:val="0"/>
      <w:snapToGrid w:val="0"/>
      <w:spacing w:before="120" w:beforeLines="50" w:after="120" w:afterLines="50"/>
      <w:jc w:val="center"/>
      <w:textAlignment w:val="baseline"/>
      <w:outlineLvl w:val="0"/>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glossaryDocument" Target="glossary/document.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endnotes" Target="endnotes.xml"/><Relationship Id="rId39" Type="http://schemas.openxmlformats.org/officeDocument/2006/relationships/image" Target="media/image12.wmf"/><Relationship Id="rId38" Type="http://schemas.openxmlformats.org/officeDocument/2006/relationships/oleObject" Target="embeddings/oleObject13.bin"/><Relationship Id="rId37" Type="http://schemas.openxmlformats.org/officeDocument/2006/relationships/oleObject" Target="embeddings/oleObject12.bin"/><Relationship Id="rId36" Type="http://schemas.openxmlformats.org/officeDocument/2006/relationships/image" Target="media/image11.wmf"/><Relationship Id="rId35" Type="http://schemas.openxmlformats.org/officeDocument/2006/relationships/oleObject" Target="embeddings/oleObject11.bin"/><Relationship Id="rId34" Type="http://schemas.openxmlformats.org/officeDocument/2006/relationships/image" Target="media/image10.wmf"/><Relationship Id="rId33" Type="http://schemas.openxmlformats.org/officeDocument/2006/relationships/oleObject" Target="embeddings/oleObject10.bin"/><Relationship Id="rId32" Type="http://schemas.openxmlformats.org/officeDocument/2006/relationships/image" Target="media/image9.wmf"/><Relationship Id="rId31" Type="http://schemas.openxmlformats.org/officeDocument/2006/relationships/oleObject" Target="embeddings/oleObject9.bin"/><Relationship Id="rId30" Type="http://schemas.openxmlformats.org/officeDocument/2006/relationships/oleObject" Target="embeddings/oleObject8.bin"/><Relationship Id="rId3" Type="http://schemas.openxmlformats.org/officeDocument/2006/relationships/footnotes" Target="footnotes.xml"/><Relationship Id="rId29" Type="http://schemas.openxmlformats.org/officeDocument/2006/relationships/oleObject" Target="embeddings/oleObject7.bin"/><Relationship Id="rId28" Type="http://schemas.openxmlformats.org/officeDocument/2006/relationships/image" Target="media/image8.wmf"/><Relationship Id="rId27" Type="http://schemas.openxmlformats.org/officeDocument/2006/relationships/oleObject" Target="embeddings/oleObject6.bin"/><Relationship Id="rId26" Type="http://schemas.openxmlformats.org/officeDocument/2006/relationships/image" Target="media/image7.wmf"/><Relationship Id="rId25" Type="http://schemas.openxmlformats.org/officeDocument/2006/relationships/oleObject" Target="embeddings/oleObject5.bin"/><Relationship Id="rId24" Type="http://schemas.openxmlformats.org/officeDocument/2006/relationships/image" Target="media/image6.wmf"/><Relationship Id="rId23" Type="http://schemas.openxmlformats.org/officeDocument/2006/relationships/oleObject" Target="embeddings/oleObject4.bin"/><Relationship Id="rId22" Type="http://schemas.openxmlformats.org/officeDocument/2006/relationships/image" Target="media/image5.wmf"/><Relationship Id="rId21" Type="http://schemas.openxmlformats.org/officeDocument/2006/relationships/oleObject" Target="embeddings/oleObject3.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wmf"/><Relationship Id="rId17" Type="http://schemas.openxmlformats.org/officeDocument/2006/relationships/oleObject" Target="embeddings/oleObject1.bin"/><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614A3D6AE8A41E28199D4B60DFCCD77"/>
        <w:style w:val=""/>
        <w:category>
          <w:name w:val="常规"/>
          <w:gallery w:val="placeholder"/>
        </w:category>
        <w:types>
          <w:type w:val="bbPlcHdr"/>
        </w:types>
        <w:behaviors>
          <w:behavior w:val="content"/>
        </w:behaviors>
        <w:description w:val=""/>
        <w:guid w:val="{6FE56460-04FA-451C-9D07-2BAE8832E218}"/>
      </w:docPartPr>
      <w:docPartBody>
        <w:p>
          <w:pPr>
            <w:pStyle w:val="5"/>
            <w:rPr>
              <w:rFonts w:hint="eastAsia"/>
            </w:rPr>
          </w:pPr>
          <w:r>
            <w:rPr>
              <w:rStyle w:val="4"/>
              <w:rFonts w:hint="eastAsia"/>
            </w:rPr>
            <w:t>单击或点击此处输入文字。</w:t>
          </w:r>
        </w:p>
      </w:docPartBody>
    </w:docPart>
    <w:docPart>
      <w:docPartPr>
        <w:name w:val="598FC3E2F6EF4D6B968152E6CDF4F198"/>
        <w:style w:val=""/>
        <w:category>
          <w:name w:val="常规"/>
          <w:gallery w:val="placeholder"/>
        </w:category>
        <w:types>
          <w:type w:val="bbPlcHdr"/>
        </w:types>
        <w:behaviors>
          <w:behavior w:val="content"/>
        </w:behaviors>
        <w:description w:val=""/>
        <w:guid w:val="{9900EB48-83DD-4864-9EAA-CE657EE3866C}"/>
      </w:docPartPr>
      <w:docPartBody>
        <w:p>
          <w:pPr>
            <w:pStyle w:val="6"/>
            <w:rPr>
              <w:rFonts w:hint="eastAsia"/>
            </w:rPr>
          </w:pPr>
          <w:r>
            <w:rPr>
              <w:rStyle w:val="4"/>
              <w:rFonts w:hint="eastAsia"/>
            </w:rPr>
            <w:t>选择一项。</w:t>
          </w:r>
        </w:p>
      </w:docPartBody>
    </w:docPart>
    <w:docPart>
      <w:docPartPr>
        <w:name w:val="CAB24BAFB59349E38361A2A6784D2A31"/>
        <w:style w:val=""/>
        <w:category>
          <w:name w:val="常规"/>
          <w:gallery w:val="placeholder"/>
        </w:category>
        <w:types>
          <w:type w:val="bbPlcHdr"/>
        </w:types>
        <w:behaviors>
          <w:behavior w:val="content"/>
        </w:behaviors>
        <w:description w:val=""/>
        <w:guid w:val="{DFF07695-0E78-4B90-A013-A8A08E675785}"/>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A7F"/>
    <w:rsid w:val="0000022D"/>
    <w:rsid w:val="0005217A"/>
    <w:rsid w:val="00124A00"/>
    <w:rsid w:val="002244A8"/>
    <w:rsid w:val="00305EB5"/>
    <w:rsid w:val="00310584"/>
    <w:rsid w:val="00321BDD"/>
    <w:rsid w:val="004D4CD3"/>
    <w:rsid w:val="005E777A"/>
    <w:rsid w:val="005E7A47"/>
    <w:rsid w:val="007079D6"/>
    <w:rsid w:val="00734F7C"/>
    <w:rsid w:val="00760CB1"/>
    <w:rsid w:val="009B111D"/>
    <w:rsid w:val="00B32A7F"/>
    <w:rsid w:val="00C953FE"/>
    <w:rsid w:val="00E658E8"/>
    <w:rsid w:val="00E92547"/>
    <w:rsid w:val="00FC7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614A3D6AE8A41E28199D4B60DFCCD7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98FC3E2F6EF4D6B968152E6CDF4F1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AB24BAFB59349E38361A2A6784D2A3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7750D-0BD7-490C-BA43-3C51F6268496}">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15</Pages>
  <Words>5324</Words>
  <Characters>8147</Characters>
  <Lines>1163</Lines>
  <Paragraphs>1224</Paragraphs>
  <TotalTime>19</TotalTime>
  <ScaleCrop>false</ScaleCrop>
  <LinksUpToDate>false</LinksUpToDate>
  <CharactersWithSpaces>12247</CharactersWithSpaces>
  <Application>WPS Office_11.8.6.11546_F1E327BC-269C-435d-A152-05C5408002CA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2025-11-28T09:01:00Z</dcterms:created>
  <dc:creator>PC</dc:creator>
  <dc:description>&lt;config cover="true" show_menu="true" version="1.0.0" doctype="SDKXY"&gt;_x000d_
&lt;/config&gt;</dc:description>
  <cp:lastModifiedBy>许春彬</cp:lastModifiedBy>
  <cp:lastPrinted>2021-02-02T08:22:00Z</cp:lastPrinted>
  <dcterms:modified xsi:type="dcterms:W3CDTF">2025-12-01T01:50:16Z</dcterms:modified>
  <dc:title>团体标准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eyJoZGlkIjoiNzhlY2MzODRjMjJhNjE5ZWQwN2YyM2QyN2JhNGRjODMiLCJ1c2VySWQiOiIyODU0OTMwODYifQ==</vt:lpwstr>
  </property>
  <property fmtid="{D5CDD505-2E9C-101B-9397-08002B2CF9AE}" pid="15" name="KSOProductBuildVer">
    <vt:lpwstr>2052-11.8.6.11546</vt:lpwstr>
  </property>
  <property fmtid="{D5CDD505-2E9C-101B-9397-08002B2CF9AE}" pid="16" name="ICV">
    <vt:lpwstr>4CE4DE48EAD5429BB0F6851067EEAB55_12</vt:lpwstr>
  </property>
</Properties>
</file>