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1E22C">
      <w:pPr>
        <w:spacing w:line="360" w:lineRule="auto"/>
        <w:ind w:firstLine="260" w:firstLineChars="50"/>
        <w:rPr>
          <w:rFonts w:eastAsia="黑体"/>
          <w:bCs/>
          <w:sz w:val="52"/>
        </w:rPr>
      </w:pPr>
      <w:r>
        <w:rPr>
          <w:rFonts w:hint="eastAsia" w:eastAsia="黑体"/>
          <w:bCs/>
          <w:sz w:val="52"/>
        </w:rPr>
        <w:t xml:space="preserve">                           </w:t>
      </w:r>
      <w:r>
        <w:rPr>
          <w:rFonts w:eastAsia="黑体"/>
          <w:bCs/>
          <w:sz w:val="72"/>
          <w:szCs w:val="72"/>
        </w:rPr>
        <w:t>JJ</w:t>
      </w:r>
      <w:r>
        <w:rPr>
          <w:rFonts w:hint="eastAsia" w:eastAsia="黑体"/>
          <w:bCs/>
          <w:sz w:val="72"/>
          <w:szCs w:val="72"/>
        </w:rPr>
        <w:t>F</w:t>
      </w:r>
    </w:p>
    <w:p w14:paraId="77EEAAFE">
      <w:pPr>
        <w:ind w:right="80"/>
        <w:jc w:val="center"/>
        <w:rPr>
          <w:rFonts w:eastAsia="华文中宋"/>
          <w:bCs/>
        </w:rPr>
      </w:pPr>
      <w:r>
        <w:rPr>
          <w:rFonts w:hint="eastAsia" w:hAnsi="华文中宋" w:eastAsia="华文中宋" w:cs="宋体"/>
          <w:bCs/>
          <w:spacing w:val="33"/>
          <w:kern w:val="0"/>
          <w:sz w:val="48"/>
          <w:szCs w:val="48"/>
        </w:rPr>
        <w:t>中华人民共和国国家计量技术规范</w:t>
      </w:r>
    </w:p>
    <w:p w14:paraId="1A22B987">
      <w:pPr>
        <w:wordWrap w:val="0"/>
        <w:ind w:right="80" w:firstLine="561"/>
        <w:jc w:val="center"/>
        <w:rPr>
          <w:rFonts w:eastAsia="黑体"/>
          <w:bCs/>
        </w:rPr>
      </w:pPr>
    </w:p>
    <w:p w14:paraId="41342F35">
      <w:pPr>
        <w:ind w:right="80" w:firstLine="561"/>
        <w:jc w:val="right"/>
        <w:rPr>
          <w:rFonts w:eastAsia="黑体"/>
          <w:sz w:val="28"/>
          <w:szCs w:val="28"/>
        </w:rPr>
      </w:pPr>
      <w:r>
        <w:rPr>
          <w:rFonts w:eastAsia="黑体"/>
          <w:bCs/>
        </w:rPr>
        <w:t xml:space="preserve">　　　　　　　　                       </w:t>
      </w:r>
      <w:r>
        <w:rPr>
          <w:rFonts w:eastAsia="方正小标宋简体"/>
          <w:bCs/>
        </w:rPr>
        <w:t xml:space="preserve"> </w:t>
      </w:r>
      <w:r>
        <w:rPr>
          <w:rFonts w:eastAsia="方正小标宋简体"/>
          <w:sz w:val="28"/>
          <w:szCs w:val="28"/>
        </w:rPr>
        <w:t>JJF 1</w:t>
      </w:r>
      <w:r>
        <w:rPr>
          <w:rFonts w:hint="eastAsia" w:eastAsia="方正小标宋简体"/>
          <w:sz w:val="28"/>
          <w:szCs w:val="28"/>
        </w:rPr>
        <w:t>623</w:t>
      </w:r>
      <w:r>
        <w:rPr>
          <w:rFonts w:eastAsia="方正小标宋简体"/>
          <w:sz w:val="28"/>
          <w:szCs w:val="28"/>
        </w:rPr>
        <w:t>－202×</w:t>
      </w:r>
    </w:p>
    <w:p w14:paraId="0A03E2D1">
      <w:pPr>
        <w:ind w:right="382" w:firstLine="480"/>
        <w:jc w:val="center"/>
        <w:rPr>
          <w:bCs/>
          <w:szCs w:val="24"/>
        </w:rPr>
      </w:pPr>
      <w:r>
        <w:rPr>
          <w:rFonts w:hint="eastAsia"/>
          <w:szCs w:val="24"/>
        </w:rPr>
        <mc:AlternateContent>
          <mc:Choice Requires="wps">
            <w:drawing>
              <wp:anchor distT="0" distB="0" distL="114300" distR="114300" simplePos="0" relativeHeight="251661312" behindDoc="0" locked="0" layoutInCell="0" allowOverlap="1">
                <wp:simplePos x="0" y="0"/>
                <wp:positionH relativeFrom="column">
                  <wp:posOffset>114300</wp:posOffset>
                </wp:positionH>
                <wp:positionV relativeFrom="paragraph">
                  <wp:posOffset>99060</wp:posOffset>
                </wp:positionV>
                <wp:extent cx="5372100" cy="0"/>
                <wp:effectExtent l="17145" t="13970" r="11430" b="14605"/>
                <wp:wrapTopAndBottom/>
                <wp:docPr id="7" name="直线 87"/>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000000"/>
                          </a:solidFill>
                          <a:round/>
                        </a:ln>
                      </wps:spPr>
                      <wps:bodyPr/>
                    </wps:wsp>
                  </a:graphicData>
                </a:graphic>
              </wp:anchor>
            </w:drawing>
          </mc:Choice>
          <mc:Fallback>
            <w:pict>
              <v:line id="直线 87" o:spid="_x0000_s1026" o:spt="20" style="position:absolute;left:0pt;margin-left:9pt;margin-top:7.8pt;height:0pt;width:423pt;mso-wrap-distance-bottom:0pt;mso-wrap-distance-top:0pt;z-index:251661312;mso-width-relative:page;mso-height-relative:page;" filled="f" stroked="t" coordsize="21600,21600" o:allowincell="f" o:gfxdata="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AMKfnSAAAACAEAAA8AAAAAAAAAAQAgAAAA&#10;IgAAAGRycy9kb3ducmV2LnhtbFBLAQIUABQAAAAIAIdO4kCd/8Mw2AEAAKMDAAAOAAAAAAAAAAEA&#10;IAAAACEBAABkcnMvZTJvRG9jLnhtbFBLBQYAAAAABgAGAFkBAABrBQAAAAA=&#10;">
                <v:fill on="f" focussize="0,0"/>
                <v:stroke weight="1.5pt" color="#000000" joinstyle="round"/>
                <v:imagedata o:title=""/>
                <o:lock v:ext="edit" aspectratio="f"/>
                <w10:wrap type="topAndBottom"/>
              </v:line>
            </w:pict>
          </mc:Fallback>
        </mc:AlternateContent>
      </w:r>
      <w:r>
        <w:rPr>
          <w:rFonts w:eastAsia="黑体"/>
          <w:bCs/>
          <w:sz w:val="24"/>
        </w:rPr>
        <w:t xml:space="preserve">                      </w:t>
      </w:r>
    </w:p>
    <w:p w14:paraId="5221283E">
      <w:pPr>
        <w:adjustRightInd w:val="0"/>
        <w:snapToGrid w:val="0"/>
        <w:ind w:right="-512"/>
        <w:jc w:val="center"/>
        <w:rPr>
          <w:rFonts w:eastAsia="黑体"/>
          <w:sz w:val="52"/>
          <w:szCs w:val="52"/>
        </w:rPr>
      </w:pPr>
    </w:p>
    <w:p w14:paraId="5D11B4D4">
      <w:pPr>
        <w:spacing w:line="360" w:lineRule="auto"/>
        <w:jc w:val="center"/>
        <w:rPr>
          <w:rFonts w:hint="eastAsia" w:ascii="黑体" w:hAnsi="黑体" w:eastAsia="黑体" w:cs="黑体"/>
          <w:b/>
          <w:bCs/>
          <w:sz w:val="52"/>
          <w:szCs w:val="24"/>
        </w:rPr>
      </w:pPr>
      <w:r>
        <w:rPr>
          <w:rFonts w:hint="eastAsia" w:ascii="黑体" w:hAnsi="黑体" w:eastAsia="黑体" w:cs="黑体"/>
          <w:b/>
          <w:bCs/>
          <w:sz w:val="52"/>
          <w:szCs w:val="24"/>
        </w:rPr>
        <w:t>热式气体质量流量计型式评价大纲</w:t>
      </w:r>
    </w:p>
    <w:p w14:paraId="0B530ED9">
      <w:pPr>
        <w:spacing w:line="288" w:lineRule="auto"/>
        <w:jc w:val="center"/>
        <w:rPr>
          <w:rFonts w:cstheme="minorBidi"/>
          <w:sz w:val="32"/>
          <w:szCs w:val="32"/>
        </w:rPr>
      </w:pPr>
      <w:r>
        <w:rPr>
          <w:rFonts w:cstheme="minorBidi"/>
          <w:sz w:val="32"/>
          <w:szCs w:val="32"/>
        </w:rPr>
        <w:t xml:space="preserve">Program of Pattern Evaluation of Thermal Mass Gas Flowmeters </w:t>
      </w:r>
    </w:p>
    <w:p w14:paraId="0C6D488B">
      <w:pPr>
        <w:adjustRightInd w:val="0"/>
        <w:snapToGrid w:val="0"/>
        <w:spacing w:line="288" w:lineRule="auto"/>
        <w:jc w:val="center"/>
        <w:rPr>
          <w:rFonts w:cs="宋体"/>
          <w:sz w:val="32"/>
          <w:szCs w:val="32"/>
        </w:rPr>
      </w:pPr>
      <w:r>
        <w:rPr>
          <w:rFonts w:hint="eastAsia" w:cs="宋体"/>
          <w:sz w:val="32"/>
          <w:szCs w:val="32"/>
        </w:rPr>
        <w:t>（征求意见稿）</w:t>
      </w:r>
    </w:p>
    <w:p w14:paraId="5784A854">
      <w:pPr>
        <w:adjustRightInd w:val="0"/>
        <w:snapToGrid w:val="0"/>
        <w:jc w:val="center"/>
        <w:rPr>
          <w:sz w:val="32"/>
          <w:szCs w:val="32"/>
        </w:rPr>
      </w:pPr>
    </w:p>
    <w:p w14:paraId="173A8253">
      <w:pPr>
        <w:adjustRightInd w:val="0"/>
        <w:snapToGrid w:val="0"/>
        <w:jc w:val="center"/>
        <w:rPr>
          <w:sz w:val="32"/>
          <w:szCs w:val="32"/>
        </w:rPr>
      </w:pPr>
    </w:p>
    <w:p w14:paraId="3AA65B88">
      <w:pPr>
        <w:adjustRightInd w:val="0"/>
        <w:snapToGrid w:val="0"/>
        <w:jc w:val="center"/>
        <w:rPr>
          <w:sz w:val="32"/>
          <w:szCs w:val="32"/>
        </w:rPr>
      </w:pPr>
    </w:p>
    <w:p w14:paraId="1B123EC9">
      <w:pPr>
        <w:adjustRightInd w:val="0"/>
        <w:snapToGrid w:val="0"/>
        <w:jc w:val="center"/>
        <w:rPr>
          <w:sz w:val="32"/>
          <w:szCs w:val="32"/>
        </w:rPr>
      </w:pPr>
    </w:p>
    <w:p w14:paraId="25FF5859">
      <w:pPr>
        <w:adjustRightInd w:val="0"/>
        <w:snapToGrid w:val="0"/>
        <w:jc w:val="center"/>
        <w:rPr>
          <w:sz w:val="32"/>
          <w:szCs w:val="32"/>
        </w:rPr>
      </w:pPr>
    </w:p>
    <w:p w14:paraId="4FED1211">
      <w:pPr>
        <w:adjustRightInd w:val="0"/>
        <w:snapToGrid w:val="0"/>
        <w:jc w:val="center"/>
        <w:rPr>
          <w:sz w:val="32"/>
          <w:szCs w:val="32"/>
        </w:rPr>
      </w:pPr>
      <w:r>
        <w:rPr>
          <w:rFonts w:hint="eastAsia"/>
          <w:sz w:val="32"/>
          <w:szCs w:val="32"/>
        </w:rPr>
        <w:t xml:space="preserve"> </w:t>
      </w:r>
    </w:p>
    <w:p w14:paraId="54DAF7CE">
      <w:pPr>
        <w:adjustRightInd w:val="0"/>
        <w:snapToGrid w:val="0"/>
        <w:jc w:val="center"/>
        <w:rPr>
          <w:sz w:val="32"/>
          <w:szCs w:val="32"/>
        </w:rPr>
      </w:pPr>
    </w:p>
    <w:p w14:paraId="6F618DAC">
      <w:pPr>
        <w:adjustRightInd w:val="0"/>
        <w:snapToGrid w:val="0"/>
        <w:jc w:val="center"/>
        <w:rPr>
          <w:sz w:val="32"/>
          <w:szCs w:val="32"/>
        </w:rPr>
      </w:pPr>
    </w:p>
    <w:p w14:paraId="0C84F8A6">
      <w:pPr>
        <w:adjustRightInd w:val="0"/>
        <w:snapToGrid w:val="0"/>
        <w:jc w:val="center"/>
        <w:rPr>
          <w:sz w:val="32"/>
          <w:szCs w:val="32"/>
        </w:rPr>
      </w:pPr>
    </w:p>
    <w:p w14:paraId="6443A0D7">
      <w:pPr>
        <w:adjustRightInd w:val="0"/>
        <w:snapToGrid w:val="0"/>
        <w:jc w:val="center"/>
        <w:rPr>
          <w:sz w:val="32"/>
          <w:szCs w:val="32"/>
        </w:rPr>
      </w:pPr>
    </w:p>
    <w:p w14:paraId="117E3C36">
      <w:pPr>
        <w:adjustRightInd w:val="0"/>
        <w:snapToGrid w:val="0"/>
        <w:jc w:val="center"/>
        <w:rPr>
          <w:sz w:val="32"/>
          <w:szCs w:val="32"/>
        </w:rPr>
      </w:pPr>
    </w:p>
    <w:p w14:paraId="32D8B0DF">
      <w:pPr>
        <w:adjustRightInd w:val="0"/>
        <w:snapToGrid w:val="0"/>
        <w:jc w:val="center"/>
        <w:rPr>
          <w:sz w:val="32"/>
          <w:szCs w:val="32"/>
        </w:rPr>
      </w:pPr>
    </w:p>
    <w:p w14:paraId="3E0618E7">
      <w:pPr>
        <w:adjustRightInd w:val="0"/>
        <w:snapToGrid w:val="0"/>
        <w:jc w:val="center"/>
        <w:rPr>
          <w:sz w:val="32"/>
          <w:szCs w:val="32"/>
        </w:rPr>
      </w:pPr>
    </w:p>
    <w:p w14:paraId="0AF6311C">
      <w:pPr>
        <w:ind w:firstLine="643"/>
        <w:jc w:val="center"/>
        <w:rPr>
          <w:b/>
          <w:sz w:val="32"/>
          <w:lang w:val="nl-NL"/>
        </w:rPr>
      </w:pPr>
      <w:bookmarkStart w:id="0" w:name="_Hlk219882713"/>
    </w:p>
    <w:p w14:paraId="21C6B4D3">
      <w:pPr>
        <w:jc w:val="center"/>
        <w:rPr>
          <w:rFonts w:hint="eastAsia" w:ascii="黑体" w:hAnsi="黑体" w:eastAsia="黑体"/>
          <w:sz w:val="32"/>
          <w:szCs w:val="32"/>
        </w:rPr>
      </w:pPr>
      <w:r>
        <w:rPr>
          <w:rFonts w:ascii="黑体" w:hAnsi="黑体" w:eastAsia="黑体"/>
          <w:sz w:val="28"/>
          <w:szCs w:val="28"/>
        </w:rPr>
        <w:t>XXXX</w:t>
      </w:r>
      <w:r>
        <w:rPr>
          <w:rFonts w:hint="eastAsia" w:ascii="黑体" w:hAnsi="黑体" w:eastAsia="黑体"/>
          <w:sz w:val="28"/>
          <w:szCs w:val="28"/>
        </w:rPr>
        <w:t>－</w:t>
      </w:r>
      <w:r>
        <w:rPr>
          <w:rFonts w:ascii="黑体" w:hAnsi="黑体" w:eastAsia="黑体"/>
          <w:sz w:val="28"/>
          <w:szCs w:val="28"/>
        </w:rPr>
        <w:t>XX</w:t>
      </w:r>
      <w:r>
        <w:rPr>
          <w:rFonts w:hint="eastAsia" w:ascii="黑体" w:hAnsi="黑体" w:eastAsia="黑体"/>
          <w:sz w:val="28"/>
          <w:szCs w:val="28"/>
        </w:rPr>
        <w:t>－</w:t>
      </w:r>
      <w:r>
        <w:rPr>
          <w:rFonts w:ascii="黑体" w:hAnsi="黑体" w:eastAsia="黑体"/>
          <w:sz w:val="28"/>
          <w:szCs w:val="28"/>
        </w:rPr>
        <w:t>XX</w:t>
      </w:r>
      <w:r>
        <w:rPr>
          <w:rFonts w:hint="eastAsia" w:ascii="黑体" w:hAnsi="黑体" w:eastAsia="黑体"/>
          <w:sz w:val="28"/>
          <w:szCs w:val="28"/>
        </w:rPr>
        <w:t>发布</w:t>
      </w:r>
      <w:r>
        <w:rPr>
          <w:rFonts w:hint="eastAsia" w:ascii="宋体" w:hAnsi="宋体" w:cs="宋体"/>
          <w:sz w:val="28"/>
          <w:szCs w:val="28"/>
        </w:rPr>
        <w:t xml:space="preserve">                          </w:t>
      </w:r>
      <w:r>
        <w:rPr>
          <w:rFonts w:ascii="黑体" w:hAnsi="黑体" w:eastAsia="黑体"/>
          <w:sz w:val="28"/>
          <w:szCs w:val="28"/>
        </w:rPr>
        <w:t>XXXX</w:t>
      </w:r>
      <w:r>
        <w:rPr>
          <w:rFonts w:hint="eastAsia" w:ascii="黑体" w:hAnsi="黑体" w:eastAsia="黑体"/>
          <w:sz w:val="28"/>
          <w:szCs w:val="28"/>
        </w:rPr>
        <w:t>－</w:t>
      </w:r>
      <w:r>
        <w:rPr>
          <w:rFonts w:ascii="黑体" w:hAnsi="黑体" w:eastAsia="黑体"/>
          <w:sz w:val="28"/>
          <w:szCs w:val="28"/>
        </w:rPr>
        <w:t>XX</w:t>
      </w:r>
      <w:r>
        <w:rPr>
          <w:rFonts w:hint="eastAsia" w:ascii="黑体" w:hAnsi="黑体" w:eastAsia="黑体"/>
          <w:sz w:val="28"/>
          <w:szCs w:val="28"/>
        </w:rPr>
        <w:t>－</w:t>
      </w:r>
      <w:r>
        <w:rPr>
          <w:rFonts w:ascii="黑体" w:hAnsi="黑体" w:eastAsia="黑体"/>
          <w:sz w:val="28"/>
          <w:szCs w:val="28"/>
        </w:rPr>
        <w:t>XX</w:t>
      </w:r>
      <w:r>
        <w:rPr>
          <w:rFonts w:hint="eastAsia" w:ascii="黑体" w:hAnsi="黑体" w:eastAsia="黑体"/>
          <w:sz w:val="28"/>
          <w:szCs w:val="28"/>
        </w:rPr>
        <w:t>实施</w:t>
      </w:r>
    </w:p>
    <w:bookmarkEnd w:id="0"/>
    <w:p w14:paraId="5F13B839">
      <w:pPr>
        <w:widowControl/>
        <w:kinsoku w:val="0"/>
        <w:overflowPunct w:val="0"/>
        <w:autoSpaceDE w:val="0"/>
        <w:autoSpaceDN w:val="0"/>
        <w:adjustRightInd w:val="0"/>
        <w:snapToGrid w:val="0"/>
        <w:ind w:firstLine="896"/>
        <w:jc w:val="center"/>
        <w:textAlignment w:val="center"/>
        <w:rPr>
          <w:rFonts w:eastAsia="黑体" w:cs="黑体"/>
          <w:b/>
          <w:bCs/>
          <w:sz w:val="28"/>
          <w:szCs w:val="28"/>
        </w:rPr>
      </w:pPr>
      <w:r>
        <w:rPr>
          <w:rFonts w:ascii="黑体" w:hAnsi="黑体" w:eastAsia="黑体"/>
          <w:sz w:val="28"/>
          <w:szCs w:val="28"/>
        </w:rPr>
        <mc:AlternateContent>
          <mc:Choice Requires="wps">
            <w:drawing>
              <wp:anchor distT="0" distB="0" distL="114300" distR="114300" simplePos="0" relativeHeight="251663360" behindDoc="0" locked="0" layoutInCell="0" allowOverlap="1">
                <wp:simplePos x="0" y="0"/>
                <wp:positionH relativeFrom="margin">
                  <wp:posOffset>-28575</wp:posOffset>
                </wp:positionH>
                <wp:positionV relativeFrom="paragraph">
                  <wp:posOffset>11430</wp:posOffset>
                </wp:positionV>
                <wp:extent cx="5740400" cy="6985"/>
                <wp:effectExtent l="0" t="0" r="12700" b="31115"/>
                <wp:wrapNone/>
                <wp:docPr id="657057469" name="直接连接符 657057469"/>
                <wp:cNvGraphicFramePr/>
                <a:graphic xmlns:a="http://schemas.openxmlformats.org/drawingml/2006/main">
                  <a:graphicData uri="http://schemas.microsoft.com/office/word/2010/wordprocessingShape">
                    <wps:wsp>
                      <wps:cNvCnPr>
                        <a:cxnSpLocks noChangeShapeType="1"/>
                      </wps:cNvCnPr>
                      <wps:spPr bwMode="auto">
                        <a:xfrm>
                          <a:off x="0" y="0"/>
                          <a:ext cx="5740400" cy="698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2.25pt;margin-top:0.9pt;height:0.55pt;width:452pt;mso-position-horizontal-relative:margin;z-index:251663360;mso-width-relative:page;mso-height-relative:page;" filled="f" stroked="t" coordsize="21600,21600" o:allowincell="f" o:gfxdata="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t&#10;3fvn0wAAAAYBAAAPAAAAAAAAAAEAIAAAACIAAABkcnMvZG93bnJldi54bWxQSwECFAAUAAAACACH&#10;TuJAZAY7BPABAAC+AwAADgAAAAAAAAABACAAAAAiAQAAZHJzL2Uyb0RvYy54bWxQSwUGAAAAAAYA&#10;BgBZAQAAhAUAAAAA&#10;">
                <v:fill on="f" focussize="0,0"/>
                <v:stroke weight="1.5pt" color="#000000" joinstyle="round"/>
                <v:imagedata o:title=""/>
                <o:lock v:ext="edit" aspectratio="f"/>
              </v:line>
            </w:pict>
          </mc:Fallback>
        </mc:AlternateContent>
      </w:r>
      <w:r>
        <mc:AlternateContent>
          <mc:Choice Requires="wps">
            <w:drawing>
              <wp:inline distT="0" distB="0" distL="114300" distR="114300">
                <wp:extent cx="4019550" cy="356235"/>
                <wp:effectExtent l="0" t="0" r="6350" b="12065"/>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4019550" cy="356235"/>
                        </a:xfrm>
                        <a:prstGeom prst="rect">
                          <a:avLst/>
                        </a:prstGeom>
                        <a:solidFill>
                          <a:srgbClr val="FFFFFF"/>
                        </a:solidFill>
                        <a:ln>
                          <a:noFill/>
                        </a:ln>
                      </wps:spPr>
                      <wps:txbx>
                        <w:txbxContent>
                          <w:p w14:paraId="0BB911B8">
                            <w:pPr>
                              <w:pStyle w:val="128"/>
                              <w:jc w:val="center"/>
                              <w:rPr>
                                <w:rFonts w:hint="eastAsia" w:hAnsi="宋体"/>
                                <w:spacing w:val="0"/>
                                <w:w w:val="120"/>
                                <w:szCs w:val="52"/>
                              </w:rPr>
                            </w:pPr>
                            <w:r>
                              <w:rPr>
                                <w:rFonts w:hint="eastAsia" w:hAnsi="宋体"/>
                                <w:spacing w:val="0"/>
                                <w:w w:val="120"/>
                                <w:sz w:val="44"/>
                                <w:szCs w:val="44"/>
                              </w:rPr>
                              <w:t>国家市场监督管理总局</w:t>
                            </w:r>
                          </w:p>
                        </w:txbxContent>
                      </wps:txbx>
                      <wps:bodyPr rot="0" vert="horz" wrap="square" lIns="0" tIns="0" rIns="0" bIns="0" anchor="t" anchorCtr="0" upright="1">
                        <a:noAutofit/>
                      </wps:bodyPr>
                    </wps:wsp>
                  </a:graphicData>
                </a:graphic>
              </wp:inline>
            </w:drawing>
          </mc:Choice>
          <mc:Fallback>
            <w:pict>
              <v:shape id="_x0000_s1026" o:spid="_x0000_s1026" o:spt="202" type="#_x0000_t202" style="height:28.05pt;width:316.5pt;" fillcolor="#FFFFFF" filled="t" stroked="f" coordsize="21600,21600" o:gfxdata="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nKe1xdQAAAAE&#10;AQAADwAAAAAAAAABACAAAAAiAAAAZHJzL2Rvd25yZXYueG1sUEsBAhQAFAAAAAgAh07iQNJ7BuQg&#10;AgAALgQAAA4AAAAAAAAAAQAgAAAAIwEAAGRycy9lMm9Eb2MueG1sUEsFBgAAAAAGAAYAWQEAALUF&#10;AAAAAA==&#10;">
                <v:fill on="t" focussize="0,0"/>
                <v:stroke on="f"/>
                <v:imagedata o:title=""/>
                <o:lock v:ext="edit" aspectratio="f"/>
                <v:textbox inset="0mm,0mm,0mm,0mm">
                  <w:txbxContent>
                    <w:p w14:paraId="0BB911B8">
                      <w:pPr>
                        <w:pStyle w:val="128"/>
                        <w:jc w:val="center"/>
                        <w:rPr>
                          <w:rFonts w:hint="eastAsia" w:hAnsi="宋体"/>
                          <w:spacing w:val="0"/>
                          <w:w w:val="120"/>
                          <w:szCs w:val="52"/>
                        </w:rPr>
                      </w:pPr>
                      <w:r>
                        <w:rPr>
                          <w:rFonts w:hint="eastAsia" w:hAnsi="宋体"/>
                          <w:spacing w:val="0"/>
                          <w:w w:val="120"/>
                          <w:sz w:val="44"/>
                          <w:szCs w:val="44"/>
                        </w:rPr>
                        <w:t>国家市场监督管理总局</w:t>
                      </w:r>
                    </w:p>
                  </w:txbxContent>
                </v:textbox>
                <w10:wrap type="none"/>
                <w10:anchorlock/>
              </v:shape>
            </w:pict>
          </mc:Fallback>
        </mc:AlternateContent>
      </w:r>
      <w:r>
        <w:rPr>
          <w:rFonts w:hint="eastAsia" w:eastAsia="黑体" w:cs="黑体"/>
          <w:b/>
          <w:bCs/>
          <w:sz w:val="28"/>
          <w:szCs w:val="28"/>
        </w:rPr>
        <w:t>发 布</w:t>
      </w:r>
    </w:p>
    <w:p w14:paraId="128F5E0B">
      <w:pPr>
        <w:widowControl/>
        <w:jc w:val="left"/>
        <w:rPr>
          <w:bCs/>
        </w:rPr>
        <w:sectPr>
          <w:pgSz w:w="11906" w:h="16838"/>
          <w:pgMar w:top="1440" w:right="1469" w:bottom="1091" w:left="1797" w:header="851" w:footer="992" w:gutter="0"/>
          <w:pgNumType w:fmt="lowerRoman" w:start="1"/>
          <w:cols w:space="720" w:num="1"/>
          <w:docGrid w:type="lines" w:linePitch="317" w:charSpace="0"/>
        </w:sectPr>
      </w:pPr>
    </w:p>
    <w:p w14:paraId="21177EBA">
      <w:pPr>
        <w:rPr>
          <w:rFonts w:eastAsia="黑体"/>
          <w:bCs/>
          <w:sz w:val="44"/>
          <w:szCs w:val="44"/>
        </w:rPr>
      </w:pPr>
    </w:p>
    <w:p w14:paraId="1D6557ED">
      <w:pPr>
        <w:spacing w:line="360" w:lineRule="auto"/>
        <w:rPr>
          <w:bCs/>
          <w:sz w:val="44"/>
          <w:szCs w:val="44"/>
        </w:rPr>
      </w:pPr>
      <w:r>
        <mc:AlternateContent>
          <mc:Choice Requires="wps">
            <w:drawing>
              <wp:anchor distT="0" distB="0" distL="114300" distR="114300" simplePos="0" relativeHeight="251662336" behindDoc="0" locked="0" layoutInCell="1" allowOverlap="1">
                <wp:simplePos x="0" y="0"/>
                <wp:positionH relativeFrom="column">
                  <wp:posOffset>3683000</wp:posOffset>
                </wp:positionH>
                <wp:positionV relativeFrom="paragraph">
                  <wp:posOffset>48260</wp:posOffset>
                </wp:positionV>
                <wp:extent cx="1771650" cy="854710"/>
                <wp:effectExtent l="28575" t="28575" r="28575" b="31115"/>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1771650" cy="854710"/>
                        </a:xfrm>
                        <a:prstGeom prst="rect">
                          <a:avLst/>
                        </a:prstGeom>
                        <a:solidFill>
                          <a:srgbClr val="FFFFFF"/>
                        </a:solidFill>
                        <a:ln w="57150" cap="rnd">
                          <a:solidFill>
                            <a:srgbClr val="000000"/>
                          </a:solidFill>
                          <a:prstDash val="sysDot"/>
                          <a:miter lim="800000"/>
                        </a:ln>
                      </wps:spPr>
                      <wps:txbx>
                        <w:txbxContent>
                          <w:p w14:paraId="774A8A59">
                            <w:pPr>
                              <w:jc w:val="center"/>
                              <w:rPr>
                                <w:sz w:val="32"/>
                                <w:szCs w:val="32"/>
                              </w:rPr>
                            </w:pPr>
                            <w:r>
                              <w:rPr>
                                <w:rFonts w:hint="eastAsia"/>
                                <w:sz w:val="32"/>
                                <w:szCs w:val="32"/>
                              </w:rPr>
                              <w:t>JJF</w:t>
                            </w:r>
                            <w:r>
                              <w:rPr>
                                <w:sz w:val="32"/>
                                <w:szCs w:val="32"/>
                              </w:rPr>
                              <w:t xml:space="preserve"> </w:t>
                            </w:r>
                            <w:r>
                              <w:rPr>
                                <w:rFonts w:hint="eastAsia"/>
                                <w:sz w:val="32"/>
                                <w:szCs w:val="32"/>
                              </w:rPr>
                              <w:t>1623</w:t>
                            </w:r>
                            <w:r>
                              <w:rPr>
                                <w:sz w:val="32"/>
                                <w:szCs w:val="32"/>
                              </w:rPr>
                              <w:t>-202X</w:t>
                            </w:r>
                          </w:p>
                          <w:p w14:paraId="01AA66EE">
                            <w:pPr>
                              <w:jc w:val="center"/>
                              <w:rPr>
                                <w:sz w:val="32"/>
                                <w:szCs w:val="32"/>
                              </w:rPr>
                            </w:pPr>
                            <w:r>
                              <w:rPr>
                                <w:rFonts w:hint="eastAsia"/>
                                <w:sz w:val="32"/>
                                <w:szCs w:val="32"/>
                              </w:rPr>
                              <w:t>替代J</w:t>
                            </w:r>
                            <w:r>
                              <w:rPr>
                                <w:sz w:val="32"/>
                                <w:szCs w:val="32"/>
                              </w:rPr>
                              <w:t>J</w:t>
                            </w:r>
                            <w:r>
                              <w:rPr>
                                <w:rFonts w:hint="eastAsia"/>
                                <w:sz w:val="32"/>
                                <w:szCs w:val="32"/>
                              </w:rPr>
                              <w:t>F</w:t>
                            </w:r>
                            <w:r>
                              <w:rPr>
                                <w:sz w:val="32"/>
                                <w:szCs w:val="32"/>
                              </w:rPr>
                              <w:t xml:space="preserve"> 1</w:t>
                            </w:r>
                            <w:r>
                              <w:rPr>
                                <w:rFonts w:hint="eastAsia"/>
                                <w:sz w:val="32"/>
                                <w:szCs w:val="32"/>
                              </w:rPr>
                              <w:t>623</w:t>
                            </w:r>
                            <w:r>
                              <w:rPr>
                                <w:sz w:val="32"/>
                                <w:szCs w:val="32"/>
                              </w:rPr>
                              <w:t>-20</w:t>
                            </w:r>
                            <w:r>
                              <w:rPr>
                                <w:rFonts w:hint="eastAsia"/>
                                <w:sz w:val="32"/>
                                <w:szCs w:val="32"/>
                              </w:rPr>
                              <w:t>17</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90pt;margin-top:3.8pt;height:67.3pt;width:139.5pt;z-index:251662336;mso-width-relative:page;mso-height-relative:page;" fillcolor="#FFFFFF" filled="t" stroked="t" coordsize="21600,21600" o:gfxdata="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nBmLw1gAAAAkBAAAPAAAAAAAA&#10;AAEAIAAAACIAAABkcnMvZG93bnJldi54bWxQSwECFAAUAAAACACHTuJA3owcrk0CAACfBAAADgAA&#10;AAAAAAABACAAAAAlAQAAZHJzL2Uyb0RvYy54bWxQSwUGAAAAAAYABgBZAQAA5AUAAAAA&#10;">
                <v:fill on="t" focussize="0,0"/>
                <v:stroke weight="4.5pt" color="#000000" miterlimit="8" joinstyle="miter" dashstyle="1 1" endcap="round"/>
                <v:imagedata o:title=""/>
                <o:lock v:ext="edit" aspectratio="f"/>
                <v:textbox>
                  <w:txbxContent>
                    <w:p w14:paraId="774A8A59">
                      <w:pPr>
                        <w:jc w:val="center"/>
                        <w:rPr>
                          <w:sz w:val="32"/>
                          <w:szCs w:val="32"/>
                        </w:rPr>
                      </w:pPr>
                      <w:r>
                        <w:rPr>
                          <w:rFonts w:hint="eastAsia"/>
                          <w:sz w:val="32"/>
                          <w:szCs w:val="32"/>
                        </w:rPr>
                        <w:t>JJF</w:t>
                      </w:r>
                      <w:r>
                        <w:rPr>
                          <w:sz w:val="32"/>
                          <w:szCs w:val="32"/>
                        </w:rPr>
                        <w:t xml:space="preserve"> </w:t>
                      </w:r>
                      <w:r>
                        <w:rPr>
                          <w:rFonts w:hint="eastAsia"/>
                          <w:sz w:val="32"/>
                          <w:szCs w:val="32"/>
                        </w:rPr>
                        <w:t>1623</w:t>
                      </w:r>
                      <w:r>
                        <w:rPr>
                          <w:sz w:val="32"/>
                          <w:szCs w:val="32"/>
                        </w:rPr>
                        <w:t>-202X</w:t>
                      </w:r>
                    </w:p>
                    <w:p w14:paraId="01AA66EE">
                      <w:pPr>
                        <w:jc w:val="center"/>
                        <w:rPr>
                          <w:sz w:val="32"/>
                          <w:szCs w:val="32"/>
                        </w:rPr>
                      </w:pPr>
                      <w:r>
                        <w:rPr>
                          <w:rFonts w:hint="eastAsia"/>
                          <w:sz w:val="32"/>
                          <w:szCs w:val="32"/>
                        </w:rPr>
                        <w:t>替代J</w:t>
                      </w:r>
                      <w:r>
                        <w:rPr>
                          <w:sz w:val="32"/>
                          <w:szCs w:val="32"/>
                        </w:rPr>
                        <w:t>J</w:t>
                      </w:r>
                      <w:r>
                        <w:rPr>
                          <w:rFonts w:hint="eastAsia"/>
                          <w:sz w:val="32"/>
                          <w:szCs w:val="32"/>
                        </w:rPr>
                        <w:t>F</w:t>
                      </w:r>
                      <w:r>
                        <w:rPr>
                          <w:sz w:val="32"/>
                          <w:szCs w:val="32"/>
                        </w:rPr>
                        <w:t xml:space="preserve"> 1</w:t>
                      </w:r>
                      <w:r>
                        <w:rPr>
                          <w:rFonts w:hint="eastAsia"/>
                          <w:sz w:val="32"/>
                          <w:szCs w:val="32"/>
                        </w:rPr>
                        <w:t>623</w:t>
                      </w:r>
                      <w:r>
                        <w:rPr>
                          <w:sz w:val="32"/>
                          <w:szCs w:val="32"/>
                        </w:rPr>
                        <w:t>-20</w:t>
                      </w:r>
                      <w:r>
                        <w:rPr>
                          <w:rFonts w:hint="eastAsia"/>
                          <w:sz w:val="32"/>
                          <w:szCs w:val="32"/>
                        </w:rPr>
                        <w:t>17</w:t>
                      </w:r>
                    </w:p>
                  </w:txbxContent>
                </v:textbox>
              </v:rect>
            </w:pict>
          </mc:Fallback>
        </mc:AlternateContent>
      </w:r>
      <w:r>
        <w:rPr>
          <w:rFonts w:hint="eastAsia" w:eastAsia="黑体"/>
          <w:b/>
          <w:sz w:val="36"/>
          <w:szCs w:val="36"/>
        </w:rPr>
        <w:t>热式气体质量流量计型式评价大纲</w:t>
      </w:r>
    </w:p>
    <w:p w14:paraId="53EAD4F8">
      <w:pPr>
        <w:widowControl/>
        <w:spacing w:line="360" w:lineRule="auto"/>
        <w:jc w:val="left"/>
        <w:rPr>
          <w:rFonts w:eastAsia="等线"/>
          <w:spacing w:val="-1"/>
          <w:kern w:val="0"/>
          <w:sz w:val="28"/>
          <w:szCs w:val="28"/>
        </w:rPr>
      </w:pPr>
      <w:r>
        <w:rPr>
          <w:rFonts w:eastAsia="Times New Roman"/>
          <w:spacing w:val="-1"/>
          <w:kern w:val="0"/>
          <w:sz w:val="28"/>
          <w:szCs w:val="28"/>
        </w:rPr>
        <w:t>Program of</w:t>
      </w:r>
      <w:r>
        <w:rPr>
          <w:rFonts w:eastAsia="Times New Roman"/>
          <w:spacing w:val="-14"/>
          <w:kern w:val="0"/>
          <w:sz w:val="28"/>
          <w:szCs w:val="28"/>
        </w:rPr>
        <w:t xml:space="preserve"> </w:t>
      </w:r>
      <w:r>
        <w:rPr>
          <w:rFonts w:eastAsia="Times New Roman"/>
          <w:spacing w:val="-1"/>
          <w:kern w:val="0"/>
          <w:sz w:val="28"/>
          <w:szCs w:val="28"/>
        </w:rPr>
        <w:t xml:space="preserve">Pattern Evaluation of Thermal </w:t>
      </w:r>
    </w:p>
    <w:p w14:paraId="72F91EEF">
      <w:pPr>
        <w:widowControl/>
        <w:spacing w:line="360" w:lineRule="auto"/>
        <w:jc w:val="left"/>
        <w:rPr>
          <w:color w:val="0000FF"/>
          <w:kern w:val="0"/>
          <w:sz w:val="24"/>
        </w:rPr>
      </w:pPr>
      <w:r>
        <w:rPr>
          <w:rFonts w:eastAsia="Times New Roman"/>
          <w:spacing w:val="-1"/>
          <w:kern w:val="0"/>
          <w:sz w:val="28"/>
          <w:szCs w:val="28"/>
        </w:rPr>
        <w:t>Mass Gas Flow</w:t>
      </w:r>
      <w:r>
        <w:rPr>
          <w:rFonts w:eastAsia="Times New Roman"/>
          <w:spacing w:val="-2"/>
          <w:kern w:val="0"/>
          <w:sz w:val="28"/>
          <w:szCs w:val="28"/>
        </w:rPr>
        <w:t>meters</w:t>
      </w:r>
      <w:r>
        <w:rPr>
          <w:b/>
          <w:bCs/>
          <w:color w:val="000000"/>
          <w:kern w:val="0"/>
          <w:sz w:val="30"/>
          <w:szCs w:val="30"/>
          <w:shd w:val="clear" w:color="auto" w:fill="FFFFFF"/>
        </w:rPr>
        <w:t xml:space="preserve"> </w:t>
      </w:r>
    </w:p>
    <w:p w14:paraId="5A24A5CB">
      <w:pPr>
        <w:spacing w:line="360" w:lineRule="auto"/>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196215</wp:posOffset>
                </wp:positionV>
                <wp:extent cx="5514975" cy="14605"/>
                <wp:effectExtent l="9525" t="9525" r="9525" b="13970"/>
                <wp:wrapNone/>
                <wp:docPr id="2" name="直线 85"/>
                <wp:cNvGraphicFramePr/>
                <a:graphic xmlns:a="http://schemas.openxmlformats.org/drawingml/2006/main">
                  <a:graphicData uri="http://schemas.microsoft.com/office/word/2010/wordprocessingShape">
                    <wps:wsp>
                      <wps:cNvCnPr>
                        <a:cxnSpLocks noChangeShapeType="1"/>
                      </wps:cNvCnPr>
                      <wps:spPr bwMode="auto">
                        <a:xfrm flipV="1">
                          <a:off x="0" y="0"/>
                          <a:ext cx="5514975" cy="14605"/>
                        </a:xfrm>
                        <a:prstGeom prst="line">
                          <a:avLst/>
                        </a:prstGeom>
                        <a:noFill/>
                        <a:ln w="19050">
                          <a:solidFill>
                            <a:srgbClr val="000000"/>
                          </a:solidFill>
                          <a:round/>
                        </a:ln>
                      </wps:spPr>
                      <wps:bodyPr/>
                    </wps:wsp>
                  </a:graphicData>
                </a:graphic>
              </wp:anchor>
            </w:drawing>
          </mc:Choice>
          <mc:Fallback>
            <w:pict>
              <v:line id="直线 85" o:spid="_x0000_s1026" o:spt="20" style="position:absolute;left:0pt;flip:y;margin-left:0pt;margin-top:15.45pt;height:1.15pt;width:434.25pt;z-index:251660288;mso-width-relative:page;mso-height-relative:page;" filled="f" stroked="t" coordsize="21600,21600" o:gfxdata="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8iYSutUAAAAGAQAA&#10;DwAAAAAAAAABACAAAAAiAAAAZHJzL2Rvd25yZXYueG1sUEsBAhQAFAAAAAgAh07iQPTIJJPjAQAA&#10;sQMAAA4AAAAAAAAAAQAgAAAAJAEAAGRycy9lMm9Eb2MueG1sUEsFBgAAAAAGAAYAWQEAAHkFAAAA&#10;AA==&#10;">
                <v:fill on="f" focussize="0,0"/>
                <v:stroke weight="1.5pt" color="#000000" joinstyle="round"/>
                <v:imagedata o:title=""/>
                <o:lock v:ext="edit" aspectratio="f"/>
              </v:line>
            </w:pict>
          </mc:Fallback>
        </mc:AlternateContent>
      </w:r>
    </w:p>
    <w:p w14:paraId="4AF93709">
      <w:pPr>
        <w:ind w:firstLine="560"/>
        <w:rPr>
          <w:rFonts w:hint="eastAsia" w:ascii="黑体" w:hAnsi="宋体" w:eastAsia="黑体"/>
          <w:sz w:val="28"/>
        </w:rPr>
      </w:pPr>
    </w:p>
    <w:p w14:paraId="55C12963">
      <w:pPr>
        <w:ind w:firstLine="560"/>
        <w:rPr>
          <w:rFonts w:hint="eastAsia" w:ascii="黑体" w:hAnsi="宋体" w:eastAsia="黑体"/>
          <w:sz w:val="28"/>
        </w:rPr>
      </w:pPr>
    </w:p>
    <w:p w14:paraId="6E5DA1FD">
      <w:pPr>
        <w:ind w:firstLine="560"/>
        <w:rPr>
          <w:rFonts w:hint="eastAsia" w:ascii="黑体" w:hAnsi="宋体" w:eastAsia="黑体"/>
          <w:sz w:val="28"/>
        </w:rPr>
      </w:pPr>
    </w:p>
    <w:p w14:paraId="191C5DC0">
      <w:pPr>
        <w:tabs>
          <w:tab w:val="left" w:pos="1620"/>
          <w:tab w:val="left" w:pos="1800"/>
        </w:tabs>
        <w:spacing w:line="360" w:lineRule="auto"/>
        <w:ind w:firstLine="560"/>
        <w:rPr>
          <w:rFonts w:hint="eastAsia" w:ascii="黑体" w:hAnsi="黑体" w:eastAsia="黑体"/>
          <w:sz w:val="28"/>
        </w:rPr>
      </w:pPr>
      <w:bookmarkStart w:id="1" w:name="_Toc241380366"/>
      <w:r>
        <w:rPr>
          <w:rFonts w:hint="eastAsia" w:ascii="黑体" w:hAnsi="黑体" w:eastAsia="黑体"/>
          <w:sz w:val="28"/>
        </w:rPr>
        <w:t>归</w:t>
      </w:r>
      <w:r>
        <w:rPr>
          <w:rFonts w:hint="eastAsia" w:ascii="黑体" w:hAnsi="黑体" w:eastAsia="黑体"/>
          <w:sz w:val="44"/>
          <w:szCs w:val="44"/>
        </w:rPr>
        <w:t xml:space="preserve"> </w:t>
      </w:r>
      <w:r>
        <w:rPr>
          <w:rFonts w:hint="eastAsia" w:ascii="黑体" w:hAnsi="黑体" w:eastAsia="黑体"/>
          <w:sz w:val="28"/>
        </w:rPr>
        <w:t>口</w:t>
      </w:r>
      <w:r>
        <w:rPr>
          <w:rFonts w:hint="eastAsia" w:ascii="黑体" w:hAnsi="黑体" w:eastAsia="黑体"/>
          <w:sz w:val="36"/>
          <w:szCs w:val="36"/>
        </w:rPr>
        <w:t xml:space="preserve"> </w:t>
      </w:r>
      <w:r>
        <w:rPr>
          <w:rFonts w:hint="eastAsia" w:ascii="黑体" w:hAnsi="黑体" w:eastAsia="黑体"/>
          <w:sz w:val="28"/>
        </w:rPr>
        <w:t>单</w:t>
      </w:r>
      <w:r>
        <w:rPr>
          <w:rFonts w:hint="eastAsia" w:ascii="黑体" w:hAnsi="黑体" w:eastAsia="黑体"/>
          <w:sz w:val="36"/>
          <w:szCs w:val="36"/>
        </w:rPr>
        <w:t xml:space="preserve"> </w:t>
      </w:r>
      <w:r>
        <w:rPr>
          <w:rFonts w:hint="eastAsia" w:ascii="黑体" w:hAnsi="黑体" w:eastAsia="黑体"/>
          <w:sz w:val="28"/>
        </w:rPr>
        <w:t>位</w:t>
      </w:r>
      <w:r>
        <w:rPr>
          <w:rFonts w:hint="eastAsia" w:ascii="黑体" w:hAnsi="黑体" w:eastAsia="黑体"/>
          <w:sz w:val="28"/>
          <w:lang w:val="nl-NL"/>
        </w:rPr>
        <w:t>：</w:t>
      </w:r>
      <w:bookmarkEnd w:id="1"/>
      <w:r>
        <w:rPr>
          <w:rFonts w:hint="eastAsia" w:ascii="黑体" w:hAnsi="黑体" w:eastAsia="黑体"/>
          <w:sz w:val="28"/>
        </w:rPr>
        <w:t>全国流量计量技术委员会</w:t>
      </w:r>
    </w:p>
    <w:p w14:paraId="70454585">
      <w:pPr>
        <w:tabs>
          <w:tab w:val="left" w:pos="1620"/>
          <w:tab w:val="left" w:pos="1800"/>
        </w:tabs>
        <w:spacing w:line="360" w:lineRule="auto"/>
        <w:ind w:firstLine="560"/>
        <w:rPr>
          <w:rFonts w:hint="eastAsia" w:ascii="黑体" w:hAnsi="黑体" w:eastAsia="黑体"/>
          <w:sz w:val="28"/>
        </w:rPr>
      </w:pPr>
      <w:r>
        <w:rPr>
          <w:rFonts w:hint="eastAsia" w:ascii="黑体" w:hAnsi="黑体" w:eastAsia="黑体"/>
          <w:sz w:val="28"/>
        </w:rPr>
        <w:t>主要起草单位</w:t>
      </w:r>
      <w:r>
        <w:rPr>
          <w:rFonts w:hint="eastAsia" w:ascii="黑体" w:hAnsi="黑体" w:eastAsia="黑体"/>
          <w:sz w:val="28"/>
          <w:lang w:val="nl-NL"/>
        </w:rPr>
        <w:t>：中国</w:t>
      </w:r>
      <w:r>
        <w:rPr>
          <w:rFonts w:ascii="黑体" w:hAnsi="黑体" w:eastAsia="黑体"/>
          <w:sz w:val="28"/>
        </w:rPr>
        <w:t>计量科学研究院</w:t>
      </w:r>
    </w:p>
    <w:p w14:paraId="2C88F70E">
      <w:pPr>
        <w:ind w:firstLine="2520" w:firstLineChars="900"/>
        <w:rPr>
          <w:rFonts w:hint="eastAsia" w:ascii="黑体" w:hAnsi="宋体" w:eastAsia="黑体"/>
          <w:sz w:val="28"/>
        </w:rPr>
      </w:pPr>
      <w:r>
        <w:rPr>
          <w:rFonts w:hint="eastAsia" w:ascii="黑体" w:hAnsi="宋体" w:eastAsia="黑体"/>
          <w:sz w:val="28"/>
        </w:rPr>
        <w:t>xxxx</w:t>
      </w:r>
    </w:p>
    <w:p w14:paraId="1D7A91C1">
      <w:pPr>
        <w:ind w:firstLine="2520" w:firstLineChars="900"/>
        <w:rPr>
          <w:rFonts w:hint="eastAsia" w:ascii="黑体" w:hAnsi="宋体" w:eastAsia="黑体"/>
          <w:sz w:val="28"/>
        </w:rPr>
      </w:pPr>
      <w:r>
        <w:rPr>
          <w:rFonts w:hint="eastAsia" w:ascii="黑体" w:hAnsi="宋体" w:eastAsia="黑体"/>
          <w:sz w:val="28"/>
        </w:rPr>
        <w:t>xxxx</w:t>
      </w:r>
    </w:p>
    <w:p w14:paraId="02365F66">
      <w:pPr>
        <w:ind w:firstLine="560"/>
        <w:rPr>
          <w:rFonts w:hint="eastAsia" w:ascii="黑体" w:hAnsi="黑体" w:eastAsia="黑体"/>
          <w:sz w:val="28"/>
        </w:rPr>
      </w:pPr>
      <w:r>
        <w:rPr>
          <w:rFonts w:hint="eastAsia" w:ascii="黑体" w:hAnsi="黑体" w:eastAsia="黑体"/>
          <w:sz w:val="28"/>
        </w:rPr>
        <w:t>参加起草单位：</w:t>
      </w:r>
      <w:r>
        <w:rPr>
          <w:rFonts w:hint="eastAsia" w:ascii="黑体" w:hAnsi="宋体" w:eastAsia="黑体"/>
          <w:sz w:val="28"/>
        </w:rPr>
        <w:t>xxxx</w:t>
      </w:r>
    </w:p>
    <w:p w14:paraId="7AF68E10">
      <w:pPr>
        <w:ind w:firstLine="2520" w:firstLineChars="900"/>
        <w:rPr>
          <w:rFonts w:hint="eastAsia" w:ascii="黑体" w:hAnsi="宋体" w:eastAsia="黑体"/>
          <w:sz w:val="28"/>
        </w:rPr>
      </w:pPr>
      <w:r>
        <w:rPr>
          <w:rFonts w:hint="eastAsia" w:ascii="黑体" w:hAnsi="宋体" w:eastAsia="黑体"/>
          <w:sz w:val="28"/>
        </w:rPr>
        <w:t>xxxx</w:t>
      </w:r>
    </w:p>
    <w:p w14:paraId="5FB4FCFD">
      <w:pPr>
        <w:ind w:firstLine="2520" w:firstLineChars="900"/>
        <w:rPr>
          <w:rFonts w:hint="eastAsia" w:ascii="黑体" w:hAnsi="宋体" w:eastAsia="黑体"/>
          <w:sz w:val="28"/>
        </w:rPr>
      </w:pPr>
      <w:r>
        <w:rPr>
          <w:rFonts w:hint="eastAsia" w:ascii="黑体" w:hAnsi="宋体" w:eastAsia="黑体"/>
          <w:sz w:val="28"/>
        </w:rPr>
        <w:t>xxxx</w:t>
      </w:r>
    </w:p>
    <w:p w14:paraId="3D5A6C86">
      <w:pPr>
        <w:ind w:firstLine="2520" w:firstLineChars="900"/>
        <w:rPr>
          <w:rFonts w:hint="eastAsia" w:ascii="黑体" w:hAnsi="宋体" w:eastAsia="黑体"/>
          <w:sz w:val="28"/>
        </w:rPr>
      </w:pPr>
      <w:r>
        <w:rPr>
          <w:rFonts w:hint="eastAsia" w:ascii="黑体" w:hAnsi="宋体" w:eastAsia="黑体"/>
          <w:sz w:val="28"/>
        </w:rPr>
        <w:t>xxxx</w:t>
      </w:r>
    </w:p>
    <w:p w14:paraId="510218C3">
      <w:pPr>
        <w:snapToGrid w:val="0"/>
        <w:spacing w:line="360" w:lineRule="auto"/>
      </w:pPr>
    </w:p>
    <w:p w14:paraId="587CC0A3">
      <w:pPr>
        <w:spacing w:line="360" w:lineRule="auto"/>
        <w:ind w:firstLine="1080" w:firstLineChars="450"/>
        <w:rPr>
          <w:sz w:val="24"/>
        </w:rPr>
      </w:pPr>
    </w:p>
    <w:p w14:paraId="44F71836">
      <w:pPr>
        <w:spacing w:line="360" w:lineRule="auto"/>
        <w:ind w:firstLine="1080" w:firstLineChars="450"/>
        <w:rPr>
          <w:sz w:val="24"/>
        </w:rPr>
      </w:pPr>
    </w:p>
    <w:p w14:paraId="5668B824">
      <w:pPr>
        <w:spacing w:line="360" w:lineRule="auto"/>
        <w:ind w:firstLine="1080" w:firstLineChars="450"/>
        <w:rPr>
          <w:sz w:val="24"/>
        </w:rPr>
      </w:pPr>
    </w:p>
    <w:p w14:paraId="0A6D25D5">
      <w:pPr>
        <w:spacing w:line="360" w:lineRule="auto"/>
        <w:jc w:val="center"/>
        <w:rPr>
          <w:sz w:val="24"/>
          <w:szCs w:val="18"/>
        </w:rPr>
      </w:pPr>
      <w:r>
        <w:rPr>
          <w:rFonts w:hint="eastAsia" w:ascii="宋体"/>
          <w:sz w:val="28"/>
          <w:szCs w:val="24"/>
        </w:rPr>
        <w:t>本规范委托全国流量计量技术委员会负责解释</w:t>
      </w:r>
    </w:p>
    <w:p w14:paraId="18510D4F">
      <w:pPr>
        <w:spacing w:line="360" w:lineRule="auto"/>
        <w:ind w:firstLine="560" w:firstLineChars="200"/>
        <w:rPr>
          <w:sz w:val="28"/>
        </w:rPr>
      </w:pPr>
    </w:p>
    <w:p w14:paraId="78785AA0">
      <w:pPr>
        <w:spacing w:line="360" w:lineRule="auto"/>
        <w:jc w:val="center"/>
        <w:rPr>
          <w:sz w:val="32"/>
          <w:szCs w:val="32"/>
        </w:rPr>
      </w:pPr>
    </w:p>
    <w:p w14:paraId="3C399E8B">
      <w:pPr>
        <w:ind w:firstLine="280" w:firstLineChars="100"/>
        <w:rPr>
          <w:rFonts w:hint="eastAsia" w:ascii="黑体" w:hAnsi="宋体" w:eastAsia="黑体"/>
          <w:sz w:val="28"/>
        </w:rPr>
      </w:pPr>
    </w:p>
    <w:p w14:paraId="0983FC10">
      <w:pPr>
        <w:ind w:firstLine="280" w:firstLineChars="100"/>
        <w:rPr>
          <w:rFonts w:hint="eastAsia" w:ascii="黑体" w:hAnsi="黑体" w:eastAsia="黑体"/>
          <w:sz w:val="28"/>
        </w:rPr>
      </w:pPr>
      <w:r>
        <w:rPr>
          <w:rFonts w:hint="eastAsia" w:ascii="黑体" w:hAnsi="黑体" w:eastAsia="黑体"/>
          <w:sz w:val="28"/>
        </w:rPr>
        <w:t>本规程主要起草人：</w:t>
      </w:r>
    </w:p>
    <w:p w14:paraId="2769A2D1">
      <w:pPr>
        <w:ind w:firstLine="1680" w:firstLineChars="600"/>
        <w:rPr>
          <w:sz w:val="28"/>
          <w:szCs w:val="28"/>
        </w:rPr>
      </w:pPr>
      <w:r>
        <w:rPr>
          <w:sz w:val="28"/>
          <w:szCs w:val="28"/>
        </w:rPr>
        <w:t>xxxxxx（中国计量科学研究院）</w:t>
      </w:r>
    </w:p>
    <w:p w14:paraId="1A97FDD3">
      <w:pPr>
        <w:ind w:firstLine="1680" w:firstLineChars="600"/>
        <w:rPr>
          <w:sz w:val="28"/>
        </w:rPr>
      </w:pPr>
      <w:r>
        <w:rPr>
          <w:sz w:val="28"/>
          <w:szCs w:val="28"/>
        </w:rPr>
        <w:t>xxxxxx（xxxx）</w:t>
      </w:r>
    </w:p>
    <w:p w14:paraId="53F14F95">
      <w:pPr>
        <w:ind w:firstLine="1680" w:firstLineChars="600"/>
        <w:rPr>
          <w:sz w:val="28"/>
        </w:rPr>
      </w:pPr>
      <w:r>
        <w:rPr>
          <w:sz w:val="28"/>
          <w:szCs w:val="28"/>
        </w:rPr>
        <w:t>xxxxxx（xxxx）</w:t>
      </w:r>
    </w:p>
    <w:p w14:paraId="6B86EF5A">
      <w:pPr>
        <w:ind w:firstLine="1120" w:firstLineChars="400"/>
        <w:rPr>
          <w:rFonts w:hint="eastAsia" w:ascii="黑体" w:hAnsi="宋体" w:eastAsia="黑体"/>
          <w:sz w:val="28"/>
        </w:rPr>
      </w:pPr>
      <w:r>
        <w:rPr>
          <w:rFonts w:hint="eastAsia" w:ascii="黑体" w:hAnsi="黑体" w:eastAsia="黑体"/>
          <w:sz w:val="28"/>
        </w:rPr>
        <w:t>参加起草人：</w:t>
      </w:r>
    </w:p>
    <w:p w14:paraId="329942F0">
      <w:pPr>
        <w:spacing w:line="288" w:lineRule="auto"/>
        <w:ind w:firstLine="1680" w:firstLineChars="600"/>
        <w:rPr>
          <w:sz w:val="28"/>
          <w:szCs w:val="28"/>
        </w:rPr>
      </w:pPr>
      <w:r>
        <w:rPr>
          <w:sz w:val="28"/>
          <w:szCs w:val="28"/>
        </w:rPr>
        <w:t>xxxxxx（xxxx）</w:t>
      </w:r>
    </w:p>
    <w:p w14:paraId="3CA9B2C0">
      <w:pPr>
        <w:spacing w:line="288" w:lineRule="auto"/>
        <w:ind w:firstLine="1680" w:firstLineChars="600"/>
        <w:rPr>
          <w:sz w:val="28"/>
          <w:szCs w:val="28"/>
        </w:rPr>
      </w:pPr>
      <w:r>
        <w:rPr>
          <w:sz w:val="28"/>
          <w:szCs w:val="28"/>
        </w:rPr>
        <w:t>xxxxxx（xxxx）</w:t>
      </w:r>
    </w:p>
    <w:p w14:paraId="553B471E">
      <w:pPr>
        <w:spacing w:line="288" w:lineRule="auto"/>
        <w:ind w:firstLine="1680" w:firstLineChars="600"/>
        <w:rPr>
          <w:sz w:val="28"/>
          <w:szCs w:val="28"/>
        </w:rPr>
      </w:pPr>
      <w:r>
        <w:rPr>
          <w:sz w:val="28"/>
          <w:szCs w:val="28"/>
        </w:rPr>
        <w:t>xxxxxx（xxxx）</w:t>
      </w:r>
    </w:p>
    <w:p w14:paraId="5E241BCB">
      <w:pPr>
        <w:spacing w:line="288" w:lineRule="auto"/>
        <w:ind w:firstLine="1680" w:firstLineChars="600"/>
        <w:rPr>
          <w:sz w:val="28"/>
          <w:szCs w:val="28"/>
        </w:rPr>
      </w:pPr>
      <w:r>
        <w:rPr>
          <w:sz w:val="28"/>
          <w:szCs w:val="28"/>
        </w:rPr>
        <w:t>xxxxxx（xxxx）</w:t>
      </w:r>
    </w:p>
    <w:p w14:paraId="2A4B290B">
      <w:pPr>
        <w:rPr>
          <w:sz w:val="20"/>
        </w:rPr>
      </w:pPr>
    </w:p>
    <w:p w14:paraId="20724CDC">
      <w:pPr>
        <w:rPr>
          <w:sz w:val="20"/>
        </w:rPr>
      </w:pPr>
    </w:p>
    <w:p w14:paraId="5BFB60CC">
      <w:pPr>
        <w:sectPr>
          <w:headerReference r:id="rId3" w:type="default"/>
          <w:footerReference r:id="rId4" w:type="default"/>
          <w:footerReference r:id="rId5" w:type="even"/>
          <w:pgSz w:w="11906" w:h="16838"/>
          <w:pgMar w:top="1440" w:right="1800" w:bottom="1440" w:left="1800" w:header="851" w:footer="992" w:gutter="0"/>
          <w:pgNumType w:start="0"/>
          <w:cols w:space="720" w:num="1"/>
          <w:docGrid w:type="lines" w:linePitch="312" w:charSpace="0"/>
        </w:sectPr>
      </w:pPr>
    </w:p>
    <w:p w14:paraId="0170C77B">
      <w:pPr>
        <w:widowControl/>
        <w:jc w:val="left"/>
        <w:rPr>
          <w:rFonts w:eastAsia="黑体"/>
          <w:bCs/>
          <w:sz w:val="44"/>
          <w:szCs w:val="44"/>
        </w:rPr>
      </w:pPr>
      <w:r>
        <w:rPr>
          <w:rFonts w:eastAsia="黑体"/>
          <w:bCs/>
          <w:sz w:val="44"/>
          <w:szCs w:val="44"/>
        </w:rPr>
        <w:br w:type="page"/>
      </w:r>
    </w:p>
    <w:sdt>
      <w:sdtPr>
        <w:rPr>
          <w:lang w:val="zh-CN"/>
        </w:rPr>
        <w:id w:val="-1633004649"/>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14:paraId="570B971F">
          <w:pPr>
            <w:pStyle w:val="132"/>
            <w:jc w:val="center"/>
            <w:rPr>
              <w:rFonts w:hint="eastAsia" w:ascii="Times New Roman" w:hAnsi="Times New Roman" w:eastAsia="黑体" w:cs="Times New Roman"/>
              <w:bCs/>
              <w:color w:val="auto"/>
              <w:kern w:val="2"/>
              <w:sz w:val="44"/>
              <w:szCs w:val="44"/>
            </w:rPr>
          </w:pPr>
          <w:r>
            <w:rPr>
              <w:rFonts w:ascii="Times New Roman" w:hAnsi="Times New Roman" w:eastAsia="黑体" w:cs="Times New Roman"/>
              <w:bCs/>
              <w:color w:val="auto"/>
              <w:kern w:val="2"/>
              <w:sz w:val="44"/>
              <w:szCs w:val="44"/>
            </w:rPr>
            <w:t>目</w:t>
          </w:r>
          <w:r>
            <w:rPr>
              <w:rFonts w:eastAsia="黑体"/>
              <w:bCs/>
              <w:sz w:val="44"/>
              <w:szCs w:val="44"/>
            </w:rPr>
            <w:t xml:space="preserve">  </w:t>
          </w:r>
          <w:r>
            <w:rPr>
              <w:rFonts w:ascii="Times New Roman" w:hAnsi="Times New Roman" w:eastAsia="黑体" w:cs="Times New Roman"/>
              <w:bCs/>
              <w:color w:val="auto"/>
              <w:kern w:val="2"/>
              <w:sz w:val="44"/>
              <w:szCs w:val="44"/>
            </w:rPr>
            <w:t>录</w:t>
          </w:r>
        </w:p>
        <w:p w14:paraId="72D3066D">
          <w:pPr>
            <w:pStyle w:val="27"/>
            <w:tabs>
              <w:tab w:val="right" w:leader="dot" w:pos="8776"/>
            </w:tabs>
            <w:rPr>
              <w:rFonts w:ascii="Times New Roman" w:hAnsi="Times New Roman" w:cs="Times New Roman"/>
              <w:b w:val="0"/>
              <w:bCs w:val="0"/>
              <w:caps w:val="0"/>
              <w:sz w:val="24"/>
              <w:szCs w:val="24"/>
              <w14:ligatures w14:val="standardContextual"/>
            </w:rPr>
          </w:pPr>
          <w:r>
            <w:fldChar w:fldCharType="begin"/>
          </w:r>
          <w:r>
            <w:instrText xml:space="preserve"> TOC \o "1-3" \h \z \u </w:instrText>
          </w:r>
          <w:r>
            <w:rPr>
              <w:rFonts w:hint="eastAsia"/>
            </w:rPr>
            <w:fldChar w:fldCharType="separate"/>
          </w:r>
          <w:r>
            <w:fldChar w:fldCharType="begin"/>
          </w:r>
          <w:r>
            <w:instrText xml:space="preserve"> HYPERLINK \l "_Toc221090893" </w:instrText>
          </w:r>
          <w:r>
            <w:fldChar w:fldCharType="separate"/>
          </w:r>
          <w:r>
            <w:rPr>
              <w:rStyle w:val="43"/>
              <w:rFonts w:ascii="Times New Roman" w:hAnsi="Times New Roman" w:cs="Times New Roman"/>
              <w:b w:val="0"/>
              <w:bCs w:val="0"/>
              <w:sz w:val="24"/>
              <w:szCs w:val="24"/>
            </w:rPr>
            <w:t>引 言</w:t>
          </w:r>
          <w:r>
            <w:rPr>
              <w:rFonts w:ascii="Times New Roman" w:hAnsi="Times New Roman" w:cs="Times New Roman"/>
              <w:b w:val="0"/>
              <w:bCs w:val="0"/>
              <w:sz w:val="24"/>
              <w:szCs w:val="24"/>
            </w:rPr>
            <w:tab/>
          </w:r>
          <w:r>
            <w:rPr>
              <w:rFonts w:ascii="Times New Roman" w:hAnsi="Times New Roman" w:cs="Times New Roman"/>
              <w:b w:val="0"/>
              <w:bCs w:val="0"/>
              <w:sz w:val="24"/>
              <w:szCs w:val="24"/>
            </w:rPr>
            <w:fldChar w:fldCharType="begin"/>
          </w:r>
          <w:r>
            <w:rPr>
              <w:rFonts w:ascii="Times New Roman" w:hAnsi="Times New Roman" w:cs="Times New Roman"/>
              <w:b w:val="0"/>
              <w:bCs w:val="0"/>
              <w:sz w:val="24"/>
              <w:szCs w:val="24"/>
            </w:rPr>
            <w:instrText xml:space="preserve"> PAGEREF _Toc221090893 \h </w:instrText>
          </w:r>
          <w:r>
            <w:rPr>
              <w:rFonts w:ascii="Times New Roman" w:hAnsi="Times New Roman" w:cs="Times New Roman"/>
              <w:b w:val="0"/>
              <w:bCs w:val="0"/>
              <w:sz w:val="24"/>
              <w:szCs w:val="24"/>
            </w:rPr>
            <w:fldChar w:fldCharType="separate"/>
          </w:r>
          <w:r>
            <w:rPr>
              <w:rFonts w:ascii="Times New Roman" w:hAnsi="Times New Roman" w:cs="Times New Roman"/>
              <w:b w:val="0"/>
              <w:bCs w:val="0"/>
              <w:sz w:val="24"/>
              <w:szCs w:val="24"/>
            </w:rPr>
            <w:t>2</w:t>
          </w:r>
          <w:r>
            <w:rPr>
              <w:rFonts w:ascii="Times New Roman" w:hAnsi="Times New Roman" w:cs="Times New Roman"/>
              <w:b w:val="0"/>
              <w:bCs w:val="0"/>
              <w:sz w:val="24"/>
              <w:szCs w:val="24"/>
            </w:rPr>
            <w:fldChar w:fldCharType="end"/>
          </w:r>
          <w:r>
            <w:rPr>
              <w:rFonts w:ascii="Times New Roman" w:hAnsi="Times New Roman" w:cs="Times New Roman"/>
              <w:b w:val="0"/>
              <w:bCs w:val="0"/>
              <w:sz w:val="24"/>
              <w:szCs w:val="24"/>
            </w:rPr>
            <w:fldChar w:fldCharType="end"/>
          </w:r>
        </w:p>
        <w:p w14:paraId="24AA7D35">
          <w:pPr>
            <w:pStyle w:val="27"/>
            <w:tabs>
              <w:tab w:val="right" w:leader="dot" w:pos="8776"/>
            </w:tabs>
            <w:rPr>
              <w:rFonts w:ascii="Times New Roman" w:hAnsi="Times New Roman" w:cs="Times New Roman"/>
              <w:b w:val="0"/>
              <w:bCs w:val="0"/>
              <w:caps w:val="0"/>
              <w:sz w:val="24"/>
              <w:szCs w:val="24"/>
              <w14:ligatures w14:val="standardContextual"/>
            </w:rPr>
          </w:pPr>
          <w:r>
            <w:fldChar w:fldCharType="begin"/>
          </w:r>
          <w:r>
            <w:instrText xml:space="preserve"> HYPERLINK \l "_Toc221090894" </w:instrText>
          </w:r>
          <w:r>
            <w:fldChar w:fldCharType="separate"/>
          </w:r>
          <w:r>
            <w:rPr>
              <w:rStyle w:val="43"/>
              <w:rFonts w:ascii="Times New Roman" w:hAnsi="Times New Roman" w:cs="Times New Roman"/>
              <w:b w:val="0"/>
              <w:bCs w:val="0"/>
              <w:sz w:val="24"/>
              <w:szCs w:val="24"/>
            </w:rPr>
            <w:t>1 范围</w:t>
          </w:r>
          <w:r>
            <w:rPr>
              <w:rFonts w:ascii="Times New Roman" w:hAnsi="Times New Roman" w:cs="Times New Roman"/>
              <w:b w:val="0"/>
              <w:bCs w:val="0"/>
              <w:sz w:val="24"/>
              <w:szCs w:val="24"/>
            </w:rPr>
            <w:tab/>
          </w:r>
          <w:r>
            <w:rPr>
              <w:rFonts w:ascii="Times New Roman" w:hAnsi="Times New Roman" w:cs="Times New Roman"/>
              <w:b w:val="0"/>
              <w:bCs w:val="0"/>
              <w:sz w:val="24"/>
              <w:szCs w:val="24"/>
            </w:rPr>
            <w:fldChar w:fldCharType="begin"/>
          </w:r>
          <w:r>
            <w:rPr>
              <w:rFonts w:ascii="Times New Roman" w:hAnsi="Times New Roman" w:cs="Times New Roman"/>
              <w:b w:val="0"/>
              <w:bCs w:val="0"/>
              <w:sz w:val="24"/>
              <w:szCs w:val="24"/>
            </w:rPr>
            <w:instrText xml:space="preserve"> PAGEREF _Toc221090894 \h </w:instrText>
          </w:r>
          <w:r>
            <w:rPr>
              <w:rFonts w:ascii="Times New Roman" w:hAnsi="Times New Roman" w:cs="Times New Roman"/>
              <w:b w:val="0"/>
              <w:bCs w:val="0"/>
              <w:sz w:val="24"/>
              <w:szCs w:val="24"/>
            </w:rPr>
            <w:fldChar w:fldCharType="separate"/>
          </w:r>
          <w:r>
            <w:rPr>
              <w:rFonts w:ascii="Times New Roman" w:hAnsi="Times New Roman" w:cs="Times New Roman"/>
              <w:b w:val="0"/>
              <w:bCs w:val="0"/>
              <w:sz w:val="24"/>
              <w:szCs w:val="24"/>
            </w:rPr>
            <w:t>4</w:t>
          </w:r>
          <w:r>
            <w:rPr>
              <w:rFonts w:ascii="Times New Roman" w:hAnsi="Times New Roman" w:cs="Times New Roman"/>
              <w:b w:val="0"/>
              <w:bCs w:val="0"/>
              <w:sz w:val="24"/>
              <w:szCs w:val="24"/>
            </w:rPr>
            <w:fldChar w:fldCharType="end"/>
          </w:r>
          <w:r>
            <w:rPr>
              <w:rFonts w:ascii="Times New Roman" w:hAnsi="Times New Roman" w:cs="Times New Roman"/>
              <w:b w:val="0"/>
              <w:bCs w:val="0"/>
              <w:sz w:val="24"/>
              <w:szCs w:val="24"/>
            </w:rPr>
            <w:fldChar w:fldCharType="end"/>
          </w:r>
        </w:p>
        <w:p w14:paraId="3B922C9A">
          <w:pPr>
            <w:pStyle w:val="27"/>
            <w:tabs>
              <w:tab w:val="right" w:leader="dot" w:pos="8776"/>
            </w:tabs>
            <w:rPr>
              <w:rFonts w:ascii="Times New Roman" w:hAnsi="Times New Roman" w:cs="Times New Roman"/>
              <w:b w:val="0"/>
              <w:bCs w:val="0"/>
              <w:caps w:val="0"/>
              <w:sz w:val="24"/>
              <w:szCs w:val="24"/>
              <w14:ligatures w14:val="standardContextual"/>
            </w:rPr>
          </w:pPr>
          <w:r>
            <w:fldChar w:fldCharType="begin"/>
          </w:r>
          <w:r>
            <w:instrText xml:space="preserve"> HYPERLINK \l "_Toc221090895" </w:instrText>
          </w:r>
          <w:r>
            <w:fldChar w:fldCharType="separate"/>
          </w:r>
          <w:r>
            <w:rPr>
              <w:rStyle w:val="43"/>
              <w:rFonts w:ascii="Times New Roman" w:hAnsi="Times New Roman" w:cs="Times New Roman"/>
              <w:b w:val="0"/>
              <w:bCs w:val="0"/>
              <w:sz w:val="24"/>
              <w:szCs w:val="24"/>
            </w:rPr>
            <w:t>2 引用文件</w:t>
          </w:r>
          <w:r>
            <w:rPr>
              <w:rFonts w:ascii="Times New Roman" w:hAnsi="Times New Roman" w:cs="Times New Roman"/>
              <w:b w:val="0"/>
              <w:bCs w:val="0"/>
              <w:sz w:val="24"/>
              <w:szCs w:val="24"/>
            </w:rPr>
            <w:tab/>
          </w:r>
          <w:r>
            <w:rPr>
              <w:rFonts w:ascii="Times New Roman" w:hAnsi="Times New Roman" w:cs="Times New Roman"/>
              <w:b w:val="0"/>
              <w:bCs w:val="0"/>
              <w:sz w:val="24"/>
              <w:szCs w:val="24"/>
            </w:rPr>
            <w:fldChar w:fldCharType="begin"/>
          </w:r>
          <w:r>
            <w:rPr>
              <w:rFonts w:ascii="Times New Roman" w:hAnsi="Times New Roman" w:cs="Times New Roman"/>
              <w:b w:val="0"/>
              <w:bCs w:val="0"/>
              <w:sz w:val="24"/>
              <w:szCs w:val="24"/>
            </w:rPr>
            <w:instrText xml:space="preserve"> PAGEREF _Toc221090895 \h </w:instrText>
          </w:r>
          <w:r>
            <w:rPr>
              <w:rFonts w:ascii="Times New Roman" w:hAnsi="Times New Roman" w:cs="Times New Roman"/>
              <w:b w:val="0"/>
              <w:bCs w:val="0"/>
              <w:sz w:val="24"/>
              <w:szCs w:val="24"/>
            </w:rPr>
            <w:fldChar w:fldCharType="separate"/>
          </w:r>
          <w:r>
            <w:rPr>
              <w:rFonts w:ascii="Times New Roman" w:hAnsi="Times New Roman" w:cs="Times New Roman"/>
              <w:b w:val="0"/>
              <w:bCs w:val="0"/>
              <w:sz w:val="24"/>
              <w:szCs w:val="24"/>
            </w:rPr>
            <w:t>4</w:t>
          </w:r>
          <w:r>
            <w:rPr>
              <w:rFonts w:ascii="Times New Roman" w:hAnsi="Times New Roman" w:cs="Times New Roman"/>
              <w:b w:val="0"/>
              <w:bCs w:val="0"/>
              <w:sz w:val="24"/>
              <w:szCs w:val="24"/>
            </w:rPr>
            <w:fldChar w:fldCharType="end"/>
          </w:r>
          <w:r>
            <w:rPr>
              <w:rFonts w:ascii="Times New Roman" w:hAnsi="Times New Roman" w:cs="Times New Roman"/>
              <w:b w:val="0"/>
              <w:bCs w:val="0"/>
              <w:sz w:val="24"/>
              <w:szCs w:val="24"/>
            </w:rPr>
            <w:fldChar w:fldCharType="end"/>
          </w:r>
        </w:p>
        <w:p w14:paraId="71C5DB52">
          <w:pPr>
            <w:pStyle w:val="27"/>
            <w:tabs>
              <w:tab w:val="right" w:leader="dot" w:pos="8776"/>
            </w:tabs>
            <w:rPr>
              <w:rFonts w:ascii="Times New Roman" w:hAnsi="Times New Roman" w:cs="Times New Roman"/>
              <w:b w:val="0"/>
              <w:bCs w:val="0"/>
              <w:caps w:val="0"/>
              <w:sz w:val="24"/>
              <w:szCs w:val="24"/>
              <w14:ligatures w14:val="standardContextual"/>
            </w:rPr>
          </w:pPr>
          <w:r>
            <w:fldChar w:fldCharType="begin"/>
          </w:r>
          <w:r>
            <w:instrText xml:space="preserve"> HYPERLINK \l "_Toc221090896" </w:instrText>
          </w:r>
          <w:r>
            <w:fldChar w:fldCharType="separate"/>
          </w:r>
          <w:r>
            <w:rPr>
              <w:rStyle w:val="43"/>
              <w:rFonts w:ascii="Times New Roman" w:hAnsi="Times New Roman" w:cs="Times New Roman"/>
              <w:b w:val="0"/>
              <w:bCs w:val="0"/>
              <w:sz w:val="24"/>
              <w:szCs w:val="24"/>
            </w:rPr>
            <w:t>3 术语</w:t>
          </w:r>
          <w:r>
            <w:rPr>
              <w:rFonts w:ascii="Times New Roman" w:hAnsi="Times New Roman" w:cs="Times New Roman"/>
              <w:b w:val="0"/>
              <w:bCs w:val="0"/>
              <w:sz w:val="24"/>
              <w:szCs w:val="24"/>
            </w:rPr>
            <w:tab/>
          </w:r>
          <w:r>
            <w:rPr>
              <w:rFonts w:ascii="Times New Roman" w:hAnsi="Times New Roman" w:cs="Times New Roman"/>
              <w:b w:val="0"/>
              <w:bCs w:val="0"/>
              <w:sz w:val="24"/>
              <w:szCs w:val="24"/>
            </w:rPr>
            <w:fldChar w:fldCharType="begin"/>
          </w:r>
          <w:r>
            <w:rPr>
              <w:rFonts w:ascii="Times New Roman" w:hAnsi="Times New Roman" w:cs="Times New Roman"/>
              <w:b w:val="0"/>
              <w:bCs w:val="0"/>
              <w:sz w:val="24"/>
              <w:szCs w:val="24"/>
            </w:rPr>
            <w:instrText xml:space="preserve"> PAGEREF _Toc221090896 \h </w:instrText>
          </w:r>
          <w:r>
            <w:rPr>
              <w:rFonts w:ascii="Times New Roman" w:hAnsi="Times New Roman" w:cs="Times New Roman"/>
              <w:b w:val="0"/>
              <w:bCs w:val="0"/>
              <w:sz w:val="24"/>
              <w:szCs w:val="24"/>
            </w:rPr>
            <w:fldChar w:fldCharType="separate"/>
          </w:r>
          <w:r>
            <w:rPr>
              <w:rFonts w:ascii="Times New Roman" w:hAnsi="Times New Roman" w:cs="Times New Roman"/>
              <w:b w:val="0"/>
              <w:bCs w:val="0"/>
              <w:sz w:val="24"/>
              <w:szCs w:val="24"/>
            </w:rPr>
            <w:t>4</w:t>
          </w:r>
          <w:r>
            <w:rPr>
              <w:rFonts w:ascii="Times New Roman" w:hAnsi="Times New Roman" w:cs="Times New Roman"/>
              <w:b w:val="0"/>
              <w:bCs w:val="0"/>
              <w:sz w:val="24"/>
              <w:szCs w:val="24"/>
            </w:rPr>
            <w:fldChar w:fldCharType="end"/>
          </w:r>
          <w:r>
            <w:rPr>
              <w:rFonts w:ascii="Times New Roman" w:hAnsi="Times New Roman" w:cs="Times New Roman"/>
              <w:b w:val="0"/>
              <w:bCs w:val="0"/>
              <w:sz w:val="24"/>
              <w:szCs w:val="24"/>
            </w:rPr>
            <w:fldChar w:fldCharType="end"/>
          </w:r>
        </w:p>
        <w:p w14:paraId="4E7BCEA7">
          <w:pPr>
            <w:pStyle w:val="27"/>
            <w:tabs>
              <w:tab w:val="right" w:leader="dot" w:pos="8776"/>
            </w:tabs>
            <w:rPr>
              <w:rFonts w:ascii="Times New Roman" w:hAnsi="Times New Roman" w:cs="Times New Roman"/>
              <w:b w:val="0"/>
              <w:bCs w:val="0"/>
              <w:caps w:val="0"/>
              <w:sz w:val="24"/>
              <w:szCs w:val="24"/>
              <w14:ligatures w14:val="standardContextual"/>
            </w:rPr>
          </w:pPr>
          <w:r>
            <w:fldChar w:fldCharType="begin"/>
          </w:r>
          <w:r>
            <w:instrText xml:space="preserve"> HYPERLINK \l "_Toc221090897" </w:instrText>
          </w:r>
          <w:r>
            <w:fldChar w:fldCharType="separate"/>
          </w:r>
          <w:r>
            <w:rPr>
              <w:rStyle w:val="43"/>
              <w:rFonts w:ascii="Times New Roman" w:hAnsi="Times New Roman" w:cs="Times New Roman"/>
              <w:b w:val="0"/>
              <w:bCs w:val="0"/>
              <w:iCs/>
              <w:sz w:val="24"/>
              <w:szCs w:val="24"/>
            </w:rPr>
            <w:t xml:space="preserve">3.1 </w:t>
          </w:r>
          <w:r>
            <w:rPr>
              <w:rStyle w:val="43"/>
              <w:rFonts w:ascii="Times New Roman" w:hAnsi="Times New Roman" w:cs="Times New Roman"/>
              <w:b w:val="0"/>
              <w:bCs w:val="0"/>
              <w:iCs/>
              <w:sz w:val="24"/>
              <w:szCs w:val="24"/>
              <w:lang w:val="zh-CN"/>
            </w:rPr>
            <w:t>热式气体质量流量计</w:t>
          </w:r>
          <w:r>
            <w:rPr>
              <w:rFonts w:ascii="Times New Roman" w:hAnsi="Times New Roman" w:cs="Times New Roman"/>
              <w:b w:val="0"/>
              <w:bCs w:val="0"/>
              <w:sz w:val="24"/>
              <w:szCs w:val="24"/>
            </w:rPr>
            <w:tab/>
          </w:r>
          <w:r>
            <w:rPr>
              <w:rFonts w:ascii="Times New Roman" w:hAnsi="Times New Roman" w:cs="Times New Roman"/>
              <w:b w:val="0"/>
              <w:bCs w:val="0"/>
              <w:sz w:val="24"/>
              <w:szCs w:val="24"/>
            </w:rPr>
            <w:fldChar w:fldCharType="begin"/>
          </w:r>
          <w:r>
            <w:rPr>
              <w:rFonts w:ascii="Times New Roman" w:hAnsi="Times New Roman" w:cs="Times New Roman"/>
              <w:b w:val="0"/>
              <w:bCs w:val="0"/>
              <w:sz w:val="24"/>
              <w:szCs w:val="24"/>
            </w:rPr>
            <w:instrText xml:space="preserve"> PAGEREF _Toc221090897 \h </w:instrText>
          </w:r>
          <w:r>
            <w:rPr>
              <w:rFonts w:ascii="Times New Roman" w:hAnsi="Times New Roman" w:cs="Times New Roman"/>
              <w:b w:val="0"/>
              <w:bCs w:val="0"/>
              <w:sz w:val="24"/>
              <w:szCs w:val="24"/>
            </w:rPr>
            <w:fldChar w:fldCharType="separate"/>
          </w:r>
          <w:r>
            <w:rPr>
              <w:rFonts w:ascii="Times New Roman" w:hAnsi="Times New Roman" w:cs="Times New Roman"/>
              <w:b w:val="0"/>
              <w:bCs w:val="0"/>
              <w:sz w:val="24"/>
              <w:szCs w:val="24"/>
            </w:rPr>
            <w:t>5</w:t>
          </w:r>
          <w:r>
            <w:rPr>
              <w:rFonts w:ascii="Times New Roman" w:hAnsi="Times New Roman" w:cs="Times New Roman"/>
              <w:b w:val="0"/>
              <w:bCs w:val="0"/>
              <w:sz w:val="24"/>
              <w:szCs w:val="24"/>
            </w:rPr>
            <w:fldChar w:fldCharType="end"/>
          </w:r>
          <w:r>
            <w:rPr>
              <w:rFonts w:ascii="Times New Roman" w:hAnsi="Times New Roman" w:cs="Times New Roman"/>
              <w:b w:val="0"/>
              <w:bCs w:val="0"/>
              <w:sz w:val="24"/>
              <w:szCs w:val="24"/>
            </w:rPr>
            <w:fldChar w:fldCharType="end"/>
          </w:r>
        </w:p>
        <w:p w14:paraId="7EB3ABDD">
          <w:pPr>
            <w:pStyle w:val="27"/>
            <w:tabs>
              <w:tab w:val="right" w:leader="dot" w:pos="8776"/>
            </w:tabs>
            <w:rPr>
              <w:rFonts w:ascii="Times New Roman" w:hAnsi="Times New Roman" w:cs="Times New Roman"/>
              <w:b w:val="0"/>
              <w:bCs w:val="0"/>
              <w:caps w:val="0"/>
              <w:sz w:val="24"/>
              <w:szCs w:val="24"/>
              <w14:ligatures w14:val="standardContextual"/>
            </w:rPr>
          </w:pPr>
          <w:r>
            <w:fldChar w:fldCharType="begin"/>
          </w:r>
          <w:r>
            <w:instrText xml:space="preserve"> HYPERLINK \l "_Toc221090898" </w:instrText>
          </w:r>
          <w:r>
            <w:fldChar w:fldCharType="separate"/>
          </w:r>
          <w:r>
            <w:rPr>
              <w:rStyle w:val="43"/>
              <w:rFonts w:ascii="Times New Roman" w:hAnsi="Times New Roman" w:cs="Times New Roman"/>
              <w:b w:val="0"/>
              <w:bCs w:val="0"/>
              <w:iCs/>
              <w:sz w:val="24"/>
              <w:szCs w:val="24"/>
            </w:rPr>
            <w:t>3.2 标准参比条件</w:t>
          </w:r>
          <w:r>
            <w:rPr>
              <w:rFonts w:ascii="Times New Roman" w:hAnsi="Times New Roman" w:cs="Times New Roman"/>
              <w:b w:val="0"/>
              <w:bCs w:val="0"/>
              <w:sz w:val="24"/>
              <w:szCs w:val="24"/>
            </w:rPr>
            <w:tab/>
          </w:r>
          <w:r>
            <w:rPr>
              <w:rFonts w:ascii="Times New Roman" w:hAnsi="Times New Roman" w:cs="Times New Roman"/>
              <w:b w:val="0"/>
              <w:bCs w:val="0"/>
              <w:sz w:val="24"/>
              <w:szCs w:val="24"/>
            </w:rPr>
            <w:fldChar w:fldCharType="begin"/>
          </w:r>
          <w:r>
            <w:rPr>
              <w:rFonts w:ascii="Times New Roman" w:hAnsi="Times New Roman" w:cs="Times New Roman"/>
              <w:b w:val="0"/>
              <w:bCs w:val="0"/>
              <w:sz w:val="24"/>
              <w:szCs w:val="24"/>
            </w:rPr>
            <w:instrText xml:space="preserve"> PAGEREF _Toc221090898 \h </w:instrText>
          </w:r>
          <w:r>
            <w:rPr>
              <w:rFonts w:ascii="Times New Roman" w:hAnsi="Times New Roman" w:cs="Times New Roman"/>
              <w:b w:val="0"/>
              <w:bCs w:val="0"/>
              <w:sz w:val="24"/>
              <w:szCs w:val="24"/>
            </w:rPr>
            <w:fldChar w:fldCharType="separate"/>
          </w:r>
          <w:r>
            <w:rPr>
              <w:rFonts w:ascii="Times New Roman" w:hAnsi="Times New Roman" w:cs="Times New Roman"/>
              <w:b w:val="0"/>
              <w:bCs w:val="0"/>
              <w:sz w:val="24"/>
              <w:szCs w:val="24"/>
            </w:rPr>
            <w:t>5</w:t>
          </w:r>
          <w:r>
            <w:rPr>
              <w:rFonts w:ascii="Times New Roman" w:hAnsi="Times New Roman" w:cs="Times New Roman"/>
              <w:b w:val="0"/>
              <w:bCs w:val="0"/>
              <w:sz w:val="24"/>
              <w:szCs w:val="24"/>
            </w:rPr>
            <w:fldChar w:fldCharType="end"/>
          </w:r>
          <w:r>
            <w:rPr>
              <w:rFonts w:ascii="Times New Roman" w:hAnsi="Times New Roman" w:cs="Times New Roman"/>
              <w:b w:val="0"/>
              <w:bCs w:val="0"/>
              <w:sz w:val="24"/>
              <w:szCs w:val="24"/>
            </w:rPr>
            <w:fldChar w:fldCharType="end"/>
          </w:r>
        </w:p>
        <w:p w14:paraId="4DD53D43">
          <w:pPr>
            <w:pStyle w:val="27"/>
            <w:tabs>
              <w:tab w:val="right" w:leader="dot" w:pos="8776"/>
            </w:tabs>
            <w:rPr>
              <w:rFonts w:ascii="Times New Roman" w:hAnsi="Times New Roman" w:cs="Times New Roman"/>
              <w:b w:val="0"/>
              <w:bCs w:val="0"/>
              <w:caps w:val="0"/>
              <w:sz w:val="24"/>
              <w:szCs w:val="24"/>
              <w14:ligatures w14:val="standardContextual"/>
            </w:rPr>
          </w:pPr>
          <w:r>
            <w:fldChar w:fldCharType="begin"/>
          </w:r>
          <w:r>
            <w:instrText xml:space="preserve"> HYPERLINK \l "_Toc221090899" </w:instrText>
          </w:r>
          <w:r>
            <w:fldChar w:fldCharType="separate"/>
          </w:r>
          <w:r>
            <w:rPr>
              <w:rStyle w:val="43"/>
              <w:rFonts w:ascii="Times New Roman" w:hAnsi="Times New Roman" w:cs="Times New Roman"/>
              <w:b w:val="0"/>
              <w:bCs w:val="0"/>
              <w:sz w:val="24"/>
              <w:szCs w:val="24"/>
            </w:rPr>
            <w:t>4 概述</w:t>
          </w:r>
          <w:r>
            <w:rPr>
              <w:rFonts w:ascii="Times New Roman" w:hAnsi="Times New Roman" w:cs="Times New Roman"/>
              <w:b w:val="0"/>
              <w:bCs w:val="0"/>
              <w:sz w:val="24"/>
              <w:szCs w:val="24"/>
            </w:rPr>
            <w:tab/>
          </w:r>
          <w:r>
            <w:rPr>
              <w:rFonts w:ascii="Times New Roman" w:hAnsi="Times New Roman" w:cs="Times New Roman"/>
              <w:b w:val="0"/>
              <w:bCs w:val="0"/>
              <w:sz w:val="24"/>
              <w:szCs w:val="24"/>
            </w:rPr>
            <w:fldChar w:fldCharType="begin"/>
          </w:r>
          <w:r>
            <w:rPr>
              <w:rFonts w:ascii="Times New Roman" w:hAnsi="Times New Roman" w:cs="Times New Roman"/>
              <w:b w:val="0"/>
              <w:bCs w:val="0"/>
              <w:sz w:val="24"/>
              <w:szCs w:val="24"/>
            </w:rPr>
            <w:instrText xml:space="preserve"> PAGEREF _Toc221090899 \h </w:instrText>
          </w:r>
          <w:r>
            <w:rPr>
              <w:rFonts w:ascii="Times New Roman" w:hAnsi="Times New Roman" w:cs="Times New Roman"/>
              <w:b w:val="0"/>
              <w:bCs w:val="0"/>
              <w:sz w:val="24"/>
              <w:szCs w:val="24"/>
            </w:rPr>
            <w:fldChar w:fldCharType="separate"/>
          </w:r>
          <w:r>
            <w:rPr>
              <w:rFonts w:ascii="Times New Roman" w:hAnsi="Times New Roman" w:cs="Times New Roman"/>
              <w:b w:val="0"/>
              <w:bCs w:val="0"/>
              <w:sz w:val="24"/>
              <w:szCs w:val="24"/>
            </w:rPr>
            <w:t>5</w:t>
          </w:r>
          <w:r>
            <w:rPr>
              <w:rFonts w:ascii="Times New Roman" w:hAnsi="Times New Roman" w:cs="Times New Roman"/>
              <w:b w:val="0"/>
              <w:bCs w:val="0"/>
              <w:sz w:val="24"/>
              <w:szCs w:val="24"/>
            </w:rPr>
            <w:fldChar w:fldCharType="end"/>
          </w:r>
          <w:r>
            <w:rPr>
              <w:rFonts w:ascii="Times New Roman" w:hAnsi="Times New Roman" w:cs="Times New Roman"/>
              <w:b w:val="0"/>
              <w:bCs w:val="0"/>
              <w:sz w:val="24"/>
              <w:szCs w:val="24"/>
            </w:rPr>
            <w:fldChar w:fldCharType="end"/>
          </w:r>
        </w:p>
        <w:p w14:paraId="089C1679">
          <w:pPr>
            <w:pStyle w:val="27"/>
            <w:tabs>
              <w:tab w:val="right" w:leader="dot" w:pos="8776"/>
            </w:tabs>
            <w:rPr>
              <w:rFonts w:ascii="Times New Roman" w:hAnsi="Times New Roman" w:cs="Times New Roman"/>
              <w:b w:val="0"/>
              <w:bCs w:val="0"/>
              <w:caps w:val="0"/>
              <w:sz w:val="24"/>
              <w:szCs w:val="24"/>
              <w14:ligatures w14:val="standardContextual"/>
            </w:rPr>
          </w:pPr>
          <w:r>
            <w:fldChar w:fldCharType="begin"/>
          </w:r>
          <w:r>
            <w:instrText xml:space="preserve"> HYPERLINK \l "_Toc221090900" </w:instrText>
          </w:r>
          <w:r>
            <w:fldChar w:fldCharType="separate"/>
          </w:r>
          <w:r>
            <w:rPr>
              <w:rStyle w:val="43"/>
              <w:rFonts w:ascii="Times New Roman" w:hAnsi="Times New Roman" w:cs="Times New Roman"/>
              <w:b w:val="0"/>
              <w:bCs w:val="0"/>
              <w:iCs/>
              <w:sz w:val="24"/>
              <w:szCs w:val="24"/>
            </w:rPr>
            <w:t>4.1 工作原理</w:t>
          </w:r>
          <w:r>
            <w:rPr>
              <w:rFonts w:ascii="Times New Roman" w:hAnsi="Times New Roman" w:cs="Times New Roman"/>
              <w:b w:val="0"/>
              <w:bCs w:val="0"/>
              <w:sz w:val="24"/>
              <w:szCs w:val="24"/>
            </w:rPr>
            <w:tab/>
          </w:r>
          <w:r>
            <w:rPr>
              <w:rFonts w:ascii="Times New Roman" w:hAnsi="Times New Roman" w:cs="Times New Roman"/>
              <w:b w:val="0"/>
              <w:bCs w:val="0"/>
              <w:sz w:val="24"/>
              <w:szCs w:val="24"/>
            </w:rPr>
            <w:fldChar w:fldCharType="begin"/>
          </w:r>
          <w:r>
            <w:rPr>
              <w:rFonts w:ascii="Times New Roman" w:hAnsi="Times New Roman" w:cs="Times New Roman"/>
              <w:b w:val="0"/>
              <w:bCs w:val="0"/>
              <w:sz w:val="24"/>
              <w:szCs w:val="24"/>
            </w:rPr>
            <w:instrText xml:space="preserve"> PAGEREF _Toc221090900 \h </w:instrText>
          </w:r>
          <w:r>
            <w:rPr>
              <w:rFonts w:ascii="Times New Roman" w:hAnsi="Times New Roman" w:cs="Times New Roman"/>
              <w:b w:val="0"/>
              <w:bCs w:val="0"/>
              <w:sz w:val="24"/>
              <w:szCs w:val="24"/>
            </w:rPr>
            <w:fldChar w:fldCharType="separate"/>
          </w:r>
          <w:r>
            <w:rPr>
              <w:rFonts w:ascii="Times New Roman" w:hAnsi="Times New Roman" w:cs="Times New Roman"/>
              <w:b w:val="0"/>
              <w:bCs w:val="0"/>
              <w:sz w:val="24"/>
              <w:szCs w:val="24"/>
            </w:rPr>
            <w:t>5</w:t>
          </w:r>
          <w:r>
            <w:rPr>
              <w:rFonts w:ascii="Times New Roman" w:hAnsi="Times New Roman" w:cs="Times New Roman"/>
              <w:b w:val="0"/>
              <w:bCs w:val="0"/>
              <w:sz w:val="24"/>
              <w:szCs w:val="24"/>
            </w:rPr>
            <w:fldChar w:fldCharType="end"/>
          </w:r>
          <w:r>
            <w:rPr>
              <w:rFonts w:ascii="Times New Roman" w:hAnsi="Times New Roman" w:cs="Times New Roman"/>
              <w:b w:val="0"/>
              <w:bCs w:val="0"/>
              <w:sz w:val="24"/>
              <w:szCs w:val="24"/>
            </w:rPr>
            <w:fldChar w:fldCharType="end"/>
          </w:r>
        </w:p>
        <w:p w14:paraId="6716DF58">
          <w:pPr>
            <w:pStyle w:val="27"/>
            <w:tabs>
              <w:tab w:val="right" w:leader="dot" w:pos="8776"/>
            </w:tabs>
            <w:rPr>
              <w:rFonts w:ascii="Times New Roman" w:hAnsi="Times New Roman" w:cs="Times New Roman"/>
              <w:b w:val="0"/>
              <w:bCs w:val="0"/>
              <w:caps w:val="0"/>
              <w:sz w:val="24"/>
              <w:szCs w:val="24"/>
              <w14:ligatures w14:val="standardContextual"/>
            </w:rPr>
          </w:pPr>
          <w:r>
            <w:fldChar w:fldCharType="begin"/>
          </w:r>
          <w:r>
            <w:instrText xml:space="preserve"> HYPERLINK \l "_Toc221090901" </w:instrText>
          </w:r>
          <w:r>
            <w:fldChar w:fldCharType="separate"/>
          </w:r>
          <w:r>
            <w:rPr>
              <w:rStyle w:val="43"/>
              <w:rFonts w:ascii="Times New Roman" w:hAnsi="Times New Roman" w:cs="Times New Roman"/>
              <w:b w:val="0"/>
              <w:bCs w:val="0"/>
              <w:iCs/>
              <w:sz w:val="24"/>
              <w:szCs w:val="24"/>
            </w:rPr>
            <w:t>4.2 组成及构造</w:t>
          </w:r>
          <w:r>
            <w:rPr>
              <w:rFonts w:ascii="Times New Roman" w:hAnsi="Times New Roman" w:cs="Times New Roman"/>
              <w:b w:val="0"/>
              <w:bCs w:val="0"/>
              <w:sz w:val="24"/>
              <w:szCs w:val="24"/>
            </w:rPr>
            <w:tab/>
          </w:r>
          <w:r>
            <w:rPr>
              <w:rFonts w:ascii="Times New Roman" w:hAnsi="Times New Roman" w:cs="Times New Roman"/>
              <w:b w:val="0"/>
              <w:bCs w:val="0"/>
              <w:sz w:val="24"/>
              <w:szCs w:val="24"/>
            </w:rPr>
            <w:fldChar w:fldCharType="begin"/>
          </w:r>
          <w:r>
            <w:rPr>
              <w:rFonts w:ascii="Times New Roman" w:hAnsi="Times New Roman" w:cs="Times New Roman"/>
              <w:b w:val="0"/>
              <w:bCs w:val="0"/>
              <w:sz w:val="24"/>
              <w:szCs w:val="24"/>
            </w:rPr>
            <w:instrText xml:space="preserve"> PAGEREF _Toc221090901 \h </w:instrText>
          </w:r>
          <w:r>
            <w:rPr>
              <w:rFonts w:ascii="Times New Roman" w:hAnsi="Times New Roman" w:cs="Times New Roman"/>
              <w:b w:val="0"/>
              <w:bCs w:val="0"/>
              <w:sz w:val="24"/>
              <w:szCs w:val="24"/>
            </w:rPr>
            <w:fldChar w:fldCharType="separate"/>
          </w:r>
          <w:r>
            <w:rPr>
              <w:rFonts w:ascii="Times New Roman" w:hAnsi="Times New Roman" w:cs="Times New Roman"/>
              <w:b w:val="0"/>
              <w:bCs w:val="0"/>
              <w:sz w:val="24"/>
              <w:szCs w:val="24"/>
            </w:rPr>
            <w:t>5</w:t>
          </w:r>
          <w:r>
            <w:rPr>
              <w:rFonts w:ascii="Times New Roman" w:hAnsi="Times New Roman" w:cs="Times New Roman"/>
              <w:b w:val="0"/>
              <w:bCs w:val="0"/>
              <w:sz w:val="24"/>
              <w:szCs w:val="24"/>
            </w:rPr>
            <w:fldChar w:fldCharType="end"/>
          </w:r>
          <w:r>
            <w:rPr>
              <w:rFonts w:ascii="Times New Roman" w:hAnsi="Times New Roman" w:cs="Times New Roman"/>
              <w:b w:val="0"/>
              <w:bCs w:val="0"/>
              <w:sz w:val="24"/>
              <w:szCs w:val="24"/>
            </w:rPr>
            <w:fldChar w:fldCharType="end"/>
          </w:r>
        </w:p>
        <w:p w14:paraId="7383266E">
          <w:pPr>
            <w:pStyle w:val="27"/>
            <w:tabs>
              <w:tab w:val="right" w:leader="dot" w:pos="8776"/>
            </w:tabs>
            <w:rPr>
              <w:rFonts w:ascii="Times New Roman" w:hAnsi="Times New Roman" w:cs="Times New Roman"/>
              <w:b w:val="0"/>
              <w:bCs w:val="0"/>
              <w:caps w:val="0"/>
              <w:sz w:val="24"/>
              <w:szCs w:val="24"/>
              <w14:ligatures w14:val="standardContextual"/>
            </w:rPr>
          </w:pPr>
          <w:r>
            <w:fldChar w:fldCharType="begin"/>
          </w:r>
          <w:r>
            <w:instrText xml:space="preserve"> HYPERLINK \l "_Toc221090902" </w:instrText>
          </w:r>
          <w:r>
            <w:fldChar w:fldCharType="separate"/>
          </w:r>
          <w:r>
            <w:rPr>
              <w:rStyle w:val="43"/>
              <w:rFonts w:ascii="Times New Roman" w:hAnsi="Times New Roman" w:cs="Times New Roman"/>
              <w:b w:val="0"/>
              <w:bCs w:val="0"/>
              <w:iCs/>
              <w:sz w:val="24"/>
              <w:szCs w:val="24"/>
            </w:rPr>
            <w:t>4.3 流量计的关键零部件和材料</w:t>
          </w:r>
          <w:r>
            <w:rPr>
              <w:rFonts w:ascii="Times New Roman" w:hAnsi="Times New Roman" w:cs="Times New Roman"/>
              <w:b w:val="0"/>
              <w:bCs w:val="0"/>
              <w:sz w:val="24"/>
              <w:szCs w:val="24"/>
            </w:rPr>
            <w:tab/>
          </w:r>
          <w:r>
            <w:rPr>
              <w:rFonts w:ascii="Times New Roman" w:hAnsi="Times New Roman" w:cs="Times New Roman"/>
              <w:b w:val="0"/>
              <w:bCs w:val="0"/>
              <w:sz w:val="24"/>
              <w:szCs w:val="24"/>
            </w:rPr>
            <w:fldChar w:fldCharType="begin"/>
          </w:r>
          <w:r>
            <w:rPr>
              <w:rFonts w:ascii="Times New Roman" w:hAnsi="Times New Roman" w:cs="Times New Roman"/>
              <w:b w:val="0"/>
              <w:bCs w:val="0"/>
              <w:sz w:val="24"/>
              <w:szCs w:val="24"/>
            </w:rPr>
            <w:instrText xml:space="preserve"> PAGEREF _Toc221090902 \h </w:instrText>
          </w:r>
          <w:r>
            <w:rPr>
              <w:rFonts w:ascii="Times New Roman" w:hAnsi="Times New Roman" w:cs="Times New Roman"/>
              <w:b w:val="0"/>
              <w:bCs w:val="0"/>
              <w:sz w:val="24"/>
              <w:szCs w:val="24"/>
            </w:rPr>
            <w:fldChar w:fldCharType="separate"/>
          </w:r>
          <w:r>
            <w:rPr>
              <w:rFonts w:ascii="Times New Roman" w:hAnsi="Times New Roman" w:cs="Times New Roman"/>
              <w:b w:val="0"/>
              <w:bCs w:val="0"/>
              <w:sz w:val="24"/>
              <w:szCs w:val="24"/>
            </w:rPr>
            <w:t>5</w:t>
          </w:r>
          <w:r>
            <w:rPr>
              <w:rFonts w:ascii="Times New Roman" w:hAnsi="Times New Roman" w:cs="Times New Roman"/>
              <w:b w:val="0"/>
              <w:bCs w:val="0"/>
              <w:sz w:val="24"/>
              <w:szCs w:val="24"/>
            </w:rPr>
            <w:fldChar w:fldCharType="end"/>
          </w:r>
          <w:r>
            <w:rPr>
              <w:rFonts w:ascii="Times New Roman" w:hAnsi="Times New Roman" w:cs="Times New Roman"/>
              <w:b w:val="0"/>
              <w:bCs w:val="0"/>
              <w:sz w:val="24"/>
              <w:szCs w:val="24"/>
            </w:rPr>
            <w:fldChar w:fldCharType="end"/>
          </w:r>
        </w:p>
        <w:p w14:paraId="096646A5">
          <w:pPr>
            <w:pStyle w:val="27"/>
            <w:tabs>
              <w:tab w:val="right" w:leader="dot" w:pos="8776"/>
            </w:tabs>
            <w:rPr>
              <w:rFonts w:ascii="Times New Roman" w:hAnsi="Times New Roman" w:cs="Times New Roman"/>
              <w:b w:val="0"/>
              <w:bCs w:val="0"/>
              <w:caps w:val="0"/>
              <w:sz w:val="24"/>
              <w:szCs w:val="24"/>
              <w14:ligatures w14:val="standardContextual"/>
            </w:rPr>
          </w:pPr>
          <w:r>
            <w:fldChar w:fldCharType="begin"/>
          </w:r>
          <w:r>
            <w:instrText xml:space="preserve"> HYPERLINK \l "_Toc221090903" </w:instrText>
          </w:r>
          <w:r>
            <w:fldChar w:fldCharType="separate"/>
          </w:r>
          <w:r>
            <w:rPr>
              <w:rStyle w:val="43"/>
              <w:rFonts w:ascii="Times New Roman" w:hAnsi="Times New Roman" w:cs="Times New Roman"/>
              <w:b w:val="0"/>
              <w:bCs w:val="0"/>
              <w:sz w:val="24"/>
              <w:szCs w:val="24"/>
            </w:rPr>
            <w:t>5 法制管理要求</w:t>
          </w:r>
          <w:r>
            <w:rPr>
              <w:rFonts w:ascii="Times New Roman" w:hAnsi="Times New Roman" w:cs="Times New Roman"/>
              <w:b w:val="0"/>
              <w:bCs w:val="0"/>
              <w:sz w:val="24"/>
              <w:szCs w:val="24"/>
            </w:rPr>
            <w:tab/>
          </w:r>
          <w:r>
            <w:rPr>
              <w:rFonts w:ascii="Times New Roman" w:hAnsi="Times New Roman" w:cs="Times New Roman"/>
              <w:b w:val="0"/>
              <w:bCs w:val="0"/>
              <w:sz w:val="24"/>
              <w:szCs w:val="24"/>
            </w:rPr>
            <w:fldChar w:fldCharType="begin"/>
          </w:r>
          <w:r>
            <w:rPr>
              <w:rFonts w:ascii="Times New Roman" w:hAnsi="Times New Roman" w:cs="Times New Roman"/>
              <w:b w:val="0"/>
              <w:bCs w:val="0"/>
              <w:sz w:val="24"/>
              <w:szCs w:val="24"/>
            </w:rPr>
            <w:instrText xml:space="preserve"> PAGEREF _Toc221090903 \h </w:instrText>
          </w:r>
          <w:r>
            <w:rPr>
              <w:rFonts w:ascii="Times New Roman" w:hAnsi="Times New Roman" w:cs="Times New Roman"/>
              <w:b w:val="0"/>
              <w:bCs w:val="0"/>
              <w:sz w:val="24"/>
              <w:szCs w:val="24"/>
            </w:rPr>
            <w:fldChar w:fldCharType="separate"/>
          </w:r>
          <w:r>
            <w:rPr>
              <w:rFonts w:ascii="Times New Roman" w:hAnsi="Times New Roman" w:cs="Times New Roman"/>
              <w:b w:val="0"/>
              <w:bCs w:val="0"/>
              <w:sz w:val="24"/>
              <w:szCs w:val="24"/>
            </w:rPr>
            <w:t>6</w:t>
          </w:r>
          <w:r>
            <w:rPr>
              <w:rFonts w:ascii="Times New Roman" w:hAnsi="Times New Roman" w:cs="Times New Roman"/>
              <w:b w:val="0"/>
              <w:bCs w:val="0"/>
              <w:sz w:val="24"/>
              <w:szCs w:val="24"/>
            </w:rPr>
            <w:fldChar w:fldCharType="end"/>
          </w:r>
          <w:r>
            <w:rPr>
              <w:rFonts w:ascii="Times New Roman" w:hAnsi="Times New Roman" w:cs="Times New Roman"/>
              <w:b w:val="0"/>
              <w:bCs w:val="0"/>
              <w:sz w:val="24"/>
              <w:szCs w:val="24"/>
            </w:rPr>
            <w:fldChar w:fldCharType="end"/>
          </w:r>
        </w:p>
        <w:p w14:paraId="33B0E502">
          <w:pPr>
            <w:pStyle w:val="27"/>
            <w:tabs>
              <w:tab w:val="right" w:leader="dot" w:pos="8776"/>
            </w:tabs>
            <w:rPr>
              <w:rFonts w:ascii="Times New Roman" w:hAnsi="Times New Roman" w:cs="Times New Roman"/>
              <w:b w:val="0"/>
              <w:bCs w:val="0"/>
              <w:caps w:val="0"/>
              <w:sz w:val="24"/>
              <w:szCs w:val="24"/>
              <w14:ligatures w14:val="standardContextual"/>
            </w:rPr>
          </w:pPr>
          <w:r>
            <w:fldChar w:fldCharType="begin"/>
          </w:r>
          <w:r>
            <w:instrText xml:space="preserve"> HYPERLINK \l "_Toc221090904" </w:instrText>
          </w:r>
          <w:r>
            <w:fldChar w:fldCharType="separate"/>
          </w:r>
          <w:r>
            <w:rPr>
              <w:rStyle w:val="43"/>
              <w:rFonts w:ascii="Times New Roman" w:hAnsi="Times New Roman" w:cs="Times New Roman"/>
              <w:b w:val="0"/>
              <w:bCs w:val="0"/>
              <w:iCs/>
              <w:sz w:val="24"/>
              <w:szCs w:val="24"/>
            </w:rPr>
            <w:t>5.1 计量单位</w:t>
          </w:r>
          <w:r>
            <w:rPr>
              <w:rFonts w:ascii="Times New Roman" w:hAnsi="Times New Roman" w:cs="Times New Roman"/>
              <w:b w:val="0"/>
              <w:bCs w:val="0"/>
              <w:sz w:val="24"/>
              <w:szCs w:val="24"/>
            </w:rPr>
            <w:tab/>
          </w:r>
          <w:r>
            <w:rPr>
              <w:rFonts w:ascii="Times New Roman" w:hAnsi="Times New Roman" w:cs="Times New Roman"/>
              <w:b w:val="0"/>
              <w:bCs w:val="0"/>
              <w:sz w:val="24"/>
              <w:szCs w:val="24"/>
            </w:rPr>
            <w:fldChar w:fldCharType="begin"/>
          </w:r>
          <w:r>
            <w:rPr>
              <w:rFonts w:ascii="Times New Roman" w:hAnsi="Times New Roman" w:cs="Times New Roman"/>
              <w:b w:val="0"/>
              <w:bCs w:val="0"/>
              <w:sz w:val="24"/>
              <w:szCs w:val="24"/>
            </w:rPr>
            <w:instrText xml:space="preserve"> PAGEREF _Toc221090904 \h </w:instrText>
          </w:r>
          <w:r>
            <w:rPr>
              <w:rFonts w:ascii="Times New Roman" w:hAnsi="Times New Roman" w:cs="Times New Roman"/>
              <w:b w:val="0"/>
              <w:bCs w:val="0"/>
              <w:sz w:val="24"/>
              <w:szCs w:val="24"/>
            </w:rPr>
            <w:fldChar w:fldCharType="separate"/>
          </w:r>
          <w:r>
            <w:rPr>
              <w:rFonts w:ascii="Times New Roman" w:hAnsi="Times New Roman" w:cs="Times New Roman"/>
              <w:b w:val="0"/>
              <w:bCs w:val="0"/>
              <w:sz w:val="24"/>
              <w:szCs w:val="24"/>
            </w:rPr>
            <w:t>6</w:t>
          </w:r>
          <w:r>
            <w:rPr>
              <w:rFonts w:ascii="Times New Roman" w:hAnsi="Times New Roman" w:cs="Times New Roman"/>
              <w:b w:val="0"/>
              <w:bCs w:val="0"/>
              <w:sz w:val="24"/>
              <w:szCs w:val="24"/>
            </w:rPr>
            <w:fldChar w:fldCharType="end"/>
          </w:r>
          <w:r>
            <w:rPr>
              <w:rFonts w:ascii="Times New Roman" w:hAnsi="Times New Roman" w:cs="Times New Roman"/>
              <w:b w:val="0"/>
              <w:bCs w:val="0"/>
              <w:sz w:val="24"/>
              <w:szCs w:val="24"/>
            </w:rPr>
            <w:fldChar w:fldCharType="end"/>
          </w:r>
        </w:p>
        <w:p w14:paraId="244E58FE">
          <w:pPr>
            <w:pStyle w:val="27"/>
            <w:tabs>
              <w:tab w:val="right" w:leader="dot" w:pos="8776"/>
            </w:tabs>
            <w:rPr>
              <w:rFonts w:ascii="Times New Roman" w:hAnsi="Times New Roman" w:cs="Times New Roman"/>
              <w:b w:val="0"/>
              <w:bCs w:val="0"/>
              <w:caps w:val="0"/>
              <w:sz w:val="24"/>
              <w:szCs w:val="24"/>
              <w14:ligatures w14:val="standardContextual"/>
            </w:rPr>
          </w:pPr>
          <w:r>
            <w:fldChar w:fldCharType="begin"/>
          </w:r>
          <w:r>
            <w:instrText xml:space="preserve"> HYPERLINK \l "_Toc221090905" </w:instrText>
          </w:r>
          <w:r>
            <w:fldChar w:fldCharType="separate"/>
          </w:r>
          <w:r>
            <w:rPr>
              <w:rStyle w:val="43"/>
              <w:rFonts w:ascii="Times New Roman" w:hAnsi="Times New Roman" w:cs="Times New Roman"/>
              <w:b w:val="0"/>
              <w:bCs w:val="0"/>
              <w:iCs/>
              <w:sz w:val="24"/>
              <w:szCs w:val="24"/>
            </w:rPr>
            <w:t>5.2 外部结构</w:t>
          </w:r>
          <w:r>
            <w:rPr>
              <w:rFonts w:ascii="Times New Roman" w:hAnsi="Times New Roman" w:cs="Times New Roman"/>
              <w:b w:val="0"/>
              <w:bCs w:val="0"/>
              <w:sz w:val="24"/>
              <w:szCs w:val="24"/>
            </w:rPr>
            <w:tab/>
          </w:r>
          <w:r>
            <w:rPr>
              <w:rFonts w:ascii="Times New Roman" w:hAnsi="Times New Roman" w:cs="Times New Roman"/>
              <w:b w:val="0"/>
              <w:bCs w:val="0"/>
              <w:sz w:val="24"/>
              <w:szCs w:val="24"/>
            </w:rPr>
            <w:fldChar w:fldCharType="begin"/>
          </w:r>
          <w:r>
            <w:rPr>
              <w:rFonts w:ascii="Times New Roman" w:hAnsi="Times New Roman" w:cs="Times New Roman"/>
              <w:b w:val="0"/>
              <w:bCs w:val="0"/>
              <w:sz w:val="24"/>
              <w:szCs w:val="24"/>
            </w:rPr>
            <w:instrText xml:space="preserve"> PAGEREF _Toc221090905 \h </w:instrText>
          </w:r>
          <w:r>
            <w:rPr>
              <w:rFonts w:ascii="Times New Roman" w:hAnsi="Times New Roman" w:cs="Times New Roman"/>
              <w:b w:val="0"/>
              <w:bCs w:val="0"/>
              <w:sz w:val="24"/>
              <w:szCs w:val="24"/>
            </w:rPr>
            <w:fldChar w:fldCharType="separate"/>
          </w:r>
          <w:r>
            <w:rPr>
              <w:rFonts w:ascii="Times New Roman" w:hAnsi="Times New Roman" w:cs="Times New Roman"/>
              <w:b w:val="0"/>
              <w:bCs w:val="0"/>
              <w:sz w:val="24"/>
              <w:szCs w:val="24"/>
            </w:rPr>
            <w:t>6</w:t>
          </w:r>
          <w:r>
            <w:rPr>
              <w:rFonts w:ascii="Times New Roman" w:hAnsi="Times New Roman" w:cs="Times New Roman"/>
              <w:b w:val="0"/>
              <w:bCs w:val="0"/>
              <w:sz w:val="24"/>
              <w:szCs w:val="24"/>
            </w:rPr>
            <w:fldChar w:fldCharType="end"/>
          </w:r>
          <w:r>
            <w:rPr>
              <w:rFonts w:ascii="Times New Roman" w:hAnsi="Times New Roman" w:cs="Times New Roman"/>
              <w:b w:val="0"/>
              <w:bCs w:val="0"/>
              <w:sz w:val="24"/>
              <w:szCs w:val="24"/>
            </w:rPr>
            <w:fldChar w:fldCharType="end"/>
          </w:r>
        </w:p>
        <w:p w14:paraId="6CB8C4E3">
          <w:pPr>
            <w:pStyle w:val="27"/>
            <w:tabs>
              <w:tab w:val="right" w:leader="dot" w:pos="8776"/>
            </w:tabs>
            <w:rPr>
              <w:rFonts w:ascii="Times New Roman" w:hAnsi="Times New Roman" w:cs="Times New Roman"/>
              <w:b w:val="0"/>
              <w:bCs w:val="0"/>
              <w:caps w:val="0"/>
              <w:sz w:val="24"/>
              <w:szCs w:val="24"/>
              <w14:ligatures w14:val="standardContextual"/>
            </w:rPr>
          </w:pPr>
          <w:r>
            <w:fldChar w:fldCharType="begin"/>
          </w:r>
          <w:r>
            <w:instrText xml:space="preserve"> HYPERLINK \l "_Toc221090906" </w:instrText>
          </w:r>
          <w:r>
            <w:fldChar w:fldCharType="separate"/>
          </w:r>
          <w:r>
            <w:rPr>
              <w:rStyle w:val="43"/>
              <w:rFonts w:ascii="Times New Roman" w:hAnsi="Times New Roman" w:cs="Times New Roman"/>
              <w:b w:val="0"/>
              <w:bCs w:val="0"/>
              <w:iCs/>
              <w:sz w:val="24"/>
              <w:szCs w:val="24"/>
            </w:rPr>
            <w:t>5.3 标志和标识</w:t>
          </w:r>
          <w:r>
            <w:rPr>
              <w:rFonts w:ascii="Times New Roman" w:hAnsi="Times New Roman" w:cs="Times New Roman"/>
              <w:b w:val="0"/>
              <w:bCs w:val="0"/>
              <w:sz w:val="24"/>
              <w:szCs w:val="24"/>
            </w:rPr>
            <w:tab/>
          </w:r>
          <w:r>
            <w:rPr>
              <w:rFonts w:ascii="Times New Roman" w:hAnsi="Times New Roman" w:cs="Times New Roman"/>
              <w:b w:val="0"/>
              <w:bCs w:val="0"/>
              <w:sz w:val="24"/>
              <w:szCs w:val="24"/>
            </w:rPr>
            <w:fldChar w:fldCharType="begin"/>
          </w:r>
          <w:r>
            <w:rPr>
              <w:rFonts w:ascii="Times New Roman" w:hAnsi="Times New Roman" w:cs="Times New Roman"/>
              <w:b w:val="0"/>
              <w:bCs w:val="0"/>
              <w:sz w:val="24"/>
              <w:szCs w:val="24"/>
            </w:rPr>
            <w:instrText xml:space="preserve"> PAGEREF _Toc221090906 \h </w:instrText>
          </w:r>
          <w:r>
            <w:rPr>
              <w:rFonts w:ascii="Times New Roman" w:hAnsi="Times New Roman" w:cs="Times New Roman"/>
              <w:b w:val="0"/>
              <w:bCs w:val="0"/>
              <w:sz w:val="24"/>
              <w:szCs w:val="24"/>
            </w:rPr>
            <w:fldChar w:fldCharType="separate"/>
          </w:r>
          <w:r>
            <w:rPr>
              <w:rFonts w:ascii="Times New Roman" w:hAnsi="Times New Roman" w:cs="Times New Roman"/>
              <w:b w:val="0"/>
              <w:bCs w:val="0"/>
              <w:sz w:val="24"/>
              <w:szCs w:val="24"/>
            </w:rPr>
            <w:t>7</w:t>
          </w:r>
          <w:r>
            <w:rPr>
              <w:rFonts w:ascii="Times New Roman" w:hAnsi="Times New Roman" w:cs="Times New Roman"/>
              <w:b w:val="0"/>
              <w:bCs w:val="0"/>
              <w:sz w:val="24"/>
              <w:szCs w:val="24"/>
            </w:rPr>
            <w:fldChar w:fldCharType="end"/>
          </w:r>
          <w:r>
            <w:rPr>
              <w:rFonts w:ascii="Times New Roman" w:hAnsi="Times New Roman" w:cs="Times New Roman"/>
              <w:b w:val="0"/>
              <w:bCs w:val="0"/>
              <w:sz w:val="24"/>
              <w:szCs w:val="24"/>
            </w:rPr>
            <w:fldChar w:fldCharType="end"/>
          </w:r>
        </w:p>
        <w:p w14:paraId="076636A6">
          <w:pPr>
            <w:pStyle w:val="27"/>
            <w:tabs>
              <w:tab w:val="right" w:leader="dot" w:pos="8776"/>
            </w:tabs>
            <w:rPr>
              <w:rFonts w:ascii="Times New Roman" w:hAnsi="Times New Roman" w:cs="Times New Roman"/>
              <w:b w:val="0"/>
              <w:bCs w:val="0"/>
              <w:caps w:val="0"/>
              <w:sz w:val="24"/>
              <w:szCs w:val="24"/>
              <w14:ligatures w14:val="standardContextual"/>
            </w:rPr>
          </w:pPr>
          <w:r>
            <w:fldChar w:fldCharType="begin"/>
          </w:r>
          <w:r>
            <w:instrText xml:space="preserve"> HYPERLINK \l "_Toc221090907" </w:instrText>
          </w:r>
          <w:r>
            <w:fldChar w:fldCharType="separate"/>
          </w:r>
          <w:r>
            <w:rPr>
              <w:rStyle w:val="43"/>
              <w:rFonts w:ascii="Times New Roman" w:hAnsi="Times New Roman" w:cs="Times New Roman"/>
              <w:b w:val="0"/>
              <w:bCs w:val="0"/>
              <w:iCs/>
              <w:sz w:val="24"/>
              <w:szCs w:val="24"/>
            </w:rPr>
            <w:t>5.4 保护装置和封印</w:t>
          </w:r>
          <w:r>
            <w:rPr>
              <w:rFonts w:ascii="Times New Roman" w:hAnsi="Times New Roman" w:cs="Times New Roman"/>
              <w:b w:val="0"/>
              <w:bCs w:val="0"/>
              <w:sz w:val="24"/>
              <w:szCs w:val="24"/>
            </w:rPr>
            <w:tab/>
          </w:r>
          <w:r>
            <w:rPr>
              <w:rFonts w:ascii="Times New Roman" w:hAnsi="Times New Roman" w:cs="Times New Roman"/>
              <w:b w:val="0"/>
              <w:bCs w:val="0"/>
              <w:sz w:val="24"/>
              <w:szCs w:val="24"/>
            </w:rPr>
            <w:fldChar w:fldCharType="begin"/>
          </w:r>
          <w:r>
            <w:rPr>
              <w:rFonts w:ascii="Times New Roman" w:hAnsi="Times New Roman" w:cs="Times New Roman"/>
              <w:b w:val="0"/>
              <w:bCs w:val="0"/>
              <w:sz w:val="24"/>
              <w:szCs w:val="24"/>
            </w:rPr>
            <w:instrText xml:space="preserve"> PAGEREF _Toc221090907 \h </w:instrText>
          </w:r>
          <w:r>
            <w:rPr>
              <w:rFonts w:ascii="Times New Roman" w:hAnsi="Times New Roman" w:cs="Times New Roman"/>
              <w:b w:val="0"/>
              <w:bCs w:val="0"/>
              <w:sz w:val="24"/>
              <w:szCs w:val="24"/>
            </w:rPr>
            <w:fldChar w:fldCharType="separate"/>
          </w:r>
          <w:r>
            <w:rPr>
              <w:rFonts w:ascii="Times New Roman" w:hAnsi="Times New Roman" w:cs="Times New Roman"/>
              <w:b w:val="0"/>
              <w:bCs w:val="0"/>
              <w:sz w:val="24"/>
              <w:szCs w:val="24"/>
            </w:rPr>
            <w:t>8</w:t>
          </w:r>
          <w:r>
            <w:rPr>
              <w:rFonts w:ascii="Times New Roman" w:hAnsi="Times New Roman" w:cs="Times New Roman"/>
              <w:b w:val="0"/>
              <w:bCs w:val="0"/>
              <w:sz w:val="24"/>
              <w:szCs w:val="24"/>
            </w:rPr>
            <w:fldChar w:fldCharType="end"/>
          </w:r>
          <w:r>
            <w:rPr>
              <w:rFonts w:ascii="Times New Roman" w:hAnsi="Times New Roman" w:cs="Times New Roman"/>
              <w:b w:val="0"/>
              <w:bCs w:val="0"/>
              <w:sz w:val="24"/>
              <w:szCs w:val="24"/>
            </w:rPr>
            <w:fldChar w:fldCharType="end"/>
          </w:r>
        </w:p>
        <w:p w14:paraId="774B2D48">
          <w:pPr>
            <w:pStyle w:val="27"/>
            <w:tabs>
              <w:tab w:val="right" w:leader="dot" w:pos="8776"/>
            </w:tabs>
            <w:rPr>
              <w:rFonts w:ascii="Times New Roman" w:hAnsi="Times New Roman" w:cs="Times New Roman"/>
              <w:b w:val="0"/>
              <w:bCs w:val="0"/>
              <w:caps w:val="0"/>
              <w:sz w:val="24"/>
              <w:szCs w:val="24"/>
              <w14:ligatures w14:val="standardContextual"/>
            </w:rPr>
          </w:pPr>
          <w:r>
            <w:fldChar w:fldCharType="begin"/>
          </w:r>
          <w:r>
            <w:instrText xml:space="preserve"> HYPERLINK \l "_Toc221090908" </w:instrText>
          </w:r>
          <w:r>
            <w:fldChar w:fldCharType="separate"/>
          </w:r>
          <w:r>
            <w:rPr>
              <w:rStyle w:val="43"/>
              <w:rFonts w:ascii="Times New Roman" w:hAnsi="Times New Roman" w:cs="Times New Roman"/>
              <w:b w:val="0"/>
              <w:bCs w:val="0"/>
              <w:sz w:val="24"/>
              <w:szCs w:val="24"/>
            </w:rPr>
            <w:t>6 计量性能要求</w:t>
          </w:r>
          <w:r>
            <w:rPr>
              <w:rFonts w:ascii="Times New Roman" w:hAnsi="Times New Roman" w:cs="Times New Roman"/>
              <w:b w:val="0"/>
              <w:bCs w:val="0"/>
              <w:sz w:val="24"/>
              <w:szCs w:val="24"/>
            </w:rPr>
            <w:tab/>
          </w:r>
          <w:r>
            <w:rPr>
              <w:rFonts w:ascii="Times New Roman" w:hAnsi="Times New Roman" w:cs="Times New Roman"/>
              <w:b w:val="0"/>
              <w:bCs w:val="0"/>
              <w:sz w:val="24"/>
              <w:szCs w:val="24"/>
            </w:rPr>
            <w:fldChar w:fldCharType="begin"/>
          </w:r>
          <w:r>
            <w:rPr>
              <w:rFonts w:ascii="Times New Roman" w:hAnsi="Times New Roman" w:cs="Times New Roman"/>
              <w:b w:val="0"/>
              <w:bCs w:val="0"/>
              <w:sz w:val="24"/>
              <w:szCs w:val="24"/>
            </w:rPr>
            <w:instrText xml:space="preserve"> PAGEREF _Toc221090908 \h </w:instrText>
          </w:r>
          <w:r>
            <w:rPr>
              <w:rFonts w:ascii="Times New Roman" w:hAnsi="Times New Roman" w:cs="Times New Roman"/>
              <w:b w:val="0"/>
              <w:bCs w:val="0"/>
              <w:sz w:val="24"/>
              <w:szCs w:val="24"/>
            </w:rPr>
            <w:fldChar w:fldCharType="separate"/>
          </w:r>
          <w:r>
            <w:rPr>
              <w:rFonts w:ascii="Times New Roman" w:hAnsi="Times New Roman" w:cs="Times New Roman"/>
              <w:b w:val="0"/>
              <w:bCs w:val="0"/>
              <w:sz w:val="24"/>
              <w:szCs w:val="24"/>
            </w:rPr>
            <w:t>9</w:t>
          </w:r>
          <w:r>
            <w:rPr>
              <w:rFonts w:ascii="Times New Roman" w:hAnsi="Times New Roman" w:cs="Times New Roman"/>
              <w:b w:val="0"/>
              <w:bCs w:val="0"/>
              <w:sz w:val="24"/>
              <w:szCs w:val="24"/>
            </w:rPr>
            <w:fldChar w:fldCharType="end"/>
          </w:r>
          <w:r>
            <w:rPr>
              <w:rFonts w:ascii="Times New Roman" w:hAnsi="Times New Roman" w:cs="Times New Roman"/>
              <w:b w:val="0"/>
              <w:bCs w:val="0"/>
              <w:sz w:val="24"/>
              <w:szCs w:val="24"/>
            </w:rPr>
            <w:fldChar w:fldCharType="end"/>
          </w:r>
        </w:p>
        <w:p w14:paraId="1A151F17">
          <w:pPr>
            <w:pStyle w:val="27"/>
            <w:tabs>
              <w:tab w:val="right" w:leader="dot" w:pos="8776"/>
            </w:tabs>
            <w:rPr>
              <w:rFonts w:ascii="Times New Roman" w:hAnsi="Times New Roman" w:cs="Times New Roman"/>
              <w:b w:val="0"/>
              <w:bCs w:val="0"/>
              <w:caps w:val="0"/>
              <w:sz w:val="24"/>
              <w:szCs w:val="24"/>
              <w14:ligatures w14:val="standardContextual"/>
            </w:rPr>
          </w:pPr>
          <w:r>
            <w:fldChar w:fldCharType="begin"/>
          </w:r>
          <w:r>
            <w:instrText xml:space="preserve"> HYPERLINK \l "_Toc221090909" </w:instrText>
          </w:r>
          <w:r>
            <w:fldChar w:fldCharType="separate"/>
          </w:r>
          <w:r>
            <w:rPr>
              <w:rStyle w:val="43"/>
              <w:rFonts w:ascii="Times New Roman" w:hAnsi="Times New Roman" w:cs="Times New Roman"/>
              <w:b w:val="0"/>
              <w:bCs w:val="0"/>
              <w:iCs/>
              <w:sz w:val="24"/>
              <w:szCs w:val="24"/>
            </w:rPr>
            <w:t>6.1 准确度等级和示值误差</w:t>
          </w:r>
          <w:r>
            <w:rPr>
              <w:rFonts w:ascii="Times New Roman" w:hAnsi="Times New Roman" w:cs="Times New Roman"/>
              <w:b w:val="0"/>
              <w:bCs w:val="0"/>
              <w:sz w:val="24"/>
              <w:szCs w:val="24"/>
            </w:rPr>
            <w:tab/>
          </w:r>
          <w:r>
            <w:rPr>
              <w:rFonts w:ascii="Times New Roman" w:hAnsi="Times New Roman" w:cs="Times New Roman"/>
              <w:b w:val="0"/>
              <w:bCs w:val="0"/>
              <w:sz w:val="24"/>
              <w:szCs w:val="24"/>
            </w:rPr>
            <w:fldChar w:fldCharType="begin"/>
          </w:r>
          <w:r>
            <w:rPr>
              <w:rFonts w:ascii="Times New Roman" w:hAnsi="Times New Roman" w:cs="Times New Roman"/>
              <w:b w:val="0"/>
              <w:bCs w:val="0"/>
              <w:sz w:val="24"/>
              <w:szCs w:val="24"/>
            </w:rPr>
            <w:instrText xml:space="preserve"> PAGEREF _Toc221090909 \h </w:instrText>
          </w:r>
          <w:r>
            <w:rPr>
              <w:rFonts w:ascii="Times New Roman" w:hAnsi="Times New Roman" w:cs="Times New Roman"/>
              <w:b w:val="0"/>
              <w:bCs w:val="0"/>
              <w:sz w:val="24"/>
              <w:szCs w:val="24"/>
            </w:rPr>
            <w:fldChar w:fldCharType="separate"/>
          </w:r>
          <w:r>
            <w:rPr>
              <w:rFonts w:ascii="Times New Roman" w:hAnsi="Times New Roman" w:cs="Times New Roman"/>
              <w:b w:val="0"/>
              <w:bCs w:val="0"/>
              <w:sz w:val="24"/>
              <w:szCs w:val="24"/>
            </w:rPr>
            <w:t>9</w:t>
          </w:r>
          <w:r>
            <w:rPr>
              <w:rFonts w:ascii="Times New Roman" w:hAnsi="Times New Roman" w:cs="Times New Roman"/>
              <w:b w:val="0"/>
              <w:bCs w:val="0"/>
              <w:sz w:val="24"/>
              <w:szCs w:val="24"/>
            </w:rPr>
            <w:fldChar w:fldCharType="end"/>
          </w:r>
          <w:r>
            <w:rPr>
              <w:rFonts w:ascii="Times New Roman" w:hAnsi="Times New Roman" w:cs="Times New Roman"/>
              <w:b w:val="0"/>
              <w:bCs w:val="0"/>
              <w:sz w:val="24"/>
              <w:szCs w:val="24"/>
            </w:rPr>
            <w:fldChar w:fldCharType="end"/>
          </w:r>
        </w:p>
        <w:p w14:paraId="3756799E">
          <w:pPr>
            <w:pStyle w:val="27"/>
            <w:tabs>
              <w:tab w:val="right" w:leader="dot" w:pos="8776"/>
            </w:tabs>
            <w:rPr>
              <w:rFonts w:ascii="Times New Roman" w:hAnsi="Times New Roman" w:cs="Times New Roman"/>
              <w:b w:val="0"/>
              <w:bCs w:val="0"/>
              <w:caps w:val="0"/>
              <w:sz w:val="24"/>
              <w:szCs w:val="24"/>
              <w14:ligatures w14:val="standardContextual"/>
            </w:rPr>
          </w:pPr>
          <w:r>
            <w:fldChar w:fldCharType="begin"/>
          </w:r>
          <w:r>
            <w:instrText xml:space="preserve"> HYPERLINK \l "_Toc221090910" </w:instrText>
          </w:r>
          <w:r>
            <w:fldChar w:fldCharType="separate"/>
          </w:r>
          <w:r>
            <w:rPr>
              <w:rStyle w:val="43"/>
              <w:rFonts w:ascii="Times New Roman" w:hAnsi="Times New Roman" w:cs="Times New Roman"/>
              <w:b w:val="0"/>
              <w:bCs w:val="0"/>
              <w:iCs/>
              <w:sz w:val="24"/>
              <w:szCs w:val="24"/>
            </w:rPr>
            <w:t>6.2 重复性</w:t>
          </w:r>
          <w:r>
            <w:rPr>
              <w:rFonts w:ascii="Times New Roman" w:hAnsi="Times New Roman" w:cs="Times New Roman"/>
              <w:b w:val="0"/>
              <w:bCs w:val="0"/>
              <w:sz w:val="24"/>
              <w:szCs w:val="24"/>
            </w:rPr>
            <w:tab/>
          </w:r>
          <w:r>
            <w:rPr>
              <w:rFonts w:ascii="Times New Roman" w:hAnsi="Times New Roman" w:cs="Times New Roman"/>
              <w:b w:val="0"/>
              <w:bCs w:val="0"/>
              <w:sz w:val="24"/>
              <w:szCs w:val="24"/>
            </w:rPr>
            <w:fldChar w:fldCharType="begin"/>
          </w:r>
          <w:r>
            <w:rPr>
              <w:rFonts w:ascii="Times New Roman" w:hAnsi="Times New Roman" w:cs="Times New Roman"/>
              <w:b w:val="0"/>
              <w:bCs w:val="0"/>
              <w:sz w:val="24"/>
              <w:szCs w:val="24"/>
            </w:rPr>
            <w:instrText xml:space="preserve"> PAGEREF _Toc221090910 \h </w:instrText>
          </w:r>
          <w:r>
            <w:rPr>
              <w:rFonts w:ascii="Times New Roman" w:hAnsi="Times New Roman" w:cs="Times New Roman"/>
              <w:b w:val="0"/>
              <w:bCs w:val="0"/>
              <w:sz w:val="24"/>
              <w:szCs w:val="24"/>
            </w:rPr>
            <w:fldChar w:fldCharType="separate"/>
          </w:r>
          <w:r>
            <w:rPr>
              <w:rFonts w:ascii="Times New Roman" w:hAnsi="Times New Roman" w:cs="Times New Roman"/>
              <w:b w:val="0"/>
              <w:bCs w:val="0"/>
              <w:sz w:val="24"/>
              <w:szCs w:val="24"/>
            </w:rPr>
            <w:t>9</w:t>
          </w:r>
          <w:r>
            <w:rPr>
              <w:rFonts w:ascii="Times New Roman" w:hAnsi="Times New Roman" w:cs="Times New Roman"/>
              <w:b w:val="0"/>
              <w:bCs w:val="0"/>
              <w:sz w:val="24"/>
              <w:szCs w:val="24"/>
            </w:rPr>
            <w:fldChar w:fldCharType="end"/>
          </w:r>
          <w:r>
            <w:rPr>
              <w:rFonts w:ascii="Times New Roman" w:hAnsi="Times New Roman" w:cs="Times New Roman"/>
              <w:b w:val="0"/>
              <w:bCs w:val="0"/>
              <w:sz w:val="24"/>
              <w:szCs w:val="24"/>
            </w:rPr>
            <w:fldChar w:fldCharType="end"/>
          </w:r>
        </w:p>
        <w:p w14:paraId="0B846816">
          <w:pPr>
            <w:pStyle w:val="27"/>
            <w:tabs>
              <w:tab w:val="right" w:leader="dot" w:pos="8776"/>
            </w:tabs>
            <w:rPr>
              <w:rFonts w:ascii="Times New Roman" w:hAnsi="Times New Roman" w:cs="Times New Roman"/>
              <w:b w:val="0"/>
              <w:bCs w:val="0"/>
              <w:caps w:val="0"/>
              <w:sz w:val="24"/>
              <w:szCs w:val="24"/>
              <w14:ligatures w14:val="standardContextual"/>
            </w:rPr>
          </w:pPr>
          <w:r>
            <w:fldChar w:fldCharType="begin"/>
          </w:r>
          <w:r>
            <w:instrText xml:space="preserve"> HYPERLINK \l "_Toc221090911" </w:instrText>
          </w:r>
          <w:r>
            <w:fldChar w:fldCharType="separate"/>
          </w:r>
          <w:r>
            <w:rPr>
              <w:rStyle w:val="43"/>
              <w:rFonts w:ascii="Times New Roman" w:hAnsi="Times New Roman" w:cs="Times New Roman"/>
              <w:b w:val="0"/>
              <w:bCs w:val="0"/>
              <w:iCs/>
              <w:sz w:val="24"/>
              <w:szCs w:val="24"/>
            </w:rPr>
            <w:t>6.3 复现性误差</w:t>
          </w:r>
          <w:r>
            <w:rPr>
              <w:rFonts w:ascii="Times New Roman" w:hAnsi="Times New Roman" w:cs="Times New Roman"/>
              <w:b w:val="0"/>
              <w:bCs w:val="0"/>
              <w:sz w:val="24"/>
              <w:szCs w:val="24"/>
            </w:rPr>
            <w:tab/>
          </w:r>
          <w:r>
            <w:rPr>
              <w:rFonts w:ascii="Times New Roman" w:hAnsi="Times New Roman" w:cs="Times New Roman"/>
              <w:b w:val="0"/>
              <w:bCs w:val="0"/>
              <w:sz w:val="24"/>
              <w:szCs w:val="24"/>
            </w:rPr>
            <w:fldChar w:fldCharType="begin"/>
          </w:r>
          <w:r>
            <w:rPr>
              <w:rFonts w:ascii="Times New Roman" w:hAnsi="Times New Roman" w:cs="Times New Roman"/>
              <w:b w:val="0"/>
              <w:bCs w:val="0"/>
              <w:sz w:val="24"/>
              <w:szCs w:val="24"/>
            </w:rPr>
            <w:instrText xml:space="preserve"> PAGEREF _Toc221090911 \h </w:instrText>
          </w:r>
          <w:r>
            <w:rPr>
              <w:rFonts w:ascii="Times New Roman" w:hAnsi="Times New Roman" w:cs="Times New Roman"/>
              <w:b w:val="0"/>
              <w:bCs w:val="0"/>
              <w:sz w:val="24"/>
              <w:szCs w:val="24"/>
            </w:rPr>
            <w:fldChar w:fldCharType="separate"/>
          </w:r>
          <w:r>
            <w:rPr>
              <w:rFonts w:ascii="Times New Roman" w:hAnsi="Times New Roman" w:cs="Times New Roman"/>
              <w:b w:val="0"/>
              <w:bCs w:val="0"/>
              <w:sz w:val="24"/>
              <w:szCs w:val="24"/>
            </w:rPr>
            <w:t>9</w:t>
          </w:r>
          <w:r>
            <w:rPr>
              <w:rFonts w:ascii="Times New Roman" w:hAnsi="Times New Roman" w:cs="Times New Roman"/>
              <w:b w:val="0"/>
              <w:bCs w:val="0"/>
              <w:sz w:val="24"/>
              <w:szCs w:val="24"/>
            </w:rPr>
            <w:fldChar w:fldCharType="end"/>
          </w:r>
          <w:r>
            <w:rPr>
              <w:rFonts w:ascii="Times New Roman" w:hAnsi="Times New Roman" w:cs="Times New Roman"/>
              <w:b w:val="0"/>
              <w:bCs w:val="0"/>
              <w:sz w:val="24"/>
              <w:szCs w:val="24"/>
            </w:rPr>
            <w:fldChar w:fldCharType="end"/>
          </w:r>
        </w:p>
        <w:p w14:paraId="7199C49E">
          <w:pPr>
            <w:pStyle w:val="27"/>
            <w:tabs>
              <w:tab w:val="right" w:leader="dot" w:pos="8776"/>
            </w:tabs>
            <w:rPr>
              <w:rFonts w:ascii="Times New Roman" w:hAnsi="Times New Roman" w:cs="Times New Roman"/>
              <w:b w:val="0"/>
              <w:bCs w:val="0"/>
              <w:caps w:val="0"/>
              <w:sz w:val="24"/>
              <w:szCs w:val="24"/>
              <w14:ligatures w14:val="standardContextual"/>
            </w:rPr>
          </w:pPr>
          <w:r>
            <w:fldChar w:fldCharType="begin"/>
          </w:r>
          <w:r>
            <w:instrText xml:space="preserve"> HYPERLINK \l "_Toc221090912" </w:instrText>
          </w:r>
          <w:r>
            <w:fldChar w:fldCharType="separate"/>
          </w:r>
          <w:r>
            <w:rPr>
              <w:rStyle w:val="43"/>
              <w:rFonts w:ascii="Times New Roman" w:hAnsi="Times New Roman" w:cs="Times New Roman"/>
              <w:b w:val="0"/>
              <w:bCs w:val="0"/>
              <w:sz w:val="24"/>
              <w:szCs w:val="24"/>
            </w:rPr>
            <w:t>7 通用技术要求</w:t>
          </w:r>
          <w:r>
            <w:rPr>
              <w:rFonts w:ascii="Times New Roman" w:hAnsi="Times New Roman" w:cs="Times New Roman"/>
              <w:b w:val="0"/>
              <w:bCs w:val="0"/>
              <w:sz w:val="24"/>
              <w:szCs w:val="24"/>
            </w:rPr>
            <w:tab/>
          </w:r>
          <w:r>
            <w:rPr>
              <w:rFonts w:ascii="Times New Roman" w:hAnsi="Times New Roman" w:cs="Times New Roman"/>
              <w:b w:val="0"/>
              <w:bCs w:val="0"/>
              <w:sz w:val="24"/>
              <w:szCs w:val="24"/>
            </w:rPr>
            <w:fldChar w:fldCharType="begin"/>
          </w:r>
          <w:r>
            <w:rPr>
              <w:rFonts w:ascii="Times New Roman" w:hAnsi="Times New Roman" w:cs="Times New Roman"/>
              <w:b w:val="0"/>
              <w:bCs w:val="0"/>
              <w:sz w:val="24"/>
              <w:szCs w:val="24"/>
            </w:rPr>
            <w:instrText xml:space="preserve"> PAGEREF _Toc221090912 \h </w:instrText>
          </w:r>
          <w:r>
            <w:rPr>
              <w:rFonts w:ascii="Times New Roman" w:hAnsi="Times New Roman" w:cs="Times New Roman"/>
              <w:b w:val="0"/>
              <w:bCs w:val="0"/>
              <w:sz w:val="24"/>
              <w:szCs w:val="24"/>
            </w:rPr>
            <w:fldChar w:fldCharType="separate"/>
          </w:r>
          <w:r>
            <w:rPr>
              <w:rFonts w:ascii="Times New Roman" w:hAnsi="Times New Roman" w:cs="Times New Roman"/>
              <w:b w:val="0"/>
              <w:bCs w:val="0"/>
              <w:sz w:val="24"/>
              <w:szCs w:val="24"/>
            </w:rPr>
            <w:t>9</w:t>
          </w:r>
          <w:r>
            <w:rPr>
              <w:rFonts w:ascii="Times New Roman" w:hAnsi="Times New Roman" w:cs="Times New Roman"/>
              <w:b w:val="0"/>
              <w:bCs w:val="0"/>
              <w:sz w:val="24"/>
              <w:szCs w:val="24"/>
            </w:rPr>
            <w:fldChar w:fldCharType="end"/>
          </w:r>
          <w:r>
            <w:rPr>
              <w:rFonts w:ascii="Times New Roman" w:hAnsi="Times New Roman" w:cs="Times New Roman"/>
              <w:b w:val="0"/>
              <w:bCs w:val="0"/>
              <w:sz w:val="24"/>
              <w:szCs w:val="24"/>
            </w:rPr>
            <w:fldChar w:fldCharType="end"/>
          </w:r>
        </w:p>
        <w:p w14:paraId="3318DD2E">
          <w:pPr>
            <w:pStyle w:val="27"/>
            <w:tabs>
              <w:tab w:val="right" w:leader="dot" w:pos="8776"/>
            </w:tabs>
            <w:rPr>
              <w:rFonts w:ascii="Times New Roman" w:hAnsi="Times New Roman" w:cs="Times New Roman"/>
              <w:b w:val="0"/>
              <w:bCs w:val="0"/>
              <w:caps w:val="0"/>
              <w:sz w:val="24"/>
              <w:szCs w:val="24"/>
              <w14:ligatures w14:val="standardContextual"/>
            </w:rPr>
          </w:pPr>
          <w:r>
            <w:fldChar w:fldCharType="begin"/>
          </w:r>
          <w:r>
            <w:instrText xml:space="preserve"> HYPERLINK \l "_Toc221090913" </w:instrText>
          </w:r>
          <w:r>
            <w:fldChar w:fldCharType="separate"/>
          </w:r>
          <w:r>
            <w:rPr>
              <w:rStyle w:val="43"/>
              <w:rFonts w:ascii="Times New Roman" w:hAnsi="Times New Roman" w:cs="Times New Roman"/>
              <w:b w:val="0"/>
              <w:bCs w:val="0"/>
              <w:iCs/>
              <w:sz w:val="24"/>
              <w:szCs w:val="24"/>
            </w:rPr>
            <w:t>7.1 外观与结构</w:t>
          </w:r>
          <w:r>
            <w:rPr>
              <w:rFonts w:ascii="Times New Roman" w:hAnsi="Times New Roman" w:cs="Times New Roman"/>
              <w:b w:val="0"/>
              <w:bCs w:val="0"/>
              <w:sz w:val="24"/>
              <w:szCs w:val="24"/>
            </w:rPr>
            <w:tab/>
          </w:r>
          <w:r>
            <w:rPr>
              <w:rFonts w:ascii="Times New Roman" w:hAnsi="Times New Roman" w:cs="Times New Roman"/>
              <w:b w:val="0"/>
              <w:bCs w:val="0"/>
              <w:sz w:val="24"/>
              <w:szCs w:val="24"/>
            </w:rPr>
            <w:fldChar w:fldCharType="begin"/>
          </w:r>
          <w:r>
            <w:rPr>
              <w:rFonts w:ascii="Times New Roman" w:hAnsi="Times New Roman" w:cs="Times New Roman"/>
              <w:b w:val="0"/>
              <w:bCs w:val="0"/>
              <w:sz w:val="24"/>
              <w:szCs w:val="24"/>
            </w:rPr>
            <w:instrText xml:space="preserve"> PAGEREF _Toc221090913 \h </w:instrText>
          </w:r>
          <w:r>
            <w:rPr>
              <w:rFonts w:ascii="Times New Roman" w:hAnsi="Times New Roman" w:cs="Times New Roman"/>
              <w:b w:val="0"/>
              <w:bCs w:val="0"/>
              <w:sz w:val="24"/>
              <w:szCs w:val="24"/>
            </w:rPr>
            <w:fldChar w:fldCharType="separate"/>
          </w:r>
          <w:r>
            <w:rPr>
              <w:rFonts w:ascii="Times New Roman" w:hAnsi="Times New Roman" w:cs="Times New Roman"/>
              <w:b w:val="0"/>
              <w:bCs w:val="0"/>
              <w:sz w:val="24"/>
              <w:szCs w:val="24"/>
            </w:rPr>
            <w:t>9</w:t>
          </w:r>
          <w:r>
            <w:rPr>
              <w:rFonts w:ascii="Times New Roman" w:hAnsi="Times New Roman" w:cs="Times New Roman"/>
              <w:b w:val="0"/>
              <w:bCs w:val="0"/>
              <w:sz w:val="24"/>
              <w:szCs w:val="24"/>
            </w:rPr>
            <w:fldChar w:fldCharType="end"/>
          </w:r>
          <w:r>
            <w:rPr>
              <w:rFonts w:ascii="Times New Roman" w:hAnsi="Times New Roman" w:cs="Times New Roman"/>
              <w:b w:val="0"/>
              <w:bCs w:val="0"/>
              <w:sz w:val="24"/>
              <w:szCs w:val="24"/>
            </w:rPr>
            <w:fldChar w:fldCharType="end"/>
          </w:r>
        </w:p>
        <w:p w14:paraId="3C97F93D">
          <w:pPr>
            <w:pStyle w:val="27"/>
            <w:tabs>
              <w:tab w:val="right" w:leader="dot" w:pos="8776"/>
            </w:tabs>
            <w:rPr>
              <w:rFonts w:ascii="Times New Roman" w:hAnsi="Times New Roman" w:cs="Times New Roman"/>
              <w:b w:val="0"/>
              <w:bCs w:val="0"/>
              <w:caps w:val="0"/>
              <w:sz w:val="24"/>
              <w:szCs w:val="24"/>
              <w14:ligatures w14:val="standardContextual"/>
            </w:rPr>
          </w:pPr>
          <w:r>
            <w:fldChar w:fldCharType="begin"/>
          </w:r>
          <w:r>
            <w:instrText xml:space="preserve"> HYPERLINK \l "_Toc221090915" </w:instrText>
          </w:r>
          <w:r>
            <w:fldChar w:fldCharType="separate"/>
          </w:r>
          <w:r>
            <w:rPr>
              <w:rStyle w:val="43"/>
              <w:rFonts w:ascii="Times New Roman" w:hAnsi="Times New Roman" w:cs="Times New Roman"/>
              <w:b w:val="0"/>
              <w:bCs w:val="0"/>
              <w:iCs/>
              <w:sz w:val="24"/>
              <w:szCs w:val="24"/>
            </w:rPr>
            <w:t>7.2 密封性</w:t>
          </w:r>
          <w:r>
            <w:rPr>
              <w:rFonts w:ascii="Times New Roman" w:hAnsi="Times New Roman" w:cs="Times New Roman"/>
              <w:b w:val="0"/>
              <w:bCs w:val="0"/>
              <w:sz w:val="24"/>
              <w:szCs w:val="24"/>
            </w:rPr>
            <w:tab/>
          </w:r>
          <w:r>
            <w:rPr>
              <w:rFonts w:ascii="Times New Roman" w:hAnsi="Times New Roman" w:cs="Times New Roman"/>
              <w:b w:val="0"/>
              <w:bCs w:val="0"/>
              <w:sz w:val="24"/>
              <w:szCs w:val="24"/>
            </w:rPr>
            <w:fldChar w:fldCharType="begin"/>
          </w:r>
          <w:r>
            <w:rPr>
              <w:rFonts w:ascii="Times New Roman" w:hAnsi="Times New Roman" w:cs="Times New Roman"/>
              <w:b w:val="0"/>
              <w:bCs w:val="0"/>
              <w:sz w:val="24"/>
              <w:szCs w:val="24"/>
            </w:rPr>
            <w:instrText xml:space="preserve"> PAGEREF _Toc221090915 \h </w:instrText>
          </w:r>
          <w:r>
            <w:rPr>
              <w:rFonts w:ascii="Times New Roman" w:hAnsi="Times New Roman" w:cs="Times New Roman"/>
              <w:b w:val="0"/>
              <w:bCs w:val="0"/>
              <w:sz w:val="24"/>
              <w:szCs w:val="24"/>
            </w:rPr>
            <w:fldChar w:fldCharType="separate"/>
          </w:r>
          <w:r>
            <w:rPr>
              <w:rFonts w:ascii="Times New Roman" w:hAnsi="Times New Roman" w:cs="Times New Roman"/>
              <w:b w:val="0"/>
              <w:bCs w:val="0"/>
              <w:sz w:val="24"/>
              <w:szCs w:val="24"/>
            </w:rPr>
            <w:t>10</w:t>
          </w:r>
          <w:r>
            <w:rPr>
              <w:rFonts w:ascii="Times New Roman" w:hAnsi="Times New Roman" w:cs="Times New Roman"/>
              <w:b w:val="0"/>
              <w:bCs w:val="0"/>
              <w:sz w:val="24"/>
              <w:szCs w:val="24"/>
            </w:rPr>
            <w:fldChar w:fldCharType="end"/>
          </w:r>
          <w:r>
            <w:rPr>
              <w:rFonts w:ascii="Times New Roman" w:hAnsi="Times New Roman" w:cs="Times New Roman"/>
              <w:b w:val="0"/>
              <w:bCs w:val="0"/>
              <w:sz w:val="24"/>
              <w:szCs w:val="24"/>
            </w:rPr>
            <w:fldChar w:fldCharType="end"/>
          </w:r>
        </w:p>
        <w:p w14:paraId="2D4177A5">
          <w:pPr>
            <w:pStyle w:val="27"/>
            <w:tabs>
              <w:tab w:val="right" w:leader="dot" w:pos="8776"/>
            </w:tabs>
            <w:rPr>
              <w:rFonts w:ascii="Times New Roman" w:hAnsi="Times New Roman" w:cs="Times New Roman"/>
              <w:b w:val="0"/>
              <w:bCs w:val="0"/>
              <w:caps w:val="0"/>
              <w:sz w:val="24"/>
              <w:szCs w:val="24"/>
              <w14:ligatures w14:val="standardContextual"/>
            </w:rPr>
          </w:pPr>
          <w:r>
            <w:fldChar w:fldCharType="begin"/>
          </w:r>
          <w:r>
            <w:instrText xml:space="preserve"> HYPERLINK \l "_Toc221090916" </w:instrText>
          </w:r>
          <w:r>
            <w:fldChar w:fldCharType="separate"/>
          </w:r>
          <w:r>
            <w:rPr>
              <w:rStyle w:val="43"/>
              <w:rFonts w:ascii="Times New Roman" w:hAnsi="Times New Roman" w:cs="Times New Roman"/>
              <w:b w:val="0"/>
              <w:bCs w:val="0"/>
              <w:iCs/>
              <w:sz w:val="24"/>
              <w:szCs w:val="24"/>
            </w:rPr>
            <w:t>7.3 耐压强度</w:t>
          </w:r>
          <w:r>
            <w:rPr>
              <w:rFonts w:ascii="Times New Roman" w:hAnsi="Times New Roman" w:cs="Times New Roman"/>
              <w:b w:val="0"/>
              <w:bCs w:val="0"/>
              <w:sz w:val="24"/>
              <w:szCs w:val="24"/>
            </w:rPr>
            <w:tab/>
          </w:r>
          <w:r>
            <w:rPr>
              <w:rFonts w:ascii="Times New Roman" w:hAnsi="Times New Roman" w:cs="Times New Roman"/>
              <w:b w:val="0"/>
              <w:bCs w:val="0"/>
              <w:sz w:val="24"/>
              <w:szCs w:val="24"/>
            </w:rPr>
            <w:fldChar w:fldCharType="begin"/>
          </w:r>
          <w:r>
            <w:rPr>
              <w:rFonts w:ascii="Times New Roman" w:hAnsi="Times New Roman" w:cs="Times New Roman"/>
              <w:b w:val="0"/>
              <w:bCs w:val="0"/>
              <w:sz w:val="24"/>
              <w:szCs w:val="24"/>
            </w:rPr>
            <w:instrText xml:space="preserve"> PAGEREF _Toc221090916 \h </w:instrText>
          </w:r>
          <w:r>
            <w:rPr>
              <w:rFonts w:ascii="Times New Roman" w:hAnsi="Times New Roman" w:cs="Times New Roman"/>
              <w:b w:val="0"/>
              <w:bCs w:val="0"/>
              <w:sz w:val="24"/>
              <w:szCs w:val="24"/>
            </w:rPr>
            <w:fldChar w:fldCharType="separate"/>
          </w:r>
          <w:r>
            <w:rPr>
              <w:rFonts w:ascii="Times New Roman" w:hAnsi="Times New Roman" w:cs="Times New Roman"/>
              <w:b w:val="0"/>
              <w:bCs w:val="0"/>
              <w:sz w:val="24"/>
              <w:szCs w:val="24"/>
            </w:rPr>
            <w:t>10</w:t>
          </w:r>
          <w:r>
            <w:rPr>
              <w:rFonts w:ascii="Times New Roman" w:hAnsi="Times New Roman" w:cs="Times New Roman"/>
              <w:b w:val="0"/>
              <w:bCs w:val="0"/>
              <w:sz w:val="24"/>
              <w:szCs w:val="24"/>
            </w:rPr>
            <w:fldChar w:fldCharType="end"/>
          </w:r>
          <w:r>
            <w:rPr>
              <w:rFonts w:ascii="Times New Roman" w:hAnsi="Times New Roman" w:cs="Times New Roman"/>
              <w:b w:val="0"/>
              <w:bCs w:val="0"/>
              <w:sz w:val="24"/>
              <w:szCs w:val="24"/>
            </w:rPr>
            <w:fldChar w:fldCharType="end"/>
          </w:r>
        </w:p>
        <w:p w14:paraId="4397D0A7">
          <w:pPr>
            <w:pStyle w:val="27"/>
            <w:tabs>
              <w:tab w:val="right" w:leader="dot" w:pos="8776"/>
            </w:tabs>
            <w:rPr>
              <w:rFonts w:ascii="Times New Roman" w:hAnsi="Times New Roman" w:cs="Times New Roman"/>
              <w:b w:val="0"/>
              <w:bCs w:val="0"/>
              <w:caps w:val="0"/>
              <w:sz w:val="24"/>
              <w:szCs w:val="24"/>
              <w14:ligatures w14:val="standardContextual"/>
            </w:rPr>
          </w:pPr>
          <w:r>
            <w:fldChar w:fldCharType="begin"/>
          </w:r>
          <w:r>
            <w:instrText xml:space="preserve"> HYPERLINK \l "_Toc221090917" </w:instrText>
          </w:r>
          <w:r>
            <w:fldChar w:fldCharType="separate"/>
          </w:r>
          <w:r>
            <w:rPr>
              <w:rStyle w:val="43"/>
              <w:rFonts w:ascii="Times New Roman" w:hAnsi="Times New Roman" w:cs="Times New Roman"/>
              <w:b w:val="0"/>
              <w:bCs w:val="0"/>
              <w:iCs/>
              <w:sz w:val="24"/>
              <w:szCs w:val="24"/>
            </w:rPr>
            <w:t>7.4 辅助功能性要求</w:t>
          </w:r>
          <w:r>
            <w:rPr>
              <w:rFonts w:ascii="Times New Roman" w:hAnsi="Times New Roman" w:cs="Times New Roman"/>
              <w:b w:val="0"/>
              <w:bCs w:val="0"/>
              <w:sz w:val="24"/>
              <w:szCs w:val="24"/>
            </w:rPr>
            <w:tab/>
          </w:r>
          <w:r>
            <w:rPr>
              <w:rFonts w:ascii="Times New Roman" w:hAnsi="Times New Roman" w:cs="Times New Roman"/>
              <w:b w:val="0"/>
              <w:bCs w:val="0"/>
              <w:sz w:val="24"/>
              <w:szCs w:val="24"/>
            </w:rPr>
            <w:fldChar w:fldCharType="begin"/>
          </w:r>
          <w:r>
            <w:rPr>
              <w:rFonts w:ascii="Times New Roman" w:hAnsi="Times New Roman" w:cs="Times New Roman"/>
              <w:b w:val="0"/>
              <w:bCs w:val="0"/>
              <w:sz w:val="24"/>
              <w:szCs w:val="24"/>
            </w:rPr>
            <w:instrText xml:space="preserve"> PAGEREF _Toc221090917 \h </w:instrText>
          </w:r>
          <w:r>
            <w:rPr>
              <w:rFonts w:ascii="Times New Roman" w:hAnsi="Times New Roman" w:cs="Times New Roman"/>
              <w:b w:val="0"/>
              <w:bCs w:val="0"/>
              <w:sz w:val="24"/>
              <w:szCs w:val="24"/>
            </w:rPr>
            <w:fldChar w:fldCharType="separate"/>
          </w:r>
          <w:r>
            <w:rPr>
              <w:rFonts w:ascii="Times New Roman" w:hAnsi="Times New Roman" w:cs="Times New Roman"/>
              <w:b w:val="0"/>
              <w:bCs w:val="0"/>
              <w:sz w:val="24"/>
              <w:szCs w:val="24"/>
            </w:rPr>
            <w:t>11</w:t>
          </w:r>
          <w:r>
            <w:rPr>
              <w:rFonts w:ascii="Times New Roman" w:hAnsi="Times New Roman" w:cs="Times New Roman"/>
              <w:b w:val="0"/>
              <w:bCs w:val="0"/>
              <w:sz w:val="24"/>
              <w:szCs w:val="24"/>
            </w:rPr>
            <w:fldChar w:fldCharType="end"/>
          </w:r>
          <w:r>
            <w:rPr>
              <w:rFonts w:ascii="Times New Roman" w:hAnsi="Times New Roman" w:cs="Times New Roman"/>
              <w:b w:val="0"/>
              <w:bCs w:val="0"/>
              <w:sz w:val="24"/>
              <w:szCs w:val="24"/>
            </w:rPr>
            <w:fldChar w:fldCharType="end"/>
          </w:r>
        </w:p>
        <w:p w14:paraId="322C7D19">
          <w:pPr>
            <w:pStyle w:val="27"/>
            <w:tabs>
              <w:tab w:val="right" w:leader="dot" w:pos="8776"/>
            </w:tabs>
            <w:rPr>
              <w:rFonts w:ascii="Times New Roman" w:hAnsi="Times New Roman" w:cs="Times New Roman"/>
              <w:b w:val="0"/>
              <w:bCs w:val="0"/>
              <w:caps w:val="0"/>
              <w:sz w:val="24"/>
              <w:szCs w:val="24"/>
              <w14:ligatures w14:val="standardContextual"/>
            </w:rPr>
          </w:pPr>
          <w:r>
            <w:fldChar w:fldCharType="begin"/>
          </w:r>
          <w:r>
            <w:instrText xml:space="preserve"> HYPERLINK \l "_Toc221090918" </w:instrText>
          </w:r>
          <w:r>
            <w:fldChar w:fldCharType="separate"/>
          </w:r>
          <w:r>
            <w:rPr>
              <w:rStyle w:val="43"/>
              <w:rFonts w:ascii="Times New Roman" w:hAnsi="Times New Roman" w:cs="Times New Roman"/>
              <w:b w:val="0"/>
              <w:bCs w:val="0"/>
              <w:iCs/>
              <w:sz w:val="24"/>
              <w:szCs w:val="24"/>
            </w:rPr>
            <w:t>7.5 安全性能</w:t>
          </w:r>
          <w:r>
            <w:rPr>
              <w:rFonts w:ascii="Times New Roman" w:hAnsi="Times New Roman" w:cs="Times New Roman"/>
              <w:b w:val="0"/>
              <w:bCs w:val="0"/>
              <w:sz w:val="24"/>
              <w:szCs w:val="24"/>
            </w:rPr>
            <w:tab/>
          </w:r>
          <w:r>
            <w:rPr>
              <w:rFonts w:ascii="Times New Roman" w:hAnsi="Times New Roman" w:cs="Times New Roman"/>
              <w:b w:val="0"/>
              <w:bCs w:val="0"/>
              <w:sz w:val="24"/>
              <w:szCs w:val="24"/>
            </w:rPr>
            <w:fldChar w:fldCharType="begin"/>
          </w:r>
          <w:r>
            <w:rPr>
              <w:rFonts w:ascii="Times New Roman" w:hAnsi="Times New Roman" w:cs="Times New Roman"/>
              <w:b w:val="0"/>
              <w:bCs w:val="0"/>
              <w:sz w:val="24"/>
              <w:szCs w:val="24"/>
            </w:rPr>
            <w:instrText xml:space="preserve"> PAGEREF _Toc221090918 \h </w:instrText>
          </w:r>
          <w:r>
            <w:rPr>
              <w:rFonts w:ascii="Times New Roman" w:hAnsi="Times New Roman" w:cs="Times New Roman"/>
              <w:b w:val="0"/>
              <w:bCs w:val="0"/>
              <w:sz w:val="24"/>
              <w:szCs w:val="24"/>
            </w:rPr>
            <w:fldChar w:fldCharType="separate"/>
          </w:r>
          <w:r>
            <w:rPr>
              <w:rFonts w:ascii="Times New Roman" w:hAnsi="Times New Roman" w:cs="Times New Roman"/>
              <w:b w:val="0"/>
              <w:bCs w:val="0"/>
              <w:sz w:val="24"/>
              <w:szCs w:val="24"/>
            </w:rPr>
            <w:t>11</w:t>
          </w:r>
          <w:r>
            <w:rPr>
              <w:rFonts w:ascii="Times New Roman" w:hAnsi="Times New Roman" w:cs="Times New Roman"/>
              <w:b w:val="0"/>
              <w:bCs w:val="0"/>
              <w:sz w:val="24"/>
              <w:szCs w:val="24"/>
            </w:rPr>
            <w:fldChar w:fldCharType="end"/>
          </w:r>
          <w:r>
            <w:rPr>
              <w:rFonts w:ascii="Times New Roman" w:hAnsi="Times New Roman" w:cs="Times New Roman"/>
              <w:b w:val="0"/>
              <w:bCs w:val="0"/>
              <w:sz w:val="24"/>
              <w:szCs w:val="24"/>
            </w:rPr>
            <w:fldChar w:fldCharType="end"/>
          </w:r>
        </w:p>
        <w:p w14:paraId="6FC7E72B">
          <w:pPr>
            <w:pStyle w:val="27"/>
            <w:tabs>
              <w:tab w:val="right" w:leader="dot" w:pos="8776"/>
            </w:tabs>
            <w:rPr>
              <w:rFonts w:ascii="Times New Roman" w:hAnsi="Times New Roman" w:cs="Times New Roman"/>
              <w:b w:val="0"/>
              <w:bCs w:val="0"/>
              <w:caps w:val="0"/>
              <w:sz w:val="24"/>
              <w:szCs w:val="24"/>
              <w14:ligatures w14:val="standardContextual"/>
            </w:rPr>
          </w:pPr>
          <w:r>
            <w:fldChar w:fldCharType="begin"/>
          </w:r>
          <w:r>
            <w:instrText xml:space="preserve"> HYPERLINK \l "_Toc221090919" </w:instrText>
          </w:r>
          <w:r>
            <w:fldChar w:fldCharType="separate"/>
          </w:r>
          <w:r>
            <w:rPr>
              <w:rStyle w:val="43"/>
              <w:rFonts w:ascii="Times New Roman" w:hAnsi="Times New Roman" w:cs="Times New Roman"/>
              <w:b w:val="0"/>
              <w:bCs w:val="0"/>
              <w:iCs/>
              <w:sz w:val="24"/>
              <w:szCs w:val="24"/>
            </w:rPr>
            <w:t>7.6 贮存环境适应性</w:t>
          </w:r>
          <w:r>
            <w:rPr>
              <w:rFonts w:ascii="Times New Roman" w:hAnsi="Times New Roman" w:cs="Times New Roman"/>
              <w:b w:val="0"/>
              <w:bCs w:val="0"/>
              <w:sz w:val="24"/>
              <w:szCs w:val="24"/>
            </w:rPr>
            <w:tab/>
          </w:r>
          <w:r>
            <w:rPr>
              <w:rFonts w:ascii="Times New Roman" w:hAnsi="Times New Roman" w:cs="Times New Roman"/>
              <w:b w:val="0"/>
              <w:bCs w:val="0"/>
              <w:sz w:val="24"/>
              <w:szCs w:val="24"/>
            </w:rPr>
            <w:fldChar w:fldCharType="begin"/>
          </w:r>
          <w:r>
            <w:rPr>
              <w:rFonts w:ascii="Times New Roman" w:hAnsi="Times New Roman" w:cs="Times New Roman"/>
              <w:b w:val="0"/>
              <w:bCs w:val="0"/>
              <w:sz w:val="24"/>
              <w:szCs w:val="24"/>
            </w:rPr>
            <w:instrText xml:space="preserve"> PAGEREF _Toc221090919 \h </w:instrText>
          </w:r>
          <w:r>
            <w:rPr>
              <w:rFonts w:ascii="Times New Roman" w:hAnsi="Times New Roman" w:cs="Times New Roman"/>
              <w:b w:val="0"/>
              <w:bCs w:val="0"/>
              <w:sz w:val="24"/>
              <w:szCs w:val="24"/>
            </w:rPr>
            <w:fldChar w:fldCharType="separate"/>
          </w:r>
          <w:r>
            <w:rPr>
              <w:rFonts w:ascii="Times New Roman" w:hAnsi="Times New Roman" w:cs="Times New Roman"/>
              <w:b w:val="0"/>
              <w:bCs w:val="0"/>
              <w:sz w:val="24"/>
              <w:szCs w:val="24"/>
            </w:rPr>
            <w:t>12</w:t>
          </w:r>
          <w:r>
            <w:rPr>
              <w:rFonts w:ascii="Times New Roman" w:hAnsi="Times New Roman" w:cs="Times New Roman"/>
              <w:b w:val="0"/>
              <w:bCs w:val="0"/>
              <w:sz w:val="24"/>
              <w:szCs w:val="24"/>
            </w:rPr>
            <w:fldChar w:fldCharType="end"/>
          </w:r>
          <w:r>
            <w:rPr>
              <w:rFonts w:ascii="Times New Roman" w:hAnsi="Times New Roman" w:cs="Times New Roman"/>
              <w:b w:val="0"/>
              <w:bCs w:val="0"/>
              <w:sz w:val="24"/>
              <w:szCs w:val="24"/>
            </w:rPr>
            <w:fldChar w:fldCharType="end"/>
          </w:r>
        </w:p>
        <w:p w14:paraId="62FC5A93">
          <w:pPr>
            <w:pStyle w:val="27"/>
            <w:tabs>
              <w:tab w:val="right" w:leader="dot" w:pos="8776"/>
            </w:tabs>
            <w:rPr>
              <w:rFonts w:ascii="Times New Roman" w:hAnsi="Times New Roman" w:cs="Times New Roman"/>
              <w:b w:val="0"/>
              <w:bCs w:val="0"/>
              <w:caps w:val="0"/>
              <w:sz w:val="24"/>
              <w:szCs w:val="24"/>
              <w14:ligatures w14:val="standardContextual"/>
            </w:rPr>
          </w:pPr>
          <w:r>
            <w:fldChar w:fldCharType="begin"/>
          </w:r>
          <w:r>
            <w:instrText xml:space="preserve"> HYPERLINK \l "_Toc221090920" </w:instrText>
          </w:r>
          <w:r>
            <w:fldChar w:fldCharType="separate"/>
          </w:r>
          <w:r>
            <w:rPr>
              <w:rStyle w:val="43"/>
              <w:rFonts w:ascii="Times New Roman" w:hAnsi="Times New Roman" w:cs="Times New Roman"/>
              <w:b w:val="0"/>
              <w:bCs w:val="0"/>
              <w:iCs/>
              <w:sz w:val="24"/>
              <w:szCs w:val="24"/>
            </w:rPr>
            <w:t>7.7 机械环境性能试验</w:t>
          </w:r>
          <w:r>
            <w:rPr>
              <w:rFonts w:ascii="Times New Roman" w:hAnsi="Times New Roman" w:cs="Times New Roman"/>
              <w:b w:val="0"/>
              <w:bCs w:val="0"/>
              <w:sz w:val="24"/>
              <w:szCs w:val="24"/>
            </w:rPr>
            <w:tab/>
          </w:r>
          <w:r>
            <w:rPr>
              <w:rFonts w:ascii="Times New Roman" w:hAnsi="Times New Roman" w:cs="Times New Roman"/>
              <w:b w:val="0"/>
              <w:bCs w:val="0"/>
              <w:sz w:val="24"/>
              <w:szCs w:val="24"/>
            </w:rPr>
            <w:fldChar w:fldCharType="begin"/>
          </w:r>
          <w:r>
            <w:rPr>
              <w:rFonts w:ascii="Times New Roman" w:hAnsi="Times New Roman" w:cs="Times New Roman"/>
              <w:b w:val="0"/>
              <w:bCs w:val="0"/>
              <w:sz w:val="24"/>
              <w:szCs w:val="24"/>
            </w:rPr>
            <w:instrText xml:space="preserve"> PAGEREF _Toc221090920 \h </w:instrText>
          </w:r>
          <w:r>
            <w:rPr>
              <w:rFonts w:ascii="Times New Roman" w:hAnsi="Times New Roman" w:cs="Times New Roman"/>
              <w:b w:val="0"/>
              <w:bCs w:val="0"/>
              <w:sz w:val="24"/>
              <w:szCs w:val="24"/>
            </w:rPr>
            <w:fldChar w:fldCharType="separate"/>
          </w:r>
          <w:r>
            <w:rPr>
              <w:rFonts w:ascii="Times New Roman" w:hAnsi="Times New Roman" w:cs="Times New Roman"/>
              <w:b w:val="0"/>
              <w:bCs w:val="0"/>
              <w:sz w:val="24"/>
              <w:szCs w:val="24"/>
            </w:rPr>
            <w:t>12</w:t>
          </w:r>
          <w:r>
            <w:rPr>
              <w:rFonts w:ascii="Times New Roman" w:hAnsi="Times New Roman" w:cs="Times New Roman"/>
              <w:b w:val="0"/>
              <w:bCs w:val="0"/>
              <w:sz w:val="24"/>
              <w:szCs w:val="24"/>
            </w:rPr>
            <w:fldChar w:fldCharType="end"/>
          </w:r>
          <w:r>
            <w:rPr>
              <w:rFonts w:ascii="Times New Roman" w:hAnsi="Times New Roman" w:cs="Times New Roman"/>
              <w:b w:val="0"/>
              <w:bCs w:val="0"/>
              <w:sz w:val="24"/>
              <w:szCs w:val="24"/>
            </w:rPr>
            <w:fldChar w:fldCharType="end"/>
          </w:r>
        </w:p>
        <w:p w14:paraId="062BA048">
          <w:pPr>
            <w:pStyle w:val="27"/>
            <w:tabs>
              <w:tab w:val="right" w:leader="dot" w:pos="8776"/>
            </w:tabs>
            <w:rPr>
              <w:rFonts w:ascii="Times New Roman" w:hAnsi="Times New Roman" w:cs="Times New Roman"/>
              <w:b w:val="0"/>
              <w:bCs w:val="0"/>
              <w:caps w:val="0"/>
              <w:sz w:val="24"/>
              <w:szCs w:val="24"/>
              <w14:ligatures w14:val="standardContextual"/>
            </w:rPr>
          </w:pPr>
          <w:r>
            <w:fldChar w:fldCharType="begin"/>
          </w:r>
          <w:r>
            <w:instrText xml:space="preserve"> HYPERLINK \l "_Toc221090921" </w:instrText>
          </w:r>
          <w:r>
            <w:fldChar w:fldCharType="separate"/>
          </w:r>
          <w:r>
            <w:rPr>
              <w:rStyle w:val="43"/>
              <w:rFonts w:ascii="Times New Roman" w:hAnsi="Times New Roman" w:cs="Times New Roman"/>
              <w:b w:val="0"/>
              <w:bCs w:val="0"/>
              <w:iCs/>
              <w:sz w:val="24"/>
              <w:szCs w:val="24"/>
            </w:rPr>
            <w:t>7.8 电磁兼容适应性</w:t>
          </w:r>
          <w:r>
            <w:rPr>
              <w:rFonts w:ascii="Times New Roman" w:hAnsi="Times New Roman" w:cs="Times New Roman"/>
              <w:b w:val="0"/>
              <w:bCs w:val="0"/>
              <w:sz w:val="24"/>
              <w:szCs w:val="24"/>
            </w:rPr>
            <w:tab/>
          </w:r>
          <w:r>
            <w:rPr>
              <w:rFonts w:ascii="Times New Roman" w:hAnsi="Times New Roman" w:cs="Times New Roman"/>
              <w:b w:val="0"/>
              <w:bCs w:val="0"/>
              <w:sz w:val="24"/>
              <w:szCs w:val="24"/>
            </w:rPr>
            <w:fldChar w:fldCharType="begin"/>
          </w:r>
          <w:r>
            <w:rPr>
              <w:rFonts w:ascii="Times New Roman" w:hAnsi="Times New Roman" w:cs="Times New Roman"/>
              <w:b w:val="0"/>
              <w:bCs w:val="0"/>
              <w:sz w:val="24"/>
              <w:szCs w:val="24"/>
            </w:rPr>
            <w:instrText xml:space="preserve"> PAGEREF _Toc221090921 \h </w:instrText>
          </w:r>
          <w:r>
            <w:rPr>
              <w:rFonts w:ascii="Times New Roman" w:hAnsi="Times New Roman" w:cs="Times New Roman"/>
              <w:b w:val="0"/>
              <w:bCs w:val="0"/>
              <w:sz w:val="24"/>
              <w:szCs w:val="24"/>
            </w:rPr>
            <w:fldChar w:fldCharType="separate"/>
          </w:r>
          <w:r>
            <w:rPr>
              <w:rFonts w:ascii="Times New Roman" w:hAnsi="Times New Roman" w:cs="Times New Roman"/>
              <w:b w:val="0"/>
              <w:bCs w:val="0"/>
              <w:sz w:val="24"/>
              <w:szCs w:val="24"/>
            </w:rPr>
            <w:t>13</w:t>
          </w:r>
          <w:r>
            <w:rPr>
              <w:rFonts w:ascii="Times New Roman" w:hAnsi="Times New Roman" w:cs="Times New Roman"/>
              <w:b w:val="0"/>
              <w:bCs w:val="0"/>
              <w:sz w:val="24"/>
              <w:szCs w:val="24"/>
            </w:rPr>
            <w:fldChar w:fldCharType="end"/>
          </w:r>
          <w:r>
            <w:rPr>
              <w:rFonts w:ascii="Times New Roman" w:hAnsi="Times New Roman" w:cs="Times New Roman"/>
              <w:b w:val="0"/>
              <w:bCs w:val="0"/>
              <w:sz w:val="24"/>
              <w:szCs w:val="24"/>
            </w:rPr>
            <w:fldChar w:fldCharType="end"/>
          </w:r>
        </w:p>
        <w:p w14:paraId="52B0ACB1">
          <w:pPr>
            <w:pStyle w:val="27"/>
            <w:tabs>
              <w:tab w:val="right" w:leader="dot" w:pos="8776"/>
            </w:tabs>
            <w:rPr>
              <w:rFonts w:ascii="Times New Roman" w:hAnsi="Times New Roman" w:cs="Times New Roman"/>
              <w:b w:val="0"/>
              <w:bCs w:val="0"/>
              <w:caps w:val="0"/>
              <w:sz w:val="24"/>
              <w:szCs w:val="24"/>
              <w14:ligatures w14:val="standardContextual"/>
            </w:rPr>
          </w:pPr>
          <w:r>
            <w:fldChar w:fldCharType="begin"/>
          </w:r>
          <w:r>
            <w:instrText xml:space="preserve"> HYPERLINK \l "_Toc221090922" </w:instrText>
          </w:r>
          <w:r>
            <w:fldChar w:fldCharType="separate"/>
          </w:r>
          <w:r>
            <w:rPr>
              <w:rStyle w:val="43"/>
              <w:rFonts w:ascii="Times New Roman" w:hAnsi="Times New Roman" w:cs="Times New Roman"/>
              <w:b w:val="0"/>
              <w:bCs w:val="0"/>
              <w:iCs/>
              <w:sz w:val="24"/>
              <w:szCs w:val="24"/>
            </w:rPr>
            <w:t>7.9 流体扰动</w:t>
          </w:r>
          <w:r>
            <w:rPr>
              <w:rFonts w:ascii="Times New Roman" w:hAnsi="Times New Roman" w:cs="Times New Roman"/>
              <w:b w:val="0"/>
              <w:bCs w:val="0"/>
              <w:sz w:val="24"/>
              <w:szCs w:val="24"/>
            </w:rPr>
            <w:tab/>
          </w:r>
          <w:r>
            <w:rPr>
              <w:rFonts w:ascii="Times New Roman" w:hAnsi="Times New Roman" w:cs="Times New Roman"/>
              <w:b w:val="0"/>
              <w:bCs w:val="0"/>
              <w:sz w:val="24"/>
              <w:szCs w:val="24"/>
            </w:rPr>
            <w:fldChar w:fldCharType="begin"/>
          </w:r>
          <w:r>
            <w:rPr>
              <w:rFonts w:ascii="Times New Roman" w:hAnsi="Times New Roman" w:cs="Times New Roman"/>
              <w:b w:val="0"/>
              <w:bCs w:val="0"/>
              <w:sz w:val="24"/>
              <w:szCs w:val="24"/>
            </w:rPr>
            <w:instrText xml:space="preserve"> PAGEREF _Toc221090922 \h </w:instrText>
          </w:r>
          <w:r>
            <w:rPr>
              <w:rFonts w:ascii="Times New Roman" w:hAnsi="Times New Roman" w:cs="Times New Roman"/>
              <w:b w:val="0"/>
              <w:bCs w:val="0"/>
              <w:sz w:val="24"/>
              <w:szCs w:val="24"/>
            </w:rPr>
            <w:fldChar w:fldCharType="separate"/>
          </w:r>
          <w:r>
            <w:rPr>
              <w:rFonts w:ascii="Times New Roman" w:hAnsi="Times New Roman" w:cs="Times New Roman"/>
              <w:b w:val="0"/>
              <w:bCs w:val="0"/>
              <w:sz w:val="24"/>
              <w:szCs w:val="24"/>
            </w:rPr>
            <w:t>13</w:t>
          </w:r>
          <w:r>
            <w:rPr>
              <w:rFonts w:ascii="Times New Roman" w:hAnsi="Times New Roman" w:cs="Times New Roman"/>
              <w:b w:val="0"/>
              <w:bCs w:val="0"/>
              <w:sz w:val="24"/>
              <w:szCs w:val="24"/>
            </w:rPr>
            <w:fldChar w:fldCharType="end"/>
          </w:r>
          <w:r>
            <w:rPr>
              <w:rFonts w:ascii="Times New Roman" w:hAnsi="Times New Roman" w:cs="Times New Roman"/>
              <w:b w:val="0"/>
              <w:bCs w:val="0"/>
              <w:sz w:val="24"/>
              <w:szCs w:val="24"/>
            </w:rPr>
            <w:fldChar w:fldCharType="end"/>
          </w:r>
        </w:p>
        <w:p w14:paraId="5EDDE787">
          <w:pPr>
            <w:pStyle w:val="27"/>
            <w:tabs>
              <w:tab w:val="right" w:leader="dot" w:pos="8776"/>
            </w:tabs>
            <w:rPr>
              <w:rFonts w:ascii="Times New Roman" w:hAnsi="Times New Roman" w:cs="Times New Roman"/>
              <w:b w:val="0"/>
              <w:bCs w:val="0"/>
              <w:caps w:val="0"/>
              <w:sz w:val="24"/>
              <w:szCs w:val="24"/>
              <w14:ligatures w14:val="standardContextual"/>
            </w:rPr>
          </w:pPr>
          <w:r>
            <w:fldChar w:fldCharType="begin"/>
          </w:r>
          <w:r>
            <w:instrText xml:space="preserve"> HYPERLINK \l "_Toc221090923" </w:instrText>
          </w:r>
          <w:r>
            <w:fldChar w:fldCharType="separate"/>
          </w:r>
          <w:r>
            <w:rPr>
              <w:rStyle w:val="43"/>
              <w:rFonts w:ascii="Times New Roman" w:hAnsi="Times New Roman" w:cs="Times New Roman"/>
              <w:b w:val="0"/>
              <w:bCs w:val="0"/>
              <w:iCs/>
              <w:sz w:val="24"/>
              <w:szCs w:val="24"/>
            </w:rPr>
            <w:t>7.10软件标识管理要求</w:t>
          </w:r>
          <w:r>
            <w:rPr>
              <w:rFonts w:ascii="Times New Roman" w:hAnsi="Times New Roman" w:cs="Times New Roman"/>
              <w:b w:val="0"/>
              <w:bCs w:val="0"/>
              <w:sz w:val="24"/>
              <w:szCs w:val="24"/>
            </w:rPr>
            <w:tab/>
          </w:r>
          <w:r>
            <w:rPr>
              <w:rFonts w:ascii="Times New Roman" w:hAnsi="Times New Roman" w:cs="Times New Roman"/>
              <w:b w:val="0"/>
              <w:bCs w:val="0"/>
              <w:sz w:val="24"/>
              <w:szCs w:val="24"/>
            </w:rPr>
            <w:fldChar w:fldCharType="begin"/>
          </w:r>
          <w:r>
            <w:rPr>
              <w:rFonts w:ascii="Times New Roman" w:hAnsi="Times New Roman" w:cs="Times New Roman"/>
              <w:b w:val="0"/>
              <w:bCs w:val="0"/>
              <w:sz w:val="24"/>
              <w:szCs w:val="24"/>
            </w:rPr>
            <w:instrText xml:space="preserve"> PAGEREF _Toc221090923 \h </w:instrText>
          </w:r>
          <w:r>
            <w:rPr>
              <w:rFonts w:ascii="Times New Roman" w:hAnsi="Times New Roman" w:cs="Times New Roman"/>
              <w:b w:val="0"/>
              <w:bCs w:val="0"/>
              <w:sz w:val="24"/>
              <w:szCs w:val="24"/>
            </w:rPr>
            <w:fldChar w:fldCharType="separate"/>
          </w:r>
          <w:r>
            <w:rPr>
              <w:rFonts w:ascii="Times New Roman" w:hAnsi="Times New Roman" w:cs="Times New Roman"/>
              <w:b w:val="0"/>
              <w:bCs w:val="0"/>
              <w:sz w:val="24"/>
              <w:szCs w:val="24"/>
            </w:rPr>
            <w:t>14</w:t>
          </w:r>
          <w:r>
            <w:rPr>
              <w:rFonts w:ascii="Times New Roman" w:hAnsi="Times New Roman" w:cs="Times New Roman"/>
              <w:b w:val="0"/>
              <w:bCs w:val="0"/>
              <w:sz w:val="24"/>
              <w:szCs w:val="24"/>
            </w:rPr>
            <w:fldChar w:fldCharType="end"/>
          </w:r>
          <w:r>
            <w:rPr>
              <w:rFonts w:ascii="Times New Roman" w:hAnsi="Times New Roman" w:cs="Times New Roman"/>
              <w:b w:val="0"/>
              <w:bCs w:val="0"/>
              <w:sz w:val="24"/>
              <w:szCs w:val="24"/>
            </w:rPr>
            <w:fldChar w:fldCharType="end"/>
          </w:r>
        </w:p>
        <w:p w14:paraId="02080F19">
          <w:pPr>
            <w:pStyle w:val="27"/>
            <w:tabs>
              <w:tab w:val="right" w:leader="dot" w:pos="8776"/>
            </w:tabs>
            <w:rPr>
              <w:rFonts w:ascii="Times New Roman" w:hAnsi="Times New Roman" w:cs="Times New Roman"/>
              <w:b w:val="0"/>
              <w:bCs w:val="0"/>
              <w:caps w:val="0"/>
              <w:sz w:val="24"/>
              <w:szCs w:val="24"/>
              <w14:ligatures w14:val="standardContextual"/>
            </w:rPr>
          </w:pPr>
          <w:r>
            <w:fldChar w:fldCharType="begin"/>
          </w:r>
          <w:r>
            <w:instrText xml:space="preserve"> HYPERLINK \l "_Toc221090924" </w:instrText>
          </w:r>
          <w:r>
            <w:fldChar w:fldCharType="separate"/>
          </w:r>
          <w:r>
            <w:rPr>
              <w:rStyle w:val="43"/>
              <w:rFonts w:ascii="Times New Roman" w:hAnsi="Times New Roman" w:cs="Times New Roman"/>
              <w:b w:val="0"/>
              <w:bCs w:val="0"/>
              <w:iCs/>
              <w:sz w:val="24"/>
              <w:szCs w:val="24"/>
            </w:rPr>
            <w:t>7.11 计量性能复测</w:t>
          </w:r>
          <w:r>
            <w:rPr>
              <w:rFonts w:ascii="Times New Roman" w:hAnsi="Times New Roman" w:cs="Times New Roman"/>
              <w:b w:val="0"/>
              <w:bCs w:val="0"/>
              <w:sz w:val="24"/>
              <w:szCs w:val="24"/>
            </w:rPr>
            <w:tab/>
          </w:r>
          <w:r>
            <w:rPr>
              <w:rFonts w:ascii="Times New Roman" w:hAnsi="Times New Roman" w:cs="Times New Roman"/>
              <w:b w:val="0"/>
              <w:bCs w:val="0"/>
              <w:sz w:val="24"/>
              <w:szCs w:val="24"/>
            </w:rPr>
            <w:fldChar w:fldCharType="begin"/>
          </w:r>
          <w:r>
            <w:rPr>
              <w:rFonts w:ascii="Times New Roman" w:hAnsi="Times New Roman" w:cs="Times New Roman"/>
              <w:b w:val="0"/>
              <w:bCs w:val="0"/>
              <w:sz w:val="24"/>
              <w:szCs w:val="24"/>
            </w:rPr>
            <w:instrText xml:space="preserve"> PAGEREF _Toc221090924 \h </w:instrText>
          </w:r>
          <w:r>
            <w:rPr>
              <w:rFonts w:ascii="Times New Roman" w:hAnsi="Times New Roman" w:cs="Times New Roman"/>
              <w:b w:val="0"/>
              <w:bCs w:val="0"/>
              <w:sz w:val="24"/>
              <w:szCs w:val="24"/>
            </w:rPr>
            <w:fldChar w:fldCharType="separate"/>
          </w:r>
          <w:r>
            <w:rPr>
              <w:rFonts w:ascii="Times New Roman" w:hAnsi="Times New Roman" w:cs="Times New Roman"/>
              <w:b w:val="0"/>
              <w:bCs w:val="0"/>
              <w:sz w:val="24"/>
              <w:szCs w:val="24"/>
            </w:rPr>
            <w:t>14</w:t>
          </w:r>
          <w:r>
            <w:rPr>
              <w:rFonts w:ascii="Times New Roman" w:hAnsi="Times New Roman" w:cs="Times New Roman"/>
              <w:b w:val="0"/>
              <w:bCs w:val="0"/>
              <w:sz w:val="24"/>
              <w:szCs w:val="24"/>
            </w:rPr>
            <w:fldChar w:fldCharType="end"/>
          </w:r>
          <w:r>
            <w:rPr>
              <w:rFonts w:ascii="Times New Roman" w:hAnsi="Times New Roman" w:cs="Times New Roman"/>
              <w:b w:val="0"/>
              <w:bCs w:val="0"/>
              <w:sz w:val="24"/>
              <w:szCs w:val="24"/>
            </w:rPr>
            <w:fldChar w:fldCharType="end"/>
          </w:r>
        </w:p>
        <w:p w14:paraId="0A37D886">
          <w:pPr>
            <w:pStyle w:val="27"/>
            <w:tabs>
              <w:tab w:val="right" w:leader="dot" w:pos="8776"/>
            </w:tabs>
            <w:rPr>
              <w:rFonts w:ascii="Times New Roman" w:hAnsi="Times New Roman" w:cs="Times New Roman"/>
              <w:b w:val="0"/>
              <w:bCs w:val="0"/>
              <w:caps w:val="0"/>
              <w:sz w:val="24"/>
              <w:szCs w:val="24"/>
              <w14:ligatures w14:val="standardContextual"/>
            </w:rPr>
          </w:pPr>
          <w:r>
            <w:fldChar w:fldCharType="begin"/>
          </w:r>
          <w:r>
            <w:instrText xml:space="preserve"> HYPERLINK \l "_Toc221090925" </w:instrText>
          </w:r>
          <w:r>
            <w:fldChar w:fldCharType="separate"/>
          </w:r>
          <w:r>
            <w:rPr>
              <w:rStyle w:val="43"/>
              <w:rFonts w:ascii="Times New Roman" w:hAnsi="Times New Roman" w:cs="Times New Roman"/>
              <w:b w:val="0"/>
              <w:bCs w:val="0"/>
              <w:sz w:val="24"/>
              <w:szCs w:val="24"/>
            </w:rPr>
            <w:t>8 型式评价项目一览表</w:t>
          </w:r>
          <w:r>
            <w:rPr>
              <w:rFonts w:ascii="Times New Roman" w:hAnsi="Times New Roman" w:cs="Times New Roman"/>
              <w:b w:val="0"/>
              <w:bCs w:val="0"/>
              <w:sz w:val="24"/>
              <w:szCs w:val="24"/>
            </w:rPr>
            <w:tab/>
          </w:r>
          <w:r>
            <w:rPr>
              <w:rFonts w:ascii="Times New Roman" w:hAnsi="Times New Roman" w:cs="Times New Roman"/>
              <w:b w:val="0"/>
              <w:bCs w:val="0"/>
              <w:sz w:val="24"/>
              <w:szCs w:val="24"/>
            </w:rPr>
            <w:fldChar w:fldCharType="begin"/>
          </w:r>
          <w:r>
            <w:rPr>
              <w:rFonts w:ascii="Times New Roman" w:hAnsi="Times New Roman" w:cs="Times New Roman"/>
              <w:b w:val="0"/>
              <w:bCs w:val="0"/>
              <w:sz w:val="24"/>
              <w:szCs w:val="24"/>
            </w:rPr>
            <w:instrText xml:space="preserve"> PAGEREF _Toc221090925 \h </w:instrText>
          </w:r>
          <w:r>
            <w:rPr>
              <w:rFonts w:ascii="Times New Roman" w:hAnsi="Times New Roman" w:cs="Times New Roman"/>
              <w:b w:val="0"/>
              <w:bCs w:val="0"/>
              <w:sz w:val="24"/>
              <w:szCs w:val="24"/>
            </w:rPr>
            <w:fldChar w:fldCharType="separate"/>
          </w:r>
          <w:r>
            <w:rPr>
              <w:rFonts w:ascii="Times New Roman" w:hAnsi="Times New Roman" w:cs="Times New Roman"/>
              <w:b w:val="0"/>
              <w:bCs w:val="0"/>
              <w:sz w:val="24"/>
              <w:szCs w:val="24"/>
            </w:rPr>
            <w:t>14</w:t>
          </w:r>
          <w:r>
            <w:rPr>
              <w:rFonts w:ascii="Times New Roman" w:hAnsi="Times New Roman" w:cs="Times New Roman"/>
              <w:b w:val="0"/>
              <w:bCs w:val="0"/>
              <w:sz w:val="24"/>
              <w:szCs w:val="24"/>
            </w:rPr>
            <w:fldChar w:fldCharType="end"/>
          </w:r>
          <w:r>
            <w:rPr>
              <w:rFonts w:ascii="Times New Roman" w:hAnsi="Times New Roman" w:cs="Times New Roman"/>
              <w:b w:val="0"/>
              <w:bCs w:val="0"/>
              <w:sz w:val="24"/>
              <w:szCs w:val="24"/>
            </w:rPr>
            <w:fldChar w:fldCharType="end"/>
          </w:r>
        </w:p>
        <w:p w14:paraId="1B7A4721">
          <w:pPr>
            <w:pStyle w:val="27"/>
            <w:tabs>
              <w:tab w:val="right" w:leader="dot" w:pos="8776"/>
            </w:tabs>
            <w:rPr>
              <w:rFonts w:ascii="Times New Roman" w:hAnsi="Times New Roman" w:cs="Times New Roman"/>
              <w:b w:val="0"/>
              <w:bCs w:val="0"/>
              <w:caps w:val="0"/>
              <w:sz w:val="24"/>
              <w:szCs w:val="24"/>
              <w14:ligatures w14:val="standardContextual"/>
            </w:rPr>
          </w:pPr>
          <w:r>
            <w:fldChar w:fldCharType="begin"/>
          </w:r>
          <w:r>
            <w:instrText xml:space="preserve"> HYPERLINK \l "_Toc221090926" </w:instrText>
          </w:r>
          <w:r>
            <w:fldChar w:fldCharType="separate"/>
          </w:r>
          <w:r>
            <w:rPr>
              <w:rStyle w:val="43"/>
              <w:rFonts w:ascii="Times New Roman" w:hAnsi="Times New Roman" w:cs="Times New Roman"/>
              <w:b w:val="0"/>
              <w:bCs w:val="0"/>
              <w:sz w:val="24"/>
              <w:szCs w:val="24"/>
            </w:rPr>
            <w:t>9 提供样机的数量及样机的使用方式</w:t>
          </w:r>
          <w:r>
            <w:rPr>
              <w:rFonts w:ascii="Times New Roman" w:hAnsi="Times New Roman" w:cs="Times New Roman"/>
              <w:b w:val="0"/>
              <w:bCs w:val="0"/>
              <w:sz w:val="24"/>
              <w:szCs w:val="24"/>
            </w:rPr>
            <w:tab/>
          </w:r>
          <w:r>
            <w:rPr>
              <w:rFonts w:ascii="Times New Roman" w:hAnsi="Times New Roman" w:cs="Times New Roman"/>
              <w:b w:val="0"/>
              <w:bCs w:val="0"/>
              <w:sz w:val="24"/>
              <w:szCs w:val="24"/>
            </w:rPr>
            <w:fldChar w:fldCharType="begin"/>
          </w:r>
          <w:r>
            <w:rPr>
              <w:rFonts w:ascii="Times New Roman" w:hAnsi="Times New Roman" w:cs="Times New Roman"/>
              <w:b w:val="0"/>
              <w:bCs w:val="0"/>
              <w:sz w:val="24"/>
              <w:szCs w:val="24"/>
            </w:rPr>
            <w:instrText xml:space="preserve"> PAGEREF _Toc221090926 \h </w:instrText>
          </w:r>
          <w:r>
            <w:rPr>
              <w:rFonts w:ascii="Times New Roman" w:hAnsi="Times New Roman" w:cs="Times New Roman"/>
              <w:b w:val="0"/>
              <w:bCs w:val="0"/>
              <w:sz w:val="24"/>
              <w:szCs w:val="24"/>
            </w:rPr>
            <w:fldChar w:fldCharType="separate"/>
          </w:r>
          <w:r>
            <w:rPr>
              <w:rFonts w:ascii="Times New Roman" w:hAnsi="Times New Roman" w:cs="Times New Roman"/>
              <w:b w:val="0"/>
              <w:bCs w:val="0"/>
              <w:sz w:val="24"/>
              <w:szCs w:val="24"/>
            </w:rPr>
            <w:t>15</w:t>
          </w:r>
          <w:r>
            <w:rPr>
              <w:rFonts w:ascii="Times New Roman" w:hAnsi="Times New Roman" w:cs="Times New Roman"/>
              <w:b w:val="0"/>
              <w:bCs w:val="0"/>
              <w:sz w:val="24"/>
              <w:szCs w:val="24"/>
            </w:rPr>
            <w:fldChar w:fldCharType="end"/>
          </w:r>
          <w:r>
            <w:rPr>
              <w:rFonts w:ascii="Times New Roman" w:hAnsi="Times New Roman" w:cs="Times New Roman"/>
              <w:b w:val="0"/>
              <w:bCs w:val="0"/>
              <w:sz w:val="24"/>
              <w:szCs w:val="24"/>
            </w:rPr>
            <w:fldChar w:fldCharType="end"/>
          </w:r>
        </w:p>
        <w:p w14:paraId="3D077B2B">
          <w:pPr>
            <w:pStyle w:val="27"/>
            <w:tabs>
              <w:tab w:val="right" w:leader="dot" w:pos="8776"/>
            </w:tabs>
            <w:rPr>
              <w:rFonts w:ascii="Times New Roman" w:hAnsi="Times New Roman" w:cs="Times New Roman"/>
              <w:b w:val="0"/>
              <w:bCs w:val="0"/>
              <w:caps w:val="0"/>
              <w:sz w:val="24"/>
              <w:szCs w:val="24"/>
              <w14:ligatures w14:val="standardContextual"/>
            </w:rPr>
          </w:pPr>
          <w:r>
            <w:fldChar w:fldCharType="begin"/>
          </w:r>
          <w:r>
            <w:instrText xml:space="preserve"> HYPERLINK \l "_Toc221090927" </w:instrText>
          </w:r>
          <w:r>
            <w:fldChar w:fldCharType="separate"/>
          </w:r>
          <w:r>
            <w:rPr>
              <w:rStyle w:val="43"/>
              <w:rFonts w:ascii="Times New Roman" w:hAnsi="Times New Roman" w:cs="Times New Roman"/>
              <w:b w:val="0"/>
              <w:bCs w:val="0"/>
              <w:iCs/>
              <w:sz w:val="24"/>
              <w:szCs w:val="24"/>
            </w:rPr>
            <w:t>9.1 流量计的特征识别</w:t>
          </w:r>
          <w:r>
            <w:rPr>
              <w:rFonts w:ascii="Times New Roman" w:hAnsi="Times New Roman" w:cs="Times New Roman"/>
              <w:b w:val="0"/>
              <w:bCs w:val="0"/>
              <w:sz w:val="24"/>
              <w:szCs w:val="24"/>
            </w:rPr>
            <w:tab/>
          </w:r>
          <w:r>
            <w:rPr>
              <w:rFonts w:ascii="Times New Roman" w:hAnsi="Times New Roman" w:cs="Times New Roman"/>
              <w:b w:val="0"/>
              <w:bCs w:val="0"/>
              <w:sz w:val="24"/>
              <w:szCs w:val="24"/>
            </w:rPr>
            <w:fldChar w:fldCharType="begin"/>
          </w:r>
          <w:r>
            <w:rPr>
              <w:rFonts w:ascii="Times New Roman" w:hAnsi="Times New Roman" w:cs="Times New Roman"/>
              <w:b w:val="0"/>
              <w:bCs w:val="0"/>
              <w:sz w:val="24"/>
              <w:szCs w:val="24"/>
            </w:rPr>
            <w:instrText xml:space="preserve"> PAGEREF _Toc221090927 \h </w:instrText>
          </w:r>
          <w:r>
            <w:rPr>
              <w:rFonts w:ascii="Times New Roman" w:hAnsi="Times New Roman" w:cs="Times New Roman"/>
              <w:b w:val="0"/>
              <w:bCs w:val="0"/>
              <w:sz w:val="24"/>
              <w:szCs w:val="24"/>
            </w:rPr>
            <w:fldChar w:fldCharType="separate"/>
          </w:r>
          <w:r>
            <w:rPr>
              <w:rFonts w:ascii="Times New Roman" w:hAnsi="Times New Roman" w:cs="Times New Roman"/>
              <w:b w:val="0"/>
              <w:bCs w:val="0"/>
              <w:sz w:val="24"/>
              <w:szCs w:val="24"/>
            </w:rPr>
            <w:t>15</w:t>
          </w:r>
          <w:r>
            <w:rPr>
              <w:rFonts w:ascii="Times New Roman" w:hAnsi="Times New Roman" w:cs="Times New Roman"/>
              <w:b w:val="0"/>
              <w:bCs w:val="0"/>
              <w:sz w:val="24"/>
              <w:szCs w:val="24"/>
            </w:rPr>
            <w:fldChar w:fldCharType="end"/>
          </w:r>
          <w:r>
            <w:rPr>
              <w:rFonts w:ascii="Times New Roman" w:hAnsi="Times New Roman" w:cs="Times New Roman"/>
              <w:b w:val="0"/>
              <w:bCs w:val="0"/>
              <w:sz w:val="24"/>
              <w:szCs w:val="24"/>
            </w:rPr>
            <w:fldChar w:fldCharType="end"/>
          </w:r>
        </w:p>
        <w:p w14:paraId="630D086F">
          <w:pPr>
            <w:pStyle w:val="27"/>
            <w:tabs>
              <w:tab w:val="right" w:leader="dot" w:pos="8776"/>
            </w:tabs>
            <w:rPr>
              <w:rFonts w:ascii="Times New Roman" w:hAnsi="Times New Roman" w:cs="Times New Roman"/>
              <w:b w:val="0"/>
              <w:bCs w:val="0"/>
              <w:caps w:val="0"/>
              <w:sz w:val="24"/>
              <w:szCs w:val="24"/>
              <w14:ligatures w14:val="standardContextual"/>
            </w:rPr>
          </w:pPr>
          <w:r>
            <w:fldChar w:fldCharType="begin"/>
          </w:r>
          <w:r>
            <w:instrText xml:space="preserve"> HYPERLINK \l "_Toc221090928" </w:instrText>
          </w:r>
          <w:r>
            <w:fldChar w:fldCharType="separate"/>
          </w:r>
          <w:r>
            <w:rPr>
              <w:rStyle w:val="43"/>
              <w:rFonts w:ascii="Times New Roman" w:hAnsi="Times New Roman" w:cs="Times New Roman"/>
              <w:b w:val="0"/>
              <w:bCs w:val="0"/>
              <w:iCs/>
              <w:sz w:val="24"/>
              <w:szCs w:val="24"/>
            </w:rPr>
            <w:t>9.2 提供样机的数量</w:t>
          </w:r>
          <w:r>
            <w:rPr>
              <w:rFonts w:ascii="Times New Roman" w:hAnsi="Times New Roman" w:cs="Times New Roman"/>
              <w:b w:val="0"/>
              <w:bCs w:val="0"/>
              <w:sz w:val="24"/>
              <w:szCs w:val="24"/>
            </w:rPr>
            <w:tab/>
          </w:r>
          <w:r>
            <w:rPr>
              <w:rFonts w:ascii="Times New Roman" w:hAnsi="Times New Roman" w:cs="Times New Roman"/>
              <w:b w:val="0"/>
              <w:bCs w:val="0"/>
              <w:sz w:val="24"/>
              <w:szCs w:val="24"/>
            </w:rPr>
            <w:fldChar w:fldCharType="begin"/>
          </w:r>
          <w:r>
            <w:rPr>
              <w:rFonts w:ascii="Times New Roman" w:hAnsi="Times New Roman" w:cs="Times New Roman"/>
              <w:b w:val="0"/>
              <w:bCs w:val="0"/>
              <w:sz w:val="24"/>
              <w:szCs w:val="24"/>
            </w:rPr>
            <w:instrText xml:space="preserve"> PAGEREF _Toc221090928 \h </w:instrText>
          </w:r>
          <w:r>
            <w:rPr>
              <w:rFonts w:ascii="Times New Roman" w:hAnsi="Times New Roman" w:cs="Times New Roman"/>
              <w:b w:val="0"/>
              <w:bCs w:val="0"/>
              <w:sz w:val="24"/>
              <w:szCs w:val="24"/>
            </w:rPr>
            <w:fldChar w:fldCharType="separate"/>
          </w:r>
          <w:r>
            <w:rPr>
              <w:rFonts w:ascii="Times New Roman" w:hAnsi="Times New Roman" w:cs="Times New Roman"/>
              <w:b w:val="0"/>
              <w:bCs w:val="0"/>
              <w:sz w:val="24"/>
              <w:szCs w:val="24"/>
            </w:rPr>
            <w:t>16</w:t>
          </w:r>
          <w:r>
            <w:rPr>
              <w:rFonts w:ascii="Times New Roman" w:hAnsi="Times New Roman" w:cs="Times New Roman"/>
              <w:b w:val="0"/>
              <w:bCs w:val="0"/>
              <w:sz w:val="24"/>
              <w:szCs w:val="24"/>
            </w:rPr>
            <w:fldChar w:fldCharType="end"/>
          </w:r>
          <w:r>
            <w:rPr>
              <w:rFonts w:ascii="Times New Roman" w:hAnsi="Times New Roman" w:cs="Times New Roman"/>
              <w:b w:val="0"/>
              <w:bCs w:val="0"/>
              <w:sz w:val="24"/>
              <w:szCs w:val="24"/>
            </w:rPr>
            <w:fldChar w:fldCharType="end"/>
          </w:r>
        </w:p>
        <w:p w14:paraId="06096A63">
          <w:pPr>
            <w:pStyle w:val="27"/>
            <w:tabs>
              <w:tab w:val="right" w:leader="dot" w:pos="8776"/>
            </w:tabs>
            <w:rPr>
              <w:rFonts w:ascii="Times New Roman" w:hAnsi="Times New Roman" w:cs="Times New Roman"/>
              <w:b w:val="0"/>
              <w:bCs w:val="0"/>
              <w:caps w:val="0"/>
              <w:sz w:val="24"/>
              <w:szCs w:val="24"/>
              <w14:ligatures w14:val="standardContextual"/>
            </w:rPr>
          </w:pPr>
          <w:r>
            <w:fldChar w:fldCharType="begin"/>
          </w:r>
          <w:r>
            <w:instrText xml:space="preserve"> HYPERLINK \l "_Toc221090929" </w:instrText>
          </w:r>
          <w:r>
            <w:fldChar w:fldCharType="separate"/>
          </w:r>
          <w:r>
            <w:rPr>
              <w:rStyle w:val="43"/>
              <w:rFonts w:ascii="Times New Roman" w:hAnsi="Times New Roman" w:cs="Times New Roman"/>
              <w:b w:val="0"/>
              <w:bCs w:val="0"/>
              <w:iCs/>
              <w:sz w:val="24"/>
              <w:szCs w:val="24"/>
            </w:rPr>
            <w:t>9.3 样机的使用方式</w:t>
          </w:r>
          <w:r>
            <w:rPr>
              <w:rFonts w:ascii="Times New Roman" w:hAnsi="Times New Roman" w:cs="Times New Roman"/>
              <w:b w:val="0"/>
              <w:bCs w:val="0"/>
              <w:sz w:val="24"/>
              <w:szCs w:val="24"/>
            </w:rPr>
            <w:tab/>
          </w:r>
          <w:r>
            <w:rPr>
              <w:rFonts w:ascii="Times New Roman" w:hAnsi="Times New Roman" w:cs="Times New Roman"/>
              <w:b w:val="0"/>
              <w:bCs w:val="0"/>
              <w:sz w:val="24"/>
              <w:szCs w:val="24"/>
            </w:rPr>
            <w:fldChar w:fldCharType="begin"/>
          </w:r>
          <w:r>
            <w:rPr>
              <w:rFonts w:ascii="Times New Roman" w:hAnsi="Times New Roman" w:cs="Times New Roman"/>
              <w:b w:val="0"/>
              <w:bCs w:val="0"/>
              <w:sz w:val="24"/>
              <w:szCs w:val="24"/>
            </w:rPr>
            <w:instrText xml:space="preserve"> PAGEREF _Toc221090929 \h </w:instrText>
          </w:r>
          <w:r>
            <w:rPr>
              <w:rFonts w:ascii="Times New Roman" w:hAnsi="Times New Roman" w:cs="Times New Roman"/>
              <w:b w:val="0"/>
              <w:bCs w:val="0"/>
              <w:sz w:val="24"/>
              <w:szCs w:val="24"/>
            </w:rPr>
            <w:fldChar w:fldCharType="separate"/>
          </w:r>
          <w:r>
            <w:rPr>
              <w:rFonts w:ascii="Times New Roman" w:hAnsi="Times New Roman" w:cs="Times New Roman"/>
              <w:b w:val="0"/>
              <w:bCs w:val="0"/>
              <w:sz w:val="24"/>
              <w:szCs w:val="24"/>
            </w:rPr>
            <w:t>17</w:t>
          </w:r>
          <w:r>
            <w:rPr>
              <w:rFonts w:ascii="Times New Roman" w:hAnsi="Times New Roman" w:cs="Times New Roman"/>
              <w:b w:val="0"/>
              <w:bCs w:val="0"/>
              <w:sz w:val="24"/>
              <w:szCs w:val="24"/>
            </w:rPr>
            <w:fldChar w:fldCharType="end"/>
          </w:r>
          <w:r>
            <w:rPr>
              <w:rFonts w:ascii="Times New Roman" w:hAnsi="Times New Roman" w:cs="Times New Roman"/>
              <w:b w:val="0"/>
              <w:bCs w:val="0"/>
              <w:sz w:val="24"/>
              <w:szCs w:val="24"/>
            </w:rPr>
            <w:fldChar w:fldCharType="end"/>
          </w:r>
        </w:p>
        <w:p w14:paraId="32430632">
          <w:pPr>
            <w:pStyle w:val="27"/>
            <w:tabs>
              <w:tab w:val="right" w:leader="dot" w:pos="8776"/>
            </w:tabs>
            <w:rPr>
              <w:rFonts w:ascii="Times New Roman" w:hAnsi="Times New Roman" w:cs="Times New Roman"/>
              <w:b w:val="0"/>
              <w:bCs w:val="0"/>
              <w:caps w:val="0"/>
              <w:sz w:val="24"/>
              <w:szCs w:val="24"/>
              <w14:ligatures w14:val="standardContextual"/>
            </w:rPr>
          </w:pPr>
          <w:r>
            <w:fldChar w:fldCharType="begin"/>
          </w:r>
          <w:r>
            <w:instrText xml:space="preserve"> HYPERLINK \l "_Toc221090930" </w:instrText>
          </w:r>
          <w:r>
            <w:fldChar w:fldCharType="separate"/>
          </w:r>
          <w:r>
            <w:rPr>
              <w:rStyle w:val="43"/>
              <w:rFonts w:ascii="Times New Roman" w:hAnsi="Times New Roman" w:cs="Times New Roman"/>
              <w:b w:val="0"/>
              <w:bCs w:val="0"/>
              <w:sz w:val="24"/>
              <w:szCs w:val="24"/>
            </w:rPr>
            <w:t>10 试验项目的试验方法和条件以及数据处理和合格判据</w:t>
          </w:r>
          <w:r>
            <w:rPr>
              <w:rFonts w:ascii="Times New Roman" w:hAnsi="Times New Roman" w:cs="Times New Roman"/>
              <w:b w:val="0"/>
              <w:bCs w:val="0"/>
              <w:sz w:val="24"/>
              <w:szCs w:val="24"/>
            </w:rPr>
            <w:tab/>
          </w:r>
          <w:r>
            <w:rPr>
              <w:rFonts w:ascii="Times New Roman" w:hAnsi="Times New Roman" w:cs="Times New Roman"/>
              <w:b w:val="0"/>
              <w:bCs w:val="0"/>
              <w:sz w:val="24"/>
              <w:szCs w:val="24"/>
            </w:rPr>
            <w:fldChar w:fldCharType="begin"/>
          </w:r>
          <w:r>
            <w:rPr>
              <w:rFonts w:ascii="Times New Roman" w:hAnsi="Times New Roman" w:cs="Times New Roman"/>
              <w:b w:val="0"/>
              <w:bCs w:val="0"/>
              <w:sz w:val="24"/>
              <w:szCs w:val="24"/>
            </w:rPr>
            <w:instrText xml:space="preserve"> PAGEREF _Toc221090930 \h </w:instrText>
          </w:r>
          <w:r>
            <w:rPr>
              <w:rFonts w:ascii="Times New Roman" w:hAnsi="Times New Roman" w:cs="Times New Roman"/>
              <w:b w:val="0"/>
              <w:bCs w:val="0"/>
              <w:sz w:val="24"/>
              <w:szCs w:val="24"/>
            </w:rPr>
            <w:fldChar w:fldCharType="separate"/>
          </w:r>
          <w:r>
            <w:rPr>
              <w:rFonts w:ascii="Times New Roman" w:hAnsi="Times New Roman" w:cs="Times New Roman"/>
              <w:b w:val="0"/>
              <w:bCs w:val="0"/>
              <w:sz w:val="24"/>
              <w:szCs w:val="24"/>
            </w:rPr>
            <w:t>17</w:t>
          </w:r>
          <w:r>
            <w:rPr>
              <w:rFonts w:ascii="Times New Roman" w:hAnsi="Times New Roman" w:cs="Times New Roman"/>
              <w:b w:val="0"/>
              <w:bCs w:val="0"/>
              <w:sz w:val="24"/>
              <w:szCs w:val="24"/>
            </w:rPr>
            <w:fldChar w:fldCharType="end"/>
          </w:r>
          <w:r>
            <w:rPr>
              <w:rFonts w:ascii="Times New Roman" w:hAnsi="Times New Roman" w:cs="Times New Roman"/>
              <w:b w:val="0"/>
              <w:bCs w:val="0"/>
              <w:sz w:val="24"/>
              <w:szCs w:val="24"/>
            </w:rPr>
            <w:fldChar w:fldCharType="end"/>
          </w:r>
        </w:p>
        <w:p w14:paraId="505188C6">
          <w:pPr>
            <w:pStyle w:val="27"/>
            <w:tabs>
              <w:tab w:val="right" w:leader="dot" w:pos="8776"/>
            </w:tabs>
            <w:rPr>
              <w:rFonts w:ascii="Times New Roman" w:hAnsi="Times New Roman" w:cs="Times New Roman"/>
              <w:b w:val="0"/>
              <w:bCs w:val="0"/>
              <w:caps w:val="0"/>
              <w:sz w:val="24"/>
              <w:szCs w:val="24"/>
              <w14:ligatures w14:val="standardContextual"/>
            </w:rPr>
          </w:pPr>
          <w:r>
            <w:fldChar w:fldCharType="begin"/>
          </w:r>
          <w:r>
            <w:instrText xml:space="preserve"> HYPERLINK \l "_Toc221090931" </w:instrText>
          </w:r>
          <w:r>
            <w:fldChar w:fldCharType="separate"/>
          </w:r>
          <w:r>
            <w:rPr>
              <w:rStyle w:val="43"/>
              <w:rFonts w:ascii="Times New Roman" w:hAnsi="Times New Roman" w:cs="Times New Roman"/>
              <w:b w:val="0"/>
              <w:bCs w:val="0"/>
              <w:iCs/>
              <w:sz w:val="24"/>
              <w:szCs w:val="24"/>
            </w:rPr>
            <w:t>10.1 试验项目的条件</w:t>
          </w:r>
          <w:r>
            <w:rPr>
              <w:rFonts w:ascii="Times New Roman" w:hAnsi="Times New Roman" w:cs="Times New Roman"/>
              <w:b w:val="0"/>
              <w:bCs w:val="0"/>
              <w:sz w:val="24"/>
              <w:szCs w:val="24"/>
            </w:rPr>
            <w:tab/>
          </w:r>
          <w:r>
            <w:rPr>
              <w:rFonts w:ascii="Times New Roman" w:hAnsi="Times New Roman" w:cs="Times New Roman"/>
              <w:b w:val="0"/>
              <w:bCs w:val="0"/>
              <w:sz w:val="24"/>
              <w:szCs w:val="24"/>
            </w:rPr>
            <w:fldChar w:fldCharType="begin"/>
          </w:r>
          <w:r>
            <w:rPr>
              <w:rFonts w:ascii="Times New Roman" w:hAnsi="Times New Roman" w:cs="Times New Roman"/>
              <w:b w:val="0"/>
              <w:bCs w:val="0"/>
              <w:sz w:val="24"/>
              <w:szCs w:val="24"/>
            </w:rPr>
            <w:instrText xml:space="preserve"> PAGEREF _Toc221090931 \h </w:instrText>
          </w:r>
          <w:r>
            <w:rPr>
              <w:rFonts w:ascii="Times New Roman" w:hAnsi="Times New Roman" w:cs="Times New Roman"/>
              <w:b w:val="0"/>
              <w:bCs w:val="0"/>
              <w:sz w:val="24"/>
              <w:szCs w:val="24"/>
            </w:rPr>
            <w:fldChar w:fldCharType="separate"/>
          </w:r>
          <w:r>
            <w:rPr>
              <w:rFonts w:ascii="Times New Roman" w:hAnsi="Times New Roman" w:cs="Times New Roman"/>
              <w:b w:val="0"/>
              <w:bCs w:val="0"/>
              <w:sz w:val="24"/>
              <w:szCs w:val="24"/>
            </w:rPr>
            <w:t>17</w:t>
          </w:r>
          <w:r>
            <w:rPr>
              <w:rFonts w:ascii="Times New Roman" w:hAnsi="Times New Roman" w:cs="Times New Roman"/>
              <w:b w:val="0"/>
              <w:bCs w:val="0"/>
              <w:sz w:val="24"/>
              <w:szCs w:val="24"/>
            </w:rPr>
            <w:fldChar w:fldCharType="end"/>
          </w:r>
          <w:r>
            <w:rPr>
              <w:rFonts w:ascii="Times New Roman" w:hAnsi="Times New Roman" w:cs="Times New Roman"/>
              <w:b w:val="0"/>
              <w:bCs w:val="0"/>
              <w:sz w:val="24"/>
              <w:szCs w:val="24"/>
            </w:rPr>
            <w:fldChar w:fldCharType="end"/>
          </w:r>
        </w:p>
        <w:p w14:paraId="62F90140">
          <w:pPr>
            <w:pStyle w:val="27"/>
            <w:tabs>
              <w:tab w:val="right" w:leader="dot" w:pos="8776"/>
            </w:tabs>
            <w:rPr>
              <w:rFonts w:ascii="Times New Roman" w:hAnsi="Times New Roman" w:cs="Times New Roman"/>
              <w:b w:val="0"/>
              <w:bCs w:val="0"/>
              <w:caps w:val="0"/>
              <w:sz w:val="24"/>
              <w:szCs w:val="24"/>
              <w14:ligatures w14:val="standardContextual"/>
            </w:rPr>
          </w:pPr>
          <w:r>
            <w:fldChar w:fldCharType="begin"/>
          </w:r>
          <w:r>
            <w:instrText xml:space="preserve"> HYPERLINK \l "_Toc221090932" </w:instrText>
          </w:r>
          <w:r>
            <w:fldChar w:fldCharType="separate"/>
          </w:r>
          <w:r>
            <w:rPr>
              <w:rStyle w:val="43"/>
              <w:rFonts w:ascii="Times New Roman" w:hAnsi="Times New Roman" w:cs="Times New Roman"/>
              <w:b w:val="0"/>
              <w:bCs w:val="0"/>
              <w:iCs/>
              <w:sz w:val="24"/>
              <w:szCs w:val="24"/>
            </w:rPr>
            <w:t>10.2 计量性能</w:t>
          </w:r>
          <w:r>
            <w:rPr>
              <w:rFonts w:ascii="Times New Roman" w:hAnsi="Times New Roman" w:cs="Times New Roman"/>
              <w:b w:val="0"/>
              <w:bCs w:val="0"/>
              <w:sz w:val="24"/>
              <w:szCs w:val="24"/>
            </w:rPr>
            <w:tab/>
          </w:r>
          <w:r>
            <w:rPr>
              <w:rFonts w:ascii="Times New Roman" w:hAnsi="Times New Roman" w:cs="Times New Roman"/>
              <w:b w:val="0"/>
              <w:bCs w:val="0"/>
              <w:sz w:val="24"/>
              <w:szCs w:val="24"/>
            </w:rPr>
            <w:fldChar w:fldCharType="begin"/>
          </w:r>
          <w:r>
            <w:rPr>
              <w:rFonts w:ascii="Times New Roman" w:hAnsi="Times New Roman" w:cs="Times New Roman"/>
              <w:b w:val="0"/>
              <w:bCs w:val="0"/>
              <w:sz w:val="24"/>
              <w:szCs w:val="24"/>
            </w:rPr>
            <w:instrText xml:space="preserve"> PAGEREF _Toc221090932 \h </w:instrText>
          </w:r>
          <w:r>
            <w:rPr>
              <w:rFonts w:ascii="Times New Roman" w:hAnsi="Times New Roman" w:cs="Times New Roman"/>
              <w:b w:val="0"/>
              <w:bCs w:val="0"/>
              <w:sz w:val="24"/>
              <w:szCs w:val="24"/>
            </w:rPr>
            <w:fldChar w:fldCharType="separate"/>
          </w:r>
          <w:r>
            <w:rPr>
              <w:rFonts w:ascii="Times New Roman" w:hAnsi="Times New Roman" w:cs="Times New Roman"/>
              <w:b w:val="0"/>
              <w:bCs w:val="0"/>
              <w:sz w:val="24"/>
              <w:szCs w:val="24"/>
            </w:rPr>
            <w:t>18</w:t>
          </w:r>
          <w:r>
            <w:rPr>
              <w:rFonts w:ascii="Times New Roman" w:hAnsi="Times New Roman" w:cs="Times New Roman"/>
              <w:b w:val="0"/>
              <w:bCs w:val="0"/>
              <w:sz w:val="24"/>
              <w:szCs w:val="24"/>
            </w:rPr>
            <w:fldChar w:fldCharType="end"/>
          </w:r>
          <w:r>
            <w:rPr>
              <w:rFonts w:ascii="Times New Roman" w:hAnsi="Times New Roman" w:cs="Times New Roman"/>
              <w:b w:val="0"/>
              <w:bCs w:val="0"/>
              <w:sz w:val="24"/>
              <w:szCs w:val="24"/>
            </w:rPr>
            <w:fldChar w:fldCharType="end"/>
          </w:r>
        </w:p>
        <w:p w14:paraId="05B1CE9E">
          <w:pPr>
            <w:pStyle w:val="27"/>
            <w:tabs>
              <w:tab w:val="right" w:leader="dot" w:pos="8776"/>
            </w:tabs>
            <w:rPr>
              <w:rFonts w:ascii="Times New Roman" w:hAnsi="Times New Roman" w:cs="Times New Roman"/>
              <w:b w:val="0"/>
              <w:bCs w:val="0"/>
              <w:caps w:val="0"/>
              <w:sz w:val="24"/>
              <w:szCs w:val="24"/>
              <w14:ligatures w14:val="standardContextual"/>
            </w:rPr>
          </w:pPr>
          <w:r>
            <w:fldChar w:fldCharType="begin"/>
          </w:r>
          <w:r>
            <w:instrText xml:space="preserve"> HYPERLINK \l "_Toc221090933" </w:instrText>
          </w:r>
          <w:r>
            <w:fldChar w:fldCharType="separate"/>
          </w:r>
          <w:r>
            <w:rPr>
              <w:rStyle w:val="43"/>
              <w:rFonts w:ascii="Times New Roman" w:hAnsi="Times New Roman" w:cs="Times New Roman"/>
              <w:b w:val="0"/>
              <w:bCs w:val="0"/>
              <w:iCs/>
              <w:sz w:val="24"/>
              <w:szCs w:val="24"/>
            </w:rPr>
            <w:t>10.3 密封性试验</w:t>
          </w:r>
          <w:r>
            <w:rPr>
              <w:rFonts w:ascii="Times New Roman" w:hAnsi="Times New Roman" w:cs="Times New Roman"/>
              <w:b w:val="0"/>
              <w:bCs w:val="0"/>
              <w:sz w:val="24"/>
              <w:szCs w:val="24"/>
            </w:rPr>
            <w:tab/>
          </w:r>
          <w:r>
            <w:rPr>
              <w:rFonts w:ascii="Times New Roman" w:hAnsi="Times New Roman" w:cs="Times New Roman"/>
              <w:b w:val="0"/>
              <w:bCs w:val="0"/>
              <w:sz w:val="24"/>
              <w:szCs w:val="24"/>
            </w:rPr>
            <w:fldChar w:fldCharType="begin"/>
          </w:r>
          <w:r>
            <w:rPr>
              <w:rFonts w:ascii="Times New Roman" w:hAnsi="Times New Roman" w:cs="Times New Roman"/>
              <w:b w:val="0"/>
              <w:bCs w:val="0"/>
              <w:sz w:val="24"/>
              <w:szCs w:val="24"/>
            </w:rPr>
            <w:instrText xml:space="preserve"> PAGEREF _Toc221090933 \h </w:instrText>
          </w:r>
          <w:r>
            <w:rPr>
              <w:rFonts w:ascii="Times New Roman" w:hAnsi="Times New Roman" w:cs="Times New Roman"/>
              <w:b w:val="0"/>
              <w:bCs w:val="0"/>
              <w:sz w:val="24"/>
              <w:szCs w:val="24"/>
            </w:rPr>
            <w:fldChar w:fldCharType="separate"/>
          </w:r>
          <w:r>
            <w:rPr>
              <w:rFonts w:ascii="Times New Roman" w:hAnsi="Times New Roman" w:cs="Times New Roman"/>
              <w:b w:val="0"/>
              <w:bCs w:val="0"/>
              <w:sz w:val="24"/>
              <w:szCs w:val="24"/>
            </w:rPr>
            <w:t>23</w:t>
          </w:r>
          <w:r>
            <w:rPr>
              <w:rFonts w:ascii="Times New Roman" w:hAnsi="Times New Roman" w:cs="Times New Roman"/>
              <w:b w:val="0"/>
              <w:bCs w:val="0"/>
              <w:sz w:val="24"/>
              <w:szCs w:val="24"/>
            </w:rPr>
            <w:fldChar w:fldCharType="end"/>
          </w:r>
          <w:r>
            <w:rPr>
              <w:rFonts w:ascii="Times New Roman" w:hAnsi="Times New Roman" w:cs="Times New Roman"/>
              <w:b w:val="0"/>
              <w:bCs w:val="0"/>
              <w:sz w:val="24"/>
              <w:szCs w:val="24"/>
            </w:rPr>
            <w:fldChar w:fldCharType="end"/>
          </w:r>
        </w:p>
        <w:p w14:paraId="11503920">
          <w:pPr>
            <w:pStyle w:val="27"/>
            <w:tabs>
              <w:tab w:val="right" w:leader="dot" w:pos="8776"/>
            </w:tabs>
            <w:rPr>
              <w:rFonts w:ascii="Times New Roman" w:hAnsi="Times New Roman" w:cs="Times New Roman"/>
              <w:b w:val="0"/>
              <w:bCs w:val="0"/>
              <w:caps w:val="0"/>
              <w:sz w:val="24"/>
              <w:szCs w:val="24"/>
              <w14:ligatures w14:val="standardContextual"/>
            </w:rPr>
          </w:pPr>
          <w:r>
            <w:fldChar w:fldCharType="begin"/>
          </w:r>
          <w:r>
            <w:instrText xml:space="preserve"> HYPERLINK \l "_Toc221090934" </w:instrText>
          </w:r>
          <w:r>
            <w:fldChar w:fldCharType="separate"/>
          </w:r>
          <w:r>
            <w:rPr>
              <w:rStyle w:val="43"/>
              <w:rFonts w:ascii="Times New Roman" w:hAnsi="Times New Roman" w:cs="Times New Roman"/>
              <w:b w:val="0"/>
              <w:bCs w:val="0"/>
              <w:iCs/>
              <w:sz w:val="24"/>
              <w:szCs w:val="24"/>
            </w:rPr>
            <w:t>10.4 耐压强度</w:t>
          </w:r>
          <w:r>
            <w:rPr>
              <w:rFonts w:ascii="Times New Roman" w:hAnsi="Times New Roman" w:cs="Times New Roman"/>
              <w:b w:val="0"/>
              <w:bCs w:val="0"/>
              <w:sz w:val="24"/>
              <w:szCs w:val="24"/>
            </w:rPr>
            <w:tab/>
          </w:r>
          <w:r>
            <w:rPr>
              <w:rFonts w:ascii="Times New Roman" w:hAnsi="Times New Roman" w:cs="Times New Roman"/>
              <w:b w:val="0"/>
              <w:bCs w:val="0"/>
              <w:sz w:val="24"/>
              <w:szCs w:val="24"/>
            </w:rPr>
            <w:fldChar w:fldCharType="begin"/>
          </w:r>
          <w:r>
            <w:rPr>
              <w:rFonts w:ascii="Times New Roman" w:hAnsi="Times New Roman" w:cs="Times New Roman"/>
              <w:b w:val="0"/>
              <w:bCs w:val="0"/>
              <w:sz w:val="24"/>
              <w:szCs w:val="24"/>
            </w:rPr>
            <w:instrText xml:space="preserve"> PAGEREF _Toc221090934 \h </w:instrText>
          </w:r>
          <w:r>
            <w:rPr>
              <w:rFonts w:ascii="Times New Roman" w:hAnsi="Times New Roman" w:cs="Times New Roman"/>
              <w:b w:val="0"/>
              <w:bCs w:val="0"/>
              <w:sz w:val="24"/>
              <w:szCs w:val="24"/>
            </w:rPr>
            <w:fldChar w:fldCharType="separate"/>
          </w:r>
          <w:r>
            <w:rPr>
              <w:rFonts w:ascii="Times New Roman" w:hAnsi="Times New Roman" w:cs="Times New Roman"/>
              <w:b w:val="0"/>
              <w:bCs w:val="0"/>
              <w:sz w:val="24"/>
              <w:szCs w:val="24"/>
            </w:rPr>
            <w:t>23</w:t>
          </w:r>
          <w:r>
            <w:rPr>
              <w:rFonts w:ascii="Times New Roman" w:hAnsi="Times New Roman" w:cs="Times New Roman"/>
              <w:b w:val="0"/>
              <w:bCs w:val="0"/>
              <w:sz w:val="24"/>
              <w:szCs w:val="24"/>
            </w:rPr>
            <w:fldChar w:fldCharType="end"/>
          </w:r>
          <w:r>
            <w:rPr>
              <w:rFonts w:ascii="Times New Roman" w:hAnsi="Times New Roman" w:cs="Times New Roman"/>
              <w:b w:val="0"/>
              <w:bCs w:val="0"/>
              <w:sz w:val="24"/>
              <w:szCs w:val="24"/>
            </w:rPr>
            <w:fldChar w:fldCharType="end"/>
          </w:r>
        </w:p>
        <w:p w14:paraId="4DAC3D2B">
          <w:pPr>
            <w:pStyle w:val="27"/>
            <w:tabs>
              <w:tab w:val="right" w:leader="dot" w:pos="8776"/>
            </w:tabs>
            <w:rPr>
              <w:rFonts w:ascii="Times New Roman" w:hAnsi="Times New Roman" w:cs="Times New Roman"/>
              <w:b w:val="0"/>
              <w:bCs w:val="0"/>
              <w:caps w:val="0"/>
              <w:sz w:val="24"/>
              <w:szCs w:val="24"/>
              <w14:ligatures w14:val="standardContextual"/>
            </w:rPr>
          </w:pPr>
          <w:r>
            <w:fldChar w:fldCharType="begin"/>
          </w:r>
          <w:r>
            <w:instrText xml:space="preserve"> HYPERLINK \l "_Toc221090935" </w:instrText>
          </w:r>
          <w:r>
            <w:fldChar w:fldCharType="separate"/>
          </w:r>
          <w:r>
            <w:rPr>
              <w:rStyle w:val="43"/>
              <w:rFonts w:ascii="Times New Roman" w:hAnsi="Times New Roman" w:cs="Times New Roman"/>
              <w:b w:val="0"/>
              <w:bCs w:val="0"/>
              <w:iCs/>
              <w:sz w:val="24"/>
              <w:szCs w:val="24"/>
            </w:rPr>
            <w:t>10.5 欠压和断电保护功能</w:t>
          </w:r>
          <w:r>
            <w:rPr>
              <w:rFonts w:ascii="Times New Roman" w:hAnsi="Times New Roman" w:cs="Times New Roman"/>
              <w:b w:val="0"/>
              <w:bCs w:val="0"/>
              <w:sz w:val="24"/>
              <w:szCs w:val="24"/>
            </w:rPr>
            <w:tab/>
          </w:r>
          <w:r>
            <w:rPr>
              <w:rFonts w:ascii="Times New Roman" w:hAnsi="Times New Roman" w:cs="Times New Roman"/>
              <w:b w:val="0"/>
              <w:bCs w:val="0"/>
              <w:sz w:val="24"/>
              <w:szCs w:val="24"/>
            </w:rPr>
            <w:fldChar w:fldCharType="begin"/>
          </w:r>
          <w:r>
            <w:rPr>
              <w:rFonts w:ascii="Times New Roman" w:hAnsi="Times New Roman" w:cs="Times New Roman"/>
              <w:b w:val="0"/>
              <w:bCs w:val="0"/>
              <w:sz w:val="24"/>
              <w:szCs w:val="24"/>
            </w:rPr>
            <w:instrText xml:space="preserve"> PAGEREF _Toc221090935 \h </w:instrText>
          </w:r>
          <w:r>
            <w:rPr>
              <w:rFonts w:ascii="Times New Roman" w:hAnsi="Times New Roman" w:cs="Times New Roman"/>
              <w:b w:val="0"/>
              <w:bCs w:val="0"/>
              <w:sz w:val="24"/>
              <w:szCs w:val="24"/>
            </w:rPr>
            <w:fldChar w:fldCharType="separate"/>
          </w:r>
          <w:r>
            <w:rPr>
              <w:rFonts w:ascii="Times New Roman" w:hAnsi="Times New Roman" w:cs="Times New Roman"/>
              <w:b w:val="0"/>
              <w:bCs w:val="0"/>
              <w:sz w:val="24"/>
              <w:szCs w:val="24"/>
            </w:rPr>
            <w:t>24</w:t>
          </w:r>
          <w:r>
            <w:rPr>
              <w:rFonts w:ascii="Times New Roman" w:hAnsi="Times New Roman" w:cs="Times New Roman"/>
              <w:b w:val="0"/>
              <w:bCs w:val="0"/>
              <w:sz w:val="24"/>
              <w:szCs w:val="24"/>
            </w:rPr>
            <w:fldChar w:fldCharType="end"/>
          </w:r>
          <w:r>
            <w:rPr>
              <w:rFonts w:ascii="Times New Roman" w:hAnsi="Times New Roman" w:cs="Times New Roman"/>
              <w:b w:val="0"/>
              <w:bCs w:val="0"/>
              <w:sz w:val="24"/>
              <w:szCs w:val="24"/>
            </w:rPr>
            <w:fldChar w:fldCharType="end"/>
          </w:r>
        </w:p>
        <w:p w14:paraId="63B36B78">
          <w:pPr>
            <w:pStyle w:val="27"/>
            <w:tabs>
              <w:tab w:val="right" w:leader="dot" w:pos="8776"/>
            </w:tabs>
            <w:rPr>
              <w:rFonts w:ascii="Times New Roman" w:hAnsi="Times New Roman" w:cs="Times New Roman"/>
              <w:b w:val="0"/>
              <w:bCs w:val="0"/>
              <w:caps w:val="0"/>
              <w:sz w:val="24"/>
              <w:szCs w:val="24"/>
              <w14:ligatures w14:val="standardContextual"/>
            </w:rPr>
          </w:pPr>
          <w:r>
            <w:fldChar w:fldCharType="begin"/>
          </w:r>
          <w:r>
            <w:instrText xml:space="preserve"> HYPERLINK \l "_Toc221090936" </w:instrText>
          </w:r>
          <w:r>
            <w:fldChar w:fldCharType="separate"/>
          </w:r>
          <w:r>
            <w:rPr>
              <w:rStyle w:val="43"/>
              <w:rFonts w:ascii="Times New Roman" w:hAnsi="Times New Roman" w:cs="Times New Roman"/>
              <w:b w:val="0"/>
              <w:bCs w:val="0"/>
              <w:iCs/>
              <w:sz w:val="24"/>
              <w:szCs w:val="24"/>
            </w:rPr>
            <w:t>10.6 安全性能</w:t>
          </w:r>
          <w:r>
            <w:rPr>
              <w:rFonts w:ascii="Times New Roman" w:hAnsi="Times New Roman" w:cs="Times New Roman"/>
              <w:b w:val="0"/>
              <w:bCs w:val="0"/>
              <w:sz w:val="24"/>
              <w:szCs w:val="24"/>
            </w:rPr>
            <w:tab/>
          </w:r>
          <w:r>
            <w:rPr>
              <w:rFonts w:ascii="Times New Roman" w:hAnsi="Times New Roman" w:cs="Times New Roman"/>
              <w:b w:val="0"/>
              <w:bCs w:val="0"/>
              <w:sz w:val="24"/>
              <w:szCs w:val="24"/>
            </w:rPr>
            <w:fldChar w:fldCharType="begin"/>
          </w:r>
          <w:r>
            <w:rPr>
              <w:rFonts w:ascii="Times New Roman" w:hAnsi="Times New Roman" w:cs="Times New Roman"/>
              <w:b w:val="0"/>
              <w:bCs w:val="0"/>
              <w:sz w:val="24"/>
              <w:szCs w:val="24"/>
            </w:rPr>
            <w:instrText xml:space="preserve"> PAGEREF _Toc221090936 \h </w:instrText>
          </w:r>
          <w:r>
            <w:rPr>
              <w:rFonts w:ascii="Times New Roman" w:hAnsi="Times New Roman" w:cs="Times New Roman"/>
              <w:b w:val="0"/>
              <w:bCs w:val="0"/>
              <w:sz w:val="24"/>
              <w:szCs w:val="24"/>
            </w:rPr>
            <w:fldChar w:fldCharType="separate"/>
          </w:r>
          <w:r>
            <w:rPr>
              <w:rFonts w:ascii="Times New Roman" w:hAnsi="Times New Roman" w:cs="Times New Roman"/>
              <w:b w:val="0"/>
              <w:bCs w:val="0"/>
              <w:sz w:val="24"/>
              <w:szCs w:val="24"/>
            </w:rPr>
            <w:t>25</w:t>
          </w:r>
          <w:r>
            <w:rPr>
              <w:rFonts w:ascii="Times New Roman" w:hAnsi="Times New Roman" w:cs="Times New Roman"/>
              <w:b w:val="0"/>
              <w:bCs w:val="0"/>
              <w:sz w:val="24"/>
              <w:szCs w:val="24"/>
            </w:rPr>
            <w:fldChar w:fldCharType="end"/>
          </w:r>
          <w:r>
            <w:rPr>
              <w:rFonts w:ascii="Times New Roman" w:hAnsi="Times New Roman" w:cs="Times New Roman"/>
              <w:b w:val="0"/>
              <w:bCs w:val="0"/>
              <w:sz w:val="24"/>
              <w:szCs w:val="24"/>
            </w:rPr>
            <w:fldChar w:fldCharType="end"/>
          </w:r>
        </w:p>
        <w:p w14:paraId="752EB40E">
          <w:pPr>
            <w:pStyle w:val="27"/>
            <w:tabs>
              <w:tab w:val="right" w:leader="dot" w:pos="8776"/>
            </w:tabs>
            <w:rPr>
              <w:rFonts w:ascii="Times New Roman" w:hAnsi="Times New Roman" w:cs="Times New Roman"/>
              <w:b w:val="0"/>
              <w:bCs w:val="0"/>
              <w:caps w:val="0"/>
              <w:sz w:val="24"/>
              <w:szCs w:val="24"/>
              <w14:ligatures w14:val="standardContextual"/>
            </w:rPr>
          </w:pPr>
          <w:r>
            <w:fldChar w:fldCharType="begin"/>
          </w:r>
          <w:r>
            <w:instrText xml:space="preserve"> HYPERLINK \l "_Toc221090937" </w:instrText>
          </w:r>
          <w:r>
            <w:fldChar w:fldCharType="separate"/>
          </w:r>
          <w:r>
            <w:rPr>
              <w:rStyle w:val="43"/>
              <w:rFonts w:ascii="Times New Roman" w:hAnsi="Times New Roman" w:cs="Times New Roman"/>
              <w:b w:val="0"/>
              <w:bCs w:val="0"/>
              <w:iCs/>
              <w:sz w:val="24"/>
              <w:szCs w:val="24"/>
            </w:rPr>
            <w:t>10.7 贮存环境适应性试验</w:t>
          </w:r>
          <w:r>
            <w:rPr>
              <w:rFonts w:ascii="Times New Roman" w:hAnsi="Times New Roman" w:cs="Times New Roman"/>
              <w:b w:val="0"/>
              <w:bCs w:val="0"/>
              <w:sz w:val="24"/>
              <w:szCs w:val="24"/>
            </w:rPr>
            <w:tab/>
          </w:r>
          <w:r>
            <w:rPr>
              <w:rFonts w:ascii="Times New Roman" w:hAnsi="Times New Roman" w:cs="Times New Roman"/>
              <w:b w:val="0"/>
              <w:bCs w:val="0"/>
              <w:sz w:val="24"/>
              <w:szCs w:val="24"/>
            </w:rPr>
            <w:fldChar w:fldCharType="begin"/>
          </w:r>
          <w:r>
            <w:rPr>
              <w:rFonts w:ascii="Times New Roman" w:hAnsi="Times New Roman" w:cs="Times New Roman"/>
              <w:b w:val="0"/>
              <w:bCs w:val="0"/>
              <w:sz w:val="24"/>
              <w:szCs w:val="24"/>
            </w:rPr>
            <w:instrText xml:space="preserve"> PAGEREF _Toc221090937 \h </w:instrText>
          </w:r>
          <w:r>
            <w:rPr>
              <w:rFonts w:ascii="Times New Roman" w:hAnsi="Times New Roman" w:cs="Times New Roman"/>
              <w:b w:val="0"/>
              <w:bCs w:val="0"/>
              <w:sz w:val="24"/>
              <w:szCs w:val="24"/>
            </w:rPr>
            <w:fldChar w:fldCharType="separate"/>
          </w:r>
          <w:r>
            <w:rPr>
              <w:rFonts w:ascii="Times New Roman" w:hAnsi="Times New Roman" w:cs="Times New Roman"/>
              <w:b w:val="0"/>
              <w:bCs w:val="0"/>
              <w:sz w:val="24"/>
              <w:szCs w:val="24"/>
            </w:rPr>
            <w:t>26</w:t>
          </w:r>
          <w:r>
            <w:rPr>
              <w:rFonts w:ascii="Times New Roman" w:hAnsi="Times New Roman" w:cs="Times New Roman"/>
              <w:b w:val="0"/>
              <w:bCs w:val="0"/>
              <w:sz w:val="24"/>
              <w:szCs w:val="24"/>
            </w:rPr>
            <w:fldChar w:fldCharType="end"/>
          </w:r>
          <w:r>
            <w:rPr>
              <w:rFonts w:ascii="Times New Roman" w:hAnsi="Times New Roman" w:cs="Times New Roman"/>
              <w:b w:val="0"/>
              <w:bCs w:val="0"/>
              <w:sz w:val="24"/>
              <w:szCs w:val="24"/>
            </w:rPr>
            <w:fldChar w:fldCharType="end"/>
          </w:r>
        </w:p>
        <w:p w14:paraId="1BBE78A5">
          <w:pPr>
            <w:pStyle w:val="27"/>
            <w:tabs>
              <w:tab w:val="right" w:leader="dot" w:pos="8776"/>
            </w:tabs>
            <w:rPr>
              <w:rFonts w:ascii="Times New Roman" w:hAnsi="Times New Roman" w:cs="Times New Roman"/>
              <w:b w:val="0"/>
              <w:bCs w:val="0"/>
              <w:caps w:val="0"/>
              <w:sz w:val="24"/>
              <w:szCs w:val="24"/>
              <w14:ligatures w14:val="standardContextual"/>
            </w:rPr>
          </w:pPr>
          <w:r>
            <w:fldChar w:fldCharType="begin"/>
          </w:r>
          <w:r>
            <w:instrText xml:space="preserve"> HYPERLINK \l "_Toc221090938" </w:instrText>
          </w:r>
          <w:r>
            <w:fldChar w:fldCharType="separate"/>
          </w:r>
          <w:r>
            <w:rPr>
              <w:rStyle w:val="43"/>
              <w:rFonts w:ascii="Times New Roman" w:hAnsi="Times New Roman" w:cs="Times New Roman"/>
              <w:b w:val="0"/>
              <w:bCs w:val="0"/>
              <w:iCs/>
              <w:sz w:val="24"/>
              <w:szCs w:val="24"/>
            </w:rPr>
            <w:t>10.8 电磁兼容适应性试验</w:t>
          </w:r>
          <w:r>
            <w:rPr>
              <w:rFonts w:ascii="Times New Roman" w:hAnsi="Times New Roman" w:cs="Times New Roman"/>
              <w:b w:val="0"/>
              <w:bCs w:val="0"/>
              <w:sz w:val="24"/>
              <w:szCs w:val="24"/>
            </w:rPr>
            <w:tab/>
          </w:r>
          <w:r>
            <w:rPr>
              <w:rFonts w:ascii="Times New Roman" w:hAnsi="Times New Roman" w:cs="Times New Roman"/>
              <w:b w:val="0"/>
              <w:bCs w:val="0"/>
              <w:sz w:val="24"/>
              <w:szCs w:val="24"/>
            </w:rPr>
            <w:fldChar w:fldCharType="begin"/>
          </w:r>
          <w:r>
            <w:rPr>
              <w:rFonts w:ascii="Times New Roman" w:hAnsi="Times New Roman" w:cs="Times New Roman"/>
              <w:b w:val="0"/>
              <w:bCs w:val="0"/>
              <w:sz w:val="24"/>
              <w:szCs w:val="24"/>
            </w:rPr>
            <w:instrText xml:space="preserve"> PAGEREF _Toc221090938 \h </w:instrText>
          </w:r>
          <w:r>
            <w:rPr>
              <w:rFonts w:ascii="Times New Roman" w:hAnsi="Times New Roman" w:cs="Times New Roman"/>
              <w:b w:val="0"/>
              <w:bCs w:val="0"/>
              <w:sz w:val="24"/>
              <w:szCs w:val="24"/>
            </w:rPr>
            <w:fldChar w:fldCharType="separate"/>
          </w:r>
          <w:r>
            <w:rPr>
              <w:rFonts w:ascii="Times New Roman" w:hAnsi="Times New Roman" w:cs="Times New Roman"/>
              <w:b w:val="0"/>
              <w:bCs w:val="0"/>
              <w:sz w:val="24"/>
              <w:szCs w:val="24"/>
            </w:rPr>
            <w:t>28</w:t>
          </w:r>
          <w:r>
            <w:rPr>
              <w:rFonts w:ascii="Times New Roman" w:hAnsi="Times New Roman" w:cs="Times New Roman"/>
              <w:b w:val="0"/>
              <w:bCs w:val="0"/>
              <w:sz w:val="24"/>
              <w:szCs w:val="24"/>
            </w:rPr>
            <w:fldChar w:fldCharType="end"/>
          </w:r>
          <w:r>
            <w:rPr>
              <w:rFonts w:ascii="Times New Roman" w:hAnsi="Times New Roman" w:cs="Times New Roman"/>
              <w:b w:val="0"/>
              <w:bCs w:val="0"/>
              <w:sz w:val="24"/>
              <w:szCs w:val="24"/>
            </w:rPr>
            <w:fldChar w:fldCharType="end"/>
          </w:r>
        </w:p>
        <w:p w14:paraId="752719A5">
          <w:pPr>
            <w:pStyle w:val="27"/>
            <w:tabs>
              <w:tab w:val="right" w:leader="dot" w:pos="8776"/>
            </w:tabs>
            <w:rPr>
              <w:rFonts w:ascii="Times New Roman" w:hAnsi="Times New Roman" w:cs="Times New Roman"/>
              <w:b w:val="0"/>
              <w:bCs w:val="0"/>
              <w:caps w:val="0"/>
              <w:sz w:val="24"/>
              <w:szCs w:val="24"/>
              <w14:ligatures w14:val="standardContextual"/>
            </w:rPr>
          </w:pPr>
          <w:r>
            <w:fldChar w:fldCharType="begin"/>
          </w:r>
          <w:r>
            <w:instrText xml:space="preserve"> HYPERLINK \l "_Toc221090939" </w:instrText>
          </w:r>
          <w:r>
            <w:fldChar w:fldCharType="separate"/>
          </w:r>
          <w:r>
            <w:rPr>
              <w:rStyle w:val="43"/>
              <w:rFonts w:ascii="Times New Roman" w:hAnsi="Times New Roman" w:cs="Times New Roman"/>
              <w:b w:val="0"/>
              <w:bCs w:val="0"/>
              <w:iCs/>
              <w:sz w:val="24"/>
              <w:szCs w:val="24"/>
            </w:rPr>
            <w:t>10.9 流体扰动测试</w:t>
          </w:r>
          <w:r>
            <w:rPr>
              <w:rFonts w:ascii="Times New Roman" w:hAnsi="Times New Roman" w:cs="Times New Roman"/>
              <w:b w:val="0"/>
              <w:bCs w:val="0"/>
              <w:sz w:val="24"/>
              <w:szCs w:val="24"/>
            </w:rPr>
            <w:tab/>
          </w:r>
          <w:r>
            <w:rPr>
              <w:rFonts w:ascii="Times New Roman" w:hAnsi="Times New Roman" w:cs="Times New Roman"/>
              <w:b w:val="0"/>
              <w:bCs w:val="0"/>
              <w:sz w:val="24"/>
              <w:szCs w:val="24"/>
            </w:rPr>
            <w:fldChar w:fldCharType="begin"/>
          </w:r>
          <w:r>
            <w:rPr>
              <w:rFonts w:ascii="Times New Roman" w:hAnsi="Times New Roman" w:cs="Times New Roman"/>
              <w:b w:val="0"/>
              <w:bCs w:val="0"/>
              <w:sz w:val="24"/>
              <w:szCs w:val="24"/>
            </w:rPr>
            <w:instrText xml:space="preserve"> PAGEREF _Toc221090939 \h </w:instrText>
          </w:r>
          <w:r>
            <w:rPr>
              <w:rFonts w:ascii="Times New Roman" w:hAnsi="Times New Roman" w:cs="Times New Roman"/>
              <w:b w:val="0"/>
              <w:bCs w:val="0"/>
              <w:sz w:val="24"/>
              <w:szCs w:val="24"/>
            </w:rPr>
            <w:fldChar w:fldCharType="separate"/>
          </w:r>
          <w:r>
            <w:rPr>
              <w:rFonts w:ascii="Times New Roman" w:hAnsi="Times New Roman" w:cs="Times New Roman"/>
              <w:b w:val="0"/>
              <w:bCs w:val="0"/>
              <w:sz w:val="24"/>
              <w:szCs w:val="24"/>
            </w:rPr>
            <w:t>32</w:t>
          </w:r>
          <w:r>
            <w:rPr>
              <w:rFonts w:ascii="Times New Roman" w:hAnsi="Times New Roman" w:cs="Times New Roman"/>
              <w:b w:val="0"/>
              <w:bCs w:val="0"/>
              <w:sz w:val="24"/>
              <w:szCs w:val="24"/>
            </w:rPr>
            <w:fldChar w:fldCharType="end"/>
          </w:r>
          <w:r>
            <w:rPr>
              <w:rFonts w:ascii="Times New Roman" w:hAnsi="Times New Roman" w:cs="Times New Roman"/>
              <w:b w:val="0"/>
              <w:bCs w:val="0"/>
              <w:sz w:val="24"/>
              <w:szCs w:val="24"/>
            </w:rPr>
            <w:fldChar w:fldCharType="end"/>
          </w:r>
        </w:p>
        <w:p w14:paraId="780FC89F">
          <w:pPr>
            <w:pStyle w:val="27"/>
            <w:tabs>
              <w:tab w:val="right" w:leader="dot" w:pos="8776"/>
            </w:tabs>
            <w:rPr>
              <w:rFonts w:ascii="Times New Roman" w:hAnsi="Times New Roman" w:cs="Times New Roman"/>
              <w:b w:val="0"/>
              <w:bCs w:val="0"/>
              <w:caps w:val="0"/>
              <w:sz w:val="24"/>
              <w:szCs w:val="24"/>
              <w14:ligatures w14:val="standardContextual"/>
            </w:rPr>
          </w:pPr>
          <w:r>
            <w:fldChar w:fldCharType="begin"/>
          </w:r>
          <w:r>
            <w:instrText xml:space="preserve"> HYPERLINK \l "_Toc221090940" </w:instrText>
          </w:r>
          <w:r>
            <w:fldChar w:fldCharType="separate"/>
          </w:r>
          <w:r>
            <w:rPr>
              <w:rStyle w:val="43"/>
              <w:rFonts w:ascii="Times New Roman" w:hAnsi="Times New Roman" w:cs="Times New Roman"/>
              <w:b w:val="0"/>
              <w:bCs w:val="0"/>
              <w:iCs/>
              <w:sz w:val="24"/>
              <w:szCs w:val="24"/>
            </w:rPr>
            <w:t>10.10 软件标识管理要求的验证</w:t>
          </w:r>
          <w:r>
            <w:rPr>
              <w:rFonts w:ascii="Times New Roman" w:hAnsi="Times New Roman" w:cs="Times New Roman"/>
              <w:b w:val="0"/>
              <w:bCs w:val="0"/>
              <w:sz w:val="24"/>
              <w:szCs w:val="24"/>
            </w:rPr>
            <w:tab/>
          </w:r>
          <w:r>
            <w:rPr>
              <w:rFonts w:ascii="Times New Roman" w:hAnsi="Times New Roman" w:cs="Times New Roman"/>
              <w:b w:val="0"/>
              <w:bCs w:val="0"/>
              <w:sz w:val="24"/>
              <w:szCs w:val="24"/>
            </w:rPr>
            <w:fldChar w:fldCharType="begin"/>
          </w:r>
          <w:r>
            <w:rPr>
              <w:rFonts w:ascii="Times New Roman" w:hAnsi="Times New Roman" w:cs="Times New Roman"/>
              <w:b w:val="0"/>
              <w:bCs w:val="0"/>
              <w:sz w:val="24"/>
              <w:szCs w:val="24"/>
            </w:rPr>
            <w:instrText xml:space="preserve"> PAGEREF _Toc221090940 \h </w:instrText>
          </w:r>
          <w:r>
            <w:rPr>
              <w:rFonts w:ascii="Times New Roman" w:hAnsi="Times New Roman" w:cs="Times New Roman"/>
              <w:b w:val="0"/>
              <w:bCs w:val="0"/>
              <w:sz w:val="24"/>
              <w:szCs w:val="24"/>
            </w:rPr>
            <w:fldChar w:fldCharType="separate"/>
          </w:r>
          <w:r>
            <w:rPr>
              <w:rFonts w:ascii="Times New Roman" w:hAnsi="Times New Roman" w:cs="Times New Roman"/>
              <w:b w:val="0"/>
              <w:bCs w:val="0"/>
              <w:sz w:val="24"/>
              <w:szCs w:val="24"/>
            </w:rPr>
            <w:t>34</w:t>
          </w:r>
          <w:r>
            <w:rPr>
              <w:rFonts w:ascii="Times New Roman" w:hAnsi="Times New Roman" w:cs="Times New Roman"/>
              <w:b w:val="0"/>
              <w:bCs w:val="0"/>
              <w:sz w:val="24"/>
              <w:szCs w:val="24"/>
            </w:rPr>
            <w:fldChar w:fldCharType="end"/>
          </w:r>
          <w:r>
            <w:rPr>
              <w:rFonts w:ascii="Times New Roman" w:hAnsi="Times New Roman" w:cs="Times New Roman"/>
              <w:b w:val="0"/>
              <w:bCs w:val="0"/>
              <w:sz w:val="24"/>
              <w:szCs w:val="24"/>
            </w:rPr>
            <w:fldChar w:fldCharType="end"/>
          </w:r>
        </w:p>
        <w:p w14:paraId="10907B5E">
          <w:pPr>
            <w:pStyle w:val="27"/>
            <w:tabs>
              <w:tab w:val="right" w:leader="dot" w:pos="8776"/>
            </w:tabs>
            <w:rPr>
              <w:rFonts w:ascii="Times New Roman" w:hAnsi="Times New Roman" w:cs="Times New Roman"/>
              <w:b w:val="0"/>
              <w:bCs w:val="0"/>
              <w:caps w:val="0"/>
              <w:sz w:val="24"/>
              <w:szCs w:val="24"/>
              <w14:ligatures w14:val="standardContextual"/>
            </w:rPr>
          </w:pPr>
          <w:r>
            <w:fldChar w:fldCharType="begin"/>
          </w:r>
          <w:r>
            <w:instrText xml:space="preserve"> HYPERLINK \l "_Toc221090941" </w:instrText>
          </w:r>
          <w:r>
            <w:fldChar w:fldCharType="separate"/>
          </w:r>
          <w:r>
            <w:rPr>
              <w:rStyle w:val="43"/>
              <w:rFonts w:ascii="Times New Roman" w:hAnsi="Times New Roman" w:cs="Times New Roman"/>
              <w:b w:val="0"/>
              <w:bCs w:val="0"/>
              <w:iCs/>
              <w:sz w:val="24"/>
              <w:szCs w:val="24"/>
            </w:rPr>
            <w:t>10.11 计量性能复测</w:t>
          </w:r>
          <w:r>
            <w:rPr>
              <w:rFonts w:ascii="Times New Roman" w:hAnsi="Times New Roman" w:cs="Times New Roman"/>
              <w:b w:val="0"/>
              <w:bCs w:val="0"/>
              <w:sz w:val="24"/>
              <w:szCs w:val="24"/>
            </w:rPr>
            <w:tab/>
          </w:r>
          <w:r>
            <w:rPr>
              <w:rFonts w:ascii="Times New Roman" w:hAnsi="Times New Roman" w:cs="Times New Roman"/>
              <w:b w:val="0"/>
              <w:bCs w:val="0"/>
              <w:sz w:val="24"/>
              <w:szCs w:val="24"/>
            </w:rPr>
            <w:fldChar w:fldCharType="begin"/>
          </w:r>
          <w:r>
            <w:rPr>
              <w:rFonts w:ascii="Times New Roman" w:hAnsi="Times New Roman" w:cs="Times New Roman"/>
              <w:b w:val="0"/>
              <w:bCs w:val="0"/>
              <w:sz w:val="24"/>
              <w:szCs w:val="24"/>
            </w:rPr>
            <w:instrText xml:space="preserve"> PAGEREF _Toc221090941 \h </w:instrText>
          </w:r>
          <w:r>
            <w:rPr>
              <w:rFonts w:ascii="Times New Roman" w:hAnsi="Times New Roman" w:cs="Times New Roman"/>
              <w:b w:val="0"/>
              <w:bCs w:val="0"/>
              <w:sz w:val="24"/>
              <w:szCs w:val="24"/>
            </w:rPr>
            <w:fldChar w:fldCharType="separate"/>
          </w:r>
          <w:r>
            <w:rPr>
              <w:rFonts w:ascii="Times New Roman" w:hAnsi="Times New Roman" w:cs="Times New Roman"/>
              <w:b w:val="0"/>
              <w:bCs w:val="0"/>
              <w:sz w:val="24"/>
              <w:szCs w:val="24"/>
            </w:rPr>
            <w:t>34</w:t>
          </w:r>
          <w:r>
            <w:rPr>
              <w:rFonts w:ascii="Times New Roman" w:hAnsi="Times New Roman" w:cs="Times New Roman"/>
              <w:b w:val="0"/>
              <w:bCs w:val="0"/>
              <w:sz w:val="24"/>
              <w:szCs w:val="24"/>
            </w:rPr>
            <w:fldChar w:fldCharType="end"/>
          </w:r>
          <w:r>
            <w:rPr>
              <w:rFonts w:ascii="Times New Roman" w:hAnsi="Times New Roman" w:cs="Times New Roman"/>
              <w:b w:val="0"/>
              <w:bCs w:val="0"/>
              <w:sz w:val="24"/>
              <w:szCs w:val="24"/>
            </w:rPr>
            <w:fldChar w:fldCharType="end"/>
          </w:r>
        </w:p>
        <w:p w14:paraId="11D98584">
          <w:pPr>
            <w:pStyle w:val="27"/>
            <w:tabs>
              <w:tab w:val="right" w:leader="dot" w:pos="8776"/>
            </w:tabs>
            <w:rPr>
              <w:rFonts w:ascii="Times New Roman" w:hAnsi="Times New Roman" w:cs="Times New Roman"/>
              <w:b w:val="0"/>
              <w:bCs w:val="0"/>
              <w:caps w:val="0"/>
              <w:sz w:val="24"/>
              <w:szCs w:val="24"/>
              <w14:ligatures w14:val="standardContextual"/>
            </w:rPr>
          </w:pPr>
          <w:r>
            <w:fldChar w:fldCharType="begin"/>
          </w:r>
          <w:r>
            <w:instrText xml:space="preserve"> HYPERLINK \l "_Toc221090942" </w:instrText>
          </w:r>
          <w:r>
            <w:fldChar w:fldCharType="separate"/>
          </w:r>
          <w:r>
            <w:rPr>
              <w:rStyle w:val="43"/>
              <w:rFonts w:ascii="Times New Roman" w:hAnsi="Times New Roman" w:cs="Times New Roman"/>
              <w:b w:val="0"/>
              <w:bCs w:val="0"/>
              <w:sz w:val="24"/>
              <w:szCs w:val="24"/>
            </w:rPr>
            <w:t>11 试验项目所用计量器具和设备</w:t>
          </w:r>
          <w:r>
            <w:rPr>
              <w:rFonts w:ascii="Times New Roman" w:hAnsi="Times New Roman" w:cs="Times New Roman"/>
              <w:b w:val="0"/>
              <w:bCs w:val="0"/>
              <w:sz w:val="24"/>
              <w:szCs w:val="24"/>
            </w:rPr>
            <w:tab/>
          </w:r>
          <w:r>
            <w:rPr>
              <w:rFonts w:ascii="Times New Roman" w:hAnsi="Times New Roman" w:cs="Times New Roman"/>
              <w:b w:val="0"/>
              <w:bCs w:val="0"/>
              <w:sz w:val="24"/>
              <w:szCs w:val="24"/>
            </w:rPr>
            <w:fldChar w:fldCharType="begin"/>
          </w:r>
          <w:r>
            <w:rPr>
              <w:rFonts w:ascii="Times New Roman" w:hAnsi="Times New Roman" w:cs="Times New Roman"/>
              <w:b w:val="0"/>
              <w:bCs w:val="0"/>
              <w:sz w:val="24"/>
              <w:szCs w:val="24"/>
            </w:rPr>
            <w:instrText xml:space="preserve"> PAGEREF _Toc221090942 \h </w:instrText>
          </w:r>
          <w:r>
            <w:rPr>
              <w:rFonts w:ascii="Times New Roman" w:hAnsi="Times New Roman" w:cs="Times New Roman"/>
              <w:b w:val="0"/>
              <w:bCs w:val="0"/>
              <w:sz w:val="24"/>
              <w:szCs w:val="24"/>
            </w:rPr>
            <w:fldChar w:fldCharType="separate"/>
          </w:r>
          <w:r>
            <w:rPr>
              <w:rFonts w:ascii="Times New Roman" w:hAnsi="Times New Roman" w:cs="Times New Roman"/>
              <w:b w:val="0"/>
              <w:bCs w:val="0"/>
              <w:sz w:val="24"/>
              <w:szCs w:val="24"/>
            </w:rPr>
            <w:t>35</w:t>
          </w:r>
          <w:r>
            <w:rPr>
              <w:rFonts w:ascii="Times New Roman" w:hAnsi="Times New Roman" w:cs="Times New Roman"/>
              <w:b w:val="0"/>
              <w:bCs w:val="0"/>
              <w:sz w:val="24"/>
              <w:szCs w:val="24"/>
            </w:rPr>
            <w:fldChar w:fldCharType="end"/>
          </w:r>
          <w:r>
            <w:rPr>
              <w:rFonts w:ascii="Times New Roman" w:hAnsi="Times New Roman" w:cs="Times New Roman"/>
              <w:b w:val="0"/>
              <w:bCs w:val="0"/>
              <w:sz w:val="24"/>
              <w:szCs w:val="24"/>
            </w:rPr>
            <w:fldChar w:fldCharType="end"/>
          </w:r>
        </w:p>
        <w:p w14:paraId="60E3CD8D">
          <w:pPr>
            <w:pStyle w:val="27"/>
            <w:tabs>
              <w:tab w:val="right" w:leader="dot" w:pos="8776"/>
            </w:tabs>
            <w:rPr>
              <w:rFonts w:ascii="Times New Roman" w:hAnsi="Times New Roman" w:cs="Times New Roman"/>
              <w:b w:val="0"/>
              <w:bCs w:val="0"/>
              <w:caps w:val="0"/>
              <w:sz w:val="24"/>
              <w:szCs w:val="24"/>
              <w14:ligatures w14:val="standardContextual"/>
            </w:rPr>
          </w:pPr>
          <w:r>
            <w:fldChar w:fldCharType="begin"/>
          </w:r>
          <w:r>
            <w:instrText xml:space="preserve"> HYPERLINK \l "_Toc221090943" </w:instrText>
          </w:r>
          <w:r>
            <w:fldChar w:fldCharType="separate"/>
          </w:r>
          <w:r>
            <w:rPr>
              <w:rStyle w:val="43"/>
              <w:rFonts w:ascii="Times New Roman" w:hAnsi="Times New Roman" w:cs="Times New Roman"/>
              <w:b w:val="0"/>
              <w:bCs w:val="0"/>
              <w:sz w:val="24"/>
              <w:szCs w:val="24"/>
            </w:rPr>
            <w:t>12 型式评价结果的判定</w:t>
          </w:r>
          <w:r>
            <w:rPr>
              <w:rFonts w:ascii="Times New Roman" w:hAnsi="Times New Roman" w:cs="Times New Roman"/>
              <w:b w:val="0"/>
              <w:bCs w:val="0"/>
              <w:sz w:val="24"/>
              <w:szCs w:val="24"/>
            </w:rPr>
            <w:tab/>
          </w:r>
          <w:r>
            <w:rPr>
              <w:rFonts w:ascii="Times New Roman" w:hAnsi="Times New Roman" w:cs="Times New Roman"/>
              <w:b w:val="0"/>
              <w:bCs w:val="0"/>
              <w:sz w:val="24"/>
              <w:szCs w:val="24"/>
            </w:rPr>
            <w:fldChar w:fldCharType="begin"/>
          </w:r>
          <w:r>
            <w:rPr>
              <w:rFonts w:ascii="Times New Roman" w:hAnsi="Times New Roman" w:cs="Times New Roman"/>
              <w:b w:val="0"/>
              <w:bCs w:val="0"/>
              <w:sz w:val="24"/>
              <w:szCs w:val="24"/>
            </w:rPr>
            <w:instrText xml:space="preserve"> PAGEREF _Toc221090943 \h </w:instrText>
          </w:r>
          <w:r>
            <w:rPr>
              <w:rFonts w:ascii="Times New Roman" w:hAnsi="Times New Roman" w:cs="Times New Roman"/>
              <w:b w:val="0"/>
              <w:bCs w:val="0"/>
              <w:sz w:val="24"/>
              <w:szCs w:val="24"/>
            </w:rPr>
            <w:fldChar w:fldCharType="separate"/>
          </w:r>
          <w:r>
            <w:rPr>
              <w:rFonts w:ascii="Times New Roman" w:hAnsi="Times New Roman" w:cs="Times New Roman"/>
              <w:b w:val="0"/>
              <w:bCs w:val="0"/>
              <w:sz w:val="24"/>
              <w:szCs w:val="24"/>
            </w:rPr>
            <w:t>36</w:t>
          </w:r>
          <w:r>
            <w:rPr>
              <w:rFonts w:ascii="Times New Roman" w:hAnsi="Times New Roman" w:cs="Times New Roman"/>
              <w:b w:val="0"/>
              <w:bCs w:val="0"/>
              <w:sz w:val="24"/>
              <w:szCs w:val="24"/>
            </w:rPr>
            <w:fldChar w:fldCharType="end"/>
          </w:r>
          <w:r>
            <w:rPr>
              <w:rFonts w:ascii="Times New Roman" w:hAnsi="Times New Roman" w:cs="Times New Roman"/>
              <w:b w:val="0"/>
              <w:bCs w:val="0"/>
              <w:sz w:val="24"/>
              <w:szCs w:val="24"/>
            </w:rPr>
            <w:fldChar w:fldCharType="end"/>
          </w:r>
        </w:p>
        <w:p w14:paraId="1E5187B2">
          <w:pPr>
            <w:pStyle w:val="27"/>
            <w:tabs>
              <w:tab w:val="right" w:leader="dot" w:pos="8776"/>
            </w:tabs>
            <w:rPr>
              <w:rFonts w:ascii="Times New Roman" w:hAnsi="Times New Roman" w:cs="Times New Roman"/>
              <w:b w:val="0"/>
              <w:bCs w:val="0"/>
              <w:caps w:val="0"/>
              <w:sz w:val="24"/>
              <w:szCs w:val="24"/>
              <w14:ligatures w14:val="standardContextual"/>
            </w:rPr>
          </w:pPr>
          <w:r>
            <w:fldChar w:fldCharType="begin"/>
          </w:r>
          <w:r>
            <w:instrText xml:space="preserve"> HYPERLINK \l "_Toc221090944" </w:instrText>
          </w:r>
          <w:r>
            <w:fldChar w:fldCharType="separate"/>
          </w:r>
          <w:r>
            <w:rPr>
              <w:rStyle w:val="43"/>
              <w:rFonts w:ascii="Times New Roman" w:hAnsi="Times New Roman" w:cs="Times New Roman"/>
              <w:b w:val="0"/>
              <w:bCs w:val="0"/>
              <w:iCs/>
              <w:sz w:val="24"/>
              <w:szCs w:val="24"/>
            </w:rPr>
            <w:t>12.1 型式评价结果的判定原则</w:t>
          </w:r>
          <w:r>
            <w:rPr>
              <w:rFonts w:ascii="Times New Roman" w:hAnsi="Times New Roman" w:cs="Times New Roman"/>
              <w:b w:val="0"/>
              <w:bCs w:val="0"/>
              <w:sz w:val="24"/>
              <w:szCs w:val="24"/>
            </w:rPr>
            <w:tab/>
          </w:r>
          <w:r>
            <w:rPr>
              <w:rFonts w:ascii="Times New Roman" w:hAnsi="Times New Roman" w:cs="Times New Roman"/>
              <w:b w:val="0"/>
              <w:bCs w:val="0"/>
              <w:sz w:val="24"/>
              <w:szCs w:val="24"/>
            </w:rPr>
            <w:fldChar w:fldCharType="begin"/>
          </w:r>
          <w:r>
            <w:rPr>
              <w:rFonts w:ascii="Times New Roman" w:hAnsi="Times New Roman" w:cs="Times New Roman"/>
              <w:b w:val="0"/>
              <w:bCs w:val="0"/>
              <w:sz w:val="24"/>
              <w:szCs w:val="24"/>
            </w:rPr>
            <w:instrText xml:space="preserve"> PAGEREF _Toc221090944 \h </w:instrText>
          </w:r>
          <w:r>
            <w:rPr>
              <w:rFonts w:ascii="Times New Roman" w:hAnsi="Times New Roman" w:cs="Times New Roman"/>
              <w:b w:val="0"/>
              <w:bCs w:val="0"/>
              <w:sz w:val="24"/>
              <w:szCs w:val="24"/>
            </w:rPr>
            <w:fldChar w:fldCharType="separate"/>
          </w:r>
          <w:r>
            <w:rPr>
              <w:rFonts w:ascii="Times New Roman" w:hAnsi="Times New Roman" w:cs="Times New Roman"/>
              <w:b w:val="0"/>
              <w:bCs w:val="0"/>
              <w:sz w:val="24"/>
              <w:szCs w:val="24"/>
            </w:rPr>
            <w:t>36</w:t>
          </w:r>
          <w:r>
            <w:rPr>
              <w:rFonts w:ascii="Times New Roman" w:hAnsi="Times New Roman" w:cs="Times New Roman"/>
              <w:b w:val="0"/>
              <w:bCs w:val="0"/>
              <w:sz w:val="24"/>
              <w:szCs w:val="24"/>
            </w:rPr>
            <w:fldChar w:fldCharType="end"/>
          </w:r>
          <w:r>
            <w:rPr>
              <w:rFonts w:ascii="Times New Roman" w:hAnsi="Times New Roman" w:cs="Times New Roman"/>
              <w:b w:val="0"/>
              <w:bCs w:val="0"/>
              <w:sz w:val="24"/>
              <w:szCs w:val="24"/>
            </w:rPr>
            <w:fldChar w:fldCharType="end"/>
          </w:r>
        </w:p>
        <w:p w14:paraId="38CF799A">
          <w:pPr>
            <w:pStyle w:val="27"/>
            <w:tabs>
              <w:tab w:val="right" w:leader="dot" w:pos="8776"/>
            </w:tabs>
            <w:rPr>
              <w:rFonts w:ascii="Times New Roman" w:hAnsi="Times New Roman" w:cs="Times New Roman"/>
              <w:b w:val="0"/>
              <w:bCs w:val="0"/>
              <w:caps w:val="0"/>
              <w:sz w:val="24"/>
              <w:szCs w:val="24"/>
              <w14:ligatures w14:val="standardContextual"/>
            </w:rPr>
          </w:pPr>
          <w:r>
            <w:fldChar w:fldCharType="begin"/>
          </w:r>
          <w:r>
            <w:instrText xml:space="preserve"> HYPERLINK \l "_Toc221090945" </w:instrText>
          </w:r>
          <w:r>
            <w:fldChar w:fldCharType="separate"/>
          </w:r>
          <w:r>
            <w:rPr>
              <w:rStyle w:val="43"/>
              <w:rFonts w:ascii="Times New Roman" w:hAnsi="Times New Roman" w:cs="Times New Roman"/>
              <w:b w:val="0"/>
              <w:bCs w:val="0"/>
              <w:iCs/>
              <w:sz w:val="24"/>
              <w:szCs w:val="24"/>
            </w:rPr>
            <w:t>12.2 型式评价不合格的处理</w:t>
          </w:r>
          <w:r>
            <w:rPr>
              <w:rFonts w:ascii="Times New Roman" w:hAnsi="Times New Roman" w:cs="Times New Roman"/>
              <w:b w:val="0"/>
              <w:bCs w:val="0"/>
              <w:sz w:val="24"/>
              <w:szCs w:val="24"/>
            </w:rPr>
            <w:tab/>
          </w:r>
          <w:r>
            <w:rPr>
              <w:rFonts w:ascii="Times New Roman" w:hAnsi="Times New Roman" w:cs="Times New Roman"/>
              <w:b w:val="0"/>
              <w:bCs w:val="0"/>
              <w:sz w:val="24"/>
              <w:szCs w:val="24"/>
            </w:rPr>
            <w:fldChar w:fldCharType="begin"/>
          </w:r>
          <w:r>
            <w:rPr>
              <w:rFonts w:ascii="Times New Roman" w:hAnsi="Times New Roman" w:cs="Times New Roman"/>
              <w:b w:val="0"/>
              <w:bCs w:val="0"/>
              <w:sz w:val="24"/>
              <w:szCs w:val="24"/>
            </w:rPr>
            <w:instrText xml:space="preserve"> PAGEREF _Toc221090945 \h </w:instrText>
          </w:r>
          <w:r>
            <w:rPr>
              <w:rFonts w:ascii="Times New Roman" w:hAnsi="Times New Roman" w:cs="Times New Roman"/>
              <w:b w:val="0"/>
              <w:bCs w:val="0"/>
              <w:sz w:val="24"/>
              <w:szCs w:val="24"/>
            </w:rPr>
            <w:fldChar w:fldCharType="separate"/>
          </w:r>
          <w:r>
            <w:rPr>
              <w:rFonts w:ascii="Times New Roman" w:hAnsi="Times New Roman" w:cs="Times New Roman"/>
              <w:b w:val="0"/>
              <w:bCs w:val="0"/>
              <w:sz w:val="24"/>
              <w:szCs w:val="24"/>
            </w:rPr>
            <w:t>36</w:t>
          </w:r>
          <w:r>
            <w:rPr>
              <w:rFonts w:ascii="Times New Roman" w:hAnsi="Times New Roman" w:cs="Times New Roman"/>
              <w:b w:val="0"/>
              <w:bCs w:val="0"/>
              <w:sz w:val="24"/>
              <w:szCs w:val="24"/>
            </w:rPr>
            <w:fldChar w:fldCharType="end"/>
          </w:r>
          <w:r>
            <w:rPr>
              <w:rFonts w:ascii="Times New Roman" w:hAnsi="Times New Roman" w:cs="Times New Roman"/>
              <w:b w:val="0"/>
              <w:bCs w:val="0"/>
              <w:sz w:val="24"/>
              <w:szCs w:val="24"/>
            </w:rPr>
            <w:fldChar w:fldCharType="end"/>
          </w:r>
        </w:p>
        <w:p w14:paraId="59BB1509">
          <w:pPr>
            <w:pStyle w:val="27"/>
            <w:tabs>
              <w:tab w:val="right" w:leader="dot" w:pos="8776"/>
            </w:tabs>
            <w:rPr>
              <w:rFonts w:ascii="Times New Roman" w:hAnsi="Times New Roman" w:cs="Times New Roman"/>
              <w:b w:val="0"/>
              <w:bCs w:val="0"/>
              <w:caps w:val="0"/>
              <w:sz w:val="24"/>
              <w:szCs w:val="24"/>
              <w14:ligatures w14:val="standardContextual"/>
            </w:rPr>
          </w:pPr>
          <w:r>
            <w:fldChar w:fldCharType="begin"/>
          </w:r>
          <w:r>
            <w:instrText xml:space="preserve"> HYPERLINK \l "_Toc221090946" </w:instrText>
          </w:r>
          <w:r>
            <w:fldChar w:fldCharType="separate"/>
          </w:r>
          <w:r>
            <w:rPr>
              <w:rStyle w:val="43"/>
              <w:rFonts w:ascii="Times New Roman" w:hAnsi="Times New Roman" w:cs="Times New Roman"/>
              <w:b w:val="0"/>
              <w:bCs w:val="0"/>
              <w:sz w:val="24"/>
              <w:szCs w:val="24"/>
            </w:rPr>
            <w:t>附录A</w:t>
          </w:r>
          <w:r>
            <w:rPr>
              <w:rStyle w:val="43"/>
              <w:rFonts w:ascii="Times New Roman" w:hAnsi="Times New Roman" w:cs="Times New Roman"/>
              <w:b w:val="0"/>
              <w:bCs w:val="0"/>
              <w:sz w:val="24"/>
              <w:szCs w:val="24"/>
            </w:rPr>
            <w:fldChar w:fldCharType="end"/>
          </w:r>
          <w:r>
            <w:fldChar w:fldCharType="begin"/>
          </w:r>
          <w:r>
            <w:instrText xml:space="preserve"> HYPERLINK \l "_Toc221090947" </w:instrText>
          </w:r>
          <w:r>
            <w:fldChar w:fldCharType="separate"/>
          </w:r>
          <w:r>
            <w:rPr>
              <w:rStyle w:val="43"/>
              <w:rFonts w:ascii="Times New Roman" w:hAnsi="Times New Roman" w:cs="Times New Roman"/>
              <w:b w:val="0"/>
              <w:bCs w:val="0"/>
              <w:sz w:val="24"/>
              <w:szCs w:val="24"/>
            </w:rPr>
            <w:t>系列流量计的型式评价</w:t>
          </w:r>
          <w:r>
            <w:rPr>
              <w:rFonts w:ascii="Times New Roman" w:hAnsi="Times New Roman" w:cs="Times New Roman"/>
              <w:b w:val="0"/>
              <w:bCs w:val="0"/>
              <w:sz w:val="24"/>
              <w:szCs w:val="24"/>
            </w:rPr>
            <w:tab/>
          </w:r>
          <w:r>
            <w:rPr>
              <w:rFonts w:ascii="Times New Roman" w:hAnsi="Times New Roman" w:cs="Times New Roman"/>
              <w:b w:val="0"/>
              <w:bCs w:val="0"/>
              <w:sz w:val="24"/>
              <w:szCs w:val="24"/>
            </w:rPr>
            <w:fldChar w:fldCharType="begin"/>
          </w:r>
          <w:r>
            <w:rPr>
              <w:rFonts w:ascii="Times New Roman" w:hAnsi="Times New Roman" w:cs="Times New Roman"/>
              <w:b w:val="0"/>
              <w:bCs w:val="0"/>
              <w:sz w:val="24"/>
              <w:szCs w:val="24"/>
            </w:rPr>
            <w:instrText xml:space="preserve"> PAGEREF _Toc221090947 \h </w:instrText>
          </w:r>
          <w:r>
            <w:rPr>
              <w:rFonts w:ascii="Times New Roman" w:hAnsi="Times New Roman" w:cs="Times New Roman"/>
              <w:b w:val="0"/>
              <w:bCs w:val="0"/>
              <w:sz w:val="24"/>
              <w:szCs w:val="24"/>
            </w:rPr>
            <w:fldChar w:fldCharType="separate"/>
          </w:r>
          <w:r>
            <w:rPr>
              <w:rFonts w:ascii="Times New Roman" w:hAnsi="Times New Roman" w:cs="Times New Roman"/>
              <w:b w:val="0"/>
              <w:bCs w:val="0"/>
              <w:sz w:val="24"/>
              <w:szCs w:val="24"/>
            </w:rPr>
            <w:t>37</w:t>
          </w:r>
          <w:r>
            <w:rPr>
              <w:rFonts w:ascii="Times New Roman" w:hAnsi="Times New Roman" w:cs="Times New Roman"/>
              <w:b w:val="0"/>
              <w:bCs w:val="0"/>
              <w:sz w:val="24"/>
              <w:szCs w:val="24"/>
            </w:rPr>
            <w:fldChar w:fldCharType="end"/>
          </w:r>
          <w:r>
            <w:rPr>
              <w:rFonts w:ascii="Times New Roman" w:hAnsi="Times New Roman" w:cs="Times New Roman"/>
              <w:b w:val="0"/>
              <w:bCs w:val="0"/>
              <w:sz w:val="24"/>
              <w:szCs w:val="24"/>
            </w:rPr>
            <w:fldChar w:fldCharType="end"/>
          </w:r>
        </w:p>
        <w:p w14:paraId="4B88A14E">
          <w:pPr>
            <w:pStyle w:val="27"/>
            <w:tabs>
              <w:tab w:val="right" w:leader="dot" w:pos="8776"/>
            </w:tabs>
            <w:rPr>
              <w:rFonts w:ascii="Times New Roman" w:hAnsi="Times New Roman" w:cs="Times New Roman"/>
              <w:b w:val="0"/>
              <w:bCs w:val="0"/>
              <w:caps w:val="0"/>
              <w:sz w:val="24"/>
              <w:szCs w:val="24"/>
              <w14:ligatures w14:val="standardContextual"/>
            </w:rPr>
          </w:pPr>
          <w:r>
            <w:fldChar w:fldCharType="begin"/>
          </w:r>
          <w:r>
            <w:instrText xml:space="preserve"> HYPERLINK \l "_Toc221090948" </w:instrText>
          </w:r>
          <w:r>
            <w:fldChar w:fldCharType="separate"/>
          </w:r>
          <w:r>
            <w:rPr>
              <w:rStyle w:val="43"/>
              <w:rFonts w:ascii="Times New Roman" w:hAnsi="Times New Roman" w:cs="Times New Roman"/>
              <w:b w:val="0"/>
              <w:bCs w:val="0"/>
              <w:sz w:val="24"/>
              <w:szCs w:val="24"/>
            </w:rPr>
            <w:t>附录B</w:t>
          </w:r>
          <w:r>
            <w:rPr>
              <w:rStyle w:val="43"/>
              <w:rFonts w:ascii="Times New Roman" w:hAnsi="Times New Roman" w:cs="Times New Roman"/>
              <w:b w:val="0"/>
              <w:bCs w:val="0"/>
              <w:sz w:val="24"/>
              <w:szCs w:val="24"/>
            </w:rPr>
            <w:fldChar w:fldCharType="end"/>
          </w:r>
          <w:r>
            <w:fldChar w:fldCharType="begin"/>
          </w:r>
          <w:r>
            <w:instrText xml:space="preserve"> HYPERLINK \l "_Toc221090949" </w:instrText>
          </w:r>
          <w:r>
            <w:fldChar w:fldCharType="separate"/>
          </w:r>
          <w:r>
            <w:rPr>
              <w:rStyle w:val="43"/>
              <w:rFonts w:ascii="Times New Roman" w:hAnsi="Times New Roman" w:cs="Times New Roman"/>
              <w:b w:val="0"/>
              <w:bCs w:val="0"/>
              <w:sz w:val="24"/>
              <w:szCs w:val="24"/>
            </w:rPr>
            <w:t>热式气体质量流量计型式评价原始记录格式（参考）</w:t>
          </w:r>
          <w:r>
            <w:rPr>
              <w:rFonts w:ascii="Times New Roman" w:hAnsi="Times New Roman" w:cs="Times New Roman"/>
              <w:b w:val="0"/>
              <w:bCs w:val="0"/>
              <w:sz w:val="24"/>
              <w:szCs w:val="24"/>
            </w:rPr>
            <w:tab/>
          </w:r>
          <w:r>
            <w:rPr>
              <w:rFonts w:ascii="Times New Roman" w:hAnsi="Times New Roman" w:cs="Times New Roman"/>
              <w:b w:val="0"/>
              <w:bCs w:val="0"/>
              <w:sz w:val="24"/>
              <w:szCs w:val="24"/>
            </w:rPr>
            <w:fldChar w:fldCharType="begin"/>
          </w:r>
          <w:r>
            <w:rPr>
              <w:rFonts w:ascii="Times New Roman" w:hAnsi="Times New Roman" w:cs="Times New Roman"/>
              <w:b w:val="0"/>
              <w:bCs w:val="0"/>
              <w:sz w:val="24"/>
              <w:szCs w:val="24"/>
            </w:rPr>
            <w:instrText xml:space="preserve"> PAGEREF _Toc221090949 \h </w:instrText>
          </w:r>
          <w:r>
            <w:rPr>
              <w:rFonts w:ascii="Times New Roman" w:hAnsi="Times New Roman" w:cs="Times New Roman"/>
              <w:b w:val="0"/>
              <w:bCs w:val="0"/>
              <w:sz w:val="24"/>
              <w:szCs w:val="24"/>
            </w:rPr>
            <w:fldChar w:fldCharType="separate"/>
          </w:r>
          <w:r>
            <w:rPr>
              <w:rFonts w:ascii="Times New Roman" w:hAnsi="Times New Roman" w:cs="Times New Roman"/>
              <w:b w:val="0"/>
              <w:bCs w:val="0"/>
              <w:sz w:val="24"/>
              <w:szCs w:val="24"/>
            </w:rPr>
            <w:t>39</w:t>
          </w:r>
          <w:r>
            <w:rPr>
              <w:rFonts w:ascii="Times New Roman" w:hAnsi="Times New Roman" w:cs="Times New Roman"/>
              <w:b w:val="0"/>
              <w:bCs w:val="0"/>
              <w:sz w:val="24"/>
              <w:szCs w:val="24"/>
            </w:rPr>
            <w:fldChar w:fldCharType="end"/>
          </w:r>
          <w:r>
            <w:rPr>
              <w:rFonts w:ascii="Times New Roman" w:hAnsi="Times New Roman" w:cs="Times New Roman"/>
              <w:b w:val="0"/>
              <w:bCs w:val="0"/>
              <w:sz w:val="24"/>
              <w:szCs w:val="24"/>
            </w:rPr>
            <w:fldChar w:fldCharType="end"/>
          </w:r>
        </w:p>
        <w:p w14:paraId="71D57184">
          <w:pPr>
            <w:pStyle w:val="27"/>
            <w:tabs>
              <w:tab w:val="right" w:leader="dot" w:pos="8776"/>
            </w:tabs>
            <w:rPr>
              <w:rFonts w:hint="eastAsia" w:asciiTheme="minorHAnsi" w:hAnsiTheme="minorHAnsi" w:eastAsiaTheme="minorEastAsia" w:cstheme="minorBidi"/>
              <w:b w:val="0"/>
              <w:bCs w:val="0"/>
              <w:caps w:val="0"/>
              <w:sz w:val="22"/>
              <w:szCs w:val="24"/>
              <w14:ligatures w14:val="standardContextual"/>
            </w:rPr>
          </w:pPr>
          <w:r>
            <w:fldChar w:fldCharType="begin"/>
          </w:r>
          <w:r>
            <w:instrText xml:space="preserve"> HYPERLINK \l "_Toc221090951" </w:instrText>
          </w:r>
          <w:r>
            <w:fldChar w:fldCharType="separate"/>
          </w:r>
          <w:r>
            <w:rPr>
              <w:rStyle w:val="43"/>
              <w:rFonts w:ascii="Times New Roman" w:hAnsi="Times New Roman" w:cs="Times New Roman"/>
              <w:b w:val="0"/>
              <w:bCs w:val="0"/>
              <w:sz w:val="24"/>
              <w:szCs w:val="24"/>
            </w:rPr>
            <w:t>附录C</w:t>
          </w:r>
          <w:r>
            <w:rPr>
              <w:rStyle w:val="43"/>
              <w:rFonts w:ascii="Times New Roman" w:hAnsi="Times New Roman" w:cs="Times New Roman"/>
              <w:b w:val="0"/>
              <w:bCs w:val="0"/>
              <w:sz w:val="24"/>
              <w:szCs w:val="24"/>
            </w:rPr>
            <w:fldChar w:fldCharType="end"/>
          </w:r>
          <w:r>
            <w:fldChar w:fldCharType="begin"/>
          </w:r>
          <w:r>
            <w:instrText xml:space="preserve"> HYPERLINK \l "_Toc221090952" </w:instrText>
          </w:r>
          <w:r>
            <w:fldChar w:fldCharType="separate"/>
          </w:r>
          <w:r>
            <w:rPr>
              <w:rStyle w:val="43"/>
              <w:rFonts w:ascii="Times New Roman" w:hAnsi="Times New Roman" w:cs="Times New Roman"/>
              <w:b w:val="0"/>
              <w:bCs w:val="0"/>
              <w:sz w:val="24"/>
              <w:szCs w:val="24"/>
            </w:rPr>
            <w:t>流量计应用软件的管理要求</w:t>
          </w:r>
          <w:r>
            <w:rPr>
              <w:rFonts w:ascii="Times New Roman" w:hAnsi="Times New Roman" w:cs="Times New Roman"/>
              <w:b w:val="0"/>
              <w:bCs w:val="0"/>
              <w:sz w:val="24"/>
              <w:szCs w:val="24"/>
            </w:rPr>
            <w:tab/>
          </w:r>
          <w:r>
            <w:rPr>
              <w:rFonts w:ascii="Times New Roman" w:hAnsi="Times New Roman" w:cs="Times New Roman"/>
              <w:b w:val="0"/>
              <w:bCs w:val="0"/>
              <w:sz w:val="24"/>
              <w:szCs w:val="24"/>
            </w:rPr>
            <w:fldChar w:fldCharType="begin"/>
          </w:r>
          <w:r>
            <w:rPr>
              <w:rFonts w:ascii="Times New Roman" w:hAnsi="Times New Roman" w:cs="Times New Roman"/>
              <w:b w:val="0"/>
              <w:bCs w:val="0"/>
              <w:sz w:val="24"/>
              <w:szCs w:val="24"/>
            </w:rPr>
            <w:instrText xml:space="preserve"> PAGEREF _Toc221090952 \h </w:instrText>
          </w:r>
          <w:r>
            <w:rPr>
              <w:rFonts w:ascii="Times New Roman" w:hAnsi="Times New Roman" w:cs="Times New Roman"/>
              <w:b w:val="0"/>
              <w:bCs w:val="0"/>
              <w:sz w:val="24"/>
              <w:szCs w:val="24"/>
            </w:rPr>
            <w:fldChar w:fldCharType="separate"/>
          </w:r>
          <w:r>
            <w:rPr>
              <w:rFonts w:ascii="Times New Roman" w:hAnsi="Times New Roman" w:cs="Times New Roman"/>
              <w:b w:val="0"/>
              <w:bCs w:val="0"/>
              <w:sz w:val="24"/>
              <w:szCs w:val="24"/>
            </w:rPr>
            <w:t>47</w:t>
          </w:r>
          <w:r>
            <w:rPr>
              <w:rFonts w:ascii="Times New Roman" w:hAnsi="Times New Roman" w:cs="Times New Roman"/>
              <w:b w:val="0"/>
              <w:bCs w:val="0"/>
              <w:sz w:val="24"/>
              <w:szCs w:val="24"/>
            </w:rPr>
            <w:fldChar w:fldCharType="end"/>
          </w:r>
          <w:r>
            <w:rPr>
              <w:rFonts w:ascii="Times New Roman" w:hAnsi="Times New Roman" w:cs="Times New Roman"/>
              <w:b w:val="0"/>
              <w:bCs w:val="0"/>
              <w:sz w:val="24"/>
              <w:szCs w:val="24"/>
            </w:rPr>
            <w:fldChar w:fldCharType="end"/>
          </w:r>
        </w:p>
        <w:p w14:paraId="26CD54B4">
          <w:pPr>
            <w:rPr>
              <w:rFonts w:eastAsia="黑体"/>
              <w:sz w:val="32"/>
              <w:szCs w:val="32"/>
            </w:rPr>
          </w:pPr>
          <w:r>
            <w:rPr>
              <w:b/>
              <w:bCs/>
              <w:lang w:val="zh-CN"/>
            </w:rPr>
            <w:fldChar w:fldCharType="end"/>
          </w:r>
        </w:p>
      </w:sdtContent>
    </w:sdt>
    <w:p w14:paraId="70E3FC8B">
      <w:pPr>
        <w:tabs>
          <w:tab w:val="left" w:pos="2105"/>
        </w:tabs>
        <w:rPr>
          <w:rFonts w:eastAsia="黑体"/>
          <w:sz w:val="32"/>
          <w:szCs w:val="32"/>
        </w:rPr>
        <w:sectPr>
          <w:footerReference r:id="rId6" w:type="default"/>
          <w:type w:val="continuous"/>
          <w:pgSz w:w="11906" w:h="16838"/>
          <w:pgMar w:top="1418" w:right="1418" w:bottom="1418" w:left="1418" w:header="851" w:footer="992" w:gutter="284"/>
          <w:pgNumType w:fmt="upperRoman" w:start="1"/>
          <w:cols w:space="720" w:num="1"/>
          <w:docGrid w:type="lines" w:linePitch="312" w:charSpace="0"/>
        </w:sectPr>
      </w:pPr>
      <w:r>
        <w:rPr>
          <w:rFonts w:eastAsia="黑体"/>
          <w:sz w:val="32"/>
          <w:szCs w:val="32"/>
        </w:rPr>
        <w:tab/>
      </w:r>
    </w:p>
    <w:p w14:paraId="755C4DF7">
      <w:pPr>
        <w:spacing w:before="240" w:after="60" w:line="259" w:lineRule="auto"/>
        <w:jc w:val="center"/>
        <w:outlineLvl w:val="0"/>
        <w:rPr>
          <w:rFonts w:ascii="Cambria" w:hAnsi="Cambria"/>
          <w:b/>
          <w:bCs/>
          <w:color w:val="000000"/>
          <w:sz w:val="32"/>
          <w:szCs w:val="32"/>
        </w:rPr>
      </w:pPr>
      <w:bookmarkStart w:id="2" w:name="_Toc219130135"/>
      <w:bookmarkStart w:id="3" w:name="_Toc221090893"/>
      <w:bookmarkStart w:id="4" w:name="_Toc28481"/>
      <w:r>
        <w:rPr>
          <w:rFonts w:hint="eastAsia" w:ascii="Cambria" w:hAnsi="Cambria"/>
          <w:b/>
          <w:bCs/>
          <w:color w:val="000000"/>
          <w:sz w:val="32"/>
          <w:szCs w:val="32"/>
        </w:rPr>
        <w:t>引 言</w:t>
      </w:r>
      <w:bookmarkEnd w:id="2"/>
      <w:bookmarkEnd w:id="3"/>
      <w:bookmarkEnd w:id="4"/>
    </w:p>
    <w:p w14:paraId="7127E51A">
      <w:pPr>
        <w:spacing w:before="160" w:line="360" w:lineRule="auto"/>
        <w:ind w:firstLine="480" w:firstLineChars="200"/>
        <w:rPr>
          <w:rFonts w:cstheme="minorBidi"/>
          <w:sz w:val="24"/>
          <w:szCs w:val="24"/>
        </w:rPr>
      </w:pPr>
      <w:r>
        <w:rPr>
          <w:rFonts w:hint="eastAsia" w:cstheme="minorBidi"/>
          <w:sz w:val="24"/>
          <w:szCs w:val="24"/>
        </w:rPr>
        <w:t>根据热式气体质量流量计型式评价工作的需要，修订本型式评价大纲。</w:t>
      </w:r>
    </w:p>
    <w:p w14:paraId="228D17B3">
      <w:pPr>
        <w:spacing w:before="160" w:line="360" w:lineRule="auto"/>
        <w:ind w:firstLine="480" w:firstLineChars="200"/>
        <w:rPr>
          <w:rFonts w:cstheme="minorBidi"/>
          <w:sz w:val="24"/>
          <w:szCs w:val="24"/>
        </w:rPr>
      </w:pPr>
      <w:r>
        <w:rPr>
          <w:rFonts w:hint="eastAsia" w:cstheme="minorBidi"/>
          <w:sz w:val="24"/>
          <w:szCs w:val="24"/>
        </w:rPr>
        <w:t>制修订工作是遵循科学性、可操作性的原则，按JJF 1015—2014《计量器具型式评价通用规范》、JJF 1016—2014《计量器具型式评价大纲编写导则》的要求，依据GB/T 2423.1《电工电子产品环境试验 第2部分 试验方法 试验A 低温》、GB/T 2423.2《电工电子产品环境试验 第2部分 试验方法 试验B 高温》、GB/T 2423.3《电工电子产品环境试验 第2部分 试验方法 试验Cab：恒定湿热试验方法》、GB/T 2423.10《电工电子产品环境试验 第2部分：试验方法 试验Fc：振动（正弦）》、GB/T 17626.2《电磁兼容 试验和测量技术 静电放电抗扰度试验》、GB/T 17626.3《电磁兼容 试验和测量技术 射频电磁场辐射抗扰度试验》、GB/T 17626.4《电磁兼容 试验和测量技术 电快速瞬变脉冲群抗扰度试验》、GB/T 17626.5《电磁兼容 试验和测量技术 浪涌(冲击)抗扰度试验》、GB/T 17626.11《电磁兼容 试验与测量技术 电压暂降、短时中断和电压变化的抗扰度试验》，结合我国热式气体质量流量计的技术水平及行业现状进行修订。</w:t>
      </w:r>
    </w:p>
    <w:p w14:paraId="19D2EE3E">
      <w:pPr>
        <w:widowControl/>
        <w:spacing w:before="160" w:line="360" w:lineRule="auto"/>
        <w:ind w:firstLine="480" w:firstLineChars="200"/>
        <w:rPr>
          <w:rFonts w:cstheme="minorBidi"/>
          <w:sz w:val="24"/>
          <w:szCs w:val="24"/>
        </w:rPr>
      </w:pPr>
      <w:r>
        <w:rPr>
          <w:rFonts w:hint="eastAsia" w:cstheme="minorBidi"/>
          <w:sz w:val="24"/>
          <w:szCs w:val="24"/>
        </w:rPr>
        <w:t>与JJF 1623—2017相比，本次修订除了编辑性修改外，主要技术变化如下：</w:t>
      </w:r>
    </w:p>
    <w:p w14:paraId="4C0A8D8D">
      <w:pPr>
        <w:widowControl/>
        <w:spacing w:before="160" w:line="360" w:lineRule="auto"/>
        <w:ind w:firstLine="480" w:firstLineChars="200"/>
        <w:rPr>
          <w:rFonts w:cstheme="minorBidi"/>
          <w:sz w:val="24"/>
          <w:szCs w:val="24"/>
        </w:rPr>
      </w:pPr>
      <w:r>
        <w:rPr>
          <w:rFonts w:hint="eastAsia" w:cstheme="minorBidi"/>
          <w:sz w:val="24"/>
          <w:szCs w:val="24"/>
        </w:rPr>
        <w:t>——修改了引言部分；</w:t>
      </w:r>
    </w:p>
    <w:p w14:paraId="4BE52992">
      <w:pPr>
        <w:widowControl/>
        <w:spacing w:before="160" w:line="360" w:lineRule="auto"/>
        <w:ind w:firstLine="480" w:firstLineChars="200"/>
        <w:rPr>
          <w:rFonts w:cstheme="minorBidi"/>
          <w:sz w:val="24"/>
          <w:szCs w:val="24"/>
        </w:rPr>
      </w:pPr>
      <w:r>
        <w:rPr>
          <w:rFonts w:hint="eastAsia" w:cstheme="minorBidi"/>
          <w:sz w:val="24"/>
          <w:szCs w:val="24"/>
        </w:rPr>
        <w:t>——修改了引用文献部分；</w:t>
      </w:r>
    </w:p>
    <w:p w14:paraId="3178AD97">
      <w:pPr>
        <w:widowControl/>
        <w:spacing w:before="160" w:line="360" w:lineRule="auto"/>
        <w:ind w:firstLine="480" w:firstLineChars="200"/>
        <w:rPr>
          <w:rFonts w:cstheme="minorBidi"/>
          <w:sz w:val="24"/>
          <w:szCs w:val="24"/>
        </w:rPr>
      </w:pPr>
      <w:r>
        <w:rPr>
          <w:rFonts w:hint="eastAsia" w:cstheme="minorBidi"/>
          <w:sz w:val="24"/>
          <w:szCs w:val="24"/>
        </w:rPr>
        <w:t>——修改了术语和计量单位；</w:t>
      </w:r>
    </w:p>
    <w:p w14:paraId="7DA854BD">
      <w:pPr>
        <w:widowControl/>
        <w:spacing w:before="160" w:line="360" w:lineRule="auto"/>
        <w:ind w:firstLine="480" w:firstLineChars="200"/>
        <w:rPr>
          <w:rFonts w:cstheme="minorBidi"/>
          <w:sz w:val="24"/>
          <w:szCs w:val="24"/>
        </w:rPr>
      </w:pPr>
      <w:r>
        <w:rPr>
          <w:rFonts w:hint="eastAsia" w:cstheme="minorBidi"/>
          <w:sz w:val="24"/>
          <w:szCs w:val="24"/>
        </w:rPr>
        <w:t>——根据法制管理的要求，增加了关键零部件和材料；</w:t>
      </w:r>
    </w:p>
    <w:p w14:paraId="3DC7E387">
      <w:pPr>
        <w:widowControl/>
        <w:spacing w:before="160" w:line="360" w:lineRule="auto"/>
        <w:ind w:firstLine="480" w:firstLineChars="200"/>
        <w:rPr>
          <w:rFonts w:cstheme="minorBidi"/>
          <w:sz w:val="24"/>
          <w:szCs w:val="24"/>
        </w:rPr>
      </w:pPr>
      <w:r>
        <w:rPr>
          <w:rFonts w:hint="eastAsia" w:cstheme="minorBidi"/>
          <w:sz w:val="24"/>
          <w:szCs w:val="24"/>
        </w:rPr>
        <w:t>——修改了密封性、耐压强度条款要求，删除了外壳防护性能条款；</w:t>
      </w:r>
    </w:p>
    <w:p w14:paraId="3870781A">
      <w:pPr>
        <w:widowControl/>
        <w:spacing w:before="160" w:line="360" w:lineRule="auto"/>
        <w:ind w:firstLine="480" w:firstLineChars="200"/>
        <w:rPr>
          <w:rFonts w:cstheme="minorBidi"/>
          <w:sz w:val="24"/>
          <w:szCs w:val="24"/>
        </w:rPr>
      </w:pPr>
      <w:r>
        <w:rPr>
          <w:rFonts w:hint="eastAsia" w:cstheme="minorBidi"/>
          <w:sz w:val="24"/>
          <w:szCs w:val="24"/>
        </w:rPr>
        <w:t>——增加了流体扰动的技术要求和试验方法；</w:t>
      </w:r>
    </w:p>
    <w:p w14:paraId="4DBC50EA">
      <w:pPr>
        <w:widowControl/>
        <w:spacing w:before="160" w:line="360" w:lineRule="auto"/>
        <w:ind w:firstLine="480" w:firstLineChars="200"/>
        <w:rPr>
          <w:rFonts w:cstheme="minorBidi"/>
          <w:sz w:val="24"/>
          <w:szCs w:val="24"/>
        </w:rPr>
      </w:pPr>
      <w:r>
        <w:rPr>
          <w:rFonts w:hint="eastAsia" w:cstheme="minorBidi"/>
          <w:sz w:val="24"/>
          <w:szCs w:val="24"/>
        </w:rPr>
        <w:t>——对于测量可燃气体或在防爆条件下使用的流量计，应取得防爆合格证书的要求列入5.3.3，不再作为技术条款</w:t>
      </w:r>
    </w:p>
    <w:p w14:paraId="4C79082F">
      <w:pPr>
        <w:widowControl/>
        <w:spacing w:before="160" w:line="360" w:lineRule="auto"/>
        <w:ind w:firstLine="480" w:firstLineChars="200"/>
        <w:rPr>
          <w:rFonts w:cstheme="minorBidi"/>
          <w:sz w:val="24"/>
          <w:szCs w:val="24"/>
        </w:rPr>
      </w:pPr>
      <w:r>
        <w:rPr>
          <w:rFonts w:hint="eastAsia" w:cstheme="minorBidi"/>
          <w:sz w:val="24"/>
          <w:szCs w:val="24"/>
        </w:rPr>
        <w:t>——增加了复现性误差、流体扰动等试验项目</w:t>
      </w:r>
    </w:p>
    <w:p w14:paraId="5A3BD17C">
      <w:pPr>
        <w:widowControl/>
        <w:spacing w:before="160" w:line="360" w:lineRule="auto"/>
        <w:ind w:firstLine="480" w:firstLineChars="200"/>
        <w:rPr>
          <w:rFonts w:cstheme="minorBidi"/>
          <w:sz w:val="24"/>
          <w:szCs w:val="24"/>
        </w:rPr>
      </w:pPr>
      <w:r>
        <w:rPr>
          <w:rFonts w:hint="eastAsia" w:cstheme="minorBidi"/>
          <w:sz w:val="24"/>
          <w:szCs w:val="24"/>
        </w:rPr>
        <w:t>——对流量计系列产品的要求进行了完善；</w:t>
      </w:r>
    </w:p>
    <w:p w14:paraId="43E056CA">
      <w:pPr>
        <w:widowControl/>
        <w:spacing w:before="160" w:line="360" w:lineRule="auto"/>
        <w:ind w:firstLine="480" w:firstLineChars="200"/>
        <w:rPr>
          <w:rFonts w:cstheme="minorBidi"/>
          <w:sz w:val="24"/>
          <w:szCs w:val="24"/>
        </w:rPr>
      </w:pPr>
      <w:r>
        <w:rPr>
          <w:rFonts w:hint="eastAsia" w:cstheme="minorBidi"/>
          <w:sz w:val="24"/>
          <w:szCs w:val="24"/>
        </w:rPr>
        <w:t>——对流量计样机数量的要求进行了修改；</w:t>
      </w:r>
    </w:p>
    <w:p w14:paraId="106E6DEF">
      <w:pPr>
        <w:widowControl/>
        <w:spacing w:before="160" w:line="360" w:lineRule="auto"/>
        <w:ind w:firstLine="480" w:firstLineChars="200"/>
        <w:rPr>
          <w:rFonts w:cstheme="minorBidi"/>
          <w:sz w:val="24"/>
          <w:szCs w:val="24"/>
        </w:rPr>
      </w:pPr>
      <w:r>
        <w:rPr>
          <w:rFonts w:hint="eastAsia" w:cstheme="minorBidi"/>
          <w:sz w:val="24"/>
          <w:szCs w:val="24"/>
        </w:rPr>
        <w:t>——增加了“流量计应用软件的管理要求”附录；</w:t>
      </w:r>
    </w:p>
    <w:p w14:paraId="777C2889">
      <w:pPr>
        <w:spacing w:before="160" w:line="360" w:lineRule="auto"/>
        <w:ind w:firstLine="480" w:firstLineChars="200"/>
        <w:rPr>
          <w:rFonts w:cstheme="minorBidi"/>
          <w:sz w:val="24"/>
          <w:szCs w:val="32"/>
        </w:rPr>
      </w:pPr>
      <w:r>
        <w:rPr>
          <w:rFonts w:cstheme="minorBidi"/>
          <w:sz w:val="24"/>
          <w:szCs w:val="32"/>
        </w:rPr>
        <w:t>所替代</w:t>
      </w:r>
      <w:r>
        <w:rPr>
          <w:rFonts w:hint="eastAsia" w:cstheme="minorBidi"/>
          <w:sz w:val="24"/>
          <w:szCs w:val="32"/>
        </w:rPr>
        <w:t>大纲</w:t>
      </w:r>
      <w:r>
        <w:rPr>
          <w:rFonts w:cstheme="minorBidi"/>
          <w:sz w:val="24"/>
          <w:szCs w:val="32"/>
        </w:rPr>
        <w:t>的历次版本发布情况</w:t>
      </w:r>
      <w:r>
        <w:rPr>
          <w:rFonts w:hint="eastAsia" w:cstheme="minorBidi"/>
          <w:sz w:val="24"/>
          <w:szCs w:val="32"/>
        </w:rPr>
        <w:t>：</w:t>
      </w:r>
    </w:p>
    <w:p w14:paraId="712C113E">
      <w:pPr>
        <w:spacing w:before="160" w:line="360" w:lineRule="auto"/>
        <w:ind w:firstLine="480" w:firstLineChars="200"/>
        <w:rPr>
          <w:rFonts w:cstheme="minorBidi"/>
          <w:sz w:val="24"/>
          <w:szCs w:val="32"/>
        </w:rPr>
      </w:pPr>
      <w:r>
        <w:rPr>
          <w:rFonts w:hint="eastAsia" w:cstheme="minorBidi"/>
          <w:sz w:val="24"/>
          <w:szCs w:val="32"/>
        </w:rPr>
        <w:t>——JJF 1632—2017《热式气体质量流量计型式评价大纲》。</w:t>
      </w:r>
    </w:p>
    <w:p w14:paraId="429E72EE">
      <w:pPr>
        <w:snapToGrid w:val="0"/>
        <w:spacing w:line="360" w:lineRule="auto"/>
        <w:jc w:val="left"/>
        <w:rPr>
          <w:rFonts w:eastAsia="黑体"/>
          <w:sz w:val="32"/>
          <w:szCs w:val="32"/>
        </w:rPr>
      </w:pPr>
    </w:p>
    <w:p w14:paraId="53ABF498">
      <w:pPr>
        <w:widowControl/>
        <w:jc w:val="left"/>
        <w:rPr>
          <w:rFonts w:eastAsia="黑体"/>
          <w:sz w:val="32"/>
          <w:szCs w:val="32"/>
        </w:rPr>
      </w:pPr>
      <w:r>
        <w:rPr>
          <w:rFonts w:eastAsia="黑体"/>
          <w:sz w:val="32"/>
          <w:szCs w:val="32"/>
        </w:rPr>
        <w:br w:type="page"/>
      </w:r>
    </w:p>
    <w:p w14:paraId="06D346C9">
      <w:pPr>
        <w:widowControl/>
        <w:spacing w:after="160" w:line="360" w:lineRule="auto"/>
        <w:jc w:val="center"/>
        <w:rPr>
          <w:b/>
          <w:color w:val="000000" w:themeColor="text1"/>
          <w:sz w:val="32"/>
          <w:szCs w:val="24"/>
          <w14:textFill>
            <w14:solidFill>
              <w14:schemeClr w14:val="tx1"/>
            </w14:solidFill>
          </w14:textFill>
        </w:rPr>
      </w:pPr>
      <w:r>
        <w:rPr>
          <w:rFonts w:hint="eastAsia"/>
          <w:b/>
          <w:color w:val="000000" w:themeColor="text1"/>
          <w:sz w:val="32"/>
          <w:szCs w:val="24"/>
          <w14:textFill>
            <w14:solidFill>
              <w14:schemeClr w14:val="tx1"/>
            </w14:solidFill>
          </w14:textFill>
        </w:rPr>
        <w:t>热式气体质量流量计型式评价大纲</w:t>
      </w:r>
      <w:bookmarkStart w:id="5" w:name="_Toc291956066"/>
      <w:bookmarkStart w:id="6" w:name="_Toc265054854"/>
    </w:p>
    <w:p w14:paraId="724F3F25">
      <w:pPr>
        <w:pStyle w:val="36"/>
        <w:spacing w:line="259" w:lineRule="auto"/>
        <w:jc w:val="left"/>
        <w:rPr>
          <w:rFonts w:eastAsiaTheme="majorEastAsia"/>
          <w:color w:val="000000" w:themeColor="text1"/>
          <w14:textFill>
            <w14:solidFill>
              <w14:schemeClr w14:val="tx1"/>
            </w14:solidFill>
          </w14:textFill>
        </w:rPr>
      </w:pPr>
      <w:bookmarkStart w:id="7" w:name="_Toc457808563"/>
      <w:bookmarkStart w:id="8" w:name="_Toc501210772"/>
      <w:bookmarkStart w:id="9" w:name="_Toc457807238"/>
      <w:bookmarkStart w:id="10" w:name="_Toc22960"/>
      <w:bookmarkStart w:id="11" w:name="_Toc221090894"/>
      <w:bookmarkStart w:id="12" w:name="_Toc457808101"/>
      <w:bookmarkStart w:id="13" w:name="_Toc185070184"/>
      <w:r>
        <w:rPr>
          <w:rFonts w:ascii="Times New Roman" w:hAnsi="Times New Roman" w:cs="Times New Roman" w:eastAsiaTheme="majorEastAsia"/>
          <w:color w:val="000000" w:themeColor="text1"/>
          <w:sz w:val="24"/>
          <w14:textFill>
            <w14:solidFill>
              <w14:schemeClr w14:val="tx1"/>
            </w14:solidFill>
          </w14:textFill>
        </w:rPr>
        <w:t>1</w:t>
      </w:r>
      <w:r>
        <w:rPr>
          <w:rFonts w:hint="eastAsia" w:ascii="Times New Roman" w:hAnsi="Times New Roman" w:cs="Times New Roman" w:eastAsiaTheme="majorEastAsia"/>
          <w:color w:val="000000" w:themeColor="text1"/>
          <w14:textFill>
            <w14:solidFill>
              <w14:schemeClr w14:val="tx1"/>
            </w14:solidFill>
          </w14:textFill>
        </w:rPr>
        <w:t xml:space="preserve"> </w:t>
      </w:r>
      <w:r>
        <w:rPr>
          <w:rFonts w:hint="eastAsia" w:ascii="宋体" w:hAnsi="宋体" w:eastAsia="黑体" w:cs="Times New Roman"/>
          <w:color w:val="000000" w:themeColor="text1"/>
          <w:sz w:val="24"/>
          <w14:textFill>
            <w14:solidFill>
              <w14:schemeClr w14:val="tx1"/>
            </w14:solidFill>
          </w14:textFill>
        </w:rPr>
        <w:t>范围</w:t>
      </w:r>
      <w:bookmarkEnd w:id="5"/>
      <w:bookmarkEnd w:id="6"/>
      <w:bookmarkEnd w:id="7"/>
      <w:bookmarkEnd w:id="8"/>
      <w:bookmarkEnd w:id="9"/>
      <w:bookmarkEnd w:id="10"/>
      <w:bookmarkEnd w:id="11"/>
      <w:bookmarkEnd w:id="12"/>
      <w:bookmarkEnd w:id="13"/>
    </w:p>
    <w:p w14:paraId="65365C22">
      <w:pPr>
        <w:spacing w:before="160" w:line="360" w:lineRule="auto"/>
        <w:ind w:firstLine="480" w:firstLineChars="200"/>
        <w:rPr>
          <w:rStyle w:val="130"/>
          <w:rFonts w:hint="default" w:ascii="宋体" w:hAnsi="宋体" w:eastAsia="宋体"/>
          <w:color w:val="000000" w:themeColor="text1"/>
          <w14:textFill>
            <w14:solidFill>
              <w14:schemeClr w14:val="tx1"/>
            </w14:solidFill>
          </w14:textFill>
        </w:rPr>
      </w:pPr>
      <w:r>
        <w:rPr>
          <w:rStyle w:val="130"/>
          <w:rFonts w:hint="default" w:ascii="宋体" w:hAnsi="宋体" w:eastAsia="宋体"/>
          <w:color w:val="000000" w:themeColor="text1"/>
          <w14:textFill>
            <w14:solidFill>
              <w14:schemeClr w14:val="tx1"/>
            </w14:solidFill>
          </w14:textFill>
        </w:rPr>
        <w:t>本型式评价大纲适用于分类编码为12183500的热式气体质量流量计 (以下简称流量计)的型式评价。</w:t>
      </w:r>
      <w:bookmarkStart w:id="14" w:name="_Toc265054855"/>
      <w:bookmarkStart w:id="15" w:name="_Toc291956067"/>
    </w:p>
    <w:p w14:paraId="7179818E">
      <w:pPr>
        <w:pStyle w:val="36"/>
        <w:spacing w:line="259" w:lineRule="auto"/>
        <w:jc w:val="left"/>
        <w:rPr>
          <w:rFonts w:hint="eastAsia" w:ascii="宋体" w:hAnsi="宋体" w:eastAsia="黑体"/>
          <w:color w:val="000000" w:themeColor="text1"/>
          <w:sz w:val="24"/>
          <w14:textFill>
            <w14:solidFill>
              <w14:schemeClr w14:val="tx1"/>
            </w14:solidFill>
          </w14:textFill>
        </w:rPr>
      </w:pPr>
      <w:bookmarkStart w:id="16" w:name="_Toc185070185"/>
      <w:bookmarkStart w:id="17" w:name="_Toc457807239"/>
      <w:bookmarkStart w:id="18" w:name="_Toc457808102"/>
      <w:bookmarkStart w:id="19" w:name="_Toc4303"/>
      <w:bookmarkStart w:id="20" w:name="_Toc221090895"/>
      <w:bookmarkStart w:id="21" w:name="_Toc501210773"/>
      <w:bookmarkStart w:id="22" w:name="_Toc457808564"/>
      <w:r>
        <w:rPr>
          <w:rFonts w:ascii="Times New Roman" w:hAnsi="Times New Roman" w:cs="Times New Roman" w:eastAsiaTheme="majorEastAsia"/>
          <w:color w:val="000000" w:themeColor="text1"/>
          <w:sz w:val="24"/>
          <w14:textFill>
            <w14:solidFill>
              <w14:schemeClr w14:val="tx1"/>
            </w14:solidFill>
          </w14:textFill>
        </w:rPr>
        <w:t>2</w:t>
      </w:r>
      <w:r>
        <w:rPr>
          <w:rFonts w:hint="eastAsia" w:ascii="宋体" w:hAnsi="宋体" w:cs="Times New Roman"/>
          <w:color w:val="000000" w:themeColor="text1"/>
          <w14:textFill>
            <w14:solidFill>
              <w14:schemeClr w14:val="tx1"/>
            </w14:solidFill>
          </w14:textFill>
        </w:rPr>
        <w:t xml:space="preserve"> </w:t>
      </w:r>
      <w:r>
        <w:rPr>
          <w:rFonts w:hint="eastAsia" w:ascii="宋体" w:hAnsi="宋体" w:eastAsia="黑体" w:cs="Times New Roman"/>
          <w:color w:val="000000" w:themeColor="text1"/>
          <w:sz w:val="24"/>
          <w14:textFill>
            <w14:solidFill>
              <w14:schemeClr w14:val="tx1"/>
            </w14:solidFill>
          </w14:textFill>
        </w:rPr>
        <w:t>引用文</w:t>
      </w:r>
      <w:bookmarkEnd w:id="14"/>
      <w:bookmarkEnd w:id="15"/>
      <w:r>
        <w:rPr>
          <w:rFonts w:hint="eastAsia" w:ascii="宋体" w:hAnsi="宋体" w:eastAsia="黑体" w:cs="Times New Roman"/>
          <w:color w:val="000000" w:themeColor="text1"/>
          <w:sz w:val="24"/>
          <w14:textFill>
            <w14:solidFill>
              <w14:schemeClr w14:val="tx1"/>
            </w14:solidFill>
          </w14:textFill>
        </w:rPr>
        <w:t>件</w:t>
      </w:r>
      <w:bookmarkEnd w:id="16"/>
      <w:bookmarkEnd w:id="17"/>
      <w:bookmarkEnd w:id="18"/>
      <w:bookmarkEnd w:id="19"/>
      <w:bookmarkEnd w:id="20"/>
      <w:bookmarkEnd w:id="21"/>
      <w:bookmarkEnd w:id="22"/>
    </w:p>
    <w:p w14:paraId="5D6C126E">
      <w:pPr>
        <w:spacing w:before="160" w:line="360" w:lineRule="auto"/>
        <w:ind w:firstLine="480" w:firstLineChars="200"/>
        <w:rPr>
          <w:rStyle w:val="130"/>
          <w:rFonts w:hint="default" w:ascii="Times New Roman" w:hAnsi="Times New Roman" w:eastAsia="宋体"/>
          <w:color w:val="000000" w:themeColor="text1"/>
          <w14:textFill>
            <w14:solidFill>
              <w14:schemeClr w14:val="tx1"/>
            </w14:solidFill>
          </w14:textFill>
        </w:rPr>
      </w:pPr>
      <w:bookmarkStart w:id="23" w:name="_Toc185070186"/>
      <w:bookmarkStart w:id="24" w:name="_Toc457807240"/>
      <w:bookmarkStart w:id="25" w:name="_Toc457808565"/>
      <w:bookmarkStart w:id="26" w:name="_Toc457808103"/>
      <w:bookmarkStart w:id="27" w:name="_Toc21482"/>
      <w:bookmarkStart w:id="28" w:name="_Toc501210774"/>
      <w:bookmarkStart w:id="29" w:name="_Toc265054857"/>
      <w:bookmarkStart w:id="30" w:name="_Toc291956069"/>
      <w:r>
        <w:rPr>
          <w:rStyle w:val="130"/>
          <w:rFonts w:hint="default" w:ascii="Times New Roman" w:hAnsi="Times New Roman" w:eastAsia="宋体"/>
          <w:color w:val="000000" w:themeColor="text1"/>
          <w14:textFill>
            <w14:solidFill>
              <w14:schemeClr w14:val="tx1"/>
            </w14:solidFill>
          </w14:textFill>
        </w:rPr>
        <w:t>本规范引用了下列文件：</w:t>
      </w:r>
    </w:p>
    <w:p w14:paraId="160BEAE4">
      <w:pPr>
        <w:spacing w:before="160" w:line="360" w:lineRule="auto"/>
        <w:ind w:firstLine="480" w:firstLineChars="200"/>
        <w:rPr>
          <w:rStyle w:val="130"/>
          <w:rFonts w:hint="default" w:ascii="Times New Roman" w:hAnsi="Times New Roman" w:eastAsia="宋体"/>
          <w:color w:val="000000" w:themeColor="text1"/>
          <w14:textFill>
            <w14:solidFill>
              <w14:schemeClr w14:val="tx1"/>
            </w14:solidFill>
          </w14:textFill>
        </w:rPr>
      </w:pPr>
      <w:r>
        <w:rPr>
          <w:rStyle w:val="130"/>
          <w:rFonts w:hint="default" w:ascii="Times New Roman" w:hAnsi="Times New Roman" w:eastAsia="宋体"/>
          <w:color w:val="000000" w:themeColor="text1"/>
          <w14:textFill>
            <w14:solidFill>
              <w14:schemeClr w14:val="tx1"/>
            </w14:solidFill>
          </w14:textFill>
        </w:rPr>
        <w:t>JJGXXXX-201X 热式气体质量流量计</w:t>
      </w:r>
    </w:p>
    <w:p w14:paraId="623EFA01">
      <w:pPr>
        <w:spacing w:before="160" w:line="360" w:lineRule="auto"/>
        <w:ind w:firstLine="480" w:firstLineChars="200"/>
        <w:rPr>
          <w:rStyle w:val="130"/>
          <w:rFonts w:hint="default" w:ascii="Times New Roman" w:hAnsi="Times New Roman" w:eastAsia="宋体"/>
          <w:color w:val="000000" w:themeColor="text1"/>
          <w14:textFill>
            <w14:solidFill>
              <w14:schemeClr w14:val="tx1"/>
            </w14:solidFill>
          </w14:textFill>
        </w:rPr>
      </w:pPr>
      <w:r>
        <w:rPr>
          <w:rStyle w:val="130"/>
          <w:rFonts w:hint="default" w:ascii="Times New Roman" w:hAnsi="Times New Roman" w:eastAsia="宋体"/>
          <w:color w:val="000000" w:themeColor="text1"/>
          <w14:textFill>
            <w14:solidFill>
              <w14:schemeClr w14:val="tx1"/>
            </w14:solidFill>
          </w14:textFill>
        </w:rPr>
        <w:t>GB/T 2423.1 电工电子产品环境试验 第2部分 试验方法：试验A 低温</w:t>
      </w:r>
    </w:p>
    <w:p w14:paraId="2509D5A7">
      <w:pPr>
        <w:spacing w:before="160" w:line="360" w:lineRule="auto"/>
        <w:ind w:firstLine="480" w:firstLineChars="200"/>
        <w:rPr>
          <w:rStyle w:val="130"/>
          <w:rFonts w:hint="default" w:ascii="Times New Roman" w:hAnsi="Times New Roman" w:eastAsia="宋体"/>
          <w:color w:val="000000" w:themeColor="text1"/>
          <w14:textFill>
            <w14:solidFill>
              <w14:schemeClr w14:val="tx1"/>
            </w14:solidFill>
          </w14:textFill>
        </w:rPr>
      </w:pPr>
      <w:r>
        <w:rPr>
          <w:rStyle w:val="130"/>
          <w:rFonts w:hint="default" w:ascii="Times New Roman" w:hAnsi="Times New Roman" w:eastAsia="宋体"/>
          <w:color w:val="000000" w:themeColor="text1"/>
          <w14:textFill>
            <w14:solidFill>
              <w14:schemeClr w14:val="tx1"/>
            </w14:solidFill>
          </w14:textFill>
        </w:rPr>
        <w:t>GB/T 2423.2 电工电子产品环境试验 第2部分 试验方法：试验B 高温</w:t>
      </w:r>
    </w:p>
    <w:p w14:paraId="0556209E">
      <w:pPr>
        <w:spacing w:before="160" w:line="360" w:lineRule="auto"/>
        <w:ind w:firstLine="480" w:firstLineChars="200"/>
        <w:rPr>
          <w:rStyle w:val="130"/>
          <w:rFonts w:hint="default" w:ascii="Times New Roman" w:hAnsi="Times New Roman" w:eastAsia="宋体"/>
          <w:color w:val="000000" w:themeColor="text1"/>
          <w14:textFill>
            <w14:solidFill>
              <w14:schemeClr w14:val="tx1"/>
            </w14:solidFill>
          </w14:textFill>
        </w:rPr>
      </w:pPr>
      <w:r>
        <w:rPr>
          <w:rStyle w:val="130"/>
          <w:rFonts w:hint="default" w:ascii="Times New Roman" w:hAnsi="Times New Roman" w:eastAsia="宋体"/>
          <w:color w:val="000000" w:themeColor="text1"/>
          <w14:textFill>
            <w14:solidFill>
              <w14:schemeClr w14:val="tx1"/>
            </w14:solidFill>
          </w14:textFill>
        </w:rPr>
        <w:t>GB/T 2423.3 环境试验 第2部分 试验方法：试验Cab：恒定湿热试验</w:t>
      </w:r>
    </w:p>
    <w:p w14:paraId="542E02AC">
      <w:pPr>
        <w:spacing w:before="160" w:line="360" w:lineRule="auto"/>
        <w:ind w:firstLine="480" w:firstLineChars="200"/>
        <w:rPr>
          <w:rStyle w:val="130"/>
          <w:rFonts w:hint="default" w:ascii="Times New Roman" w:hAnsi="Times New Roman" w:eastAsia="宋体"/>
          <w:color w:val="000000" w:themeColor="text1"/>
          <w14:textFill>
            <w14:solidFill>
              <w14:schemeClr w14:val="tx1"/>
            </w14:solidFill>
          </w14:textFill>
        </w:rPr>
      </w:pPr>
      <w:r>
        <w:rPr>
          <w:rStyle w:val="130"/>
          <w:rFonts w:hint="default" w:ascii="Times New Roman" w:hAnsi="Times New Roman" w:eastAsia="宋体"/>
          <w:color w:val="000000" w:themeColor="text1"/>
          <w14:textFill>
            <w14:solidFill>
              <w14:schemeClr w14:val="tx1"/>
            </w14:solidFill>
          </w14:textFill>
        </w:rPr>
        <w:t>GB/T 2423.10 环境试验 第2部分：试验方法 试验Fc：振动（正弦）</w:t>
      </w:r>
    </w:p>
    <w:p w14:paraId="04295FF2">
      <w:pPr>
        <w:spacing w:before="160" w:line="360" w:lineRule="auto"/>
        <w:ind w:firstLine="480" w:firstLineChars="200"/>
        <w:rPr>
          <w:rStyle w:val="130"/>
          <w:rFonts w:hint="default" w:ascii="Times New Roman" w:hAnsi="Times New Roman" w:eastAsia="宋体"/>
          <w:color w:val="000000" w:themeColor="text1"/>
          <w14:textFill>
            <w14:solidFill>
              <w14:schemeClr w14:val="tx1"/>
            </w14:solidFill>
          </w14:textFill>
        </w:rPr>
      </w:pPr>
      <w:r>
        <w:rPr>
          <w:rStyle w:val="130"/>
          <w:rFonts w:hint="default" w:ascii="Times New Roman" w:hAnsi="Times New Roman" w:eastAsia="宋体"/>
          <w:color w:val="000000" w:themeColor="text1"/>
          <w14:textFill>
            <w14:solidFill>
              <w14:schemeClr w14:val="tx1"/>
            </w14:solidFill>
          </w14:textFill>
        </w:rPr>
        <w:t>GB 4208 外壳防护等级（IP代码）</w:t>
      </w:r>
    </w:p>
    <w:p w14:paraId="42528A20">
      <w:pPr>
        <w:spacing w:before="160" w:line="360" w:lineRule="auto"/>
        <w:ind w:firstLine="480" w:firstLineChars="200"/>
        <w:rPr>
          <w:rStyle w:val="130"/>
          <w:rFonts w:hint="default" w:ascii="Times New Roman" w:hAnsi="Times New Roman" w:eastAsia="宋体"/>
          <w:color w:val="000000" w:themeColor="text1"/>
          <w14:textFill>
            <w14:solidFill>
              <w14:schemeClr w14:val="tx1"/>
            </w14:solidFill>
          </w14:textFill>
        </w:rPr>
      </w:pPr>
      <w:r>
        <w:rPr>
          <w:rStyle w:val="130"/>
          <w:rFonts w:hint="default" w:ascii="Times New Roman" w:hAnsi="Times New Roman" w:eastAsia="宋体"/>
          <w:color w:val="000000" w:themeColor="text1"/>
          <w14:textFill>
            <w14:solidFill>
              <w14:schemeClr w14:val="tx1"/>
            </w14:solidFill>
          </w14:textFill>
        </w:rPr>
        <w:t>GB/T 15479 工业自动化仪表绝缘电阻、绝缘强度技术要求和试验方法</w:t>
      </w:r>
    </w:p>
    <w:p w14:paraId="7389C4D7">
      <w:pPr>
        <w:spacing w:before="160" w:line="360" w:lineRule="auto"/>
        <w:ind w:firstLine="480" w:firstLineChars="200"/>
        <w:rPr>
          <w:rStyle w:val="130"/>
          <w:rFonts w:hint="default" w:ascii="Times New Roman" w:hAnsi="Times New Roman" w:eastAsia="宋体"/>
          <w:color w:val="000000" w:themeColor="text1"/>
          <w14:textFill>
            <w14:solidFill>
              <w14:schemeClr w14:val="tx1"/>
            </w14:solidFill>
          </w14:textFill>
        </w:rPr>
      </w:pPr>
      <w:r>
        <w:rPr>
          <w:rStyle w:val="130"/>
          <w:rFonts w:hint="default" w:ascii="Times New Roman" w:hAnsi="Times New Roman" w:eastAsia="宋体"/>
          <w:color w:val="000000" w:themeColor="text1"/>
          <w14:textFill>
            <w14:solidFill>
              <w14:schemeClr w14:val="tx1"/>
            </w14:solidFill>
          </w14:textFill>
        </w:rPr>
        <w:t>GB/T 17626.2电磁兼容 试验和测量技术 静电放电抗扰度试验</w:t>
      </w:r>
    </w:p>
    <w:p w14:paraId="0751566F">
      <w:pPr>
        <w:spacing w:before="160" w:line="360" w:lineRule="auto"/>
        <w:ind w:firstLine="480" w:firstLineChars="200"/>
        <w:rPr>
          <w:rStyle w:val="130"/>
          <w:rFonts w:hint="default" w:ascii="Times New Roman" w:hAnsi="Times New Roman" w:eastAsia="宋体"/>
          <w:color w:val="000000" w:themeColor="text1"/>
          <w14:textFill>
            <w14:solidFill>
              <w14:schemeClr w14:val="tx1"/>
            </w14:solidFill>
          </w14:textFill>
        </w:rPr>
      </w:pPr>
      <w:r>
        <w:rPr>
          <w:rStyle w:val="130"/>
          <w:rFonts w:hint="default" w:ascii="Times New Roman" w:hAnsi="Times New Roman" w:eastAsia="宋体"/>
          <w:color w:val="000000" w:themeColor="text1"/>
          <w14:textFill>
            <w14:solidFill>
              <w14:schemeClr w14:val="tx1"/>
            </w14:solidFill>
          </w14:textFill>
        </w:rPr>
        <w:t>GB/T 17626.3 电磁兼容 试验和测量技术 射频电磁场辐射抗扰度试验</w:t>
      </w:r>
    </w:p>
    <w:p w14:paraId="566D8A35">
      <w:pPr>
        <w:spacing w:before="160" w:line="360" w:lineRule="auto"/>
        <w:ind w:firstLine="480" w:firstLineChars="200"/>
        <w:rPr>
          <w:rStyle w:val="130"/>
          <w:rFonts w:hint="default" w:ascii="Times New Roman" w:hAnsi="Times New Roman" w:eastAsia="宋体"/>
          <w:color w:val="000000" w:themeColor="text1"/>
          <w14:textFill>
            <w14:solidFill>
              <w14:schemeClr w14:val="tx1"/>
            </w14:solidFill>
          </w14:textFill>
        </w:rPr>
      </w:pPr>
      <w:r>
        <w:rPr>
          <w:rStyle w:val="130"/>
          <w:rFonts w:hint="default" w:ascii="Times New Roman" w:hAnsi="Times New Roman" w:eastAsia="宋体"/>
          <w:color w:val="000000" w:themeColor="text1"/>
          <w14:textFill>
            <w14:solidFill>
              <w14:schemeClr w14:val="tx1"/>
            </w14:solidFill>
          </w14:textFill>
        </w:rPr>
        <w:t>GB/T 17626.4 电磁兼容 试验和测量技术 电快速瞬变脉冲群抗扰度试验</w:t>
      </w:r>
    </w:p>
    <w:p w14:paraId="435C01B3">
      <w:pPr>
        <w:spacing w:before="160" w:line="360" w:lineRule="auto"/>
        <w:ind w:firstLine="480" w:firstLineChars="200"/>
        <w:rPr>
          <w:rStyle w:val="130"/>
          <w:rFonts w:hint="default" w:ascii="Times New Roman" w:hAnsi="Times New Roman" w:eastAsia="宋体"/>
          <w:color w:val="000000" w:themeColor="text1"/>
          <w14:textFill>
            <w14:solidFill>
              <w14:schemeClr w14:val="tx1"/>
            </w14:solidFill>
          </w14:textFill>
        </w:rPr>
      </w:pPr>
      <w:r>
        <w:rPr>
          <w:rStyle w:val="130"/>
          <w:rFonts w:hint="default" w:ascii="Times New Roman" w:hAnsi="Times New Roman" w:eastAsia="宋体"/>
          <w:color w:val="000000" w:themeColor="text1"/>
          <w14:textFill>
            <w14:solidFill>
              <w14:schemeClr w14:val="tx1"/>
            </w14:solidFill>
          </w14:textFill>
        </w:rPr>
        <w:t>GB/T 17626.5 电磁兼容 试验和测量技术 浪涌(冲击)抗扰度试验</w:t>
      </w:r>
    </w:p>
    <w:p w14:paraId="3BB9FFD4">
      <w:pPr>
        <w:spacing w:before="160" w:line="360" w:lineRule="auto"/>
        <w:ind w:firstLine="480" w:firstLineChars="200"/>
        <w:rPr>
          <w:rStyle w:val="130"/>
          <w:rFonts w:hint="default" w:ascii="Times New Roman" w:hAnsi="Times New Roman" w:eastAsia="宋体"/>
          <w:color w:val="000000" w:themeColor="text1"/>
          <w14:textFill>
            <w14:solidFill>
              <w14:schemeClr w14:val="tx1"/>
            </w14:solidFill>
          </w14:textFill>
        </w:rPr>
      </w:pPr>
      <w:r>
        <w:rPr>
          <w:rStyle w:val="130"/>
          <w:rFonts w:hint="default" w:ascii="Times New Roman" w:hAnsi="Times New Roman" w:eastAsia="宋体"/>
          <w:color w:val="000000" w:themeColor="text1"/>
          <w14:textFill>
            <w14:solidFill>
              <w14:schemeClr w14:val="tx1"/>
            </w14:solidFill>
          </w14:textFill>
        </w:rPr>
        <w:t>GB/T 17626.8 电磁兼容 试验和测量技术 工频磁场抗扰度试验</w:t>
      </w:r>
    </w:p>
    <w:p w14:paraId="69982CA6">
      <w:pPr>
        <w:spacing w:before="160" w:line="360" w:lineRule="auto"/>
        <w:ind w:firstLine="480" w:firstLineChars="200"/>
        <w:rPr>
          <w:rStyle w:val="130"/>
          <w:rFonts w:hint="default" w:ascii="Times New Roman" w:hAnsi="Times New Roman" w:eastAsia="宋体"/>
          <w:color w:val="000000" w:themeColor="text1"/>
          <w14:textFill>
            <w14:solidFill>
              <w14:schemeClr w14:val="tx1"/>
            </w14:solidFill>
          </w14:textFill>
        </w:rPr>
      </w:pPr>
      <w:r>
        <w:rPr>
          <w:rStyle w:val="130"/>
          <w:rFonts w:hint="default" w:ascii="Times New Roman" w:hAnsi="Times New Roman" w:eastAsia="宋体"/>
          <w:color w:val="000000" w:themeColor="text1"/>
          <w14:textFill>
            <w14:solidFill>
              <w14:schemeClr w14:val="tx1"/>
            </w14:solidFill>
          </w14:textFill>
        </w:rPr>
        <w:t>GB/T 17626.11电磁兼容 试验和测量技术 第 11 部分：对每相输入电流小于 16 A设备的电压暂降、短时中断和电压变化抗扰度试验</w:t>
      </w:r>
    </w:p>
    <w:p w14:paraId="0DF5C4D5">
      <w:pPr>
        <w:spacing w:before="160" w:line="360" w:lineRule="auto"/>
        <w:ind w:firstLine="480" w:firstLineChars="200"/>
        <w:rPr>
          <w:rStyle w:val="130"/>
          <w:rFonts w:hint="default" w:ascii="Times New Roman" w:hAnsi="Times New Roman" w:eastAsia="宋体"/>
          <w:color w:val="000000" w:themeColor="text1"/>
          <w14:textFill>
            <w14:solidFill>
              <w14:schemeClr w14:val="tx1"/>
            </w14:solidFill>
          </w14:textFill>
        </w:rPr>
      </w:pPr>
      <w:r>
        <w:rPr>
          <w:rStyle w:val="130"/>
          <w:rFonts w:hint="default" w:ascii="Times New Roman" w:hAnsi="Times New Roman" w:eastAsia="宋体"/>
          <w:color w:val="000000" w:themeColor="text1"/>
          <w14:textFill>
            <w14:solidFill>
              <w14:schemeClr w14:val="tx1"/>
            </w14:solidFill>
          </w14:textFill>
        </w:rPr>
        <w:t>凡是注日期的引用文件，仅注日期的版本适用本规范；凡是不注日期的引用文件，其最新版本（包括所有的修改单）适用于本规范。</w:t>
      </w:r>
    </w:p>
    <w:p w14:paraId="288CE1C4">
      <w:pPr>
        <w:pStyle w:val="36"/>
        <w:spacing w:line="259" w:lineRule="auto"/>
        <w:jc w:val="left"/>
        <w:rPr>
          <w:rFonts w:hint="eastAsia" w:ascii="宋体" w:hAnsi="宋体" w:eastAsia="黑体"/>
          <w:color w:val="000000" w:themeColor="text1"/>
          <w:sz w:val="24"/>
          <w14:textFill>
            <w14:solidFill>
              <w14:schemeClr w14:val="tx1"/>
            </w14:solidFill>
          </w14:textFill>
        </w:rPr>
      </w:pPr>
      <w:bookmarkStart w:id="31" w:name="_Toc221090896"/>
      <w:r>
        <w:rPr>
          <w:rFonts w:ascii="Times New Roman" w:hAnsi="Times New Roman" w:cs="Times New Roman" w:eastAsiaTheme="majorEastAsia"/>
          <w:color w:val="000000" w:themeColor="text1"/>
          <w:sz w:val="24"/>
          <w14:textFill>
            <w14:solidFill>
              <w14:schemeClr w14:val="tx1"/>
            </w14:solidFill>
          </w14:textFill>
        </w:rPr>
        <w:t xml:space="preserve">3 </w:t>
      </w:r>
      <w:r>
        <w:rPr>
          <w:rFonts w:hint="eastAsia" w:ascii="宋体" w:hAnsi="宋体" w:eastAsia="黑体" w:cs="Times New Roman"/>
          <w:color w:val="000000" w:themeColor="text1"/>
          <w:sz w:val="24"/>
          <w14:textFill>
            <w14:solidFill>
              <w14:schemeClr w14:val="tx1"/>
            </w14:solidFill>
          </w14:textFill>
        </w:rPr>
        <w:t>术语</w:t>
      </w:r>
      <w:bookmarkEnd w:id="23"/>
      <w:bookmarkEnd w:id="24"/>
      <w:bookmarkEnd w:id="25"/>
      <w:bookmarkEnd w:id="26"/>
      <w:bookmarkEnd w:id="27"/>
      <w:bookmarkEnd w:id="28"/>
      <w:bookmarkEnd w:id="31"/>
    </w:p>
    <w:p w14:paraId="3FBDF37F">
      <w:pPr>
        <w:spacing w:before="160" w:line="360" w:lineRule="auto"/>
        <w:ind w:firstLine="480" w:firstLineChars="200"/>
        <w:rPr>
          <w:rStyle w:val="130"/>
          <w:rFonts w:hint="default" w:ascii="Times New Roman" w:hAnsi="Times New Roman" w:eastAsia="宋体"/>
          <w:color w:val="000000" w:themeColor="text1"/>
          <w14:textFill>
            <w14:solidFill>
              <w14:schemeClr w14:val="tx1"/>
            </w14:solidFill>
          </w14:textFill>
        </w:rPr>
      </w:pPr>
      <w:bookmarkStart w:id="32" w:name="_Toc457808566"/>
      <w:bookmarkStart w:id="33" w:name="_Toc185070187"/>
      <w:bookmarkStart w:id="34" w:name="_Toc457808104"/>
      <w:bookmarkStart w:id="35" w:name="_Toc501210775"/>
      <w:bookmarkStart w:id="36" w:name="_Toc457807241"/>
      <w:r>
        <w:rPr>
          <w:rStyle w:val="130"/>
          <w:rFonts w:hint="default" w:ascii="Times New Roman" w:hAnsi="Times New Roman" w:eastAsia="宋体"/>
          <w:color w:val="000000" w:themeColor="text1"/>
          <w14:textFill>
            <w14:solidFill>
              <w14:schemeClr w14:val="tx1"/>
            </w14:solidFill>
          </w14:textFill>
        </w:rPr>
        <w:t>JJF 1001-2011和JJF 1004-2004中界定的及下列术语和定义适用于本规范。</w:t>
      </w:r>
    </w:p>
    <w:p w14:paraId="75331A10">
      <w:pPr>
        <w:pStyle w:val="2"/>
        <w:spacing w:before="160" w:after="0" w:line="360" w:lineRule="auto"/>
        <w:rPr>
          <w:iCs/>
          <w:color w:val="000000" w:themeColor="text1"/>
          <w:sz w:val="24"/>
          <w:szCs w:val="21"/>
          <w14:textFill>
            <w14:solidFill>
              <w14:schemeClr w14:val="tx1"/>
            </w14:solidFill>
          </w14:textFill>
        </w:rPr>
      </w:pPr>
      <w:bookmarkStart w:id="37" w:name="_Toc30628"/>
      <w:bookmarkStart w:id="38" w:name="_Toc6193"/>
      <w:bookmarkStart w:id="39" w:name="_Toc221090897"/>
      <w:r>
        <w:rPr>
          <w:b w:val="0"/>
          <w:iCs/>
          <w:color w:val="000000" w:themeColor="text1"/>
          <w:sz w:val="24"/>
          <w:szCs w:val="21"/>
          <w14:textFill>
            <w14:solidFill>
              <w14:schemeClr w14:val="tx1"/>
            </w14:solidFill>
          </w14:textFill>
        </w:rPr>
        <w:t>3.1</w:t>
      </w:r>
      <w:r>
        <w:rPr>
          <w:rFonts w:hint="eastAsia"/>
          <w:b w:val="0"/>
          <w:iCs/>
          <w:color w:val="000000" w:themeColor="text1"/>
          <w:sz w:val="24"/>
          <w:szCs w:val="21"/>
          <w14:textFill>
            <w14:solidFill>
              <w14:schemeClr w14:val="tx1"/>
            </w14:solidFill>
          </w14:textFill>
        </w:rPr>
        <w:t xml:space="preserve"> </w:t>
      </w:r>
      <w:r>
        <w:rPr>
          <w:rFonts w:hint="eastAsia"/>
          <w:b w:val="0"/>
          <w:iCs/>
          <w:color w:val="000000" w:themeColor="text1"/>
          <w:sz w:val="24"/>
          <w:szCs w:val="21"/>
          <w:lang w:val="zh-CN"/>
          <w14:textFill>
            <w14:solidFill>
              <w14:schemeClr w14:val="tx1"/>
            </w14:solidFill>
          </w14:textFill>
        </w:rPr>
        <w:t>热式气体质量流量计</w:t>
      </w:r>
      <w:r>
        <w:rPr>
          <w:rFonts w:hint="eastAsia"/>
          <w:b w:val="0"/>
          <w:iCs/>
          <w:color w:val="000000" w:themeColor="text1"/>
          <w:sz w:val="24"/>
          <w:szCs w:val="21"/>
          <w14:textFill>
            <w14:solidFill>
              <w14:schemeClr w14:val="tx1"/>
            </w14:solidFill>
          </w14:textFill>
        </w:rPr>
        <w:t xml:space="preserve"> </w:t>
      </w:r>
      <w:r>
        <w:rPr>
          <w:b w:val="0"/>
          <w:iCs/>
          <w:color w:val="000000" w:themeColor="text1"/>
          <w:sz w:val="24"/>
          <w:szCs w:val="21"/>
          <w14:textFill>
            <w14:solidFill>
              <w14:schemeClr w14:val="tx1"/>
            </w14:solidFill>
          </w14:textFill>
        </w:rPr>
        <w:t>thermal mass gas flow meters</w:t>
      </w:r>
      <w:bookmarkEnd w:id="37"/>
      <w:bookmarkEnd w:id="38"/>
      <w:bookmarkEnd w:id="39"/>
    </w:p>
    <w:p w14:paraId="447BCA3A">
      <w:pPr>
        <w:spacing w:before="160" w:line="360" w:lineRule="auto"/>
        <w:ind w:firstLine="480" w:firstLineChars="200"/>
        <w:rPr>
          <w:rStyle w:val="130"/>
          <w:rFonts w:hint="default" w:ascii="Times New Roman" w:hAnsi="Times New Roman" w:eastAsia="宋体"/>
          <w:color w:val="000000" w:themeColor="text1"/>
          <w14:textFill>
            <w14:solidFill>
              <w14:schemeClr w14:val="tx1"/>
            </w14:solidFill>
          </w14:textFill>
        </w:rPr>
      </w:pPr>
      <w:r>
        <w:rPr>
          <w:rStyle w:val="130"/>
          <w:rFonts w:hint="default" w:ascii="Times New Roman" w:hAnsi="Times New Roman" w:eastAsia="宋体"/>
          <w:color w:val="000000" w:themeColor="text1"/>
          <w14:textFill>
            <w14:solidFill>
              <w14:schemeClr w14:val="tx1"/>
            </w14:solidFill>
          </w14:textFill>
        </w:rPr>
        <w:t>利用热传递原理测量气体质量流量的计量器具。</w:t>
      </w:r>
    </w:p>
    <w:p w14:paraId="5C09FAFF">
      <w:pPr>
        <w:pStyle w:val="2"/>
        <w:spacing w:before="160" w:after="0" w:line="360" w:lineRule="auto"/>
        <w:rPr>
          <w:iCs/>
          <w:color w:val="000000" w:themeColor="text1"/>
          <w:sz w:val="24"/>
          <w:szCs w:val="21"/>
          <w14:textFill>
            <w14:solidFill>
              <w14:schemeClr w14:val="tx1"/>
            </w14:solidFill>
          </w14:textFill>
        </w:rPr>
      </w:pPr>
      <w:bookmarkStart w:id="40" w:name="_Toc4611"/>
      <w:bookmarkStart w:id="41" w:name="_Toc221090898"/>
      <w:bookmarkStart w:id="42" w:name="_Toc29378"/>
      <w:r>
        <w:rPr>
          <w:b w:val="0"/>
          <w:iCs/>
          <w:color w:val="000000" w:themeColor="text1"/>
          <w:sz w:val="24"/>
          <w:szCs w:val="21"/>
          <w14:textFill>
            <w14:solidFill>
              <w14:schemeClr w14:val="tx1"/>
            </w14:solidFill>
          </w14:textFill>
        </w:rPr>
        <w:t>3.</w:t>
      </w:r>
      <w:bookmarkEnd w:id="40"/>
      <w:r>
        <w:rPr>
          <w:b w:val="0"/>
          <w:iCs/>
          <w:color w:val="000000" w:themeColor="text1"/>
          <w:sz w:val="24"/>
          <w:szCs w:val="21"/>
          <w14:textFill>
            <w14:solidFill>
              <w14:schemeClr w14:val="tx1"/>
            </w14:solidFill>
          </w14:textFill>
        </w:rPr>
        <w:t>2</w:t>
      </w:r>
      <w:r>
        <w:rPr>
          <w:rFonts w:hint="eastAsia"/>
          <w:b w:val="0"/>
          <w:iCs/>
          <w:color w:val="000000" w:themeColor="text1"/>
          <w:sz w:val="24"/>
          <w:szCs w:val="21"/>
          <w14:textFill>
            <w14:solidFill>
              <w14:schemeClr w14:val="tx1"/>
            </w14:solidFill>
          </w14:textFill>
        </w:rPr>
        <w:t xml:space="preserve"> 标准参比条件</w:t>
      </w:r>
      <w:r>
        <w:rPr>
          <w:b w:val="0"/>
          <w:iCs/>
          <w:color w:val="000000" w:themeColor="text1"/>
          <w:sz w:val="24"/>
          <w:szCs w:val="21"/>
          <w14:textFill>
            <w14:solidFill>
              <w14:schemeClr w14:val="tx1"/>
            </w14:solidFill>
          </w14:textFill>
        </w:rPr>
        <w:t xml:space="preserve"> standard condition</w:t>
      </w:r>
      <w:bookmarkEnd w:id="41"/>
    </w:p>
    <w:bookmarkEnd w:id="42"/>
    <w:p w14:paraId="05EEE002">
      <w:pPr>
        <w:spacing w:before="160" w:line="360" w:lineRule="auto"/>
        <w:ind w:firstLine="480" w:firstLineChars="200"/>
        <w:rPr>
          <w:rStyle w:val="130"/>
          <w:rFonts w:hint="default" w:ascii="Times New Roman" w:hAnsi="Times New Roman" w:eastAsia="宋体"/>
          <w:color w:val="000000" w:themeColor="text1"/>
          <w14:textFill>
            <w14:solidFill>
              <w14:schemeClr w14:val="tx1"/>
            </w14:solidFill>
          </w14:textFill>
        </w:rPr>
      </w:pPr>
      <w:bookmarkStart w:id="43" w:name="_Toc3117"/>
      <w:bookmarkStart w:id="44" w:name="_Toc32404"/>
      <w:r>
        <w:rPr>
          <w:rStyle w:val="130"/>
          <w:rFonts w:hint="default" w:ascii="Times New Roman" w:hAnsi="Times New Roman" w:eastAsia="宋体"/>
          <w:color w:val="000000" w:themeColor="text1"/>
          <w14:textFill>
            <w14:solidFill>
              <w14:schemeClr w14:val="tx1"/>
            </w14:solidFill>
          </w14:textFill>
        </w:rPr>
        <w:t>本规范规定标准参比条件为气体温度20 ℃（293.15 K）、绝对压力101325 Pa的气体状态。如有特殊情况，请在铭牌明示标准参比条件。</w:t>
      </w:r>
    </w:p>
    <w:p w14:paraId="38145843">
      <w:pPr>
        <w:spacing w:before="160" w:line="360" w:lineRule="auto"/>
        <w:ind w:firstLine="420" w:firstLineChars="200"/>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注：标准参比条件简称标况。</w:t>
      </w:r>
    </w:p>
    <w:bookmarkEnd w:id="43"/>
    <w:bookmarkEnd w:id="44"/>
    <w:p w14:paraId="7F8ACA44">
      <w:pPr>
        <w:pStyle w:val="36"/>
        <w:spacing w:line="259" w:lineRule="auto"/>
        <w:jc w:val="left"/>
        <w:rPr>
          <w:rFonts w:hint="eastAsia" w:ascii="宋体" w:hAnsi="宋体" w:eastAsia="黑体"/>
          <w:color w:val="000000" w:themeColor="text1"/>
          <w:sz w:val="24"/>
          <w14:textFill>
            <w14:solidFill>
              <w14:schemeClr w14:val="tx1"/>
            </w14:solidFill>
          </w14:textFill>
        </w:rPr>
      </w:pPr>
      <w:bookmarkStart w:id="45" w:name="_Toc221090899"/>
      <w:bookmarkStart w:id="46" w:name="_Toc5380"/>
      <w:r>
        <w:rPr>
          <w:rFonts w:ascii="Times New Roman" w:hAnsi="Times New Roman" w:cs="Times New Roman" w:eastAsiaTheme="majorEastAsia"/>
          <w:color w:val="000000" w:themeColor="text1"/>
          <w:sz w:val="24"/>
          <w14:textFill>
            <w14:solidFill>
              <w14:schemeClr w14:val="tx1"/>
            </w14:solidFill>
          </w14:textFill>
        </w:rPr>
        <w:t>4</w:t>
      </w:r>
      <w:r>
        <w:rPr>
          <w:rFonts w:hint="eastAsia" w:ascii="宋体" w:hAnsi="宋体" w:cs="Times New Roman"/>
          <w:color w:val="000000" w:themeColor="text1"/>
          <w14:textFill>
            <w14:solidFill>
              <w14:schemeClr w14:val="tx1"/>
            </w14:solidFill>
          </w14:textFill>
        </w:rPr>
        <w:t xml:space="preserve"> </w:t>
      </w:r>
      <w:r>
        <w:rPr>
          <w:rFonts w:hint="eastAsia" w:ascii="宋体" w:hAnsi="宋体" w:eastAsia="黑体" w:cs="Times New Roman"/>
          <w:color w:val="000000" w:themeColor="text1"/>
          <w:sz w:val="24"/>
          <w14:textFill>
            <w14:solidFill>
              <w14:schemeClr w14:val="tx1"/>
            </w14:solidFill>
          </w14:textFill>
        </w:rPr>
        <w:t>概述</w:t>
      </w:r>
      <w:bookmarkEnd w:id="29"/>
      <w:bookmarkEnd w:id="30"/>
      <w:bookmarkEnd w:id="32"/>
      <w:bookmarkEnd w:id="33"/>
      <w:bookmarkEnd w:id="34"/>
      <w:bookmarkEnd w:id="35"/>
      <w:bookmarkEnd w:id="36"/>
      <w:bookmarkEnd w:id="45"/>
      <w:bookmarkEnd w:id="46"/>
    </w:p>
    <w:p w14:paraId="0A7EA14C">
      <w:pPr>
        <w:pStyle w:val="2"/>
        <w:spacing w:before="160" w:after="0" w:line="360" w:lineRule="auto"/>
        <w:rPr>
          <w:iCs/>
          <w:color w:val="000000" w:themeColor="text1"/>
          <w:sz w:val="24"/>
          <w:szCs w:val="21"/>
          <w14:textFill>
            <w14:solidFill>
              <w14:schemeClr w14:val="tx1"/>
            </w14:solidFill>
          </w14:textFill>
        </w:rPr>
      </w:pPr>
      <w:bookmarkStart w:id="47" w:name="_Toc27277"/>
      <w:bookmarkStart w:id="48" w:name="_Toc221090900"/>
      <w:bookmarkStart w:id="49" w:name="_Toc457808570"/>
      <w:bookmarkStart w:id="50" w:name="_Toc501210779"/>
      <w:bookmarkStart w:id="51" w:name="_Toc457807245"/>
      <w:bookmarkStart w:id="52" w:name="_Toc185070191"/>
      <w:bookmarkStart w:id="53" w:name="_Toc457808108"/>
      <w:bookmarkStart w:id="54" w:name="_Toc265054858"/>
      <w:r>
        <w:rPr>
          <w:b w:val="0"/>
          <w:iCs/>
          <w:color w:val="000000" w:themeColor="text1"/>
          <w:sz w:val="24"/>
          <w:szCs w:val="21"/>
          <w14:textFill>
            <w14:solidFill>
              <w14:schemeClr w14:val="tx1"/>
            </w14:solidFill>
          </w14:textFill>
        </w:rPr>
        <w:t>4.1</w:t>
      </w:r>
      <w:r>
        <w:rPr>
          <w:rFonts w:hint="eastAsia"/>
          <w:b w:val="0"/>
          <w:iCs/>
          <w:color w:val="000000" w:themeColor="text1"/>
          <w:sz w:val="24"/>
          <w:szCs w:val="21"/>
          <w14:textFill>
            <w14:solidFill>
              <w14:schemeClr w14:val="tx1"/>
            </w14:solidFill>
          </w14:textFill>
        </w:rPr>
        <w:t xml:space="preserve"> 工作原理</w:t>
      </w:r>
      <w:bookmarkEnd w:id="47"/>
      <w:bookmarkEnd w:id="48"/>
    </w:p>
    <w:p w14:paraId="36FE8733">
      <w:pPr>
        <w:spacing w:before="160" w:line="360" w:lineRule="auto"/>
        <w:ind w:firstLine="480" w:firstLineChars="200"/>
        <w:rPr>
          <w:rStyle w:val="130"/>
          <w:rFonts w:hint="default" w:ascii="Times New Roman" w:hAnsi="Times New Roman" w:eastAsia="宋体"/>
          <w:color w:val="000000" w:themeColor="text1"/>
          <w14:textFill>
            <w14:solidFill>
              <w14:schemeClr w14:val="tx1"/>
            </w14:solidFill>
          </w14:textFill>
        </w:rPr>
      </w:pPr>
      <w:bookmarkStart w:id="55" w:name="_Toc11594"/>
      <w:r>
        <w:rPr>
          <w:rStyle w:val="130"/>
          <w:rFonts w:hint="default" w:ascii="Times New Roman" w:hAnsi="Times New Roman" w:eastAsia="宋体"/>
          <w:color w:val="000000" w:themeColor="text1"/>
          <w14:textFill>
            <w14:solidFill>
              <w14:schemeClr w14:val="tx1"/>
            </w14:solidFill>
          </w14:textFill>
        </w:rPr>
        <w:t>流量计利用流动的气体与热源之间热量交换原理。流量计内设置热源，根据气体流过热源时发生的热量变化，得到气体的质量流量。</w:t>
      </w:r>
    </w:p>
    <w:p w14:paraId="5D9577E8">
      <w:pPr>
        <w:pStyle w:val="2"/>
        <w:spacing w:before="160" w:after="0" w:line="360" w:lineRule="auto"/>
        <w:rPr>
          <w:iCs/>
          <w:color w:val="000000" w:themeColor="text1"/>
          <w:sz w:val="24"/>
          <w:szCs w:val="21"/>
          <w14:textFill>
            <w14:solidFill>
              <w14:schemeClr w14:val="tx1"/>
            </w14:solidFill>
          </w14:textFill>
        </w:rPr>
      </w:pPr>
      <w:bookmarkStart w:id="56" w:name="_Toc221090901"/>
      <w:r>
        <w:rPr>
          <w:b w:val="0"/>
          <w:iCs/>
          <w:color w:val="000000" w:themeColor="text1"/>
          <w:sz w:val="24"/>
          <w:szCs w:val="21"/>
          <w14:textFill>
            <w14:solidFill>
              <w14:schemeClr w14:val="tx1"/>
            </w14:solidFill>
          </w14:textFill>
        </w:rPr>
        <w:t>4.2</w:t>
      </w:r>
      <w:r>
        <w:rPr>
          <w:rFonts w:hint="eastAsia"/>
          <w:b w:val="0"/>
          <w:iCs/>
          <w:color w:val="000000" w:themeColor="text1"/>
          <w:sz w:val="24"/>
          <w:szCs w:val="21"/>
          <w14:textFill>
            <w14:solidFill>
              <w14:schemeClr w14:val="tx1"/>
            </w14:solidFill>
          </w14:textFill>
        </w:rPr>
        <w:t xml:space="preserve"> 组成及构造</w:t>
      </w:r>
      <w:bookmarkEnd w:id="55"/>
      <w:bookmarkEnd w:id="56"/>
    </w:p>
    <w:p w14:paraId="4A25EAF4">
      <w:pPr>
        <w:spacing w:before="160" w:line="360" w:lineRule="auto"/>
        <w:ind w:firstLine="480" w:firstLineChars="200"/>
        <w:rPr>
          <w:rFonts w:cstheme="minorBidi"/>
          <w:sz w:val="24"/>
          <w:szCs w:val="24"/>
        </w:rPr>
      </w:pPr>
      <w:r>
        <w:rPr>
          <w:rFonts w:hint="eastAsia" w:cstheme="minorBidi"/>
          <w:sz w:val="24"/>
          <w:szCs w:val="24"/>
        </w:rPr>
        <w:t>流量计主要由流量计表体、流量传感器模组、计量主板及显示器组成。</w:t>
      </w:r>
    </w:p>
    <w:p w14:paraId="2BB36D28">
      <w:pPr>
        <w:spacing w:before="160" w:line="360" w:lineRule="auto"/>
        <w:rPr>
          <w:rFonts w:cstheme="minorBidi"/>
          <w:sz w:val="24"/>
          <w:szCs w:val="24"/>
        </w:rPr>
      </w:pPr>
      <w:r>
        <w:rPr>
          <w:rFonts w:cstheme="minorBidi"/>
          <w:sz w:val="24"/>
          <w:szCs w:val="24"/>
        </w:rPr>
        <w:t xml:space="preserve">4.2.1 </w:t>
      </w:r>
      <w:r>
        <w:rPr>
          <w:rFonts w:hint="eastAsia" w:cstheme="minorBidi"/>
          <w:sz w:val="24"/>
          <w:szCs w:val="24"/>
        </w:rPr>
        <w:t>按加热方法及测温方式，流量计可分为毛细管</w:t>
      </w:r>
      <w:r>
        <w:rPr>
          <w:rFonts w:cstheme="minorBidi"/>
          <w:sz w:val="24"/>
          <w:szCs w:val="24"/>
        </w:rPr>
        <w:t>/</w:t>
      </w:r>
      <w:r>
        <w:rPr>
          <w:rFonts w:hint="eastAsia" w:cstheme="minorBidi"/>
          <w:sz w:val="24"/>
          <w:szCs w:val="24"/>
        </w:rPr>
        <w:t>热分流流量计（</w:t>
      </w:r>
      <w:r>
        <w:rPr>
          <w:rFonts w:cstheme="minorBidi"/>
          <w:sz w:val="24"/>
          <w:szCs w:val="24"/>
        </w:rPr>
        <w:t>CTMF</w:t>
      </w:r>
      <w:r>
        <w:rPr>
          <w:rFonts w:hint="eastAsia" w:cstheme="minorBidi"/>
          <w:sz w:val="24"/>
          <w:szCs w:val="24"/>
        </w:rPr>
        <w:t>流量计）、插入式流量计（</w:t>
      </w:r>
      <w:r>
        <w:rPr>
          <w:rFonts w:cstheme="minorBidi"/>
          <w:sz w:val="24"/>
          <w:szCs w:val="24"/>
        </w:rPr>
        <w:t>ITMF</w:t>
      </w:r>
      <w:r>
        <w:rPr>
          <w:rFonts w:hint="eastAsia" w:cstheme="minorBidi"/>
          <w:sz w:val="24"/>
          <w:szCs w:val="24"/>
        </w:rPr>
        <w:t>流量计）和微电子流量计（</w:t>
      </w:r>
      <w:r>
        <w:rPr>
          <w:rFonts w:cstheme="minorBidi"/>
          <w:sz w:val="24"/>
          <w:szCs w:val="24"/>
        </w:rPr>
        <w:t>MEMS</w:t>
      </w:r>
      <w:r>
        <w:rPr>
          <w:rFonts w:hint="eastAsia" w:cstheme="minorBidi"/>
          <w:sz w:val="24"/>
          <w:szCs w:val="24"/>
        </w:rPr>
        <w:t>流量计），详见附录</w:t>
      </w:r>
      <w:r>
        <w:rPr>
          <w:rFonts w:cstheme="minorBidi"/>
          <w:sz w:val="24"/>
          <w:szCs w:val="24"/>
        </w:rPr>
        <w:t>A</w:t>
      </w:r>
      <w:r>
        <w:rPr>
          <w:rFonts w:hint="eastAsia" w:cstheme="minorBidi"/>
          <w:sz w:val="24"/>
          <w:szCs w:val="24"/>
        </w:rPr>
        <w:t>。</w:t>
      </w:r>
    </w:p>
    <w:p w14:paraId="1D6F5B32">
      <w:pPr>
        <w:spacing w:before="160" w:line="360" w:lineRule="auto"/>
        <w:rPr>
          <w:rFonts w:cstheme="minorBidi"/>
          <w:sz w:val="24"/>
          <w:szCs w:val="24"/>
        </w:rPr>
      </w:pPr>
      <w:r>
        <w:rPr>
          <w:rFonts w:cstheme="minorBidi"/>
          <w:sz w:val="24"/>
          <w:szCs w:val="24"/>
        </w:rPr>
        <w:t>4.2.2</w:t>
      </w:r>
      <w:r>
        <w:rPr>
          <w:rFonts w:hint="eastAsia" w:cstheme="minorBidi"/>
          <w:sz w:val="24"/>
          <w:szCs w:val="24"/>
        </w:rPr>
        <w:t>流量计的输出方式有脉冲输出、模拟量输出和数字通讯输出等。</w:t>
      </w:r>
    </w:p>
    <w:p w14:paraId="540A4177">
      <w:pPr>
        <w:pStyle w:val="2"/>
        <w:spacing w:before="160" w:after="0" w:line="360" w:lineRule="auto"/>
        <w:rPr>
          <w:iCs/>
          <w:color w:val="000000" w:themeColor="text1"/>
          <w:sz w:val="24"/>
          <w:szCs w:val="21"/>
          <w14:textFill>
            <w14:solidFill>
              <w14:schemeClr w14:val="tx1"/>
            </w14:solidFill>
          </w14:textFill>
        </w:rPr>
      </w:pPr>
      <w:bookmarkStart w:id="57" w:name="_Toc221090902"/>
      <w:bookmarkStart w:id="58" w:name="_Toc29808"/>
      <w:r>
        <w:rPr>
          <w:b w:val="0"/>
          <w:iCs/>
          <w:color w:val="000000" w:themeColor="text1"/>
          <w:sz w:val="24"/>
          <w:szCs w:val="21"/>
          <w14:textFill>
            <w14:solidFill>
              <w14:schemeClr w14:val="tx1"/>
            </w14:solidFill>
          </w14:textFill>
        </w:rPr>
        <w:t>4.</w:t>
      </w:r>
      <w:r>
        <w:rPr>
          <w:rFonts w:hint="eastAsia"/>
          <w:b w:val="0"/>
          <w:iCs/>
          <w:color w:val="000000" w:themeColor="text1"/>
          <w:sz w:val="24"/>
          <w:szCs w:val="21"/>
          <w14:textFill>
            <w14:solidFill>
              <w14:schemeClr w14:val="tx1"/>
            </w14:solidFill>
          </w14:textFill>
        </w:rPr>
        <w:t>3 流量计的关键零部件和材料</w:t>
      </w:r>
      <w:bookmarkEnd w:id="49"/>
      <w:bookmarkEnd w:id="50"/>
      <w:bookmarkEnd w:id="51"/>
      <w:bookmarkEnd w:id="52"/>
      <w:bookmarkEnd w:id="53"/>
      <w:bookmarkEnd w:id="57"/>
      <w:bookmarkEnd w:id="58"/>
    </w:p>
    <w:p w14:paraId="287E43D4">
      <w:pPr>
        <w:spacing w:before="160" w:line="360" w:lineRule="auto"/>
        <w:ind w:firstLine="480" w:firstLineChars="200"/>
        <w:rPr>
          <w:rFonts w:cstheme="minorBidi"/>
          <w:sz w:val="24"/>
          <w:szCs w:val="24"/>
        </w:rPr>
      </w:pPr>
      <w:r>
        <w:rPr>
          <w:rFonts w:cstheme="minorBidi"/>
          <w:sz w:val="24"/>
          <w:szCs w:val="24"/>
        </w:rPr>
        <w:t>流量计的关键零部件</w:t>
      </w:r>
      <w:r>
        <w:rPr>
          <w:rFonts w:hint="eastAsia" w:cstheme="minorBidi"/>
          <w:sz w:val="24"/>
          <w:szCs w:val="24"/>
        </w:rPr>
        <w:t>和材料</w:t>
      </w:r>
      <w:r>
        <w:rPr>
          <w:rFonts w:cstheme="minorBidi"/>
          <w:sz w:val="24"/>
          <w:szCs w:val="24"/>
        </w:rPr>
        <w:t>见表1</w:t>
      </w:r>
      <w:r>
        <w:rPr>
          <w:rFonts w:hint="eastAsia" w:cstheme="minorBidi"/>
          <w:sz w:val="24"/>
          <w:szCs w:val="24"/>
        </w:rPr>
        <w:t>。</w:t>
      </w:r>
    </w:p>
    <w:p w14:paraId="0EFCEE71">
      <w:pPr>
        <w:spacing w:before="160" w:line="360" w:lineRule="auto"/>
        <w:jc w:val="center"/>
        <w:rPr>
          <w:color w:val="000000" w:themeColor="text1"/>
          <w:sz w:val="24"/>
          <w:szCs w:val="32"/>
          <w14:textFill>
            <w14:solidFill>
              <w14:schemeClr w14:val="tx1"/>
            </w14:solidFill>
          </w14:textFill>
        </w:rPr>
      </w:pPr>
      <w:r>
        <w:rPr>
          <w:rFonts w:hint="eastAsia"/>
          <w:color w:val="000000" w:themeColor="text1"/>
          <w:sz w:val="24"/>
          <w:szCs w:val="32"/>
          <w14:textFill>
            <w14:solidFill>
              <w14:schemeClr w14:val="tx1"/>
            </w14:solidFill>
          </w14:textFill>
        </w:rPr>
        <w:t>表</w:t>
      </w:r>
      <w:r>
        <w:rPr>
          <w:color w:val="000000" w:themeColor="text1"/>
          <w:sz w:val="24"/>
          <w:szCs w:val="32"/>
          <w14:textFill>
            <w14:solidFill>
              <w14:schemeClr w14:val="tx1"/>
            </w14:solidFill>
          </w14:textFill>
        </w:rPr>
        <w:t>1</w:t>
      </w:r>
      <w:r>
        <w:rPr>
          <w:rFonts w:hint="eastAsia"/>
          <w:color w:val="000000" w:themeColor="text1"/>
          <w:sz w:val="24"/>
          <w:szCs w:val="32"/>
          <w14:textFill>
            <w14:solidFill>
              <w14:schemeClr w14:val="tx1"/>
            </w14:solidFill>
          </w14:textFill>
        </w:rPr>
        <w:t>关键零部件和材料</w:t>
      </w:r>
    </w:p>
    <w:tbl>
      <w:tblPr>
        <w:tblStyle w:val="38"/>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3543"/>
        <w:gridCol w:w="3119"/>
      </w:tblGrid>
      <w:tr w14:paraId="38696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tcBorders>
              <w:top w:val="single" w:color="auto" w:sz="4" w:space="0"/>
              <w:left w:val="single" w:color="auto" w:sz="4" w:space="0"/>
              <w:bottom w:val="single" w:color="auto" w:sz="4" w:space="0"/>
              <w:right w:val="single" w:color="auto" w:sz="4" w:space="0"/>
            </w:tcBorders>
            <w:vAlign w:val="center"/>
          </w:tcPr>
          <w:p w14:paraId="18541109">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序号</w:t>
            </w:r>
          </w:p>
        </w:tc>
        <w:tc>
          <w:tcPr>
            <w:tcW w:w="1276" w:type="dxa"/>
            <w:tcBorders>
              <w:top w:val="single" w:color="auto" w:sz="4" w:space="0"/>
              <w:left w:val="single" w:color="auto" w:sz="4" w:space="0"/>
              <w:bottom w:val="single" w:color="auto" w:sz="4" w:space="0"/>
              <w:right w:val="single" w:color="auto" w:sz="4" w:space="0"/>
            </w:tcBorders>
            <w:vAlign w:val="center"/>
          </w:tcPr>
          <w:p w14:paraId="6C1E51A5">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名</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称</w:t>
            </w:r>
          </w:p>
        </w:tc>
        <w:tc>
          <w:tcPr>
            <w:tcW w:w="3543" w:type="dxa"/>
            <w:tcBorders>
              <w:top w:val="single" w:color="auto" w:sz="4" w:space="0"/>
              <w:left w:val="single" w:color="auto" w:sz="4" w:space="0"/>
              <w:bottom w:val="single" w:color="auto" w:sz="4" w:space="0"/>
              <w:right w:val="single" w:color="auto" w:sz="4" w:space="0"/>
            </w:tcBorders>
            <w:vAlign w:val="center"/>
          </w:tcPr>
          <w:p w14:paraId="622F1CCD">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主要性能指标</w:t>
            </w:r>
          </w:p>
        </w:tc>
        <w:tc>
          <w:tcPr>
            <w:tcW w:w="3119" w:type="dxa"/>
            <w:tcBorders>
              <w:top w:val="single" w:color="auto" w:sz="4" w:space="0"/>
              <w:left w:val="single" w:color="auto" w:sz="4" w:space="0"/>
              <w:bottom w:val="single" w:color="auto" w:sz="4" w:space="0"/>
              <w:right w:val="single" w:color="auto" w:sz="4" w:space="0"/>
            </w:tcBorders>
            <w:vAlign w:val="center"/>
          </w:tcPr>
          <w:p w14:paraId="4470DA09">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备</w:t>
            </w:r>
            <w:r>
              <w:rPr>
                <w:color w:val="000000" w:themeColor="text1"/>
                <w:szCs w:val="21"/>
                <w14:textFill>
                  <w14:solidFill>
                    <w14:schemeClr w14:val="tx1"/>
                  </w14:solidFill>
                </w14:textFill>
              </w:rPr>
              <w:t xml:space="preserve">  </w:t>
            </w:r>
            <w:r>
              <w:rPr>
                <w:rFonts w:hint="eastAsia"/>
                <w:color w:val="000000" w:themeColor="text1"/>
                <w:szCs w:val="21"/>
                <w14:textFill>
                  <w14:solidFill>
                    <w14:schemeClr w14:val="tx1"/>
                  </w14:solidFill>
                </w14:textFill>
              </w:rPr>
              <w:t>注</w:t>
            </w:r>
          </w:p>
        </w:tc>
      </w:tr>
      <w:tr w14:paraId="79045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tcBorders>
              <w:top w:val="single" w:color="auto" w:sz="4" w:space="0"/>
              <w:left w:val="single" w:color="auto" w:sz="4" w:space="0"/>
              <w:bottom w:val="single" w:color="auto" w:sz="4" w:space="0"/>
              <w:right w:val="single" w:color="auto" w:sz="4" w:space="0"/>
            </w:tcBorders>
            <w:vAlign w:val="center"/>
          </w:tcPr>
          <w:p w14:paraId="3E50153B">
            <w:pPr>
              <w:jc w:val="center"/>
              <w:rPr>
                <w:color w:val="000000" w:themeColor="text1"/>
                <w:szCs w:val="21"/>
                <w14:textFill>
                  <w14:solidFill>
                    <w14:schemeClr w14:val="tx1"/>
                  </w14:solidFill>
                </w14:textFill>
              </w:rPr>
            </w:pPr>
            <w:bookmarkStart w:id="59" w:name="_Toc291956070"/>
            <w:bookmarkStart w:id="60" w:name="_Toc501210780"/>
            <w:bookmarkStart w:id="61" w:name="_Toc457808109"/>
            <w:bookmarkStart w:id="62" w:name="_Toc457807246"/>
            <w:bookmarkStart w:id="63" w:name="_Toc457808571"/>
            <w:bookmarkStart w:id="64" w:name="_Toc31987"/>
            <w:bookmarkStart w:id="65" w:name="_Toc185070192"/>
            <w:r>
              <w:rPr>
                <w:color w:val="000000" w:themeColor="text1"/>
                <w:szCs w:val="21"/>
                <w14:textFill>
                  <w14:solidFill>
                    <w14:schemeClr w14:val="tx1"/>
                  </w14:solidFill>
                </w14:textFill>
              </w:rPr>
              <w:t>1</w:t>
            </w:r>
          </w:p>
        </w:tc>
        <w:tc>
          <w:tcPr>
            <w:tcW w:w="1276" w:type="dxa"/>
            <w:tcBorders>
              <w:top w:val="single" w:color="auto" w:sz="4" w:space="0"/>
              <w:left w:val="single" w:color="auto" w:sz="4" w:space="0"/>
              <w:bottom w:val="single" w:color="auto" w:sz="4" w:space="0"/>
              <w:right w:val="single" w:color="auto" w:sz="4" w:space="0"/>
            </w:tcBorders>
            <w:vAlign w:val="center"/>
          </w:tcPr>
          <w:p w14:paraId="214B5E30">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流量计壳体</w:t>
            </w:r>
          </w:p>
        </w:tc>
        <w:tc>
          <w:tcPr>
            <w:tcW w:w="3543" w:type="dxa"/>
            <w:tcBorders>
              <w:top w:val="single" w:color="auto" w:sz="4" w:space="0"/>
              <w:left w:val="single" w:color="auto" w:sz="4" w:space="0"/>
              <w:bottom w:val="single" w:color="auto" w:sz="4" w:space="0"/>
              <w:right w:val="single" w:color="auto" w:sz="4" w:space="0"/>
            </w:tcBorders>
            <w:vAlign w:val="center"/>
          </w:tcPr>
          <w:p w14:paraId="63692489">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结构形式、材料描述</w:t>
            </w:r>
          </w:p>
        </w:tc>
        <w:tc>
          <w:tcPr>
            <w:tcW w:w="3119" w:type="dxa"/>
            <w:tcBorders>
              <w:top w:val="single" w:color="auto" w:sz="4" w:space="0"/>
              <w:left w:val="single" w:color="auto" w:sz="4" w:space="0"/>
              <w:bottom w:val="single" w:color="auto" w:sz="4" w:space="0"/>
              <w:right w:val="single" w:color="auto" w:sz="4" w:space="0"/>
            </w:tcBorders>
            <w:vAlign w:val="center"/>
          </w:tcPr>
          <w:p w14:paraId="53AB9873">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应注明与计量性能相关的主要材料品类。</w:t>
            </w:r>
          </w:p>
        </w:tc>
      </w:tr>
      <w:tr w14:paraId="2875E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tcBorders>
              <w:top w:val="single" w:color="auto" w:sz="4" w:space="0"/>
              <w:left w:val="single" w:color="auto" w:sz="4" w:space="0"/>
              <w:bottom w:val="single" w:color="auto" w:sz="4" w:space="0"/>
              <w:right w:val="single" w:color="auto" w:sz="4" w:space="0"/>
            </w:tcBorders>
            <w:vAlign w:val="center"/>
          </w:tcPr>
          <w:p w14:paraId="36926784">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p>
        </w:tc>
        <w:tc>
          <w:tcPr>
            <w:tcW w:w="1276" w:type="dxa"/>
            <w:tcBorders>
              <w:top w:val="single" w:color="auto" w:sz="4" w:space="0"/>
              <w:left w:val="single" w:color="auto" w:sz="4" w:space="0"/>
              <w:bottom w:val="single" w:color="auto" w:sz="4" w:space="0"/>
              <w:right w:val="single" w:color="auto" w:sz="4" w:space="0"/>
            </w:tcBorders>
            <w:vAlign w:val="center"/>
          </w:tcPr>
          <w:p w14:paraId="299A1616">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传感器</w:t>
            </w:r>
          </w:p>
        </w:tc>
        <w:tc>
          <w:tcPr>
            <w:tcW w:w="3543" w:type="dxa"/>
            <w:tcBorders>
              <w:top w:val="single" w:color="auto" w:sz="4" w:space="0"/>
              <w:left w:val="single" w:color="auto" w:sz="4" w:space="0"/>
              <w:bottom w:val="single" w:color="auto" w:sz="4" w:space="0"/>
              <w:right w:val="single" w:color="auto" w:sz="4" w:space="0"/>
            </w:tcBorders>
            <w:vAlign w:val="center"/>
          </w:tcPr>
          <w:p w14:paraId="174E0962">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结构形式、材料描述</w:t>
            </w:r>
          </w:p>
        </w:tc>
        <w:tc>
          <w:tcPr>
            <w:tcW w:w="3119" w:type="dxa"/>
            <w:tcBorders>
              <w:top w:val="single" w:color="auto" w:sz="4" w:space="0"/>
              <w:left w:val="single" w:color="auto" w:sz="4" w:space="0"/>
              <w:bottom w:val="single" w:color="auto" w:sz="4" w:space="0"/>
              <w:right w:val="single" w:color="auto" w:sz="4" w:space="0"/>
            </w:tcBorders>
            <w:vAlign w:val="center"/>
          </w:tcPr>
          <w:p w14:paraId="27CAC1B4">
            <w:pPr>
              <w:rPr>
                <w:color w:val="000000" w:themeColor="text1"/>
                <w:szCs w:val="21"/>
                <w14:textFill>
                  <w14:solidFill>
                    <w14:schemeClr w14:val="tx1"/>
                  </w14:solidFill>
                </w14:textFill>
              </w:rPr>
            </w:pPr>
          </w:p>
        </w:tc>
      </w:tr>
      <w:tr w14:paraId="674A6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tcBorders>
              <w:top w:val="single" w:color="auto" w:sz="4" w:space="0"/>
              <w:left w:val="single" w:color="auto" w:sz="4" w:space="0"/>
              <w:bottom w:val="single" w:color="auto" w:sz="4" w:space="0"/>
              <w:right w:val="single" w:color="auto" w:sz="4" w:space="0"/>
            </w:tcBorders>
            <w:vAlign w:val="center"/>
          </w:tcPr>
          <w:p w14:paraId="4F06BF2F">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p>
        </w:tc>
        <w:tc>
          <w:tcPr>
            <w:tcW w:w="1276" w:type="dxa"/>
            <w:tcBorders>
              <w:top w:val="single" w:color="auto" w:sz="4" w:space="0"/>
              <w:left w:val="single" w:color="auto" w:sz="4" w:space="0"/>
              <w:bottom w:val="single" w:color="auto" w:sz="4" w:space="0"/>
              <w:right w:val="single" w:color="auto" w:sz="4" w:space="0"/>
            </w:tcBorders>
            <w:vAlign w:val="center"/>
          </w:tcPr>
          <w:p w14:paraId="50E14956">
            <w:pPr>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显示单元</w:t>
            </w:r>
          </w:p>
        </w:tc>
        <w:tc>
          <w:tcPr>
            <w:tcW w:w="3543" w:type="dxa"/>
            <w:tcBorders>
              <w:top w:val="single" w:color="auto" w:sz="4" w:space="0"/>
              <w:left w:val="single" w:color="auto" w:sz="4" w:space="0"/>
              <w:bottom w:val="single" w:color="auto" w:sz="4" w:space="0"/>
              <w:right w:val="single" w:color="auto" w:sz="4" w:space="0"/>
            </w:tcBorders>
            <w:vAlign w:val="center"/>
          </w:tcPr>
          <w:p w14:paraId="6DC74B38">
            <w:pPr>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单元描述（液晶显示最大位数等）</w:t>
            </w:r>
          </w:p>
        </w:tc>
        <w:tc>
          <w:tcPr>
            <w:tcW w:w="3119" w:type="dxa"/>
            <w:tcBorders>
              <w:top w:val="single" w:color="auto" w:sz="4" w:space="0"/>
              <w:left w:val="single" w:color="auto" w:sz="4" w:space="0"/>
              <w:bottom w:val="single" w:color="auto" w:sz="4" w:space="0"/>
              <w:right w:val="single" w:color="auto" w:sz="4" w:space="0"/>
            </w:tcBorders>
            <w:vAlign w:val="center"/>
          </w:tcPr>
          <w:p w14:paraId="119DA187">
            <w:pPr>
              <w:rPr>
                <w:color w:val="000000" w:themeColor="text1"/>
                <w:szCs w:val="21"/>
                <w14:textFill>
                  <w14:solidFill>
                    <w14:schemeClr w14:val="tx1"/>
                  </w14:solidFill>
                </w14:textFill>
              </w:rPr>
            </w:pPr>
          </w:p>
        </w:tc>
      </w:tr>
      <w:tr w14:paraId="05A57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46" w:type="dxa"/>
            <w:tcBorders>
              <w:top w:val="single" w:color="auto" w:sz="4" w:space="0"/>
              <w:left w:val="single" w:color="auto" w:sz="4" w:space="0"/>
              <w:bottom w:val="single" w:color="auto" w:sz="4" w:space="0"/>
              <w:right w:val="single" w:color="auto" w:sz="4" w:space="0"/>
            </w:tcBorders>
            <w:vAlign w:val="center"/>
          </w:tcPr>
          <w:p w14:paraId="2C5F26C0">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p>
        </w:tc>
        <w:tc>
          <w:tcPr>
            <w:tcW w:w="1276" w:type="dxa"/>
            <w:tcBorders>
              <w:top w:val="single" w:color="auto" w:sz="4" w:space="0"/>
              <w:left w:val="single" w:color="auto" w:sz="4" w:space="0"/>
              <w:bottom w:val="single" w:color="auto" w:sz="4" w:space="0"/>
              <w:right w:val="single" w:color="auto" w:sz="4" w:space="0"/>
            </w:tcBorders>
            <w:vAlign w:val="center"/>
          </w:tcPr>
          <w:p w14:paraId="595E57DC">
            <w:pPr>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计量主板</w:t>
            </w:r>
          </w:p>
        </w:tc>
        <w:tc>
          <w:tcPr>
            <w:tcW w:w="3543" w:type="dxa"/>
            <w:tcBorders>
              <w:top w:val="single" w:color="auto" w:sz="4" w:space="0"/>
              <w:left w:val="single" w:color="auto" w:sz="4" w:space="0"/>
              <w:bottom w:val="single" w:color="auto" w:sz="4" w:space="0"/>
              <w:right w:val="single" w:color="auto" w:sz="4" w:space="0"/>
            </w:tcBorders>
            <w:vAlign w:val="center"/>
          </w:tcPr>
          <w:p w14:paraId="135D7109">
            <w:pPr>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主芯片描述</w:t>
            </w:r>
          </w:p>
        </w:tc>
        <w:tc>
          <w:tcPr>
            <w:tcW w:w="3119" w:type="dxa"/>
            <w:tcBorders>
              <w:top w:val="single" w:color="auto" w:sz="4" w:space="0"/>
              <w:left w:val="single" w:color="auto" w:sz="4" w:space="0"/>
              <w:bottom w:val="single" w:color="auto" w:sz="4" w:space="0"/>
              <w:right w:val="single" w:color="auto" w:sz="4" w:space="0"/>
            </w:tcBorders>
            <w:vAlign w:val="center"/>
          </w:tcPr>
          <w:p w14:paraId="02C61F25">
            <w:pPr>
              <w:rPr>
                <w:color w:val="000000" w:themeColor="text1"/>
                <w:szCs w:val="21"/>
                <w14:textFill>
                  <w14:solidFill>
                    <w14:schemeClr w14:val="tx1"/>
                  </w14:solidFill>
                </w14:textFill>
              </w:rPr>
            </w:pPr>
          </w:p>
        </w:tc>
      </w:tr>
    </w:tbl>
    <w:p w14:paraId="38AF8EF8">
      <w:pPr>
        <w:spacing w:before="160" w:line="360" w:lineRule="auto"/>
        <w:ind w:firstLine="480" w:firstLineChars="200"/>
        <w:rPr>
          <w:rFonts w:cstheme="minorBidi"/>
          <w:sz w:val="24"/>
          <w:szCs w:val="24"/>
        </w:rPr>
      </w:pPr>
      <w:r>
        <w:rPr>
          <w:rFonts w:hint="eastAsia" w:cstheme="minorBidi"/>
          <w:sz w:val="24"/>
          <w:szCs w:val="24"/>
        </w:rPr>
        <w:t>流量计的关键零部件应优选选用优质金属材料制作，具有良好的腐蚀性和抗冲击性能，信号处理元件应选用性能可靠，稳定性好的的相关器件。</w:t>
      </w:r>
    </w:p>
    <w:p w14:paraId="420C99EC">
      <w:pPr>
        <w:pStyle w:val="36"/>
        <w:spacing w:line="259" w:lineRule="auto"/>
        <w:jc w:val="left"/>
        <w:rPr>
          <w:rFonts w:hint="eastAsia" w:ascii="宋体" w:hAnsi="宋体" w:eastAsia="黑体"/>
          <w:color w:val="000000" w:themeColor="text1"/>
          <w:sz w:val="24"/>
          <w14:textFill>
            <w14:solidFill>
              <w14:schemeClr w14:val="tx1"/>
            </w14:solidFill>
          </w14:textFill>
        </w:rPr>
      </w:pPr>
      <w:bookmarkStart w:id="66" w:name="_Toc221090903"/>
      <w:r>
        <w:rPr>
          <w:rFonts w:ascii="Times New Roman" w:hAnsi="Times New Roman" w:cs="Times New Roman" w:eastAsiaTheme="majorEastAsia"/>
          <w:color w:val="000000" w:themeColor="text1"/>
          <w:sz w:val="24"/>
          <w14:textFill>
            <w14:solidFill>
              <w14:schemeClr w14:val="tx1"/>
            </w14:solidFill>
          </w14:textFill>
        </w:rPr>
        <w:t>5</w:t>
      </w:r>
      <w:r>
        <w:rPr>
          <w:rFonts w:hint="eastAsia" w:ascii="Times New Roman" w:hAnsi="Times New Roman" w:cs="Times New Roman" w:eastAsiaTheme="majorEastAsia"/>
          <w:color w:val="000000" w:themeColor="text1"/>
          <w14:textFill>
            <w14:solidFill>
              <w14:schemeClr w14:val="tx1"/>
            </w14:solidFill>
          </w14:textFill>
        </w:rPr>
        <w:t xml:space="preserve"> </w:t>
      </w:r>
      <w:r>
        <w:rPr>
          <w:rFonts w:hint="eastAsia" w:ascii="宋体" w:hAnsi="宋体" w:eastAsia="黑体" w:cs="Times New Roman"/>
          <w:color w:val="000000" w:themeColor="text1"/>
          <w:sz w:val="24"/>
          <w14:textFill>
            <w14:solidFill>
              <w14:schemeClr w14:val="tx1"/>
            </w14:solidFill>
          </w14:textFill>
        </w:rPr>
        <w:t>法制管理要求</w:t>
      </w:r>
      <w:bookmarkEnd w:id="54"/>
      <w:bookmarkEnd w:id="59"/>
      <w:bookmarkEnd w:id="60"/>
      <w:bookmarkEnd w:id="61"/>
      <w:bookmarkEnd w:id="62"/>
      <w:bookmarkEnd w:id="63"/>
      <w:bookmarkEnd w:id="64"/>
      <w:bookmarkEnd w:id="65"/>
      <w:bookmarkEnd w:id="66"/>
    </w:p>
    <w:p w14:paraId="7879DB7B">
      <w:pPr>
        <w:pStyle w:val="2"/>
        <w:spacing w:before="160" w:after="0" w:line="360" w:lineRule="auto"/>
        <w:rPr>
          <w:iCs/>
          <w:color w:val="000000" w:themeColor="text1"/>
          <w:sz w:val="24"/>
          <w:szCs w:val="21"/>
          <w14:textFill>
            <w14:solidFill>
              <w14:schemeClr w14:val="tx1"/>
            </w14:solidFill>
          </w14:textFill>
        </w:rPr>
      </w:pPr>
      <w:bookmarkStart w:id="67" w:name="_Toc457808572"/>
      <w:bookmarkStart w:id="68" w:name="_Toc221090904"/>
      <w:bookmarkStart w:id="69" w:name="_Toc185070193"/>
      <w:bookmarkStart w:id="70" w:name="_Toc501210781"/>
      <w:bookmarkStart w:id="71" w:name="_Toc28507"/>
      <w:bookmarkStart w:id="72" w:name="_Toc457808110"/>
      <w:bookmarkStart w:id="73" w:name="_Toc457807247"/>
      <w:r>
        <w:rPr>
          <w:b w:val="0"/>
          <w:iCs/>
          <w:color w:val="000000" w:themeColor="text1"/>
          <w:sz w:val="24"/>
          <w:szCs w:val="21"/>
          <w14:textFill>
            <w14:solidFill>
              <w14:schemeClr w14:val="tx1"/>
            </w14:solidFill>
          </w14:textFill>
        </w:rPr>
        <w:t>5.1</w:t>
      </w:r>
      <w:r>
        <w:rPr>
          <w:rFonts w:hint="eastAsia"/>
          <w:b w:val="0"/>
          <w:iCs/>
          <w:color w:val="000000" w:themeColor="text1"/>
          <w:sz w:val="24"/>
          <w:szCs w:val="21"/>
          <w14:textFill>
            <w14:solidFill>
              <w14:schemeClr w14:val="tx1"/>
            </w14:solidFill>
          </w14:textFill>
        </w:rPr>
        <w:t xml:space="preserve"> 计量单位</w:t>
      </w:r>
      <w:bookmarkEnd w:id="67"/>
      <w:bookmarkEnd w:id="68"/>
      <w:bookmarkEnd w:id="69"/>
      <w:bookmarkEnd w:id="70"/>
      <w:bookmarkEnd w:id="71"/>
      <w:bookmarkEnd w:id="72"/>
      <w:bookmarkEnd w:id="73"/>
      <w:r>
        <w:rPr>
          <w:b w:val="0"/>
          <w:iCs/>
          <w:color w:val="000000" w:themeColor="text1"/>
          <w:sz w:val="24"/>
          <w:szCs w:val="21"/>
          <w14:textFill>
            <w14:solidFill>
              <w14:schemeClr w14:val="tx1"/>
            </w14:solidFill>
          </w14:textFill>
        </w:rPr>
        <w:t xml:space="preserve"> </w:t>
      </w:r>
    </w:p>
    <w:p w14:paraId="75E5FB56">
      <w:pPr>
        <w:spacing w:before="160" w:line="360" w:lineRule="auto"/>
        <w:ind w:firstLine="480" w:firstLineChars="200"/>
        <w:rPr>
          <w:rFonts w:cstheme="minorBidi"/>
          <w:sz w:val="24"/>
          <w:szCs w:val="24"/>
        </w:rPr>
      </w:pPr>
      <w:r>
        <w:rPr>
          <w:rFonts w:hint="eastAsia" w:cstheme="minorBidi"/>
          <w:sz w:val="24"/>
          <w:szCs w:val="24"/>
        </w:rPr>
        <w:t>流量计所使用的计量单位应采用国家法定计量单位。主要量的计量单位和符号应符合表2的规定。</w:t>
      </w:r>
    </w:p>
    <w:p w14:paraId="12E8039D">
      <w:pPr>
        <w:spacing w:before="160" w:line="360" w:lineRule="auto"/>
        <w:jc w:val="center"/>
        <w:rPr>
          <w:color w:val="000000" w:themeColor="text1"/>
          <w:sz w:val="24"/>
          <w:szCs w:val="32"/>
          <w14:textFill>
            <w14:solidFill>
              <w14:schemeClr w14:val="tx1"/>
            </w14:solidFill>
          </w14:textFill>
        </w:rPr>
      </w:pPr>
      <w:r>
        <w:rPr>
          <w:rFonts w:hint="eastAsia"/>
          <w:color w:val="000000" w:themeColor="text1"/>
          <w:sz w:val="24"/>
          <w:szCs w:val="32"/>
          <w14:textFill>
            <w14:solidFill>
              <w14:schemeClr w14:val="tx1"/>
            </w14:solidFill>
          </w14:textFill>
        </w:rPr>
        <w:t>表</w:t>
      </w:r>
      <w:r>
        <w:rPr>
          <w:color w:val="000000" w:themeColor="text1"/>
          <w:sz w:val="24"/>
          <w:szCs w:val="32"/>
          <w14:textFill>
            <w14:solidFill>
              <w14:schemeClr w14:val="tx1"/>
            </w14:solidFill>
          </w14:textFill>
        </w:rPr>
        <w:t xml:space="preserve">2 </w:t>
      </w:r>
      <w:r>
        <w:rPr>
          <w:rFonts w:hint="eastAsia"/>
          <w:color w:val="000000" w:themeColor="text1"/>
          <w:sz w:val="24"/>
          <w:szCs w:val="32"/>
          <w14:textFill>
            <w14:solidFill>
              <w14:schemeClr w14:val="tx1"/>
            </w14:solidFill>
          </w14:textFill>
        </w:rPr>
        <w:t>计量单位</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1390"/>
        <w:gridCol w:w="3621"/>
        <w:gridCol w:w="3190"/>
      </w:tblGrid>
      <w:tr w14:paraId="4EC5D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5" w:type="pct"/>
            <w:vAlign w:val="center"/>
          </w:tcPr>
          <w:p w14:paraId="69DF4AC4">
            <w:pPr>
              <w:spacing w:line="360" w:lineRule="auto"/>
              <w:jc w:val="center"/>
              <w:rPr>
                <w:szCs w:val="21"/>
              </w:rPr>
            </w:pPr>
            <w:r>
              <w:rPr>
                <w:rFonts w:hint="eastAsia"/>
                <w:szCs w:val="21"/>
              </w:rPr>
              <w:t>序号</w:t>
            </w:r>
          </w:p>
        </w:tc>
        <w:tc>
          <w:tcPr>
            <w:tcW w:w="772" w:type="pct"/>
            <w:vAlign w:val="center"/>
          </w:tcPr>
          <w:p w14:paraId="36442BE7">
            <w:pPr>
              <w:spacing w:line="360" w:lineRule="auto"/>
              <w:jc w:val="center"/>
              <w:rPr>
                <w:szCs w:val="21"/>
              </w:rPr>
            </w:pPr>
            <w:r>
              <w:rPr>
                <w:rFonts w:hint="eastAsia"/>
                <w:szCs w:val="21"/>
              </w:rPr>
              <w:t>名称</w:t>
            </w:r>
          </w:p>
        </w:tc>
        <w:tc>
          <w:tcPr>
            <w:tcW w:w="2011" w:type="pct"/>
            <w:vAlign w:val="center"/>
          </w:tcPr>
          <w:p w14:paraId="70550991">
            <w:pPr>
              <w:spacing w:line="360" w:lineRule="auto"/>
              <w:jc w:val="center"/>
              <w:rPr>
                <w:szCs w:val="21"/>
              </w:rPr>
            </w:pPr>
            <w:r>
              <w:rPr>
                <w:rFonts w:hint="eastAsia"/>
                <w:szCs w:val="21"/>
              </w:rPr>
              <w:t>计量单位</w:t>
            </w:r>
          </w:p>
        </w:tc>
        <w:tc>
          <w:tcPr>
            <w:tcW w:w="1772" w:type="pct"/>
            <w:vAlign w:val="center"/>
          </w:tcPr>
          <w:p w14:paraId="095CF8EA">
            <w:pPr>
              <w:spacing w:line="360" w:lineRule="auto"/>
              <w:jc w:val="center"/>
              <w:rPr>
                <w:szCs w:val="21"/>
              </w:rPr>
            </w:pPr>
            <w:r>
              <w:rPr>
                <w:rFonts w:hint="eastAsia"/>
                <w:szCs w:val="21"/>
              </w:rPr>
              <w:t>单位符号</w:t>
            </w:r>
          </w:p>
        </w:tc>
      </w:tr>
      <w:tr w14:paraId="3BF6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5" w:type="pct"/>
            <w:vAlign w:val="center"/>
          </w:tcPr>
          <w:p w14:paraId="1712D972">
            <w:pPr>
              <w:spacing w:line="360" w:lineRule="auto"/>
              <w:jc w:val="center"/>
              <w:rPr>
                <w:szCs w:val="21"/>
              </w:rPr>
            </w:pPr>
            <w:r>
              <w:rPr>
                <w:szCs w:val="21"/>
              </w:rPr>
              <w:t>1</w:t>
            </w:r>
          </w:p>
        </w:tc>
        <w:tc>
          <w:tcPr>
            <w:tcW w:w="772" w:type="pct"/>
            <w:vAlign w:val="center"/>
          </w:tcPr>
          <w:p w14:paraId="492CB3EB">
            <w:pPr>
              <w:spacing w:line="360" w:lineRule="auto"/>
              <w:jc w:val="center"/>
              <w:rPr>
                <w:szCs w:val="21"/>
              </w:rPr>
            </w:pPr>
            <w:r>
              <w:rPr>
                <w:rFonts w:hint="eastAsia"/>
                <w:szCs w:val="21"/>
              </w:rPr>
              <w:t>质量</w:t>
            </w:r>
          </w:p>
        </w:tc>
        <w:tc>
          <w:tcPr>
            <w:tcW w:w="2011" w:type="pct"/>
            <w:vAlign w:val="center"/>
          </w:tcPr>
          <w:p w14:paraId="52FF1F7A">
            <w:pPr>
              <w:spacing w:line="360" w:lineRule="auto"/>
              <w:jc w:val="center"/>
              <w:rPr>
                <w:szCs w:val="21"/>
              </w:rPr>
            </w:pPr>
            <w:r>
              <w:rPr>
                <w:szCs w:val="21"/>
              </w:rPr>
              <w:t>千克、克</w:t>
            </w:r>
          </w:p>
        </w:tc>
        <w:tc>
          <w:tcPr>
            <w:tcW w:w="1772" w:type="pct"/>
            <w:tcBorders>
              <w:right w:val="single" w:color="231F20" w:sz="6" w:space="0"/>
            </w:tcBorders>
            <w:vAlign w:val="center"/>
          </w:tcPr>
          <w:p w14:paraId="206774BF">
            <w:pPr>
              <w:spacing w:line="360" w:lineRule="auto"/>
              <w:jc w:val="center"/>
              <w:rPr>
                <w:szCs w:val="21"/>
              </w:rPr>
            </w:pPr>
            <w:r>
              <w:rPr>
                <w:szCs w:val="21"/>
              </w:rPr>
              <w:t>kg、g</w:t>
            </w:r>
          </w:p>
        </w:tc>
      </w:tr>
      <w:tr w14:paraId="13465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5" w:type="pct"/>
            <w:vAlign w:val="center"/>
          </w:tcPr>
          <w:p w14:paraId="7C7F4852">
            <w:pPr>
              <w:spacing w:line="360" w:lineRule="auto"/>
              <w:jc w:val="center"/>
              <w:rPr>
                <w:szCs w:val="21"/>
              </w:rPr>
            </w:pPr>
            <w:r>
              <w:rPr>
                <w:szCs w:val="21"/>
              </w:rPr>
              <w:t>2</w:t>
            </w:r>
          </w:p>
        </w:tc>
        <w:tc>
          <w:tcPr>
            <w:tcW w:w="772" w:type="pct"/>
            <w:vAlign w:val="center"/>
          </w:tcPr>
          <w:p w14:paraId="3A066794">
            <w:pPr>
              <w:spacing w:line="360" w:lineRule="auto"/>
              <w:jc w:val="center"/>
              <w:rPr>
                <w:szCs w:val="21"/>
              </w:rPr>
            </w:pPr>
            <w:r>
              <w:rPr>
                <w:szCs w:val="21"/>
              </w:rPr>
              <w:t>质量</w:t>
            </w:r>
            <w:r>
              <w:rPr>
                <w:rFonts w:hint="eastAsia"/>
                <w:szCs w:val="21"/>
              </w:rPr>
              <w:t>流量</w:t>
            </w:r>
          </w:p>
        </w:tc>
        <w:tc>
          <w:tcPr>
            <w:tcW w:w="2011" w:type="pct"/>
            <w:vAlign w:val="center"/>
          </w:tcPr>
          <w:p w14:paraId="22C060EC">
            <w:pPr>
              <w:spacing w:line="360" w:lineRule="auto"/>
              <w:jc w:val="center"/>
              <w:rPr>
                <w:szCs w:val="21"/>
              </w:rPr>
            </w:pPr>
            <w:r>
              <w:rPr>
                <w:szCs w:val="21"/>
              </w:rPr>
              <w:t>千克每[小]时、千克每分钟、克每秒</w:t>
            </w:r>
          </w:p>
        </w:tc>
        <w:tc>
          <w:tcPr>
            <w:tcW w:w="1772" w:type="pct"/>
            <w:tcBorders>
              <w:right w:val="single" w:color="231F20" w:sz="6" w:space="0"/>
            </w:tcBorders>
            <w:vAlign w:val="center"/>
          </w:tcPr>
          <w:p w14:paraId="49531480">
            <w:pPr>
              <w:spacing w:line="360" w:lineRule="auto"/>
              <w:jc w:val="center"/>
              <w:rPr>
                <w:szCs w:val="21"/>
              </w:rPr>
            </w:pPr>
            <w:r>
              <w:rPr>
                <w:szCs w:val="21"/>
              </w:rPr>
              <w:t>kg/h 、kg/min 、g/s</w:t>
            </w:r>
          </w:p>
        </w:tc>
      </w:tr>
      <w:tr w14:paraId="0529B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5" w:type="pct"/>
            <w:vAlign w:val="center"/>
          </w:tcPr>
          <w:p w14:paraId="0CDFA0C7">
            <w:pPr>
              <w:spacing w:line="360" w:lineRule="auto"/>
              <w:jc w:val="center"/>
              <w:rPr>
                <w:szCs w:val="21"/>
              </w:rPr>
            </w:pPr>
            <w:r>
              <w:rPr>
                <w:szCs w:val="21"/>
              </w:rPr>
              <w:t>3</w:t>
            </w:r>
          </w:p>
        </w:tc>
        <w:tc>
          <w:tcPr>
            <w:tcW w:w="772" w:type="pct"/>
            <w:vAlign w:val="center"/>
          </w:tcPr>
          <w:p w14:paraId="7A27B128">
            <w:pPr>
              <w:spacing w:line="360" w:lineRule="auto"/>
              <w:jc w:val="center"/>
              <w:rPr>
                <w:szCs w:val="21"/>
              </w:rPr>
            </w:pPr>
            <w:r>
              <w:rPr>
                <w:rFonts w:hint="eastAsia"/>
                <w:szCs w:val="21"/>
              </w:rPr>
              <w:t>体积</w:t>
            </w:r>
          </w:p>
        </w:tc>
        <w:tc>
          <w:tcPr>
            <w:tcW w:w="2011" w:type="pct"/>
            <w:vAlign w:val="center"/>
          </w:tcPr>
          <w:p w14:paraId="5FC43494">
            <w:pPr>
              <w:jc w:val="center"/>
            </w:pPr>
            <w:r>
              <w:rPr>
                <w:rFonts w:hint="eastAsia"/>
              </w:rPr>
              <w:t>标况</w:t>
            </w:r>
            <w:r>
              <w:t>立方米</w:t>
            </w:r>
            <w:r>
              <w:rPr>
                <w:rFonts w:hint="eastAsia"/>
              </w:rPr>
              <w:t>、标况</w:t>
            </w:r>
            <w:r>
              <w:t>升</w:t>
            </w:r>
            <w:r>
              <w:rPr>
                <w:rFonts w:hint="eastAsia"/>
              </w:rPr>
              <w:t>、标况</w:t>
            </w:r>
            <w:r>
              <w:t>毫升</w:t>
            </w:r>
          </w:p>
        </w:tc>
        <w:tc>
          <w:tcPr>
            <w:tcW w:w="1772" w:type="pct"/>
            <w:tcBorders>
              <w:right w:val="single" w:color="231F20" w:sz="6" w:space="0"/>
            </w:tcBorders>
            <w:vAlign w:val="center"/>
          </w:tcPr>
          <w:p w14:paraId="05220516">
            <w:pPr>
              <w:spacing w:line="360" w:lineRule="auto"/>
              <w:jc w:val="center"/>
              <w:rPr>
                <w:szCs w:val="21"/>
              </w:rPr>
            </w:pPr>
            <w:r>
              <w:rPr>
                <w:szCs w:val="21"/>
              </w:rPr>
              <w:t>m³（标准）、L（标准）、mL（标准）</w:t>
            </w:r>
          </w:p>
        </w:tc>
      </w:tr>
      <w:tr w14:paraId="1EA72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5" w:type="pct"/>
            <w:vAlign w:val="center"/>
          </w:tcPr>
          <w:p w14:paraId="2D919B66">
            <w:pPr>
              <w:spacing w:line="360" w:lineRule="auto"/>
              <w:jc w:val="center"/>
              <w:rPr>
                <w:szCs w:val="21"/>
              </w:rPr>
            </w:pPr>
            <w:r>
              <w:rPr>
                <w:szCs w:val="21"/>
              </w:rPr>
              <w:t>4</w:t>
            </w:r>
          </w:p>
        </w:tc>
        <w:tc>
          <w:tcPr>
            <w:tcW w:w="772" w:type="pct"/>
            <w:vAlign w:val="center"/>
          </w:tcPr>
          <w:p w14:paraId="46037291">
            <w:pPr>
              <w:spacing w:line="360" w:lineRule="auto"/>
              <w:jc w:val="center"/>
              <w:rPr>
                <w:szCs w:val="21"/>
              </w:rPr>
            </w:pPr>
            <w:r>
              <w:rPr>
                <w:szCs w:val="21"/>
              </w:rPr>
              <w:t>体积流量</w:t>
            </w:r>
          </w:p>
        </w:tc>
        <w:tc>
          <w:tcPr>
            <w:tcW w:w="2011" w:type="pct"/>
            <w:vAlign w:val="center"/>
          </w:tcPr>
          <w:p w14:paraId="0D4F0EB4">
            <w:pPr>
              <w:spacing w:line="360" w:lineRule="auto"/>
              <w:jc w:val="center"/>
              <w:rPr>
                <w:szCs w:val="21"/>
              </w:rPr>
            </w:pPr>
            <w:r>
              <w:rPr>
                <w:szCs w:val="21"/>
              </w:rPr>
              <w:t>标况立方米每[小]时、标况升每分钟、标况毫升每分钟</w:t>
            </w:r>
          </w:p>
        </w:tc>
        <w:tc>
          <w:tcPr>
            <w:tcW w:w="1772" w:type="pct"/>
            <w:tcBorders>
              <w:right w:val="single" w:color="231F20" w:sz="6" w:space="0"/>
            </w:tcBorders>
            <w:vAlign w:val="center"/>
          </w:tcPr>
          <w:p w14:paraId="2CF3C3B1">
            <w:pPr>
              <w:spacing w:line="360" w:lineRule="auto"/>
              <w:jc w:val="center"/>
              <w:rPr>
                <w:szCs w:val="21"/>
              </w:rPr>
            </w:pPr>
            <w:r>
              <w:rPr>
                <w:szCs w:val="21"/>
              </w:rPr>
              <w:t>m³/h（标准）、L/min（标准）、mL/min（标准）</w:t>
            </w:r>
          </w:p>
        </w:tc>
      </w:tr>
      <w:tr w14:paraId="0D2F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5" w:type="pct"/>
            <w:vAlign w:val="center"/>
          </w:tcPr>
          <w:p w14:paraId="0EBEFFFB">
            <w:pPr>
              <w:spacing w:line="360" w:lineRule="auto"/>
              <w:jc w:val="center"/>
              <w:rPr>
                <w:szCs w:val="21"/>
              </w:rPr>
            </w:pPr>
            <w:r>
              <w:rPr>
                <w:szCs w:val="21"/>
              </w:rPr>
              <w:t>5</w:t>
            </w:r>
          </w:p>
        </w:tc>
        <w:tc>
          <w:tcPr>
            <w:tcW w:w="772" w:type="pct"/>
            <w:vAlign w:val="center"/>
          </w:tcPr>
          <w:p w14:paraId="506EEC2A">
            <w:pPr>
              <w:spacing w:line="360" w:lineRule="auto"/>
              <w:jc w:val="center"/>
              <w:rPr>
                <w:szCs w:val="21"/>
              </w:rPr>
            </w:pPr>
            <w:r>
              <w:rPr>
                <w:rFonts w:hint="eastAsia"/>
                <w:szCs w:val="21"/>
              </w:rPr>
              <w:t>温度</w:t>
            </w:r>
          </w:p>
        </w:tc>
        <w:tc>
          <w:tcPr>
            <w:tcW w:w="2011" w:type="pct"/>
            <w:vAlign w:val="center"/>
          </w:tcPr>
          <w:p w14:paraId="4A66F900">
            <w:pPr>
              <w:spacing w:line="360" w:lineRule="auto"/>
              <w:jc w:val="center"/>
              <w:rPr>
                <w:szCs w:val="21"/>
              </w:rPr>
            </w:pPr>
            <w:r>
              <w:rPr>
                <w:rFonts w:hint="eastAsia"/>
              </w:rPr>
              <w:t>开[尔文]、</w:t>
            </w:r>
            <w:r>
              <w:t>摄氏度</w:t>
            </w:r>
          </w:p>
        </w:tc>
        <w:tc>
          <w:tcPr>
            <w:tcW w:w="1772" w:type="pct"/>
            <w:tcBorders>
              <w:right w:val="single" w:color="231F20" w:sz="6" w:space="0"/>
            </w:tcBorders>
            <w:vAlign w:val="center"/>
          </w:tcPr>
          <w:p w14:paraId="6B6B447F">
            <w:pPr>
              <w:spacing w:line="360" w:lineRule="auto"/>
              <w:jc w:val="center"/>
              <w:rPr>
                <w:szCs w:val="21"/>
              </w:rPr>
            </w:pPr>
            <w:r>
              <w:rPr>
                <w:rFonts w:hint="eastAsia"/>
              </w:rPr>
              <w:t>K、</w:t>
            </w:r>
            <w:r>
              <w:t>℃</w:t>
            </w:r>
          </w:p>
        </w:tc>
      </w:tr>
      <w:tr w14:paraId="266CA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5" w:type="pct"/>
            <w:vAlign w:val="center"/>
          </w:tcPr>
          <w:p w14:paraId="79BE19C5">
            <w:pPr>
              <w:spacing w:line="360" w:lineRule="auto"/>
              <w:jc w:val="center"/>
              <w:rPr>
                <w:szCs w:val="21"/>
              </w:rPr>
            </w:pPr>
            <w:r>
              <w:rPr>
                <w:rFonts w:hint="eastAsia"/>
                <w:szCs w:val="21"/>
              </w:rPr>
              <w:t>6</w:t>
            </w:r>
          </w:p>
        </w:tc>
        <w:tc>
          <w:tcPr>
            <w:tcW w:w="772" w:type="pct"/>
            <w:vAlign w:val="center"/>
          </w:tcPr>
          <w:p w14:paraId="0CEF81D2">
            <w:pPr>
              <w:spacing w:line="360" w:lineRule="auto"/>
              <w:jc w:val="center"/>
              <w:rPr>
                <w:szCs w:val="21"/>
              </w:rPr>
            </w:pPr>
            <w:r>
              <w:rPr>
                <w:szCs w:val="21"/>
              </w:rPr>
              <w:t>压力</w:t>
            </w:r>
          </w:p>
        </w:tc>
        <w:tc>
          <w:tcPr>
            <w:tcW w:w="2011" w:type="pct"/>
            <w:vAlign w:val="center"/>
          </w:tcPr>
          <w:p w14:paraId="5B541474">
            <w:pPr>
              <w:spacing w:line="360" w:lineRule="auto"/>
              <w:jc w:val="center"/>
              <w:rPr>
                <w:szCs w:val="21"/>
              </w:rPr>
            </w:pPr>
            <w:r>
              <w:rPr>
                <w:szCs w:val="21"/>
              </w:rPr>
              <w:t>帕[斯卡]、千帕[斯卡]、兆帕[斯卡]</w:t>
            </w:r>
          </w:p>
        </w:tc>
        <w:tc>
          <w:tcPr>
            <w:tcW w:w="1772" w:type="pct"/>
            <w:tcBorders>
              <w:right w:val="single" w:color="231F20" w:sz="6" w:space="0"/>
            </w:tcBorders>
            <w:vAlign w:val="center"/>
          </w:tcPr>
          <w:p w14:paraId="43A184B3">
            <w:pPr>
              <w:spacing w:line="360" w:lineRule="auto"/>
              <w:jc w:val="center"/>
              <w:rPr>
                <w:szCs w:val="21"/>
              </w:rPr>
            </w:pPr>
            <w:r>
              <w:rPr>
                <w:szCs w:val="21"/>
              </w:rPr>
              <w:t>Pa、kPa、MPa</w:t>
            </w:r>
          </w:p>
        </w:tc>
      </w:tr>
      <w:tr w14:paraId="63F99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4"/>
          </w:tcPr>
          <w:p w14:paraId="31B76710">
            <w:pPr>
              <w:spacing w:line="360" w:lineRule="auto"/>
              <w:ind w:left="360" w:hanging="360" w:hangingChars="200"/>
              <w:rPr>
                <w:sz w:val="24"/>
                <w:szCs w:val="24"/>
              </w:rPr>
            </w:pPr>
            <w:r>
              <w:rPr>
                <w:rFonts w:hint="eastAsia" w:ascii="仿宋" w:hAnsi="仿宋" w:eastAsia="仿宋"/>
                <w:sz w:val="18"/>
                <w:szCs w:val="18"/>
              </w:rPr>
              <w:t>注：无方括号的单位名称为全称。方括号中的字，在不致引起混淆、误解的情况下可省略。去掉方括号中的字即为其名称的简称。</w:t>
            </w:r>
          </w:p>
        </w:tc>
      </w:tr>
    </w:tbl>
    <w:p w14:paraId="7820C7DC">
      <w:pPr>
        <w:snapToGrid w:val="0"/>
        <w:spacing w:line="360" w:lineRule="auto"/>
        <w:rPr>
          <w:sz w:val="24"/>
        </w:rPr>
      </w:pPr>
      <w:bookmarkStart w:id="74" w:name="_Toc457807248"/>
      <w:bookmarkStart w:id="75" w:name="_Toc501210782"/>
      <w:bookmarkStart w:id="76" w:name="_Toc457808111"/>
      <w:bookmarkStart w:id="77" w:name="_Toc457808573"/>
    </w:p>
    <w:p w14:paraId="1CA03B7C">
      <w:pPr>
        <w:pStyle w:val="2"/>
        <w:spacing w:before="160" w:after="0" w:line="360" w:lineRule="auto"/>
        <w:rPr>
          <w:iCs/>
          <w:color w:val="000000" w:themeColor="text1"/>
          <w:sz w:val="24"/>
          <w:szCs w:val="21"/>
          <w14:textFill>
            <w14:solidFill>
              <w14:schemeClr w14:val="tx1"/>
            </w14:solidFill>
          </w14:textFill>
        </w:rPr>
      </w:pPr>
      <w:bookmarkStart w:id="78" w:name="_Toc185070194"/>
      <w:bookmarkStart w:id="79" w:name="_Toc18109"/>
      <w:bookmarkStart w:id="80" w:name="_Toc221090905"/>
      <w:r>
        <w:rPr>
          <w:b w:val="0"/>
          <w:iCs/>
          <w:color w:val="000000" w:themeColor="text1"/>
          <w:sz w:val="24"/>
          <w:szCs w:val="21"/>
          <w14:textFill>
            <w14:solidFill>
              <w14:schemeClr w14:val="tx1"/>
            </w14:solidFill>
          </w14:textFill>
        </w:rPr>
        <w:t>5.2</w:t>
      </w:r>
      <w:r>
        <w:rPr>
          <w:rFonts w:hint="eastAsia"/>
          <w:b w:val="0"/>
          <w:iCs/>
          <w:color w:val="000000" w:themeColor="text1"/>
          <w:sz w:val="24"/>
          <w:szCs w:val="21"/>
          <w14:textFill>
            <w14:solidFill>
              <w14:schemeClr w14:val="tx1"/>
            </w14:solidFill>
          </w14:textFill>
        </w:rPr>
        <w:t xml:space="preserve"> 外部结构</w:t>
      </w:r>
      <w:bookmarkEnd w:id="74"/>
      <w:bookmarkEnd w:id="75"/>
      <w:bookmarkEnd w:id="76"/>
      <w:bookmarkEnd w:id="77"/>
      <w:bookmarkEnd w:id="78"/>
      <w:bookmarkEnd w:id="79"/>
      <w:bookmarkEnd w:id="80"/>
    </w:p>
    <w:p w14:paraId="4A16C190">
      <w:pPr>
        <w:spacing w:before="160" w:line="360" w:lineRule="auto"/>
        <w:ind w:firstLine="480" w:firstLineChars="200"/>
        <w:rPr>
          <w:rFonts w:cstheme="minorBidi"/>
          <w:sz w:val="24"/>
          <w:szCs w:val="24"/>
        </w:rPr>
      </w:pPr>
      <w:r>
        <w:rPr>
          <w:rFonts w:hint="eastAsia" w:cstheme="minorBidi"/>
          <w:sz w:val="24"/>
          <w:szCs w:val="24"/>
        </w:rPr>
        <w:t>流量计各个结构中，对计量性能有影响或不允许使用者自行调整的部位，包括相关连接的接口，均应设计成封闭结构，或者留有加盖封印的位置，该结构应设计成封印可更换的形式，并确定封印的位置及数量。凡能影响测量准确度的任何机械干扰将导致对流量计或试验区标记或防护标记产生永久性的有形损坏。</w:t>
      </w:r>
    </w:p>
    <w:p w14:paraId="660C9005">
      <w:pPr>
        <w:pStyle w:val="2"/>
        <w:spacing w:before="160" w:after="0" w:line="360" w:lineRule="auto"/>
        <w:rPr>
          <w:iCs/>
          <w:color w:val="000000" w:themeColor="text1"/>
          <w:sz w:val="24"/>
          <w:szCs w:val="21"/>
          <w14:textFill>
            <w14:solidFill>
              <w14:schemeClr w14:val="tx1"/>
            </w14:solidFill>
          </w14:textFill>
        </w:rPr>
      </w:pPr>
      <w:bookmarkStart w:id="81" w:name="_Toc221090906"/>
      <w:bookmarkStart w:id="82" w:name="_Toc32120"/>
      <w:bookmarkStart w:id="83" w:name="_Toc457807249"/>
      <w:bookmarkStart w:id="84" w:name="_Toc185070195"/>
      <w:bookmarkStart w:id="85" w:name="_Toc501210783"/>
      <w:bookmarkStart w:id="86" w:name="_Toc457808112"/>
      <w:bookmarkStart w:id="87" w:name="_Toc457808574"/>
      <w:r>
        <w:rPr>
          <w:b w:val="0"/>
          <w:iCs/>
          <w:color w:val="000000" w:themeColor="text1"/>
          <w:sz w:val="24"/>
          <w:szCs w:val="21"/>
          <w14:textFill>
            <w14:solidFill>
              <w14:schemeClr w14:val="tx1"/>
            </w14:solidFill>
          </w14:textFill>
        </w:rPr>
        <w:t>5.3</w:t>
      </w:r>
      <w:r>
        <w:rPr>
          <w:rFonts w:hint="eastAsia"/>
          <w:b w:val="0"/>
          <w:iCs/>
          <w:color w:val="000000" w:themeColor="text1"/>
          <w:sz w:val="24"/>
          <w:szCs w:val="21"/>
          <w14:textFill>
            <w14:solidFill>
              <w14:schemeClr w14:val="tx1"/>
            </w14:solidFill>
          </w14:textFill>
        </w:rPr>
        <w:t xml:space="preserve"> 标志和标识</w:t>
      </w:r>
      <w:bookmarkEnd w:id="81"/>
      <w:bookmarkEnd w:id="82"/>
      <w:bookmarkEnd w:id="83"/>
      <w:bookmarkEnd w:id="84"/>
      <w:bookmarkEnd w:id="85"/>
      <w:bookmarkEnd w:id="86"/>
      <w:bookmarkEnd w:id="87"/>
    </w:p>
    <w:p w14:paraId="0AFE0070">
      <w:pPr>
        <w:spacing w:before="160" w:line="360" w:lineRule="auto"/>
        <w:ind w:firstLine="480" w:firstLineChars="200"/>
        <w:rPr>
          <w:rFonts w:cstheme="minorBidi"/>
          <w:sz w:val="24"/>
          <w:szCs w:val="24"/>
        </w:rPr>
      </w:pPr>
      <w:r>
        <w:rPr>
          <w:rFonts w:hint="eastAsia" w:cstheme="minorBidi"/>
          <w:sz w:val="24"/>
          <w:szCs w:val="24"/>
        </w:rPr>
        <w:t>应在流量计铭牌、面板和表头等明显部位标注</w:t>
      </w:r>
      <w:r>
        <w:rPr>
          <w:rFonts w:cstheme="minorBidi"/>
          <w:sz w:val="24"/>
          <w:szCs w:val="24"/>
        </w:rPr>
        <w:t>计量法制标</w:t>
      </w:r>
      <w:r>
        <w:rPr>
          <w:rFonts w:hint="eastAsia" w:cstheme="minorBidi"/>
          <w:sz w:val="24"/>
          <w:szCs w:val="24"/>
        </w:rPr>
        <w:t>志</w:t>
      </w:r>
      <w:r>
        <w:rPr>
          <w:rFonts w:cstheme="minorBidi"/>
          <w:sz w:val="24"/>
          <w:szCs w:val="24"/>
        </w:rPr>
        <w:t>和计量器具标识</w:t>
      </w:r>
      <w:r>
        <w:rPr>
          <w:rFonts w:hint="eastAsia" w:cstheme="minorBidi"/>
          <w:sz w:val="24"/>
          <w:szCs w:val="24"/>
        </w:rPr>
        <w:t>，</w:t>
      </w:r>
      <w:r>
        <w:rPr>
          <w:rFonts w:cstheme="minorBidi"/>
          <w:sz w:val="24"/>
          <w:szCs w:val="24"/>
        </w:rPr>
        <w:t>标</w:t>
      </w:r>
      <w:r>
        <w:rPr>
          <w:rFonts w:hint="eastAsia" w:cstheme="minorBidi"/>
          <w:sz w:val="24"/>
          <w:szCs w:val="24"/>
        </w:rPr>
        <w:t>志</w:t>
      </w:r>
      <w:r>
        <w:rPr>
          <w:rFonts w:cstheme="minorBidi"/>
          <w:sz w:val="24"/>
          <w:szCs w:val="24"/>
        </w:rPr>
        <w:t>和</w:t>
      </w:r>
      <w:r>
        <w:rPr>
          <w:rFonts w:hint="eastAsia" w:cstheme="minorBidi"/>
          <w:sz w:val="24"/>
          <w:szCs w:val="24"/>
        </w:rPr>
        <w:t>标识必须清晰可辨，牢固可靠。</w:t>
      </w:r>
    </w:p>
    <w:p w14:paraId="4D637C63">
      <w:pPr>
        <w:spacing w:before="160" w:line="360" w:lineRule="auto"/>
        <w:rPr>
          <w:rFonts w:cstheme="minorBidi"/>
          <w:sz w:val="24"/>
          <w:szCs w:val="24"/>
        </w:rPr>
      </w:pPr>
      <w:r>
        <w:rPr>
          <w:rFonts w:hint="eastAsia" w:cstheme="minorBidi"/>
          <w:sz w:val="24"/>
          <w:szCs w:val="24"/>
        </w:rPr>
        <w:t xml:space="preserve">5.3.1 </w:t>
      </w:r>
      <w:r>
        <w:rPr>
          <w:rFonts w:cstheme="minorBidi"/>
          <w:sz w:val="24"/>
          <w:szCs w:val="24"/>
        </w:rPr>
        <w:t>计量法制标</w:t>
      </w:r>
      <w:r>
        <w:rPr>
          <w:rFonts w:hint="eastAsia" w:cstheme="minorBidi"/>
          <w:sz w:val="24"/>
          <w:szCs w:val="24"/>
        </w:rPr>
        <w:t>志</w:t>
      </w:r>
    </w:p>
    <w:p w14:paraId="7CA7C88A">
      <w:pPr>
        <w:spacing w:before="160" w:line="360" w:lineRule="auto"/>
        <w:ind w:firstLine="480" w:firstLineChars="200"/>
        <w:rPr>
          <w:rFonts w:cstheme="minorBidi"/>
          <w:sz w:val="24"/>
          <w:szCs w:val="24"/>
        </w:rPr>
      </w:pPr>
      <w:r>
        <w:rPr>
          <w:rFonts w:hint="eastAsia" w:cstheme="minorBidi"/>
          <w:sz w:val="24"/>
          <w:szCs w:val="24"/>
        </w:rPr>
        <w:t>应留有计量器具型式批准标志和编号的位置。</w:t>
      </w:r>
    </w:p>
    <w:p w14:paraId="4BC54986">
      <w:pPr>
        <w:spacing w:before="160" w:line="360" w:lineRule="auto"/>
        <w:rPr>
          <w:rFonts w:cstheme="minorBidi"/>
          <w:sz w:val="24"/>
          <w:szCs w:val="24"/>
        </w:rPr>
      </w:pPr>
      <w:r>
        <w:rPr>
          <w:rFonts w:hint="eastAsia" w:cstheme="minorBidi"/>
          <w:sz w:val="24"/>
          <w:szCs w:val="24"/>
        </w:rPr>
        <w:t xml:space="preserve">5.3.2 </w:t>
      </w:r>
      <w:r>
        <w:rPr>
          <w:rFonts w:cstheme="minorBidi"/>
          <w:sz w:val="24"/>
          <w:szCs w:val="24"/>
        </w:rPr>
        <w:t>计量</w:t>
      </w:r>
      <w:r>
        <w:rPr>
          <w:rFonts w:hint="eastAsia" w:cstheme="minorBidi"/>
          <w:sz w:val="24"/>
          <w:szCs w:val="24"/>
        </w:rPr>
        <w:t>器具标识</w:t>
      </w:r>
    </w:p>
    <w:p w14:paraId="6AA26907">
      <w:pPr>
        <w:autoSpaceDE w:val="0"/>
        <w:autoSpaceDN w:val="0"/>
        <w:adjustRightInd w:val="0"/>
        <w:snapToGrid w:val="0"/>
        <w:spacing w:line="360" w:lineRule="auto"/>
        <w:ind w:firstLine="480" w:firstLineChars="200"/>
        <w:jc w:val="left"/>
        <w:rPr>
          <w:sz w:val="24"/>
          <w:szCs w:val="24"/>
        </w:rPr>
      </w:pPr>
      <w:r>
        <w:rPr>
          <w:sz w:val="24"/>
          <w:szCs w:val="24"/>
        </w:rPr>
        <w:t>计量器具标识</w:t>
      </w:r>
      <w:r>
        <w:rPr>
          <w:rFonts w:hint="eastAsia"/>
          <w:sz w:val="24"/>
          <w:szCs w:val="24"/>
        </w:rPr>
        <w:t>一般应具有以下的内容：</w:t>
      </w:r>
    </w:p>
    <w:p w14:paraId="73A41917">
      <w:pPr>
        <w:spacing w:before="160" w:line="360" w:lineRule="auto"/>
        <w:ind w:firstLine="480" w:firstLineChars="200"/>
        <w:rPr>
          <w:rFonts w:cstheme="minorBidi"/>
          <w:sz w:val="24"/>
          <w:szCs w:val="24"/>
        </w:rPr>
      </w:pPr>
      <w:r>
        <w:rPr>
          <w:rFonts w:hint="eastAsia" w:cstheme="minorBidi"/>
          <w:sz w:val="24"/>
          <w:szCs w:val="24"/>
        </w:rPr>
        <w:t>a）</w:t>
      </w:r>
      <w:r>
        <w:rPr>
          <w:rFonts w:cstheme="minorBidi"/>
          <w:sz w:val="24"/>
          <w:szCs w:val="24"/>
        </w:rPr>
        <w:t>制造商名称</w:t>
      </w:r>
      <w:r>
        <w:rPr>
          <w:rFonts w:hint="eastAsia" w:cstheme="minorBidi"/>
          <w:sz w:val="24"/>
          <w:szCs w:val="24"/>
        </w:rPr>
        <w:t>；</w:t>
      </w:r>
    </w:p>
    <w:p w14:paraId="7963889B">
      <w:pPr>
        <w:spacing w:before="160" w:line="360" w:lineRule="auto"/>
        <w:ind w:firstLine="480" w:firstLineChars="200"/>
        <w:rPr>
          <w:rFonts w:cstheme="minorBidi"/>
          <w:sz w:val="24"/>
          <w:szCs w:val="24"/>
        </w:rPr>
      </w:pPr>
      <w:r>
        <w:rPr>
          <w:rFonts w:hint="eastAsia" w:cstheme="minorBidi"/>
          <w:sz w:val="24"/>
          <w:szCs w:val="24"/>
        </w:rPr>
        <w:t>b）</w:t>
      </w:r>
      <w:r>
        <w:rPr>
          <w:rFonts w:cstheme="minorBidi"/>
          <w:sz w:val="24"/>
          <w:szCs w:val="24"/>
        </w:rPr>
        <w:t>产品名称 、型号 、规格</w:t>
      </w:r>
      <w:r>
        <w:rPr>
          <w:rFonts w:hint="eastAsia" w:cstheme="minorBidi"/>
          <w:sz w:val="24"/>
          <w:szCs w:val="24"/>
        </w:rPr>
        <w:t>和执行标准；</w:t>
      </w:r>
    </w:p>
    <w:p w14:paraId="7A7C88E2">
      <w:pPr>
        <w:spacing w:before="160" w:line="360" w:lineRule="auto"/>
        <w:ind w:firstLine="480" w:firstLineChars="200"/>
        <w:rPr>
          <w:rFonts w:cstheme="minorBidi"/>
          <w:sz w:val="24"/>
          <w:szCs w:val="24"/>
        </w:rPr>
      </w:pPr>
      <w:r>
        <w:rPr>
          <w:rFonts w:hint="eastAsia" w:cstheme="minorBidi"/>
          <w:sz w:val="24"/>
          <w:szCs w:val="24"/>
        </w:rPr>
        <w:t>c）</w:t>
      </w:r>
      <w:r>
        <w:rPr>
          <w:rFonts w:cstheme="minorBidi"/>
          <w:sz w:val="24"/>
          <w:szCs w:val="24"/>
        </w:rPr>
        <w:t>准确度等级</w:t>
      </w:r>
      <w:r>
        <w:rPr>
          <w:rFonts w:hint="eastAsia" w:cstheme="minorBidi"/>
          <w:sz w:val="24"/>
          <w:szCs w:val="24"/>
        </w:rPr>
        <w:t>；</w:t>
      </w:r>
    </w:p>
    <w:p w14:paraId="169C3992">
      <w:pPr>
        <w:spacing w:before="160" w:line="360" w:lineRule="auto"/>
        <w:ind w:firstLine="480" w:firstLineChars="200"/>
        <w:rPr>
          <w:rFonts w:cstheme="minorBidi"/>
          <w:sz w:val="24"/>
          <w:szCs w:val="24"/>
        </w:rPr>
      </w:pPr>
      <w:r>
        <w:rPr>
          <w:rFonts w:hint="eastAsia" w:cstheme="minorBidi"/>
          <w:sz w:val="24"/>
          <w:szCs w:val="24"/>
        </w:rPr>
        <w:t>d）</w:t>
      </w:r>
      <w:r>
        <w:rPr>
          <w:rFonts w:cstheme="minorBidi"/>
          <w:sz w:val="24"/>
          <w:szCs w:val="24"/>
        </w:rPr>
        <w:t>出厂编号</w:t>
      </w:r>
      <w:r>
        <w:rPr>
          <w:rFonts w:hint="eastAsia" w:cstheme="minorBidi"/>
          <w:sz w:val="24"/>
          <w:szCs w:val="24"/>
        </w:rPr>
        <w:t>；</w:t>
      </w:r>
    </w:p>
    <w:p w14:paraId="02594612">
      <w:pPr>
        <w:spacing w:before="160" w:line="360" w:lineRule="auto"/>
        <w:ind w:firstLine="480" w:firstLineChars="200"/>
        <w:rPr>
          <w:rFonts w:cstheme="minorBidi"/>
          <w:sz w:val="24"/>
          <w:szCs w:val="24"/>
        </w:rPr>
      </w:pPr>
      <w:r>
        <w:rPr>
          <w:rFonts w:hint="eastAsia" w:cstheme="minorBidi"/>
          <w:sz w:val="24"/>
          <w:szCs w:val="24"/>
        </w:rPr>
        <w:t>e）</w:t>
      </w:r>
      <w:r>
        <w:rPr>
          <w:rFonts w:cstheme="minorBidi"/>
          <w:sz w:val="24"/>
          <w:szCs w:val="24"/>
        </w:rPr>
        <w:t>制造年月</w:t>
      </w:r>
      <w:r>
        <w:rPr>
          <w:rFonts w:hint="eastAsia" w:cstheme="minorBidi"/>
          <w:sz w:val="24"/>
          <w:szCs w:val="24"/>
        </w:rPr>
        <w:t>；</w:t>
      </w:r>
    </w:p>
    <w:p w14:paraId="35E1E493">
      <w:pPr>
        <w:spacing w:before="160" w:line="360" w:lineRule="auto"/>
        <w:ind w:firstLine="480" w:firstLineChars="200"/>
        <w:rPr>
          <w:rFonts w:cstheme="minorBidi"/>
          <w:sz w:val="24"/>
          <w:szCs w:val="24"/>
        </w:rPr>
      </w:pPr>
      <w:r>
        <w:rPr>
          <w:rFonts w:hint="eastAsia" w:cstheme="minorBidi"/>
          <w:sz w:val="24"/>
          <w:szCs w:val="24"/>
        </w:rPr>
        <w:t>f）</w:t>
      </w:r>
      <w:r>
        <w:rPr>
          <w:rFonts w:cstheme="minorBidi"/>
          <w:sz w:val="24"/>
          <w:szCs w:val="24"/>
        </w:rPr>
        <w:t>型式批准标志和编号（如适用）</w:t>
      </w:r>
      <w:r>
        <w:rPr>
          <w:rFonts w:hint="eastAsia" w:cstheme="minorBidi"/>
          <w:sz w:val="24"/>
          <w:szCs w:val="24"/>
        </w:rPr>
        <w:t>；</w:t>
      </w:r>
    </w:p>
    <w:p w14:paraId="360AB28C">
      <w:pPr>
        <w:spacing w:before="160" w:line="360" w:lineRule="auto"/>
        <w:ind w:firstLine="480" w:firstLineChars="200"/>
        <w:rPr>
          <w:rFonts w:cstheme="minorBidi"/>
          <w:sz w:val="24"/>
          <w:szCs w:val="24"/>
        </w:rPr>
      </w:pPr>
      <w:r>
        <w:rPr>
          <w:rFonts w:hint="eastAsia" w:cstheme="minorBidi"/>
          <w:sz w:val="24"/>
          <w:szCs w:val="24"/>
        </w:rPr>
        <w:t>g）</w:t>
      </w:r>
      <w:r>
        <w:rPr>
          <w:rFonts w:cstheme="minorBidi"/>
          <w:sz w:val="24"/>
          <w:szCs w:val="24"/>
        </w:rPr>
        <w:t>流量范围</w:t>
      </w:r>
      <w:r>
        <w:rPr>
          <w:rFonts w:hint="eastAsia" w:cstheme="minorBidi"/>
          <w:sz w:val="24"/>
          <w:szCs w:val="24"/>
        </w:rPr>
        <w:t>；</w:t>
      </w:r>
    </w:p>
    <w:p w14:paraId="537078DA">
      <w:pPr>
        <w:spacing w:before="160" w:line="360" w:lineRule="auto"/>
        <w:ind w:firstLine="480" w:firstLineChars="200"/>
        <w:rPr>
          <w:rFonts w:cstheme="minorBidi"/>
          <w:sz w:val="24"/>
          <w:szCs w:val="24"/>
        </w:rPr>
      </w:pPr>
      <w:r>
        <w:rPr>
          <w:rFonts w:hint="eastAsia" w:cstheme="minorBidi"/>
          <w:sz w:val="24"/>
          <w:szCs w:val="24"/>
        </w:rPr>
        <w:t>h）</w:t>
      </w:r>
      <w:r>
        <w:rPr>
          <w:rFonts w:cstheme="minorBidi"/>
          <w:sz w:val="24"/>
          <w:szCs w:val="24"/>
        </w:rPr>
        <w:t>分界流量</w:t>
      </w:r>
      <w:r>
        <w:rPr>
          <w:rFonts w:hint="eastAsia" w:cstheme="minorBidi"/>
          <w:sz w:val="24"/>
          <w:szCs w:val="24"/>
        </w:rPr>
        <w:t>；</w:t>
      </w:r>
    </w:p>
    <w:p w14:paraId="1CD934CA">
      <w:pPr>
        <w:spacing w:before="160" w:line="360" w:lineRule="auto"/>
        <w:ind w:firstLine="480" w:firstLineChars="200"/>
        <w:rPr>
          <w:rFonts w:cstheme="minorBidi"/>
          <w:sz w:val="24"/>
          <w:szCs w:val="24"/>
        </w:rPr>
      </w:pPr>
      <w:r>
        <w:rPr>
          <w:rFonts w:hint="eastAsia" w:cstheme="minorBidi"/>
          <w:sz w:val="24"/>
          <w:szCs w:val="24"/>
        </w:rPr>
        <w:t>i）</w:t>
      </w:r>
      <w:r>
        <w:rPr>
          <w:rFonts w:cstheme="minorBidi"/>
          <w:sz w:val="24"/>
          <w:szCs w:val="24"/>
        </w:rPr>
        <w:t>公称压力</w:t>
      </w:r>
      <w:r>
        <w:rPr>
          <w:rFonts w:hint="eastAsia" w:cstheme="minorBidi"/>
          <w:sz w:val="24"/>
          <w:szCs w:val="24"/>
        </w:rPr>
        <w:t>；</w:t>
      </w:r>
    </w:p>
    <w:p w14:paraId="53CAEAF2">
      <w:pPr>
        <w:spacing w:before="160" w:line="360" w:lineRule="auto"/>
        <w:ind w:firstLine="480" w:firstLineChars="200"/>
        <w:rPr>
          <w:rFonts w:cstheme="minorBidi"/>
          <w:sz w:val="24"/>
          <w:szCs w:val="24"/>
        </w:rPr>
      </w:pPr>
      <w:r>
        <w:rPr>
          <w:rFonts w:hint="eastAsia" w:cstheme="minorBidi"/>
          <w:sz w:val="24"/>
          <w:szCs w:val="24"/>
        </w:rPr>
        <w:t>j）</w:t>
      </w:r>
      <w:r>
        <w:rPr>
          <w:rFonts w:cstheme="minorBidi"/>
          <w:sz w:val="24"/>
          <w:szCs w:val="24"/>
        </w:rPr>
        <w:t>最大工作压力</w:t>
      </w:r>
      <w:r>
        <w:rPr>
          <w:rFonts w:hint="eastAsia" w:cstheme="minorBidi"/>
          <w:sz w:val="24"/>
          <w:szCs w:val="24"/>
        </w:rPr>
        <w:t>；</w:t>
      </w:r>
    </w:p>
    <w:p w14:paraId="2AA41D48">
      <w:pPr>
        <w:spacing w:before="160" w:line="360" w:lineRule="auto"/>
        <w:ind w:firstLine="480" w:firstLineChars="200"/>
        <w:rPr>
          <w:rFonts w:cstheme="minorBidi"/>
          <w:sz w:val="24"/>
          <w:szCs w:val="24"/>
        </w:rPr>
      </w:pPr>
      <w:r>
        <w:rPr>
          <w:rFonts w:hint="eastAsia" w:cstheme="minorBidi"/>
          <w:sz w:val="24"/>
          <w:szCs w:val="24"/>
        </w:rPr>
        <w:t>k）</w:t>
      </w:r>
      <w:r>
        <w:rPr>
          <w:rFonts w:cstheme="minorBidi"/>
          <w:sz w:val="24"/>
          <w:szCs w:val="24"/>
        </w:rPr>
        <w:t>工作温度范围</w:t>
      </w:r>
      <w:r>
        <w:rPr>
          <w:rFonts w:hint="eastAsia" w:cstheme="minorBidi"/>
          <w:sz w:val="24"/>
          <w:szCs w:val="24"/>
        </w:rPr>
        <w:t>；</w:t>
      </w:r>
    </w:p>
    <w:p w14:paraId="7504250D">
      <w:pPr>
        <w:spacing w:before="160" w:line="360" w:lineRule="auto"/>
        <w:ind w:firstLine="480" w:firstLineChars="200"/>
        <w:rPr>
          <w:rFonts w:cstheme="minorBidi"/>
          <w:sz w:val="24"/>
          <w:szCs w:val="24"/>
        </w:rPr>
      </w:pPr>
      <w:r>
        <w:rPr>
          <w:rFonts w:hint="eastAsia" w:cstheme="minorBidi"/>
          <w:sz w:val="24"/>
          <w:szCs w:val="24"/>
        </w:rPr>
        <w:t>l）测量气体；</w:t>
      </w:r>
    </w:p>
    <w:p w14:paraId="3B0E5205">
      <w:pPr>
        <w:spacing w:before="160" w:line="360" w:lineRule="auto"/>
        <w:ind w:firstLine="480" w:firstLineChars="200"/>
        <w:rPr>
          <w:rFonts w:cstheme="minorBidi"/>
          <w:sz w:val="24"/>
          <w:szCs w:val="24"/>
        </w:rPr>
      </w:pPr>
      <w:r>
        <w:rPr>
          <w:rFonts w:hint="eastAsia" w:cstheme="minorBidi"/>
          <w:sz w:val="24"/>
          <w:szCs w:val="24"/>
        </w:rPr>
        <w:t>m）流量显示（质量流量、体积流量及其工况或标况）；</w:t>
      </w:r>
    </w:p>
    <w:p w14:paraId="2F6D4BAE">
      <w:pPr>
        <w:spacing w:before="160" w:line="360" w:lineRule="auto"/>
        <w:ind w:firstLine="480" w:firstLineChars="200"/>
        <w:rPr>
          <w:rFonts w:cstheme="minorBidi"/>
          <w:sz w:val="24"/>
          <w:szCs w:val="24"/>
        </w:rPr>
      </w:pPr>
      <w:r>
        <w:rPr>
          <w:rFonts w:hint="eastAsia" w:cstheme="minorBidi"/>
          <w:sz w:val="24"/>
          <w:szCs w:val="24"/>
        </w:rPr>
        <w:t>n）标准参比条件；</w:t>
      </w:r>
    </w:p>
    <w:p w14:paraId="0EFD1F17">
      <w:pPr>
        <w:spacing w:before="160" w:line="360" w:lineRule="auto"/>
        <w:ind w:firstLine="480" w:firstLineChars="200"/>
        <w:rPr>
          <w:rFonts w:cstheme="minorBidi"/>
          <w:sz w:val="24"/>
          <w:szCs w:val="24"/>
        </w:rPr>
      </w:pPr>
      <w:r>
        <w:rPr>
          <w:rFonts w:hint="eastAsia" w:cstheme="minorBidi"/>
          <w:sz w:val="24"/>
          <w:szCs w:val="24"/>
        </w:rPr>
        <w:t>o）流量计表体上应有清晰、永久性的流向标识；</w:t>
      </w:r>
    </w:p>
    <w:p w14:paraId="1F9E76C5">
      <w:pPr>
        <w:spacing w:before="160" w:line="360" w:lineRule="auto"/>
        <w:ind w:firstLine="480" w:firstLineChars="200"/>
        <w:rPr>
          <w:rFonts w:cstheme="minorBidi"/>
          <w:sz w:val="24"/>
          <w:szCs w:val="24"/>
        </w:rPr>
      </w:pPr>
      <w:r>
        <w:rPr>
          <w:rFonts w:hint="eastAsia" w:cstheme="minorBidi"/>
          <w:sz w:val="24"/>
          <w:szCs w:val="24"/>
        </w:rPr>
        <w:t>p）防爆标志和防爆合格证编号（如适用）。</w:t>
      </w:r>
    </w:p>
    <w:p w14:paraId="1D3F2D00">
      <w:pPr>
        <w:spacing w:before="160" w:line="360" w:lineRule="auto"/>
        <w:ind w:firstLine="480" w:firstLineChars="200"/>
        <w:rPr>
          <w:rFonts w:cstheme="minorBidi"/>
          <w:sz w:val="24"/>
          <w:szCs w:val="24"/>
        </w:rPr>
      </w:pPr>
      <w:r>
        <w:rPr>
          <w:rFonts w:hint="eastAsia" w:cstheme="minorBidi"/>
          <w:sz w:val="24"/>
          <w:szCs w:val="24"/>
        </w:rPr>
        <w:t>其它相关技术指标（如适用），如电源电压等信息。</w:t>
      </w:r>
    </w:p>
    <w:p w14:paraId="1BAE0CC7">
      <w:pPr>
        <w:spacing w:before="160" w:line="360" w:lineRule="auto"/>
        <w:rPr>
          <w:rFonts w:cstheme="minorBidi"/>
          <w:sz w:val="24"/>
          <w:szCs w:val="24"/>
        </w:rPr>
      </w:pPr>
      <w:r>
        <w:rPr>
          <w:rFonts w:hint="eastAsia" w:cstheme="minorBidi"/>
          <w:sz w:val="24"/>
          <w:szCs w:val="24"/>
        </w:rPr>
        <w:t>5.3.3  防爆标志</w:t>
      </w:r>
    </w:p>
    <w:p w14:paraId="7F2CF579">
      <w:pPr>
        <w:spacing w:before="160" w:line="360" w:lineRule="auto"/>
        <w:ind w:firstLine="480" w:firstLineChars="200"/>
        <w:rPr>
          <w:rFonts w:cstheme="minorBidi"/>
          <w:sz w:val="24"/>
          <w:szCs w:val="24"/>
        </w:rPr>
      </w:pPr>
      <w:r>
        <w:rPr>
          <w:rFonts w:hint="eastAsia" w:cstheme="minorBidi"/>
          <w:sz w:val="24"/>
          <w:szCs w:val="24"/>
        </w:rPr>
        <w:t>对于电池供电或外电源供电的流量计，如被用于测量可燃气体和在防爆条件下使用，应有防爆等级和防爆合格证编号 。</w:t>
      </w:r>
    </w:p>
    <w:p w14:paraId="7AD21239">
      <w:pPr>
        <w:spacing w:before="160" w:line="360" w:lineRule="auto"/>
        <w:ind w:firstLine="420" w:firstLineChars="200"/>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注：对于测量可燃气体或在防爆条件下使用的带电子装置的流量计，应取得具有资质的防爆检验机构签发的防爆合格证书。</w:t>
      </w:r>
    </w:p>
    <w:p w14:paraId="68120ADE">
      <w:pPr>
        <w:pStyle w:val="2"/>
        <w:spacing w:before="160" w:after="0" w:line="360" w:lineRule="auto"/>
        <w:rPr>
          <w:iCs/>
          <w:color w:val="000000" w:themeColor="text1"/>
          <w:sz w:val="24"/>
          <w:szCs w:val="21"/>
          <w14:textFill>
            <w14:solidFill>
              <w14:schemeClr w14:val="tx1"/>
            </w14:solidFill>
          </w14:textFill>
        </w:rPr>
      </w:pPr>
      <w:bookmarkStart w:id="88" w:name="_Toc457808113"/>
      <w:bookmarkStart w:id="89" w:name="_Toc457808575"/>
      <w:bookmarkStart w:id="90" w:name="_Toc501210784"/>
      <w:bookmarkStart w:id="91" w:name="_Toc185070196"/>
      <w:bookmarkStart w:id="92" w:name="_Toc457807250"/>
      <w:bookmarkStart w:id="93" w:name="_Toc2197"/>
      <w:bookmarkStart w:id="94" w:name="_Toc221090907"/>
      <w:r>
        <w:rPr>
          <w:b w:val="0"/>
          <w:iCs/>
          <w:color w:val="000000" w:themeColor="text1"/>
          <w:sz w:val="24"/>
          <w:szCs w:val="21"/>
          <w14:textFill>
            <w14:solidFill>
              <w14:schemeClr w14:val="tx1"/>
            </w14:solidFill>
          </w14:textFill>
        </w:rPr>
        <w:t>5.4</w:t>
      </w:r>
      <w:r>
        <w:rPr>
          <w:rFonts w:hint="eastAsia"/>
          <w:b w:val="0"/>
          <w:iCs/>
          <w:color w:val="000000" w:themeColor="text1"/>
          <w:sz w:val="24"/>
          <w:szCs w:val="21"/>
          <w14:textFill>
            <w14:solidFill>
              <w14:schemeClr w14:val="tx1"/>
            </w14:solidFill>
          </w14:textFill>
        </w:rPr>
        <w:t xml:space="preserve"> 保护装置和封印</w:t>
      </w:r>
      <w:bookmarkEnd w:id="88"/>
      <w:bookmarkEnd w:id="89"/>
      <w:bookmarkEnd w:id="90"/>
      <w:bookmarkEnd w:id="91"/>
      <w:bookmarkEnd w:id="92"/>
      <w:bookmarkEnd w:id="93"/>
      <w:bookmarkEnd w:id="94"/>
    </w:p>
    <w:p w14:paraId="1737D1B9">
      <w:pPr>
        <w:spacing w:before="160" w:line="360" w:lineRule="auto"/>
        <w:rPr>
          <w:rFonts w:cstheme="minorBidi"/>
          <w:sz w:val="24"/>
          <w:szCs w:val="24"/>
        </w:rPr>
      </w:pPr>
      <w:r>
        <w:rPr>
          <w:rFonts w:hint="eastAsia" w:cstheme="minorBidi"/>
          <w:sz w:val="24"/>
          <w:szCs w:val="24"/>
        </w:rPr>
        <w:t>5</w:t>
      </w:r>
      <w:r>
        <w:rPr>
          <w:rFonts w:cstheme="minorBidi"/>
          <w:sz w:val="24"/>
          <w:szCs w:val="24"/>
        </w:rPr>
        <w:t>.</w:t>
      </w:r>
      <w:r>
        <w:rPr>
          <w:rFonts w:hint="eastAsia" w:cstheme="minorBidi"/>
          <w:sz w:val="24"/>
          <w:szCs w:val="24"/>
        </w:rPr>
        <w:t>4</w:t>
      </w:r>
      <w:r>
        <w:rPr>
          <w:rFonts w:cstheme="minorBidi"/>
          <w:sz w:val="24"/>
          <w:szCs w:val="24"/>
        </w:rPr>
        <w:t>.1</w:t>
      </w:r>
      <w:r>
        <w:rPr>
          <w:rFonts w:hint="eastAsia" w:cstheme="minorBidi"/>
          <w:sz w:val="24"/>
          <w:szCs w:val="24"/>
        </w:rPr>
        <w:t xml:space="preserve">  总体要求</w:t>
      </w:r>
    </w:p>
    <w:p w14:paraId="53756F56">
      <w:pPr>
        <w:spacing w:before="160" w:line="360" w:lineRule="auto"/>
        <w:rPr>
          <w:rFonts w:cstheme="minorBidi"/>
          <w:sz w:val="24"/>
          <w:szCs w:val="24"/>
        </w:rPr>
      </w:pPr>
      <w:r>
        <w:rPr>
          <w:rFonts w:hint="eastAsia" w:cstheme="minorBidi"/>
          <w:sz w:val="24"/>
          <w:szCs w:val="24"/>
        </w:rPr>
        <w:t>5.4.1.1流量计的计量性能由机械封印或电子封印加以保护；</w:t>
      </w:r>
    </w:p>
    <w:p w14:paraId="5B3D1ADF">
      <w:pPr>
        <w:spacing w:before="160" w:line="360" w:lineRule="auto"/>
        <w:rPr>
          <w:rFonts w:cstheme="minorBidi"/>
          <w:sz w:val="24"/>
          <w:szCs w:val="24"/>
        </w:rPr>
      </w:pPr>
      <w:r>
        <w:rPr>
          <w:rFonts w:hint="eastAsia" w:cstheme="minorBidi"/>
          <w:sz w:val="24"/>
          <w:szCs w:val="24"/>
        </w:rPr>
        <w:t>5.4.1.2应有效保护储存的测量结果，防止非法访问；</w:t>
      </w:r>
    </w:p>
    <w:p w14:paraId="523CB4AD">
      <w:pPr>
        <w:spacing w:before="160" w:line="360" w:lineRule="auto"/>
        <w:rPr>
          <w:rFonts w:cstheme="minorBidi"/>
          <w:sz w:val="24"/>
          <w:szCs w:val="24"/>
        </w:rPr>
      </w:pPr>
      <w:r>
        <w:rPr>
          <w:rFonts w:hint="eastAsia" w:cstheme="minorBidi"/>
          <w:sz w:val="24"/>
          <w:szCs w:val="24"/>
        </w:rPr>
        <w:t>5.4.1.3在流量计为单一用户提供服务的过程中，已供总量的显示，或者一组可推导出已供总量的参数应不可重置；</w:t>
      </w:r>
    </w:p>
    <w:p w14:paraId="7DEC3E9D">
      <w:pPr>
        <w:spacing w:before="160" w:line="360" w:lineRule="auto"/>
        <w:rPr>
          <w:rFonts w:cstheme="minorBidi"/>
          <w:sz w:val="24"/>
          <w:szCs w:val="24"/>
        </w:rPr>
      </w:pPr>
      <w:r>
        <w:rPr>
          <w:rFonts w:hint="eastAsia" w:cstheme="minorBidi"/>
          <w:sz w:val="24"/>
          <w:szCs w:val="24"/>
        </w:rPr>
        <w:t>5.4.1.4所有对计量性能有影响或不允许使用者自行调整的部位和接口都应通过机械封印或电子封印加以保护。</w:t>
      </w:r>
    </w:p>
    <w:p w14:paraId="6B2B1135">
      <w:pPr>
        <w:spacing w:before="160" w:line="360" w:lineRule="auto"/>
        <w:rPr>
          <w:rFonts w:cstheme="minorBidi"/>
          <w:sz w:val="24"/>
          <w:szCs w:val="24"/>
        </w:rPr>
      </w:pPr>
      <w:r>
        <w:rPr>
          <w:rFonts w:hint="eastAsia" w:cstheme="minorBidi"/>
          <w:sz w:val="24"/>
          <w:szCs w:val="24"/>
        </w:rPr>
        <w:t>5</w:t>
      </w:r>
      <w:r>
        <w:rPr>
          <w:rFonts w:cstheme="minorBidi"/>
          <w:sz w:val="24"/>
          <w:szCs w:val="24"/>
        </w:rPr>
        <w:t>.</w:t>
      </w:r>
      <w:r>
        <w:rPr>
          <w:rFonts w:hint="eastAsia" w:cstheme="minorBidi"/>
          <w:sz w:val="24"/>
          <w:szCs w:val="24"/>
        </w:rPr>
        <w:t>4</w:t>
      </w:r>
      <w:r>
        <w:rPr>
          <w:rFonts w:cstheme="minorBidi"/>
          <w:sz w:val="24"/>
          <w:szCs w:val="24"/>
        </w:rPr>
        <w:t>.</w:t>
      </w:r>
      <w:r>
        <w:rPr>
          <w:rFonts w:hint="eastAsia" w:cstheme="minorBidi"/>
          <w:sz w:val="24"/>
          <w:szCs w:val="24"/>
        </w:rPr>
        <w:t>2</w:t>
      </w:r>
      <w:r>
        <w:rPr>
          <w:rFonts w:cstheme="minorBidi"/>
          <w:sz w:val="24"/>
          <w:szCs w:val="24"/>
        </w:rPr>
        <w:t xml:space="preserve"> </w:t>
      </w:r>
      <w:r>
        <w:rPr>
          <w:rFonts w:hint="eastAsia" w:cstheme="minorBidi"/>
          <w:sz w:val="24"/>
          <w:szCs w:val="24"/>
        </w:rPr>
        <w:t xml:space="preserve"> 机械封印</w:t>
      </w:r>
    </w:p>
    <w:p w14:paraId="6E4007FA">
      <w:pPr>
        <w:adjustRightInd w:val="0"/>
        <w:snapToGrid w:val="0"/>
        <w:spacing w:line="360" w:lineRule="auto"/>
        <w:ind w:firstLine="480" w:firstLineChars="200"/>
        <w:rPr>
          <w:sz w:val="24"/>
          <w:szCs w:val="24"/>
        </w:rPr>
      </w:pPr>
      <w:r>
        <w:rPr>
          <w:rFonts w:hint="eastAsia"/>
          <w:sz w:val="24"/>
          <w:szCs w:val="24"/>
        </w:rPr>
        <w:t>采用机械封印时，应选择适当的位置设置封印，流量计应包含可以加封印的保护装置，以保证在不损坏保护装置和封印的情况下无法拆卸或者改动流量计及其调整装置或转换装置。</w:t>
      </w:r>
    </w:p>
    <w:p w14:paraId="297EE70D">
      <w:pPr>
        <w:spacing w:before="160" w:line="360" w:lineRule="auto"/>
        <w:rPr>
          <w:rFonts w:cstheme="minorBidi"/>
          <w:sz w:val="24"/>
          <w:szCs w:val="24"/>
        </w:rPr>
      </w:pPr>
      <w:r>
        <w:rPr>
          <w:rFonts w:hint="eastAsia" w:cstheme="minorBidi"/>
          <w:sz w:val="24"/>
          <w:szCs w:val="24"/>
        </w:rPr>
        <w:t>5</w:t>
      </w:r>
      <w:r>
        <w:rPr>
          <w:rFonts w:cstheme="minorBidi"/>
          <w:sz w:val="24"/>
          <w:szCs w:val="24"/>
        </w:rPr>
        <w:t>.</w:t>
      </w:r>
      <w:r>
        <w:rPr>
          <w:rFonts w:hint="eastAsia" w:cstheme="minorBidi"/>
          <w:sz w:val="24"/>
          <w:szCs w:val="24"/>
        </w:rPr>
        <w:t>4</w:t>
      </w:r>
      <w:r>
        <w:rPr>
          <w:rFonts w:cstheme="minorBidi"/>
          <w:sz w:val="24"/>
          <w:szCs w:val="24"/>
        </w:rPr>
        <w:t>.</w:t>
      </w:r>
      <w:r>
        <w:rPr>
          <w:rFonts w:hint="eastAsia" w:cstheme="minorBidi"/>
          <w:sz w:val="24"/>
          <w:szCs w:val="24"/>
        </w:rPr>
        <w:t>3电子封印</w:t>
      </w:r>
    </w:p>
    <w:p w14:paraId="0472A07D">
      <w:pPr>
        <w:spacing w:before="160" w:line="360" w:lineRule="auto"/>
        <w:rPr>
          <w:rFonts w:cstheme="minorBidi"/>
          <w:sz w:val="24"/>
          <w:szCs w:val="24"/>
        </w:rPr>
      </w:pPr>
      <w:r>
        <w:rPr>
          <w:rFonts w:hint="eastAsia" w:cstheme="minorBidi"/>
          <w:sz w:val="24"/>
          <w:szCs w:val="24"/>
        </w:rPr>
        <w:t>5.4.3.1申请单位提交申请材料时，应说明影响计量性能的流量计特殊系数清单及可修改的方式或权限等。</w:t>
      </w:r>
    </w:p>
    <w:p w14:paraId="3C8388D1">
      <w:pPr>
        <w:spacing w:before="160" w:line="360" w:lineRule="auto"/>
        <w:rPr>
          <w:rFonts w:cstheme="minorBidi"/>
          <w:sz w:val="24"/>
          <w:szCs w:val="24"/>
        </w:rPr>
      </w:pPr>
      <w:r>
        <w:rPr>
          <w:rFonts w:hint="eastAsia" w:cstheme="minorBidi"/>
          <w:sz w:val="24"/>
          <w:szCs w:val="24"/>
        </w:rPr>
        <w:t>5.4.3.2当需要限制访问对确定测量结果有影响的参数时，可采用电子封印对这些参数加以保护，电子封印应满足下列规定：</w:t>
      </w:r>
    </w:p>
    <w:p w14:paraId="1D24969D">
      <w:pPr>
        <w:spacing w:before="160" w:line="360" w:lineRule="auto"/>
        <w:ind w:firstLine="480" w:firstLineChars="200"/>
        <w:rPr>
          <w:rFonts w:cstheme="minorBidi"/>
          <w:sz w:val="24"/>
          <w:szCs w:val="24"/>
        </w:rPr>
      </w:pPr>
      <w:r>
        <w:rPr>
          <w:rFonts w:cstheme="minorBidi"/>
          <w:sz w:val="24"/>
          <w:szCs w:val="24"/>
        </w:rPr>
        <w:t>a</w:t>
      </w:r>
      <w:r>
        <w:rPr>
          <w:rFonts w:hint="eastAsia" w:cstheme="minorBidi"/>
          <w:sz w:val="24"/>
          <w:szCs w:val="24"/>
        </w:rPr>
        <w:t>) 只允许授权人员修改参数，如借助密码（口令）或特殊设备（例如钥匙）。密码应能更换；</w:t>
      </w:r>
    </w:p>
    <w:p w14:paraId="1FB2D2F6">
      <w:pPr>
        <w:spacing w:before="160" w:line="360" w:lineRule="auto"/>
        <w:ind w:firstLine="480" w:firstLineChars="200"/>
        <w:rPr>
          <w:rFonts w:cstheme="minorBidi"/>
          <w:sz w:val="24"/>
          <w:szCs w:val="24"/>
        </w:rPr>
      </w:pPr>
      <w:r>
        <w:rPr>
          <w:rFonts w:cstheme="minorBidi"/>
          <w:sz w:val="24"/>
          <w:szCs w:val="24"/>
        </w:rPr>
        <w:t>b</w:t>
      </w:r>
      <w:r>
        <w:rPr>
          <w:rFonts w:hint="eastAsia" w:cstheme="minorBidi"/>
          <w:sz w:val="24"/>
          <w:szCs w:val="24"/>
        </w:rPr>
        <w:t>) 在某一时间段内，干预的证据应是可获取的。记录中应包括日期和识别实施干预的授权人员的特征要素。如果必须删除之前的干预才能记录新的干预，应删除最早的记录。</w:t>
      </w:r>
    </w:p>
    <w:p w14:paraId="2A53FD9C">
      <w:pPr>
        <w:pStyle w:val="36"/>
        <w:spacing w:line="259" w:lineRule="auto"/>
        <w:jc w:val="left"/>
        <w:rPr>
          <w:rFonts w:hint="eastAsia" w:ascii="宋体" w:hAnsi="宋体" w:eastAsia="黑体"/>
          <w:color w:val="000000" w:themeColor="text1"/>
          <w:sz w:val="24"/>
          <w14:textFill>
            <w14:solidFill>
              <w14:schemeClr w14:val="tx1"/>
            </w14:solidFill>
          </w14:textFill>
        </w:rPr>
      </w:pPr>
      <w:bookmarkStart w:id="95" w:name="_Toc26501"/>
      <w:bookmarkStart w:id="96" w:name="_Toc185070197"/>
      <w:bookmarkStart w:id="97" w:name="_Toc501210785"/>
      <w:bookmarkStart w:id="98" w:name="_Toc221090908"/>
      <w:bookmarkStart w:id="99" w:name="_Toc457807251"/>
      <w:bookmarkStart w:id="100" w:name="_Toc457808114"/>
      <w:bookmarkStart w:id="101" w:name="_Toc457808576"/>
      <w:r>
        <w:rPr>
          <w:rFonts w:ascii="Times New Roman" w:hAnsi="Times New Roman" w:eastAsia="黑体" w:cs="Times New Roman"/>
          <w:color w:val="000000" w:themeColor="text1"/>
          <w:sz w:val="24"/>
          <w14:textFill>
            <w14:solidFill>
              <w14:schemeClr w14:val="tx1"/>
            </w14:solidFill>
          </w14:textFill>
        </w:rPr>
        <w:t>6</w:t>
      </w:r>
      <w:r>
        <w:rPr>
          <w:rFonts w:hint="eastAsia" w:ascii="宋体" w:hAnsi="宋体" w:cs="Times New Roman"/>
          <w:color w:val="000000" w:themeColor="text1"/>
          <w14:textFill>
            <w14:solidFill>
              <w14:schemeClr w14:val="tx1"/>
            </w14:solidFill>
          </w14:textFill>
        </w:rPr>
        <w:t xml:space="preserve"> </w:t>
      </w:r>
      <w:r>
        <w:rPr>
          <w:rFonts w:hint="eastAsia" w:ascii="宋体" w:hAnsi="宋体" w:eastAsia="黑体" w:cs="Times New Roman"/>
          <w:color w:val="000000" w:themeColor="text1"/>
          <w:sz w:val="24"/>
          <w14:textFill>
            <w14:solidFill>
              <w14:schemeClr w14:val="tx1"/>
            </w14:solidFill>
          </w14:textFill>
        </w:rPr>
        <w:t>计量性能要求</w:t>
      </w:r>
      <w:bookmarkEnd w:id="95"/>
      <w:bookmarkEnd w:id="96"/>
      <w:bookmarkEnd w:id="97"/>
      <w:bookmarkEnd w:id="98"/>
      <w:bookmarkEnd w:id="99"/>
      <w:bookmarkEnd w:id="100"/>
      <w:bookmarkEnd w:id="101"/>
    </w:p>
    <w:p w14:paraId="73352621">
      <w:pPr>
        <w:pStyle w:val="2"/>
        <w:spacing w:before="160" w:after="0" w:line="360" w:lineRule="auto"/>
        <w:rPr>
          <w:iCs/>
          <w:color w:val="000000" w:themeColor="text1"/>
          <w:sz w:val="24"/>
          <w:szCs w:val="21"/>
          <w14:textFill>
            <w14:solidFill>
              <w14:schemeClr w14:val="tx1"/>
            </w14:solidFill>
          </w14:textFill>
        </w:rPr>
      </w:pPr>
      <w:bookmarkStart w:id="102" w:name="_Toc185070198"/>
      <w:bookmarkStart w:id="103" w:name="_Toc24400"/>
      <w:bookmarkStart w:id="104" w:name="_Toc457807252"/>
      <w:bookmarkStart w:id="105" w:name="_Toc457808115"/>
      <w:bookmarkStart w:id="106" w:name="_Toc501210786"/>
      <w:bookmarkStart w:id="107" w:name="_Toc221090909"/>
      <w:bookmarkStart w:id="108" w:name="_Toc457808577"/>
      <w:bookmarkStart w:id="109" w:name="_Toc314814526"/>
      <w:r>
        <w:rPr>
          <w:b w:val="0"/>
          <w:iCs/>
          <w:color w:val="000000" w:themeColor="text1"/>
          <w:sz w:val="24"/>
          <w:szCs w:val="21"/>
          <w14:textFill>
            <w14:solidFill>
              <w14:schemeClr w14:val="tx1"/>
            </w14:solidFill>
          </w14:textFill>
        </w:rPr>
        <w:t>6.1</w:t>
      </w:r>
      <w:r>
        <w:rPr>
          <w:rFonts w:hint="eastAsia"/>
          <w:b w:val="0"/>
          <w:iCs/>
          <w:color w:val="000000" w:themeColor="text1"/>
          <w:sz w:val="24"/>
          <w:szCs w:val="21"/>
          <w14:textFill>
            <w14:solidFill>
              <w14:schemeClr w14:val="tx1"/>
            </w14:solidFill>
          </w14:textFill>
        </w:rPr>
        <w:t xml:space="preserve"> 准确度等级和示值误差</w:t>
      </w:r>
      <w:bookmarkEnd w:id="102"/>
      <w:bookmarkEnd w:id="103"/>
      <w:bookmarkEnd w:id="104"/>
      <w:bookmarkEnd w:id="105"/>
      <w:bookmarkEnd w:id="106"/>
      <w:bookmarkEnd w:id="107"/>
      <w:bookmarkEnd w:id="108"/>
    </w:p>
    <w:p w14:paraId="5904C5BC">
      <w:pPr>
        <w:spacing w:before="160" w:line="360" w:lineRule="auto"/>
        <w:ind w:firstLine="480" w:firstLineChars="200"/>
        <w:rPr>
          <w:rFonts w:cstheme="minorBidi"/>
          <w:sz w:val="24"/>
          <w:szCs w:val="24"/>
        </w:rPr>
      </w:pPr>
      <w:r>
        <w:rPr>
          <w:rFonts w:hint="eastAsia" w:cstheme="minorBidi"/>
          <w:sz w:val="24"/>
          <w:szCs w:val="24"/>
        </w:rPr>
        <w:t>在规定的流量范围内，流量计准确度等级及对应的最大允许误差（示值误差或引用误差）应符合表3的要求，并在流量计产品说明书中及流量计铭牌上明示。</w:t>
      </w:r>
    </w:p>
    <w:p w14:paraId="27229FFB">
      <w:pPr>
        <w:spacing w:before="160" w:line="360" w:lineRule="auto"/>
        <w:jc w:val="center"/>
        <w:rPr>
          <w:color w:val="000000"/>
          <w:sz w:val="24"/>
          <w:szCs w:val="32"/>
        </w:rPr>
      </w:pPr>
      <w:r>
        <w:rPr>
          <w:rFonts w:hint="eastAsia"/>
          <w:color w:val="000000"/>
          <w:sz w:val="24"/>
          <w:szCs w:val="32"/>
        </w:rPr>
        <w:t>表3热式气体质量流量计的准确度等级</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5"/>
        <w:gridCol w:w="1234"/>
        <w:gridCol w:w="1397"/>
        <w:gridCol w:w="1224"/>
        <w:gridCol w:w="1224"/>
        <w:gridCol w:w="1224"/>
        <w:gridCol w:w="1224"/>
      </w:tblGrid>
      <w:tr w14:paraId="410C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72" w:type="pct"/>
            <w:gridSpan w:val="3"/>
            <w:vAlign w:val="center"/>
          </w:tcPr>
          <w:p w14:paraId="76601C20">
            <w:pPr>
              <w:jc w:val="center"/>
              <w:rPr>
                <w:szCs w:val="21"/>
              </w:rPr>
            </w:pPr>
            <w:r>
              <w:rPr>
                <w:rFonts w:hint="eastAsia"/>
                <w:color w:val="000000"/>
                <w:szCs w:val="21"/>
              </w:rPr>
              <w:t>准确度等级</w:t>
            </w:r>
          </w:p>
        </w:tc>
        <w:tc>
          <w:tcPr>
            <w:tcW w:w="682" w:type="pct"/>
            <w:vAlign w:val="center"/>
          </w:tcPr>
          <w:p w14:paraId="6023DD73">
            <w:pPr>
              <w:jc w:val="center"/>
              <w:rPr>
                <w:szCs w:val="21"/>
              </w:rPr>
            </w:pPr>
            <w:r>
              <w:rPr>
                <w:rFonts w:hint="eastAsia"/>
                <w:color w:val="000000"/>
                <w:szCs w:val="21"/>
              </w:rPr>
              <w:t>1.0</w:t>
            </w:r>
          </w:p>
        </w:tc>
        <w:tc>
          <w:tcPr>
            <w:tcW w:w="682" w:type="pct"/>
            <w:vAlign w:val="center"/>
          </w:tcPr>
          <w:p w14:paraId="5AF37F49">
            <w:pPr>
              <w:jc w:val="center"/>
              <w:rPr>
                <w:szCs w:val="21"/>
              </w:rPr>
            </w:pPr>
            <w:r>
              <w:rPr>
                <w:color w:val="000000"/>
                <w:szCs w:val="21"/>
              </w:rPr>
              <w:t>1.</w:t>
            </w:r>
            <w:r>
              <w:rPr>
                <w:rFonts w:hint="eastAsia"/>
                <w:color w:val="000000"/>
                <w:szCs w:val="21"/>
              </w:rPr>
              <w:t>5</w:t>
            </w:r>
          </w:p>
        </w:tc>
        <w:tc>
          <w:tcPr>
            <w:tcW w:w="682" w:type="pct"/>
            <w:vAlign w:val="center"/>
          </w:tcPr>
          <w:p w14:paraId="4A66ECAF">
            <w:pPr>
              <w:jc w:val="center"/>
              <w:rPr>
                <w:szCs w:val="21"/>
              </w:rPr>
            </w:pPr>
            <w:r>
              <w:rPr>
                <w:rFonts w:hint="eastAsia"/>
                <w:color w:val="000000"/>
                <w:szCs w:val="21"/>
              </w:rPr>
              <w:t>2.0</w:t>
            </w:r>
          </w:p>
        </w:tc>
        <w:tc>
          <w:tcPr>
            <w:tcW w:w="682" w:type="pct"/>
            <w:vAlign w:val="center"/>
          </w:tcPr>
          <w:p w14:paraId="6992D541">
            <w:pPr>
              <w:jc w:val="center"/>
              <w:rPr>
                <w:szCs w:val="21"/>
              </w:rPr>
            </w:pPr>
            <w:r>
              <w:rPr>
                <w:color w:val="000000"/>
                <w:szCs w:val="21"/>
              </w:rPr>
              <w:t>2.5</w:t>
            </w:r>
          </w:p>
        </w:tc>
      </w:tr>
      <w:tr w14:paraId="3FDDE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2" w:type="pct"/>
            <w:vMerge w:val="restart"/>
            <w:vAlign w:val="center"/>
          </w:tcPr>
          <w:p w14:paraId="08C4EC93">
            <w:pPr>
              <w:spacing w:before="160"/>
              <w:jc w:val="center"/>
              <w:rPr>
                <w:rFonts w:hint="eastAsia" w:hAnsi="宋体"/>
                <w:szCs w:val="21"/>
              </w:rPr>
            </w:pPr>
            <w:r>
              <w:rPr>
                <w:rFonts w:hint="eastAsia" w:hAnsi="宋体"/>
                <w:szCs w:val="21"/>
              </w:rPr>
              <w:t>最大允许误差</w:t>
            </w:r>
          </w:p>
          <w:p w14:paraId="05B4887D">
            <w:pPr>
              <w:spacing w:before="160"/>
              <w:jc w:val="center"/>
              <w:rPr>
                <w:rFonts w:hint="eastAsia" w:hAnsi="宋体"/>
                <w:szCs w:val="21"/>
              </w:rPr>
            </w:pPr>
            <w:r>
              <w:rPr>
                <w:rFonts w:hAnsi="宋体"/>
                <w:szCs w:val="21"/>
              </w:rPr>
              <w:t>（MPE）</w:t>
            </w:r>
          </w:p>
        </w:tc>
        <w:tc>
          <w:tcPr>
            <w:tcW w:w="688" w:type="pct"/>
            <w:vMerge w:val="restart"/>
            <w:vAlign w:val="center"/>
          </w:tcPr>
          <w:p w14:paraId="79E4E904">
            <w:pPr>
              <w:jc w:val="center"/>
              <w:rPr>
                <w:szCs w:val="21"/>
              </w:rPr>
            </w:pPr>
            <w:r>
              <w:rPr>
                <w:szCs w:val="21"/>
              </w:rPr>
              <w:t>示值误差</w:t>
            </w:r>
          </w:p>
        </w:tc>
        <w:tc>
          <w:tcPr>
            <w:tcW w:w="762" w:type="pct"/>
            <w:vAlign w:val="center"/>
          </w:tcPr>
          <w:p w14:paraId="5DCC34D7">
            <w:pPr>
              <w:jc w:val="center"/>
              <w:rPr>
                <w:szCs w:val="21"/>
              </w:rPr>
            </w:pPr>
            <w:r>
              <w:rPr>
                <w:i/>
                <w:iCs/>
                <w:color w:val="000000"/>
                <w:szCs w:val="21"/>
              </w:rPr>
              <w:t>q</w:t>
            </w:r>
            <w:r>
              <w:rPr>
                <w:color w:val="000000"/>
                <w:szCs w:val="21"/>
                <w:vertAlign w:val="subscript"/>
              </w:rPr>
              <w:t>t</w:t>
            </w:r>
            <w:r>
              <w:rPr>
                <w:rFonts w:hint="eastAsia" w:ascii="宋体" w:hAnsi="宋体"/>
                <w:color w:val="000000"/>
                <w:szCs w:val="21"/>
              </w:rPr>
              <w:t>≤</w:t>
            </w:r>
            <w:r>
              <w:rPr>
                <w:i/>
                <w:iCs/>
                <w:color w:val="000000"/>
                <w:szCs w:val="21"/>
              </w:rPr>
              <w:t>q</w:t>
            </w:r>
            <w:r>
              <w:rPr>
                <w:rFonts w:hint="eastAsia" w:ascii="宋体" w:hAnsi="宋体"/>
                <w:color w:val="000000"/>
                <w:szCs w:val="21"/>
              </w:rPr>
              <w:t>≤</w:t>
            </w:r>
            <w:r>
              <w:rPr>
                <w:i/>
                <w:iCs/>
                <w:color w:val="000000"/>
                <w:szCs w:val="21"/>
              </w:rPr>
              <w:t>q</w:t>
            </w:r>
            <w:r>
              <w:rPr>
                <w:color w:val="000000"/>
                <w:szCs w:val="21"/>
                <w:vertAlign w:val="subscript"/>
              </w:rPr>
              <w:t>max</w:t>
            </w:r>
          </w:p>
        </w:tc>
        <w:tc>
          <w:tcPr>
            <w:tcW w:w="682" w:type="pct"/>
            <w:vAlign w:val="center"/>
          </w:tcPr>
          <w:p w14:paraId="7E13F5A4">
            <w:pPr>
              <w:jc w:val="center"/>
              <w:rPr>
                <w:color w:val="000000"/>
                <w:szCs w:val="21"/>
              </w:rPr>
            </w:pPr>
            <w:r>
              <w:rPr>
                <w:color w:val="000000"/>
                <w:szCs w:val="21"/>
              </w:rPr>
              <w:t>±</w:t>
            </w:r>
            <w:r>
              <w:rPr>
                <w:rFonts w:hint="eastAsia"/>
                <w:color w:val="000000"/>
                <w:szCs w:val="21"/>
              </w:rPr>
              <w:t>1.0</w:t>
            </w:r>
            <w:r>
              <w:rPr>
                <w:color w:val="000000"/>
                <w:szCs w:val="21"/>
              </w:rPr>
              <w:t>%</w:t>
            </w:r>
          </w:p>
        </w:tc>
        <w:tc>
          <w:tcPr>
            <w:tcW w:w="682" w:type="pct"/>
            <w:vAlign w:val="center"/>
          </w:tcPr>
          <w:p w14:paraId="5EC3971A">
            <w:pPr>
              <w:jc w:val="center"/>
              <w:rPr>
                <w:color w:val="000000"/>
                <w:szCs w:val="21"/>
              </w:rPr>
            </w:pPr>
            <w:r>
              <w:rPr>
                <w:color w:val="000000"/>
                <w:szCs w:val="21"/>
              </w:rPr>
              <w:t>±1.0%</w:t>
            </w:r>
          </w:p>
        </w:tc>
        <w:tc>
          <w:tcPr>
            <w:tcW w:w="682" w:type="pct"/>
            <w:vAlign w:val="center"/>
          </w:tcPr>
          <w:p w14:paraId="1088AA79">
            <w:pPr>
              <w:jc w:val="center"/>
              <w:rPr>
                <w:color w:val="000000"/>
                <w:szCs w:val="21"/>
              </w:rPr>
            </w:pPr>
            <w:r>
              <w:rPr>
                <w:color w:val="000000"/>
                <w:szCs w:val="21"/>
              </w:rPr>
              <w:t>±</w:t>
            </w:r>
            <w:r>
              <w:rPr>
                <w:rFonts w:hint="eastAsia"/>
                <w:color w:val="000000"/>
                <w:szCs w:val="21"/>
              </w:rPr>
              <w:t>2.0</w:t>
            </w:r>
            <w:r>
              <w:rPr>
                <w:color w:val="000000"/>
                <w:szCs w:val="21"/>
              </w:rPr>
              <w:t>%</w:t>
            </w:r>
          </w:p>
        </w:tc>
        <w:tc>
          <w:tcPr>
            <w:tcW w:w="682" w:type="pct"/>
            <w:tcBorders>
              <w:right w:val="single" w:color="231F20" w:sz="6" w:space="0"/>
            </w:tcBorders>
            <w:vAlign w:val="center"/>
          </w:tcPr>
          <w:p w14:paraId="66009841">
            <w:pPr>
              <w:jc w:val="center"/>
              <w:rPr>
                <w:color w:val="000000"/>
                <w:szCs w:val="21"/>
              </w:rPr>
            </w:pPr>
            <w:r>
              <w:rPr>
                <w:color w:val="000000"/>
                <w:szCs w:val="21"/>
              </w:rPr>
              <w:t>±2.</w:t>
            </w:r>
            <w:r>
              <w:rPr>
                <w:rFonts w:hint="eastAsia"/>
                <w:color w:val="000000"/>
                <w:szCs w:val="21"/>
              </w:rPr>
              <w:t>5</w:t>
            </w:r>
            <w:r>
              <w:rPr>
                <w:color w:val="000000"/>
                <w:szCs w:val="21"/>
              </w:rPr>
              <w:t>%</w:t>
            </w:r>
          </w:p>
        </w:tc>
      </w:tr>
      <w:tr w14:paraId="2B9D6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2" w:type="pct"/>
            <w:vMerge w:val="continue"/>
            <w:vAlign w:val="center"/>
          </w:tcPr>
          <w:p w14:paraId="3FEFF2D3">
            <w:pPr>
              <w:jc w:val="center"/>
              <w:rPr>
                <w:szCs w:val="21"/>
              </w:rPr>
            </w:pPr>
          </w:p>
        </w:tc>
        <w:tc>
          <w:tcPr>
            <w:tcW w:w="688" w:type="pct"/>
            <w:vMerge w:val="continue"/>
            <w:vAlign w:val="center"/>
          </w:tcPr>
          <w:p w14:paraId="73435AFF">
            <w:pPr>
              <w:jc w:val="center"/>
              <w:rPr>
                <w:szCs w:val="21"/>
              </w:rPr>
            </w:pPr>
          </w:p>
        </w:tc>
        <w:tc>
          <w:tcPr>
            <w:tcW w:w="762" w:type="pct"/>
            <w:vAlign w:val="center"/>
          </w:tcPr>
          <w:p w14:paraId="7A06DA60">
            <w:pPr>
              <w:jc w:val="center"/>
              <w:rPr>
                <w:szCs w:val="21"/>
              </w:rPr>
            </w:pPr>
            <w:r>
              <w:rPr>
                <w:i/>
                <w:iCs/>
                <w:color w:val="000000"/>
                <w:szCs w:val="21"/>
              </w:rPr>
              <w:t>q</w:t>
            </w:r>
            <w:r>
              <w:rPr>
                <w:color w:val="000000"/>
                <w:szCs w:val="21"/>
                <w:vertAlign w:val="subscript"/>
              </w:rPr>
              <w:t>min</w:t>
            </w:r>
            <w:r>
              <w:rPr>
                <w:rFonts w:hint="eastAsia" w:ascii="宋体" w:hAnsi="宋体"/>
                <w:color w:val="000000"/>
                <w:szCs w:val="21"/>
              </w:rPr>
              <w:t>≤</w:t>
            </w:r>
            <w:r>
              <w:rPr>
                <w:i/>
                <w:iCs/>
                <w:color w:val="000000"/>
                <w:szCs w:val="21"/>
              </w:rPr>
              <w:t>q</w:t>
            </w:r>
            <w:r>
              <w:rPr>
                <w:color w:val="000000"/>
                <w:szCs w:val="21"/>
              </w:rPr>
              <w:t>&lt;</w:t>
            </w:r>
            <w:r>
              <w:rPr>
                <w:i/>
                <w:iCs/>
                <w:color w:val="000000"/>
                <w:szCs w:val="21"/>
              </w:rPr>
              <w:t>q</w:t>
            </w:r>
            <w:r>
              <w:rPr>
                <w:color w:val="000000"/>
                <w:szCs w:val="21"/>
                <w:vertAlign w:val="subscript"/>
              </w:rPr>
              <w:t>t</w:t>
            </w:r>
          </w:p>
        </w:tc>
        <w:tc>
          <w:tcPr>
            <w:tcW w:w="682" w:type="pct"/>
            <w:vAlign w:val="center"/>
          </w:tcPr>
          <w:p w14:paraId="73F48AE2">
            <w:pPr>
              <w:jc w:val="center"/>
              <w:rPr>
                <w:color w:val="000000"/>
                <w:szCs w:val="21"/>
              </w:rPr>
            </w:pPr>
            <w:r>
              <w:rPr>
                <w:color w:val="000000"/>
                <w:szCs w:val="21"/>
              </w:rPr>
              <w:t>±</w:t>
            </w:r>
            <w:r>
              <w:rPr>
                <w:rFonts w:hint="eastAsia"/>
                <w:color w:val="000000"/>
                <w:szCs w:val="21"/>
              </w:rPr>
              <w:t>2</w:t>
            </w:r>
            <w:r>
              <w:rPr>
                <w:color w:val="000000"/>
                <w:szCs w:val="21"/>
              </w:rPr>
              <w:t>.0%</w:t>
            </w:r>
          </w:p>
        </w:tc>
        <w:tc>
          <w:tcPr>
            <w:tcW w:w="682" w:type="pct"/>
            <w:vAlign w:val="center"/>
          </w:tcPr>
          <w:p w14:paraId="0781039B">
            <w:pPr>
              <w:jc w:val="center"/>
              <w:rPr>
                <w:color w:val="000000"/>
                <w:szCs w:val="21"/>
              </w:rPr>
            </w:pPr>
            <w:r>
              <w:rPr>
                <w:color w:val="000000"/>
                <w:szCs w:val="21"/>
              </w:rPr>
              <w:t>±2.0%</w:t>
            </w:r>
          </w:p>
        </w:tc>
        <w:tc>
          <w:tcPr>
            <w:tcW w:w="682" w:type="pct"/>
            <w:vAlign w:val="center"/>
          </w:tcPr>
          <w:p w14:paraId="7B73FC64">
            <w:pPr>
              <w:jc w:val="center"/>
              <w:rPr>
                <w:color w:val="000000"/>
                <w:szCs w:val="21"/>
              </w:rPr>
            </w:pPr>
            <w:r>
              <w:rPr>
                <w:color w:val="000000"/>
                <w:szCs w:val="21"/>
              </w:rPr>
              <w:t>±</w:t>
            </w:r>
            <w:r>
              <w:rPr>
                <w:rFonts w:hint="eastAsia"/>
                <w:color w:val="000000"/>
                <w:szCs w:val="21"/>
              </w:rPr>
              <w:t>4</w:t>
            </w:r>
            <w:r>
              <w:rPr>
                <w:color w:val="000000"/>
                <w:szCs w:val="21"/>
              </w:rPr>
              <w:t>.0%</w:t>
            </w:r>
          </w:p>
        </w:tc>
        <w:tc>
          <w:tcPr>
            <w:tcW w:w="682" w:type="pct"/>
            <w:tcBorders>
              <w:right w:val="single" w:color="231F20" w:sz="6" w:space="0"/>
            </w:tcBorders>
            <w:vAlign w:val="center"/>
          </w:tcPr>
          <w:p w14:paraId="2BA6732D">
            <w:pPr>
              <w:jc w:val="center"/>
              <w:rPr>
                <w:color w:val="000000"/>
                <w:szCs w:val="21"/>
              </w:rPr>
            </w:pPr>
            <w:r>
              <w:rPr>
                <w:color w:val="000000"/>
                <w:szCs w:val="21"/>
              </w:rPr>
              <w:t>±</w:t>
            </w:r>
            <w:r>
              <w:rPr>
                <w:rFonts w:hint="eastAsia"/>
                <w:color w:val="000000"/>
                <w:szCs w:val="21"/>
              </w:rPr>
              <w:t>5</w:t>
            </w:r>
            <w:r>
              <w:rPr>
                <w:color w:val="000000"/>
                <w:szCs w:val="21"/>
              </w:rPr>
              <w:t>.0%</w:t>
            </w:r>
          </w:p>
        </w:tc>
      </w:tr>
      <w:tr w14:paraId="33AB3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2" w:type="pct"/>
            <w:vMerge w:val="continue"/>
            <w:vAlign w:val="center"/>
          </w:tcPr>
          <w:p w14:paraId="4F7C048F">
            <w:pPr>
              <w:jc w:val="center"/>
              <w:rPr>
                <w:szCs w:val="21"/>
              </w:rPr>
            </w:pPr>
          </w:p>
        </w:tc>
        <w:tc>
          <w:tcPr>
            <w:tcW w:w="688" w:type="pct"/>
            <w:vAlign w:val="center"/>
          </w:tcPr>
          <w:p w14:paraId="63C7B03F">
            <w:pPr>
              <w:jc w:val="center"/>
              <w:rPr>
                <w:szCs w:val="21"/>
              </w:rPr>
            </w:pPr>
            <w:r>
              <w:rPr>
                <w:szCs w:val="21"/>
              </w:rPr>
              <w:t>引用误差</w:t>
            </w:r>
          </w:p>
        </w:tc>
        <w:tc>
          <w:tcPr>
            <w:tcW w:w="762" w:type="pct"/>
            <w:vAlign w:val="center"/>
          </w:tcPr>
          <w:p w14:paraId="7EC159F8">
            <w:pPr>
              <w:jc w:val="center"/>
              <w:rPr>
                <w:i/>
                <w:iCs/>
                <w:color w:val="000000"/>
                <w:szCs w:val="21"/>
              </w:rPr>
            </w:pPr>
            <w:r>
              <w:rPr>
                <w:i/>
                <w:iCs/>
                <w:color w:val="000000"/>
                <w:szCs w:val="21"/>
              </w:rPr>
              <w:t>q</w:t>
            </w:r>
            <w:r>
              <w:rPr>
                <w:color w:val="000000"/>
                <w:szCs w:val="21"/>
                <w:vertAlign w:val="subscript"/>
              </w:rPr>
              <w:t>min</w:t>
            </w:r>
            <w:r>
              <w:rPr>
                <w:rFonts w:ascii="宋体" w:hAnsi="宋体"/>
                <w:color w:val="000000"/>
                <w:szCs w:val="21"/>
              </w:rPr>
              <w:t>≤</w:t>
            </w:r>
            <w:r>
              <w:rPr>
                <w:i/>
                <w:iCs/>
                <w:color w:val="000000"/>
                <w:szCs w:val="21"/>
              </w:rPr>
              <w:t>q</w:t>
            </w:r>
            <w:r>
              <w:rPr>
                <w:rFonts w:ascii="宋体" w:hAnsi="宋体"/>
                <w:color w:val="000000"/>
                <w:szCs w:val="21"/>
              </w:rPr>
              <w:t>≤</w:t>
            </w:r>
            <w:r>
              <w:rPr>
                <w:i/>
                <w:iCs/>
                <w:color w:val="000000"/>
                <w:szCs w:val="21"/>
              </w:rPr>
              <w:t>q</w:t>
            </w:r>
            <w:r>
              <w:rPr>
                <w:color w:val="000000"/>
                <w:szCs w:val="21"/>
                <w:vertAlign w:val="subscript"/>
              </w:rPr>
              <w:t>max</w:t>
            </w:r>
          </w:p>
        </w:tc>
        <w:tc>
          <w:tcPr>
            <w:tcW w:w="682" w:type="pct"/>
            <w:vAlign w:val="center"/>
          </w:tcPr>
          <w:p w14:paraId="5AA56D50">
            <w:pPr>
              <w:jc w:val="center"/>
              <w:rPr>
                <w:color w:val="000000"/>
                <w:szCs w:val="21"/>
              </w:rPr>
            </w:pPr>
            <w:r>
              <w:rPr>
                <w:szCs w:val="21"/>
              </w:rPr>
              <w:t>±1.0% F.S</w:t>
            </w:r>
          </w:p>
        </w:tc>
        <w:tc>
          <w:tcPr>
            <w:tcW w:w="682" w:type="pct"/>
            <w:vAlign w:val="center"/>
          </w:tcPr>
          <w:p w14:paraId="175F7766">
            <w:pPr>
              <w:jc w:val="center"/>
              <w:rPr>
                <w:color w:val="000000"/>
                <w:szCs w:val="21"/>
              </w:rPr>
            </w:pPr>
            <w:r>
              <w:rPr>
                <w:szCs w:val="21"/>
              </w:rPr>
              <w:t>±1.5% F.S</w:t>
            </w:r>
          </w:p>
        </w:tc>
        <w:tc>
          <w:tcPr>
            <w:tcW w:w="682" w:type="pct"/>
            <w:vAlign w:val="center"/>
          </w:tcPr>
          <w:p w14:paraId="447435A8">
            <w:pPr>
              <w:jc w:val="center"/>
              <w:rPr>
                <w:color w:val="000000"/>
                <w:szCs w:val="21"/>
              </w:rPr>
            </w:pPr>
            <w:r>
              <w:rPr>
                <w:szCs w:val="21"/>
              </w:rPr>
              <w:t>±2.0% F.S</w:t>
            </w:r>
          </w:p>
        </w:tc>
        <w:tc>
          <w:tcPr>
            <w:tcW w:w="682" w:type="pct"/>
            <w:tcBorders>
              <w:right w:val="single" w:color="231F20" w:sz="6" w:space="0"/>
            </w:tcBorders>
            <w:vAlign w:val="center"/>
          </w:tcPr>
          <w:p w14:paraId="393B5150">
            <w:pPr>
              <w:jc w:val="center"/>
              <w:rPr>
                <w:color w:val="000000"/>
                <w:szCs w:val="21"/>
              </w:rPr>
            </w:pPr>
            <w:r>
              <w:rPr>
                <w:szCs w:val="21"/>
              </w:rPr>
              <w:t>±2.5% F.S</w:t>
            </w:r>
          </w:p>
        </w:tc>
      </w:tr>
      <w:tr w14:paraId="14D8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7"/>
          </w:tcPr>
          <w:p w14:paraId="4A78BC30">
            <w:pPr>
              <w:ind w:left="360" w:hanging="360" w:hangingChars="200"/>
              <w:rPr>
                <w:sz w:val="24"/>
                <w:szCs w:val="24"/>
              </w:rPr>
            </w:pPr>
            <w:r>
              <w:rPr>
                <w:rFonts w:hint="eastAsia" w:eastAsia="仿宋"/>
                <w:sz w:val="18"/>
                <w:szCs w:val="15"/>
              </w:rPr>
              <w:t>注：（</w:t>
            </w:r>
            <w:r>
              <w:rPr>
                <w:rFonts w:eastAsia="仿宋"/>
                <w:sz w:val="18"/>
                <w:szCs w:val="15"/>
              </w:rPr>
              <w:t>1</w:t>
            </w:r>
            <w:r>
              <w:rPr>
                <w:rFonts w:hint="eastAsia" w:eastAsia="仿宋"/>
                <w:sz w:val="18"/>
                <w:szCs w:val="15"/>
              </w:rPr>
              <w:t>）分界流量</w:t>
            </w:r>
            <w:r>
              <w:rPr>
                <w:rFonts w:eastAsia="仿宋"/>
                <w:i/>
                <w:iCs/>
                <w:sz w:val="18"/>
                <w:szCs w:val="15"/>
              </w:rPr>
              <w:t>q</w:t>
            </w:r>
            <w:r>
              <w:rPr>
                <w:rFonts w:eastAsia="仿宋"/>
                <w:sz w:val="18"/>
                <w:szCs w:val="15"/>
                <w:vertAlign w:val="subscript"/>
              </w:rPr>
              <w:t>t</w:t>
            </w:r>
            <w:r>
              <w:rPr>
                <w:rFonts w:hint="eastAsia" w:eastAsia="仿宋"/>
                <w:sz w:val="18"/>
                <w:szCs w:val="15"/>
              </w:rPr>
              <w:t>对应的流量一般为</w:t>
            </w:r>
            <w:r>
              <w:rPr>
                <w:rFonts w:eastAsia="仿宋"/>
                <w:sz w:val="18"/>
                <w:szCs w:val="15"/>
              </w:rPr>
              <w:t>0.2</w:t>
            </w:r>
            <w:r>
              <w:rPr>
                <w:rFonts w:eastAsia="仿宋"/>
                <w:i/>
                <w:iCs/>
                <w:sz w:val="18"/>
                <w:szCs w:val="15"/>
              </w:rPr>
              <w:t>q</w:t>
            </w:r>
            <w:r>
              <w:rPr>
                <w:rFonts w:eastAsia="仿宋"/>
                <w:sz w:val="18"/>
                <w:szCs w:val="15"/>
                <w:vertAlign w:val="subscript"/>
              </w:rPr>
              <w:t>max</w:t>
            </w:r>
            <w:r>
              <w:rPr>
                <w:rFonts w:hint="eastAsia" w:eastAsia="仿宋"/>
                <w:sz w:val="18"/>
                <w:szCs w:val="15"/>
              </w:rPr>
              <w:t>（或者按照产品说明书）；如果量程比不小于</w:t>
            </w:r>
            <w:r>
              <w:rPr>
                <w:rFonts w:eastAsia="仿宋"/>
                <w:sz w:val="18"/>
                <w:szCs w:val="15"/>
              </w:rPr>
              <w:t>50</w:t>
            </w:r>
            <w:r>
              <w:rPr>
                <w:rFonts w:hint="eastAsia" w:eastAsia="仿宋"/>
                <w:sz w:val="18"/>
                <w:szCs w:val="15"/>
              </w:rPr>
              <w:t>：</w:t>
            </w:r>
            <w:r>
              <w:rPr>
                <w:rFonts w:eastAsia="仿宋"/>
                <w:sz w:val="18"/>
                <w:szCs w:val="15"/>
              </w:rPr>
              <w:t>1</w:t>
            </w:r>
            <w:r>
              <w:rPr>
                <w:rFonts w:hint="eastAsia" w:eastAsia="仿宋"/>
                <w:sz w:val="18"/>
                <w:szCs w:val="15"/>
              </w:rPr>
              <w:t>，则</w:t>
            </w:r>
            <w:r>
              <w:rPr>
                <w:rFonts w:eastAsia="仿宋"/>
                <w:i/>
                <w:iCs/>
                <w:sz w:val="18"/>
                <w:szCs w:val="15"/>
              </w:rPr>
              <w:t>q</w:t>
            </w:r>
            <w:r>
              <w:rPr>
                <w:rFonts w:eastAsia="仿宋"/>
                <w:i/>
                <w:iCs/>
                <w:sz w:val="18"/>
                <w:szCs w:val="15"/>
                <w:vertAlign w:val="subscript"/>
              </w:rPr>
              <w:t>t</w:t>
            </w:r>
            <w:r>
              <w:rPr>
                <w:rFonts w:hint="eastAsia" w:eastAsia="仿宋"/>
                <w:sz w:val="18"/>
                <w:szCs w:val="15"/>
              </w:rPr>
              <w:t>对应的流量为</w:t>
            </w:r>
            <w:r>
              <w:rPr>
                <w:rFonts w:eastAsia="仿宋"/>
                <w:sz w:val="18"/>
                <w:szCs w:val="15"/>
              </w:rPr>
              <w:t>0.1</w:t>
            </w:r>
            <w:r>
              <w:rPr>
                <w:rFonts w:eastAsia="仿宋"/>
                <w:i/>
                <w:iCs/>
                <w:sz w:val="18"/>
                <w:szCs w:val="15"/>
              </w:rPr>
              <w:t>q</w:t>
            </w:r>
            <w:r>
              <w:rPr>
                <w:rFonts w:eastAsia="仿宋"/>
                <w:sz w:val="18"/>
                <w:szCs w:val="15"/>
                <w:vertAlign w:val="subscript"/>
              </w:rPr>
              <w:t>max</w:t>
            </w:r>
            <w:r>
              <w:rPr>
                <w:rFonts w:hint="eastAsia" w:eastAsia="仿宋"/>
                <w:sz w:val="18"/>
                <w:szCs w:val="15"/>
              </w:rPr>
              <w:t>；</w:t>
            </w:r>
          </w:p>
        </w:tc>
      </w:tr>
      <w:bookmarkEnd w:id="109"/>
    </w:tbl>
    <w:p w14:paraId="4A2EB540">
      <w:pPr>
        <w:pStyle w:val="2"/>
        <w:spacing w:before="160" w:after="0" w:line="360" w:lineRule="auto"/>
        <w:rPr>
          <w:iCs/>
          <w:color w:val="000000" w:themeColor="text1"/>
          <w:sz w:val="24"/>
          <w:szCs w:val="21"/>
          <w14:textFill>
            <w14:solidFill>
              <w14:schemeClr w14:val="tx1"/>
            </w14:solidFill>
          </w14:textFill>
        </w:rPr>
      </w:pPr>
      <w:bookmarkStart w:id="110" w:name="_Toc501210787"/>
      <w:bookmarkStart w:id="111" w:name="_Toc513205925"/>
      <w:bookmarkStart w:id="112" w:name="_Toc457808578"/>
      <w:bookmarkStart w:id="113" w:name="_Toc457808116"/>
      <w:bookmarkStart w:id="114" w:name="_Toc457807253"/>
      <w:bookmarkStart w:id="115" w:name="_Toc14794"/>
      <w:bookmarkStart w:id="116" w:name="_Toc221090910"/>
      <w:bookmarkStart w:id="117" w:name="_Toc185070199"/>
      <w:r>
        <w:rPr>
          <w:b w:val="0"/>
          <w:iCs/>
          <w:color w:val="000000" w:themeColor="text1"/>
          <w:sz w:val="24"/>
          <w:szCs w:val="21"/>
          <w14:textFill>
            <w14:solidFill>
              <w14:schemeClr w14:val="tx1"/>
            </w14:solidFill>
          </w14:textFill>
        </w:rPr>
        <w:t>6.</w:t>
      </w:r>
      <w:bookmarkEnd w:id="110"/>
      <w:bookmarkEnd w:id="111"/>
      <w:bookmarkEnd w:id="112"/>
      <w:bookmarkEnd w:id="113"/>
      <w:bookmarkEnd w:id="114"/>
      <w:bookmarkStart w:id="118" w:name="_Toc501210788"/>
      <w:bookmarkStart w:id="119" w:name="_Toc457808117"/>
      <w:bookmarkStart w:id="120" w:name="_Toc457807254"/>
      <w:bookmarkStart w:id="121" w:name="_Toc457808579"/>
      <w:r>
        <w:rPr>
          <w:b w:val="0"/>
          <w:iCs/>
          <w:color w:val="000000" w:themeColor="text1"/>
          <w:sz w:val="24"/>
          <w:szCs w:val="21"/>
          <w14:textFill>
            <w14:solidFill>
              <w14:schemeClr w14:val="tx1"/>
            </w14:solidFill>
          </w14:textFill>
        </w:rPr>
        <w:t>2</w:t>
      </w:r>
      <w:r>
        <w:rPr>
          <w:rFonts w:hint="eastAsia"/>
          <w:b w:val="0"/>
          <w:iCs/>
          <w:color w:val="000000" w:themeColor="text1"/>
          <w:sz w:val="24"/>
          <w:szCs w:val="21"/>
          <w14:textFill>
            <w14:solidFill>
              <w14:schemeClr w14:val="tx1"/>
            </w14:solidFill>
          </w14:textFill>
        </w:rPr>
        <w:t xml:space="preserve"> 重复性</w:t>
      </w:r>
      <w:bookmarkEnd w:id="115"/>
      <w:bookmarkEnd w:id="116"/>
      <w:bookmarkEnd w:id="117"/>
      <w:bookmarkEnd w:id="118"/>
      <w:bookmarkEnd w:id="119"/>
      <w:bookmarkEnd w:id="120"/>
      <w:bookmarkEnd w:id="121"/>
    </w:p>
    <w:p w14:paraId="7CEC30A9">
      <w:pPr>
        <w:spacing w:before="160" w:line="360" w:lineRule="auto"/>
        <w:ind w:firstLine="480" w:firstLineChars="200"/>
        <w:rPr>
          <w:rFonts w:cstheme="minorBidi"/>
          <w:sz w:val="24"/>
          <w:szCs w:val="24"/>
        </w:rPr>
      </w:pPr>
      <w:r>
        <w:rPr>
          <w:rFonts w:hint="eastAsia" w:cstheme="minorBidi"/>
          <w:sz w:val="24"/>
          <w:szCs w:val="24"/>
        </w:rPr>
        <w:t>流量计的重复性不得超过相应准确度等级规定的最大允许误差绝对值的</w:t>
      </w:r>
      <w:r>
        <w:rPr>
          <w:rFonts w:cstheme="minorBidi"/>
          <w:sz w:val="24"/>
          <w:szCs w:val="24"/>
        </w:rPr>
        <w:t>1/3</w:t>
      </w:r>
      <w:r>
        <w:rPr>
          <w:rFonts w:hint="eastAsia" w:cstheme="minorBidi"/>
          <w:sz w:val="24"/>
          <w:szCs w:val="24"/>
        </w:rPr>
        <w:t>。</w:t>
      </w:r>
    </w:p>
    <w:p w14:paraId="0C13D07D">
      <w:pPr>
        <w:pStyle w:val="2"/>
        <w:spacing w:before="160" w:after="0" w:line="360" w:lineRule="auto"/>
        <w:rPr>
          <w:iCs/>
          <w:color w:val="000000" w:themeColor="text1"/>
          <w:sz w:val="24"/>
          <w:szCs w:val="21"/>
          <w14:textFill>
            <w14:solidFill>
              <w14:schemeClr w14:val="tx1"/>
            </w14:solidFill>
          </w14:textFill>
        </w:rPr>
      </w:pPr>
      <w:bookmarkStart w:id="122" w:name="_Toc9659"/>
      <w:bookmarkStart w:id="123" w:name="_Toc221090911"/>
      <w:r>
        <w:rPr>
          <w:b w:val="0"/>
          <w:iCs/>
          <w:color w:val="000000" w:themeColor="text1"/>
          <w:sz w:val="24"/>
          <w:szCs w:val="21"/>
          <w14:textFill>
            <w14:solidFill>
              <w14:schemeClr w14:val="tx1"/>
            </w14:solidFill>
          </w14:textFill>
        </w:rPr>
        <w:t>6.</w:t>
      </w:r>
      <w:bookmarkEnd w:id="122"/>
      <w:r>
        <w:rPr>
          <w:b w:val="0"/>
          <w:iCs/>
          <w:color w:val="000000" w:themeColor="text1"/>
          <w:sz w:val="24"/>
          <w:szCs w:val="21"/>
          <w14:textFill>
            <w14:solidFill>
              <w14:schemeClr w14:val="tx1"/>
            </w14:solidFill>
          </w14:textFill>
        </w:rPr>
        <w:t>3</w:t>
      </w:r>
      <w:r>
        <w:rPr>
          <w:rFonts w:hint="eastAsia"/>
          <w:b w:val="0"/>
          <w:iCs/>
          <w:color w:val="000000" w:themeColor="text1"/>
          <w:sz w:val="24"/>
          <w:szCs w:val="21"/>
          <w14:textFill>
            <w14:solidFill>
              <w14:schemeClr w14:val="tx1"/>
            </w14:solidFill>
          </w14:textFill>
        </w:rPr>
        <w:t xml:space="preserve"> 复现性误差</w:t>
      </w:r>
      <w:bookmarkEnd w:id="123"/>
    </w:p>
    <w:p w14:paraId="6F320015">
      <w:pPr>
        <w:spacing w:before="160" w:line="360" w:lineRule="auto"/>
        <w:ind w:firstLine="480" w:firstLineChars="200"/>
        <w:rPr>
          <w:sz w:val="24"/>
          <w:szCs w:val="24"/>
        </w:rPr>
      </w:pPr>
      <w:r>
        <w:rPr>
          <w:rFonts w:hint="eastAsia"/>
          <w:sz w:val="24"/>
          <w:szCs w:val="24"/>
        </w:rPr>
        <w:t>对于</w:t>
      </w:r>
      <w:r>
        <w:rPr>
          <w:i/>
          <w:iCs/>
          <w:sz w:val="24"/>
          <w:szCs w:val="24"/>
        </w:rPr>
        <w:t>q</w:t>
      </w:r>
      <w:r>
        <w:rPr>
          <w:sz w:val="24"/>
          <w:szCs w:val="24"/>
          <w:vertAlign w:val="subscript"/>
        </w:rPr>
        <w:t>t</w:t>
      </w:r>
      <w:r>
        <w:rPr>
          <w:rFonts w:hint="eastAsia"/>
          <w:sz w:val="24"/>
          <w:szCs w:val="24"/>
        </w:rPr>
        <w:t>≤</w:t>
      </w:r>
      <w:r>
        <w:rPr>
          <w:i/>
          <w:iCs/>
          <w:sz w:val="24"/>
          <w:szCs w:val="24"/>
        </w:rPr>
        <w:t>q</w:t>
      </w:r>
      <w:r>
        <w:rPr>
          <w:rFonts w:hint="eastAsia"/>
          <w:sz w:val="24"/>
          <w:szCs w:val="24"/>
        </w:rPr>
        <w:t>≤</w:t>
      </w:r>
      <w:r>
        <w:rPr>
          <w:i/>
          <w:iCs/>
          <w:sz w:val="24"/>
          <w:szCs w:val="24"/>
        </w:rPr>
        <w:t>q</w:t>
      </w:r>
      <w:r>
        <w:rPr>
          <w:sz w:val="24"/>
          <w:szCs w:val="24"/>
          <w:vertAlign w:val="subscript"/>
        </w:rPr>
        <w:t>max</w:t>
      </w:r>
      <w:r>
        <w:rPr>
          <w:rFonts w:hint="eastAsia"/>
          <w:sz w:val="24"/>
          <w:szCs w:val="24"/>
        </w:rPr>
        <w:t>的流量，复现性误差应小于等于最大允许误差绝对值的1/3。</w:t>
      </w:r>
    </w:p>
    <w:p w14:paraId="6C3A1A11">
      <w:pPr>
        <w:spacing w:before="160" w:line="360" w:lineRule="auto"/>
        <w:rPr>
          <w:rFonts w:cstheme="minorBidi"/>
          <w:sz w:val="24"/>
          <w:szCs w:val="24"/>
        </w:rPr>
      </w:pPr>
      <w:bookmarkStart w:id="124" w:name="_Toc457808584"/>
      <w:bookmarkStart w:id="125" w:name="_Toc457808122"/>
      <w:bookmarkStart w:id="126" w:name="_Toc457807259"/>
      <w:bookmarkStart w:id="127" w:name="_Toc501210793"/>
      <w:bookmarkStart w:id="128" w:name="_Toc185070201"/>
      <w:bookmarkStart w:id="129" w:name="_Toc15969"/>
      <w:r>
        <w:rPr>
          <w:rFonts w:cstheme="minorBidi"/>
          <w:sz w:val="24"/>
          <w:szCs w:val="24"/>
        </w:rPr>
        <w:t xml:space="preserve">6.4 </w:t>
      </w:r>
      <w:r>
        <w:rPr>
          <w:rFonts w:hint="eastAsia" w:cstheme="minorBidi"/>
          <w:sz w:val="24"/>
          <w:szCs w:val="24"/>
        </w:rPr>
        <w:t>当流量计同时具有多种信号输出类型时，应对其申请的每种类型信号分别进行计量性能测试，计量性能均应满足其准确度等级的要求。</w:t>
      </w:r>
    </w:p>
    <w:p w14:paraId="0C06E282">
      <w:pPr>
        <w:spacing w:before="160" w:line="360" w:lineRule="auto"/>
        <w:ind w:firstLine="420" w:firstLineChars="200"/>
        <w:rPr>
          <w:rFonts w:hint="eastAsia" w:ascii="仿宋" w:hAnsi="仿宋" w:eastAsia="仿宋"/>
          <w:szCs w:val="21"/>
        </w:rPr>
      </w:pPr>
      <w:r>
        <w:rPr>
          <w:rFonts w:hint="eastAsia" w:ascii="仿宋" w:hAnsi="仿宋" w:eastAsia="仿宋"/>
          <w:szCs w:val="21"/>
        </w:rPr>
        <w:t>注：用于计量性能测试的流量计信号输出类型应在型评报告中注明。</w:t>
      </w:r>
    </w:p>
    <w:p w14:paraId="7F2C5117">
      <w:pPr>
        <w:pStyle w:val="36"/>
        <w:spacing w:line="259" w:lineRule="auto"/>
        <w:jc w:val="left"/>
        <w:rPr>
          <w:rFonts w:hint="eastAsia" w:ascii="宋体" w:hAnsi="宋体" w:eastAsia="黑体"/>
          <w:color w:val="000000" w:themeColor="text1"/>
          <w:sz w:val="24"/>
          <w14:textFill>
            <w14:solidFill>
              <w14:schemeClr w14:val="tx1"/>
            </w14:solidFill>
          </w14:textFill>
        </w:rPr>
      </w:pPr>
      <w:bookmarkStart w:id="130" w:name="_Toc221090912"/>
      <w:r>
        <w:rPr>
          <w:rFonts w:ascii="Times New Roman" w:hAnsi="Times New Roman" w:eastAsia="黑体" w:cs="Times New Roman"/>
          <w:color w:val="000000" w:themeColor="text1"/>
          <w:sz w:val="24"/>
          <w14:textFill>
            <w14:solidFill>
              <w14:schemeClr w14:val="tx1"/>
            </w14:solidFill>
          </w14:textFill>
        </w:rPr>
        <w:t>7</w:t>
      </w:r>
      <w:r>
        <w:rPr>
          <w:rFonts w:hint="eastAsia" w:ascii="宋体" w:hAnsi="宋体" w:cs="Times New Roman"/>
          <w:color w:val="000000" w:themeColor="text1"/>
          <w14:textFill>
            <w14:solidFill>
              <w14:schemeClr w14:val="tx1"/>
            </w14:solidFill>
          </w14:textFill>
        </w:rPr>
        <w:t xml:space="preserve"> </w:t>
      </w:r>
      <w:r>
        <w:rPr>
          <w:rFonts w:hint="eastAsia" w:ascii="宋体" w:hAnsi="宋体" w:eastAsia="黑体" w:cs="Times New Roman"/>
          <w:color w:val="000000" w:themeColor="text1"/>
          <w:sz w:val="24"/>
          <w14:textFill>
            <w14:solidFill>
              <w14:schemeClr w14:val="tx1"/>
            </w14:solidFill>
          </w14:textFill>
        </w:rPr>
        <w:t>通用技术要求</w:t>
      </w:r>
      <w:bookmarkEnd w:id="124"/>
      <w:bookmarkEnd w:id="125"/>
      <w:bookmarkEnd w:id="126"/>
      <w:bookmarkEnd w:id="127"/>
      <w:bookmarkEnd w:id="128"/>
      <w:bookmarkEnd w:id="129"/>
      <w:bookmarkEnd w:id="130"/>
    </w:p>
    <w:p w14:paraId="622FE494">
      <w:pPr>
        <w:pStyle w:val="2"/>
        <w:spacing w:before="160" w:after="0" w:line="360" w:lineRule="auto"/>
        <w:rPr>
          <w:iCs/>
          <w:color w:val="000000" w:themeColor="text1"/>
          <w:sz w:val="24"/>
          <w:szCs w:val="21"/>
          <w14:textFill>
            <w14:solidFill>
              <w14:schemeClr w14:val="tx1"/>
            </w14:solidFill>
          </w14:textFill>
        </w:rPr>
      </w:pPr>
      <w:bookmarkStart w:id="131" w:name="_Toc457807260"/>
      <w:bookmarkStart w:id="132" w:name="_Toc457808585"/>
      <w:bookmarkStart w:id="133" w:name="_Toc501210794"/>
      <w:bookmarkStart w:id="134" w:name="_Toc15208"/>
      <w:bookmarkStart w:id="135" w:name="_Toc185070202"/>
      <w:bookmarkStart w:id="136" w:name="_Toc457808123"/>
      <w:bookmarkStart w:id="137" w:name="_Toc221090913"/>
      <w:r>
        <w:rPr>
          <w:b w:val="0"/>
          <w:iCs/>
          <w:color w:val="000000" w:themeColor="text1"/>
          <w:sz w:val="24"/>
          <w:szCs w:val="21"/>
          <w14:textFill>
            <w14:solidFill>
              <w14:schemeClr w14:val="tx1"/>
            </w14:solidFill>
          </w14:textFill>
        </w:rPr>
        <w:t>7.1</w:t>
      </w:r>
      <w:r>
        <w:rPr>
          <w:rFonts w:hint="eastAsia"/>
          <w:b w:val="0"/>
          <w:iCs/>
          <w:color w:val="000000" w:themeColor="text1"/>
          <w:sz w:val="24"/>
          <w:szCs w:val="21"/>
          <w14:textFill>
            <w14:solidFill>
              <w14:schemeClr w14:val="tx1"/>
            </w14:solidFill>
          </w14:textFill>
        </w:rPr>
        <w:t xml:space="preserve"> 外观与</w:t>
      </w:r>
      <w:bookmarkEnd w:id="131"/>
      <w:bookmarkEnd w:id="132"/>
      <w:bookmarkEnd w:id="133"/>
      <w:bookmarkEnd w:id="134"/>
      <w:bookmarkEnd w:id="135"/>
      <w:bookmarkEnd w:id="136"/>
      <w:r>
        <w:rPr>
          <w:rFonts w:hint="eastAsia"/>
          <w:b w:val="0"/>
          <w:iCs/>
          <w:color w:val="000000" w:themeColor="text1"/>
          <w:sz w:val="24"/>
          <w:szCs w:val="21"/>
          <w14:textFill>
            <w14:solidFill>
              <w14:schemeClr w14:val="tx1"/>
            </w14:solidFill>
          </w14:textFill>
        </w:rPr>
        <w:t>结构</w:t>
      </w:r>
      <w:bookmarkEnd w:id="137"/>
    </w:p>
    <w:p w14:paraId="6260DA1B">
      <w:pPr>
        <w:spacing w:before="160" w:line="360" w:lineRule="auto"/>
        <w:rPr>
          <w:rFonts w:cstheme="minorBidi"/>
          <w:sz w:val="24"/>
          <w:szCs w:val="24"/>
        </w:rPr>
      </w:pPr>
      <w:r>
        <w:rPr>
          <w:rFonts w:hint="eastAsia" w:cstheme="minorBidi"/>
          <w:sz w:val="24"/>
          <w:szCs w:val="24"/>
        </w:rPr>
        <w:t>7</w:t>
      </w:r>
      <w:r>
        <w:rPr>
          <w:rFonts w:cstheme="minorBidi"/>
          <w:sz w:val="24"/>
          <w:szCs w:val="24"/>
        </w:rPr>
        <w:t>.</w:t>
      </w:r>
      <w:r>
        <w:rPr>
          <w:rFonts w:hint="eastAsia" w:cstheme="minorBidi"/>
          <w:sz w:val="24"/>
          <w:szCs w:val="24"/>
        </w:rPr>
        <w:t xml:space="preserve">1.1 </w:t>
      </w:r>
      <w:r>
        <w:rPr>
          <w:rFonts w:cstheme="minorBidi"/>
          <w:sz w:val="24"/>
          <w:szCs w:val="24"/>
        </w:rPr>
        <w:t>外观</w:t>
      </w:r>
    </w:p>
    <w:p w14:paraId="389C1D91">
      <w:pPr>
        <w:spacing w:before="160" w:line="360" w:lineRule="auto"/>
        <w:rPr>
          <w:rFonts w:cstheme="minorBidi"/>
          <w:sz w:val="24"/>
          <w:szCs w:val="24"/>
        </w:rPr>
      </w:pPr>
      <w:r>
        <w:rPr>
          <w:rFonts w:hint="eastAsia" w:cstheme="minorBidi"/>
          <w:sz w:val="24"/>
          <w:szCs w:val="24"/>
        </w:rPr>
        <w:t>7.1.1.1新制造的流量计应有良好的表面处理，不得有毛刺、划痕、裂纹、锈蚀、霉斑和涂层剥落现象。流量计表体的连接部分的焊接应平整光洁,不得有虚焊、脱焊等现象，密封面表面应平整，不得有损伤。</w:t>
      </w:r>
      <w:r>
        <w:rPr>
          <w:rFonts w:cstheme="minorBidi"/>
          <w:sz w:val="24"/>
          <w:szCs w:val="24"/>
        </w:rPr>
        <w:t>流量计表体上应有清晰、永久性的流向标志。</w:t>
      </w:r>
    </w:p>
    <w:p w14:paraId="582722C2">
      <w:pPr>
        <w:spacing w:before="160" w:line="360" w:lineRule="auto"/>
        <w:rPr>
          <w:rFonts w:cstheme="minorBidi"/>
          <w:sz w:val="24"/>
          <w:szCs w:val="24"/>
        </w:rPr>
      </w:pPr>
      <w:r>
        <w:rPr>
          <w:rFonts w:hint="eastAsia" w:cstheme="minorBidi"/>
          <w:sz w:val="24"/>
          <w:szCs w:val="24"/>
        </w:rPr>
        <w:t>7.1.1.2 接插件必须牢固可靠，不得因振动而松动或脱落。</w:t>
      </w:r>
    </w:p>
    <w:p w14:paraId="706D5992">
      <w:pPr>
        <w:spacing w:before="160" w:line="360" w:lineRule="auto"/>
        <w:rPr>
          <w:rFonts w:cstheme="minorBidi"/>
          <w:sz w:val="24"/>
          <w:szCs w:val="24"/>
        </w:rPr>
      </w:pPr>
      <w:r>
        <w:rPr>
          <w:rFonts w:hint="eastAsia" w:cstheme="minorBidi"/>
          <w:sz w:val="24"/>
          <w:szCs w:val="24"/>
        </w:rPr>
        <w:t>7.1.1.3 流量计各项标识应正确，流量计显示数字的防护材料应有良好的透明度，流量计显示的数字应醒目、整齐，表示功能的文字符号和标识应完整、清晰、端正。流量计按键应手感适中，没有粘连现象。</w:t>
      </w:r>
    </w:p>
    <w:p w14:paraId="2E1221DD">
      <w:pPr>
        <w:spacing w:before="160" w:line="360" w:lineRule="auto"/>
        <w:rPr>
          <w:rFonts w:cstheme="minorBidi"/>
          <w:sz w:val="24"/>
          <w:szCs w:val="24"/>
        </w:rPr>
      </w:pPr>
      <w:r>
        <w:rPr>
          <w:rFonts w:hint="eastAsia" w:cstheme="minorBidi"/>
          <w:sz w:val="24"/>
          <w:szCs w:val="24"/>
        </w:rPr>
        <w:t>7.1.1.4 流量计的命名应符合 JJF 1022《计量器具命名与分类编号》的要求，标识正确。</w:t>
      </w:r>
    </w:p>
    <w:p w14:paraId="08A9DD73">
      <w:pPr>
        <w:pStyle w:val="2"/>
        <w:spacing w:before="160" w:after="0" w:line="360" w:lineRule="auto"/>
        <w:rPr>
          <w:iCs/>
          <w:color w:val="000000" w:themeColor="text1"/>
          <w:sz w:val="24"/>
          <w:szCs w:val="21"/>
          <w14:textFill>
            <w14:solidFill>
              <w14:schemeClr w14:val="tx1"/>
            </w14:solidFill>
          </w14:textFill>
        </w:rPr>
      </w:pPr>
      <w:bookmarkStart w:id="138" w:name="_Toc221090914"/>
      <w:r>
        <w:rPr>
          <w:b w:val="0"/>
          <w:iCs/>
          <w:color w:val="000000" w:themeColor="text1"/>
          <w:sz w:val="24"/>
          <w:szCs w:val="21"/>
          <w14:textFill>
            <w14:solidFill>
              <w14:schemeClr w14:val="tx1"/>
            </w14:solidFill>
          </w14:textFill>
        </w:rPr>
        <w:t xml:space="preserve">7.1.2 </w:t>
      </w:r>
      <w:r>
        <w:rPr>
          <w:rFonts w:hint="eastAsia"/>
          <w:b w:val="0"/>
          <w:iCs/>
          <w:color w:val="000000" w:themeColor="text1"/>
          <w:sz w:val="24"/>
          <w:szCs w:val="21"/>
          <w14:textFill>
            <w14:solidFill>
              <w14:schemeClr w14:val="tx1"/>
            </w14:solidFill>
          </w14:textFill>
        </w:rPr>
        <w:t>结构</w:t>
      </w:r>
      <w:bookmarkEnd w:id="138"/>
    </w:p>
    <w:p w14:paraId="77A14729">
      <w:pPr>
        <w:spacing w:before="160" w:line="360" w:lineRule="auto"/>
        <w:rPr>
          <w:rFonts w:cstheme="minorBidi"/>
          <w:sz w:val="24"/>
          <w:szCs w:val="24"/>
        </w:rPr>
      </w:pPr>
      <w:bookmarkStart w:id="139" w:name="_Toc31917"/>
      <w:r>
        <w:rPr>
          <w:rFonts w:hint="eastAsia" w:cstheme="minorBidi"/>
          <w:sz w:val="24"/>
          <w:szCs w:val="24"/>
        </w:rPr>
        <w:t>7.1.2.1 流量计的主体材料应选用优质金属材料，具有良好的耐腐蚀和抗冲击性能，并符合5.2和5.4要求。</w:t>
      </w:r>
    </w:p>
    <w:p w14:paraId="0133ED8E">
      <w:pPr>
        <w:spacing w:before="160" w:line="360" w:lineRule="auto"/>
        <w:rPr>
          <w:rFonts w:cstheme="minorBidi"/>
          <w:sz w:val="24"/>
          <w:szCs w:val="24"/>
        </w:rPr>
      </w:pPr>
      <w:r>
        <w:rPr>
          <w:rFonts w:hint="eastAsia" w:cstheme="minorBidi"/>
          <w:sz w:val="24"/>
          <w:szCs w:val="24"/>
        </w:rPr>
        <w:t>7.1.2.2流量计显示的数字、文字及符号应清晰、整齐；</w:t>
      </w:r>
      <w:r>
        <w:rPr>
          <w:rFonts w:cstheme="minorBidi"/>
          <w:sz w:val="24"/>
          <w:szCs w:val="24"/>
        </w:rPr>
        <w:t>流量计指示机构</w:t>
      </w:r>
      <w:r>
        <w:rPr>
          <w:rFonts w:hint="eastAsia" w:cstheme="minorBidi"/>
          <w:sz w:val="24"/>
          <w:szCs w:val="24"/>
        </w:rPr>
        <w:t>（适用时）</w:t>
      </w:r>
      <w:r>
        <w:rPr>
          <w:rFonts w:cstheme="minorBidi"/>
          <w:sz w:val="24"/>
          <w:szCs w:val="24"/>
        </w:rPr>
        <w:t>显示的数字应醒目、正确、连续，表示功能的文字符号应完整、清晰、明确。</w:t>
      </w:r>
      <w:r>
        <w:rPr>
          <w:rFonts w:hint="eastAsia" w:cstheme="minorBidi"/>
          <w:sz w:val="24"/>
          <w:szCs w:val="24"/>
        </w:rPr>
        <w:t>在不破坏封印的情况下，指示装置应固定不可拆装，不能置零，不能人为改变指示值，从中途断电恢复后必须正确显示断电前的指示值；显示的数字应清晰、完整。</w:t>
      </w:r>
    </w:p>
    <w:p w14:paraId="402D053A">
      <w:pPr>
        <w:spacing w:before="160" w:line="360" w:lineRule="auto"/>
        <w:rPr>
          <w:rFonts w:cstheme="minorBidi"/>
          <w:sz w:val="24"/>
          <w:szCs w:val="24"/>
        </w:rPr>
      </w:pPr>
      <w:r>
        <w:rPr>
          <w:rFonts w:hint="eastAsia" w:cstheme="minorBidi"/>
          <w:sz w:val="24"/>
          <w:szCs w:val="24"/>
        </w:rPr>
        <w:t>7</w:t>
      </w:r>
      <w:r>
        <w:rPr>
          <w:rFonts w:cstheme="minorBidi"/>
          <w:sz w:val="24"/>
          <w:szCs w:val="24"/>
        </w:rPr>
        <w:t>.</w:t>
      </w:r>
      <w:r>
        <w:rPr>
          <w:rFonts w:hint="eastAsia" w:cstheme="minorBidi"/>
          <w:sz w:val="24"/>
          <w:szCs w:val="24"/>
        </w:rPr>
        <w:t>1.2.3</w:t>
      </w:r>
      <w:r>
        <w:rPr>
          <w:rFonts w:cstheme="minorBidi"/>
          <w:sz w:val="24"/>
          <w:szCs w:val="24"/>
        </w:rPr>
        <w:t xml:space="preserve"> </w:t>
      </w:r>
      <w:r>
        <w:rPr>
          <w:rFonts w:hint="eastAsia" w:cstheme="minorBidi"/>
          <w:sz w:val="24"/>
          <w:szCs w:val="24"/>
        </w:rPr>
        <w:t>流量计配有直接指示被测气体体积量的指示装置时，电子式指示装置应有足够的显示位数，累积流量显示位数应至少确保在</w:t>
      </w:r>
      <w:r>
        <w:rPr>
          <w:rFonts w:cstheme="minorBidi"/>
          <w:i/>
          <w:iCs/>
          <w:sz w:val="24"/>
          <w:szCs w:val="24"/>
        </w:rPr>
        <w:t>q</w:t>
      </w:r>
      <w:r>
        <w:rPr>
          <w:rFonts w:cstheme="minorBidi"/>
          <w:sz w:val="24"/>
          <w:szCs w:val="24"/>
          <w:vertAlign w:val="subscript"/>
        </w:rPr>
        <w:t>max</w:t>
      </w:r>
      <w:r>
        <w:rPr>
          <w:rFonts w:hint="eastAsia" w:cstheme="minorBidi"/>
          <w:sz w:val="24"/>
          <w:szCs w:val="24"/>
        </w:rPr>
        <w:t>下经1000 h的通流下显示不溢出；瞬时流量显示位数和通讯读出位数应确保读数分辨力不大于最大允许误差的1/5；</w:t>
      </w:r>
    </w:p>
    <w:p w14:paraId="1A2E5518">
      <w:pPr>
        <w:pStyle w:val="2"/>
        <w:spacing w:before="160" w:after="0" w:line="360" w:lineRule="auto"/>
        <w:rPr>
          <w:iCs/>
          <w:color w:val="000000" w:themeColor="text1"/>
          <w:sz w:val="24"/>
          <w:szCs w:val="21"/>
          <w14:textFill>
            <w14:solidFill>
              <w14:schemeClr w14:val="tx1"/>
            </w14:solidFill>
          </w14:textFill>
        </w:rPr>
      </w:pPr>
      <w:bookmarkStart w:id="140" w:name="_Toc221090915"/>
      <w:r>
        <w:rPr>
          <w:b w:val="0"/>
          <w:iCs/>
          <w:color w:val="000000" w:themeColor="text1"/>
          <w:sz w:val="24"/>
          <w:szCs w:val="21"/>
          <w14:textFill>
            <w14:solidFill>
              <w14:schemeClr w14:val="tx1"/>
            </w14:solidFill>
          </w14:textFill>
        </w:rPr>
        <w:t>7.</w:t>
      </w:r>
      <w:bookmarkEnd w:id="139"/>
      <w:r>
        <w:rPr>
          <w:b w:val="0"/>
          <w:iCs/>
          <w:color w:val="000000" w:themeColor="text1"/>
          <w:sz w:val="24"/>
          <w:szCs w:val="21"/>
          <w14:textFill>
            <w14:solidFill>
              <w14:schemeClr w14:val="tx1"/>
            </w14:solidFill>
          </w14:textFill>
        </w:rPr>
        <w:t>2</w:t>
      </w:r>
      <w:r>
        <w:rPr>
          <w:rFonts w:hint="eastAsia"/>
          <w:b w:val="0"/>
          <w:iCs/>
          <w:color w:val="000000" w:themeColor="text1"/>
          <w:sz w:val="24"/>
          <w:szCs w:val="21"/>
          <w14:textFill>
            <w14:solidFill>
              <w14:schemeClr w14:val="tx1"/>
            </w14:solidFill>
          </w14:textFill>
        </w:rPr>
        <w:t xml:space="preserve"> 密封性</w:t>
      </w:r>
      <w:bookmarkEnd w:id="140"/>
    </w:p>
    <w:p w14:paraId="7E83428C">
      <w:pPr>
        <w:spacing w:before="160" w:line="360" w:lineRule="auto"/>
        <w:ind w:firstLine="480" w:firstLineChars="200"/>
        <w:rPr>
          <w:rFonts w:cstheme="minorBidi"/>
          <w:sz w:val="24"/>
          <w:szCs w:val="24"/>
        </w:rPr>
      </w:pPr>
      <w:r>
        <w:rPr>
          <w:rFonts w:hint="eastAsia" w:cstheme="minorBidi"/>
          <w:sz w:val="24"/>
          <w:szCs w:val="24"/>
        </w:rPr>
        <w:t>流量计应能承受1.1倍最大工作压力，</w:t>
      </w:r>
      <w:r>
        <w:rPr>
          <w:rFonts w:cstheme="minorBidi"/>
          <w:sz w:val="24"/>
          <w:szCs w:val="24"/>
        </w:rPr>
        <w:t>试验期间流量计表体上所有的接头和各阀件、仪表及其连接面，应无泄漏</w:t>
      </w:r>
      <w:r>
        <w:rPr>
          <w:rFonts w:hint="eastAsia" w:cstheme="minorBidi"/>
          <w:sz w:val="24"/>
          <w:szCs w:val="24"/>
        </w:rPr>
        <w:t>。</w:t>
      </w:r>
    </w:p>
    <w:p w14:paraId="0C9CE3FB">
      <w:pPr>
        <w:pStyle w:val="2"/>
        <w:spacing w:before="160" w:after="0" w:line="360" w:lineRule="auto"/>
        <w:rPr>
          <w:iCs/>
          <w:color w:val="000000" w:themeColor="text1"/>
          <w:sz w:val="24"/>
          <w:szCs w:val="21"/>
          <w14:textFill>
            <w14:solidFill>
              <w14:schemeClr w14:val="tx1"/>
            </w14:solidFill>
          </w14:textFill>
        </w:rPr>
      </w:pPr>
      <w:bookmarkStart w:id="141" w:name="_Toc221090916"/>
      <w:r>
        <w:rPr>
          <w:b w:val="0"/>
          <w:iCs/>
          <w:color w:val="000000" w:themeColor="text1"/>
          <w:sz w:val="24"/>
          <w:szCs w:val="21"/>
          <w14:textFill>
            <w14:solidFill>
              <w14:schemeClr w14:val="tx1"/>
            </w14:solidFill>
          </w14:textFill>
        </w:rPr>
        <w:t>7.3</w:t>
      </w:r>
      <w:r>
        <w:rPr>
          <w:rFonts w:hint="eastAsia"/>
          <w:b w:val="0"/>
          <w:iCs/>
          <w:color w:val="000000" w:themeColor="text1"/>
          <w:sz w:val="24"/>
          <w:szCs w:val="21"/>
          <w14:textFill>
            <w14:solidFill>
              <w14:schemeClr w14:val="tx1"/>
            </w14:solidFill>
          </w14:textFill>
        </w:rPr>
        <w:t xml:space="preserve"> 耐压强度</w:t>
      </w:r>
      <w:bookmarkEnd w:id="141"/>
    </w:p>
    <w:p w14:paraId="79E2D60B">
      <w:pPr>
        <w:spacing w:before="160" w:line="360" w:lineRule="auto"/>
        <w:ind w:firstLine="480" w:firstLineChars="200"/>
        <w:rPr>
          <w:rFonts w:cstheme="minorBidi"/>
          <w:color w:val="auto"/>
          <w:sz w:val="24"/>
          <w:szCs w:val="24"/>
        </w:rPr>
      </w:pPr>
      <w:bookmarkStart w:id="433" w:name="_GoBack"/>
      <w:r>
        <w:rPr>
          <w:rFonts w:hint="eastAsia" w:cstheme="minorBidi"/>
          <w:color w:val="auto"/>
          <w:sz w:val="24"/>
          <w:szCs w:val="24"/>
        </w:rPr>
        <w:t>流量计应能承受试验压力为</w:t>
      </w:r>
      <w:r>
        <w:rPr>
          <w:rFonts w:cstheme="minorBidi"/>
          <w:color w:val="auto"/>
          <w:sz w:val="24"/>
          <w:szCs w:val="24"/>
        </w:rPr>
        <w:t>1.5</w:t>
      </w:r>
      <w:r>
        <w:rPr>
          <w:rFonts w:hint="eastAsia" w:cstheme="minorBidi"/>
          <w:color w:val="auto"/>
          <w:sz w:val="24"/>
          <w:szCs w:val="24"/>
        </w:rPr>
        <w:t>倍公称压力下的耐压强度试验，试验期间应无渗漏或损坏。</w:t>
      </w:r>
    </w:p>
    <w:p w14:paraId="0E3A573D">
      <w:pPr>
        <w:spacing w:before="160" w:line="360" w:lineRule="auto"/>
        <w:ind w:firstLine="420" w:firstLineChars="200"/>
        <w:rPr>
          <w:rFonts w:hint="eastAsia" w:ascii="仿宋" w:hAnsi="仿宋" w:eastAsia="仿宋"/>
          <w:color w:val="auto"/>
          <w:sz w:val="24"/>
          <w:szCs w:val="21"/>
        </w:rPr>
      </w:pPr>
      <w:r>
        <w:rPr>
          <w:rFonts w:hint="eastAsia" w:ascii="仿宋" w:hAnsi="仿宋" w:eastAsia="仿宋" w:cs="仿宋_GB2312"/>
          <w:color w:val="auto"/>
          <w:szCs w:val="21"/>
        </w:rPr>
        <w:t>注：申请单位提供特种设备生产许可证或样机的特种设备监检证书本项可免于试验。</w:t>
      </w:r>
    </w:p>
    <w:bookmarkEnd w:id="433"/>
    <w:p w14:paraId="6F3180B8">
      <w:pPr>
        <w:pStyle w:val="2"/>
        <w:spacing w:before="160" w:after="0" w:line="360" w:lineRule="auto"/>
        <w:rPr>
          <w:iCs/>
          <w:sz w:val="24"/>
          <w:szCs w:val="21"/>
        </w:rPr>
      </w:pPr>
      <w:bookmarkStart w:id="142" w:name="_Toc501210797"/>
      <w:bookmarkStart w:id="143" w:name="_Toc457808126"/>
      <w:bookmarkStart w:id="144" w:name="_Toc457808588"/>
      <w:bookmarkStart w:id="145" w:name="_Toc185070205"/>
      <w:bookmarkStart w:id="146" w:name="_Toc457807263"/>
      <w:bookmarkStart w:id="147" w:name="_Toc221090917"/>
      <w:bookmarkStart w:id="148" w:name="_Toc12294"/>
      <w:r>
        <w:rPr>
          <w:b w:val="0"/>
          <w:iCs/>
          <w:color w:val="000000" w:themeColor="text1"/>
          <w:sz w:val="24"/>
          <w:szCs w:val="21"/>
          <w14:textFill>
            <w14:solidFill>
              <w14:schemeClr w14:val="tx1"/>
            </w14:solidFill>
          </w14:textFill>
        </w:rPr>
        <w:t>7.</w:t>
      </w:r>
      <w:bookmarkEnd w:id="142"/>
      <w:bookmarkEnd w:id="143"/>
      <w:bookmarkEnd w:id="144"/>
      <w:bookmarkEnd w:id="145"/>
      <w:bookmarkEnd w:id="146"/>
      <w:r>
        <w:rPr>
          <w:b w:val="0"/>
          <w:iCs/>
          <w:color w:val="000000" w:themeColor="text1"/>
          <w:sz w:val="24"/>
          <w:szCs w:val="21"/>
          <w14:textFill>
            <w14:solidFill>
              <w14:schemeClr w14:val="tx1"/>
            </w14:solidFill>
          </w14:textFill>
        </w:rPr>
        <w:t>4</w:t>
      </w:r>
      <w:r>
        <w:rPr>
          <w:rFonts w:hint="eastAsia"/>
          <w:b w:val="0"/>
          <w:iCs/>
          <w:color w:val="000000" w:themeColor="text1"/>
          <w:sz w:val="24"/>
          <w:szCs w:val="21"/>
          <w14:textFill>
            <w14:solidFill>
              <w14:schemeClr w14:val="tx1"/>
            </w14:solidFill>
          </w14:textFill>
        </w:rPr>
        <w:t xml:space="preserve"> </w:t>
      </w:r>
      <w:r>
        <w:rPr>
          <w:rFonts w:hint="eastAsia"/>
          <w:b w:val="0"/>
          <w:iCs/>
          <w:sz w:val="24"/>
          <w:szCs w:val="21"/>
        </w:rPr>
        <w:t>辅助功能性要求</w:t>
      </w:r>
      <w:bookmarkEnd w:id="147"/>
      <w:bookmarkEnd w:id="148"/>
    </w:p>
    <w:p w14:paraId="59241092">
      <w:pPr>
        <w:spacing w:before="160" w:line="360" w:lineRule="auto"/>
        <w:rPr>
          <w:rFonts w:cstheme="minorBidi"/>
          <w:sz w:val="24"/>
          <w:szCs w:val="24"/>
        </w:rPr>
      </w:pPr>
      <w:bookmarkStart w:id="149" w:name="_Toc2965"/>
      <w:bookmarkStart w:id="150" w:name="_Toc30189"/>
      <w:bookmarkStart w:id="151" w:name="_Toc1372"/>
      <w:bookmarkStart w:id="152" w:name="_Toc26393"/>
      <w:r>
        <w:rPr>
          <w:rFonts w:cstheme="minorBidi"/>
          <w:sz w:val="24"/>
          <w:szCs w:val="24"/>
        </w:rPr>
        <w:t xml:space="preserve">7.4.1 </w:t>
      </w:r>
      <w:r>
        <w:rPr>
          <w:rFonts w:hint="eastAsia" w:cstheme="minorBidi"/>
          <w:sz w:val="24"/>
          <w:szCs w:val="24"/>
        </w:rPr>
        <w:t>电源欠压保护</w:t>
      </w:r>
      <w:bookmarkEnd w:id="149"/>
      <w:bookmarkEnd w:id="150"/>
      <w:bookmarkEnd w:id="151"/>
      <w:bookmarkEnd w:id="152"/>
    </w:p>
    <w:p w14:paraId="579CA973">
      <w:pPr>
        <w:spacing w:before="160" w:line="360" w:lineRule="auto"/>
        <w:ind w:firstLine="480" w:firstLineChars="200"/>
        <w:rPr>
          <w:rFonts w:cstheme="minorBidi"/>
          <w:sz w:val="24"/>
          <w:szCs w:val="24"/>
        </w:rPr>
      </w:pPr>
      <w:bookmarkStart w:id="153" w:name="_Toc18913"/>
      <w:bookmarkStart w:id="154" w:name="_Toc22470"/>
      <w:bookmarkStart w:id="155" w:name="_Toc3157"/>
      <w:r>
        <w:rPr>
          <w:rFonts w:hint="eastAsia" w:cstheme="minorBidi"/>
          <w:sz w:val="24"/>
          <w:szCs w:val="24"/>
        </w:rPr>
        <w:t>采用电池供电的流量计，当电池电压降至低电压设定值时，应有明确的文字、符号或声光提示。</w:t>
      </w:r>
      <w:bookmarkEnd w:id="153"/>
      <w:bookmarkEnd w:id="154"/>
      <w:bookmarkEnd w:id="155"/>
    </w:p>
    <w:p w14:paraId="301D76A5">
      <w:pPr>
        <w:spacing w:before="160" w:line="360" w:lineRule="auto"/>
        <w:rPr>
          <w:rFonts w:cstheme="minorBidi"/>
          <w:sz w:val="24"/>
          <w:szCs w:val="24"/>
        </w:rPr>
      </w:pPr>
      <w:bookmarkStart w:id="156" w:name="_Toc26245"/>
      <w:bookmarkStart w:id="157" w:name="_Toc18114"/>
      <w:bookmarkStart w:id="158" w:name="_Toc4161"/>
      <w:r>
        <w:rPr>
          <w:rFonts w:cstheme="minorBidi"/>
          <w:sz w:val="24"/>
          <w:szCs w:val="24"/>
        </w:rPr>
        <w:t xml:space="preserve">7.4.2 </w:t>
      </w:r>
      <w:r>
        <w:rPr>
          <w:rFonts w:hint="eastAsia" w:cstheme="minorBidi"/>
          <w:sz w:val="24"/>
          <w:szCs w:val="24"/>
        </w:rPr>
        <w:t>断电保护</w:t>
      </w:r>
      <w:bookmarkEnd w:id="156"/>
      <w:bookmarkEnd w:id="157"/>
      <w:bookmarkEnd w:id="158"/>
    </w:p>
    <w:p w14:paraId="755D77EC">
      <w:pPr>
        <w:spacing w:before="160" w:line="360" w:lineRule="auto"/>
        <w:ind w:firstLine="480" w:firstLineChars="200"/>
        <w:rPr>
          <w:rFonts w:cstheme="minorBidi"/>
          <w:sz w:val="24"/>
          <w:szCs w:val="24"/>
        </w:rPr>
      </w:pPr>
      <w:bookmarkStart w:id="159" w:name="_Toc28722"/>
      <w:bookmarkStart w:id="160" w:name="_Toc25132"/>
      <w:bookmarkStart w:id="161" w:name="_Toc9185"/>
      <w:r>
        <w:rPr>
          <w:rFonts w:hint="eastAsia" w:cstheme="minorBidi"/>
          <w:sz w:val="24"/>
          <w:szCs w:val="24"/>
        </w:rPr>
        <w:t>当电源电压降至欠压设计值或电源中断时，应保证流量计保存的信息和数据不丢失，能够保存断电前的数值，可以容易地读取，且不影响流量计的任何性能和参数。</w:t>
      </w:r>
      <w:bookmarkEnd w:id="159"/>
      <w:bookmarkEnd w:id="160"/>
      <w:bookmarkEnd w:id="161"/>
    </w:p>
    <w:p w14:paraId="1DCE8CBA">
      <w:pPr>
        <w:spacing w:before="160" w:line="360" w:lineRule="auto"/>
        <w:rPr>
          <w:rFonts w:cstheme="minorBidi"/>
          <w:sz w:val="24"/>
          <w:szCs w:val="24"/>
        </w:rPr>
      </w:pPr>
      <w:r>
        <w:rPr>
          <w:rFonts w:cstheme="minorBidi"/>
          <w:sz w:val="24"/>
          <w:szCs w:val="24"/>
        </w:rPr>
        <w:t xml:space="preserve">7.4.3 </w:t>
      </w:r>
      <w:r>
        <w:rPr>
          <w:rFonts w:hint="eastAsia" w:cstheme="minorBidi"/>
          <w:sz w:val="24"/>
          <w:szCs w:val="24"/>
        </w:rPr>
        <w:t>信号输出</w:t>
      </w:r>
    </w:p>
    <w:p w14:paraId="17F975F1">
      <w:pPr>
        <w:spacing w:before="160" w:line="360" w:lineRule="auto"/>
        <w:ind w:firstLine="480" w:firstLineChars="200"/>
        <w:rPr>
          <w:rFonts w:cstheme="minorBidi"/>
          <w:sz w:val="24"/>
          <w:szCs w:val="24"/>
        </w:rPr>
      </w:pPr>
      <w:r>
        <w:rPr>
          <w:rFonts w:hint="eastAsia" w:cstheme="minorBidi"/>
          <w:sz w:val="24"/>
          <w:szCs w:val="24"/>
        </w:rPr>
        <w:t>流量计应有满足检测需要的信号输出或通信信号。</w:t>
      </w:r>
    </w:p>
    <w:p w14:paraId="582E6522">
      <w:pPr>
        <w:spacing w:before="160" w:line="360" w:lineRule="auto"/>
        <w:rPr>
          <w:rFonts w:cstheme="minorBidi"/>
          <w:sz w:val="24"/>
          <w:szCs w:val="24"/>
        </w:rPr>
      </w:pPr>
      <w:bookmarkStart w:id="162" w:name="_Toc457808127"/>
      <w:bookmarkStart w:id="163" w:name="_Toc185070206"/>
      <w:bookmarkStart w:id="164" w:name="_Toc27553"/>
      <w:bookmarkStart w:id="165" w:name="_Toc457807264"/>
      <w:bookmarkStart w:id="166" w:name="_Toc457808589"/>
      <w:bookmarkStart w:id="167" w:name="_Toc501210798"/>
      <w:r>
        <w:rPr>
          <w:rFonts w:hint="eastAsia" w:cstheme="minorBidi"/>
          <w:sz w:val="24"/>
          <w:szCs w:val="24"/>
        </w:rPr>
        <w:t>7.4.4</w:t>
      </w:r>
      <w:r>
        <w:rPr>
          <w:rFonts w:cstheme="minorBidi"/>
          <w:sz w:val="24"/>
          <w:szCs w:val="24"/>
        </w:rPr>
        <w:t xml:space="preserve"> </w:t>
      </w:r>
      <w:r>
        <w:rPr>
          <w:rFonts w:hint="eastAsia" w:cstheme="minorBidi"/>
          <w:sz w:val="24"/>
          <w:szCs w:val="24"/>
        </w:rPr>
        <w:t>压力损失</w:t>
      </w:r>
    </w:p>
    <w:p w14:paraId="06EAA73E">
      <w:pPr>
        <w:spacing w:before="160" w:line="360" w:lineRule="auto"/>
        <w:ind w:firstLine="480" w:firstLineChars="200"/>
        <w:rPr>
          <w:rFonts w:cstheme="minorBidi"/>
          <w:sz w:val="24"/>
          <w:szCs w:val="24"/>
        </w:rPr>
      </w:pPr>
      <w:r>
        <w:rPr>
          <w:rFonts w:hint="eastAsia" w:cstheme="minorBidi"/>
          <w:sz w:val="24"/>
          <w:szCs w:val="24"/>
        </w:rPr>
        <w:t>流量计的压力损失应不大于产品使用说明书中的规定。</w:t>
      </w:r>
    </w:p>
    <w:p w14:paraId="731E997C">
      <w:pPr>
        <w:pStyle w:val="2"/>
        <w:spacing w:before="160" w:after="0" w:line="360" w:lineRule="auto"/>
        <w:rPr>
          <w:iCs/>
          <w:color w:val="000000" w:themeColor="text1"/>
          <w:sz w:val="24"/>
          <w:szCs w:val="21"/>
          <w14:textFill>
            <w14:solidFill>
              <w14:schemeClr w14:val="tx1"/>
            </w14:solidFill>
          </w14:textFill>
        </w:rPr>
      </w:pPr>
      <w:bookmarkStart w:id="168" w:name="_Toc221090918"/>
      <w:r>
        <w:rPr>
          <w:b w:val="0"/>
          <w:iCs/>
          <w:color w:val="000000" w:themeColor="text1"/>
          <w:sz w:val="24"/>
          <w:szCs w:val="21"/>
          <w14:textFill>
            <w14:solidFill>
              <w14:schemeClr w14:val="tx1"/>
            </w14:solidFill>
          </w14:textFill>
        </w:rPr>
        <w:t>7.5</w:t>
      </w:r>
      <w:r>
        <w:rPr>
          <w:rFonts w:hint="eastAsia"/>
          <w:b w:val="0"/>
          <w:iCs/>
          <w:color w:val="000000" w:themeColor="text1"/>
          <w:sz w:val="24"/>
          <w:szCs w:val="21"/>
          <w14:textFill>
            <w14:solidFill>
              <w14:schemeClr w14:val="tx1"/>
            </w14:solidFill>
          </w14:textFill>
        </w:rPr>
        <w:t xml:space="preserve"> 安全性能</w:t>
      </w:r>
      <w:bookmarkEnd w:id="162"/>
      <w:bookmarkEnd w:id="163"/>
      <w:bookmarkEnd w:id="164"/>
      <w:bookmarkEnd w:id="165"/>
      <w:bookmarkEnd w:id="166"/>
      <w:bookmarkEnd w:id="167"/>
      <w:bookmarkEnd w:id="168"/>
    </w:p>
    <w:p w14:paraId="77F33170">
      <w:pPr>
        <w:spacing w:before="160" w:line="360" w:lineRule="auto"/>
        <w:ind w:firstLine="480" w:firstLineChars="200"/>
        <w:rPr>
          <w:rFonts w:cstheme="minorBidi"/>
          <w:sz w:val="24"/>
          <w:szCs w:val="24"/>
        </w:rPr>
      </w:pPr>
      <w:r>
        <w:rPr>
          <w:rFonts w:hint="eastAsia" w:cstheme="minorBidi"/>
          <w:sz w:val="24"/>
          <w:szCs w:val="24"/>
        </w:rPr>
        <w:t>对外电源供电的流量计，应进行绝缘电阻和绝缘强度的安全试验。</w:t>
      </w:r>
    </w:p>
    <w:p w14:paraId="47BC9E95">
      <w:pPr>
        <w:spacing w:before="160" w:line="360" w:lineRule="auto"/>
        <w:rPr>
          <w:rFonts w:cstheme="minorBidi"/>
          <w:sz w:val="24"/>
          <w:szCs w:val="24"/>
        </w:rPr>
      </w:pPr>
      <w:r>
        <w:rPr>
          <w:rFonts w:hint="eastAsia" w:cstheme="minorBidi"/>
          <w:sz w:val="24"/>
          <w:szCs w:val="24"/>
        </w:rPr>
        <w:t>7</w:t>
      </w:r>
      <w:r>
        <w:rPr>
          <w:rFonts w:cstheme="minorBidi"/>
          <w:sz w:val="24"/>
          <w:szCs w:val="24"/>
        </w:rPr>
        <w:t>.</w:t>
      </w:r>
      <w:r>
        <w:rPr>
          <w:rFonts w:hint="eastAsia" w:cstheme="minorBidi"/>
          <w:sz w:val="24"/>
          <w:szCs w:val="24"/>
        </w:rPr>
        <w:t>5.</w:t>
      </w:r>
      <w:r>
        <w:rPr>
          <w:rFonts w:cstheme="minorBidi"/>
          <w:sz w:val="24"/>
          <w:szCs w:val="24"/>
        </w:rPr>
        <w:t xml:space="preserve">1 </w:t>
      </w:r>
      <w:r>
        <w:rPr>
          <w:rFonts w:hint="eastAsia" w:cstheme="minorBidi"/>
          <w:sz w:val="24"/>
          <w:szCs w:val="24"/>
        </w:rPr>
        <w:t>绝缘电阻</w:t>
      </w:r>
    </w:p>
    <w:p w14:paraId="2A1C8E93">
      <w:pPr>
        <w:snapToGrid w:val="0"/>
        <w:spacing w:line="360" w:lineRule="auto"/>
        <w:ind w:firstLine="480" w:firstLineChars="200"/>
        <w:rPr>
          <w:sz w:val="24"/>
          <w:szCs w:val="24"/>
        </w:rPr>
      </w:pPr>
      <w:r>
        <w:rPr>
          <w:rFonts w:hint="eastAsia" w:hAnsi="宋体"/>
          <w:sz w:val="24"/>
          <w:szCs w:val="24"/>
        </w:rPr>
        <w:t>在一般大气条件下，流量计的电源端子与接地端子、输入输出端子与接地端子之</w:t>
      </w:r>
      <w:r>
        <w:rPr>
          <w:rFonts w:hint="eastAsia"/>
          <w:sz w:val="24"/>
          <w:szCs w:val="24"/>
        </w:rPr>
        <w:t>间</w:t>
      </w:r>
      <w:r>
        <w:rPr>
          <w:sz w:val="24"/>
          <w:szCs w:val="24"/>
        </w:rPr>
        <w:t>。</w:t>
      </w:r>
      <w:r>
        <w:rPr>
          <w:rFonts w:hint="eastAsia"/>
          <w:sz w:val="24"/>
          <w:szCs w:val="24"/>
        </w:rPr>
        <w:t>的绝缘电阻不应小于表4的要求。</w:t>
      </w:r>
    </w:p>
    <w:p w14:paraId="24966C14">
      <w:pPr>
        <w:snapToGrid w:val="0"/>
        <w:jc w:val="center"/>
        <w:rPr>
          <w:rFonts w:eastAsia="黑体"/>
          <w:szCs w:val="21"/>
        </w:rPr>
      </w:pPr>
      <w:r>
        <w:rPr>
          <w:rFonts w:hint="eastAsia" w:eastAsia="黑体"/>
          <w:szCs w:val="21"/>
        </w:rPr>
        <w:t>表4 绝缘电阻</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8"/>
        <w:gridCol w:w="1756"/>
        <w:gridCol w:w="1756"/>
      </w:tblGrid>
      <w:tr w14:paraId="04484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4248" w:type="dxa"/>
            <w:vAlign w:val="center"/>
          </w:tcPr>
          <w:p w14:paraId="39BD0A77">
            <w:pPr>
              <w:snapToGrid w:val="0"/>
              <w:jc w:val="center"/>
              <w:rPr>
                <w:szCs w:val="21"/>
              </w:rPr>
            </w:pPr>
            <w:r>
              <w:rPr>
                <w:rFonts w:hint="eastAsia"/>
                <w:szCs w:val="21"/>
              </w:rPr>
              <w:t>额定电压或标称</w:t>
            </w:r>
            <w:r>
              <w:rPr>
                <w:szCs w:val="21"/>
              </w:rPr>
              <w:t>电压（V）</w:t>
            </w:r>
          </w:p>
        </w:tc>
        <w:tc>
          <w:tcPr>
            <w:tcW w:w="1756" w:type="dxa"/>
            <w:vAlign w:val="center"/>
          </w:tcPr>
          <w:p w14:paraId="244750D9">
            <w:pPr>
              <w:snapToGrid w:val="0"/>
              <w:jc w:val="center"/>
              <w:rPr>
                <w:szCs w:val="21"/>
              </w:rPr>
            </w:pPr>
            <w:r>
              <w:rPr>
                <w:szCs w:val="21"/>
              </w:rPr>
              <w:t>试验电压（V）</w:t>
            </w:r>
          </w:p>
        </w:tc>
        <w:tc>
          <w:tcPr>
            <w:tcW w:w="1756" w:type="dxa"/>
            <w:vAlign w:val="center"/>
          </w:tcPr>
          <w:p w14:paraId="5EF55199">
            <w:pPr>
              <w:snapToGrid w:val="0"/>
              <w:jc w:val="center"/>
              <w:rPr>
                <w:szCs w:val="21"/>
              </w:rPr>
            </w:pPr>
            <w:r>
              <w:rPr>
                <w:rFonts w:hint="eastAsia"/>
                <w:szCs w:val="21"/>
              </w:rPr>
              <w:t>绝缘电阻（</w:t>
            </w:r>
            <w:r>
              <w:rPr>
                <w:sz w:val="24"/>
                <w:szCs w:val="24"/>
              </w:rPr>
              <w:t>MΩ</w:t>
            </w:r>
            <w:r>
              <w:rPr>
                <w:rFonts w:hint="eastAsia"/>
                <w:szCs w:val="21"/>
              </w:rPr>
              <w:t>）</w:t>
            </w:r>
          </w:p>
        </w:tc>
      </w:tr>
      <w:tr w14:paraId="2DC45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248" w:type="dxa"/>
            <w:vAlign w:val="center"/>
          </w:tcPr>
          <w:p w14:paraId="62D8F057">
            <w:pPr>
              <w:snapToGrid w:val="0"/>
              <w:jc w:val="center"/>
              <w:rPr>
                <w:szCs w:val="21"/>
              </w:rPr>
            </w:pPr>
            <w:r>
              <w:rPr>
                <w:i/>
                <w:szCs w:val="21"/>
              </w:rPr>
              <w:t>U</w:t>
            </w:r>
            <w:r>
              <w:rPr>
                <w:rFonts w:ascii="宋体" w:hAnsi="宋体"/>
                <w:szCs w:val="21"/>
              </w:rPr>
              <w:t>≤</w:t>
            </w:r>
            <w:r>
              <w:rPr>
                <w:szCs w:val="21"/>
              </w:rPr>
              <w:t>60</w:t>
            </w:r>
          </w:p>
        </w:tc>
        <w:tc>
          <w:tcPr>
            <w:tcW w:w="1756" w:type="dxa"/>
            <w:vAlign w:val="center"/>
          </w:tcPr>
          <w:p w14:paraId="37893649">
            <w:pPr>
              <w:snapToGrid w:val="0"/>
              <w:jc w:val="center"/>
              <w:rPr>
                <w:szCs w:val="21"/>
              </w:rPr>
            </w:pPr>
            <w:r>
              <w:rPr>
                <w:rFonts w:hint="eastAsia"/>
                <w:szCs w:val="21"/>
              </w:rPr>
              <w:t>250</w:t>
            </w:r>
          </w:p>
        </w:tc>
        <w:tc>
          <w:tcPr>
            <w:tcW w:w="1756" w:type="dxa"/>
            <w:vAlign w:val="center"/>
          </w:tcPr>
          <w:p w14:paraId="25F471F4">
            <w:pPr>
              <w:snapToGrid w:val="0"/>
              <w:jc w:val="center"/>
              <w:rPr>
                <w:szCs w:val="21"/>
              </w:rPr>
            </w:pPr>
            <w:r>
              <w:rPr>
                <w:rFonts w:hint="eastAsia"/>
                <w:szCs w:val="21"/>
              </w:rPr>
              <w:t>7</w:t>
            </w:r>
          </w:p>
        </w:tc>
      </w:tr>
      <w:tr w14:paraId="7AED9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248" w:type="dxa"/>
            <w:vAlign w:val="center"/>
          </w:tcPr>
          <w:p w14:paraId="5F9F5B1D">
            <w:pPr>
              <w:snapToGrid w:val="0"/>
              <w:jc w:val="center"/>
              <w:rPr>
                <w:szCs w:val="21"/>
              </w:rPr>
            </w:pPr>
            <w:r>
              <w:rPr>
                <w:szCs w:val="21"/>
              </w:rPr>
              <w:t>130</w:t>
            </w:r>
            <w:r>
              <w:rPr>
                <w:rFonts w:ascii="宋体" w:hAnsi="宋体"/>
                <w:szCs w:val="21"/>
              </w:rPr>
              <w:t>≤</w:t>
            </w:r>
            <w:r>
              <w:rPr>
                <w:i/>
                <w:szCs w:val="21"/>
              </w:rPr>
              <w:t>U</w:t>
            </w:r>
            <w:r>
              <w:rPr>
                <w:rFonts w:ascii="宋体" w:hAnsi="宋体"/>
                <w:szCs w:val="21"/>
              </w:rPr>
              <w:t>＜</w:t>
            </w:r>
            <w:r>
              <w:rPr>
                <w:szCs w:val="21"/>
              </w:rPr>
              <w:t>250</w:t>
            </w:r>
          </w:p>
        </w:tc>
        <w:tc>
          <w:tcPr>
            <w:tcW w:w="1756" w:type="dxa"/>
            <w:vAlign w:val="center"/>
          </w:tcPr>
          <w:p w14:paraId="7F773F59">
            <w:pPr>
              <w:snapToGrid w:val="0"/>
              <w:jc w:val="center"/>
              <w:rPr>
                <w:szCs w:val="21"/>
              </w:rPr>
            </w:pPr>
            <w:r>
              <w:rPr>
                <w:rFonts w:hint="eastAsia"/>
                <w:szCs w:val="21"/>
              </w:rPr>
              <w:t>500</w:t>
            </w:r>
          </w:p>
        </w:tc>
        <w:tc>
          <w:tcPr>
            <w:tcW w:w="1756" w:type="dxa"/>
            <w:vAlign w:val="center"/>
          </w:tcPr>
          <w:p w14:paraId="1CC6350B">
            <w:pPr>
              <w:snapToGrid w:val="0"/>
              <w:jc w:val="center"/>
              <w:rPr>
                <w:szCs w:val="21"/>
              </w:rPr>
            </w:pPr>
            <w:r>
              <w:rPr>
                <w:rFonts w:hint="eastAsia"/>
                <w:szCs w:val="21"/>
              </w:rPr>
              <w:t>20</w:t>
            </w:r>
          </w:p>
        </w:tc>
      </w:tr>
    </w:tbl>
    <w:p w14:paraId="3A2D99C4">
      <w:pPr>
        <w:spacing w:before="160" w:line="360" w:lineRule="auto"/>
        <w:rPr>
          <w:rFonts w:cstheme="minorBidi"/>
          <w:sz w:val="24"/>
          <w:szCs w:val="24"/>
        </w:rPr>
      </w:pPr>
      <w:r>
        <w:rPr>
          <w:rFonts w:hint="eastAsia" w:cstheme="minorBidi"/>
          <w:sz w:val="24"/>
          <w:szCs w:val="24"/>
        </w:rPr>
        <w:t>7</w:t>
      </w:r>
      <w:r>
        <w:rPr>
          <w:rFonts w:cstheme="minorBidi"/>
          <w:sz w:val="24"/>
          <w:szCs w:val="24"/>
        </w:rPr>
        <w:t>.</w:t>
      </w:r>
      <w:r>
        <w:rPr>
          <w:rFonts w:hint="eastAsia" w:cstheme="minorBidi"/>
          <w:sz w:val="24"/>
          <w:szCs w:val="24"/>
        </w:rPr>
        <w:t>5</w:t>
      </w:r>
      <w:r>
        <w:rPr>
          <w:rFonts w:cstheme="minorBidi"/>
          <w:sz w:val="24"/>
          <w:szCs w:val="24"/>
        </w:rPr>
        <w:t>.</w:t>
      </w:r>
      <w:r>
        <w:rPr>
          <w:rFonts w:hint="eastAsia" w:cstheme="minorBidi"/>
          <w:sz w:val="24"/>
          <w:szCs w:val="24"/>
        </w:rPr>
        <w:t>2</w:t>
      </w:r>
      <w:r>
        <w:rPr>
          <w:rFonts w:cstheme="minorBidi"/>
          <w:sz w:val="24"/>
          <w:szCs w:val="24"/>
        </w:rPr>
        <w:t xml:space="preserve"> </w:t>
      </w:r>
      <w:r>
        <w:rPr>
          <w:rFonts w:hint="eastAsia" w:cstheme="minorBidi"/>
          <w:sz w:val="24"/>
          <w:szCs w:val="24"/>
        </w:rPr>
        <w:t>绝缘强度</w:t>
      </w:r>
    </w:p>
    <w:p w14:paraId="0270B83E">
      <w:pPr>
        <w:spacing w:before="160" w:line="360" w:lineRule="auto"/>
        <w:ind w:firstLine="480" w:firstLineChars="200"/>
        <w:rPr>
          <w:rFonts w:cstheme="minorBidi"/>
          <w:sz w:val="24"/>
          <w:szCs w:val="24"/>
        </w:rPr>
      </w:pPr>
      <w:r>
        <w:rPr>
          <w:rFonts w:hint="eastAsia" w:cstheme="minorBidi"/>
          <w:sz w:val="24"/>
          <w:szCs w:val="24"/>
        </w:rPr>
        <w:t>在一般大气条件下，流量计的电源端子与接地端子、输出端子与接地端子之间应能承受表5试验电压和频率，历时1 min，无击穿或飞弧现象产生。</w:t>
      </w:r>
    </w:p>
    <w:p w14:paraId="3958D34D">
      <w:pPr>
        <w:spacing w:before="160" w:line="360" w:lineRule="auto"/>
        <w:ind w:firstLine="480" w:firstLineChars="200"/>
        <w:rPr>
          <w:rFonts w:cstheme="minorBidi"/>
          <w:sz w:val="24"/>
          <w:szCs w:val="24"/>
        </w:rPr>
      </w:pPr>
    </w:p>
    <w:p w14:paraId="1FAF1455">
      <w:pPr>
        <w:spacing w:before="160" w:line="360" w:lineRule="auto"/>
        <w:jc w:val="center"/>
        <w:rPr>
          <w:color w:val="000000"/>
          <w:sz w:val="24"/>
          <w:szCs w:val="32"/>
        </w:rPr>
      </w:pPr>
      <w:r>
        <w:rPr>
          <w:rFonts w:hint="eastAsia"/>
          <w:color w:val="000000"/>
          <w:sz w:val="24"/>
          <w:szCs w:val="32"/>
        </w:rPr>
        <w:t>表5 绝缘强度</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60"/>
        <w:gridCol w:w="2160"/>
        <w:gridCol w:w="1754"/>
      </w:tblGrid>
      <w:tr w14:paraId="45572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448" w:type="dxa"/>
            <w:vAlign w:val="center"/>
          </w:tcPr>
          <w:p w14:paraId="1AABC5D1">
            <w:pPr>
              <w:snapToGrid w:val="0"/>
              <w:jc w:val="center"/>
              <w:rPr>
                <w:szCs w:val="21"/>
              </w:rPr>
            </w:pPr>
            <w:r>
              <w:rPr>
                <w:rFonts w:hint="eastAsia"/>
                <w:szCs w:val="21"/>
              </w:rPr>
              <w:t>额定电压或标称</w:t>
            </w:r>
            <w:r>
              <w:rPr>
                <w:szCs w:val="21"/>
              </w:rPr>
              <w:t>电压（V）</w:t>
            </w:r>
          </w:p>
        </w:tc>
        <w:tc>
          <w:tcPr>
            <w:tcW w:w="2160" w:type="dxa"/>
            <w:vAlign w:val="center"/>
          </w:tcPr>
          <w:p w14:paraId="4AD09A99">
            <w:pPr>
              <w:snapToGrid w:val="0"/>
              <w:jc w:val="center"/>
              <w:rPr>
                <w:szCs w:val="21"/>
              </w:rPr>
            </w:pPr>
            <w:r>
              <w:rPr>
                <w:szCs w:val="21"/>
              </w:rPr>
              <w:t>试验电压有效值（V）</w:t>
            </w:r>
          </w:p>
        </w:tc>
        <w:tc>
          <w:tcPr>
            <w:tcW w:w="2160" w:type="dxa"/>
            <w:vAlign w:val="center"/>
          </w:tcPr>
          <w:p w14:paraId="3FC7B7D9">
            <w:pPr>
              <w:snapToGrid w:val="0"/>
              <w:jc w:val="center"/>
              <w:rPr>
                <w:szCs w:val="21"/>
              </w:rPr>
            </w:pPr>
            <w:r>
              <w:rPr>
                <w:szCs w:val="21"/>
              </w:rPr>
              <w:t>泄漏电流报警值（mA）</w:t>
            </w:r>
          </w:p>
        </w:tc>
        <w:tc>
          <w:tcPr>
            <w:tcW w:w="1754" w:type="dxa"/>
            <w:vAlign w:val="center"/>
          </w:tcPr>
          <w:p w14:paraId="6BE4D89F">
            <w:pPr>
              <w:snapToGrid w:val="0"/>
              <w:jc w:val="center"/>
              <w:rPr>
                <w:szCs w:val="21"/>
              </w:rPr>
            </w:pPr>
            <w:r>
              <w:rPr>
                <w:szCs w:val="21"/>
              </w:rPr>
              <w:t>试验时间（min）</w:t>
            </w:r>
          </w:p>
        </w:tc>
      </w:tr>
      <w:tr w14:paraId="11418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448" w:type="dxa"/>
            <w:vAlign w:val="center"/>
          </w:tcPr>
          <w:p w14:paraId="3CB1A674">
            <w:pPr>
              <w:snapToGrid w:val="0"/>
              <w:jc w:val="center"/>
              <w:rPr>
                <w:szCs w:val="21"/>
              </w:rPr>
            </w:pPr>
            <w:r>
              <w:rPr>
                <w:i/>
                <w:szCs w:val="21"/>
              </w:rPr>
              <w:t>U</w:t>
            </w:r>
            <w:r>
              <w:rPr>
                <w:rFonts w:ascii="宋体" w:hAnsi="宋体"/>
                <w:szCs w:val="21"/>
              </w:rPr>
              <w:t>≤</w:t>
            </w:r>
            <w:r>
              <w:rPr>
                <w:szCs w:val="21"/>
              </w:rPr>
              <w:t>60</w:t>
            </w:r>
          </w:p>
        </w:tc>
        <w:tc>
          <w:tcPr>
            <w:tcW w:w="2160" w:type="dxa"/>
            <w:vAlign w:val="center"/>
          </w:tcPr>
          <w:p w14:paraId="064B7920">
            <w:pPr>
              <w:snapToGrid w:val="0"/>
              <w:jc w:val="center"/>
              <w:rPr>
                <w:szCs w:val="21"/>
              </w:rPr>
            </w:pPr>
            <w:r>
              <w:rPr>
                <w:szCs w:val="21"/>
              </w:rPr>
              <w:t>500</w:t>
            </w:r>
          </w:p>
        </w:tc>
        <w:tc>
          <w:tcPr>
            <w:tcW w:w="2160" w:type="dxa"/>
            <w:vMerge w:val="restart"/>
            <w:vAlign w:val="center"/>
          </w:tcPr>
          <w:p w14:paraId="187270F5">
            <w:pPr>
              <w:snapToGrid w:val="0"/>
              <w:jc w:val="center"/>
              <w:rPr>
                <w:szCs w:val="21"/>
              </w:rPr>
            </w:pPr>
            <w:r>
              <w:rPr>
                <w:szCs w:val="21"/>
              </w:rPr>
              <w:t>10</w:t>
            </w:r>
          </w:p>
        </w:tc>
        <w:tc>
          <w:tcPr>
            <w:tcW w:w="1754" w:type="dxa"/>
            <w:vMerge w:val="restart"/>
            <w:vAlign w:val="center"/>
          </w:tcPr>
          <w:p w14:paraId="7964208C">
            <w:pPr>
              <w:snapToGrid w:val="0"/>
              <w:jc w:val="center"/>
              <w:rPr>
                <w:szCs w:val="21"/>
              </w:rPr>
            </w:pPr>
            <w:r>
              <w:rPr>
                <w:szCs w:val="21"/>
              </w:rPr>
              <w:t>1</w:t>
            </w:r>
          </w:p>
        </w:tc>
      </w:tr>
      <w:tr w14:paraId="1A363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2448" w:type="dxa"/>
            <w:vAlign w:val="center"/>
          </w:tcPr>
          <w:p w14:paraId="1A06A7AB">
            <w:pPr>
              <w:snapToGrid w:val="0"/>
              <w:jc w:val="center"/>
              <w:rPr>
                <w:szCs w:val="21"/>
              </w:rPr>
            </w:pPr>
            <w:r>
              <w:rPr>
                <w:szCs w:val="21"/>
              </w:rPr>
              <w:t>130</w:t>
            </w:r>
            <w:r>
              <w:rPr>
                <w:rFonts w:ascii="宋体" w:hAnsi="宋体"/>
                <w:szCs w:val="21"/>
              </w:rPr>
              <w:t>≤</w:t>
            </w:r>
            <w:r>
              <w:rPr>
                <w:i/>
                <w:szCs w:val="21"/>
              </w:rPr>
              <w:t>U</w:t>
            </w:r>
            <w:r>
              <w:rPr>
                <w:rFonts w:ascii="宋体" w:hAnsi="宋体"/>
                <w:szCs w:val="21"/>
              </w:rPr>
              <w:t>＜</w:t>
            </w:r>
            <w:r>
              <w:rPr>
                <w:szCs w:val="21"/>
              </w:rPr>
              <w:t>250</w:t>
            </w:r>
          </w:p>
        </w:tc>
        <w:tc>
          <w:tcPr>
            <w:tcW w:w="2160" w:type="dxa"/>
            <w:vAlign w:val="center"/>
          </w:tcPr>
          <w:p w14:paraId="0C5B184D">
            <w:pPr>
              <w:snapToGrid w:val="0"/>
              <w:jc w:val="center"/>
              <w:rPr>
                <w:szCs w:val="21"/>
              </w:rPr>
            </w:pPr>
            <w:r>
              <w:rPr>
                <w:szCs w:val="21"/>
              </w:rPr>
              <w:t>1500</w:t>
            </w:r>
          </w:p>
        </w:tc>
        <w:tc>
          <w:tcPr>
            <w:tcW w:w="2160" w:type="dxa"/>
            <w:vMerge w:val="continue"/>
          </w:tcPr>
          <w:p w14:paraId="1DBFF8E6">
            <w:pPr>
              <w:snapToGrid w:val="0"/>
              <w:jc w:val="center"/>
              <w:rPr>
                <w:sz w:val="24"/>
              </w:rPr>
            </w:pPr>
          </w:p>
        </w:tc>
        <w:tc>
          <w:tcPr>
            <w:tcW w:w="1754" w:type="dxa"/>
            <w:vMerge w:val="continue"/>
          </w:tcPr>
          <w:p w14:paraId="68BC487F">
            <w:pPr>
              <w:snapToGrid w:val="0"/>
              <w:jc w:val="center"/>
              <w:rPr>
                <w:sz w:val="24"/>
              </w:rPr>
            </w:pPr>
          </w:p>
        </w:tc>
      </w:tr>
    </w:tbl>
    <w:p w14:paraId="2C2E482D">
      <w:pPr>
        <w:spacing w:before="160" w:line="360" w:lineRule="auto"/>
        <w:rPr>
          <w:rFonts w:cstheme="minorBidi"/>
          <w:sz w:val="24"/>
          <w:szCs w:val="24"/>
        </w:rPr>
      </w:pPr>
      <w:bookmarkStart w:id="169" w:name="_Toc185070207"/>
      <w:bookmarkStart w:id="170" w:name="_Toc10449"/>
      <w:r>
        <w:rPr>
          <w:rFonts w:hint="eastAsia" w:cstheme="minorBidi"/>
          <w:sz w:val="24"/>
          <w:szCs w:val="24"/>
        </w:rPr>
        <w:t>7.5.3 防爆性能</w:t>
      </w:r>
    </w:p>
    <w:p w14:paraId="0693A990">
      <w:pPr>
        <w:spacing w:before="160" w:line="360" w:lineRule="auto"/>
        <w:ind w:firstLine="480" w:firstLineChars="200"/>
        <w:rPr>
          <w:rFonts w:cstheme="minorBidi"/>
          <w:sz w:val="24"/>
          <w:szCs w:val="24"/>
        </w:rPr>
      </w:pPr>
      <w:r>
        <w:rPr>
          <w:rFonts w:hint="eastAsia" w:cstheme="minorBidi"/>
          <w:sz w:val="24"/>
          <w:szCs w:val="24"/>
        </w:rPr>
        <w:t>对应用于爆炸性气体环境的流量计，应取得相应等级的防爆合格证书。</w:t>
      </w:r>
    </w:p>
    <w:p w14:paraId="69DCAA2A">
      <w:pPr>
        <w:pStyle w:val="2"/>
        <w:spacing w:before="160" w:after="0" w:line="360" w:lineRule="auto"/>
        <w:rPr>
          <w:iCs/>
          <w:color w:val="000000" w:themeColor="text1"/>
          <w:szCs w:val="21"/>
          <w14:textFill>
            <w14:solidFill>
              <w14:schemeClr w14:val="tx1"/>
            </w14:solidFill>
          </w14:textFill>
        </w:rPr>
      </w:pPr>
      <w:bookmarkStart w:id="171" w:name="_Toc221090919"/>
      <w:r>
        <w:rPr>
          <w:b w:val="0"/>
          <w:iCs/>
          <w:color w:val="000000" w:themeColor="text1"/>
          <w:sz w:val="24"/>
          <w:szCs w:val="21"/>
          <w14:textFill>
            <w14:solidFill>
              <w14:schemeClr w14:val="tx1"/>
            </w14:solidFill>
          </w14:textFill>
        </w:rPr>
        <w:t>7.</w:t>
      </w:r>
      <w:bookmarkEnd w:id="169"/>
      <w:bookmarkEnd w:id="170"/>
      <w:r>
        <w:rPr>
          <w:b w:val="0"/>
          <w:iCs/>
          <w:color w:val="000000" w:themeColor="text1"/>
          <w:sz w:val="24"/>
          <w:szCs w:val="21"/>
          <w14:textFill>
            <w14:solidFill>
              <w14:schemeClr w14:val="tx1"/>
            </w14:solidFill>
          </w14:textFill>
        </w:rPr>
        <w:t>6</w:t>
      </w:r>
      <w:r>
        <w:rPr>
          <w:rFonts w:hint="eastAsia"/>
          <w:b w:val="0"/>
          <w:iCs/>
          <w:color w:val="000000" w:themeColor="text1"/>
          <w:sz w:val="24"/>
          <w:szCs w:val="21"/>
          <w14:textFill>
            <w14:solidFill>
              <w14:schemeClr w14:val="tx1"/>
            </w14:solidFill>
          </w14:textFill>
        </w:rPr>
        <w:t xml:space="preserve"> 贮存环境适应性</w:t>
      </w:r>
      <w:bookmarkEnd w:id="171"/>
    </w:p>
    <w:p w14:paraId="5178F795">
      <w:pPr>
        <w:spacing w:before="160" w:line="360" w:lineRule="auto"/>
        <w:ind w:firstLine="480" w:firstLineChars="200"/>
        <w:rPr>
          <w:rFonts w:cstheme="minorBidi"/>
          <w:sz w:val="24"/>
          <w:szCs w:val="24"/>
        </w:rPr>
      </w:pPr>
      <w:r>
        <w:rPr>
          <w:rFonts w:hint="eastAsia" w:cstheme="minorBidi"/>
          <w:sz w:val="24"/>
          <w:szCs w:val="24"/>
        </w:rPr>
        <w:t>流量计应能承受下列规定条件的贮存环境试验，试验后流量计的外观和功能应符合要求。试验后，复测0.2</w:t>
      </w:r>
      <w:r>
        <w:rPr>
          <w:rFonts w:hint="eastAsia" w:cstheme="minorBidi"/>
          <w:i/>
          <w:iCs/>
          <w:sz w:val="24"/>
          <w:szCs w:val="24"/>
        </w:rPr>
        <w:t>q</w:t>
      </w:r>
      <w:r>
        <w:rPr>
          <w:rFonts w:hint="eastAsia" w:cstheme="minorBidi"/>
          <w:sz w:val="24"/>
          <w:szCs w:val="24"/>
          <w:vertAlign w:val="subscript"/>
        </w:rPr>
        <w:t>max</w:t>
      </w:r>
      <w:r>
        <w:rPr>
          <w:rFonts w:hint="eastAsia" w:cstheme="minorBidi"/>
          <w:sz w:val="24"/>
          <w:szCs w:val="24"/>
        </w:rPr>
        <w:t>流量点的示值误差，其结果应满足6.1和6.2要求。</w:t>
      </w:r>
    </w:p>
    <w:p w14:paraId="28BEDF4E">
      <w:pPr>
        <w:spacing w:before="160" w:line="360" w:lineRule="auto"/>
        <w:rPr>
          <w:rFonts w:cstheme="minorBidi"/>
          <w:sz w:val="24"/>
          <w:szCs w:val="24"/>
        </w:rPr>
      </w:pPr>
      <w:r>
        <w:rPr>
          <w:rFonts w:hint="eastAsia" w:cstheme="minorBidi"/>
          <w:sz w:val="24"/>
          <w:szCs w:val="24"/>
        </w:rPr>
        <w:t>7</w:t>
      </w:r>
      <w:r>
        <w:rPr>
          <w:rFonts w:cstheme="minorBidi"/>
          <w:sz w:val="24"/>
          <w:szCs w:val="24"/>
        </w:rPr>
        <w:t>.</w:t>
      </w:r>
      <w:r>
        <w:rPr>
          <w:rFonts w:hint="eastAsia" w:cstheme="minorBidi"/>
          <w:sz w:val="24"/>
          <w:szCs w:val="24"/>
        </w:rPr>
        <w:t>6</w:t>
      </w:r>
      <w:r>
        <w:rPr>
          <w:rFonts w:cstheme="minorBidi"/>
          <w:sz w:val="24"/>
          <w:szCs w:val="24"/>
        </w:rPr>
        <w:t>.</w:t>
      </w:r>
      <w:r>
        <w:rPr>
          <w:rFonts w:hint="eastAsia" w:cstheme="minorBidi"/>
          <w:sz w:val="24"/>
          <w:szCs w:val="24"/>
        </w:rPr>
        <w:t>1</w:t>
      </w:r>
      <w:r>
        <w:rPr>
          <w:rFonts w:cstheme="minorBidi"/>
          <w:sz w:val="24"/>
          <w:szCs w:val="24"/>
        </w:rPr>
        <w:t xml:space="preserve"> </w:t>
      </w:r>
      <w:r>
        <w:rPr>
          <w:rFonts w:hint="eastAsia" w:cstheme="minorBidi"/>
          <w:sz w:val="24"/>
          <w:szCs w:val="24"/>
        </w:rPr>
        <w:t>低温</w:t>
      </w:r>
    </w:p>
    <w:p w14:paraId="5D4533B2">
      <w:pPr>
        <w:spacing w:before="160" w:line="360" w:lineRule="auto"/>
        <w:ind w:firstLine="480" w:firstLineChars="200"/>
        <w:rPr>
          <w:rFonts w:cstheme="minorBidi"/>
          <w:sz w:val="24"/>
          <w:szCs w:val="24"/>
        </w:rPr>
      </w:pPr>
      <w:r>
        <w:rPr>
          <w:rFonts w:hint="eastAsia" w:cstheme="minorBidi"/>
          <w:sz w:val="24"/>
          <w:szCs w:val="24"/>
        </w:rPr>
        <w:t>在无包装条件下，按GB/T 2423.1“试验Ad”的相关要求进行，</w:t>
      </w:r>
      <w:r>
        <w:rPr>
          <w:rFonts w:hint="eastAsia"/>
          <w:sz w:val="24"/>
          <w:szCs w:val="24"/>
        </w:rPr>
        <w:t>低温-25℃，持续2 h。</w:t>
      </w:r>
    </w:p>
    <w:p w14:paraId="42DD1E4A">
      <w:pPr>
        <w:spacing w:before="160" w:line="360" w:lineRule="auto"/>
        <w:rPr>
          <w:rFonts w:cstheme="minorBidi"/>
          <w:sz w:val="24"/>
          <w:szCs w:val="24"/>
        </w:rPr>
      </w:pPr>
      <w:r>
        <w:rPr>
          <w:rFonts w:hint="eastAsia" w:cstheme="minorBidi"/>
          <w:sz w:val="24"/>
          <w:szCs w:val="24"/>
        </w:rPr>
        <w:t>7</w:t>
      </w:r>
      <w:r>
        <w:rPr>
          <w:rFonts w:cstheme="minorBidi"/>
          <w:sz w:val="24"/>
          <w:szCs w:val="24"/>
        </w:rPr>
        <w:t>.</w:t>
      </w:r>
      <w:r>
        <w:rPr>
          <w:rFonts w:hint="eastAsia" w:cstheme="minorBidi"/>
          <w:sz w:val="24"/>
          <w:szCs w:val="24"/>
        </w:rPr>
        <w:t>6</w:t>
      </w:r>
      <w:r>
        <w:rPr>
          <w:rFonts w:cstheme="minorBidi"/>
          <w:sz w:val="24"/>
          <w:szCs w:val="24"/>
        </w:rPr>
        <w:t>.</w:t>
      </w:r>
      <w:r>
        <w:rPr>
          <w:rFonts w:hint="eastAsia" w:cstheme="minorBidi"/>
          <w:sz w:val="24"/>
          <w:szCs w:val="24"/>
        </w:rPr>
        <w:t>2 高温</w:t>
      </w:r>
    </w:p>
    <w:p w14:paraId="1E380BAB">
      <w:pPr>
        <w:spacing w:before="160" w:line="360" w:lineRule="auto"/>
        <w:ind w:firstLine="480" w:firstLineChars="200"/>
        <w:rPr>
          <w:rFonts w:cstheme="minorBidi"/>
          <w:sz w:val="24"/>
          <w:szCs w:val="24"/>
        </w:rPr>
      </w:pPr>
      <w:r>
        <w:rPr>
          <w:rFonts w:hint="eastAsia" w:cstheme="minorBidi"/>
          <w:sz w:val="24"/>
          <w:szCs w:val="24"/>
        </w:rPr>
        <w:t>在无包装条件下，按GB/T 2423.2“试验Bd”相关要求进行，高温55 ℃，持续2 h。</w:t>
      </w:r>
    </w:p>
    <w:p w14:paraId="6724748A">
      <w:pPr>
        <w:spacing w:before="160" w:line="360" w:lineRule="auto"/>
        <w:rPr>
          <w:rFonts w:cstheme="minorBidi"/>
          <w:sz w:val="24"/>
          <w:szCs w:val="24"/>
        </w:rPr>
      </w:pPr>
      <w:r>
        <w:rPr>
          <w:rFonts w:hint="eastAsia" w:cstheme="minorBidi"/>
          <w:sz w:val="24"/>
          <w:szCs w:val="24"/>
        </w:rPr>
        <w:t>7</w:t>
      </w:r>
      <w:r>
        <w:rPr>
          <w:rFonts w:cstheme="minorBidi"/>
          <w:sz w:val="24"/>
          <w:szCs w:val="24"/>
        </w:rPr>
        <w:t>.</w:t>
      </w:r>
      <w:r>
        <w:rPr>
          <w:rFonts w:hint="eastAsia" w:cstheme="minorBidi"/>
          <w:sz w:val="24"/>
          <w:szCs w:val="24"/>
        </w:rPr>
        <w:t>6</w:t>
      </w:r>
      <w:r>
        <w:rPr>
          <w:rFonts w:cstheme="minorBidi"/>
          <w:sz w:val="24"/>
          <w:szCs w:val="24"/>
        </w:rPr>
        <w:t>.</w:t>
      </w:r>
      <w:r>
        <w:rPr>
          <w:rFonts w:hint="eastAsia" w:cstheme="minorBidi"/>
          <w:sz w:val="24"/>
          <w:szCs w:val="24"/>
        </w:rPr>
        <w:t>3 恒定湿热</w:t>
      </w:r>
    </w:p>
    <w:p w14:paraId="7C97AEAA">
      <w:pPr>
        <w:spacing w:before="160" w:line="360" w:lineRule="auto"/>
        <w:ind w:firstLine="480" w:firstLineChars="200"/>
        <w:rPr>
          <w:rFonts w:cstheme="minorBidi"/>
          <w:sz w:val="24"/>
          <w:szCs w:val="24"/>
        </w:rPr>
      </w:pPr>
      <w:r>
        <w:rPr>
          <w:rFonts w:hint="eastAsia" w:cstheme="minorBidi"/>
          <w:sz w:val="24"/>
          <w:szCs w:val="24"/>
        </w:rPr>
        <w:t>在无包装条件下，按GB/T 2423.3 “试验Ca”的相关要求进行，温度40 ℃、相对湿度93%，持续48 h。</w:t>
      </w:r>
    </w:p>
    <w:p w14:paraId="6214BC79">
      <w:pPr>
        <w:spacing w:before="160" w:line="360" w:lineRule="auto"/>
        <w:ind w:firstLine="480" w:firstLineChars="200"/>
        <w:rPr>
          <w:rFonts w:cstheme="minorBidi"/>
          <w:sz w:val="24"/>
          <w:szCs w:val="24"/>
        </w:rPr>
      </w:pPr>
      <w:r>
        <w:rPr>
          <w:rFonts w:hint="eastAsia" w:cstheme="minorBidi"/>
          <w:sz w:val="24"/>
          <w:szCs w:val="24"/>
        </w:rPr>
        <w:t>流量计应能承受上述环境试验，试验后流量计的外观和功能应符合要求；</w:t>
      </w:r>
    </w:p>
    <w:p w14:paraId="508F4C97">
      <w:pPr>
        <w:pStyle w:val="2"/>
        <w:spacing w:before="160" w:after="0" w:line="360" w:lineRule="auto"/>
        <w:rPr>
          <w:iCs/>
          <w:color w:val="000000" w:themeColor="text1"/>
          <w:sz w:val="24"/>
          <w:szCs w:val="21"/>
          <w14:textFill>
            <w14:solidFill>
              <w14:schemeClr w14:val="tx1"/>
            </w14:solidFill>
          </w14:textFill>
        </w:rPr>
      </w:pPr>
      <w:bookmarkStart w:id="172" w:name="_Toc221090920"/>
      <w:r>
        <w:rPr>
          <w:b w:val="0"/>
          <w:iCs/>
          <w:color w:val="000000" w:themeColor="text1"/>
          <w:sz w:val="24"/>
          <w:szCs w:val="21"/>
          <w14:textFill>
            <w14:solidFill>
              <w14:schemeClr w14:val="tx1"/>
            </w14:solidFill>
          </w14:textFill>
        </w:rPr>
        <w:t>7.7</w:t>
      </w:r>
      <w:r>
        <w:rPr>
          <w:rFonts w:hint="eastAsia"/>
          <w:b w:val="0"/>
          <w:iCs/>
          <w:color w:val="000000" w:themeColor="text1"/>
          <w:sz w:val="24"/>
          <w:szCs w:val="21"/>
          <w14:textFill>
            <w14:solidFill>
              <w14:schemeClr w14:val="tx1"/>
            </w14:solidFill>
          </w14:textFill>
        </w:rPr>
        <w:t xml:space="preserve"> 机械环境性能试验</w:t>
      </w:r>
      <w:bookmarkEnd w:id="172"/>
    </w:p>
    <w:p w14:paraId="247A2682">
      <w:pPr>
        <w:spacing w:before="160" w:line="360" w:lineRule="auto"/>
        <w:rPr>
          <w:rFonts w:cstheme="minorBidi"/>
          <w:sz w:val="24"/>
          <w:szCs w:val="24"/>
        </w:rPr>
      </w:pPr>
      <w:r>
        <w:rPr>
          <w:rFonts w:hint="eastAsia" w:cstheme="minorBidi"/>
          <w:sz w:val="24"/>
          <w:szCs w:val="24"/>
        </w:rPr>
        <w:t>7.7.1</w:t>
      </w:r>
      <w:r>
        <w:rPr>
          <w:rFonts w:cstheme="minorBidi"/>
          <w:sz w:val="24"/>
          <w:szCs w:val="24"/>
        </w:rPr>
        <w:t xml:space="preserve"> </w:t>
      </w:r>
      <w:r>
        <w:rPr>
          <w:rFonts w:hint="eastAsia" w:cstheme="minorBidi"/>
          <w:sz w:val="24"/>
          <w:szCs w:val="24"/>
        </w:rPr>
        <w:t>冲击</w:t>
      </w:r>
    </w:p>
    <w:p w14:paraId="7D24010B">
      <w:pPr>
        <w:spacing w:before="160" w:line="360" w:lineRule="auto"/>
        <w:ind w:firstLine="480" w:firstLineChars="200"/>
        <w:rPr>
          <w:rFonts w:cstheme="minorBidi"/>
          <w:sz w:val="24"/>
          <w:szCs w:val="24"/>
        </w:rPr>
      </w:pPr>
      <w:r>
        <w:rPr>
          <w:rFonts w:hint="eastAsia" w:cstheme="minorBidi"/>
          <w:sz w:val="24"/>
          <w:szCs w:val="24"/>
        </w:rPr>
        <w:t>在包装条件下，按 GB/T 2423.5 “试验 Ea”的相关要求进行。</w:t>
      </w:r>
    </w:p>
    <w:p w14:paraId="69490F8F">
      <w:pPr>
        <w:spacing w:before="160" w:line="360" w:lineRule="auto"/>
        <w:rPr>
          <w:rFonts w:cstheme="minorBidi"/>
          <w:sz w:val="24"/>
          <w:szCs w:val="24"/>
        </w:rPr>
      </w:pPr>
      <w:r>
        <w:rPr>
          <w:rFonts w:hint="eastAsia" w:cstheme="minorBidi"/>
          <w:sz w:val="24"/>
          <w:szCs w:val="24"/>
        </w:rPr>
        <w:t>7.7.2</w:t>
      </w:r>
      <w:r>
        <w:rPr>
          <w:rFonts w:cstheme="minorBidi"/>
          <w:sz w:val="24"/>
          <w:szCs w:val="24"/>
        </w:rPr>
        <w:t xml:space="preserve"> </w:t>
      </w:r>
      <w:r>
        <w:rPr>
          <w:rFonts w:hint="eastAsia" w:cstheme="minorBidi"/>
          <w:sz w:val="24"/>
          <w:szCs w:val="24"/>
        </w:rPr>
        <w:t>振动</w:t>
      </w:r>
    </w:p>
    <w:p w14:paraId="32E6D7DD">
      <w:pPr>
        <w:spacing w:before="160" w:line="360" w:lineRule="auto"/>
        <w:ind w:firstLine="480" w:firstLineChars="200"/>
        <w:rPr>
          <w:rFonts w:cstheme="minorBidi"/>
          <w:sz w:val="24"/>
          <w:szCs w:val="24"/>
        </w:rPr>
      </w:pPr>
      <w:r>
        <w:rPr>
          <w:rFonts w:hint="eastAsia" w:cstheme="minorBidi"/>
          <w:sz w:val="24"/>
          <w:szCs w:val="24"/>
        </w:rPr>
        <w:t>按GB/T 2423.10“试验Fc”相关要求进行。在互相垂直的三个轴向正弦波振动，频率范围为（1～100）Hz、振动幅度0.75 mm，每个轴向1 h。</w:t>
      </w:r>
    </w:p>
    <w:p w14:paraId="5CF3F6E0">
      <w:pPr>
        <w:pStyle w:val="2"/>
        <w:spacing w:before="160" w:after="0" w:line="360" w:lineRule="auto"/>
        <w:rPr>
          <w:iCs/>
          <w:color w:val="000000" w:themeColor="text1"/>
          <w:sz w:val="24"/>
          <w:szCs w:val="21"/>
          <w14:textFill>
            <w14:solidFill>
              <w14:schemeClr w14:val="tx1"/>
            </w14:solidFill>
          </w14:textFill>
        </w:rPr>
      </w:pPr>
      <w:bookmarkStart w:id="173" w:name="_Toc221090921"/>
      <w:r>
        <w:rPr>
          <w:b w:val="0"/>
          <w:iCs/>
          <w:color w:val="000000" w:themeColor="text1"/>
          <w:sz w:val="24"/>
          <w:szCs w:val="21"/>
          <w14:textFill>
            <w14:solidFill>
              <w14:schemeClr w14:val="tx1"/>
            </w14:solidFill>
          </w14:textFill>
        </w:rPr>
        <w:t>7.8</w:t>
      </w:r>
      <w:r>
        <w:rPr>
          <w:rFonts w:hint="eastAsia"/>
          <w:b w:val="0"/>
          <w:iCs/>
          <w:color w:val="000000" w:themeColor="text1"/>
          <w:sz w:val="24"/>
          <w:szCs w:val="21"/>
          <w14:textFill>
            <w14:solidFill>
              <w14:schemeClr w14:val="tx1"/>
            </w14:solidFill>
          </w14:textFill>
        </w:rPr>
        <w:t xml:space="preserve"> 电磁兼容适应性</w:t>
      </w:r>
      <w:bookmarkEnd w:id="173"/>
    </w:p>
    <w:p w14:paraId="1652D50E">
      <w:pPr>
        <w:spacing w:before="160" w:line="360" w:lineRule="auto"/>
        <w:ind w:firstLine="480" w:firstLineChars="200"/>
        <w:rPr>
          <w:rFonts w:cstheme="minorBidi"/>
          <w:sz w:val="24"/>
          <w:szCs w:val="24"/>
        </w:rPr>
      </w:pPr>
      <w:r>
        <w:rPr>
          <w:rFonts w:hint="eastAsia" w:cstheme="minorBidi"/>
          <w:sz w:val="24"/>
          <w:szCs w:val="24"/>
        </w:rPr>
        <w:t>外电源供电的流量计应进行下述</w:t>
      </w:r>
      <w:r>
        <w:rPr>
          <w:rFonts w:cstheme="minorBidi"/>
          <w:sz w:val="24"/>
          <w:szCs w:val="24"/>
        </w:rPr>
        <w:t>电磁兼容</w:t>
      </w:r>
      <w:r>
        <w:rPr>
          <w:rFonts w:hint="eastAsia" w:cstheme="minorBidi"/>
          <w:sz w:val="24"/>
          <w:szCs w:val="24"/>
        </w:rPr>
        <w:t>适应性试验，试验后复测</w:t>
      </w:r>
      <w:r>
        <w:rPr>
          <w:rFonts w:cstheme="minorBidi"/>
          <w:color w:val="EE0000"/>
          <w:sz w:val="24"/>
          <w:szCs w:val="24"/>
        </w:rPr>
        <w:t>0.2</w:t>
      </w:r>
      <w:r>
        <w:rPr>
          <w:rFonts w:cstheme="minorBidi"/>
          <w:i/>
          <w:iCs/>
          <w:color w:val="EE0000"/>
          <w:sz w:val="24"/>
          <w:szCs w:val="24"/>
        </w:rPr>
        <w:t>q</w:t>
      </w:r>
      <w:r>
        <w:rPr>
          <w:rFonts w:cstheme="minorBidi"/>
          <w:color w:val="EE0000"/>
          <w:sz w:val="24"/>
          <w:szCs w:val="24"/>
          <w:vertAlign w:val="subscript"/>
        </w:rPr>
        <w:t>max</w:t>
      </w:r>
      <w:r>
        <w:rPr>
          <w:rFonts w:hint="eastAsia" w:cstheme="minorBidi"/>
          <w:sz w:val="24"/>
          <w:szCs w:val="24"/>
        </w:rPr>
        <w:t>流量点，示值误差不大于流量计最大允许误差。对于只有电池供电的流量计仅需做静电放电抗扰度和射频电磁场辐射抗扰度试验。试验期间流量计允许出现功能和性能暂时丧失，但试验结束后相应功能和性能应能自行恢复或人工恢复，流量计应正常工作，存贮的数据保持不变，外观和功能应符合要求。</w:t>
      </w:r>
    </w:p>
    <w:p w14:paraId="02C44039">
      <w:pPr>
        <w:spacing w:before="160" w:line="360" w:lineRule="auto"/>
        <w:rPr>
          <w:rFonts w:cstheme="minorBidi"/>
          <w:sz w:val="24"/>
          <w:szCs w:val="24"/>
        </w:rPr>
      </w:pPr>
      <w:r>
        <w:rPr>
          <w:rFonts w:hint="eastAsia" w:cstheme="minorBidi"/>
          <w:sz w:val="24"/>
          <w:szCs w:val="24"/>
        </w:rPr>
        <w:t>7</w:t>
      </w:r>
      <w:r>
        <w:rPr>
          <w:rFonts w:cstheme="minorBidi"/>
          <w:sz w:val="24"/>
          <w:szCs w:val="24"/>
        </w:rPr>
        <w:t>.</w:t>
      </w:r>
      <w:r>
        <w:rPr>
          <w:rFonts w:hint="eastAsia" w:cstheme="minorBidi"/>
          <w:sz w:val="24"/>
          <w:szCs w:val="24"/>
        </w:rPr>
        <w:t>8</w:t>
      </w:r>
      <w:r>
        <w:rPr>
          <w:rFonts w:cstheme="minorBidi"/>
          <w:sz w:val="24"/>
          <w:szCs w:val="24"/>
        </w:rPr>
        <w:t>.</w:t>
      </w:r>
      <w:r>
        <w:rPr>
          <w:rFonts w:hint="eastAsia" w:cstheme="minorBidi"/>
          <w:sz w:val="24"/>
          <w:szCs w:val="24"/>
        </w:rPr>
        <w:t>1 静电放电抗扰度</w:t>
      </w:r>
    </w:p>
    <w:p w14:paraId="3DE07EC8">
      <w:pPr>
        <w:spacing w:before="160" w:line="360" w:lineRule="auto"/>
        <w:ind w:firstLine="480" w:firstLineChars="200"/>
        <w:rPr>
          <w:rFonts w:cstheme="minorBidi"/>
          <w:sz w:val="24"/>
          <w:szCs w:val="24"/>
        </w:rPr>
      </w:pPr>
      <w:r>
        <w:rPr>
          <w:rFonts w:hint="eastAsia" w:cstheme="minorBidi"/>
          <w:sz w:val="24"/>
          <w:szCs w:val="24"/>
        </w:rPr>
        <w:t>按 GB/T 17626.2的相关要求进行，试验等级3级。</w:t>
      </w:r>
    </w:p>
    <w:p w14:paraId="686CA1B6">
      <w:pPr>
        <w:spacing w:before="160" w:line="360" w:lineRule="auto"/>
        <w:rPr>
          <w:rFonts w:cstheme="minorBidi"/>
          <w:sz w:val="24"/>
          <w:szCs w:val="24"/>
        </w:rPr>
      </w:pPr>
      <w:r>
        <w:rPr>
          <w:rFonts w:hint="eastAsia" w:cstheme="minorBidi"/>
          <w:sz w:val="24"/>
          <w:szCs w:val="24"/>
        </w:rPr>
        <w:t>7</w:t>
      </w:r>
      <w:r>
        <w:rPr>
          <w:rFonts w:cstheme="minorBidi"/>
          <w:sz w:val="24"/>
          <w:szCs w:val="24"/>
        </w:rPr>
        <w:t>.</w:t>
      </w:r>
      <w:r>
        <w:rPr>
          <w:rFonts w:hint="eastAsia" w:cstheme="minorBidi"/>
          <w:sz w:val="24"/>
          <w:szCs w:val="24"/>
        </w:rPr>
        <w:t>8</w:t>
      </w:r>
      <w:r>
        <w:rPr>
          <w:rFonts w:cstheme="minorBidi"/>
          <w:sz w:val="24"/>
          <w:szCs w:val="24"/>
        </w:rPr>
        <w:t>.</w:t>
      </w:r>
      <w:r>
        <w:rPr>
          <w:rFonts w:hint="eastAsia" w:cstheme="minorBidi"/>
          <w:sz w:val="24"/>
          <w:szCs w:val="24"/>
        </w:rPr>
        <w:t>2 电快速瞬变脉冲群抗扰度</w:t>
      </w:r>
    </w:p>
    <w:p w14:paraId="2A84B8E8">
      <w:pPr>
        <w:spacing w:before="160" w:line="360" w:lineRule="auto"/>
        <w:ind w:firstLine="480" w:firstLineChars="200"/>
        <w:rPr>
          <w:rFonts w:cstheme="minorBidi"/>
          <w:sz w:val="24"/>
          <w:szCs w:val="24"/>
        </w:rPr>
      </w:pPr>
      <w:r>
        <w:rPr>
          <w:rFonts w:hint="eastAsia" w:cstheme="minorBidi"/>
          <w:sz w:val="24"/>
          <w:szCs w:val="24"/>
        </w:rPr>
        <w:t>对于交流外电源供电的流量计，按GB/T 17626.4的相关要求进行，试验等级3级。</w:t>
      </w:r>
    </w:p>
    <w:p w14:paraId="40B66470">
      <w:pPr>
        <w:spacing w:before="160" w:line="360" w:lineRule="auto"/>
        <w:rPr>
          <w:rFonts w:cstheme="minorBidi"/>
          <w:sz w:val="24"/>
          <w:szCs w:val="24"/>
        </w:rPr>
      </w:pPr>
      <w:r>
        <w:rPr>
          <w:rFonts w:cstheme="minorBidi"/>
          <w:sz w:val="24"/>
          <w:szCs w:val="24"/>
        </w:rPr>
        <w:t xml:space="preserve">7.8.3 </w:t>
      </w:r>
      <w:r>
        <w:rPr>
          <w:rFonts w:hint="eastAsia" w:cstheme="minorBidi"/>
          <w:sz w:val="24"/>
          <w:szCs w:val="24"/>
        </w:rPr>
        <w:t>浪涌（冲击）抗扰度</w:t>
      </w:r>
    </w:p>
    <w:p w14:paraId="3037F375">
      <w:pPr>
        <w:spacing w:before="160" w:line="360" w:lineRule="auto"/>
        <w:ind w:firstLine="480" w:firstLineChars="200"/>
        <w:rPr>
          <w:rFonts w:cstheme="minorBidi"/>
          <w:sz w:val="24"/>
          <w:szCs w:val="24"/>
        </w:rPr>
      </w:pPr>
      <w:r>
        <w:rPr>
          <w:rFonts w:hint="eastAsia" w:cstheme="minorBidi"/>
          <w:sz w:val="24"/>
          <w:szCs w:val="24"/>
        </w:rPr>
        <w:t>具有对外信号、数据和控制线接口的流量计，按</w:t>
      </w:r>
      <w:r>
        <w:rPr>
          <w:rFonts w:cstheme="minorBidi"/>
          <w:sz w:val="24"/>
          <w:szCs w:val="24"/>
        </w:rPr>
        <w:t>GB/T 17626.5</w:t>
      </w:r>
      <w:r>
        <w:rPr>
          <w:rFonts w:hint="eastAsia" w:cstheme="minorBidi"/>
          <w:sz w:val="24"/>
          <w:szCs w:val="24"/>
        </w:rPr>
        <w:t>的相关要求进行，试验等级为：</w:t>
      </w:r>
    </w:p>
    <w:p w14:paraId="6D839004">
      <w:pPr>
        <w:spacing w:before="160" w:line="360" w:lineRule="auto"/>
        <w:ind w:firstLine="480" w:firstLineChars="200"/>
        <w:rPr>
          <w:rFonts w:cstheme="minorBidi"/>
          <w:sz w:val="24"/>
          <w:szCs w:val="24"/>
        </w:rPr>
      </w:pPr>
      <w:r>
        <w:rPr>
          <w:rFonts w:hint="eastAsia" w:cstheme="minorBidi"/>
          <w:sz w:val="24"/>
          <w:szCs w:val="24"/>
        </w:rPr>
        <w:t>a）非对称线：线对线</w:t>
      </w:r>
      <w:r>
        <w:rPr>
          <w:rFonts w:cstheme="minorBidi"/>
          <w:sz w:val="24"/>
          <w:szCs w:val="24"/>
        </w:rPr>
        <w:t>1</w:t>
      </w:r>
      <w:r>
        <w:rPr>
          <w:rFonts w:hint="eastAsia" w:cstheme="minorBidi"/>
          <w:sz w:val="24"/>
          <w:szCs w:val="24"/>
        </w:rPr>
        <w:t>级，线对地</w:t>
      </w:r>
      <w:r>
        <w:rPr>
          <w:rFonts w:cstheme="minorBidi"/>
          <w:sz w:val="24"/>
          <w:szCs w:val="24"/>
        </w:rPr>
        <w:t>2</w:t>
      </w:r>
      <w:r>
        <w:rPr>
          <w:rFonts w:hint="eastAsia" w:cstheme="minorBidi"/>
          <w:sz w:val="24"/>
          <w:szCs w:val="24"/>
        </w:rPr>
        <w:t>级；</w:t>
      </w:r>
    </w:p>
    <w:p w14:paraId="6B38D25A">
      <w:pPr>
        <w:spacing w:before="160" w:line="360" w:lineRule="auto"/>
        <w:ind w:firstLine="480" w:firstLineChars="200"/>
        <w:rPr>
          <w:rFonts w:cstheme="minorBidi"/>
          <w:sz w:val="24"/>
          <w:szCs w:val="24"/>
        </w:rPr>
      </w:pPr>
      <w:r>
        <w:rPr>
          <w:rFonts w:hint="eastAsia" w:cstheme="minorBidi"/>
          <w:sz w:val="24"/>
          <w:szCs w:val="24"/>
        </w:rPr>
        <w:t>b）对称线：线对线不适用，线对地</w:t>
      </w:r>
      <w:r>
        <w:rPr>
          <w:rFonts w:cstheme="minorBidi"/>
          <w:sz w:val="24"/>
          <w:szCs w:val="24"/>
        </w:rPr>
        <w:t>2</w:t>
      </w:r>
      <w:r>
        <w:rPr>
          <w:rFonts w:hint="eastAsia" w:cstheme="minorBidi"/>
          <w:sz w:val="24"/>
          <w:szCs w:val="24"/>
        </w:rPr>
        <w:t>级；</w:t>
      </w:r>
    </w:p>
    <w:p w14:paraId="7DEAABEC">
      <w:pPr>
        <w:spacing w:before="160" w:line="360" w:lineRule="auto"/>
        <w:ind w:firstLine="480" w:firstLineChars="200"/>
        <w:rPr>
          <w:rFonts w:cstheme="minorBidi"/>
          <w:sz w:val="24"/>
          <w:szCs w:val="24"/>
        </w:rPr>
      </w:pPr>
      <w:r>
        <w:rPr>
          <w:rFonts w:hint="eastAsia" w:cstheme="minorBidi"/>
          <w:sz w:val="24"/>
          <w:szCs w:val="24"/>
        </w:rPr>
        <w:t>c）带屏蔽的</w:t>
      </w:r>
      <w:r>
        <w:rPr>
          <w:rFonts w:cstheme="minorBidi"/>
          <w:sz w:val="24"/>
          <w:szCs w:val="24"/>
        </w:rPr>
        <w:t>I/O</w:t>
      </w:r>
      <w:r>
        <w:rPr>
          <w:rFonts w:hint="eastAsia" w:cstheme="minorBidi"/>
          <w:sz w:val="24"/>
          <w:szCs w:val="24"/>
        </w:rPr>
        <w:t>和通讯线：线对线不适用，线对地</w:t>
      </w:r>
      <w:r>
        <w:rPr>
          <w:rFonts w:cstheme="minorBidi"/>
          <w:sz w:val="24"/>
          <w:szCs w:val="24"/>
        </w:rPr>
        <w:t>1</w:t>
      </w:r>
      <w:r>
        <w:rPr>
          <w:rFonts w:hint="eastAsia" w:cstheme="minorBidi"/>
          <w:sz w:val="24"/>
          <w:szCs w:val="24"/>
        </w:rPr>
        <w:t>级。</w:t>
      </w:r>
    </w:p>
    <w:p w14:paraId="2ED265DC">
      <w:pPr>
        <w:spacing w:before="160" w:line="360" w:lineRule="auto"/>
        <w:rPr>
          <w:rFonts w:cstheme="minorBidi"/>
          <w:sz w:val="24"/>
          <w:szCs w:val="24"/>
        </w:rPr>
      </w:pPr>
      <w:r>
        <w:rPr>
          <w:rFonts w:hint="eastAsia" w:cstheme="minorBidi"/>
          <w:sz w:val="24"/>
          <w:szCs w:val="24"/>
        </w:rPr>
        <w:t>7</w:t>
      </w:r>
      <w:r>
        <w:rPr>
          <w:rFonts w:cstheme="minorBidi"/>
          <w:sz w:val="24"/>
          <w:szCs w:val="24"/>
        </w:rPr>
        <w:t>.</w:t>
      </w:r>
      <w:r>
        <w:rPr>
          <w:rFonts w:hint="eastAsia" w:cstheme="minorBidi"/>
          <w:sz w:val="24"/>
          <w:szCs w:val="24"/>
        </w:rPr>
        <w:t>8</w:t>
      </w:r>
      <w:r>
        <w:rPr>
          <w:rFonts w:cstheme="minorBidi"/>
          <w:sz w:val="24"/>
          <w:szCs w:val="24"/>
        </w:rPr>
        <w:t>.</w:t>
      </w:r>
      <w:r>
        <w:rPr>
          <w:rFonts w:hint="eastAsia" w:cstheme="minorBidi"/>
          <w:sz w:val="24"/>
          <w:szCs w:val="24"/>
        </w:rPr>
        <w:t>4 电压暂降和短时中断抗扰度</w:t>
      </w:r>
    </w:p>
    <w:p w14:paraId="589A7CC4">
      <w:pPr>
        <w:spacing w:before="160" w:line="360" w:lineRule="auto"/>
        <w:ind w:firstLine="480" w:firstLineChars="200"/>
        <w:rPr>
          <w:rFonts w:cstheme="minorBidi"/>
          <w:sz w:val="24"/>
          <w:szCs w:val="24"/>
        </w:rPr>
      </w:pPr>
      <w:bookmarkStart w:id="174" w:name="_Toc3711"/>
      <w:r>
        <w:rPr>
          <w:rFonts w:hint="eastAsia" w:cstheme="minorBidi"/>
          <w:sz w:val="24"/>
          <w:szCs w:val="24"/>
        </w:rPr>
        <w:t>对具有交流外电源的流量计，按GB/T 17626.11的相关要求进行，具体试验等级和步骤参照GB/T 32201-2015的B.7.2执行。</w:t>
      </w:r>
    </w:p>
    <w:bookmarkEnd w:id="174"/>
    <w:p w14:paraId="2A3A1130">
      <w:pPr>
        <w:pStyle w:val="2"/>
        <w:spacing w:before="160" w:after="0" w:line="360" w:lineRule="auto"/>
        <w:rPr>
          <w:iCs/>
          <w:color w:val="000000" w:themeColor="text1"/>
          <w:szCs w:val="21"/>
          <w14:textFill>
            <w14:solidFill>
              <w14:schemeClr w14:val="tx1"/>
            </w14:solidFill>
          </w14:textFill>
        </w:rPr>
      </w:pPr>
      <w:bookmarkStart w:id="175" w:name="_Toc130468531"/>
      <w:bookmarkStart w:id="176" w:name="_Toc221090922"/>
      <w:bookmarkStart w:id="177" w:name="_Toc2112"/>
      <w:bookmarkStart w:id="178" w:name="_Toc3212"/>
      <w:bookmarkStart w:id="179" w:name="_Toc31545"/>
      <w:bookmarkStart w:id="180" w:name="_Toc28217"/>
      <w:bookmarkStart w:id="181" w:name="_Toc7254"/>
      <w:bookmarkStart w:id="182" w:name="OLE_LINK2"/>
      <w:r>
        <w:rPr>
          <w:b w:val="0"/>
          <w:iCs/>
          <w:color w:val="000000" w:themeColor="text1"/>
          <w:sz w:val="24"/>
          <w:szCs w:val="21"/>
          <w14:textFill>
            <w14:solidFill>
              <w14:schemeClr w14:val="tx1"/>
            </w14:solidFill>
          </w14:textFill>
        </w:rPr>
        <w:t>7.</w:t>
      </w:r>
      <w:r>
        <w:rPr>
          <w:rFonts w:hint="eastAsia"/>
          <w:b w:val="0"/>
          <w:iCs/>
          <w:color w:val="000000" w:themeColor="text1"/>
          <w:sz w:val="24"/>
          <w:szCs w:val="21"/>
          <w14:textFill>
            <w14:solidFill>
              <w14:schemeClr w14:val="tx1"/>
            </w14:solidFill>
          </w14:textFill>
        </w:rPr>
        <w:t>9 流体扰动</w:t>
      </w:r>
      <w:bookmarkEnd w:id="175"/>
      <w:bookmarkEnd w:id="176"/>
      <w:bookmarkEnd w:id="177"/>
      <w:bookmarkEnd w:id="178"/>
      <w:bookmarkEnd w:id="179"/>
      <w:bookmarkEnd w:id="180"/>
      <w:bookmarkEnd w:id="181"/>
    </w:p>
    <w:p w14:paraId="10B23761">
      <w:pPr>
        <w:spacing w:before="160" w:line="360" w:lineRule="auto"/>
        <w:ind w:firstLine="480" w:firstLineChars="200"/>
        <w:rPr>
          <w:color w:val="FF0000"/>
          <w:szCs w:val="24"/>
        </w:rPr>
      </w:pPr>
      <w:r>
        <w:rPr>
          <w:rFonts w:cstheme="minorBidi"/>
          <w:sz w:val="24"/>
          <w:szCs w:val="24"/>
        </w:rPr>
        <w:t xml:space="preserve"> </w:t>
      </w:r>
      <w:bookmarkStart w:id="183" w:name="_Toc8554"/>
      <w:bookmarkStart w:id="184" w:name="_Toc10557"/>
      <w:bookmarkStart w:id="185" w:name="_Toc130468532"/>
      <w:bookmarkStart w:id="186" w:name="_Toc30233"/>
      <w:bookmarkStart w:id="187" w:name="_Toc3368"/>
      <w:bookmarkStart w:id="188" w:name="_Toc13743"/>
      <w:r>
        <w:rPr>
          <w:rFonts w:hint="eastAsia" w:cstheme="minorBidi"/>
          <w:sz w:val="24"/>
          <w:szCs w:val="24"/>
        </w:rPr>
        <w:t>由流体扰动引起的误差变化不应超过最大允许误差的</w:t>
      </w:r>
      <w:r>
        <w:rPr>
          <w:rFonts w:cstheme="minorBidi"/>
          <w:sz w:val="24"/>
          <w:szCs w:val="24"/>
        </w:rPr>
        <w:t>1/3</w:t>
      </w:r>
      <w:r>
        <w:rPr>
          <w:rFonts w:hint="eastAsia" w:cstheme="minorBidi"/>
          <w:sz w:val="24"/>
          <w:szCs w:val="24"/>
        </w:rPr>
        <w:t>。如果流量计生产商对安装管段有要求，或规定了最小上游直管段长度</w:t>
      </w:r>
      <w:r>
        <w:rPr>
          <w:rFonts w:cstheme="minorBidi"/>
          <w:i/>
          <w:iCs/>
          <w:sz w:val="24"/>
          <w:szCs w:val="24"/>
        </w:rPr>
        <w:t>L</w:t>
      </w:r>
      <w:r>
        <w:rPr>
          <w:rFonts w:cstheme="minorBidi"/>
          <w:sz w:val="24"/>
          <w:szCs w:val="24"/>
          <w:vertAlign w:val="subscript"/>
        </w:rPr>
        <w:t>min</w:t>
      </w:r>
      <w:r>
        <w:rPr>
          <w:rFonts w:hint="eastAsia" w:cstheme="minorBidi"/>
          <w:sz w:val="24"/>
          <w:szCs w:val="24"/>
        </w:rPr>
        <w:t>，以改善流体扰动影响，则流量计上应有相应的标识或说明书中有相应的说明。</w:t>
      </w:r>
      <w:bookmarkEnd w:id="183"/>
      <w:bookmarkEnd w:id="184"/>
      <w:bookmarkEnd w:id="185"/>
      <w:bookmarkEnd w:id="186"/>
      <w:bookmarkEnd w:id="187"/>
      <w:bookmarkEnd w:id="188"/>
    </w:p>
    <w:bookmarkEnd w:id="182"/>
    <w:p w14:paraId="20034F05">
      <w:pPr>
        <w:pStyle w:val="2"/>
        <w:spacing w:before="160" w:after="0" w:line="360" w:lineRule="auto"/>
        <w:rPr>
          <w:iCs/>
          <w:color w:val="000000" w:themeColor="text1"/>
          <w:szCs w:val="21"/>
          <w14:textFill>
            <w14:solidFill>
              <w14:schemeClr w14:val="tx1"/>
            </w14:solidFill>
          </w14:textFill>
        </w:rPr>
      </w:pPr>
      <w:bookmarkStart w:id="189" w:name="_Toc17984"/>
      <w:bookmarkStart w:id="190" w:name="_Toc221090923"/>
      <w:bookmarkStart w:id="191" w:name="_Toc185070209"/>
      <w:r>
        <w:rPr>
          <w:b w:val="0"/>
          <w:iCs/>
          <w:color w:val="000000" w:themeColor="text1"/>
          <w:sz w:val="24"/>
          <w:szCs w:val="21"/>
          <w14:textFill>
            <w14:solidFill>
              <w14:schemeClr w14:val="tx1"/>
            </w14:solidFill>
          </w14:textFill>
        </w:rPr>
        <w:t>7.1</w:t>
      </w:r>
      <w:r>
        <w:rPr>
          <w:rFonts w:hint="eastAsia"/>
          <w:b w:val="0"/>
          <w:iCs/>
          <w:color w:val="000000" w:themeColor="text1"/>
          <w:sz w:val="24"/>
          <w:szCs w:val="21"/>
          <w14:textFill>
            <w14:solidFill>
              <w14:schemeClr w14:val="tx1"/>
            </w14:solidFill>
          </w14:textFill>
        </w:rPr>
        <w:t>0软件标识管理要求</w:t>
      </w:r>
      <w:bookmarkEnd w:id="189"/>
      <w:bookmarkEnd w:id="190"/>
      <w:bookmarkEnd w:id="191"/>
    </w:p>
    <w:p w14:paraId="39FB30EF">
      <w:pPr>
        <w:spacing w:before="160" w:line="360" w:lineRule="auto"/>
        <w:ind w:firstLine="480" w:firstLineChars="200"/>
        <w:rPr>
          <w:rFonts w:cstheme="minorBidi"/>
          <w:sz w:val="24"/>
          <w:szCs w:val="24"/>
        </w:rPr>
      </w:pPr>
      <w:r>
        <w:rPr>
          <w:rFonts w:hint="eastAsia" w:cstheme="minorBidi"/>
          <w:sz w:val="24"/>
          <w:szCs w:val="24"/>
        </w:rPr>
        <w:t>流量计应用软件应符合JJF 1182-2021要求。流量计的应用软件以及计量相关参数的变更应能通过软件标识查验，保证能够识别和控制其变化。</w:t>
      </w:r>
    </w:p>
    <w:p w14:paraId="74910A8D">
      <w:pPr>
        <w:spacing w:before="160" w:line="360" w:lineRule="auto"/>
        <w:ind w:firstLine="480" w:firstLineChars="200"/>
        <w:rPr>
          <w:rFonts w:cstheme="minorBidi"/>
          <w:sz w:val="24"/>
          <w:szCs w:val="24"/>
        </w:rPr>
      </w:pPr>
      <w:r>
        <w:rPr>
          <w:rFonts w:hint="eastAsia" w:cstheme="minorBidi"/>
          <w:sz w:val="24"/>
          <w:szCs w:val="24"/>
        </w:rPr>
        <w:t>生产厂应提供软件标识符，并描述其创建方式、保护方式、呈现方式和结构，以管理和维护软件标识符。</w:t>
      </w:r>
    </w:p>
    <w:p w14:paraId="7B4EB93B">
      <w:pPr>
        <w:pStyle w:val="2"/>
        <w:spacing w:before="160" w:after="0" w:line="360" w:lineRule="auto"/>
        <w:rPr>
          <w:iCs/>
          <w:color w:val="000000" w:themeColor="text1"/>
          <w:sz w:val="24"/>
          <w:szCs w:val="21"/>
          <w14:textFill>
            <w14:solidFill>
              <w14:schemeClr w14:val="tx1"/>
            </w14:solidFill>
          </w14:textFill>
        </w:rPr>
      </w:pPr>
      <w:bookmarkStart w:id="192" w:name="_Toc221090924"/>
      <w:bookmarkStart w:id="193" w:name="_Toc22291"/>
      <w:r>
        <w:rPr>
          <w:b w:val="0"/>
          <w:iCs/>
          <w:color w:val="000000" w:themeColor="text1"/>
          <w:sz w:val="24"/>
          <w:szCs w:val="21"/>
          <w14:textFill>
            <w14:solidFill>
              <w14:schemeClr w14:val="tx1"/>
            </w14:solidFill>
          </w14:textFill>
        </w:rPr>
        <w:t>7.1</w:t>
      </w:r>
      <w:r>
        <w:rPr>
          <w:rFonts w:hint="eastAsia"/>
          <w:b w:val="0"/>
          <w:iCs/>
          <w:color w:val="000000" w:themeColor="text1"/>
          <w:sz w:val="24"/>
          <w:szCs w:val="21"/>
          <w14:textFill>
            <w14:solidFill>
              <w14:schemeClr w14:val="tx1"/>
            </w14:solidFill>
          </w14:textFill>
        </w:rPr>
        <w:t>1</w:t>
      </w:r>
      <w:r>
        <w:rPr>
          <w:b w:val="0"/>
          <w:iCs/>
          <w:color w:val="000000" w:themeColor="text1"/>
          <w:sz w:val="24"/>
          <w:szCs w:val="21"/>
          <w14:textFill>
            <w14:solidFill>
              <w14:schemeClr w14:val="tx1"/>
            </w14:solidFill>
          </w14:textFill>
        </w:rPr>
        <w:t xml:space="preserve"> </w:t>
      </w:r>
      <w:r>
        <w:rPr>
          <w:rFonts w:hint="eastAsia"/>
          <w:b w:val="0"/>
          <w:iCs/>
          <w:color w:val="000000" w:themeColor="text1"/>
          <w:sz w:val="24"/>
          <w:szCs w:val="21"/>
          <w14:textFill>
            <w14:solidFill>
              <w14:schemeClr w14:val="tx1"/>
            </w14:solidFill>
          </w14:textFill>
        </w:rPr>
        <w:t>计量性能复测</w:t>
      </w:r>
      <w:bookmarkEnd w:id="192"/>
      <w:bookmarkEnd w:id="193"/>
    </w:p>
    <w:p w14:paraId="16250FF0">
      <w:pPr>
        <w:spacing w:before="160" w:line="360" w:lineRule="auto"/>
        <w:ind w:firstLine="480" w:firstLineChars="200"/>
        <w:rPr>
          <w:rFonts w:cstheme="minorBidi"/>
          <w:sz w:val="24"/>
          <w:szCs w:val="24"/>
        </w:rPr>
      </w:pPr>
      <w:r>
        <w:rPr>
          <w:rFonts w:cstheme="minorBidi"/>
          <w:sz w:val="24"/>
          <w:szCs w:val="24"/>
        </w:rPr>
        <w:t>在安全性能</w:t>
      </w:r>
      <w:r>
        <w:rPr>
          <w:rFonts w:hint="eastAsia" w:cstheme="minorBidi"/>
          <w:sz w:val="24"/>
          <w:szCs w:val="24"/>
        </w:rPr>
        <w:t>、贮存环境适应性、</w:t>
      </w:r>
      <w:r>
        <w:rPr>
          <w:rFonts w:cstheme="minorBidi"/>
          <w:sz w:val="24"/>
          <w:szCs w:val="24"/>
        </w:rPr>
        <w:t>电磁兼容</w:t>
      </w:r>
      <w:r>
        <w:rPr>
          <w:rFonts w:hint="eastAsia" w:cstheme="minorBidi"/>
          <w:sz w:val="24"/>
          <w:szCs w:val="24"/>
        </w:rPr>
        <w:t>适应性</w:t>
      </w:r>
      <w:r>
        <w:rPr>
          <w:rFonts w:cstheme="minorBidi"/>
          <w:sz w:val="24"/>
          <w:szCs w:val="24"/>
        </w:rPr>
        <w:t>试验后对流量计的计量性能进行复测，流量计的</w:t>
      </w:r>
      <w:r>
        <w:rPr>
          <w:rFonts w:hint="eastAsia" w:cstheme="minorBidi"/>
          <w:sz w:val="24"/>
          <w:szCs w:val="24"/>
        </w:rPr>
        <w:t>示值</w:t>
      </w:r>
      <w:r>
        <w:rPr>
          <w:rFonts w:cstheme="minorBidi"/>
          <w:sz w:val="24"/>
          <w:szCs w:val="24"/>
        </w:rPr>
        <w:t>误差和重复性分别应符合6.1、6.2要求。</w:t>
      </w:r>
    </w:p>
    <w:p w14:paraId="26E11546">
      <w:pPr>
        <w:pStyle w:val="36"/>
        <w:spacing w:line="259" w:lineRule="auto"/>
        <w:jc w:val="left"/>
        <w:rPr>
          <w:rFonts w:hint="eastAsia" w:ascii="宋体" w:hAnsi="宋体" w:eastAsia="黑体"/>
          <w:color w:val="000000" w:themeColor="text1"/>
          <w:sz w:val="24"/>
          <w14:textFill>
            <w14:solidFill>
              <w14:schemeClr w14:val="tx1"/>
            </w14:solidFill>
          </w14:textFill>
        </w:rPr>
      </w:pPr>
      <w:bookmarkStart w:id="194" w:name="_Toc291956073"/>
      <w:bookmarkStart w:id="195" w:name="_Toc265054861"/>
      <w:bookmarkStart w:id="196" w:name="_Toc501210801"/>
      <w:bookmarkStart w:id="197" w:name="_Toc185070210"/>
      <w:bookmarkStart w:id="198" w:name="_Toc457807269"/>
      <w:bookmarkStart w:id="199" w:name="_Toc26251"/>
      <w:bookmarkStart w:id="200" w:name="_Toc457808594"/>
      <w:bookmarkStart w:id="201" w:name="_Toc457808132"/>
      <w:bookmarkStart w:id="202" w:name="_Toc221090925"/>
      <w:r>
        <w:rPr>
          <w:rFonts w:ascii="Times New Roman" w:hAnsi="Times New Roman" w:eastAsia="黑体" w:cs="Times New Roman"/>
          <w:color w:val="000000" w:themeColor="text1"/>
          <w:sz w:val="24"/>
          <w14:textFill>
            <w14:solidFill>
              <w14:schemeClr w14:val="tx1"/>
            </w14:solidFill>
          </w14:textFill>
        </w:rPr>
        <w:t>8</w:t>
      </w:r>
      <w:r>
        <w:rPr>
          <w:rFonts w:hint="eastAsia" w:ascii="宋体" w:hAnsi="宋体" w:cs="Times New Roman"/>
          <w:color w:val="000000" w:themeColor="text1"/>
          <w14:textFill>
            <w14:solidFill>
              <w14:schemeClr w14:val="tx1"/>
            </w14:solidFill>
          </w14:textFill>
        </w:rPr>
        <w:t xml:space="preserve"> </w:t>
      </w:r>
      <w:r>
        <w:rPr>
          <w:rFonts w:hint="eastAsia" w:ascii="宋体" w:hAnsi="宋体" w:eastAsia="黑体" w:cs="Times New Roman"/>
          <w:color w:val="000000" w:themeColor="text1"/>
          <w:sz w:val="24"/>
          <w14:textFill>
            <w14:solidFill>
              <w14:schemeClr w14:val="tx1"/>
            </w14:solidFill>
          </w14:textFill>
        </w:rPr>
        <w:t>型式评价项目</w:t>
      </w:r>
      <w:bookmarkEnd w:id="194"/>
      <w:bookmarkEnd w:id="195"/>
      <w:r>
        <w:rPr>
          <w:rFonts w:hint="eastAsia" w:ascii="宋体" w:hAnsi="宋体" w:eastAsia="黑体" w:cs="Times New Roman"/>
          <w:color w:val="000000" w:themeColor="text1"/>
          <w:sz w:val="24"/>
          <w14:textFill>
            <w14:solidFill>
              <w14:schemeClr w14:val="tx1"/>
            </w14:solidFill>
          </w14:textFill>
        </w:rPr>
        <w:t>一览表</w:t>
      </w:r>
      <w:bookmarkEnd w:id="196"/>
      <w:bookmarkEnd w:id="197"/>
      <w:bookmarkEnd w:id="198"/>
      <w:bookmarkEnd w:id="199"/>
      <w:bookmarkEnd w:id="200"/>
      <w:bookmarkEnd w:id="201"/>
      <w:bookmarkEnd w:id="202"/>
    </w:p>
    <w:p w14:paraId="23F9E2EB">
      <w:pPr>
        <w:spacing w:before="160" w:line="360" w:lineRule="auto"/>
        <w:ind w:firstLine="480" w:firstLineChars="200"/>
        <w:rPr>
          <w:rFonts w:cstheme="minorBidi"/>
          <w:sz w:val="24"/>
          <w:szCs w:val="24"/>
        </w:rPr>
      </w:pPr>
      <w:r>
        <w:rPr>
          <w:rFonts w:cstheme="minorBidi"/>
          <w:sz w:val="24"/>
          <w:szCs w:val="24"/>
        </w:rPr>
        <w:t>流量计型式评价项目见表</w:t>
      </w:r>
      <w:r>
        <w:rPr>
          <w:rFonts w:hint="eastAsia" w:cstheme="minorBidi"/>
          <w:sz w:val="24"/>
          <w:szCs w:val="24"/>
        </w:rPr>
        <w:t>6。</w:t>
      </w:r>
    </w:p>
    <w:p w14:paraId="44830599">
      <w:pPr>
        <w:spacing w:before="160" w:line="360" w:lineRule="auto"/>
        <w:ind w:firstLine="480" w:firstLineChars="200"/>
        <w:rPr>
          <w:rFonts w:cstheme="minorBidi"/>
          <w:sz w:val="24"/>
          <w:szCs w:val="24"/>
        </w:rPr>
      </w:pPr>
      <w:r>
        <w:rPr>
          <w:rFonts w:hint="eastAsia" w:cstheme="minorBidi"/>
          <w:sz w:val="24"/>
          <w:szCs w:val="24"/>
        </w:rPr>
        <w:t>型式评价项目表中观察项目采用目测的方法进行评价，试验项目采用试验的方法进行评价。</w:t>
      </w:r>
    </w:p>
    <w:p w14:paraId="717A8935">
      <w:pPr>
        <w:spacing w:before="160" w:line="360" w:lineRule="auto"/>
        <w:jc w:val="center"/>
        <w:rPr>
          <w:color w:val="000000"/>
          <w:sz w:val="24"/>
          <w:szCs w:val="32"/>
        </w:rPr>
      </w:pPr>
      <w:r>
        <w:rPr>
          <w:rFonts w:hint="eastAsia"/>
          <w:color w:val="000000"/>
          <w:sz w:val="24"/>
          <w:szCs w:val="32"/>
        </w:rPr>
        <w:t>表</w:t>
      </w:r>
      <w:r>
        <w:rPr>
          <w:color w:val="000000"/>
          <w:sz w:val="24"/>
          <w:szCs w:val="32"/>
        </w:rPr>
        <w:t>6</w:t>
      </w:r>
      <w:r>
        <w:rPr>
          <w:rFonts w:hint="eastAsia"/>
          <w:color w:val="000000"/>
          <w:sz w:val="24"/>
          <w:szCs w:val="32"/>
        </w:rPr>
        <w:t xml:space="preserve"> 流量计型式评价项目一览表</w:t>
      </w:r>
    </w:p>
    <w:tbl>
      <w:tblPr>
        <w:tblStyle w:val="38"/>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52"/>
        <w:gridCol w:w="862"/>
        <w:gridCol w:w="1568"/>
        <w:gridCol w:w="1182"/>
        <w:gridCol w:w="1136"/>
        <w:gridCol w:w="1208"/>
        <w:gridCol w:w="1254"/>
        <w:gridCol w:w="1235"/>
      </w:tblGrid>
      <w:tr w14:paraId="77B64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blHeader/>
          <w:jc w:val="center"/>
        </w:trPr>
        <w:tc>
          <w:tcPr>
            <w:tcW w:w="307" w:type="pct"/>
            <w:tcBorders>
              <w:top w:val="single" w:color="000000" w:sz="4" w:space="0"/>
              <w:left w:val="single" w:color="000000" w:sz="4" w:space="0"/>
              <w:bottom w:val="single" w:color="000000" w:sz="4" w:space="0"/>
              <w:right w:val="single" w:color="000000" w:sz="4" w:space="0"/>
            </w:tcBorders>
            <w:vAlign w:val="center"/>
          </w:tcPr>
          <w:p w14:paraId="04EEB32A">
            <w:pPr>
              <w:jc w:val="center"/>
              <w:rPr>
                <w:kern w:val="0"/>
                <w:szCs w:val="21"/>
              </w:rPr>
            </w:pPr>
            <w:r>
              <w:rPr>
                <w:rFonts w:hint="eastAsia"/>
                <w:kern w:val="0"/>
                <w:szCs w:val="21"/>
              </w:rPr>
              <w:t>序  号</w:t>
            </w:r>
          </w:p>
        </w:tc>
        <w:tc>
          <w:tcPr>
            <w:tcW w:w="1350" w:type="pct"/>
            <w:gridSpan w:val="2"/>
            <w:tcBorders>
              <w:top w:val="single" w:color="000000" w:sz="4" w:space="0"/>
              <w:left w:val="single" w:color="000000" w:sz="4" w:space="0"/>
              <w:bottom w:val="single" w:color="auto" w:sz="4" w:space="0"/>
              <w:right w:val="single" w:color="000000" w:sz="4" w:space="0"/>
            </w:tcBorders>
            <w:vAlign w:val="center"/>
          </w:tcPr>
          <w:p w14:paraId="545BFDF1">
            <w:pPr>
              <w:jc w:val="center"/>
              <w:rPr>
                <w:kern w:val="0"/>
                <w:szCs w:val="21"/>
              </w:rPr>
            </w:pPr>
            <w:r>
              <w:rPr>
                <w:kern w:val="0"/>
                <w:szCs w:val="21"/>
              </w:rPr>
              <w:t>项目名称</w:t>
            </w:r>
          </w:p>
        </w:tc>
        <w:tc>
          <w:tcPr>
            <w:tcW w:w="656" w:type="pct"/>
            <w:tcBorders>
              <w:top w:val="single" w:color="000000" w:sz="4" w:space="0"/>
              <w:left w:val="single" w:color="000000" w:sz="4" w:space="0"/>
              <w:bottom w:val="single" w:color="000000" w:sz="4" w:space="0"/>
              <w:right w:val="single" w:color="auto" w:sz="4" w:space="0"/>
            </w:tcBorders>
            <w:vAlign w:val="center"/>
          </w:tcPr>
          <w:p w14:paraId="6829DC6B">
            <w:pPr>
              <w:jc w:val="center"/>
              <w:rPr>
                <w:kern w:val="0"/>
                <w:szCs w:val="21"/>
              </w:rPr>
            </w:pPr>
            <w:r>
              <w:rPr>
                <w:rFonts w:hint="eastAsia"/>
                <w:kern w:val="0"/>
                <w:szCs w:val="21"/>
              </w:rPr>
              <w:t>技术要求</w:t>
            </w:r>
          </w:p>
        </w:tc>
        <w:tc>
          <w:tcPr>
            <w:tcW w:w="631" w:type="pct"/>
            <w:tcBorders>
              <w:top w:val="single" w:color="000000" w:sz="4" w:space="0"/>
              <w:left w:val="single" w:color="auto" w:sz="4" w:space="0"/>
              <w:bottom w:val="single" w:color="000000" w:sz="4" w:space="0"/>
              <w:right w:val="single" w:color="auto" w:sz="4" w:space="0"/>
            </w:tcBorders>
            <w:vAlign w:val="center"/>
          </w:tcPr>
          <w:p w14:paraId="28F9D4DB">
            <w:pPr>
              <w:jc w:val="center"/>
              <w:rPr>
                <w:kern w:val="0"/>
                <w:szCs w:val="21"/>
              </w:rPr>
            </w:pPr>
            <w:r>
              <w:rPr>
                <w:rFonts w:hint="eastAsia"/>
                <w:kern w:val="0"/>
                <w:szCs w:val="21"/>
              </w:rPr>
              <w:t>评价方法</w:t>
            </w:r>
          </w:p>
        </w:tc>
        <w:tc>
          <w:tcPr>
            <w:tcW w:w="671" w:type="pct"/>
            <w:tcBorders>
              <w:top w:val="single" w:color="000000" w:sz="4" w:space="0"/>
              <w:left w:val="single" w:color="auto" w:sz="4" w:space="0"/>
              <w:bottom w:val="single" w:color="000000" w:sz="4" w:space="0"/>
              <w:right w:val="single" w:color="000000" w:sz="4" w:space="0"/>
            </w:tcBorders>
            <w:vAlign w:val="center"/>
          </w:tcPr>
          <w:p w14:paraId="1367A330">
            <w:pPr>
              <w:jc w:val="center"/>
              <w:rPr>
                <w:kern w:val="0"/>
                <w:szCs w:val="21"/>
              </w:rPr>
            </w:pPr>
            <w:r>
              <w:rPr>
                <w:rFonts w:hint="eastAsia"/>
                <w:kern w:val="0"/>
                <w:szCs w:val="21"/>
              </w:rPr>
              <w:t>评价方式</w:t>
            </w:r>
          </w:p>
        </w:tc>
        <w:tc>
          <w:tcPr>
            <w:tcW w:w="695" w:type="pct"/>
            <w:tcBorders>
              <w:top w:val="single" w:color="000000" w:sz="4" w:space="0"/>
              <w:left w:val="single" w:color="000000" w:sz="4" w:space="0"/>
              <w:bottom w:val="single" w:color="000000" w:sz="4" w:space="0"/>
              <w:right w:val="single" w:color="000000" w:sz="4" w:space="0"/>
            </w:tcBorders>
            <w:vAlign w:val="center"/>
          </w:tcPr>
          <w:p w14:paraId="09EC22CF">
            <w:pPr>
              <w:jc w:val="center"/>
              <w:rPr>
                <w:kern w:val="0"/>
                <w:szCs w:val="21"/>
              </w:rPr>
            </w:pPr>
            <w:r>
              <w:rPr>
                <w:rFonts w:hint="eastAsia"/>
                <w:kern w:val="0"/>
                <w:szCs w:val="21"/>
              </w:rPr>
              <w:t>样机数量</w:t>
            </w:r>
          </w:p>
        </w:tc>
        <w:tc>
          <w:tcPr>
            <w:tcW w:w="686" w:type="pct"/>
            <w:tcBorders>
              <w:top w:val="single" w:color="000000" w:sz="4" w:space="0"/>
              <w:left w:val="single" w:color="000000" w:sz="4" w:space="0"/>
              <w:bottom w:val="single" w:color="000000" w:sz="4" w:space="0"/>
              <w:right w:val="single" w:color="000000" w:sz="4" w:space="0"/>
            </w:tcBorders>
            <w:vAlign w:val="center"/>
          </w:tcPr>
          <w:p w14:paraId="430025C8">
            <w:pPr>
              <w:jc w:val="center"/>
              <w:rPr>
                <w:kern w:val="0"/>
                <w:szCs w:val="21"/>
              </w:rPr>
            </w:pPr>
            <w:r>
              <w:rPr>
                <w:rFonts w:hint="eastAsia"/>
                <w:kern w:val="0"/>
                <w:szCs w:val="21"/>
              </w:rPr>
              <w:t>备  注</w:t>
            </w:r>
          </w:p>
        </w:tc>
      </w:tr>
      <w:tr w14:paraId="593DB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4313" w:type="pct"/>
            <w:gridSpan w:val="7"/>
            <w:tcBorders>
              <w:top w:val="single" w:color="000000" w:sz="4" w:space="0"/>
              <w:left w:val="single" w:color="000000" w:sz="4" w:space="0"/>
              <w:bottom w:val="single" w:color="000000" w:sz="4" w:space="0"/>
              <w:right w:val="single" w:color="000000" w:sz="4" w:space="0"/>
            </w:tcBorders>
            <w:vAlign w:val="center"/>
          </w:tcPr>
          <w:p w14:paraId="26E369D4">
            <w:pPr>
              <w:textAlignment w:val="center"/>
              <w:rPr>
                <w:kern w:val="0"/>
                <w:szCs w:val="21"/>
              </w:rPr>
            </w:pPr>
            <w:r>
              <w:rPr>
                <w:rFonts w:hint="eastAsia"/>
                <w:kern w:val="0"/>
                <w:szCs w:val="21"/>
              </w:rPr>
              <w:t>一、</w:t>
            </w:r>
            <w:r>
              <w:rPr>
                <w:kern w:val="0"/>
                <w:szCs w:val="21"/>
              </w:rPr>
              <w:t>法制管理</w:t>
            </w:r>
          </w:p>
        </w:tc>
        <w:tc>
          <w:tcPr>
            <w:tcW w:w="686" w:type="pct"/>
            <w:tcBorders>
              <w:top w:val="single" w:color="000000" w:sz="4" w:space="0"/>
              <w:left w:val="single" w:color="000000" w:sz="4" w:space="0"/>
              <w:bottom w:val="single" w:color="000000" w:sz="4" w:space="0"/>
              <w:right w:val="single" w:color="000000" w:sz="4" w:space="0"/>
            </w:tcBorders>
            <w:vAlign w:val="center"/>
          </w:tcPr>
          <w:p w14:paraId="7D5FA4AE">
            <w:pPr>
              <w:textAlignment w:val="center"/>
              <w:rPr>
                <w:kern w:val="0"/>
                <w:szCs w:val="21"/>
              </w:rPr>
            </w:pPr>
          </w:p>
        </w:tc>
      </w:tr>
      <w:tr w14:paraId="2B67E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307" w:type="pct"/>
            <w:tcBorders>
              <w:top w:val="single" w:color="000000" w:sz="4" w:space="0"/>
              <w:left w:val="single" w:color="000000" w:sz="4" w:space="0"/>
              <w:bottom w:val="single" w:color="000000" w:sz="4" w:space="0"/>
              <w:right w:val="single" w:color="000000" w:sz="4" w:space="0"/>
            </w:tcBorders>
            <w:vAlign w:val="center"/>
          </w:tcPr>
          <w:p w14:paraId="2E96F075">
            <w:pPr>
              <w:jc w:val="center"/>
              <w:rPr>
                <w:kern w:val="0"/>
                <w:szCs w:val="21"/>
              </w:rPr>
            </w:pPr>
            <w:r>
              <w:rPr>
                <w:rFonts w:hint="eastAsia"/>
                <w:kern w:val="0"/>
                <w:szCs w:val="21"/>
              </w:rPr>
              <w:t>1</w:t>
            </w:r>
          </w:p>
        </w:tc>
        <w:tc>
          <w:tcPr>
            <w:tcW w:w="1350" w:type="pct"/>
            <w:gridSpan w:val="2"/>
            <w:tcBorders>
              <w:top w:val="single" w:color="000000" w:sz="4" w:space="0"/>
              <w:left w:val="single" w:color="000000" w:sz="4" w:space="0"/>
              <w:bottom w:val="single" w:color="auto" w:sz="4" w:space="0"/>
              <w:right w:val="single" w:color="000000" w:sz="4" w:space="0"/>
            </w:tcBorders>
            <w:vAlign w:val="center"/>
          </w:tcPr>
          <w:p w14:paraId="6F939244">
            <w:pPr>
              <w:pStyle w:val="31"/>
              <w:spacing w:after="0"/>
              <w:ind w:left="0" w:leftChars="0"/>
              <w:jc w:val="center"/>
              <w:rPr>
                <w:kern w:val="0"/>
                <w:sz w:val="21"/>
                <w:szCs w:val="21"/>
              </w:rPr>
            </w:pPr>
            <w:r>
              <w:rPr>
                <w:kern w:val="0"/>
                <w:sz w:val="21"/>
                <w:szCs w:val="21"/>
              </w:rPr>
              <w:t>计量单位</w:t>
            </w:r>
          </w:p>
        </w:tc>
        <w:tc>
          <w:tcPr>
            <w:tcW w:w="656" w:type="pct"/>
            <w:tcBorders>
              <w:top w:val="single" w:color="000000" w:sz="4" w:space="0"/>
              <w:left w:val="single" w:color="000000" w:sz="4" w:space="0"/>
              <w:bottom w:val="single" w:color="000000" w:sz="4" w:space="0"/>
              <w:right w:val="single" w:color="auto" w:sz="4" w:space="0"/>
            </w:tcBorders>
            <w:vAlign w:val="center"/>
          </w:tcPr>
          <w:p w14:paraId="0B5F2BC6">
            <w:pPr>
              <w:jc w:val="center"/>
              <w:rPr>
                <w:kern w:val="0"/>
                <w:szCs w:val="21"/>
              </w:rPr>
            </w:pPr>
            <w:r>
              <w:rPr>
                <w:rFonts w:hint="eastAsia"/>
                <w:kern w:val="0"/>
                <w:szCs w:val="21"/>
              </w:rPr>
              <w:t>5</w:t>
            </w:r>
            <w:r>
              <w:rPr>
                <w:kern w:val="0"/>
                <w:szCs w:val="21"/>
              </w:rPr>
              <w:t>.1</w:t>
            </w:r>
          </w:p>
        </w:tc>
        <w:tc>
          <w:tcPr>
            <w:tcW w:w="631" w:type="pct"/>
            <w:tcBorders>
              <w:top w:val="single" w:color="000000" w:sz="4" w:space="0"/>
              <w:left w:val="single" w:color="auto" w:sz="4" w:space="0"/>
              <w:bottom w:val="single" w:color="000000" w:sz="4" w:space="0"/>
              <w:right w:val="single" w:color="auto" w:sz="4" w:space="0"/>
            </w:tcBorders>
            <w:vAlign w:val="center"/>
          </w:tcPr>
          <w:p w14:paraId="5D1F0227">
            <w:pPr>
              <w:jc w:val="center"/>
              <w:rPr>
                <w:kern w:val="0"/>
                <w:szCs w:val="21"/>
              </w:rPr>
            </w:pPr>
            <w:r>
              <w:rPr>
                <w:rFonts w:hint="eastAsia"/>
                <w:kern w:val="0"/>
                <w:szCs w:val="21"/>
              </w:rPr>
              <w:t>目 测</w:t>
            </w:r>
          </w:p>
        </w:tc>
        <w:tc>
          <w:tcPr>
            <w:tcW w:w="671" w:type="pct"/>
            <w:tcBorders>
              <w:top w:val="single" w:color="000000" w:sz="4" w:space="0"/>
              <w:left w:val="single" w:color="auto" w:sz="4" w:space="0"/>
              <w:bottom w:val="single" w:color="000000" w:sz="4" w:space="0"/>
              <w:right w:val="single" w:color="000000" w:sz="4" w:space="0"/>
            </w:tcBorders>
            <w:vAlign w:val="center"/>
          </w:tcPr>
          <w:p w14:paraId="09A266FE">
            <w:pPr>
              <w:jc w:val="center"/>
              <w:rPr>
                <w:kern w:val="0"/>
                <w:szCs w:val="21"/>
              </w:rPr>
            </w:pPr>
            <w:r>
              <w:rPr>
                <w:rFonts w:hint="eastAsia"/>
                <w:kern w:val="0"/>
                <w:szCs w:val="21"/>
              </w:rPr>
              <w:t>观察项目</w:t>
            </w:r>
          </w:p>
        </w:tc>
        <w:tc>
          <w:tcPr>
            <w:tcW w:w="695" w:type="pct"/>
            <w:tcBorders>
              <w:top w:val="single" w:color="000000" w:sz="4" w:space="0"/>
              <w:left w:val="single" w:color="000000" w:sz="4" w:space="0"/>
              <w:bottom w:val="single" w:color="000000" w:sz="4" w:space="0"/>
              <w:right w:val="single" w:color="000000" w:sz="4" w:space="0"/>
            </w:tcBorders>
            <w:vAlign w:val="center"/>
          </w:tcPr>
          <w:p w14:paraId="3655C310">
            <w:pPr>
              <w:jc w:val="center"/>
              <w:rPr>
                <w:kern w:val="0"/>
                <w:szCs w:val="21"/>
              </w:rPr>
            </w:pPr>
            <w:r>
              <w:rPr>
                <w:rFonts w:hint="eastAsia"/>
                <w:kern w:val="0"/>
                <w:szCs w:val="21"/>
              </w:rPr>
              <w:t>全部</w:t>
            </w:r>
          </w:p>
        </w:tc>
        <w:tc>
          <w:tcPr>
            <w:tcW w:w="686" w:type="pct"/>
            <w:tcBorders>
              <w:top w:val="single" w:color="000000" w:sz="4" w:space="0"/>
              <w:left w:val="single" w:color="000000" w:sz="4" w:space="0"/>
              <w:bottom w:val="single" w:color="000000" w:sz="4" w:space="0"/>
              <w:right w:val="single" w:color="000000" w:sz="4" w:space="0"/>
            </w:tcBorders>
            <w:vAlign w:val="center"/>
          </w:tcPr>
          <w:p w14:paraId="13291DC6">
            <w:pPr>
              <w:jc w:val="center"/>
              <w:rPr>
                <w:kern w:val="0"/>
                <w:szCs w:val="21"/>
              </w:rPr>
            </w:pPr>
          </w:p>
        </w:tc>
      </w:tr>
      <w:tr w14:paraId="62A24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307" w:type="pct"/>
            <w:tcBorders>
              <w:top w:val="single" w:color="000000" w:sz="4" w:space="0"/>
              <w:left w:val="single" w:color="000000" w:sz="4" w:space="0"/>
              <w:bottom w:val="single" w:color="000000" w:sz="4" w:space="0"/>
              <w:right w:val="single" w:color="000000" w:sz="4" w:space="0"/>
            </w:tcBorders>
            <w:vAlign w:val="center"/>
          </w:tcPr>
          <w:p w14:paraId="4C8AEC9C">
            <w:pPr>
              <w:jc w:val="center"/>
              <w:rPr>
                <w:kern w:val="0"/>
                <w:szCs w:val="21"/>
              </w:rPr>
            </w:pPr>
            <w:r>
              <w:rPr>
                <w:rFonts w:hint="eastAsia"/>
                <w:kern w:val="0"/>
                <w:szCs w:val="21"/>
              </w:rPr>
              <w:t>2</w:t>
            </w:r>
          </w:p>
        </w:tc>
        <w:tc>
          <w:tcPr>
            <w:tcW w:w="1350" w:type="pct"/>
            <w:gridSpan w:val="2"/>
            <w:tcBorders>
              <w:top w:val="single" w:color="000000" w:sz="4" w:space="0"/>
              <w:left w:val="single" w:color="000000" w:sz="4" w:space="0"/>
              <w:bottom w:val="single" w:color="auto" w:sz="4" w:space="0"/>
              <w:right w:val="single" w:color="000000" w:sz="4" w:space="0"/>
            </w:tcBorders>
            <w:vAlign w:val="center"/>
          </w:tcPr>
          <w:p w14:paraId="08A3E821">
            <w:pPr>
              <w:pStyle w:val="31"/>
              <w:spacing w:after="0"/>
              <w:ind w:left="0" w:leftChars="0"/>
              <w:jc w:val="center"/>
              <w:rPr>
                <w:kern w:val="0"/>
                <w:sz w:val="21"/>
                <w:szCs w:val="21"/>
              </w:rPr>
            </w:pPr>
            <w:r>
              <w:rPr>
                <w:kern w:val="0"/>
                <w:sz w:val="21"/>
                <w:szCs w:val="21"/>
              </w:rPr>
              <w:t>外部结构</w:t>
            </w:r>
            <w:r>
              <w:rPr>
                <w:rFonts w:hint="eastAsia"/>
                <w:kern w:val="0"/>
                <w:sz w:val="21"/>
                <w:szCs w:val="21"/>
              </w:rPr>
              <w:t>设计要求</w:t>
            </w:r>
          </w:p>
        </w:tc>
        <w:tc>
          <w:tcPr>
            <w:tcW w:w="656" w:type="pct"/>
            <w:tcBorders>
              <w:top w:val="single" w:color="000000" w:sz="4" w:space="0"/>
              <w:left w:val="single" w:color="000000" w:sz="4" w:space="0"/>
              <w:bottom w:val="single" w:color="000000" w:sz="4" w:space="0"/>
              <w:right w:val="single" w:color="auto" w:sz="4" w:space="0"/>
            </w:tcBorders>
            <w:vAlign w:val="center"/>
          </w:tcPr>
          <w:p w14:paraId="130CEA18">
            <w:pPr>
              <w:jc w:val="center"/>
              <w:rPr>
                <w:kern w:val="0"/>
                <w:szCs w:val="21"/>
              </w:rPr>
            </w:pPr>
            <w:r>
              <w:rPr>
                <w:rFonts w:hint="eastAsia"/>
                <w:kern w:val="0"/>
                <w:szCs w:val="21"/>
              </w:rPr>
              <w:t>5</w:t>
            </w:r>
            <w:r>
              <w:rPr>
                <w:kern w:val="0"/>
                <w:szCs w:val="21"/>
              </w:rPr>
              <w:t>.</w:t>
            </w:r>
            <w:r>
              <w:rPr>
                <w:rFonts w:hint="eastAsia"/>
                <w:kern w:val="0"/>
                <w:szCs w:val="21"/>
              </w:rPr>
              <w:t>2</w:t>
            </w:r>
          </w:p>
        </w:tc>
        <w:tc>
          <w:tcPr>
            <w:tcW w:w="631" w:type="pct"/>
            <w:tcBorders>
              <w:top w:val="single" w:color="000000" w:sz="4" w:space="0"/>
              <w:left w:val="single" w:color="auto" w:sz="4" w:space="0"/>
              <w:bottom w:val="single" w:color="000000" w:sz="4" w:space="0"/>
              <w:right w:val="single" w:color="auto" w:sz="4" w:space="0"/>
            </w:tcBorders>
            <w:vAlign w:val="center"/>
          </w:tcPr>
          <w:p w14:paraId="717D65B8">
            <w:pPr>
              <w:jc w:val="center"/>
              <w:rPr>
                <w:kern w:val="0"/>
                <w:szCs w:val="21"/>
              </w:rPr>
            </w:pPr>
            <w:r>
              <w:rPr>
                <w:rFonts w:hint="eastAsia"/>
                <w:kern w:val="0"/>
                <w:szCs w:val="21"/>
              </w:rPr>
              <w:t>目 测</w:t>
            </w:r>
          </w:p>
        </w:tc>
        <w:tc>
          <w:tcPr>
            <w:tcW w:w="671" w:type="pct"/>
            <w:tcBorders>
              <w:top w:val="single" w:color="000000" w:sz="4" w:space="0"/>
              <w:left w:val="single" w:color="auto" w:sz="4" w:space="0"/>
              <w:bottom w:val="single" w:color="000000" w:sz="4" w:space="0"/>
              <w:right w:val="single" w:color="000000" w:sz="4" w:space="0"/>
            </w:tcBorders>
            <w:vAlign w:val="center"/>
          </w:tcPr>
          <w:p w14:paraId="72B43D3A">
            <w:pPr>
              <w:jc w:val="center"/>
              <w:rPr>
                <w:szCs w:val="21"/>
              </w:rPr>
            </w:pPr>
            <w:r>
              <w:rPr>
                <w:rFonts w:hint="eastAsia"/>
                <w:kern w:val="0"/>
                <w:szCs w:val="21"/>
              </w:rPr>
              <w:t>观察项目</w:t>
            </w:r>
          </w:p>
        </w:tc>
        <w:tc>
          <w:tcPr>
            <w:tcW w:w="695" w:type="pct"/>
            <w:tcBorders>
              <w:top w:val="single" w:color="000000" w:sz="4" w:space="0"/>
              <w:left w:val="single" w:color="000000" w:sz="4" w:space="0"/>
              <w:bottom w:val="single" w:color="000000" w:sz="4" w:space="0"/>
              <w:right w:val="single" w:color="000000" w:sz="4" w:space="0"/>
            </w:tcBorders>
            <w:vAlign w:val="center"/>
          </w:tcPr>
          <w:p w14:paraId="079DBDCE">
            <w:pPr>
              <w:jc w:val="center"/>
              <w:rPr>
                <w:kern w:val="0"/>
                <w:szCs w:val="21"/>
              </w:rPr>
            </w:pPr>
            <w:r>
              <w:rPr>
                <w:rFonts w:hint="eastAsia"/>
                <w:kern w:val="0"/>
                <w:szCs w:val="21"/>
              </w:rPr>
              <w:t>全部</w:t>
            </w:r>
          </w:p>
        </w:tc>
        <w:tc>
          <w:tcPr>
            <w:tcW w:w="686" w:type="pct"/>
            <w:tcBorders>
              <w:top w:val="single" w:color="000000" w:sz="4" w:space="0"/>
              <w:left w:val="single" w:color="000000" w:sz="4" w:space="0"/>
              <w:bottom w:val="single" w:color="000000" w:sz="4" w:space="0"/>
              <w:right w:val="single" w:color="000000" w:sz="4" w:space="0"/>
            </w:tcBorders>
            <w:vAlign w:val="center"/>
          </w:tcPr>
          <w:p w14:paraId="49873252">
            <w:pPr>
              <w:jc w:val="center"/>
              <w:rPr>
                <w:kern w:val="0"/>
                <w:szCs w:val="21"/>
              </w:rPr>
            </w:pPr>
          </w:p>
        </w:tc>
      </w:tr>
      <w:tr w14:paraId="41130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307" w:type="pct"/>
            <w:tcBorders>
              <w:top w:val="single" w:color="000000" w:sz="4" w:space="0"/>
              <w:left w:val="single" w:color="000000" w:sz="4" w:space="0"/>
              <w:bottom w:val="single" w:color="000000" w:sz="4" w:space="0"/>
              <w:right w:val="single" w:color="000000" w:sz="4" w:space="0"/>
            </w:tcBorders>
            <w:vAlign w:val="center"/>
          </w:tcPr>
          <w:p w14:paraId="077A8BCF">
            <w:pPr>
              <w:jc w:val="center"/>
              <w:rPr>
                <w:kern w:val="0"/>
                <w:szCs w:val="21"/>
              </w:rPr>
            </w:pPr>
            <w:r>
              <w:rPr>
                <w:rFonts w:hint="eastAsia"/>
                <w:kern w:val="0"/>
                <w:szCs w:val="21"/>
              </w:rPr>
              <w:t>3</w:t>
            </w:r>
          </w:p>
        </w:tc>
        <w:tc>
          <w:tcPr>
            <w:tcW w:w="1350" w:type="pct"/>
            <w:gridSpan w:val="2"/>
            <w:tcBorders>
              <w:top w:val="single" w:color="000000" w:sz="4" w:space="0"/>
              <w:left w:val="single" w:color="000000" w:sz="4" w:space="0"/>
              <w:bottom w:val="single" w:color="auto" w:sz="4" w:space="0"/>
              <w:right w:val="single" w:color="000000" w:sz="4" w:space="0"/>
            </w:tcBorders>
            <w:vAlign w:val="center"/>
          </w:tcPr>
          <w:p w14:paraId="03524BD6">
            <w:pPr>
              <w:pStyle w:val="31"/>
              <w:spacing w:after="0"/>
              <w:ind w:left="0" w:leftChars="0"/>
              <w:jc w:val="center"/>
              <w:rPr>
                <w:kern w:val="0"/>
                <w:sz w:val="21"/>
                <w:szCs w:val="21"/>
              </w:rPr>
            </w:pPr>
            <w:r>
              <w:rPr>
                <w:kern w:val="0"/>
                <w:sz w:val="21"/>
                <w:szCs w:val="21"/>
              </w:rPr>
              <w:t>标志和标识</w:t>
            </w:r>
          </w:p>
        </w:tc>
        <w:tc>
          <w:tcPr>
            <w:tcW w:w="656" w:type="pct"/>
            <w:tcBorders>
              <w:top w:val="single" w:color="000000" w:sz="4" w:space="0"/>
              <w:left w:val="single" w:color="000000" w:sz="4" w:space="0"/>
              <w:bottom w:val="single" w:color="000000" w:sz="4" w:space="0"/>
              <w:right w:val="single" w:color="auto" w:sz="4" w:space="0"/>
            </w:tcBorders>
            <w:vAlign w:val="center"/>
          </w:tcPr>
          <w:p w14:paraId="0733F6BC">
            <w:pPr>
              <w:jc w:val="center"/>
              <w:rPr>
                <w:kern w:val="0"/>
                <w:szCs w:val="21"/>
              </w:rPr>
            </w:pPr>
            <w:r>
              <w:rPr>
                <w:rFonts w:hint="eastAsia"/>
                <w:kern w:val="0"/>
                <w:szCs w:val="21"/>
              </w:rPr>
              <w:t>5</w:t>
            </w:r>
            <w:r>
              <w:rPr>
                <w:kern w:val="0"/>
                <w:szCs w:val="21"/>
              </w:rPr>
              <w:t>.3</w:t>
            </w:r>
          </w:p>
        </w:tc>
        <w:tc>
          <w:tcPr>
            <w:tcW w:w="631" w:type="pct"/>
            <w:tcBorders>
              <w:top w:val="single" w:color="000000" w:sz="4" w:space="0"/>
              <w:left w:val="single" w:color="auto" w:sz="4" w:space="0"/>
              <w:bottom w:val="single" w:color="000000" w:sz="4" w:space="0"/>
              <w:right w:val="single" w:color="auto" w:sz="4" w:space="0"/>
            </w:tcBorders>
            <w:vAlign w:val="center"/>
          </w:tcPr>
          <w:p w14:paraId="6F8D414B">
            <w:pPr>
              <w:jc w:val="center"/>
              <w:rPr>
                <w:kern w:val="0"/>
                <w:szCs w:val="21"/>
              </w:rPr>
            </w:pPr>
            <w:r>
              <w:rPr>
                <w:rFonts w:hint="eastAsia"/>
                <w:kern w:val="0"/>
                <w:szCs w:val="21"/>
              </w:rPr>
              <w:t>目 测</w:t>
            </w:r>
          </w:p>
        </w:tc>
        <w:tc>
          <w:tcPr>
            <w:tcW w:w="671" w:type="pct"/>
            <w:tcBorders>
              <w:top w:val="single" w:color="000000" w:sz="4" w:space="0"/>
              <w:left w:val="single" w:color="auto" w:sz="4" w:space="0"/>
              <w:bottom w:val="single" w:color="000000" w:sz="4" w:space="0"/>
              <w:right w:val="single" w:color="000000" w:sz="4" w:space="0"/>
            </w:tcBorders>
            <w:vAlign w:val="center"/>
          </w:tcPr>
          <w:p w14:paraId="190ED785">
            <w:pPr>
              <w:jc w:val="center"/>
              <w:rPr>
                <w:szCs w:val="21"/>
              </w:rPr>
            </w:pPr>
            <w:r>
              <w:rPr>
                <w:rFonts w:hint="eastAsia"/>
                <w:kern w:val="0"/>
                <w:szCs w:val="21"/>
              </w:rPr>
              <w:t>观察项目</w:t>
            </w:r>
          </w:p>
        </w:tc>
        <w:tc>
          <w:tcPr>
            <w:tcW w:w="695" w:type="pct"/>
            <w:tcBorders>
              <w:top w:val="single" w:color="000000" w:sz="4" w:space="0"/>
              <w:left w:val="single" w:color="000000" w:sz="4" w:space="0"/>
              <w:bottom w:val="single" w:color="000000" w:sz="4" w:space="0"/>
              <w:right w:val="single" w:color="000000" w:sz="4" w:space="0"/>
            </w:tcBorders>
            <w:vAlign w:val="center"/>
          </w:tcPr>
          <w:p w14:paraId="696EC8A1">
            <w:pPr>
              <w:jc w:val="center"/>
              <w:rPr>
                <w:kern w:val="0"/>
                <w:szCs w:val="21"/>
              </w:rPr>
            </w:pPr>
            <w:r>
              <w:rPr>
                <w:rFonts w:hint="eastAsia"/>
                <w:kern w:val="0"/>
                <w:szCs w:val="21"/>
              </w:rPr>
              <w:t>全部</w:t>
            </w:r>
          </w:p>
        </w:tc>
        <w:tc>
          <w:tcPr>
            <w:tcW w:w="686" w:type="pct"/>
            <w:tcBorders>
              <w:top w:val="single" w:color="000000" w:sz="4" w:space="0"/>
              <w:left w:val="single" w:color="000000" w:sz="4" w:space="0"/>
              <w:bottom w:val="single" w:color="000000" w:sz="4" w:space="0"/>
              <w:right w:val="single" w:color="000000" w:sz="4" w:space="0"/>
            </w:tcBorders>
            <w:vAlign w:val="center"/>
          </w:tcPr>
          <w:p w14:paraId="5A13B4FC">
            <w:pPr>
              <w:jc w:val="center"/>
              <w:rPr>
                <w:kern w:val="0"/>
                <w:szCs w:val="21"/>
              </w:rPr>
            </w:pPr>
          </w:p>
        </w:tc>
      </w:tr>
      <w:tr w14:paraId="1F7C5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307" w:type="pct"/>
            <w:tcBorders>
              <w:top w:val="single" w:color="000000" w:sz="4" w:space="0"/>
              <w:left w:val="single" w:color="000000" w:sz="4" w:space="0"/>
              <w:bottom w:val="single" w:color="000000" w:sz="4" w:space="0"/>
              <w:right w:val="single" w:color="000000" w:sz="4" w:space="0"/>
            </w:tcBorders>
            <w:vAlign w:val="center"/>
          </w:tcPr>
          <w:p w14:paraId="1140039B">
            <w:pPr>
              <w:jc w:val="center"/>
              <w:rPr>
                <w:kern w:val="0"/>
                <w:szCs w:val="21"/>
              </w:rPr>
            </w:pPr>
            <w:r>
              <w:rPr>
                <w:rFonts w:hint="eastAsia"/>
                <w:kern w:val="0"/>
                <w:szCs w:val="21"/>
              </w:rPr>
              <w:t>4</w:t>
            </w:r>
          </w:p>
        </w:tc>
        <w:tc>
          <w:tcPr>
            <w:tcW w:w="1350" w:type="pct"/>
            <w:gridSpan w:val="2"/>
            <w:tcBorders>
              <w:top w:val="single" w:color="000000" w:sz="4" w:space="0"/>
              <w:left w:val="single" w:color="000000" w:sz="4" w:space="0"/>
              <w:bottom w:val="single" w:color="000000" w:sz="4" w:space="0"/>
              <w:right w:val="single" w:color="000000" w:sz="4" w:space="0"/>
            </w:tcBorders>
            <w:vAlign w:val="center"/>
          </w:tcPr>
          <w:p w14:paraId="5FD709BA">
            <w:pPr>
              <w:pStyle w:val="31"/>
              <w:spacing w:after="0"/>
              <w:ind w:left="0" w:leftChars="0"/>
              <w:jc w:val="center"/>
              <w:rPr>
                <w:kern w:val="0"/>
                <w:sz w:val="21"/>
                <w:szCs w:val="21"/>
              </w:rPr>
            </w:pPr>
            <w:r>
              <w:rPr>
                <w:rFonts w:hint="eastAsia"/>
                <w:kern w:val="0"/>
                <w:sz w:val="21"/>
                <w:szCs w:val="21"/>
              </w:rPr>
              <w:t>保护装置和封印</w:t>
            </w:r>
          </w:p>
        </w:tc>
        <w:tc>
          <w:tcPr>
            <w:tcW w:w="656" w:type="pct"/>
            <w:tcBorders>
              <w:top w:val="single" w:color="000000" w:sz="4" w:space="0"/>
              <w:left w:val="single" w:color="000000" w:sz="4" w:space="0"/>
              <w:bottom w:val="single" w:color="000000" w:sz="4" w:space="0"/>
              <w:right w:val="single" w:color="auto" w:sz="4" w:space="0"/>
            </w:tcBorders>
            <w:vAlign w:val="center"/>
          </w:tcPr>
          <w:p w14:paraId="579D1C28">
            <w:pPr>
              <w:jc w:val="center"/>
              <w:rPr>
                <w:kern w:val="0"/>
                <w:szCs w:val="21"/>
              </w:rPr>
            </w:pPr>
            <w:r>
              <w:rPr>
                <w:rFonts w:hint="eastAsia"/>
                <w:kern w:val="0"/>
                <w:szCs w:val="21"/>
              </w:rPr>
              <w:t>5</w:t>
            </w:r>
            <w:r>
              <w:rPr>
                <w:kern w:val="0"/>
                <w:szCs w:val="21"/>
              </w:rPr>
              <w:t>.</w:t>
            </w:r>
            <w:r>
              <w:rPr>
                <w:rFonts w:hint="eastAsia"/>
                <w:kern w:val="0"/>
                <w:szCs w:val="21"/>
              </w:rPr>
              <w:t>4</w:t>
            </w:r>
          </w:p>
        </w:tc>
        <w:tc>
          <w:tcPr>
            <w:tcW w:w="631" w:type="pct"/>
            <w:tcBorders>
              <w:top w:val="single" w:color="000000" w:sz="4" w:space="0"/>
              <w:left w:val="single" w:color="auto" w:sz="4" w:space="0"/>
              <w:bottom w:val="single" w:color="000000" w:sz="4" w:space="0"/>
              <w:right w:val="single" w:color="auto" w:sz="4" w:space="0"/>
            </w:tcBorders>
            <w:vAlign w:val="center"/>
          </w:tcPr>
          <w:p w14:paraId="414E0079">
            <w:pPr>
              <w:jc w:val="center"/>
              <w:rPr>
                <w:kern w:val="0"/>
                <w:szCs w:val="21"/>
              </w:rPr>
            </w:pPr>
            <w:r>
              <w:rPr>
                <w:rFonts w:hint="eastAsia"/>
                <w:kern w:val="0"/>
                <w:szCs w:val="21"/>
              </w:rPr>
              <w:t>目 测</w:t>
            </w:r>
          </w:p>
        </w:tc>
        <w:tc>
          <w:tcPr>
            <w:tcW w:w="671" w:type="pct"/>
            <w:tcBorders>
              <w:top w:val="single" w:color="000000" w:sz="4" w:space="0"/>
              <w:left w:val="single" w:color="auto" w:sz="4" w:space="0"/>
              <w:bottom w:val="single" w:color="000000" w:sz="4" w:space="0"/>
              <w:right w:val="single" w:color="000000" w:sz="4" w:space="0"/>
            </w:tcBorders>
            <w:vAlign w:val="center"/>
          </w:tcPr>
          <w:p w14:paraId="687508E8">
            <w:pPr>
              <w:jc w:val="center"/>
              <w:rPr>
                <w:szCs w:val="21"/>
              </w:rPr>
            </w:pPr>
            <w:r>
              <w:rPr>
                <w:rFonts w:hint="eastAsia"/>
                <w:kern w:val="0"/>
                <w:szCs w:val="21"/>
              </w:rPr>
              <w:t>观察项目</w:t>
            </w:r>
          </w:p>
        </w:tc>
        <w:tc>
          <w:tcPr>
            <w:tcW w:w="695" w:type="pct"/>
            <w:tcBorders>
              <w:top w:val="single" w:color="000000" w:sz="4" w:space="0"/>
              <w:left w:val="single" w:color="000000" w:sz="4" w:space="0"/>
              <w:bottom w:val="single" w:color="000000" w:sz="4" w:space="0"/>
              <w:right w:val="single" w:color="000000" w:sz="4" w:space="0"/>
            </w:tcBorders>
            <w:vAlign w:val="center"/>
          </w:tcPr>
          <w:p w14:paraId="6CE39C26">
            <w:pPr>
              <w:jc w:val="center"/>
              <w:rPr>
                <w:kern w:val="0"/>
                <w:szCs w:val="21"/>
              </w:rPr>
            </w:pPr>
            <w:r>
              <w:rPr>
                <w:rFonts w:hint="eastAsia"/>
                <w:kern w:val="0"/>
                <w:szCs w:val="21"/>
              </w:rPr>
              <w:t>全部</w:t>
            </w:r>
          </w:p>
        </w:tc>
        <w:tc>
          <w:tcPr>
            <w:tcW w:w="686" w:type="pct"/>
            <w:tcBorders>
              <w:top w:val="single" w:color="000000" w:sz="4" w:space="0"/>
              <w:left w:val="single" w:color="000000" w:sz="4" w:space="0"/>
              <w:bottom w:val="single" w:color="000000" w:sz="4" w:space="0"/>
              <w:right w:val="single" w:color="000000" w:sz="4" w:space="0"/>
            </w:tcBorders>
            <w:vAlign w:val="center"/>
          </w:tcPr>
          <w:p w14:paraId="72EA3EE9">
            <w:pPr>
              <w:jc w:val="center"/>
              <w:rPr>
                <w:kern w:val="0"/>
                <w:szCs w:val="21"/>
              </w:rPr>
            </w:pPr>
          </w:p>
        </w:tc>
      </w:tr>
      <w:tr w14:paraId="41D6F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2314" w:type="pct"/>
            <w:gridSpan w:val="4"/>
            <w:tcBorders>
              <w:top w:val="single" w:color="000000" w:sz="4" w:space="0"/>
              <w:left w:val="single" w:color="000000" w:sz="4" w:space="0"/>
              <w:bottom w:val="single" w:color="000000" w:sz="4" w:space="0"/>
              <w:right w:val="single" w:color="auto" w:sz="4" w:space="0"/>
            </w:tcBorders>
            <w:vAlign w:val="center"/>
          </w:tcPr>
          <w:p w14:paraId="00982DE6">
            <w:pPr>
              <w:rPr>
                <w:kern w:val="0"/>
                <w:szCs w:val="21"/>
              </w:rPr>
            </w:pPr>
            <w:r>
              <w:rPr>
                <w:rFonts w:hint="eastAsia"/>
                <w:kern w:val="0"/>
                <w:szCs w:val="21"/>
              </w:rPr>
              <w:t>二、</w:t>
            </w:r>
            <w:r>
              <w:rPr>
                <w:kern w:val="0"/>
                <w:szCs w:val="21"/>
              </w:rPr>
              <w:t>计量性能要求</w:t>
            </w:r>
          </w:p>
        </w:tc>
        <w:tc>
          <w:tcPr>
            <w:tcW w:w="631" w:type="pct"/>
            <w:tcBorders>
              <w:top w:val="single" w:color="000000" w:sz="4" w:space="0"/>
              <w:left w:val="single" w:color="auto" w:sz="4" w:space="0"/>
              <w:bottom w:val="single" w:color="000000" w:sz="4" w:space="0"/>
              <w:right w:val="single" w:color="auto" w:sz="4" w:space="0"/>
            </w:tcBorders>
          </w:tcPr>
          <w:p w14:paraId="69257D5C">
            <w:pPr>
              <w:jc w:val="center"/>
              <w:rPr>
                <w:kern w:val="0"/>
                <w:szCs w:val="21"/>
              </w:rPr>
            </w:pPr>
          </w:p>
        </w:tc>
        <w:tc>
          <w:tcPr>
            <w:tcW w:w="1367" w:type="pct"/>
            <w:gridSpan w:val="2"/>
            <w:tcBorders>
              <w:top w:val="single" w:color="000000" w:sz="4" w:space="0"/>
              <w:left w:val="single" w:color="auto" w:sz="4" w:space="0"/>
              <w:bottom w:val="single" w:color="000000" w:sz="4" w:space="0"/>
              <w:right w:val="single" w:color="000000" w:sz="4" w:space="0"/>
            </w:tcBorders>
            <w:vAlign w:val="center"/>
          </w:tcPr>
          <w:p w14:paraId="5E472416">
            <w:pPr>
              <w:jc w:val="center"/>
              <w:rPr>
                <w:kern w:val="0"/>
                <w:szCs w:val="21"/>
              </w:rPr>
            </w:pPr>
          </w:p>
        </w:tc>
        <w:tc>
          <w:tcPr>
            <w:tcW w:w="686" w:type="pct"/>
            <w:tcBorders>
              <w:top w:val="single" w:color="000000" w:sz="4" w:space="0"/>
              <w:left w:val="single" w:color="auto" w:sz="4" w:space="0"/>
              <w:bottom w:val="single" w:color="000000" w:sz="4" w:space="0"/>
              <w:right w:val="single" w:color="000000" w:sz="4" w:space="0"/>
            </w:tcBorders>
            <w:vAlign w:val="center"/>
          </w:tcPr>
          <w:p w14:paraId="6A405A59">
            <w:pPr>
              <w:jc w:val="center"/>
              <w:rPr>
                <w:kern w:val="0"/>
                <w:szCs w:val="21"/>
              </w:rPr>
            </w:pPr>
          </w:p>
        </w:tc>
      </w:tr>
      <w:tr w14:paraId="6C8E9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307" w:type="pct"/>
            <w:tcBorders>
              <w:top w:val="single" w:color="000000" w:sz="4" w:space="0"/>
              <w:left w:val="single" w:color="000000" w:sz="4" w:space="0"/>
              <w:bottom w:val="single" w:color="000000" w:sz="4" w:space="0"/>
              <w:right w:val="single" w:color="000000" w:sz="4" w:space="0"/>
            </w:tcBorders>
            <w:vAlign w:val="center"/>
          </w:tcPr>
          <w:p w14:paraId="6F3EBAA8">
            <w:pPr>
              <w:jc w:val="center"/>
              <w:rPr>
                <w:kern w:val="0"/>
                <w:szCs w:val="21"/>
              </w:rPr>
            </w:pPr>
            <w:r>
              <w:rPr>
                <w:rFonts w:hint="eastAsia"/>
                <w:kern w:val="0"/>
                <w:szCs w:val="21"/>
              </w:rPr>
              <w:t>1</w:t>
            </w:r>
          </w:p>
        </w:tc>
        <w:tc>
          <w:tcPr>
            <w:tcW w:w="1350" w:type="pct"/>
            <w:gridSpan w:val="2"/>
            <w:tcBorders>
              <w:top w:val="single" w:color="000000" w:sz="4" w:space="0"/>
              <w:left w:val="single" w:color="000000" w:sz="4" w:space="0"/>
              <w:bottom w:val="single" w:color="000000" w:sz="4" w:space="0"/>
              <w:right w:val="single" w:color="000000" w:sz="4" w:space="0"/>
            </w:tcBorders>
            <w:vAlign w:val="center"/>
          </w:tcPr>
          <w:p w14:paraId="548BBCC3">
            <w:pPr>
              <w:pStyle w:val="31"/>
              <w:spacing w:after="0"/>
              <w:ind w:left="0" w:leftChars="0"/>
              <w:jc w:val="center"/>
              <w:rPr>
                <w:kern w:val="0"/>
                <w:sz w:val="21"/>
                <w:szCs w:val="21"/>
              </w:rPr>
            </w:pPr>
            <w:r>
              <w:rPr>
                <w:rFonts w:hint="eastAsia"/>
                <w:kern w:val="0"/>
                <w:sz w:val="21"/>
                <w:szCs w:val="21"/>
              </w:rPr>
              <w:t>准确度等级</w:t>
            </w:r>
          </w:p>
          <w:p w14:paraId="0FD556E4">
            <w:pPr>
              <w:pStyle w:val="31"/>
              <w:spacing w:after="0"/>
              <w:ind w:left="0" w:leftChars="0"/>
              <w:jc w:val="center"/>
              <w:rPr>
                <w:kern w:val="0"/>
                <w:sz w:val="21"/>
                <w:szCs w:val="21"/>
              </w:rPr>
            </w:pPr>
            <w:r>
              <w:rPr>
                <w:rFonts w:hint="eastAsia"/>
                <w:kern w:val="0"/>
                <w:sz w:val="21"/>
                <w:szCs w:val="21"/>
              </w:rPr>
              <w:t>或</w:t>
            </w:r>
            <w:r>
              <w:rPr>
                <w:kern w:val="0"/>
                <w:sz w:val="21"/>
                <w:szCs w:val="21"/>
              </w:rPr>
              <w:t>最大允许误差</w:t>
            </w:r>
          </w:p>
        </w:tc>
        <w:tc>
          <w:tcPr>
            <w:tcW w:w="656" w:type="pct"/>
            <w:tcBorders>
              <w:top w:val="single" w:color="000000" w:sz="4" w:space="0"/>
              <w:left w:val="single" w:color="000000" w:sz="4" w:space="0"/>
              <w:bottom w:val="single" w:color="000000" w:sz="4" w:space="0"/>
              <w:right w:val="single" w:color="auto" w:sz="4" w:space="0"/>
            </w:tcBorders>
            <w:vAlign w:val="center"/>
          </w:tcPr>
          <w:p w14:paraId="06731856">
            <w:pPr>
              <w:jc w:val="center"/>
              <w:rPr>
                <w:kern w:val="0"/>
                <w:szCs w:val="21"/>
              </w:rPr>
            </w:pPr>
            <w:r>
              <w:rPr>
                <w:kern w:val="0"/>
                <w:szCs w:val="21"/>
              </w:rPr>
              <w:t>6.1</w:t>
            </w:r>
          </w:p>
        </w:tc>
        <w:tc>
          <w:tcPr>
            <w:tcW w:w="631" w:type="pct"/>
            <w:tcBorders>
              <w:top w:val="single" w:color="000000" w:sz="4" w:space="0"/>
              <w:left w:val="single" w:color="auto" w:sz="4" w:space="0"/>
              <w:bottom w:val="single" w:color="000000" w:sz="4" w:space="0"/>
              <w:right w:val="single" w:color="auto" w:sz="4" w:space="0"/>
            </w:tcBorders>
            <w:vAlign w:val="center"/>
          </w:tcPr>
          <w:p w14:paraId="087954DE">
            <w:pPr>
              <w:jc w:val="center"/>
              <w:rPr>
                <w:kern w:val="0"/>
                <w:szCs w:val="21"/>
              </w:rPr>
            </w:pPr>
            <w:r>
              <w:rPr>
                <w:rFonts w:hint="eastAsia"/>
                <w:kern w:val="0"/>
                <w:szCs w:val="21"/>
              </w:rPr>
              <w:t>10.2.1</w:t>
            </w:r>
          </w:p>
        </w:tc>
        <w:tc>
          <w:tcPr>
            <w:tcW w:w="671" w:type="pct"/>
            <w:tcBorders>
              <w:top w:val="single" w:color="000000" w:sz="4" w:space="0"/>
              <w:left w:val="single" w:color="auto" w:sz="4" w:space="0"/>
              <w:bottom w:val="single" w:color="000000" w:sz="4" w:space="0"/>
              <w:right w:val="single" w:color="000000" w:sz="4" w:space="0"/>
            </w:tcBorders>
            <w:vAlign w:val="center"/>
          </w:tcPr>
          <w:p w14:paraId="31B96FE9">
            <w:pPr>
              <w:jc w:val="center"/>
              <w:rPr>
                <w:kern w:val="0"/>
                <w:szCs w:val="21"/>
              </w:rPr>
            </w:pPr>
            <w:r>
              <w:rPr>
                <w:rFonts w:hint="eastAsia"/>
                <w:kern w:val="0"/>
                <w:szCs w:val="21"/>
              </w:rPr>
              <w:t>试验项目</w:t>
            </w:r>
          </w:p>
        </w:tc>
        <w:tc>
          <w:tcPr>
            <w:tcW w:w="695" w:type="pct"/>
            <w:tcBorders>
              <w:top w:val="single" w:color="000000" w:sz="4" w:space="0"/>
              <w:left w:val="single" w:color="000000" w:sz="4" w:space="0"/>
              <w:bottom w:val="single" w:color="000000" w:sz="4" w:space="0"/>
              <w:right w:val="single" w:color="000000" w:sz="4" w:space="0"/>
            </w:tcBorders>
            <w:vAlign w:val="center"/>
          </w:tcPr>
          <w:p w14:paraId="32071E61">
            <w:pPr>
              <w:jc w:val="center"/>
              <w:rPr>
                <w:kern w:val="0"/>
                <w:szCs w:val="21"/>
              </w:rPr>
            </w:pPr>
            <w:r>
              <w:rPr>
                <w:rFonts w:hint="eastAsia"/>
                <w:kern w:val="0"/>
                <w:szCs w:val="21"/>
              </w:rPr>
              <w:t>全部</w:t>
            </w:r>
          </w:p>
        </w:tc>
        <w:tc>
          <w:tcPr>
            <w:tcW w:w="686" w:type="pct"/>
            <w:tcBorders>
              <w:top w:val="single" w:color="000000" w:sz="4" w:space="0"/>
              <w:left w:val="single" w:color="000000" w:sz="4" w:space="0"/>
              <w:bottom w:val="single" w:color="000000" w:sz="4" w:space="0"/>
              <w:right w:val="single" w:color="000000" w:sz="4" w:space="0"/>
            </w:tcBorders>
            <w:vAlign w:val="center"/>
          </w:tcPr>
          <w:p w14:paraId="562535D2">
            <w:pPr>
              <w:jc w:val="center"/>
              <w:rPr>
                <w:kern w:val="0"/>
                <w:szCs w:val="21"/>
              </w:rPr>
            </w:pPr>
          </w:p>
        </w:tc>
      </w:tr>
      <w:tr w14:paraId="3D6EC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307" w:type="pct"/>
            <w:tcBorders>
              <w:top w:val="single" w:color="000000" w:sz="4" w:space="0"/>
              <w:left w:val="single" w:color="000000" w:sz="4" w:space="0"/>
              <w:bottom w:val="single" w:color="000000" w:sz="4" w:space="0"/>
              <w:right w:val="single" w:color="000000" w:sz="4" w:space="0"/>
            </w:tcBorders>
            <w:vAlign w:val="center"/>
          </w:tcPr>
          <w:p w14:paraId="354A63AD">
            <w:pPr>
              <w:jc w:val="center"/>
              <w:rPr>
                <w:kern w:val="0"/>
                <w:szCs w:val="21"/>
              </w:rPr>
            </w:pPr>
            <w:r>
              <w:rPr>
                <w:rFonts w:hint="eastAsia"/>
                <w:kern w:val="0"/>
                <w:szCs w:val="21"/>
              </w:rPr>
              <w:t>2</w:t>
            </w:r>
          </w:p>
        </w:tc>
        <w:tc>
          <w:tcPr>
            <w:tcW w:w="1350" w:type="pct"/>
            <w:gridSpan w:val="2"/>
            <w:tcBorders>
              <w:top w:val="single" w:color="000000" w:sz="4" w:space="0"/>
              <w:left w:val="single" w:color="000000" w:sz="4" w:space="0"/>
              <w:bottom w:val="single" w:color="000000" w:sz="4" w:space="0"/>
              <w:right w:val="single" w:color="000000" w:sz="4" w:space="0"/>
            </w:tcBorders>
            <w:vAlign w:val="center"/>
          </w:tcPr>
          <w:p w14:paraId="01DEC4E2">
            <w:pPr>
              <w:pStyle w:val="31"/>
              <w:spacing w:after="0"/>
              <w:ind w:left="0" w:leftChars="0"/>
              <w:jc w:val="center"/>
              <w:rPr>
                <w:kern w:val="0"/>
                <w:sz w:val="21"/>
                <w:szCs w:val="21"/>
              </w:rPr>
            </w:pPr>
            <w:r>
              <w:rPr>
                <w:rFonts w:hint="eastAsia"/>
                <w:kern w:val="0"/>
                <w:sz w:val="21"/>
                <w:szCs w:val="21"/>
              </w:rPr>
              <w:t>重复性</w:t>
            </w:r>
          </w:p>
        </w:tc>
        <w:tc>
          <w:tcPr>
            <w:tcW w:w="656" w:type="pct"/>
            <w:tcBorders>
              <w:top w:val="single" w:color="000000" w:sz="4" w:space="0"/>
              <w:left w:val="single" w:color="000000" w:sz="4" w:space="0"/>
              <w:bottom w:val="single" w:color="000000" w:sz="4" w:space="0"/>
              <w:right w:val="single" w:color="auto" w:sz="4" w:space="0"/>
            </w:tcBorders>
            <w:vAlign w:val="center"/>
          </w:tcPr>
          <w:p w14:paraId="5A33CE31">
            <w:pPr>
              <w:jc w:val="center"/>
              <w:rPr>
                <w:kern w:val="0"/>
                <w:szCs w:val="21"/>
              </w:rPr>
            </w:pPr>
            <w:r>
              <w:rPr>
                <w:rFonts w:hint="eastAsia"/>
                <w:kern w:val="0"/>
                <w:szCs w:val="21"/>
              </w:rPr>
              <w:t>6.2</w:t>
            </w:r>
          </w:p>
        </w:tc>
        <w:tc>
          <w:tcPr>
            <w:tcW w:w="631" w:type="pct"/>
            <w:tcBorders>
              <w:top w:val="single" w:color="000000" w:sz="4" w:space="0"/>
              <w:left w:val="single" w:color="auto" w:sz="4" w:space="0"/>
              <w:bottom w:val="single" w:color="000000" w:sz="4" w:space="0"/>
              <w:right w:val="single" w:color="auto" w:sz="4" w:space="0"/>
            </w:tcBorders>
            <w:vAlign w:val="center"/>
          </w:tcPr>
          <w:p w14:paraId="107A2192">
            <w:pPr>
              <w:jc w:val="center"/>
              <w:rPr>
                <w:kern w:val="0"/>
                <w:szCs w:val="21"/>
              </w:rPr>
            </w:pPr>
            <w:r>
              <w:rPr>
                <w:rFonts w:hint="eastAsia"/>
                <w:kern w:val="0"/>
                <w:szCs w:val="21"/>
              </w:rPr>
              <w:t>10.2.1</w:t>
            </w:r>
          </w:p>
        </w:tc>
        <w:tc>
          <w:tcPr>
            <w:tcW w:w="671" w:type="pct"/>
            <w:tcBorders>
              <w:top w:val="single" w:color="000000" w:sz="4" w:space="0"/>
              <w:left w:val="single" w:color="auto" w:sz="4" w:space="0"/>
              <w:bottom w:val="single" w:color="000000" w:sz="4" w:space="0"/>
              <w:right w:val="single" w:color="000000" w:sz="4" w:space="0"/>
            </w:tcBorders>
            <w:vAlign w:val="center"/>
          </w:tcPr>
          <w:p w14:paraId="38669A82">
            <w:pPr>
              <w:jc w:val="center"/>
              <w:rPr>
                <w:kern w:val="0"/>
                <w:szCs w:val="21"/>
              </w:rPr>
            </w:pPr>
            <w:r>
              <w:rPr>
                <w:rFonts w:hint="eastAsia"/>
                <w:kern w:val="0"/>
                <w:szCs w:val="21"/>
              </w:rPr>
              <w:t>试验项目</w:t>
            </w:r>
          </w:p>
        </w:tc>
        <w:tc>
          <w:tcPr>
            <w:tcW w:w="695" w:type="pct"/>
            <w:tcBorders>
              <w:top w:val="single" w:color="000000" w:sz="4" w:space="0"/>
              <w:left w:val="single" w:color="000000" w:sz="4" w:space="0"/>
              <w:bottom w:val="single" w:color="000000" w:sz="4" w:space="0"/>
              <w:right w:val="single" w:color="000000" w:sz="4" w:space="0"/>
            </w:tcBorders>
            <w:vAlign w:val="center"/>
          </w:tcPr>
          <w:p w14:paraId="5342371B">
            <w:pPr>
              <w:jc w:val="center"/>
              <w:rPr>
                <w:kern w:val="0"/>
                <w:szCs w:val="21"/>
              </w:rPr>
            </w:pPr>
            <w:r>
              <w:rPr>
                <w:rFonts w:hint="eastAsia"/>
                <w:kern w:val="0"/>
                <w:szCs w:val="21"/>
              </w:rPr>
              <w:t>全部</w:t>
            </w:r>
          </w:p>
        </w:tc>
        <w:tc>
          <w:tcPr>
            <w:tcW w:w="686" w:type="pct"/>
            <w:tcBorders>
              <w:top w:val="single" w:color="000000" w:sz="4" w:space="0"/>
              <w:left w:val="single" w:color="000000" w:sz="4" w:space="0"/>
              <w:bottom w:val="single" w:color="000000" w:sz="4" w:space="0"/>
              <w:right w:val="single" w:color="000000" w:sz="4" w:space="0"/>
            </w:tcBorders>
            <w:vAlign w:val="center"/>
          </w:tcPr>
          <w:p w14:paraId="2E48E465">
            <w:pPr>
              <w:jc w:val="center"/>
              <w:rPr>
                <w:kern w:val="0"/>
                <w:szCs w:val="21"/>
              </w:rPr>
            </w:pPr>
          </w:p>
        </w:tc>
      </w:tr>
      <w:tr w14:paraId="27AC4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307" w:type="pct"/>
            <w:tcBorders>
              <w:top w:val="single" w:color="000000" w:sz="4" w:space="0"/>
              <w:left w:val="single" w:color="000000" w:sz="4" w:space="0"/>
              <w:bottom w:val="single" w:color="000000" w:sz="4" w:space="0"/>
              <w:right w:val="single" w:color="000000" w:sz="4" w:space="0"/>
            </w:tcBorders>
            <w:vAlign w:val="center"/>
          </w:tcPr>
          <w:p w14:paraId="5E822BBE">
            <w:pPr>
              <w:jc w:val="center"/>
              <w:rPr>
                <w:kern w:val="0"/>
                <w:szCs w:val="21"/>
              </w:rPr>
            </w:pPr>
            <w:r>
              <w:rPr>
                <w:rFonts w:hint="eastAsia"/>
                <w:kern w:val="0"/>
                <w:szCs w:val="21"/>
              </w:rPr>
              <w:t>3</w:t>
            </w:r>
          </w:p>
        </w:tc>
        <w:tc>
          <w:tcPr>
            <w:tcW w:w="1350" w:type="pct"/>
            <w:gridSpan w:val="2"/>
            <w:tcBorders>
              <w:top w:val="single" w:color="000000" w:sz="4" w:space="0"/>
              <w:left w:val="single" w:color="000000" w:sz="4" w:space="0"/>
              <w:bottom w:val="single" w:color="000000" w:sz="4" w:space="0"/>
              <w:right w:val="single" w:color="000000" w:sz="4" w:space="0"/>
            </w:tcBorders>
            <w:vAlign w:val="center"/>
          </w:tcPr>
          <w:p w14:paraId="42D4F8FB">
            <w:pPr>
              <w:pStyle w:val="31"/>
              <w:spacing w:after="0"/>
              <w:ind w:left="0" w:leftChars="0"/>
              <w:jc w:val="center"/>
              <w:rPr>
                <w:kern w:val="0"/>
                <w:sz w:val="21"/>
                <w:szCs w:val="21"/>
              </w:rPr>
            </w:pPr>
            <w:r>
              <w:rPr>
                <w:rFonts w:hint="eastAsia"/>
                <w:kern w:val="0"/>
                <w:sz w:val="21"/>
                <w:szCs w:val="21"/>
              </w:rPr>
              <w:t>复现性</w:t>
            </w:r>
          </w:p>
        </w:tc>
        <w:tc>
          <w:tcPr>
            <w:tcW w:w="656" w:type="pct"/>
            <w:tcBorders>
              <w:top w:val="single" w:color="000000" w:sz="4" w:space="0"/>
              <w:left w:val="single" w:color="000000" w:sz="4" w:space="0"/>
              <w:bottom w:val="single" w:color="000000" w:sz="4" w:space="0"/>
              <w:right w:val="single" w:color="auto" w:sz="4" w:space="0"/>
            </w:tcBorders>
            <w:vAlign w:val="center"/>
          </w:tcPr>
          <w:p w14:paraId="7F6090AB">
            <w:pPr>
              <w:jc w:val="center"/>
              <w:rPr>
                <w:kern w:val="0"/>
                <w:szCs w:val="21"/>
              </w:rPr>
            </w:pPr>
            <w:r>
              <w:rPr>
                <w:rFonts w:hint="eastAsia"/>
                <w:kern w:val="0"/>
                <w:szCs w:val="21"/>
              </w:rPr>
              <w:t>6.3</w:t>
            </w:r>
          </w:p>
        </w:tc>
        <w:tc>
          <w:tcPr>
            <w:tcW w:w="631" w:type="pct"/>
            <w:tcBorders>
              <w:top w:val="single" w:color="000000" w:sz="4" w:space="0"/>
              <w:left w:val="single" w:color="auto" w:sz="4" w:space="0"/>
              <w:bottom w:val="single" w:color="000000" w:sz="4" w:space="0"/>
              <w:right w:val="single" w:color="auto" w:sz="4" w:space="0"/>
            </w:tcBorders>
            <w:vAlign w:val="center"/>
          </w:tcPr>
          <w:p w14:paraId="369AE802">
            <w:pPr>
              <w:jc w:val="center"/>
              <w:rPr>
                <w:kern w:val="0"/>
                <w:szCs w:val="21"/>
              </w:rPr>
            </w:pPr>
            <w:r>
              <w:rPr>
                <w:rFonts w:hint="eastAsia"/>
                <w:kern w:val="0"/>
                <w:szCs w:val="21"/>
              </w:rPr>
              <w:t>10.2.1</w:t>
            </w:r>
          </w:p>
        </w:tc>
        <w:tc>
          <w:tcPr>
            <w:tcW w:w="671" w:type="pct"/>
            <w:tcBorders>
              <w:top w:val="single" w:color="000000" w:sz="4" w:space="0"/>
              <w:left w:val="single" w:color="auto" w:sz="4" w:space="0"/>
              <w:bottom w:val="single" w:color="000000" w:sz="4" w:space="0"/>
              <w:right w:val="single" w:color="000000" w:sz="4" w:space="0"/>
            </w:tcBorders>
            <w:vAlign w:val="center"/>
          </w:tcPr>
          <w:p w14:paraId="6FC3602D">
            <w:pPr>
              <w:jc w:val="center"/>
              <w:rPr>
                <w:kern w:val="0"/>
                <w:szCs w:val="21"/>
              </w:rPr>
            </w:pPr>
            <w:r>
              <w:rPr>
                <w:rFonts w:hint="eastAsia"/>
                <w:kern w:val="0"/>
                <w:szCs w:val="21"/>
              </w:rPr>
              <w:t>试验项目</w:t>
            </w:r>
          </w:p>
        </w:tc>
        <w:tc>
          <w:tcPr>
            <w:tcW w:w="695" w:type="pct"/>
            <w:tcBorders>
              <w:top w:val="single" w:color="000000" w:sz="4" w:space="0"/>
              <w:left w:val="single" w:color="000000" w:sz="4" w:space="0"/>
              <w:bottom w:val="single" w:color="000000" w:sz="4" w:space="0"/>
              <w:right w:val="single" w:color="000000" w:sz="4" w:space="0"/>
            </w:tcBorders>
            <w:vAlign w:val="center"/>
          </w:tcPr>
          <w:p w14:paraId="354D9B2E">
            <w:pPr>
              <w:jc w:val="center"/>
              <w:rPr>
                <w:kern w:val="0"/>
                <w:szCs w:val="21"/>
              </w:rPr>
            </w:pPr>
            <w:r>
              <w:rPr>
                <w:rFonts w:hint="eastAsia"/>
                <w:kern w:val="0"/>
                <w:szCs w:val="21"/>
              </w:rPr>
              <w:t>全部</w:t>
            </w:r>
          </w:p>
        </w:tc>
        <w:tc>
          <w:tcPr>
            <w:tcW w:w="686" w:type="pct"/>
            <w:tcBorders>
              <w:top w:val="single" w:color="000000" w:sz="4" w:space="0"/>
              <w:left w:val="single" w:color="000000" w:sz="4" w:space="0"/>
              <w:bottom w:val="single" w:color="000000" w:sz="4" w:space="0"/>
              <w:right w:val="single" w:color="000000" w:sz="4" w:space="0"/>
            </w:tcBorders>
            <w:vAlign w:val="center"/>
          </w:tcPr>
          <w:p w14:paraId="7D46FEDC">
            <w:pPr>
              <w:jc w:val="center"/>
              <w:rPr>
                <w:kern w:val="0"/>
                <w:szCs w:val="21"/>
              </w:rPr>
            </w:pPr>
          </w:p>
        </w:tc>
      </w:tr>
      <w:tr w14:paraId="5A657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2314" w:type="pct"/>
            <w:gridSpan w:val="4"/>
            <w:tcBorders>
              <w:top w:val="single" w:color="000000" w:sz="4" w:space="0"/>
              <w:left w:val="single" w:color="000000" w:sz="4" w:space="0"/>
              <w:bottom w:val="single" w:color="000000" w:sz="4" w:space="0"/>
              <w:right w:val="single" w:color="auto" w:sz="4" w:space="0"/>
            </w:tcBorders>
            <w:vAlign w:val="center"/>
          </w:tcPr>
          <w:p w14:paraId="16E9372A">
            <w:pPr>
              <w:rPr>
                <w:kern w:val="0"/>
                <w:szCs w:val="21"/>
              </w:rPr>
            </w:pPr>
            <w:r>
              <w:rPr>
                <w:rFonts w:hint="eastAsia"/>
                <w:kern w:val="0"/>
                <w:szCs w:val="21"/>
              </w:rPr>
              <w:t>三、</w:t>
            </w:r>
            <w:r>
              <w:rPr>
                <w:kern w:val="0"/>
                <w:szCs w:val="21"/>
              </w:rPr>
              <w:t>通用技术要求</w:t>
            </w:r>
          </w:p>
        </w:tc>
        <w:tc>
          <w:tcPr>
            <w:tcW w:w="631" w:type="pct"/>
            <w:tcBorders>
              <w:top w:val="single" w:color="000000" w:sz="4" w:space="0"/>
              <w:left w:val="single" w:color="auto" w:sz="4" w:space="0"/>
              <w:bottom w:val="single" w:color="000000" w:sz="4" w:space="0"/>
              <w:right w:val="single" w:color="auto" w:sz="4" w:space="0"/>
            </w:tcBorders>
          </w:tcPr>
          <w:p w14:paraId="0BF5FF5B">
            <w:pPr>
              <w:jc w:val="center"/>
              <w:rPr>
                <w:kern w:val="0"/>
                <w:szCs w:val="21"/>
              </w:rPr>
            </w:pPr>
          </w:p>
        </w:tc>
        <w:tc>
          <w:tcPr>
            <w:tcW w:w="1367" w:type="pct"/>
            <w:gridSpan w:val="2"/>
            <w:tcBorders>
              <w:top w:val="single" w:color="000000" w:sz="4" w:space="0"/>
              <w:left w:val="single" w:color="auto" w:sz="4" w:space="0"/>
              <w:bottom w:val="single" w:color="000000" w:sz="4" w:space="0"/>
              <w:right w:val="single" w:color="000000" w:sz="4" w:space="0"/>
            </w:tcBorders>
            <w:vAlign w:val="center"/>
          </w:tcPr>
          <w:p w14:paraId="77520944">
            <w:pPr>
              <w:jc w:val="center"/>
              <w:rPr>
                <w:kern w:val="0"/>
                <w:szCs w:val="21"/>
              </w:rPr>
            </w:pPr>
          </w:p>
        </w:tc>
        <w:tc>
          <w:tcPr>
            <w:tcW w:w="686" w:type="pct"/>
            <w:tcBorders>
              <w:top w:val="single" w:color="000000" w:sz="4" w:space="0"/>
              <w:left w:val="single" w:color="auto" w:sz="4" w:space="0"/>
              <w:bottom w:val="single" w:color="000000" w:sz="4" w:space="0"/>
              <w:right w:val="single" w:color="000000" w:sz="4" w:space="0"/>
            </w:tcBorders>
            <w:vAlign w:val="center"/>
          </w:tcPr>
          <w:p w14:paraId="213A7349">
            <w:pPr>
              <w:jc w:val="center"/>
              <w:rPr>
                <w:kern w:val="0"/>
                <w:szCs w:val="21"/>
              </w:rPr>
            </w:pPr>
          </w:p>
        </w:tc>
      </w:tr>
      <w:tr w14:paraId="5078F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307" w:type="pct"/>
            <w:tcBorders>
              <w:top w:val="single" w:color="000000" w:sz="4" w:space="0"/>
              <w:left w:val="single" w:color="000000" w:sz="4" w:space="0"/>
              <w:bottom w:val="single" w:color="000000" w:sz="4" w:space="0"/>
              <w:right w:val="single" w:color="000000" w:sz="4" w:space="0"/>
            </w:tcBorders>
            <w:vAlign w:val="center"/>
          </w:tcPr>
          <w:p w14:paraId="023EEDDC">
            <w:pPr>
              <w:jc w:val="center"/>
              <w:rPr>
                <w:kern w:val="0"/>
                <w:szCs w:val="21"/>
              </w:rPr>
            </w:pPr>
            <w:r>
              <w:rPr>
                <w:rFonts w:hint="eastAsia"/>
                <w:kern w:val="0"/>
                <w:szCs w:val="21"/>
              </w:rPr>
              <w:t>1</w:t>
            </w:r>
          </w:p>
        </w:tc>
        <w:tc>
          <w:tcPr>
            <w:tcW w:w="1350" w:type="pct"/>
            <w:gridSpan w:val="2"/>
            <w:tcBorders>
              <w:top w:val="single" w:color="000000" w:sz="4" w:space="0"/>
              <w:left w:val="single" w:color="000000" w:sz="4" w:space="0"/>
              <w:bottom w:val="single" w:color="000000" w:sz="4" w:space="0"/>
              <w:right w:val="single" w:color="000000" w:sz="4" w:space="0"/>
            </w:tcBorders>
            <w:vAlign w:val="center"/>
          </w:tcPr>
          <w:p w14:paraId="4337D209">
            <w:pPr>
              <w:jc w:val="center"/>
              <w:rPr>
                <w:kern w:val="0"/>
                <w:szCs w:val="21"/>
              </w:rPr>
            </w:pPr>
            <w:r>
              <w:rPr>
                <w:rFonts w:hint="eastAsia"/>
                <w:kern w:val="0"/>
                <w:szCs w:val="21"/>
              </w:rPr>
              <w:t>外观与结构</w:t>
            </w:r>
          </w:p>
        </w:tc>
        <w:tc>
          <w:tcPr>
            <w:tcW w:w="656" w:type="pct"/>
            <w:tcBorders>
              <w:top w:val="single" w:color="000000" w:sz="4" w:space="0"/>
              <w:left w:val="single" w:color="000000" w:sz="4" w:space="0"/>
              <w:bottom w:val="single" w:color="000000" w:sz="4" w:space="0"/>
              <w:right w:val="single" w:color="auto" w:sz="4" w:space="0"/>
            </w:tcBorders>
            <w:vAlign w:val="center"/>
          </w:tcPr>
          <w:p w14:paraId="4F817731">
            <w:pPr>
              <w:jc w:val="center"/>
              <w:rPr>
                <w:kern w:val="0"/>
                <w:szCs w:val="21"/>
              </w:rPr>
            </w:pPr>
            <w:r>
              <w:rPr>
                <w:rFonts w:hint="eastAsia"/>
                <w:kern w:val="0"/>
                <w:szCs w:val="21"/>
              </w:rPr>
              <w:t>7</w:t>
            </w:r>
            <w:r>
              <w:rPr>
                <w:kern w:val="0"/>
                <w:szCs w:val="21"/>
              </w:rPr>
              <w:t>.</w:t>
            </w:r>
            <w:r>
              <w:rPr>
                <w:rFonts w:hint="eastAsia"/>
                <w:kern w:val="0"/>
                <w:szCs w:val="21"/>
              </w:rPr>
              <w:t>1</w:t>
            </w:r>
          </w:p>
        </w:tc>
        <w:tc>
          <w:tcPr>
            <w:tcW w:w="631" w:type="pct"/>
            <w:tcBorders>
              <w:top w:val="single" w:color="000000" w:sz="4" w:space="0"/>
              <w:left w:val="single" w:color="auto" w:sz="4" w:space="0"/>
              <w:bottom w:val="single" w:color="000000" w:sz="4" w:space="0"/>
              <w:right w:val="single" w:color="auto" w:sz="4" w:space="0"/>
            </w:tcBorders>
            <w:vAlign w:val="center"/>
          </w:tcPr>
          <w:p w14:paraId="34C66E10">
            <w:pPr>
              <w:jc w:val="center"/>
              <w:rPr>
                <w:kern w:val="0"/>
                <w:szCs w:val="21"/>
              </w:rPr>
            </w:pPr>
            <w:r>
              <w:rPr>
                <w:rFonts w:hint="eastAsia"/>
                <w:kern w:val="0"/>
                <w:szCs w:val="21"/>
              </w:rPr>
              <w:t>目 测</w:t>
            </w:r>
          </w:p>
        </w:tc>
        <w:tc>
          <w:tcPr>
            <w:tcW w:w="671" w:type="pct"/>
            <w:tcBorders>
              <w:top w:val="single" w:color="000000" w:sz="4" w:space="0"/>
              <w:left w:val="single" w:color="auto" w:sz="4" w:space="0"/>
              <w:bottom w:val="single" w:color="000000" w:sz="4" w:space="0"/>
              <w:right w:val="single" w:color="000000" w:sz="4" w:space="0"/>
            </w:tcBorders>
            <w:vAlign w:val="center"/>
          </w:tcPr>
          <w:p w14:paraId="3B793ECB">
            <w:pPr>
              <w:jc w:val="center"/>
              <w:rPr>
                <w:szCs w:val="21"/>
              </w:rPr>
            </w:pPr>
            <w:r>
              <w:rPr>
                <w:rFonts w:hint="eastAsia"/>
                <w:kern w:val="0"/>
                <w:szCs w:val="21"/>
              </w:rPr>
              <w:t>观察项目</w:t>
            </w:r>
          </w:p>
        </w:tc>
        <w:tc>
          <w:tcPr>
            <w:tcW w:w="695" w:type="pct"/>
            <w:tcBorders>
              <w:top w:val="single" w:color="000000" w:sz="4" w:space="0"/>
              <w:left w:val="single" w:color="000000" w:sz="4" w:space="0"/>
              <w:bottom w:val="single" w:color="000000" w:sz="4" w:space="0"/>
              <w:right w:val="single" w:color="000000" w:sz="4" w:space="0"/>
            </w:tcBorders>
            <w:vAlign w:val="center"/>
          </w:tcPr>
          <w:p w14:paraId="356AC990">
            <w:pPr>
              <w:jc w:val="center"/>
              <w:rPr>
                <w:kern w:val="0"/>
                <w:szCs w:val="21"/>
              </w:rPr>
            </w:pPr>
            <w:r>
              <w:rPr>
                <w:rFonts w:hint="eastAsia"/>
                <w:kern w:val="0"/>
                <w:szCs w:val="21"/>
              </w:rPr>
              <w:t>全部</w:t>
            </w:r>
          </w:p>
        </w:tc>
        <w:tc>
          <w:tcPr>
            <w:tcW w:w="686" w:type="pct"/>
            <w:tcBorders>
              <w:top w:val="single" w:color="000000" w:sz="4" w:space="0"/>
              <w:left w:val="single" w:color="000000" w:sz="4" w:space="0"/>
              <w:bottom w:val="single" w:color="000000" w:sz="4" w:space="0"/>
              <w:right w:val="single" w:color="000000" w:sz="4" w:space="0"/>
            </w:tcBorders>
            <w:vAlign w:val="center"/>
          </w:tcPr>
          <w:p w14:paraId="5CC36EA8">
            <w:pPr>
              <w:jc w:val="center"/>
              <w:rPr>
                <w:kern w:val="0"/>
                <w:szCs w:val="21"/>
              </w:rPr>
            </w:pPr>
          </w:p>
        </w:tc>
      </w:tr>
      <w:tr w14:paraId="0B9C3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307" w:type="pct"/>
            <w:tcBorders>
              <w:top w:val="single" w:color="000000" w:sz="4" w:space="0"/>
              <w:left w:val="single" w:color="000000" w:sz="4" w:space="0"/>
              <w:bottom w:val="single" w:color="000000" w:sz="4" w:space="0"/>
              <w:right w:val="single" w:color="000000" w:sz="4" w:space="0"/>
            </w:tcBorders>
            <w:vAlign w:val="center"/>
          </w:tcPr>
          <w:p w14:paraId="4BE5F00E">
            <w:pPr>
              <w:jc w:val="center"/>
              <w:rPr>
                <w:strike/>
                <w:kern w:val="0"/>
                <w:szCs w:val="21"/>
              </w:rPr>
            </w:pPr>
            <w:r>
              <w:rPr>
                <w:rFonts w:hint="eastAsia"/>
                <w:kern w:val="0"/>
                <w:szCs w:val="21"/>
              </w:rPr>
              <w:t>2</w:t>
            </w:r>
          </w:p>
        </w:tc>
        <w:tc>
          <w:tcPr>
            <w:tcW w:w="1350" w:type="pct"/>
            <w:gridSpan w:val="2"/>
            <w:tcBorders>
              <w:top w:val="single" w:color="000000" w:sz="4" w:space="0"/>
              <w:left w:val="single" w:color="000000" w:sz="4" w:space="0"/>
              <w:bottom w:val="single" w:color="000000" w:sz="4" w:space="0"/>
              <w:right w:val="single" w:color="000000" w:sz="4" w:space="0"/>
            </w:tcBorders>
            <w:vAlign w:val="center"/>
          </w:tcPr>
          <w:p w14:paraId="4F372732">
            <w:pPr>
              <w:pStyle w:val="31"/>
              <w:spacing w:after="0"/>
              <w:ind w:left="0" w:leftChars="0"/>
              <w:jc w:val="center"/>
              <w:rPr>
                <w:kern w:val="0"/>
                <w:sz w:val="21"/>
                <w:szCs w:val="21"/>
              </w:rPr>
            </w:pPr>
            <w:r>
              <w:rPr>
                <w:rFonts w:hint="eastAsia"/>
                <w:kern w:val="0"/>
                <w:sz w:val="21"/>
                <w:szCs w:val="21"/>
              </w:rPr>
              <w:t>密封性</w:t>
            </w:r>
          </w:p>
        </w:tc>
        <w:tc>
          <w:tcPr>
            <w:tcW w:w="656" w:type="pct"/>
            <w:tcBorders>
              <w:top w:val="single" w:color="000000" w:sz="4" w:space="0"/>
              <w:left w:val="single" w:color="000000" w:sz="4" w:space="0"/>
              <w:bottom w:val="single" w:color="000000" w:sz="4" w:space="0"/>
              <w:right w:val="single" w:color="auto" w:sz="4" w:space="0"/>
            </w:tcBorders>
            <w:vAlign w:val="center"/>
          </w:tcPr>
          <w:p w14:paraId="11E78867">
            <w:pPr>
              <w:jc w:val="center"/>
              <w:rPr>
                <w:kern w:val="0"/>
                <w:szCs w:val="21"/>
              </w:rPr>
            </w:pPr>
            <w:r>
              <w:rPr>
                <w:rFonts w:hint="eastAsia"/>
                <w:kern w:val="0"/>
                <w:szCs w:val="21"/>
              </w:rPr>
              <w:t>7.2</w:t>
            </w:r>
          </w:p>
        </w:tc>
        <w:tc>
          <w:tcPr>
            <w:tcW w:w="631" w:type="pct"/>
            <w:tcBorders>
              <w:top w:val="single" w:color="000000" w:sz="4" w:space="0"/>
              <w:left w:val="single" w:color="auto" w:sz="4" w:space="0"/>
              <w:bottom w:val="single" w:color="000000" w:sz="4" w:space="0"/>
              <w:right w:val="single" w:color="auto" w:sz="4" w:space="0"/>
            </w:tcBorders>
            <w:vAlign w:val="center"/>
          </w:tcPr>
          <w:p w14:paraId="7A6885B8">
            <w:pPr>
              <w:jc w:val="center"/>
              <w:rPr>
                <w:kern w:val="0"/>
                <w:szCs w:val="21"/>
              </w:rPr>
            </w:pPr>
            <w:r>
              <w:rPr>
                <w:szCs w:val="21"/>
              </w:rPr>
              <w:t>10.</w:t>
            </w:r>
            <w:r>
              <w:rPr>
                <w:rFonts w:hint="eastAsia"/>
                <w:szCs w:val="21"/>
              </w:rPr>
              <w:t>3</w:t>
            </w:r>
          </w:p>
        </w:tc>
        <w:tc>
          <w:tcPr>
            <w:tcW w:w="671" w:type="pct"/>
            <w:tcBorders>
              <w:top w:val="single" w:color="000000" w:sz="4" w:space="0"/>
              <w:left w:val="single" w:color="auto" w:sz="4" w:space="0"/>
              <w:bottom w:val="single" w:color="000000" w:sz="4" w:space="0"/>
              <w:right w:val="single" w:color="000000" w:sz="4" w:space="0"/>
            </w:tcBorders>
            <w:vAlign w:val="center"/>
          </w:tcPr>
          <w:p w14:paraId="16DEEDCA">
            <w:pPr>
              <w:jc w:val="center"/>
              <w:rPr>
                <w:szCs w:val="21"/>
              </w:rPr>
            </w:pPr>
            <w:r>
              <w:rPr>
                <w:rFonts w:hint="eastAsia"/>
                <w:kern w:val="0"/>
                <w:szCs w:val="21"/>
              </w:rPr>
              <w:t>试验项目</w:t>
            </w:r>
          </w:p>
        </w:tc>
        <w:tc>
          <w:tcPr>
            <w:tcW w:w="695" w:type="pct"/>
            <w:tcBorders>
              <w:top w:val="single" w:color="000000" w:sz="4" w:space="0"/>
              <w:left w:val="single" w:color="000000" w:sz="4" w:space="0"/>
              <w:bottom w:val="single" w:color="000000" w:sz="4" w:space="0"/>
              <w:right w:val="single" w:color="000000" w:sz="4" w:space="0"/>
            </w:tcBorders>
            <w:vAlign w:val="center"/>
          </w:tcPr>
          <w:p w14:paraId="0155214C">
            <w:pPr>
              <w:jc w:val="center"/>
              <w:rPr>
                <w:kern w:val="0"/>
                <w:szCs w:val="21"/>
              </w:rPr>
            </w:pPr>
            <w:r>
              <w:rPr>
                <w:rFonts w:hint="eastAsia"/>
                <w:kern w:val="0"/>
                <w:szCs w:val="21"/>
              </w:rPr>
              <w:t>全部</w:t>
            </w:r>
          </w:p>
        </w:tc>
        <w:tc>
          <w:tcPr>
            <w:tcW w:w="686" w:type="pct"/>
            <w:tcBorders>
              <w:top w:val="single" w:color="000000" w:sz="4" w:space="0"/>
              <w:left w:val="single" w:color="000000" w:sz="4" w:space="0"/>
              <w:bottom w:val="single" w:color="000000" w:sz="4" w:space="0"/>
              <w:right w:val="single" w:color="000000" w:sz="4" w:space="0"/>
            </w:tcBorders>
            <w:vAlign w:val="center"/>
          </w:tcPr>
          <w:p w14:paraId="39EB1BF4">
            <w:pPr>
              <w:jc w:val="center"/>
              <w:rPr>
                <w:kern w:val="0"/>
                <w:szCs w:val="21"/>
              </w:rPr>
            </w:pPr>
          </w:p>
        </w:tc>
      </w:tr>
      <w:tr w14:paraId="61ADB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307" w:type="pct"/>
            <w:tcBorders>
              <w:top w:val="single" w:color="000000" w:sz="4" w:space="0"/>
              <w:left w:val="single" w:color="000000" w:sz="4" w:space="0"/>
              <w:bottom w:val="single" w:color="000000" w:sz="4" w:space="0"/>
              <w:right w:val="single" w:color="000000" w:sz="4" w:space="0"/>
            </w:tcBorders>
            <w:vAlign w:val="center"/>
          </w:tcPr>
          <w:p w14:paraId="02870A23">
            <w:pPr>
              <w:jc w:val="center"/>
              <w:rPr>
                <w:strike/>
                <w:kern w:val="0"/>
                <w:szCs w:val="21"/>
              </w:rPr>
            </w:pPr>
            <w:r>
              <w:rPr>
                <w:rFonts w:hint="eastAsia"/>
                <w:kern w:val="0"/>
                <w:szCs w:val="21"/>
              </w:rPr>
              <w:t>3</w:t>
            </w:r>
          </w:p>
        </w:tc>
        <w:tc>
          <w:tcPr>
            <w:tcW w:w="1350" w:type="pct"/>
            <w:gridSpan w:val="2"/>
            <w:tcBorders>
              <w:top w:val="single" w:color="000000" w:sz="4" w:space="0"/>
              <w:left w:val="single" w:color="000000" w:sz="4" w:space="0"/>
              <w:bottom w:val="single" w:color="000000" w:sz="4" w:space="0"/>
              <w:right w:val="single" w:color="000000" w:sz="4" w:space="0"/>
            </w:tcBorders>
            <w:vAlign w:val="center"/>
          </w:tcPr>
          <w:p w14:paraId="119C8189">
            <w:pPr>
              <w:pStyle w:val="31"/>
              <w:spacing w:after="0"/>
              <w:ind w:left="0" w:leftChars="0"/>
              <w:jc w:val="center"/>
              <w:rPr>
                <w:sz w:val="21"/>
                <w:szCs w:val="21"/>
              </w:rPr>
            </w:pPr>
            <w:r>
              <w:rPr>
                <w:rFonts w:hint="eastAsia"/>
                <w:sz w:val="21"/>
                <w:szCs w:val="21"/>
              </w:rPr>
              <w:t>耐压强度</w:t>
            </w:r>
          </w:p>
        </w:tc>
        <w:tc>
          <w:tcPr>
            <w:tcW w:w="656" w:type="pct"/>
            <w:tcBorders>
              <w:top w:val="single" w:color="000000" w:sz="4" w:space="0"/>
              <w:left w:val="single" w:color="000000" w:sz="4" w:space="0"/>
              <w:bottom w:val="single" w:color="000000" w:sz="4" w:space="0"/>
              <w:right w:val="single" w:color="auto" w:sz="4" w:space="0"/>
            </w:tcBorders>
            <w:vAlign w:val="center"/>
          </w:tcPr>
          <w:p w14:paraId="3C222DAD">
            <w:pPr>
              <w:jc w:val="center"/>
              <w:rPr>
                <w:kern w:val="0"/>
                <w:szCs w:val="21"/>
              </w:rPr>
            </w:pPr>
            <w:r>
              <w:rPr>
                <w:rFonts w:hint="eastAsia"/>
                <w:kern w:val="0"/>
                <w:szCs w:val="21"/>
              </w:rPr>
              <w:t>7.3</w:t>
            </w:r>
          </w:p>
        </w:tc>
        <w:tc>
          <w:tcPr>
            <w:tcW w:w="631" w:type="pct"/>
            <w:tcBorders>
              <w:top w:val="single" w:color="000000" w:sz="4" w:space="0"/>
              <w:left w:val="single" w:color="auto" w:sz="4" w:space="0"/>
              <w:bottom w:val="single" w:color="000000" w:sz="4" w:space="0"/>
              <w:right w:val="single" w:color="auto" w:sz="4" w:space="0"/>
            </w:tcBorders>
            <w:vAlign w:val="center"/>
          </w:tcPr>
          <w:p w14:paraId="063F2C94">
            <w:pPr>
              <w:jc w:val="center"/>
              <w:rPr>
                <w:kern w:val="0"/>
                <w:szCs w:val="21"/>
              </w:rPr>
            </w:pPr>
            <w:r>
              <w:rPr>
                <w:szCs w:val="21"/>
              </w:rPr>
              <w:t>10.</w:t>
            </w:r>
            <w:r>
              <w:rPr>
                <w:rFonts w:hint="eastAsia"/>
                <w:szCs w:val="21"/>
              </w:rPr>
              <w:t>4</w:t>
            </w:r>
          </w:p>
        </w:tc>
        <w:tc>
          <w:tcPr>
            <w:tcW w:w="671" w:type="pct"/>
            <w:tcBorders>
              <w:top w:val="single" w:color="000000" w:sz="4" w:space="0"/>
              <w:left w:val="single" w:color="auto" w:sz="4" w:space="0"/>
              <w:bottom w:val="single" w:color="000000" w:sz="4" w:space="0"/>
              <w:right w:val="single" w:color="000000" w:sz="4" w:space="0"/>
            </w:tcBorders>
            <w:vAlign w:val="center"/>
          </w:tcPr>
          <w:p w14:paraId="409DDE5E">
            <w:pPr>
              <w:jc w:val="center"/>
              <w:rPr>
                <w:kern w:val="0"/>
                <w:szCs w:val="21"/>
              </w:rPr>
            </w:pPr>
            <w:r>
              <w:rPr>
                <w:rFonts w:hint="eastAsia"/>
                <w:kern w:val="0"/>
                <w:szCs w:val="21"/>
              </w:rPr>
              <w:t>试验项目</w:t>
            </w:r>
          </w:p>
        </w:tc>
        <w:tc>
          <w:tcPr>
            <w:tcW w:w="695" w:type="pct"/>
            <w:tcBorders>
              <w:top w:val="single" w:color="000000" w:sz="4" w:space="0"/>
              <w:left w:val="single" w:color="000000" w:sz="4" w:space="0"/>
              <w:bottom w:val="single" w:color="000000" w:sz="4" w:space="0"/>
              <w:right w:val="single" w:color="000000" w:sz="4" w:space="0"/>
            </w:tcBorders>
            <w:vAlign w:val="center"/>
          </w:tcPr>
          <w:p w14:paraId="03688342">
            <w:pPr>
              <w:jc w:val="center"/>
              <w:rPr>
                <w:kern w:val="0"/>
                <w:szCs w:val="21"/>
              </w:rPr>
            </w:pPr>
            <w:r>
              <w:rPr>
                <w:rFonts w:hint="eastAsia"/>
                <w:kern w:val="0"/>
                <w:szCs w:val="21"/>
              </w:rPr>
              <w:t>全部</w:t>
            </w:r>
          </w:p>
        </w:tc>
        <w:tc>
          <w:tcPr>
            <w:tcW w:w="686" w:type="pct"/>
            <w:tcBorders>
              <w:top w:val="single" w:color="000000" w:sz="4" w:space="0"/>
              <w:left w:val="single" w:color="000000" w:sz="4" w:space="0"/>
              <w:bottom w:val="single" w:color="000000" w:sz="4" w:space="0"/>
              <w:right w:val="single" w:color="000000" w:sz="4" w:space="0"/>
            </w:tcBorders>
            <w:vAlign w:val="center"/>
          </w:tcPr>
          <w:p w14:paraId="5B803CE9">
            <w:pPr>
              <w:jc w:val="center"/>
              <w:rPr>
                <w:kern w:val="0"/>
                <w:szCs w:val="21"/>
              </w:rPr>
            </w:pPr>
            <w:r>
              <w:rPr>
                <w:rFonts w:hint="eastAsia"/>
                <w:kern w:val="0"/>
                <w:szCs w:val="21"/>
              </w:rPr>
              <w:t>提供证书免于试验</w:t>
            </w:r>
          </w:p>
        </w:tc>
      </w:tr>
      <w:tr w14:paraId="1EE48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307" w:type="pct"/>
            <w:vMerge w:val="restart"/>
            <w:tcBorders>
              <w:top w:val="single" w:color="000000" w:sz="4" w:space="0"/>
              <w:left w:val="single" w:color="000000" w:sz="4" w:space="0"/>
              <w:right w:val="single" w:color="000000" w:sz="4" w:space="0"/>
            </w:tcBorders>
            <w:vAlign w:val="center"/>
          </w:tcPr>
          <w:p w14:paraId="5F667ED9">
            <w:pPr>
              <w:jc w:val="center"/>
              <w:rPr>
                <w:kern w:val="0"/>
                <w:szCs w:val="21"/>
              </w:rPr>
            </w:pPr>
            <w:r>
              <w:rPr>
                <w:rFonts w:hint="eastAsia"/>
                <w:kern w:val="0"/>
                <w:szCs w:val="21"/>
              </w:rPr>
              <w:t>4</w:t>
            </w:r>
          </w:p>
        </w:tc>
        <w:tc>
          <w:tcPr>
            <w:tcW w:w="479" w:type="pct"/>
            <w:vMerge w:val="restart"/>
            <w:tcBorders>
              <w:top w:val="single" w:color="000000" w:sz="4" w:space="0"/>
              <w:left w:val="single" w:color="000000" w:sz="4" w:space="0"/>
              <w:right w:val="single" w:color="auto" w:sz="4" w:space="0"/>
            </w:tcBorders>
            <w:vAlign w:val="center"/>
          </w:tcPr>
          <w:p w14:paraId="7A1D3AFF">
            <w:pPr>
              <w:pStyle w:val="31"/>
              <w:spacing w:after="0"/>
              <w:ind w:left="0" w:leftChars="0"/>
              <w:jc w:val="center"/>
              <w:rPr>
                <w:kern w:val="0"/>
                <w:sz w:val="21"/>
                <w:szCs w:val="21"/>
              </w:rPr>
            </w:pPr>
            <w:r>
              <w:rPr>
                <w:rFonts w:hint="eastAsia"/>
                <w:kern w:val="0"/>
                <w:sz w:val="21"/>
                <w:szCs w:val="21"/>
              </w:rPr>
              <w:t>辅助</w:t>
            </w:r>
            <w:r>
              <w:rPr>
                <w:kern w:val="0"/>
                <w:sz w:val="21"/>
                <w:szCs w:val="21"/>
              </w:rPr>
              <w:t>功能</w:t>
            </w:r>
            <w:r>
              <w:rPr>
                <w:rFonts w:hint="eastAsia"/>
                <w:kern w:val="0"/>
                <w:sz w:val="21"/>
                <w:szCs w:val="21"/>
              </w:rPr>
              <w:t>性要求</w:t>
            </w:r>
          </w:p>
        </w:tc>
        <w:tc>
          <w:tcPr>
            <w:tcW w:w="871" w:type="pct"/>
            <w:tcBorders>
              <w:top w:val="single" w:color="000000" w:sz="4" w:space="0"/>
              <w:left w:val="single" w:color="auto" w:sz="4" w:space="0"/>
              <w:bottom w:val="single" w:color="000000" w:sz="4" w:space="0"/>
              <w:right w:val="single" w:color="000000" w:sz="4" w:space="0"/>
            </w:tcBorders>
            <w:vAlign w:val="center"/>
          </w:tcPr>
          <w:p w14:paraId="4E6D459E">
            <w:pPr>
              <w:pStyle w:val="31"/>
              <w:spacing w:after="0"/>
              <w:ind w:left="0" w:leftChars="0"/>
              <w:jc w:val="center"/>
              <w:rPr>
                <w:kern w:val="0"/>
                <w:sz w:val="21"/>
                <w:szCs w:val="21"/>
              </w:rPr>
            </w:pPr>
            <w:r>
              <w:rPr>
                <w:rFonts w:hint="eastAsia"/>
                <w:kern w:val="0"/>
                <w:sz w:val="21"/>
                <w:szCs w:val="21"/>
              </w:rPr>
              <w:t>工作电源欠压</w:t>
            </w:r>
          </w:p>
        </w:tc>
        <w:tc>
          <w:tcPr>
            <w:tcW w:w="656" w:type="pct"/>
            <w:tcBorders>
              <w:top w:val="single" w:color="000000" w:sz="4" w:space="0"/>
              <w:left w:val="single" w:color="000000" w:sz="4" w:space="0"/>
              <w:bottom w:val="single" w:color="000000" w:sz="4" w:space="0"/>
              <w:right w:val="single" w:color="auto" w:sz="4" w:space="0"/>
            </w:tcBorders>
            <w:vAlign w:val="center"/>
          </w:tcPr>
          <w:p w14:paraId="51149756">
            <w:pPr>
              <w:jc w:val="center"/>
              <w:rPr>
                <w:kern w:val="0"/>
                <w:szCs w:val="21"/>
              </w:rPr>
            </w:pPr>
            <w:r>
              <w:rPr>
                <w:kern w:val="0"/>
                <w:szCs w:val="21"/>
              </w:rPr>
              <w:t>7.</w:t>
            </w:r>
            <w:r>
              <w:rPr>
                <w:rFonts w:hint="eastAsia"/>
                <w:kern w:val="0"/>
                <w:szCs w:val="21"/>
              </w:rPr>
              <w:t>4.1</w:t>
            </w:r>
          </w:p>
        </w:tc>
        <w:tc>
          <w:tcPr>
            <w:tcW w:w="631" w:type="pct"/>
            <w:tcBorders>
              <w:top w:val="single" w:color="000000" w:sz="4" w:space="0"/>
              <w:left w:val="single" w:color="auto" w:sz="4" w:space="0"/>
              <w:bottom w:val="single" w:color="000000" w:sz="4" w:space="0"/>
              <w:right w:val="single" w:color="auto" w:sz="4" w:space="0"/>
            </w:tcBorders>
            <w:vAlign w:val="center"/>
          </w:tcPr>
          <w:p w14:paraId="1DFEAF63">
            <w:pPr>
              <w:jc w:val="center"/>
              <w:rPr>
                <w:kern w:val="0"/>
                <w:szCs w:val="21"/>
              </w:rPr>
            </w:pPr>
            <w:r>
              <w:rPr>
                <w:rFonts w:hint="eastAsia"/>
                <w:kern w:val="0"/>
                <w:szCs w:val="21"/>
              </w:rPr>
              <w:t>10</w:t>
            </w:r>
            <w:r>
              <w:rPr>
                <w:kern w:val="0"/>
                <w:szCs w:val="21"/>
              </w:rPr>
              <w:t>.</w:t>
            </w:r>
            <w:r>
              <w:rPr>
                <w:rFonts w:hint="eastAsia"/>
                <w:kern w:val="0"/>
                <w:szCs w:val="21"/>
              </w:rPr>
              <w:t>5.1</w:t>
            </w:r>
          </w:p>
        </w:tc>
        <w:tc>
          <w:tcPr>
            <w:tcW w:w="671" w:type="pct"/>
            <w:tcBorders>
              <w:top w:val="single" w:color="000000" w:sz="4" w:space="0"/>
              <w:left w:val="single" w:color="auto" w:sz="4" w:space="0"/>
              <w:bottom w:val="single" w:color="000000" w:sz="4" w:space="0"/>
              <w:right w:val="single" w:color="000000" w:sz="4" w:space="0"/>
            </w:tcBorders>
            <w:vAlign w:val="center"/>
          </w:tcPr>
          <w:p w14:paraId="4E9B2714">
            <w:pPr>
              <w:jc w:val="center"/>
              <w:rPr>
                <w:szCs w:val="21"/>
              </w:rPr>
            </w:pPr>
            <w:r>
              <w:rPr>
                <w:rFonts w:hint="eastAsia"/>
                <w:kern w:val="0"/>
                <w:szCs w:val="21"/>
              </w:rPr>
              <w:t>试验项目</w:t>
            </w:r>
          </w:p>
        </w:tc>
        <w:tc>
          <w:tcPr>
            <w:tcW w:w="695" w:type="pct"/>
            <w:tcBorders>
              <w:top w:val="single" w:color="000000" w:sz="4" w:space="0"/>
              <w:left w:val="single" w:color="000000" w:sz="4" w:space="0"/>
              <w:bottom w:val="single" w:color="auto" w:sz="4" w:space="0"/>
              <w:right w:val="single" w:color="000000" w:sz="4" w:space="0"/>
            </w:tcBorders>
            <w:vAlign w:val="center"/>
          </w:tcPr>
          <w:p w14:paraId="31371A5C">
            <w:pPr>
              <w:jc w:val="center"/>
              <w:rPr>
                <w:kern w:val="0"/>
                <w:szCs w:val="21"/>
              </w:rPr>
            </w:pPr>
            <w:r>
              <w:rPr>
                <w:rFonts w:hint="eastAsia"/>
                <w:kern w:val="0"/>
                <w:szCs w:val="21"/>
              </w:rPr>
              <w:t>全部</w:t>
            </w:r>
          </w:p>
        </w:tc>
        <w:tc>
          <w:tcPr>
            <w:tcW w:w="686" w:type="pct"/>
            <w:vMerge w:val="restart"/>
            <w:tcBorders>
              <w:top w:val="single" w:color="000000" w:sz="4" w:space="0"/>
              <w:left w:val="single" w:color="000000" w:sz="4" w:space="0"/>
              <w:right w:val="single" w:color="000000" w:sz="4" w:space="0"/>
            </w:tcBorders>
            <w:vAlign w:val="center"/>
          </w:tcPr>
          <w:p w14:paraId="29FB0B13">
            <w:pPr>
              <w:jc w:val="center"/>
              <w:rPr>
                <w:kern w:val="0"/>
                <w:szCs w:val="21"/>
              </w:rPr>
            </w:pPr>
            <w:r>
              <w:rPr>
                <w:rFonts w:hint="eastAsia"/>
                <w:kern w:val="0"/>
                <w:szCs w:val="21"/>
              </w:rPr>
              <w:t>带电子显示的流量计适用</w:t>
            </w:r>
          </w:p>
        </w:tc>
      </w:tr>
      <w:tr w14:paraId="28900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jc w:val="center"/>
        </w:trPr>
        <w:tc>
          <w:tcPr>
            <w:tcW w:w="307" w:type="pct"/>
            <w:vMerge w:val="continue"/>
            <w:tcBorders>
              <w:left w:val="single" w:color="000000" w:sz="4" w:space="0"/>
              <w:right w:val="single" w:color="000000" w:sz="4" w:space="0"/>
            </w:tcBorders>
            <w:vAlign w:val="center"/>
          </w:tcPr>
          <w:p w14:paraId="413F7459">
            <w:pPr>
              <w:jc w:val="center"/>
              <w:rPr>
                <w:kern w:val="0"/>
                <w:szCs w:val="21"/>
              </w:rPr>
            </w:pPr>
          </w:p>
        </w:tc>
        <w:tc>
          <w:tcPr>
            <w:tcW w:w="479" w:type="pct"/>
            <w:vMerge w:val="continue"/>
            <w:tcBorders>
              <w:left w:val="single" w:color="000000" w:sz="4" w:space="0"/>
              <w:right w:val="single" w:color="auto" w:sz="4" w:space="0"/>
            </w:tcBorders>
            <w:vAlign w:val="center"/>
          </w:tcPr>
          <w:p w14:paraId="3A5F6255">
            <w:pPr>
              <w:pStyle w:val="31"/>
              <w:spacing w:after="0"/>
              <w:ind w:left="0" w:leftChars="0"/>
              <w:jc w:val="center"/>
              <w:rPr>
                <w:kern w:val="0"/>
                <w:sz w:val="21"/>
                <w:szCs w:val="21"/>
              </w:rPr>
            </w:pPr>
          </w:p>
        </w:tc>
        <w:tc>
          <w:tcPr>
            <w:tcW w:w="871" w:type="pct"/>
            <w:tcBorders>
              <w:top w:val="single" w:color="000000" w:sz="4" w:space="0"/>
              <w:left w:val="single" w:color="auto" w:sz="4" w:space="0"/>
              <w:bottom w:val="single" w:color="000000" w:sz="4" w:space="0"/>
              <w:right w:val="single" w:color="000000" w:sz="4" w:space="0"/>
            </w:tcBorders>
            <w:vAlign w:val="center"/>
          </w:tcPr>
          <w:p w14:paraId="784C3536">
            <w:pPr>
              <w:pStyle w:val="31"/>
              <w:spacing w:after="0"/>
              <w:ind w:left="0" w:leftChars="0"/>
              <w:jc w:val="center"/>
              <w:rPr>
                <w:kern w:val="0"/>
                <w:sz w:val="21"/>
                <w:szCs w:val="21"/>
              </w:rPr>
            </w:pPr>
            <w:r>
              <w:rPr>
                <w:rFonts w:hint="eastAsia"/>
                <w:kern w:val="0"/>
                <w:sz w:val="21"/>
                <w:szCs w:val="21"/>
              </w:rPr>
              <w:t>断电保护</w:t>
            </w:r>
          </w:p>
        </w:tc>
        <w:tc>
          <w:tcPr>
            <w:tcW w:w="656" w:type="pct"/>
            <w:tcBorders>
              <w:top w:val="single" w:color="000000" w:sz="4" w:space="0"/>
              <w:left w:val="single" w:color="000000" w:sz="4" w:space="0"/>
              <w:bottom w:val="single" w:color="000000" w:sz="4" w:space="0"/>
              <w:right w:val="single" w:color="auto" w:sz="4" w:space="0"/>
            </w:tcBorders>
            <w:vAlign w:val="center"/>
          </w:tcPr>
          <w:p w14:paraId="1EA24CC2">
            <w:pPr>
              <w:jc w:val="center"/>
              <w:rPr>
                <w:kern w:val="0"/>
                <w:szCs w:val="21"/>
              </w:rPr>
            </w:pPr>
            <w:r>
              <w:rPr>
                <w:kern w:val="0"/>
                <w:szCs w:val="21"/>
              </w:rPr>
              <w:t>7.</w:t>
            </w:r>
            <w:r>
              <w:rPr>
                <w:rFonts w:hint="eastAsia"/>
                <w:kern w:val="0"/>
                <w:szCs w:val="21"/>
              </w:rPr>
              <w:t>4.2</w:t>
            </w:r>
          </w:p>
        </w:tc>
        <w:tc>
          <w:tcPr>
            <w:tcW w:w="631" w:type="pct"/>
            <w:tcBorders>
              <w:top w:val="single" w:color="000000" w:sz="4" w:space="0"/>
              <w:left w:val="single" w:color="auto" w:sz="4" w:space="0"/>
              <w:bottom w:val="single" w:color="000000" w:sz="4" w:space="0"/>
              <w:right w:val="single" w:color="auto" w:sz="4" w:space="0"/>
            </w:tcBorders>
            <w:vAlign w:val="center"/>
          </w:tcPr>
          <w:p w14:paraId="536776EE">
            <w:pPr>
              <w:jc w:val="center"/>
              <w:rPr>
                <w:kern w:val="0"/>
                <w:szCs w:val="21"/>
              </w:rPr>
            </w:pPr>
            <w:r>
              <w:rPr>
                <w:rFonts w:hint="eastAsia"/>
                <w:kern w:val="0"/>
                <w:szCs w:val="21"/>
              </w:rPr>
              <w:t>10</w:t>
            </w:r>
            <w:r>
              <w:rPr>
                <w:kern w:val="0"/>
                <w:szCs w:val="21"/>
              </w:rPr>
              <w:t>.</w:t>
            </w:r>
            <w:r>
              <w:rPr>
                <w:rFonts w:hint="eastAsia"/>
                <w:kern w:val="0"/>
                <w:szCs w:val="21"/>
              </w:rPr>
              <w:t>5.2</w:t>
            </w:r>
          </w:p>
        </w:tc>
        <w:tc>
          <w:tcPr>
            <w:tcW w:w="671" w:type="pct"/>
            <w:tcBorders>
              <w:top w:val="single" w:color="000000" w:sz="4" w:space="0"/>
              <w:left w:val="single" w:color="auto" w:sz="4" w:space="0"/>
              <w:bottom w:val="single" w:color="000000" w:sz="4" w:space="0"/>
              <w:right w:val="single" w:color="000000" w:sz="4" w:space="0"/>
            </w:tcBorders>
            <w:vAlign w:val="center"/>
          </w:tcPr>
          <w:p w14:paraId="434A7B1A">
            <w:pPr>
              <w:jc w:val="center"/>
              <w:rPr>
                <w:szCs w:val="21"/>
              </w:rPr>
            </w:pPr>
            <w:r>
              <w:rPr>
                <w:rFonts w:hint="eastAsia"/>
                <w:kern w:val="0"/>
                <w:szCs w:val="21"/>
              </w:rPr>
              <w:t>试验项目</w:t>
            </w:r>
          </w:p>
        </w:tc>
        <w:tc>
          <w:tcPr>
            <w:tcW w:w="695" w:type="pct"/>
            <w:tcBorders>
              <w:top w:val="single" w:color="000000" w:sz="4" w:space="0"/>
              <w:left w:val="single" w:color="000000" w:sz="4" w:space="0"/>
              <w:bottom w:val="single" w:color="auto" w:sz="4" w:space="0"/>
              <w:right w:val="single" w:color="000000" w:sz="4" w:space="0"/>
            </w:tcBorders>
            <w:vAlign w:val="center"/>
          </w:tcPr>
          <w:p w14:paraId="1B616AD7">
            <w:pPr>
              <w:jc w:val="center"/>
              <w:rPr>
                <w:kern w:val="0"/>
                <w:szCs w:val="21"/>
              </w:rPr>
            </w:pPr>
            <w:r>
              <w:rPr>
                <w:rFonts w:hint="eastAsia"/>
                <w:kern w:val="0"/>
                <w:szCs w:val="21"/>
              </w:rPr>
              <w:t>全部</w:t>
            </w:r>
          </w:p>
        </w:tc>
        <w:tc>
          <w:tcPr>
            <w:tcW w:w="686" w:type="pct"/>
            <w:vMerge w:val="continue"/>
            <w:tcBorders>
              <w:left w:val="single" w:color="000000" w:sz="4" w:space="0"/>
              <w:right w:val="single" w:color="000000" w:sz="4" w:space="0"/>
            </w:tcBorders>
            <w:vAlign w:val="center"/>
          </w:tcPr>
          <w:p w14:paraId="034C7E25">
            <w:pPr>
              <w:jc w:val="center"/>
              <w:rPr>
                <w:kern w:val="0"/>
                <w:szCs w:val="21"/>
              </w:rPr>
            </w:pPr>
          </w:p>
        </w:tc>
      </w:tr>
      <w:tr w14:paraId="511D2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307" w:type="pct"/>
            <w:vMerge w:val="restart"/>
            <w:tcBorders>
              <w:top w:val="single" w:color="000000" w:sz="4" w:space="0"/>
              <w:left w:val="single" w:color="000000" w:sz="4" w:space="0"/>
              <w:right w:val="single" w:color="000000" w:sz="4" w:space="0"/>
            </w:tcBorders>
            <w:vAlign w:val="center"/>
          </w:tcPr>
          <w:p w14:paraId="37B201B4">
            <w:pPr>
              <w:jc w:val="center"/>
              <w:rPr>
                <w:kern w:val="0"/>
                <w:szCs w:val="21"/>
              </w:rPr>
            </w:pPr>
            <w:r>
              <w:rPr>
                <w:rFonts w:hint="eastAsia"/>
                <w:kern w:val="0"/>
                <w:szCs w:val="21"/>
              </w:rPr>
              <w:t>5</w:t>
            </w:r>
          </w:p>
        </w:tc>
        <w:tc>
          <w:tcPr>
            <w:tcW w:w="479" w:type="pct"/>
            <w:vMerge w:val="restart"/>
            <w:tcBorders>
              <w:top w:val="single" w:color="000000" w:sz="4" w:space="0"/>
              <w:left w:val="single" w:color="000000" w:sz="4" w:space="0"/>
              <w:right w:val="single" w:color="auto" w:sz="4" w:space="0"/>
            </w:tcBorders>
            <w:vAlign w:val="center"/>
          </w:tcPr>
          <w:p w14:paraId="42F81B53">
            <w:pPr>
              <w:pStyle w:val="114"/>
              <w:jc w:val="center"/>
              <w:outlineLvl w:val="9"/>
              <w:rPr>
                <w:rFonts w:eastAsia="宋体"/>
                <w:szCs w:val="21"/>
              </w:rPr>
            </w:pPr>
            <w:r>
              <w:rPr>
                <w:rFonts w:hint="eastAsia" w:eastAsia="宋体"/>
                <w:szCs w:val="21"/>
              </w:rPr>
              <w:t>安全</w:t>
            </w:r>
          </w:p>
          <w:p w14:paraId="433D1D30">
            <w:pPr>
              <w:pStyle w:val="114"/>
              <w:jc w:val="center"/>
              <w:outlineLvl w:val="9"/>
              <w:rPr>
                <w:rFonts w:eastAsia="宋体"/>
                <w:szCs w:val="21"/>
              </w:rPr>
            </w:pPr>
            <w:r>
              <w:rPr>
                <w:rFonts w:hint="eastAsia" w:eastAsia="宋体"/>
                <w:szCs w:val="21"/>
              </w:rPr>
              <w:t>性能</w:t>
            </w:r>
          </w:p>
        </w:tc>
        <w:tc>
          <w:tcPr>
            <w:tcW w:w="871" w:type="pct"/>
            <w:tcBorders>
              <w:top w:val="single" w:color="000000" w:sz="4" w:space="0"/>
              <w:left w:val="single" w:color="auto" w:sz="4" w:space="0"/>
              <w:bottom w:val="single" w:color="000000" w:sz="4" w:space="0"/>
              <w:right w:val="single" w:color="000000" w:sz="4" w:space="0"/>
            </w:tcBorders>
            <w:vAlign w:val="center"/>
          </w:tcPr>
          <w:p w14:paraId="1A9592B5">
            <w:pPr>
              <w:pStyle w:val="114"/>
              <w:jc w:val="center"/>
              <w:outlineLvl w:val="9"/>
              <w:rPr>
                <w:rFonts w:eastAsia="宋体"/>
                <w:szCs w:val="21"/>
              </w:rPr>
            </w:pPr>
            <w:r>
              <w:rPr>
                <w:rFonts w:hint="eastAsia" w:eastAsia="宋体"/>
                <w:szCs w:val="21"/>
              </w:rPr>
              <w:t>绝缘电阻</w:t>
            </w:r>
          </w:p>
        </w:tc>
        <w:tc>
          <w:tcPr>
            <w:tcW w:w="656" w:type="pct"/>
            <w:tcBorders>
              <w:top w:val="single" w:color="000000" w:sz="4" w:space="0"/>
              <w:left w:val="single" w:color="000000" w:sz="4" w:space="0"/>
              <w:bottom w:val="single" w:color="000000" w:sz="4" w:space="0"/>
              <w:right w:val="single" w:color="auto" w:sz="4" w:space="0"/>
            </w:tcBorders>
            <w:vAlign w:val="center"/>
          </w:tcPr>
          <w:p w14:paraId="7729DC2D">
            <w:pPr>
              <w:pStyle w:val="31"/>
              <w:spacing w:after="0"/>
              <w:ind w:left="0" w:leftChars="0"/>
              <w:jc w:val="center"/>
              <w:rPr>
                <w:kern w:val="0"/>
                <w:sz w:val="21"/>
                <w:szCs w:val="21"/>
              </w:rPr>
            </w:pPr>
            <w:r>
              <w:rPr>
                <w:kern w:val="0"/>
                <w:sz w:val="21"/>
                <w:szCs w:val="21"/>
              </w:rPr>
              <w:t>7.</w:t>
            </w:r>
            <w:r>
              <w:rPr>
                <w:rFonts w:hint="eastAsia"/>
                <w:kern w:val="0"/>
                <w:sz w:val="21"/>
                <w:szCs w:val="21"/>
              </w:rPr>
              <w:t>5.1</w:t>
            </w:r>
          </w:p>
        </w:tc>
        <w:tc>
          <w:tcPr>
            <w:tcW w:w="631" w:type="pct"/>
            <w:tcBorders>
              <w:top w:val="single" w:color="000000" w:sz="4" w:space="0"/>
              <w:left w:val="single" w:color="auto" w:sz="4" w:space="0"/>
              <w:bottom w:val="single" w:color="000000" w:sz="4" w:space="0"/>
              <w:right w:val="single" w:color="auto" w:sz="4" w:space="0"/>
            </w:tcBorders>
            <w:vAlign w:val="center"/>
          </w:tcPr>
          <w:p w14:paraId="1BF0B3EB">
            <w:pPr>
              <w:pStyle w:val="31"/>
              <w:spacing w:after="0"/>
              <w:ind w:left="0" w:leftChars="0"/>
              <w:jc w:val="center"/>
              <w:rPr>
                <w:kern w:val="0"/>
                <w:sz w:val="21"/>
                <w:szCs w:val="21"/>
              </w:rPr>
            </w:pPr>
            <w:r>
              <w:rPr>
                <w:rFonts w:hint="eastAsia"/>
                <w:kern w:val="0"/>
                <w:sz w:val="21"/>
                <w:szCs w:val="21"/>
              </w:rPr>
              <w:t>10</w:t>
            </w:r>
            <w:r>
              <w:rPr>
                <w:kern w:val="0"/>
                <w:sz w:val="21"/>
                <w:szCs w:val="21"/>
              </w:rPr>
              <w:t>.</w:t>
            </w:r>
            <w:r>
              <w:rPr>
                <w:rFonts w:hint="eastAsia"/>
                <w:kern w:val="0"/>
                <w:sz w:val="21"/>
                <w:szCs w:val="21"/>
              </w:rPr>
              <w:t>6.1</w:t>
            </w:r>
          </w:p>
        </w:tc>
        <w:tc>
          <w:tcPr>
            <w:tcW w:w="671" w:type="pct"/>
            <w:tcBorders>
              <w:top w:val="single" w:color="000000" w:sz="4" w:space="0"/>
              <w:left w:val="single" w:color="auto" w:sz="4" w:space="0"/>
              <w:bottom w:val="single" w:color="auto" w:sz="4" w:space="0"/>
              <w:right w:val="single" w:color="000000" w:sz="4" w:space="0"/>
            </w:tcBorders>
            <w:vAlign w:val="center"/>
          </w:tcPr>
          <w:p w14:paraId="7C3304BA">
            <w:pPr>
              <w:jc w:val="center"/>
              <w:rPr>
                <w:szCs w:val="21"/>
              </w:rPr>
            </w:pPr>
            <w:r>
              <w:rPr>
                <w:rFonts w:hint="eastAsia"/>
                <w:kern w:val="0"/>
                <w:szCs w:val="21"/>
              </w:rPr>
              <w:t>试验项目</w:t>
            </w:r>
          </w:p>
        </w:tc>
        <w:tc>
          <w:tcPr>
            <w:tcW w:w="695" w:type="pct"/>
            <w:tcBorders>
              <w:top w:val="single" w:color="000000" w:sz="4" w:space="0"/>
              <w:left w:val="single" w:color="000000" w:sz="4" w:space="0"/>
              <w:bottom w:val="single" w:color="auto" w:sz="4" w:space="0"/>
              <w:right w:val="single" w:color="000000" w:sz="4" w:space="0"/>
            </w:tcBorders>
            <w:vAlign w:val="center"/>
          </w:tcPr>
          <w:p w14:paraId="4C4942EA">
            <w:pPr>
              <w:jc w:val="center"/>
              <w:rPr>
                <w:kern w:val="0"/>
                <w:szCs w:val="21"/>
              </w:rPr>
            </w:pPr>
            <w:r>
              <w:rPr>
                <w:rFonts w:hint="eastAsia"/>
                <w:kern w:val="0"/>
                <w:szCs w:val="21"/>
              </w:rPr>
              <w:t>≥1</w:t>
            </w:r>
          </w:p>
        </w:tc>
        <w:tc>
          <w:tcPr>
            <w:tcW w:w="686" w:type="pct"/>
            <w:vMerge w:val="restart"/>
            <w:tcBorders>
              <w:top w:val="single" w:color="000000" w:sz="4" w:space="0"/>
              <w:left w:val="single" w:color="000000" w:sz="4" w:space="0"/>
              <w:right w:val="single" w:color="000000" w:sz="4" w:space="0"/>
            </w:tcBorders>
            <w:vAlign w:val="center"/>
          </w:tcPr>
          <w:p w14:paraId="3198E1DA">
            <w:pPr>
              <w:jc w:val="center"/>
              <w:rPr>
                <w:kern w:val="0"/>
                <w:szCs w:val="21"/>
              </w:rPr>
            </w:pPr>
          </w:p>
        </w:tc>
      </w:tr>
      <w:tr w14:paraId="42A6E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307" w:type="pct"/>
            <w:vMerge w:val="continue"/>
            <w:tcBorders>
              <w:left w:val="single" w:color="000000" w:sz="4" w:space="0"/>
              <w:right w:val="single" w:color="000000" w:sz="4" w:space="0"/>
            </w:tcBorders>
            <w:vAlign w:val="center"/>
          </w:tcPr>
          <w:p w14:paraId="67BAE4A0">
            <w:pPr>
              <w:jc w:val="center"/>
              <w:rPr>
                <w:kern w:val="0"/>
                <w:szCs w:val="21"/>
              </w:rPr>
            </w:pPr>
          </w:p>
        </w:tc>
        <w:tc>
          <w:tcPr>
            <w:tcW w:w="479" w:type="pct"/>
            <w:vMerge w:val="continue"/>
            <w:tcBorders>
              <w:left w:val="single" w:color="000000" w:sz="4" w:space="0"/>
              <w:right w:val="single" w:color="auto" w:sz="4" w:space="0"/>
            </w:tcBorders>
            <w:vAlign w:val="center"/>
          </w:tcPr>
          <w:p w14:paraId="07E1B3BB">
            <w:pPr>
              <w:pStyle w:val="114"/>
              <w:jc w:val="center"/>
              <w:outlineLvl w:val="9"/>
              <w:rPr>
                <w:rFonts w:eastAsia="宋体"/>
                <w:szCs w:val="21"/>
              </w:rPr>
            </w:pPr>
          </w:p>
        </w:tc>
        <w:tc>
          <w:tcPr>
            <w:tcW w:w="871" w:type="pct"/>
            <w:tcBorders>
              <w:top w:val="single" w:color="000000" w:sz="4" w:space="0"/>
              <w:left w:val="single" w:color="auto" w:sz="4" w:space="0"/>
              <w:bottom w:val="single" w:color="000000" w:sz="4" w:space="0"/>
              <w:right w:val="single" w:color="000000" w:sz="4" w:space="0"/>
            </w:tcBorders>
            <w:vAlign w:val="center"/>
          </w:tcPr>
          <w:p w14:paraId="78B8CC18">
            <w:pPr>
              <w:pStyle w:val="114"/>
              <w:snapToGrid w:val="0"/>
              <w:jc w:val="center"/>
              <w:outlineLvl w:val="9"/>
              <w:rPr>
                <w:rFonts w:eastAsia="宋体"/>
                <w:szCs w:val="21"/>
              </w:rPr>
            </w:pPr>
            <w:r>
              <w:rPr>
                <w:rFonts w:hint="eastAsia" w:eastAsia="宋体"/>
                <w:szCs w:val="21"/>
              </w:rPr>
              <w:t>绝缘强度</w:t>
            </w:r>
          </w:p>
        </w:tc>
        <w:tc>
          <w:tcPr>
            <w:tcW w:w="656" w:type="pct"/>
            <w:tcBorders>
              <w:top w:val="single" w:color="000000" w:sz="4" w:space="0"/>
              <w:left w:val="single" w:color="000000" w:sz="4" w:space="0"/>
              <w:bottom w:val="single" w:color="000000" w:sz="4" w:space="0"/>
              <w:right w:val="single" w:color="auto" w:sz="4" w:space="0"/>
            </w:tcBorders>
            <w:vAlign w:val="center"/>
          </w:tcPr>
          <w:p w14:paraId="647AB9A4">
            <w:pPr>
              <w:pStyle w:val="114"/>
              <w:jc w:val="center"/>
              <w:outlineLvl w:val="9"/>
              <w:rPr>
                <w:kern w:val="0"/>
                <w:szCs w:val="21"/>
              </w:rPr>
            </w:pPr>
            <w:r>
              <w:rPr>
                <w:szCs w:val="21"/>
              </w:rPr>
              <w:t>7.</w:t>
            </w:r>
            <w:r>
              <w:rPr>
                <w:rFonts w:hint="eastAsia"/>
                <w:szCs w:val="21"/>
              </w:rPr>
              <w:t>5.2</w:t>
            </w:r>
          </w:p>
        </w:tc>
        <w:tc>
          <w:tcPr>
            <w:tcW w:w="631" w:type="pct"/>
            <w:tcBorders>
              <w:top w:val="single" w:color="000000" w:sz="4" w:space="0"/>
              <w:left w:val="single" w:color="auto" w:sz="4" w:space="0"/>
              <w:bottom w:val="single" w:color="000000" w:sz="4" w:space="0"/>
              <w:right w:val="single" w:color="auto" w:sz="4" w:space="0"/>
            </w:tcBorders>
            <w:vAlign w:val="center"/>
          </w:tcPr>
          <w:p w14:paraId="5330AB68">
            <w:pPr>
              <w:pStyle w:val="114"/>
              <w:jc w:val="center"/>
              <w:outlineLvl w:val="9"/>
              <w:rPr>
                <w:kern w:val="0"/>
                <w:szCs w:val="21"/>
              </w:rPr>
            </w:pPr>
            <w:r>
              <w:rPr>
                <w:rFonts w:hint="eastAsia"/>
                <w:szCs w:val="21"/>
              </w:rPr>
              <w:t>10</w:t>
            </w:r>
            <w:r>
              <w:rPr>
                <w:szCs w:val="21"/>
              </w:rPr>
              <w:t>.</w:t>
            </w:r>
            <w:r>
              <w:rPr>
                <w:rFonts w:hint="eastAsia"/>
                <w:szCs w:val="21"/>
              </w:rPr>
              <w:t>6.2</w:t>
            </w:r>
          </w:p>
        </w:tc>
        <w:tc>
          <w:tcPr>
            <w:tcW w:w="671" w:type="pct"/>
            <w:tcBorders>
              <w:top w:val="single" w:color="000000" w:sz="4" w:space="0"/>
              <w:left w:val="single" w:color="auto" w:sz="4" w:space="0"/>
              <w:bottom w:val="single" w:color="auto" w:sz="4" w:space="0"/>
              <w:right w:val="single" w:color="000000" w:sz="4" w:space="0"/>
            </w:tcBorders>
            <w:vAlign w:val="center"/>
          </w:tcPr>
          <w:p w14:paraId="0D2CA507">
            <w:pPr>
              <w:jc w:val="center"/>
              <w:rPr>
                <w:kern w:val="0"/>
                <w:szCs w:val="21"/>
              </w:rPr>
            </w:pPr>
            <w:r>
              <w:rPr>
                <w:rFonts w:hint="eastAsia"/>
                <w:kern w:val="0"/>
                <w:szCs w:val="21"/>
              </w:rPr>
              <w:t>试验项目</w:t>
            </w:r>
          </w:p>
        </w:tc>
        <w:tc>
          <w:tcPr>
            <w:tcW w:w="695" w:type="pct"/>
            <w:tcBorders>
              <w:top w:val="single" w:color="000000" w:sz="4" w:space="0"/>
              <w:left w:val="single" w:color="000000" w:sz="4" w:space="0"/>
              <w:bottom w:val="single" w:color="auto" w:sz="4" w:space="0"/>
              <w:right w:val="single" w:color="000000" w:sz="4" w:space="0"/>
            </w:tcBorders>
            <w:vAlign w:val="center"/>
          </w:tcPr>
          <w:p w14:paraId="04C3B4C5">
            <w:pPr>
              <w:snapToGrid w:val="0"/>
              <w:jc w:val="center"/>
              <w:rPr>
                <w:kern w:val="0"/>
                <w:szCs w:val="21"/>
              </w:rPr>
            </w:pPr>
            <w:r>
              <w:rPr>
                <w:rFonts w:hint="eastAsia"/>
                <w:kern w:val="0"/>
                <w:szCs w:val="21"/>
              </w:rPr>
              <w:t>≥1</w:t>
            </w:r>
          </w:p>
        </w:tc>
        <w:tc>
          <w:tcPr>
            <w:tcW w:w="686" w:type="pct"/>
            <w:vMerge w:val="continue"/>
            <w:tcBorders>
              <w:left w:val="single" w:color="000000" w:sz="4" w:space="0"/>
              <w:right w:val="single" w:color="000000" w:sz="4" w:space="0"/>
            </w:tcBorders>
            <w:vAlign w:val="center"/>
          </w:tcPr>
          <w:p w14:paraId="62FA9805">
            <w:pPr>
              <w:jc w:val="center"/>
              <w:rPr>
                <w:kern w:val="0"/>
                <w:szCs w:val="21"/>
              </w:rPr>
            </w:pPr>
          </w:p>
        </w:tc>
      </w:tr>
      <w:tr w14:paraId="3196D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307" w:type="pct"/>
            <w:vMerge w:val="continue"/>
            <w:tcBorders>
              <w:left w:val="single" w:color="000000" w:sz="4" w:space="0"/>
              <w:bottom w:val="single" w:color="000000" w:sz="4" w:space="0"/>
              <w:right w:val="single" w:color="000000" w:sz="4" w:space="0"/>
            </w:tcBorders>
            <w:vAlign w:val="center"/>
          </w:tcPr>
          <w:p w14:paraId="185242D7">
            <w:pPr>
              <w:snapToGrid w:val="0"/>
              <w:jc w:val="center"/>
              <w:rPr>
                <w:szCs w:val="21"/>
              </w:rPr>
            </w:pPr>
          </w:p>
        </w:tc>
        <w:tc>
          <w:tcPr>
            <w:tcW w:w="479" w:type="pct"/>
            <w:vMerge w:val="continue"/>
            <w:tcBorders>
              <w:left w:val="single" w:color="000000" w:sz="4" w:space="0"/>
              <w:bottom w:val="single" w:color="000000" w:sz="4" w:space="0"/>
              <w:right w:val="single" w:color="auto" w:sz="4" w:space="0"/>
            </w:tcBorders>
            <w:vAlign w:val="center"/>
          </w:tcPr>
          <w:p w14:paraId="26DAE73B">
            <w:pPr>
              <w:pStyle w:val="114"/>
              <w:snapToGrid w:val="0"/>
              <w:jc w:val="center"/>
              <w:outlineLvl w:val="9"/>
              <w:rPr>
                <w:rFonts w:eastAsia="宋体"/>
                <w:szCs w:val="21"/>
                <w:highlight w:val="yellow"/>
              </w:rPr>
            </w:pPr>
          </w:p>
        </w:tc>
        <w:tc>
          <w:tcPr>
            <w:tcW w:w="871" w:type="pct"/>
            <w:tcBorders>
              <w:top w:val="single" w:color="000000" w:sz="4" w:space="0"/>
              <w:left w:val="single" w:color="auto" w:sz="4" w:space="0"/>
              <w:bottom w:val="single" w:color="000000" w:sz="4" w:space="0"/>
              <w:right w:val="single" w:color="000000" w:sz="4" w:space="0"/>
            </w:tcBorders>
            <w:vAlign w:val="center"/>
          </w:tcPr>
          <w:p w14:paraId="36E593F5">
            <w:pPr>
              <w:pStyle w:val="114"/>
              <w:snapToGrid w:val="0"/>
              <w:jc w:val="center"/>
              <w:outlineLvl w:val="9"/>
              <w:rPr>
                <w:rFonts w:eastAsia="宋体"/>
                <w:szCs w:val="21"/>
              </w:rPr>
            </w:pPr>
            <w:r>
              <w:rPr>
                <w:rFonts w:hint="eastAsia" w:eastAsia="宋体"/>
                <w:szCs w:val="21"/>
              </w:rPr>
              <w:t>防爆性能</w:t>
            </w:r>
          </w:p>
        </w:tc>
        <w:tc>
          <w:tcPr>
            <w:tcW w:w="656" w:type="pct"/>
            <w:tcBorders>
              <w:top w:val="single" w:color="000000" w:sz="4" w:space="0"/>
              <w:left w:val="single" w:color="000000" w:sz="4" w:space="0"/>
              <w:bottom w:val="single" w:color="000000" w:sz="4" w:space="0"/>
              <w:right w:val="single" w:color="auto" w:sz="4" w:space="0"/>
            </w:tcBorders>
            <w:vAlign w:val="center"/>
          </w:tcPr>
          <w:p w14:paraId="2069E975">
            <w:pPr>
              <w:pStyle w:val="114"/>
              <w:jc w:val="center"/>
              <w:rPr>
                <w:szCs w:val="21"/>
              </w:rPr>
            </w:pPr>
            <w:r>
              <w:rPr>
                <w:szCs w:val="21"/>
              </w:rPr>
              <w:t>7.</w:t>
            </w:r>
            <w:r>
              <w:rPr>
                <w:rFonts w:hint="eastAsia"/>
                <w:szCs w:val="21"/>
              </w:rPr>
              <w:t>5.3</w:t>
            </w:r>
          </w:p>
        </w:tc>
        <w:tc>
          <w:tcPr>
            <w:tcW w:w="631" w:type="pct"/>
            <w:tcBorders>
              <w:top w:val="single" w:color="000000" w:sz="4" w:space="0"/>
              <w:left w:val="single" w:color="auto" w:sz="4" w:space="0"/>
              <w:bottom w:val="single" w:color="000000" w:sz="4" w:space="0"/>
              <w:right w:val="single" w:color="auto" w:sz="4" w:space="0"/>
            </w:tcBorders>
            <w:vAlign w:val="center"/>
          </w:tcPr>
          <w:p w14:paraId="1A2E03F9">
            <w:pPr>
              <w:jc w:val="center"/>
              <w:rPr>
                <w:szCs w:val="21"/>
              </w:rPr>
            </w:pPr>
            <w:r>
              <w:rPr>
                <w:rFonts w:hint="eastAsia"/>
                <w:kern w:val="0"/>
                <w:szCs w:val="21"/>
              </w:rPr>
              <w:t>目 测</w:t>
            </w:r>
          </w:p>
        </w:tc>
        <w:tc>
          <w:tcPr>
            <w:tcW w:w="671" w:type="pct"/>
            <w:tcBorders>
              <w:top w:val="single" w:color="auto" w:sz="4" w:space="0"/>
              <w:left w:val="single" w:color="auto" w:sz="4" w:space="0"/>
              <w:bottom w:val="single" w:color="000000" w:sz="4" w:space="0"/>
              <w:right w:val="single" w:color="000000" w:sz="4" w:space="0"/>
            </w:tcBorders>
            <w:vAlign w:val="center"/>
          </w:tcPr>
          <w:p w14:paraId="725B3275">
            <w:pPr>
              <w:jc w:val="center"/>
              <w:rPr>
                <w:szCs w:val="21"/>
              </w:rPr>
            </w:pPr>
            <w:r>
              <w:rPr>
                <w:rFonts w:hint="eastAsia"/>
                <w:szCs w:val="21"/>
              </w:rPr>
              <w:t>观察项目</w:t>
            </w:r>
          </w:p>
        </w:tc>
        <w:tc>
          <w:tcPr>
            <w:tcW w:w="695" w:type="pct"/>
            <w:tcBorders>
              <w:top w:val="single" w:color="auto" w:sz="4" w:space="0"/>
              <w:left w:val="single" w:color="000000" w:sz="4" w:space="0"/>
              <w:bottom w:val="single" w:color="000000" w:sz="4" w:space="0"/>
              <w:right w:val="single" w:color="000000" w:sz="4" w:space="0"/>
            </w:tcBorders>
            <w:vAlign w:val="center"/>
          </w:tcPr>
          <w:p w14:paraId="2FABABE4">
            <w:pPr>
              <w:pStyle w:val="114"/>
              <w:jc w:val="center"/>
              <w:rPr>
                <w:szCs w:val="21"/>
              </w:rPr>
            </w:pPr>
            <w:r>
              <w:rPr>
                <w:rFonts w:hint="eastAsia" w:eastAsia="宋体"/>
                <w:kern w:val="0"/>
                <w:szCs w:val="21"/>
              </w:rPr>
              <w:t>≥1</w:t>
            </w:r>
          </w:p>
        </w:tc>
        <w:tc>
          <w:tcPr>
            <w:tcW w:w="686" w:type="pct"/>
            <w:vMerge w:val="continue"/>
            <w:tcBorders>
              <w:left w:val="single" w:color="000000" w:sz="4" w:space="0"/>
              <w:bottom w:val="single" w:color="000000" w:sz="4" w:space="0"/>
              <w:right w:val="single" w:color="000000" w:sz="4" w:space="0"/>
            </w:tcBorders>
            <w:vAlign w:val="center"/>
          </w:tcPr>
          <w:p w14:paraId="67EE0731">
            <w:pPr>
              <w:snapToGrid w:val="0"/>
              <w:jc w:val="center"/>
              <w:rPr>
                <w:szCs w:val="21"/>
              </w:rPr>
            </w:pPr>
          </w:p>
        </w:tc>
      </w:tr>
      <w:tr w14:paraId="0463C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307" w:type="pct"/>
            <w:vMerge w:val="restart"/>
            <w:tcBorders>
              <w:top w:val="single" w:color="000000" w:sz="4" w:space="0"/>
              <w:left w:val="single" w:color="000000" w:sz="4" w:space="0"/>
              <w:right w:val="single" w:color="000000" w:sz="4" w:space="0"/>
            </w:tcBorders>
            <w:vAlign w:val="center"/>
          </w:tcPr>
          <w:p w14:paraId="03339EB0">
            <w:pPr>
              <w:jc w:val="center"/>
              <w:rPr>
                <w:kern w:val="0"/>
                <w:szCs w:val="21"/>
              </w:rPr>
            </w:pPr>
            <w:r>
              <w:rPr>
                <w:rFonts w:hint="eastAsia"/>
                <w:kern w:val="0"/>
                <w:szCs w:val="21"/>
              </w:rPr>
              <w:t>6</w:t>
            </w:r>
          </w:p>
        </w:tc>
        <w:tc>
          <w:tcPr>
            <w:tcW w:w="479" w:type="pct"/>
            <w:vMerge w:val="restart"/>
            <w:tcBorders>
              <w:top w:val="single" w:color="000000" w:sz="4" w:space="0"/>
              <w:left w:val="single" w:color="000000" w:sz="4" w:space="0"/>
              <w:right w:val="single" w:color="auto" w:sz="4" w:space="0"/>
            </w:tcBorders>
            <w:vAlign w:val="center"/>
          </w:tcPr>
          <w:p w14:paraId="6E5B78E3">
            <w:pPr>
              <w:pStyle w:val="31"/>
              <w:spacing w:after="0"/>
              <w:ind w:left="0" w:leftChars="0"/>
              <w:jc w:val="center"/>
              <w:rPr>
                <w:kern w:val="0"/>
                <w:sz w:val="21"/>
                <w:szCs w:val="21"/>
              </w:rPr>
            </w:pPr>
            <w:r>
              <w:rPr>
                <w:rFonts w:hint="eastAsia"/>
                <w:kern w:val="0"/>
                <w:sz w:val="21"/>
                <w:szCs w:val="21"/>
              </w:rPr>
              <w:t>贮存环境适应性</w:t>
            </w:r>
          </w:p>
        </w:tc>
        <w:tc>
          <w:tcPr>
            <w:tcW w:w="871" w:type="pct"/>
            <w:tcBorders>
              <w:top w:val="single" w:color="000000" w:sz="4" w:space="0"/>
              <w:left w:val="single" w:color="auto" w:sz="4" w:space="0"/>
              <w:bottom w:val="single" w:color="000000" w:sz="4" w:space="0"/>
              <w:right w:val="single" w:color="000000" w:sz="4" w:space="0"/>
            </w:tcBorders>
            <w:vAlign w:val="center"/>
          </w:tcPr>
          <w:p w14:paraId="46398A16">
            <w:pPr>
              <w:pStyle w:val="85"/>
              <w:ind w:firstLine="0" w:firstLineChars="0"/>
              <w:jc w:val="center"/>
              <w:rPr>
                <w:rFonts w:ascii="Times New Roman" w:hAnsi="Times New Roman" w:eastAsia="宋体"/>
                <w:kern w:val="0"/>
                <w:szCs w:val="21"/>
              </w:rPr>
            </w:pPr>
            <w:r>
              <w:rPr>
                <w:rFonts w:ascii="Times New Roman" w:hAnsi="Times New Roman" w:eastAsia="宋体"/>
                <w:kern w:val="0"/>
                <w:szCs w:val="21"/>
              </w:rPr>
              <w:t>低温</w:t>
            </w:r>
          </w:p>
        </w:tc>
        <w:tc>
          <w:tcPr>
            <w:tcW w:w="656" w:type="pct"/>
            <w:tcBorders>
              <w:top w:val="single" w:color="000000" w:sz="4" w:space="0"/>
              <w:left w:val="single" w:color="000000" w:sz="4" w:space="0"/>
              <w:bottom w:val="single" w:color="000000" w:sz="4" w:space="0"/>
              <w:right w:val="single" w:color="auto" w:sz="4" w:space="0"/>
            </w:tcBorders>
            <w:vAlign w:val="center"/>
          </w:tcPr>
          <w:p w14:paraId="287354DF">
            <w:pPr>
              <w:jc w:val="center"/>
              <w:rPr>
                <w:kern w:val="0"/>
                <w:szCs w:val="21"/>
              </w:rPr>
            </w:pPr>
            <w:r>
              <w:rPr>
                <w:kern w:val="0"/>
                <w:szCs w:val="21"/>
              </w:rPr>
              <w:t>7.</w:t>
            </w:r>
            <w:r>
              <w:rPr>
                <w:rFonts w:hint="eastAsia"/>
                <w:kern w:val="0"/>
                <w:szCs w:val="21"/>
              </w:rPr>
              <w:t>6.1</w:t>
            </w:r>
          </w:p>
        </w:tc>
        <w:tc>
          <w:tcPr>
            <w:tcW w:w="631" w:type="pct"/>
            <w:tcBorders>
              <w:top w:val="single" w:color="000000" w:sz="4" w:space="0"/>
              <w:left w:val="single" w:color="auto" w:sz="4" w:space="0"/>
              <w:bottom w:val="single" w:color="000000" w:sz="4" w:space="0"/>
              <w:right w:val="single" w:color="auto" w:sz="4" w:space="0"/>
            </w:tcBorders>
            <w:vAlign w:val="center"/>
          </w:tcPr>
          <w:p w14:paraId="6B8BB18C">
            <w:pPr>
              <w:jc w:val="center"/>
              <w:rPr>
                <w:kern w:val="0"/>
                <w:szCs w:val="21"/>
              </w:rPr>
            </w:pPr>
            <w:r>
              <w:rPr>
                <w:rFonts w:hint="eastAsia"/>
                <w:kern w:val="0"/>
                <w:szCs w:val="21"/>
              </w:rPr>
              <w:t>10</w:t>
            </w:r>
            <w:r>
              <w:rPr>
                <w:kern w:val="0"/>
                <w:szCs w:val="21"/>
              </w:rPr>
              <w:t>.</w:t>
            </w:r>
            <w:r>
              <w:rPr>
                <w:rFonts w:hint="eastAsia"/>
                <w:kern w:val="0"/>
                <w:szCs w:val="21"/>
              </w:rPr>
              <w:t>7.4.1</w:t>
            </w:r>
          </w:p>
        </w:tc>
        <w:tc>
          <w:tcPr>
            <w:tcW w:w="671" w:type="pct"/>
            <w:tcBorders>
              <w:top w:val="single" w:color="000000" w:sz="4" w:space="0"/>
              <w:left w:val="single" w:color="auto" w:sz="4" w:space="0"/>
              <w:bottom w:val="single" w:color="000000" w:sz="4" w:space="0"/>
              <w:right w:val="single" w:color="000000" w:sz="4" w:space="0"/>
            </w:tcBorders>
            <w:vAlign w:val="center"/>
          </w:tcPr>
          <w:p w14:paraId="69272D16">
            <w:pPr>
              <w:jc w:val="center"/>
              <w:rPr>
                <w:szCs w:val="21"/>
              </w:rPr>
            </w:pPr>
            <w:r>
              <w:rPr>
                <w:rFonts w:hint="eastAsia"/>
                <w:kern w:val="0"/>
                <w:szCs w:val="21"/>
              </w:rPr>
              <w:t>试验项目</w:t>
            </w:r>
          </w:p>
        </w:tc>
        <w:tc>
          <w:tcPr>
            <w:tcW w:w="695" w:type="pct"/>
            <w:tcBorders>
              <w:top w:val="single" w:color="000000" w:sz="4" w:space="0"/>
              <w:left w:val="single" w:color="000000" w:sz="4" w:space="0"/>
              <w:bottom w:val="single" w:color="auto" w:sz="4" w:space="0"/>
              <w:right w:val="single" w:color="000000" w:sz="4" w:space="0"/>
            </w:tcBorders>
            <w:vAlign w:val="center"/>
          </w:tcPr>
          <w:p w14:paraId="1EF98E1E">
            <w:pPr>
              <w:jc w:val="center"/>
              <w:rPr>
                <w:kern w:val="0"/>
                <w:szCs w:val="21"/>
              </w:rPr>
            </w:pPr>
            <w:r>
              <w:rPr>
                <w:rFonts w:hint="eastAsia"/>
                <w:kern w:val="0"/>
                <w:szCs w:val="21"/>
              </w:rPr>
              <w:t>≥1</w:t>
            </w:r>
          </w:p>
        </w:tc>
        <w:tc>
          <w:tcPr>
            <w:tcW w:w="686" w:type="pct"/>
            <w:tcBorders>
              <w:top w:val="single" w:color="000000" w:sz="4" w:space="0"/>
              <w:left w:val="single" w:color="000000" w:sz="4" w:space="0"/>
              <w:bottom w:val="single" w:color="auto" w:sz="4" w:space="0"/>
              <w:right w:val="single" w:color="000000" w:sz="4" w:space="0"/>
            </w:tcBorders>
            <w:vAlign w:val="center"/>
          </w:tcPr>
          <w:p w14:paraId="66CDE8AB">
            <w:pPr>
              <w:jc w:val="center"/>
              <w:rPr>
                <w:strike/>
                <w:kern w:val="0"/>
                <w:szCs w:val="21"/>
              </w:rPr>
            </w:pPr>
          </w:p>
        </w:tc>
      </w:tr>
      <w:tr w14:paraId="47559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307" w:type="pct"/>
            <w:vMerge w:val="continue"/>
            <w:tcBorders>
              <w:left w:val="single" w:color="000000" w:sz="4" w:space="0"/>
              <w:right w:val="single" w:color="000000" w:sz="4" w:space="0"/>
            </w:tcBorders>
            <w:vAlign w:val="center"/>
          </w:tcPr>
          <w:p w14:paraId="02820721">
            <w:pPr>
              <w:jc w:val="center"/>
              <w:rPr>
                <w:kern w:val="0"/>
                <w:szCs w:val="21"/>
              </w:rPr>
            </w:pPr>
          </w:p>
        </w:tc>
        <w:tc>
          <w:tcPr>
            <w:tcW w:w="479" w:type="pct"/>
            <w:vMerge w:val="continue"/>
            <w:tcBorders>
              <w:left w:val="single" w:color="000000" w:sz="4" w:space="0"/>
              <w:right w:val="single" w:color="auto" w:sz="4" w:space="0"/>
            </w:tcBorders>
            <w:vAlign w:val="center"/>
          </w:tcPr>
          <w:p w14:paraId="51582CDE">
            <w:pPr>
              <w:pStyle w:val="31"/>
              <w:spacing w:after="0"/>
              <w:ind w:left="0" w:leftChars="0"/>
              <w:jc w:val="center"/>
              <w:rPr>
                <w:kern w:val="0"/>
                <w:sz w:val="21"/>
                <w:szCs w:val="21"/>
              </w:rPr>
            </w:pPr>
          </w:p>
        </w:tc>
        <w:tc>
          <w:tcPr>
            <w:tcW w:w="871" w:type="pct"/>
            <w:tcBorders>
              <w:top w:val="single" w:color="000000" w:sz="4" w:space="0"/>
              <w:left w:val="single" w:color="auto" w:sz="4" w:space="0"/>
              <w:bottom w:val="single" w:color="000000" w:sz="4" w:space="0"/>
              <w:right w:val="single" w:color="000000" w:sz="4" w:space="0"/>
            </w:tcBorders>
            <w:vAlign w:val="center"/>
          </w:tcPr>
          <w:p w14:paraId="3EBE1D1D">
            <w:pPr>
              <w:pStyle w:val="85"/>
              <w:ind w:firstLine="0" w:firstLineChars="0"/>
              <w:jc w:val="center"/>
              <w:rPr>
                <w:rFonts w:ascii="Times New Roman" w:hAnsi="Times New Roman" w:eastAsia="宋体"/>
                <w:kern w:val="0"/>
                <w:szCs w:val="21"/>
              </w:rPr>
            </w:pPr>
            <w:r>
              <w:rPr>
                <w:rFonts w:ascii="Times New Roman" w:hAnsi="Times New Roman" w:eastAsia="宋体"/>
                <w:kern w:val="0"/>
                <w:szCs w:val="21"/>
              </w:rPr>
              <w:t>高温</w:t>
            </w:r>
          </w:p>
        </w:tc>
        <w:tc>
          <w:tcPr>
            <w:tcW w:w="656" w:type="pct"/>
            <w:tcBorders>
              <w:top w:val="single" w:color="000000" w:sz="4" w:space="0"/>
              <w:left w:val="single" w:color="000000" w:sz="4" w:space="0"/>
              <w:bottom w:val="single" w:color="000000" w:sz="4" w:space="0"/>
              <w:right w:val="single" w:color="auto" w:sz="4" w:space="0"/>
            </w:tcBorders>
            <w:vAlign w:val="center"/>
          </w:tcPr>
          <w:p w14:paraId="1E6FB190">
            <w:pPr>
              <w:jc w:val="center"/>
              <w:rPr>
                <w:kern w:val="0"/>
                <w:szCs w:val="21"/>
              </w:rPr>
            </w:pPr>
            <w:r>
              <w:rPr>
                <w:kern w:val="0"/>
                <w:szCs w:val="21"/>
              </w:rPr>
              <w:t>7.</w:t>
            </w:r>
            <w:r>
              <w:rPr>
                <w:rFonts w:hint="eastAsia"/>
                <w:kern w:val="0"/>
                <w:szCs w:val="21"/>
              </w:rPr>
              <w:t>6.2</w:t>
            </w:r>
          </w:p>
        </w:tc>
        <w:tc>
          <w:tcPr>
            <w:tcW w:w="631" w:type="pct"/>
            <w:tcBorders>
              <w:top w:val="single" w:color="000000" w:sz="4" w:space="0"/>
              <w:left w:val="single" w:color="auto" w:sz="4" w:space="0"/>
              <w:bottom w:val="single" w:color="000000" w:sz="4" w:space="0"/>
              <w:right w:val="single" w:color="auto" w:sz="4" w:space="0"/>
            </w:tcBorders>
            <w:vAlign w:val="center"/>
          </w:tcPr>
          <w:p w14:paraId="3DFB947D">
            <w:pPr>
              <w:jc w:val="center"/>
              <w:rPr>
                <w:kern w:val="0"/>
                <w:szCs w:val="21"/>
              </w:rPr>
            </w:pPr>
            <w:r>
              <w:rPr>
                <w:rFonts w:hint="eastAsia"/>
                <w:kern w:val="0"/>
                <w:szCs w:val="21"/>
              </w:rPr>
              <w:t>10.7.4.2</w:t>
            </w:r>
          </w:p>
        </w:tc>
        <w:tc>
          <w:tcPr>
            <w:tcW w:w="671" w:type="pct"/>
            <w:tcBorders>
              <w:top w:val="single" w:color="000000" w:sz="4" w:space="0"/>
              <w:left w:val="single" w:color="auto" w:sz="4" w:space="0"/>
              <w:bottom w:val="single" w:color="000000" w:sz="4" w:space="0"/>
              <w:right w:val="single" w:color="000000" w:sz="4" w:space="0"/>
            </w:tcBorders>
            <w:vAlign w:val="center"/>
          </w:tcPr>
          <w:p w14:paraId="777C5B92">
            <w:pPr>
              <w:jc w:val="center"/>
              <w:rPr>
                <w:szCs w:val="21"/>
              </w:rPr>
            </w:pPr>
            <w:r>
              <w:rPr>
                <w:rFonts w:hint="eastAsia"/>
                <w:kern w:val="0"/>
                <w:szCs w:val="21"/>
              </w:rPr>
              <w:t>试验项目</w:t>
            </w:r>
          </w:p>
        </w:tc>
        <w:tc>
          <w:tcPr>
            <w:tcW w:w="695" w:type="pct"/>
            <w:tcBorders>
              <w:top w:val="single" w:color="auto" w:sz="4" w:space="0"/>
              <w:left w:val="single" w:color="000000" w:sz="4" w:space="0"/>
              <w:bottom w:val="single" w:color="auto" w:sz="4" w:space="0"/>
              <w:right w:val="single" w:color="000000" w:sz="4" w:space="0"/>
            </w:tcBorders>
            <w:vAlign w:val="center"/>
          </w:tcPr>
          <w:p w14:paraId="78D1D9E9">
            <w:pPr>
              <w:jc w:val="center"/>
              <w:rPr>
                <w:kern w:val="0"/>
                <w:szCs w:val="21"/>
              </w:rPr>
            </w:pPr>
            <w:r>
              <w:rPr>
                <w:rFonts w:hint="eastAsia"/>
                <w:kern w:val="0"/>
                <w:szCs w:val="21"/>
              </w:rPr>
              <w:t>≥1</w:t>
            </w:r>
          </w:p>
        </w:tc>
        <w:tc>
          <w:tcPr>
            <w:tcW w:w="686" w:type="pct"/>
            <w:tcBorders>
              <w:top w:val="single" w:color="auto" w:sz="4" w:space="0"/>
              <w:left w:val="single" w:color="000000" w:sz="4" w:space="0"/>
              <w:bottom w:val="single" w:color="auto" w:sz="4" w:space="0"/>
              <w:right w:val="single" w:color="000000" w:sz="4" w:space="0"/>
            </w:tcBorders>
            <w:vAlign w:val="center"/>
          </w:tcPr>
          <w:p w14:paraId="25A1B2D0">
            <w:pPr>
              <w:jc w:val="center"/>
              <w:rPr>
                <w:strike/>
                <w:kern w:val="0"/>
                <w:szCs w:val="21"/>
              </w:rPr>
            </w:pPr>
          </w:p>
        </w:tc>
      </w:tr>
      <w:tr w14:paraId="5AF63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307" w:type="pct"/>
            <w:vMerge w:val="continue"/>
            <w:tcBorders>
              <w:left w:val="single" w:color="000000" w:sz="4" w:space="0"/>
              <w:right w:val="single" w:color="000000" w:sz="4" w:space="0"/>
            </w:tcBorders>
            <w:vAlign w:val="center"/>
          </w:tcPr>
          <w:p w14:paraId="38854A26">
            <w:pPr>
              <w:jc w:val="center"/>
              <w:rPr>
                <w:kern w:val="0"/>
                <w:szCs w:val="21"/>
              </w:rPr>
            </w:pPr>
          </w:p>
        </w:tc>
        <w:tc>
          <w:tcPr>
            <w:tcW w:w="479" w:type="pct"/>
            <w:vMerge w:val="continue"/>
            <w:tcBorders>
              <w:left w:val="single" w:color="000000" w:sz="4" w:space="0"/>
              <w:right w:val="single" w:color="auto" w:sz="4" w:space="0"/>
            </w:tcBorders>
            <w:vAlign w:val="center"/>
          </w:tcPr>
          <w:p w14:paraId="6C7A6972">
            <w:pPr>
              <w:pStyle w:val="31"/>
              <w:spacing w:after="0"/>
              <w:ind w:left="0" w:leftChars="0"/>
              <w:jc w:val="center"/>
              <w:rPr>
                <w:kern w:val="0"/>
                <w:sz w:val="21"/>
                <w:szCs w:val="21"/>
              </w:rPr>
            </w:pPr>
          </w:p>
        </w:tc>
        <w:tc>
          <w:tcPr>
            <w:tcW w:w="871" w:type="pct"/>
            <w:tcBorders>
              <w:top w:val="single" w:color="000000" w:sz="4" w:space="0"/>
              <w:left w:val="single" w:color="auto" w:sz="4" w:space="0"/>
              <w:bottom w:val="single" w:color="000000" w:sz="4" w:space="0"/>
              <w:right w:val="single" w:color="000000" w:sz="4" w:space="0"/>
            </w:tcBorders>
            <w:vAlign w:val="center"/>
          </w:tcPr>
          <w:p w14:paraId="2F2C2BDB">
            <w:pPr>
              <w:pStyle w:val="85"/>
              <w:ind w:firstLine="0" w:firstLineChars="0"/>
              <w:jc w:val="center"/>
              <w:rPr>
                <w:rFonts w:ascii="Times New Roman" w:hAnsi="Times New Roman" w:eastAsia="宋体"/>
                <w:kern w:val="0"/>
                <w:szCs w:val="21"/>
              </w:rPr>
            </w:pPr>
            <w:r>
              <w:rPr>
                <w:rFonts w:hint="eastAsia" w:ascii="Times New Roman" w:hAnsi="Times New Roman" w:eastAsia="宋体"/>
                <w:kern w:val="0"/>
                <w:szCs w:val="21"/>
              </w:rPr>
              <w:t>恒定湿热</w:t>
            </w:r>
          </w:p>
        </w:tc>
        <w:tc>
          <w:tcPr>
            <w:tcW w:w="656" w:type="pct"/>
            <w:tcBorders>
              <w:top w:val="single" w:color="000000" w:sz="4" w:space="0"/>
              <w:left w:val="single" w:color="000000" w:sz="4" w:space="0"/>
              <w:bottom w:val="single" w:color="000000" w:sz="4" w:space="0"/>
              <w:right w:val="single" w:color="auto" w:sz="4" w:space="0"/>
            </w:tcBorders>
            <w:vAlign w:val="center"/>
          </w:tcPr>
          <w:p w14:paraId="4C9B4AB2">
            <w:pPr>
              <w:jc w:val="center"/>
              <w:rPr>
                <w:kern w:val="0"/>
                <w:szCs w:val="21"/>
              </w:rPr>
            </w:pPr>
            <w:r>
              <w:rPr>
                <w:kern w:val="0"/>
                <w:szCs w:val="21"/>
              </w:rPr>
              <w:t>7.6.3</w:t>
            </w:r>
          </w:p>
        </w:tc>
        <w:tc>
          <w:tcPr>
            <w:tcW w:w="631" w:type="pct"/>
            <w:tcBorders>
              <w:top w:val="single" w:color="000000" w:sz="4" w:space="0"/>
              <w:left w:val="single" w:color="auto" w:sz="4" w:space="0"/>
              <w:bottom w:val="single" w:color="000000" w:sz="4" w:space="0"/>
              <w:right w:val="single" w:color="auto" w:sz="4" w:space="0"/>
            </w:tcBorders>
            <w:vAlign w:val="center"/>
          </w:tcPr>
          <w:p w14:paraId="7C8D7C35">
            <w:pPr>
              <w:jc w:val="center"/>
              <w:rPr>
                <w:kern w:val="0"/>
                <w:szCs w:val="21"/>
              </w:rPr>
            </w:pPr>
            <w:r>
              <w:rPr>
                <w:kern w:val="0"/>
                <w:szCs w:val="21"/>
              </w:rPr>
              <w:t>10.</w:t>
            </w:r>
            <w:r>
              <w:rPr>
                <w:rFonts w:hint="eastAsia"/>
                <w:kern w:val="0"/>
                <w:szCs w:val="21"/>
              </w:rPr>
              <w:t>7</w:t>
            </w:r>
            <w:r>
              <w:rPr>
                <w:kern w:val="0"/>
                <w:szCs w:val="21"/>
              </w:rPr>
              <w:t>.4.3</w:t>
            </w:r>
          </w:p>
        </w:tc>
        <w:tc>
          <w:tcPr>
            <w:tcW w:w="671" w:type="pct"/>
            <w:tcBorders>
              <w:top w:val="single" w:color="000000" w:sz="4" w:space="0"/>
              <w:left w:val="single" w:color="auto" w:sz="4" w:space="0"/>
              <w:bottom w:val="single" w:color="000000" w:sz="4" w:space="0"/>
              <w:right w:val="single" w:color="000000" w:sz="4" w:space="0"/>
            </w:tcBorders>
            <w:vAlign w:val="center"/>
          </w:tcPr>
          <w:p w14:paraId="5AE2EC85">
            <w:pPr>
              <w:jc w:val="center"/>
              <w:rPr>
                <w:szCs w:val="21"/>
              </w:rPr>
            </w:pPr>
            <w:r>
              <w:rPr>
                <w:rFonts w:hint="eastAsia"/>
                <w:kern w:val="0"/>
                <w:szCs w:val="21"/>
              </w:rPr>
              <w:t>试验项目</w:t>
            </w:r>
          </w:p>
        </w:tc>
        <w:tc>
          <w:tcPr>
            <w:tcW w:w="695" w:type="pct"/>
            <w:tcBorders>
              <w:top w:val="single" w:color="auto" w:sz="4" w:space="0"/>
              <w:left w:val="single" w:color="000000" w:sz="4" w:space="0"/>
              <w:right w:val="single" w:color="000000" w:sz="4" w:space="0"/>
            </w:tcBorders>
            <w:vAlign w:val="center"/>
          </w:tcPr>
          <w:p w14:paraId="4E98A07A">
            <w:pPr>
              <w:jc w:val="center"/>
              <w:rPr>
                <w:kern w:val="0"/>
                <w:szCs w:val="21"/>
              </w:rPr>
            </w:pPr>
            <w:r>
              <w:rPr>
                <w:rFonts w:hint="eastAsia"/>
                <w:kern w:val="0"/>
                <w:szCs w:val="21"/>
              </w:rPr>
              <w:t>≥1</w:t>
            </w:r>
          </w:p>
        </w:tc>
        <w:tc>
          <w:tcPr>
            <w:tcW w:w="686" w:type="pct"/>
            <w:tcBorders>
              <w:top w:val="single" w:color="auto" w:sz="4" w:space="0"/>
              <w:left w:val="single" w:color="000000" w:sz="4" w:space="0"/>
              <w:right w:val="single" w:color="000000" w:sz="4" w:space="0"/>
            </w:tcBorders>
            <w:vAlign w:val="center"/>
          </w:tcPr>
          <w:p w14:paraId="50515351">
            <w:pPr>
              <w:jc w:val="center"/>
              <w:rPr>
                <w:strike/>
                <w:kern w:val="0"/>
                <w:szCs w:val="21"/>
              </w:rPr>
            </w:pPr>
          </w:p>
        </w:tc>
      </w:tr>
      <w:tr w14:paraId="180AF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307" w:type="pct"/>
            <w:vMerge w:val="continue"/>
            <w:tcBorders>
              <w:left w:val="single" w:color="000000" w:sz="4" w:space="0"/>
              <w:right w:val="single" w:color="000000" w:sz="4" w:space="0"/>
            </w:tcBorders>
            <w:vAlign w:val="center"/>
          </w:tcPr>
          <w:p w14:paraId="320D7D07">
            <w:pPr>
              <w:jc w:val="center"/>
              <w:rPr>
                <w:kern w:val="0"/>
                <w:szCs w:val="21"/>
              </w:rPr>
            </w:pPr>
          </w:p>
        </w:tc>
        <w:tc>
          <w:tcPr>
            <w:tcW w:w="479" w:type="pct"/>
            <w:vMerge w:val="continue"/>
            <w:tcBorders>
              <w:left w:val="single" w:color="000000" w:sz="4" w:space="0"/>
              <w:right w:val="single" w:color="auto" w:sz="4" w:space="0"/>
            </w:tcBorders>
            <w:vAlign w:val="center"/>
          </w:tcPr>
          <w:p w14:paraId="4A824CD6">
            <w:pPr>
              <w:pStyle w:val="31"/>
              <w:spacing w:after="0"/>
              <w:ind w:left="0" w:leftChars="0"/>
              <w:jc w:val="center"/>
              <w:rPr>
                <w:kern w:val="0"/>
                <w:sz w:val="21"/>
                <w:szCs w:val="21"/>
              </w:rPr>
            </w:pPr>
          </w:p>
        </w:tc>
        <w:tc>
          <w:tcPr>
            <w:tcW w:w="871" w:type="pct"/>
            <w:tcBorders>
              <w:top w:val="single" w:color="000000" w:sz="4" w:space="0"/>
              <w:left w:val="single" w:color="auto" w:sz="4" w:space="0"/>
              <w:bottom w:val="single" w:color="000000" w:sz="4" w:space="0"/>
              <w:right w:val="single" w:color="000000" w:sz="4" w:space="0"/>
            </w:tcBorders>
            <w:vAlign w:val="center"/>
          </w:tcPr>
          <w:p w14:paraId="03CA78AD">
            <w:pPr>
              <w:pStyle w:val="85"/>
              <w:ind w:firstLine="0" w:firstLineChars="0"/>
              <w:jc w:val="center"/>
              <w:rPr>
                <w:rFonts w:ascii="Times New Roman" w:hAnsi="Times New Roman" w:eastAsia="宋体"/>
                <w:kern w:val="0"/>
                <w:szCs w:val="21"/>
              </w:rPr>
            </w:pPr>
            <w:r>
              <w:rPr>
                <w:rFonts w:hint="eastAsia" w:ascii="Times New Roman" w:hAnsi="Times New Roman" w:eastAsia="宋体"/>
                <w:kern w:val="0"/>
                <w:szCs w:val="21"/>
              </w:rPr>
              <w:t>冲击</w:t>
            </w:r>
          </w:p>
        </w:tc>
        <w:tc>
          <w:tcPr>
            <w:tcW w:w="656" w:type="pct"/>
            <w:tcBorders>
              <w:top w:val="single" w:color="000000" w:sz="4" w:space="0"/>
              <w:left w:val="single" w:color="000000" w:sz="4" w:space="0"/>
              <w:bottom w:val="single" w:color="000000" w:sz="4" w:space="0"/>
              <w:right w:val="single" w:color="auto" w:sz="4" w:space="0"/>
            </w:tcBorders>
            <w:vAlign w:val="center"/>
          </w:tcPr>
          <w:p w14:paraId="09842A8A">
            <w:pPr>
              <w:jc w:val="center"/>
              <w:rPr>
                <w:kern w:val="0"/>
                <w:szCs w:val="21"/>
              </w:rPr>
            </w:pPr>
            <w:r>
              <w:rPr>
                <w:kern w:val="0"/>
                <w:szCs w:val="21"/>
              </w:rPr>
              <w:t>7.1.1</w:t>
            </w:r>
          </w:p>
        </w:tc>
        <w:tc>
          <w:tcPr>
            <w:tcW w:w="631" w:type="pct"/>
            <w:tcBorders>
              <w:top w:val="single" w:color="000000" w:sz="4" w:space="0"/>
              <w:left w:val="single" w:color="auto" w:sz="4" w:space="0"/>
              <w:bottom w:val="single" w:color="000000" w:sz="4" w:space="0"/>
              <w:right w:val="single" w:color="auto" w:sz="4" w:space="0"/>
            </w:tcBorders>
            <w:vAlign w:val="center"/>
          </w:tcPr>
          <w:p w14:paraId="2E60B19F">
            <w:pPr>
              <w:jc w:val="center"/>
              <w:rPr>
                <w:kern w:val="0"/>
                <w:szCs w:val="21"/>
              </w:rPr>
            </w:pPr>
            <w:r>
              <w:rPr>
                <w:kern w:val="0"/>
                <w:szCs w:val="21"/>
              </w:rPr>
              <w:t>10.</w:t>
            </w:r>
            <w:r>
              <w:rPr>
                <w:rFonts w:hint="eastAsia"/>
                <w:kern w:val="0"/>
                <w:szCs w:val="21"/>
              </w:rPr>
              <w:t>7</w:t>
            </w:r>
            <w:r>
              <w:rPr>
                <w:kern w:val="0"/>
                <w:szCs w:val="21"/>
              </w:rPr>
              <w:t>.4.</w:t>
            </w:r>
            <w:r>
              <w:rPr>
                <w:rFonts w:hint="eastAsia"/>
                <w:kern w:val="0"/>
                <w:szCs w:val="21"/>
              </w:rPr>
              <w:t>4</w:t>
            </w:r>
          </w:p>
        </w:tc>
        <w:tc>
          <w:tcPr>
            <w:tcW w:w="671" w:type="pct"/>
            <w:tcBorders>
              <w:top w:val="single" w:color="000000" w:sz="4" w:space="0"/>
              <w:left w:val="single" w:color="auto" w:sz="4" w:space="0"/>
              <w:bottom w:val="single" w:color="000000" w:sz="4" w:space="0"/>
              <w:right w:val="single" w:color="000000" w:sz="4" w:space="0"/>
            </w:tcBorders>
            <w:vAlign w:val="center"/>
          </w:tcPr>
          <w:p w14:paraId="4E8AF129">
            <w:pPr>
              <w:jc w:val="center"/>
              <w:rPr>
                <w:szCs w:val="21"/>
              </w:rPr>
            </w:pPr>
            <w:r>
              <w:rPr>
                <w:rFonts w:hint="eastAsia"/>
                <w:kern w:val="0"/>
                <w:szCs w:val="21"/>
              </w:rPr>
              <w:t>试验项目</w:t>
            </w:r>
          </w:p>
        </w:tc>
        <w:tc>
          <w:tcPr>
            <w:tcW w:w="695" w:type="pct"/>
            <w:tcBorders>
              <w:top w:val="single" w:color="auto" w:sz="4" w:space="0"/>
              <w:left w:val="single" w:color="000000" w:sz="4" w:space="0"/>
              <w:right w:val="single" w:color="000000" w:sz="4" w:space="0"/>
            </w:tcBorders>
            <w:vAlign w:val="center"/>
          </w:tcPr>
          <w:p w14:paraId="435287EA">
            <w:pPr>
              <w:jc w:val="center"/>
              <w:rPr>
                <w:kern w:val="0"/>
                <w:szCs w:val="21"/>
              </w:rPr>
            </w:pPr>
            <w:r>
              <w:rPr>
                <w:rFonts w:hint="eastAsia"/>
                <w:kern w:val="0"/>
                <w:szCs w:val="21"/>
              </w:rPr>
              <w:t>≥1</w:t>
            </w:r>
          </w:p>
        </w:tc>
        <w:tc>
          <w:tcPr>
            <w:tcW w:w="686" w:type="pct"/>
            <w:tcBorders>
              <w:top w:val="single" w:color="auto" w:sz="4" w:space="0"/>
              <w:left w:val="single" w:color="000000" w:sz="4" w:space="0"/>
              <w:right w:val="single" w:color="000000" w:sz="4" w:space="0"/>
            </w:tcBorders>
            <w:vAlign w:val="center"/>
          </w:tcPr>
          <w:p w14:paraId="5034E390">
            <w:pPr>
              <w:jc w:val="center"/>
              <w:rPr>
                <w:strike/>
                <w:kern w:val="0"/>
                <w:szCs w:val="21"/>
              </w:rPr>
            </w:pPr>
          </w:p>
        </w:tc>
      </w:tr>
      <w:tr w14:paraId="0B068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307" w:type="pct"/>
            <w:vMerge w:val="continue"/>
            <w:tcBorders>
              <w:left w:val="single" w:color="000000" w:sz="4" w:space="0"/>
              <w:right w:val="single" w:color="000000" w:sz="4" w:space="0"/>
            </w:tcBorders>
            <w:vAlign w:val="center"/>
          </w:tcPr>
          <w:p w14:paraId="77B4DBEE">
            <w:pPr>
              <w:jc w:val="center"/>
              <w:rPr>
                <w:kern w:val="0"/>
                <w:szCs w:val="21"/>
              </w:rPr>
            </w:pPr>
          </w:p>
        </w:tc>
        <w:tc>
          <w:tcPr>
            <w:tcW w:w="479" w:type="pct"/>
            <w:vMerge w:val="continue"/>
            <w:tcBorders>
              <w:left w:val="single" w:color="000000" w:sz="4" w:space="0"/>
              <w:right w:val="single" w:color="auto" w:sz="4" w:space="0"/>
            </w:tcBorders>
            <w:vAlign w:val="center"/>
          </w:tcPr>
          <w:p w14:paraId="70661F5C">
            <w:pPr>
              <w:pStyle w:val="31"/>
              <w:spacing w:after="0"/>
              <w:ind w:left="0" w:leftChars="0"/>
              <w:jc w:val="center"/>
              <w:rPr>
                <w:kern w:val="0"/>
                <w:sz w:val="21"/>
                <w:szCs w:val="21"/>
              </w:rPr>
            </w:pPr>
          </w:p>
        </w:tc>
        <w:tc>
          <w:tcPr>
            <w:tcW w:w="871" w:type="pct"/>
            <w:tcBorders>
              <w:top w:val="single" w:color="000000" w:sz="4" w:space="0"/>
              <w:left w:val="single" w:color="auto" w:sz="4" w:space="0"/>
              <w:bottom w:val="single" w:color="000000" w:sz="4" w:space="0"/>
              <w:right w:val="single" w:color="000000" w:sz="4" w:space="0"/>
            </w:tcBorders>
            <w:vAlign w:val="center"/>
          </w:tcPr>
          <w:p w14:paraId="18CE0DD3">
            <w:pPr>
              <w:pStyle w:val="85"/>
              <w:ind w:firstLine="0" w:firstLineChars="0"/>
              <w:jc w:val="center"/>
              <w:rPr>
                <w:rFonts w:ascii="Times New Roman" w:hAnsi="Times New Roman" w:eastAsia="宋体"/>
                <w:kern w:val="0"/>
                <w:szCs w:val="21"/>
              </w:rPr>
            </w:pPr>
            <w:r>
              <w:rPr>
                <w:rFonts w:hint="eastAsia" w:ascii="Times New Roman" w:hAnsi="Times New Roman" w:eastAsia="宋体"/>
                <w:kern w:val="0"/>
                <w:szCs w:val="21"/>
              </w:rPr>
              <w:t>振动</w:t>
            </w:r>
          </w:p>
        </w:tc>
        <w:tc>
          <w:tcPr>
            <w:tcW w:w="656" w:type="pct"/>
            <w:tcBorders>
              <w:top w:val="single" w:color="000000" w:sz="4" w:space="0"/>
              <w:left w:val="single" w:color="000000" w:sz="4" w:space="0"/>
              <w:bottom w:val="single" w:color="000000" w:sz="4" w:space="0"/>
              <w:right w:val="single" w:color="auto" w:sz="4" w:space="0"/>
            </w:tcBorders>
            <w:vAlign w:val="center"/>
          </w:tcPr>
          <w:p w14:paraId="33F525CE">
            <w:pPr>
              <w:jc w:val="center"/>
              <w:rPr>
                <w:kern w:val="0"/>
                <w:szCs w:val="21"/>
              </w:rPr>
            </w:pPr>
            <w:r>
              <w:rPr>
                <w:kern w:val="0"/>
                <w:szCs w:val="21"/>
              </w:rPr>
              <w:t>7.7.2</w:t>
            </w:r>
          </w:p>
        </w:tc>
        <w:tc>
          <w:tcPr>
            <w:tcW w:w="631" w:type="pct"/>
            <w:tcBorders>
              <w:top w:val="single" w:color="000000" w:sz="4" w:space="0"/>
              <w:left w:val="single" w:color="auto" w:sz="4" w:space="0"/>
              <w:bottom w:val="single" w:color="000000" w:sz="4" w:space="0"/>
              <w:right w:val="single" w:color="auto" w:sz="4" w:space="0"/>
            </w:tcBorders>
            <w:vAlign w:val="center"/>
          </w:tcPr>
          <w:p w14:paraId="5EB8149E">
            <w:pPr>
              <w:jc w:val="center"/>
              <w:rPr>
                <w:kern w:val="0"/>
                <w:szCs w:val="21"/>
              </w:rPr>
            </w:pPr>
            <w:r>
              <w:rPr>
                <w:kern w:val="0"/>
                <w:szCs w:val="21"/>
              </w:rPr>
              <w:t>10.</w:t>
            </w:r>
            <w:r>
              <w:rPr>
                <w:rFonts w:hint="eastAsia"/>
                <w:kern w:val="0"/>
                <w:szCs w:val="21"/>
              </w:rPr>
              <w:t>7</w:t>
            </w:r>
            <w:r>
              <w:rPr>
                <w:kern w:val="0"/>
                <w:szCs w:val="21"/>
              </w:rPr>
              <w:t>.4.</w:t>
            </w:r>
            <w:r>
              <w:rPr>
                <w:rFonts w:hint="eastAsia"/>
                <w:kern w:val="0"/>
                <w:szCs w:val="21"/>
              </w:rPr>
              <w:t>4</w:t>
            </w:r>
          </w:p>
        </w:tc>
        <w:tc>
          <w:tcPr>
            <w:tcW w:w="671" w:type="pct"/>
            <w:tcBorders>
              <w:top w:val="single" w:color="000000" w:sz="4" w:space="0"/>
              <w:left w:val="single" w:color="auto" w:sz="4" w:space="0"/>
              <w:bottom w:val="single" w:color="000000" w:sz="4" w:space="0"/>
              <w:right w:val="single" w:color="000000" w:sz="4" w:space="0"/>
            </w:tcBorders>
            <w:vAlign w:val="center"/>
          </w:tcPr>
          <w:p w14:paraId="56FBE7DC">
            <w:pPr>
              <w:jc w:val="center"/>
              <w:rPr>
                <w:szCs w:val="21"/>
              </w:rPr>
            </w:pPr>
            <w:r>
              <w:rPr>
                <w:rFonts w:hint="eastAsia"/>
                <w:kern w:val="0"/>
                <w:szCs w:val="21"/>
              </w:rPr>
              <w:t>试验项目</w:t>
            </w:r>
          </w:p>
        </w:tc>
        <w:tc>
          <w:tcPr>
            <w:tcW w:w="695" w:type="pct"/>
            <w:tcBorders>
              <w:top w:val="single" w:color="auto" w:sz="4" w:space="0"/>
              <w:left w:val="single" w:color="000000" w:sz="4" w:space="0"/>
              <w:right w:val="single" w:color="000000" w:sz="4" w:space="0"/>
            </w:tcBorders>
            <w:vAlign w:val="center"/>
          </w:tcPr>
          <w:p w14:paraId="18FAC36F">
            <w:pPr>
              <w:jc w:val="center"/>
              <w:rPr>
                <w:kern w:val="0"/>
                <w:szCs w:val="21"/>
              </w:rPr>
            </w:pPr>
            <w:r>
              <w:rPr>
                <w:rFonts w:hint="eastAsia"/>
                <w:kern w:val="0"/>
                <w:szCs w:val="21"/>
              </w:rPr>
              <w:t>≥1</w:t>
            </w:r>
          </w:p>
        </w:tc>
        <w:tc>
          <w:tcPr>
            <w:tcW w:w="686" w:type="pct"/>
            <w:tcBorders>
              <w:top w:val="single" w:color="auto" w:sz="4" w:space="0"/>
              <w:left w:val="single" w:color="000000" w:sz="4" w:space="0"/>
              <w:right w:val="single" w:color="000000" w:sz="4" w:space="0"/>
            </w:tcBorders>
            <w:vAlign w:val="center"/>
          </w:tcPr>
          <w:p w14:paraId="67282B00">
            <w:pPr>
              <w:jc w:val="center"/>
              <w:rPr>
                <w:strike/>
                <w:kern w:val="0"/>
                <w:szCs w:val="21"/>
              </w:rPr>
            </w:pPr>
          </w:p>
        </w:tc>
      </w:tr>
      <w:tr w14:paraId="7D389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307" w:type="pct"/>
            <w:vMerge w:val="restart"/>
            <w:tcBorders>
              <w:top w:val="single" w:color="000000" w:sz="4" w:space="0"/>
              <w:left w:val="single" w:color="000000" w:sz="4" w:space="0"/>
              <w:right w:val="single" w:color="000000" w:sz="4" w:space="0"/>
            </w:tcBorders>
            <w:vAlign w:val="center"/>
          </w:tcPr>
          <w:p w14:paraId="14CC2575">
            <w:pPr>
              <w:pStyle w:val="85"/>
              <w:ind w:firstLine="0" w:firstLineChars="0"/>
              <w:jc w:val="center"/>
              <w:rPr>
                <w:rFonts w:ascii="Times New Roman" w:hAnsi="Times New Roman" w:eastAsia="宋体"/>
                <w:kern w:val="0"/>
                <w:szCs w:val="21"/>
              </w:rPr>
            </w:pPr>
            <w:r>
              <w:rPr>
                <w:rFonts w:hint="eastAsia" w:ascii="Times New Roman" w:hAnsi="Times New Roman" w:eastAsia="宋体"/>
                <w:kern w:val="0"/>
                <w:szCs w:val="21"/>
              </w:rPr>
              <w:t>7</w:t>
            </w:r>
          </w:p>
        </w:tc>
        <w:tc>
          <w:tcPr>
            <w:tcW w:w="479" w:type="pct"/>
            <w:vMerge w:val="restart"/>
            <w:tcBorders>
              <w:top w:val="single" w:color="000000" w:sz="4" w:space="0"/>
              <w:left w:val="single" w:color="000000" w:sz="4" w:space="0"/>
              <w:right w:val="single" w:color="auto" w:sz="4" w:space="0"/>
            </w:tcBorders>
            <w:vAlign w:val="center"/>
          </w:tcPr>
          <w:p w14:paraId="76C5BEBC">
            <w:pPr>
              <w:pStyle w:val="85"/>
              <w:ind w:firstLine="0" w:firstLineChars="0"/>
              <w:jc w:val="center"/>
              <w:rPr>
                <w:rFonts w:ascii="Times New Roman" w:hAnsi="Times New Roman" w:eastAsia="宋体"/>
                <w:kern w:val="0"/>
                <w:szCs w:val="21"/>
              </w:rPr>
            </w:pPr>
            <w:r>
              <w:rPr>
                <w:rFonts w:hint="eastAsia" w:ascii="Times New Roman" w:hAnsi="Times New Roman" w:eastAsia="宋体"/>
                <w:kern w:val="0"/>
                <w:szCs w:val="21"/>
              </w:rPr>
              <w:t>电磁兼容适</w:t>
            </w:r>
            <w:r>
              <w:rPr>
                <w:rFonts w:hint="eastAsia" w:eastAsia="宋体" w:cs="宋体"/>
                <w:kern w:val="0"/>
                <w:szCs w:val="21"/>
              </w:rPr>
              <w:t>应性</w:t>
            </w:r>
          </w:p>
        </w:tc>
        <w:tc>
          <w:tcPr>
            <w:tcW w:w="871" w:type="pct"/>
            <w:tcBorders>
              <w:top w:val="single" w:color="000000" w:sz="4" w:space="0"/>
              <w:left w:val="single" w:color="auto" w:sz="4" w:space="0"/>
              <w:bottom w:val="single" w:color="000000" w:sz="4" w:space="0"/>
              <w:right w:val="single" w:color="000000" w:sz="4" w:space="0"/>
            </w:tcBorders>
            <w:vAlign w:val="center"/>
          </w:tcPr>
          <w:p w14:paraId="1B332C35">
            <w:pPr>
              <w:pStyle w:val="85"/>
              <w:ind w:firstLine="0" w:firstLineChars="0"/>
              <w:jc w:val="center"/>
              <w:rPr>
                <w:rFonts w:ascii="Times New Roman" w:hAnsi="Times New Roman" w:eastAsia="宋体"/>
                <w:kern w:val="0"/>
                <w:szCs w:val="21"/>
              </w:rPr>
            </w:pPr>
            <w:r>
              <w:rPr>
                <w:rFonts w:hint="eastAsia" w:ascii="Times New Roman" w:hAnsi="Times New Roman" w:eastAsia="宋体"/>
                <w:kern w:val="0"/>
                <w:szCs w:val="21"/>
              </w:rPr>
              <w:t>静电放电抗扰度</w:t>
            </w:r>
          </w:p>
        </w:tc>
        <w:tc>
          <w:tcPr>
            <w:tcW w:w="656" w:type="pct"/>
            <w:tcBorders>
              <w:top w:val="single" w:color="000000" w:sz="4" w:space="0"/>
              <w:left w:val="single" w:color="000000" w:sz="4" w:space="0"/>
              <w:bottom w:val="single" w:color="000000" w:sz="4" w:space="0"/>
              <w:right w:val="single" w:color="auto" w:sz="4" w:space="0"/>
            </w:tcBorders>
            <w:vAlign w:val="center"/>
          </w:tcPr>
          <w:p w14:paraId="1533B51D">
            <w:pPr>
              <w:pStyle w:val="85"/>
              <w:ind w:firstLine="0" w:firstLineChars="0"/>
              <w:jc w:val="center"/>
              <w:rPr>
                <w:rFonts w:ascii="Times New Roman" w:hAnsi="Times New Roman" w:eastAsia="宋体"/>
                <w:kern w:val="0"/>
                <w:szCs w:val="21"/>
              </w:rPr>
            </w:pPr>
            <w:r>
              <w:rPr>
                <w:rFonts w:hint="eastAsia" w:ascii="Times New Roman" w:hAnsi="Times New Roman" w:eastAsia="宋体"/>
                <w:kern w:val="0"/>
                <w:szCs w:val="21"/>
              </w:rPr>
              <w:t>7.8.1</w:t>
            </w:r>
          </w:p>
        </w:tc>
        <w:tc>
          <w:tcPr>
            <w:tcW w:w="631" w:type="pct"/>
            <w:tcBorders>
              <w:top w:val="single" w:color="000000" w:sz="4" w:space="0"/>
              <w:left w:val="single" w:color="auto" w:sz="4" w:space="0"/>
              <w:bottom w:val="single" w:color="000000" w:sz="4" w:space="0"/>
              <w:right w:val="single" w:color="auto" w:sz="4" w:space="0"/>
            </w:tcBorders>
            <w:vAlign w:val="center"/>
          </w:tcPr>
          <w:p w14:paraId="7BB7D46D">
            <w:pPr>
              <w:pStyle w:val="85"/>
              <w:ind w:firstLine="0" w:firstLineChars="0"/>
              <w:jc w:val="center"/>
              <w:rPr>
                <w:rFonts w:ascii="Times New Roman" w:hAnsi="Times New Roman" w:eastAsia="宋体"/>
                <w:kern w:val="0"/>
                <w:szCs w:val="21"/>
              </w:rPr>
            </w:pPr>
            <w:r>
              <w:rPr>
                <w:rFonts w:hint="eastAsia" w:ascii="Times New Roman" w:hAnsi="Times New Roman" w:eastAsia="宋体"/>
                <w:kern w:val="0"/>
                <w:szCs w:val="21"/>
              </w:rPr>
              <w:t>10.6.1</w:t>
            </w:r>
          </w:p>
        </w:tc>
        <w:tc>
          <w:tcPr>
            <w:tcW w:w="671" w:type="pct"/>
            <w:tcBorders>
              <w:top w:val="single" w:color="000000" w:sz="4" w:space="0"/>
              <w:left w:val="single" w:color="auto" w:sz="4" w:space="0"/>
              <w:bottom w:val="single" w:color="auto" w:sz="4" w:space="0"/>
              <w:right w:val="single" w:color="000000" w:sz="4" w:space="0"/>
            </w:tcBorders>
            <w:vAlign w:val="center"/>
          </w:tcPr>
          <w:p w14:paraId="565D50F5">
            <w:pPr>
              <w:jc w:val="center"/>
              <w:rPr>
                <w:szCs w:val="21"/>
              </w:rPr>
            </w:pPr>
            <w:r>
              <w:rPr>
                <w:rFonts w:hint="eastAsia"/>
                <w:kern w:val="0"/>
                <w:szCs w:val="21"/>
              </w:rPr>
              <w:t>试验项目</w:t>
            </w:r>
          </w:p>
        </w:tc>
        <w:tc>
          <w:tcPr>
            <w:tcW w:w="695" w:type="pct"/>
            <w:tcBorders>
              <w:top w:val="single" w:color="000000" w:sz="4" w:space="0"/>
              <w:left w:val="single" w:color="000000" w:sz="4" w:space="0"/>
              <w:bottom w:val="single" w:color="auto" w:sz="4" w:space="0"/>
              <w:right w:val="single" w:color="000000" w:sz="4" w:space="0"/>
            </w:tcBorders>
            <w:vAlign w:val="center"/>
          </w:tcPr>
          <w:p w14:paraId="54F7AE7B">
            <w:pPr>
              <w:pStyle w:val="85"/>
              <w:ind w:firstLine="0" w:firstLineChars="0"/>
              <w:jc w:val="center"/>
              <w:rPr>
                <w:rFonts w:ascii="Times New Roman" w:hAnsi="Times New Roman" w:eastAsia="宋体"/>
                <w:kern w:val="0"/>
                <w:szCs w:val="21"/>
              </w:rPr>
            </w:pPr>
            <w:r>
              <w:rPr>
                <w:rFonts w:hint="eastAsia" w:ascii="Times New Roman" w:eastAsia="宋体"/>
                <w:kern w:val="0"/>
                <w:szCs w:val="21"/>
              </w:rPr>
              <w:t>≥1</w:t>
            </w:r>
          </w:p>
        </w:tc>
        <w:tc>
          <w:tcPr>
            <w:tcW w:w="686" w:type="pct"/>
            <w:tcBorders>
              <w:top w:val="single" w:color="000000" w:sz="4" w:space="0"/>
              <w:left w:val="single" w:color="000000" w:sz="4" w:space="0"/>
              <w:right w:val="single" w:color="000000" w:sz="4" w:space="0"/>
            </w:tcBorders>
            <w:vAlign w:val="center"/>
          </w:tcPr>
          <w:p w14:paraId="3CED789B">
            <w:pPr>
              <w:pStyle w:val="85"/>
              <w:ind w:firstLine="0" w:firstLineChars="0"/>
              <w:jc w:val="center"/>
              <w:rPr>
                <w:rFonts w:ascii="Times New Roman" w:hAnsi="Times New Roman" w:eastAsia="宋体"/>
                <w:kern w:val="0"/>
                <w:szCs w:val="21"/>
              </w:rPr>
            </w:pPr>
          </w:p>
        </w:tc>
      </w:tr>
      <w:tr w14:paraId="2B110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307" w:type="pct"/>
            <w:vMerge w:val="continue"/>
            <w:tcBorders>
              <w:left w:val="single" w:color="000000" w:sz="4" w:space="0"/>
              <w:right w:val="single" w:color="000000" w:sz="4" w:space="0"/>
            </w:tcBorders>
            <w:vAlign w:val="center"/>
          </w:tcPr>
          <w:p w14:paraId="7EF524B8">
            <w:pPr>
              <w:pStyle w:val="85"/>
              <w:ind w:firstLine="0" w:firstLineChars="0"/>
              <w:jc w:val="center"/>
              <w:rPr>
                <w:rFonts w:ascii="Times New Roman" w:hAnsi="Times New Roman" w:eastAsia="宋体"/>
                <w:kern w:val="0"/>
                <w:szCs w:val="21"/>
              </w:rPr>
            </w:pPr>
          </w:p>
        </w:tc>
        <w:tc>
          <w:tcPr>
            <w:tcW w:w="479" w:type="pct"/>
            <w:vMerge w:val="continue"/>
            <w:tcBorders>
              <w:left w:val="single" w:color="000000" w:sz="4" w:space="0"/>
              <w:right w:val="single" w:color="auto" w:sz="4" w:space="0"/>
            </w:tcBorders>
            <w:vAlign w:val="center"/>
          </w:tcPr>
          <w:p w14:paraId="1D8EA45A">
            <w:pPr>
              <w:pStyle w:val="85"/>
              <w:ind w:firstLine="0" w:firstLineChars="0"/>
              <w:jc w:val="center"/>
              <w:rPr>
                <w:rFonts w:ascii="Times New Roman" w:hAnsi="Times New Roman" w:eastAsia="宋体"/>
                <w:kern w:val="0"/>
                <w:szCs w:val="21"/>
              </w:rPr>
            </w:pPr>
          </w:p>
        </w:tc>
        <w:tc>
          <w:tcPr>
            <w:tcW w:w="871" w:type="pct"/>
            <w:tcBorders>
              <w:top w:val="single" w:color="000000" w:sz="4" w:space="0"/>
              <w:left w:val="single" w:color="auto" w:sz="4" w:space="0"/>
              <w:bottom w:val="single" w:color="000000" w:sz="4" w:space="0"/>
              <w:right w:val="single" w:color="000000" w:sz="4" w:space="0"/>
            </w:tcBorders>
            <w:vAlign w:val="center"/>
          </w:tcPr>
          <w:p w14:paraId="0443CDC4">
            <w:pPr>
              <w:pStyle w:val="85"/>
              <w:ind w:firstLine="0" w:firstLineChars="0"/>
              <w:jc w:val="center"/>
              <w:rPr>
                <w:rFonts w:ascii="Times New Roman" w:hAnsi="Times New Roman" w:eastAsia="宋体"/>
                <w:kern w:val="0"/>
                <w:szCs w:val="21"/>
              </w:rPr>
            </w:pPr>
            <w:r>
              <w:rPr>
                <w:rFonts w:hint="eastAsia" w:ascii="Times New Roman" w:hAnsi="Times New Roman" w:eastAsia="宋体"/>
                <w:kern w:val="0"/>
                <w:szCs w:val="21"/>
              </w:rPr>
              <w:t>电快速瞬变脉冲群抗扰度</w:t>
            </w:r>
          </w:p>
        </w:tc>
        <w:tc>
          <w:tcPr>
            <w:tcW w:w="656" w:type="pct"/>
            <w:tcBorders>
              <w:top w:val="single" w:color="000000" w:sz="4" w:space="0"/>
              <w:left w:val="single" w:color="000000" w:sz="4" w:space="0"/>
              <w:bottom w:val="single" w:color="000000" w:sz="4" w:space="0"/>
              <w:right w:val="single" w:color="auto" w:sz="4" w:space="0"/>
            </w:tcBorders>
            <w:vAlign w:val="center"/>
          </w:tcPr>
          <w:p w14:paraId="38398D1A">
            <w:pPr>
              <w:pStyle w:val="85"/>
              <w:ind w:firstLine="0" w:firstLineChars="0"/>
              <w:jc w:val="center"/>
              <w:rPr>
                <w:rFonts w:ascii="Times New Roman" w:hAnsi="Times New Roman" w:eastAsia="宋体"/>
                <w:kern w:val="0"/>
                <w:szCs w:val="21"/>
              </w:rPr>
            </w:pPr>
            <w:r>
              <w:rPr>
                <w:rFonts w:hint="eastAsia" w:ascii="Times New Roman" w:hAnsi="Times New Roman" w:eastAsia="宋体"/>
                <w:kern w:val="0"/>
                <w:szCs w:val="21"/>
              </w:rPr>
              <w:t>7.8.2</w:t>
            </w:r>
          </w:p>
        </w:tc>
        <w:tc>
          <w:tcPr>
            <w:tcW w:w="631" w:type="pct"/>
            <w:tcBorders>
              <w:top w:val="single" w:color="000000" w:sz="4" w:space="0"/>
              <w:left w:val="single" w:color="auto" w:sz="4" w:space="0"/>
              <w:bottom w:val="single" w:color="000000" w:sz="4" w:space="0"/>
              <w:right w:val="single" w:color="auto" w:sz="4" w:space="0"/>
            </w:tcBorders>
            <w:vAlign w:val="center"/>
          </w:tcPr>
          <w:p w14:paraId="12E7016E">
            <w:pPr>
              <w:pStyle w:val="85"/>
              <w:ind w:firstLine="0" w:firstLineChars="0"/>
              <w:jc w:val="center"/>
              <w:rPr>
                <w:rFonts w:ascii="Times New Roman" w:hAnsi="Times New Roman" w:eastAsia="宋体"/>
                <w:kern w:val="0"/>
                <w:szCs w:val="21"/>
              </w:rPr>
            </w:pPr>
            <w:r>
              <w:rPr>
                <w:rFonts w:hint="eastAsia" w:ascii="Times New Roman" w:hAnsi="Times New Roman" w:eastAsia="宋体"/>
                <w:kern w:val="0"/>
                <w:szCs w:val="21"/>
              </w:rPr>
              <w:t>10.6.2</w:t>
            </w:r>
          </w:p>
        </w:tc>
        <w:tc>
          <w:tcPr>
            <w:tcW w:w="671" w:type="pct"/>
            <w:tcBorders>
              <w:top w:val="single" w:color="000000" w:sz="4" w:space="0"/>
              <w:left w:val="single" w:color="auto" w:sz="4" w:space="0"/>
              <w:bottom w:val="single" w:color="000000" w:sz="4" w:space="0"/>
              <w:right w:val="single" w:color="000000" w:sz="4" w:space="0"/>
            </w:tcBorders>
            <w:vAlign w:val="center"/>
          </w:tcPr>
          <w:p w14:paraId="432E8A6A">
            <w:pPr>
              <w:jc w:val="center"/>
              <w:rPr>
                <w:szCs w:val="21"/>
              </w:rPr>
            </w:pPr>
            <w:r>
              <w:rPr>
                <w:rFonts w:hint="eastAsia"/>
                <w:kern w:val="0"/>
                <w:szCs w:val="21"/>
              </w:rPr>
              <w:t>试验项目</w:t>
            </w:r>
          </w:p>
        </w:tc>
        <w:tc>
          <w:tcPr>
            <w:tcW w:w="695" w:type="pct"/>
            <w:tcBorders>
              <w:top w:val="single" w:color="000000" w:sz="4" w:space="0"/>
              <w:left w:val="single" w:color="000000" w:sz="4" w:space="0"/>
              <w:bottom w:val="single" w:color="auto" w:sz="4" w:space="0"/>
              <w:right w:val="single" w:color="000000" w:sz="4" w:space="0"/>
            </w:tcBorders>
            <w:vAlign w:val="center"/>
          </w:tcPr>
          <w:p w14:paraId="6B80D9D9">
            <w:pPr>
              <w:pStyle w:val="85"/>
              <w:ind w:firstLine="0" w:firstLineChars="0"/>
              <w:jc w:val="center"/>
              <w:rPr>
                <w:rFonts w:ascii="Times New Roman" w:hAnsi="Times New Roman" w:eastAsia="宋体"/>
                <w:kern w:val="0"/>
                <w:szCs w:val="21"/>
              </w:rPr>
            </w:pPr>
            <w:r>
              <w:rPr>
                <w:rFonts w:hint="eastAsia" w:ascii="Times New Roman" w:eastAsia="宋体"/>
                <w:kern w:val="0"/>
                <w:szCs w:val="21"/>
              </w:rPr>
              <w:t>≥1</w:t>
            </w:r>
          </w:p>
        </w:tc>
        <w:tc>
          <w:tcPr>
            <w:tcW w:w="686" w:type="pct"/>
            <w:vMerge w:val="restart"/>
            <w:tcBorders>
              <w:top w:val="single" w:color="000000" w:sz="4" w:space="0"/>
              <w:left w:val="single" w:color="000000" w:sz="4" w:space="0"/>
              <w:right w:val="single" w:color="000000" w:sz="4" w:space="0"/>
            </w:tcBorders>
            <w:vAlign w:val="center"/>
          </w:tcPr>
          <w:p w14:paraId="493255C3">
            <w:pPr>
              <w:pStyle w:val="85"/>
              <w:ind w:firstLine="0" w:firstLineChars="0"/>
              <w:jc w:val="center"/>
              <w:rPr>
                <w:rFonts w:ascii="Times New Roman" w:hAnsi="Times New Roman" w:eastAsia="宋体"/>
                <w:kern w:val="0"/>
                <w:szCs w:val="21"/>
              </w:rPr>
            </w:pPr>
            <w:r>
              <w:rPr>
                <w:rFonts w:hint="eastAsia" w:ascii="Times New Roman" w:hAnsi="Times New Roman" w:eastAsia="宋体"/>
                <w:kern w:val="0"/>
                <w:szCs w:val="21"/>
              </w:rPr>
              <w:t>交流</w:t>
            </w:r>
            <w:r>
              <w:rPr>
                <w:rFonts w:ascii="Times New Roman" w:hAnsi="Times New Roman" w:eastAsia="宋体"/>
                <w:kern w:val="0"/>
                <w:szCs w:val="21"/>
              </w:rPr>
              <w:t>供电的流量计适用</w:t>
            </w:r>
          </w:p>
        </w:tc>
      </w:tr>
      <w:tr w14:paraId="1F618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307" w:type="pct"/>
            <w:vMerge w:val="continue"/>
            <w:tcBorders>
              <w:left w:val="single" w:color="000000" w:sz="4" w:space="0"/>
              <w:right w:val="single" w:color="000000" w:sz="4" w:space="0"/>
            </w:tcBorders>
            <w:vAlign w:val="center"/>
          </w:tcPr>
          <w:p w14:paraId="46E50EEA">
            <w:pPr>
              <w:pStyle w:val="85"/>
              <w:ind w:firstLine="0" w:firstLineChars="0"/>
              <w:jc w:val="center"/>
              <w:rPr>
                <w:rFonts w:ascii="Times New Roman" w:hAnsi="Times New Roman" w:eastAsia="宋体"/>
                <w:kern w:val="0"/>
                <w:szCs w:val="21"/>
              </w:rPr>
            </w:pPr>
          </w:p>
        </w:tc>
        <w:tc>
          <w:tcPr>
            <w:tcW w:w="479" w:type="pct"/>
            <w:vMerge w:val="continue"/>
            <w:tcBorders>
              <w:left w:val="single" w:color="000000" w:sz="4" w:space="0"/>
              <w:right w:val="single" w:color="auto" w:sz="4" w:space="0"/>
            </w:tcBorders>
            <w:vAlign w:val="center"/>
          </w:tcPr>
          <w:p w14:paraId="5C79FE00">
            <w:pPr>
              <w:pStyle w:val="85"/>
              <w:ind w:firstLine="0" w:firstLineChars="0"/>
              <w:jc w:val="center"/>
              <w:rPr>
                <w:rFonts w:ascii="Times New Roman" w:hAnsi="Times New Roman" w:eastAsia="宋体"/>
                <w:kern w:val="0"/>
                <w:szCs w:val="21"/>
              </w:rPr>
            </w:pPr>
          </w:p>
        </w:tc>
        <w:tc>
          <w:tcPr>
            <w:tcW w:w="871" w:type="pct"/>
            <w:tcBorders>
              <w:top w:val="single" w:color="000000" w:sz="4" w:space="0"/>
              <w:left w:val="single" w:color="auto" w:sz="4" w:space="0"/>
              <w:bottom w:val="single" w:color="000000" w:sz="4" w:space="0"/>
              <w:right w:val="single" w:color="000000" w:sz="4" w:space="0"/>
            </w:tcBorders>
            <w:vAlign w:val="center"/>
          </w:tcPr>
          <w:p w14:paraId="4F121B6B">
            <w:pPr>
              <w:pStyle w:val="85"/>
              <w:ind w:firstLine="0" w:firstLineChars="0"/>
              <w:jc w:val="center"/>
              <w:rPr>
                <w:rFonts w:ascii="Times New Roman" w:hAnsi="Times New Roman" w:eastAsia="宋体"/>
                <w:kern w:val="0"/>
                <w:szCs w:val="21"/>
              </w:rPr>
            </w:pPr>
            <w:r>
              <w:rPr>
                <w:rFonts w:hint="eastAsia" w:ascii="Times New Roman" w:hAnsi="Times New Roman" w:eastAsia="宋体"/>
                <w:kern w:val="0"/>
                <w:szCs w:val="21"/>
              </w:rPr>
              <w:t>浪涌（冲击）抗扰度</w:t>
            </w:r>
          </w:p>
        </w:tc>
        <w:tc>
          <w:tcPr>
            <w:tcW w:w="656" w:type="pct"/>
            <w:tcBorders>
              <w:top w:val="single" w:color="000000" w:sz="4" w:space="0"/>
              <w:left w:val="single" w:color="000000" w:sz="4" w:space="0"/>
              <w:bottom w:val="single" w:color="000000" w:sz="4" w:space="0"/>
              <w:right w:val="single" w:color="auto" w:sz="4" w:space="0"/>
            </w:tcBorders>
            <w:vAlign w:val="center"/>
          </w:tcPr>
          <w:p w14:paraId="04B2B469">
            <w:pPr>
              <w:pStyle w:val="85"/>
              <w:ind w:firstLine="0" w:firstLineChars="0"/>
              <w:jc w:val="center"/>
              <w:rPr>
                <w:rFonts w:ascii="Times New Roman" w:hAnsi="Times New Roman" w:eastAsia="宋体"/>
                <w:kern w:val="0"/>
                <w:szCs w:val="21"/>
              </w:rPr>
            </w:pPr>
            <w:r>
              <w:rPr>
                <w:rFonts w:hint="eastAsia" w:ascii="Times New Roman" w:hAnsi="Times New Roman" w:eastAsia="宋体"/>
                <w:kern w:val="0"/>
                <w:szCs w:val="21"/>
              </w:rPr>
              <w:t>7.8.3</w:t>
            </w:r>
          </w:p>
        </w:tc>
        <w:tc>
          <w:tcPr>
            <w:tcW w:w="631" w:type="pct"/>
            <w:tcBorders>
              <w:top w:val="single" w:color="000000" w:sz="4" w:space="0"/>
              <w:left w:val="single" w:color="auto" w:sz="4" w:space="0"/>
              <w:bottom w:val="single" w:color="000000" w:sz="4" w:space="0"/>
              <w:right w:val="single" w:color="auto" w:sz="4" w:space="0"/>
            </w:tcBorders>
            <w:vAlign w:val="center"/>
          </w:tcPr>
          <w:p w14:paraId="56BFE022">
            <w:pPr>
              <w:pStyle w:val="85"/>
              <w:ind w:firstLine="0" w:firstLineChars="0"/>
              <w:jc w:val="center"/>
              <w:rPr>
                <w:rFonts w:ascii="Times New Roman" w:hAnsi="Times New Roman" w:eastAsia="宋体"/>
                <w:kern w:val="0"/>
                <w:szCs w:val="21"/>
              </w:rPr>
            </w:pPr>
            <w:r>
              <w:rPr>
                <w:rFonts w:hint="eastAsia" w:ascii="Times New Roman" w:hAnsi="Times New Roman" w:eastAsia="宋体"/>
                <w:kern w:val="0"/>
                <w:szCs w:val="21"/>
              </w:rPr>
              <w:t>10.6.3</w:t>
            </w:r>
          </w:p>
        </w:tc>
        <w:tc>
          <w:tcPr>
            <w:tcW w:w="671" w:type="pct"/>
            <w:tcBorders>
              <w:top w:val="single" w:color="000000" w:sz="4" w:space="0"/>
              <w:left w:val="single" w:color="auto" w:sz="4" w:space="0"/>
              <w:bottom w:val="single" w:color="000000" w:sz="4" w:space="0"/>
              <w:right w:val="single" w:color="000000" w:sz="4" w:space="0"/>
            </w:tcBorders>
            <w:vAlign w:val="center"/>
          </w:tcPr>
          <w:p w14:paraId="1A0656D7">
            <w:pPr>
              <w:jc w:val="center"/>
              <w:rPr>
                <w:szCs w:val="21"/>
              </w:rPr>
            </w:pPr>
            <w:r>
              <w:rPr>
                <w:rFonts w:hint="eastAsia"/>
                <w:kern w:val="0"/>
                <w:szCs w:val="21"/>
              </w:rPr>
              <w:t>试验项目</w:t>
            </w:r>
          </w:p>
        </w:tc>
        <w:tc>
          <w:tcPr>
            <w:tcW w:w="695" w:type="pct"/>
            <w:tcBorders>
              <w:top w:val="single" w:color="auto" w:sz="4" w:space="0"/>
              <w:left w:val="single" w:color="000000" w:sz="4" w:space="0"/>
              <w:bottom w:val="single" w:color="auto" w:sz="4" w:space="0"/>
              <w:right w:val="single" w:color="000000" w:sz="4" w:space="0"/>
            </w:tcBorders>
            <w:vAlign w:val="center"/>
          </w:tcPr>
          <w:p w14:paraId="003E2B75">
            <w:pPr>
              <w:pStyle w:val="85"/>
              <w:ind w:firstLine="0" w:firstLineChars="0"/>
              <w:jc w:val="center"/>
              <w:rPr>
                <w:rFonts w:ascii="Times New Roman" w:hAnsi="Times New Roman" w:eastAsia="宋体"/>
                <w:kern w:val="0"/>
                <w:szCs w:val="21"/>
              </w:rPr>
            </w:pPr>
            <w:r>
              <w:rPr>
                <w:rFonts w:hint="eastAsia" w:ascii="Times New Roman" w:eastAsia="宋体"/>
                <w:kern w:val="0"/>
                <w:szCs w:val="21"/>
              </w:rPr>
              <w:t>≥1</w:t>
            </w:r>
          </w:p>
        </w:tc>
        <w:tc>
          <w:tcPr>
            <w:tcW w:w="686" w:type="pct"/>
            <w:vMerge w:val="continue"/>
            <w:tcBorders>
              <w:left w:val="single" w:color="000000" w:sz="4" w:space="0"/>
              <w:right w:val="single" w:color="000000" w:sz="4" w:space="0"/>
            </w:tcBorders>
            <w:vAlign w:val="center"/>
          </w:tcPr>
          <w:p w14:paraId="6C15E791">
            <w:pPr>
              <w:pStyle w:val="85"/>
              <w:ind w:firstLine="0" w:firstLineChars="0"/>
              <w:jc w:val="center"/>
              <w:rPr>
                <w:rFonts w:ascii="Times New Roman" w:hAnsi="Times New Roman" w:eastAsia="宋体"/>
                <w:kern w:val="0"/>
                <w:szCs w:val="21"/>
              </w:rPr>
            </w:pPr>
          </w:p>
        </w:tc>
      </w:tr>
      <w:tr w14:paraId="2DB5D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307" w:type="pct"/>
            <w:vMerge w:val="continue"/>
            <w:tcBorders>
              <w:left w:val="single" w:color="000000" w:sz="4" w:space="0"/>
              <w:right w:val="single" w:color="000000" w:sz="4" w:space="0"/>
            </w:tcBorders>
            <w:vAlign w:val="center"/>
          </w:tcPr>
          <w:p w14:paraId="7C2356F6">
            <w:pPr>
              <w:pStyle w:val="85"/>
              <w:ind w:firstLine="0" w:firstLineChars="0"/>
              <w:jc w:val="center"/>
              <w:rPr>
                <w:rFonts w:ascii="Times New Roman" w:hAnsi="Times New Roman" w:eastAsia="宋体"/>
                <w:kern w:val="0"/>
                <w:szCs w:val="21"/>
              </w:rPr>
            </w:pPr>
          </w:p>
        </w:tc>
        <w:tc>
          <w:tcPr>
            <w:tcW w:w="479" w:type="pct"/>
            <w:vMerge w:val="continue"/>
            <w:tcBorders>
              <w:left w:val="single" w:color="000000" w:sz="4" w:space="0"/>
              <w:right w:val="single" w:color="auto" w:sz="4" w:space="0"/>
            </w:tcBorders>
            <w:vAlign w:val="center"/>
          </w:tcPr>
          <w:p w14:paraId="72CC23BC">
            <w:pPr>
              <w:pStyle w:val="85"/>
              <w:ind w:firstLine="0" w:firstLineChars="0"/>
              <w:jc w:val="center"/>
              <w:rPr>
                <w:rFonts w:ascii="Times New Roman" w:hAnsi="Times New Roman" w:eastAsia="宋体"/>
                <w:kern w:val="0"/>
                <w:szCs w:val="21"/>
              </w:rPr>
            </w:pPr>
          </w:p>
        </w:tc>
        <w:tc>
          <w:tcPr>
            <w:tcW w:w="871" w:type="pct"/>
            <w:tcBorders>
              <w:top w:val="single" w:color="000000" w:sz="4" w:space="0"/>
              <w:left w:val="single" w:color="auto" w:sz="4" w:space="0"/>
              <w:bottom w:val="single" w:color="000000" w:sz="4" w:space="0"/>
              <w:right w:val="single" w:color="000000" w:sz="4" w:space="0"/>
            </w:tcBorders>
            <w:vAlign w:val="center"/>
          </w:tcPr>
          <w:p w14:paraId="1C83D39E">
            <w:pPr>
              <w:pStyle w:val="85"/>
              <w:ind w:firstLine="0" w:firstLineChars="0"/>
              <w:jc w:val="center"/>
              <w:rPr>
                <w:rFonts w:ascii="Times New Roman" w:hAnsi="Times New Roman" w:eastAsia="宋体"/>
                <w:kern w:val="0"/>
                <w:szCs w:val="21"/>
              </w:rPr>
            </w:pPr>
            <w:r>
              <w:rPr>
                <w:rFonts w:hint="eastAsia" w:ascii="Times New Roman" w:hAnsi="Times New Roman" w:eastAsia="宋体"/>
                <w:kern w:val="0"/>
                <w:szCs w:val="21"/>
              </w:rPr>
              <w:t>电压暂降和短时中断抗扰度</w:t>
            </w:r>
          </w:p>
        </w:tc>
        <w:tc>
          <w:tcPr>
            <w:tcW w:w="656" w:type="pct"/>
            <w:tcBorders>
              <w:top w:val="single" w:color="000000" w:sz="4" w:space="0"/>
              <w:left w:val="single" w:color="000000" w:sz="4" w:space="0"/>
              <w:bottom w:val="single" w:color="000000" w:sz="4" w:space="0"/>
              <w:right w:val="single" w:color="auto" w:sz="4" w:space="0"/>
            </w:tcBorders>
            <w:vAlign w:val="center"/>
          </w:tcPr>
          <w:p w14:paraId="085A12AB">
            <w:pPr>
              <w:pStyle w:val="85"/>
              <w:ind w:firstLine="0" w:firstLineChars="0"/>
              <w:jc w:val="center"/>
              <w:rPr>
                <w:rFonts w:ascii="Times New Roman" w:hAnsi="Times New Roman" w:eastAsia="宋体"/>
                <w:kern w:val="0"/>
                <w:szCs w:val="21"/>
              </w:rPr>
            </w:pPr>
            <w:r>
              <w:rPr>
                <w:rFonts w:hint="eastAsia" w:ascii="Times New Roman" w:hAnsi="Times New Roman" w:eastAsia="宋体"/>
                <w:kern w:val="0"/>
                <w:szCs w:val="21"/>
              </w:rPr>
              <w:t>7.8.4</w:t>
            </w:r>
          </w:p>
        </w:tc>
        <w:tc>
          <w:tcPr>
            <w:tcW w:w="631" w:type="pct"/>
            <w:tcBorders>
              <w:top w:val="single" w:color="000000" w:sz="4" w:space="0"/>
              <w:left w:val="single" w:color="auto" w:sz="4" w:space="0"/>
              <w:bottom w:val="single" w:color="000000" w:sz="4" w:space="0"/>
              <w:right w:val="single" w:color="auto" w:sz="4" w:space="0"/>
            </w:tcBorders>
            <w:vAlign w:val="center"/>
          </w:tcPr>
          <w:p w14:paraId="028ADB6E">
            <w:pPr>
              <w:pStyle w:val="85"/>
              <w:ind w:firstLine="0" w:firstLineChars="0"/>
              <w:jc w:val="center"/>
              <w:rPr>
                <w:rFonts w:ascii="Times New Roman" w:hAnsi="Times New Roman" w:eastAsia="宋体"/>
                <w:kern w:val="0"/>
                <w:szCs w:val="21"/>
              </w:rPr>
            </w:pPr>
            <w:r>
              <w:rPr>
                <w:rFonts w:hint="eastAsia" w:ascii="Times New Roman" w:hAnsi="Times New Roman" w:eastAsia="宋体"/>
                <w:kern w:val="0"/>
                <w:szCs w:val="21"/>
              </w:rPr>
              <w:t>10.6.4</w:t>
            </w:r>
          </w:p>
        </w:tc>
        <w:tc>
          <w:tcPr>
            <w:tcW w:w="671" w:type="pct"/>
            <w:tcBorders>
              <w:top w:val="single" w:color="000000" w:sz="4" w:space="0"/>
              <w:left w:val="single" w:color="auto" w:sz="4" w:space="0"/>
              <w:bottom w:val="single" w:color="000000" w:sz="4" w:space="0"/>
              <w:right w:val="single" w:color="000000" w:sz="4" w:space="0"/>
            </w:tcBorders>
            <w:vAlign w:val="center"/>
          </w:tcPr>
          <w:p w14:paraId="2410AC02">
            <w:pPr>
              <w:pStyle w:val="85"/>
              <w:ind w:firstLine="0" w:firstLineChars="0"/>
              <w:jc w:val="center"/>
              <w:rPr>
                <w:rFonts w:ascii="Times New Roman" w:hAnsi="Times New Roman" w:eastAsia="宋体"/>
                <w:kern w:val="0"/>
                <w:szCs w:val="21"/>
              </w:rPr>
            </w:pPr>
            <w:r>
              <w:rPr>
                <w:rFonts w:hint="eastAsia" w:eastAsia="宋体" w:cs="宋体"/>
                <w:kern w:val="0"/>
                <w:szCs w:val="21"/>
              </w:rPr>
              <w:t>试验项目</w:t>
            </w:r>
          </w:p>
        </w:tc>
        <w:tc>
          <w:tcPr>
            <w:tcW w:w="695" w:type="pct"/>
            <w:tcBorders>
              <w:top w:val="single" w:color="auto" w:sz="4" w:space="0"/>
              <w:left w:val="single" w:color="000000" w:sz="4" w:space="0"/>
              <w:right w:val="single" w:color="000000" w:sz="4" w:space="0"/>
            </w:tcBorders>
            <w:vAlign w:val="center"/>
          </w:tcPr>
          <w:p w14:paraId="2EA3802D">
            <w:pPr>
              <w:pStyle w:val="85"/>
              <w:ind w:firstLine="0" w:firstLineChars="0"/>
              <w:jc w:val="center"/>
              <w:rPr>
                <w:rFonts w:ascii="Times New Roman" w:hAnsi="Times New Roman" w:eastAsia="宋体"/>
                <w:kern w:val="0"/>
                <w:szCs w:val="21"/>
              </w:rPr>
            </w:pPr>
            <w:r>
              <w:rPr>
                <w:rFonts w:hint="eastAsia" w:ascii="Times New Roman" w:eastAsia="宋体"/>
                <w:kern w:val="0"/>
                <w:szCs w:val="21"/>
              </w:rPr>
              <w:t>≥1</w:t>
            </w:r>
          </w:p>
        </w:tc>
        <w:tc>
          <w:tcPr>
            <w:tcW w:w="686" w:type="pct"/>
            <w:vMerge w:val="continue"/>
            <w:tcBorders>
              <w:left w:val="single" w:color="000000" w:sz="4" w:space="0"/>
              <w:right w:val="single" w:color="000000" w:sz="4" w:space="0"/>
            </w:tcBorders>
            <w:vAlign w:val="center"/>
          </w:tcPr>
          <w:p w14:paraId="517918B6">
            <w:pPr>
              <w:pStyle w:val="85"/>
              <w:ind w:firstLine="0" w:firstLineChars="0"/>
              <w:jc w:val="center"/>
              <w:rPr>
                <w:rFonts w:ascii="Times New Roman" w:hAnsi="Times New Roman" w:eastAsia="宋体"/>
                <w:kern w:val="0"/>
                <w:szCs w:val="21"/>
              </w:rPr>
            </w:pPr>
          </w:p>
        </w:tc>
      </w:tr>
      <w:tr w14:paraId="333B7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307" w:type="pct"/>
            <w:tcBorders>
              <w:left w:val="single" w:color="000000" w:sz="4" w:space="0"/>
              <w:right w:val="single" w:color="000000" w:sz="4" w:space="0"/>
            </w:tcBorders>
            <w:vAlign w:val="center"/>
          </w:tcPr>
          <w:p w14:paraId="782B3590">
            <w:pPr>
              <w:pStyle w:val="85"/>
              <w:ind w:firstLine="0" w:firstLineChars="0"/>
              <w:jc w:val="center"/>
              <w:rPr>
                <w:rFonts w:ascii="Times New Roman" w:hAnsi="Times New Roman" w:eastAsia="宋体"/>
                <w:color w:val="FF0000"/>
                <w:kern w:val="0"/>
                <w:szCs w:val="21"/>
              </w:rPr>
            </w:pPr>
            <w:r>
              <w:rPr>
                <w:rFonts w:hint="eastAsia" w:ascii="Times New Roman" w:hAnsi="Times New Roman" w:eastAsia="宋体"/>
                <w:color w:val="FF0000"/>
                <w:kern w:val="0"/>
                <w:szCs w:val="21"/>
              </w:rPr>
              <w:t>8</w:t>
            </w:r>
          </w:p>
        </w:tc>
        <w:tc>
          <w:tcPr>
            <w:tcW w:w="1350" w:type="pct"/>
            <w:gridSpan w:val="2"/>
            <w:tcBorders>
              <w:left w:val="single" w:color="000000" w:sz="4" w:space="0"/>
              <w:right w:val="single" w:color="000000" w:sz="4" w:space="0"/>
            </w:tcBorders>
            <w:vAlign w:val="center"/>
          </w:tcPr>
          <w:p w14:paraId="2CB2DB83">
            <w:pPr>
              <w:pStyle w:val="85"/>
              <w:ind w:firstLine="0" w:firstLineChars="0"/>
              <w:jc w:val="center"/>
              <w:rPr>
                <w:rFonts w:ascii="Times New Roman" w:hAnsi="Times New Roman" w:eastAsia="宋体"/>
                <w:color w:val="FF0000"/>
                <w:kern w:val="0"/>
                <w:szCs w:val="21"/>
              </w:rPr>
            </w:pPr>
            <w:r>
              <w:rPr>
                <w:rFonts w:hint="eastAsia" w:ascii="Times New Roman" w:hAnsi="Times New Roman" w:eastAsia="宋体"/>
                <w:kern w:val="0"/>
                <w:szCs w:val="21"/>
              </w:rPr>
              <w:t>流体扰动</w:t>
            </w:r>
          </w:p>
        </w:tc>
        <w:tc>
          <w:tcPr>
            <w:tcW w:w="656" w:type="pct"/>
            <w:tcBorders>
              <w:top w:val="single" w:color="000000" w:sz="4" w:space="0"/>
              <w:left w:val="single" w:color="000000" w:sz="4" w:space="0"/>
              <w:bottom w:val="single" w:color="000000" w:sz="4" w:space="0"/>
              <w:right w:val="single" w:color="auto" w:sz="4" w:space="0"/>
            </w:tcBorders>
            <w:vAlign w:val="center"/>
          </w:tcPr>
          <w:p w14:paraId="649BF05A">
            <w:pPr>
              <w:pStyle w:val="85"/>
              <w:ind w:firstLine="0" w:firstLineChars="0"/>
              <w:jc w:val="center"/>
              <w:rPr>
                <w:rFonts w:ascii="Times New Roman" w:hAnsi="Times New Roman" w:eastAsia="宋体"/>
                <w:color w:val="FF0000"/>
                <w:kern w:val="0"/>
                <w:szCs w:val="21"/>
              </w:rPr>
            </w:pPr>
            <w:r>
              <w:rPr>
                <w:rFonts w:hint="eastAsia" w:ascii="Times New Roman" w:hAnsi="Times New Roman" w:eastAsia="宋体"/>
                <w:kern w:val="0"/>
                <w:szCs w:val="21"/>
              </w:rPr>
              <w:t>7</w:t>
            </w:r>
            <w:r>
              <w:rPr>
                <w:rFonts w:ascii="Times New Roman" w:hAnsi="Times New Roman" w:eastAsia="宋体"/>
                <w:kern w:val="0"/>
                <w:szCs w:val="21"/>
              </w:rPr>
              <w:t>.</w:t>
            </w:r>
            <w:r>
              <w:rPr>
                <w:rFonts w:hint="eastAsia" w:ascii="Times New Roman" w:hAnsi="Times New Roman" w:eastAsia="宋体"/>
                <w:kern w:val="0"/>
                <w:szCs w:val="21"/>
              </w:rPr>
              <w:t>9</w:t>
            </w:r>
          </w:p>
        </w:tc>
        <w:tc>
          <w:tcPr>
            <w:tcW w:w="631" w:type="pct"/>
            <w:tcBorders>
              <w:top w:val="single" w:color="000000" w:sz="4" w:space="0"/>
              <w:left w:val="single" w:color="auto" w:sz="4" w:space="0"/>
              <w:bottom w:val="single" w:color="000000" w:sz="4" w:space="0"/>
              <w:right w:val="single" w:color="auto" w:sz="4" w:space="0"/>
            </w:tcBorders>
            <w:vAlign w:val="center"/>
          </w:tcPr>
          <w:p w14:paraId="4D609CA3">
            <w:pPr>
              <w:pStyle w:val="85"/>
              <w:ind w:firstLine="0" w:firstLineChars="0"/>
              <w:jc w:val="center"/>
              <w:rPr>
                <w:rFonts w:ascii="Times New Roman" w:hAnsi="Times New Roman" w:eastAsia="宋体"/>
                <w:color w:val="FF0000"/>
                <w:kern w:val="0"/>
                <w:szCs w:val="21"/>
              </w:rPr>
            </w:pPr>
            <w:r>
              <w:rPr>
                <w:rFonts w:hint="eastAsia" w:ascii="Times New Roman" w:hAnsi="Times New Roman" w:eastAsia="宋体"/>
                <w:kern w:val="0"/>
                <w:szCs w:val="21"/>
              </w:rPr>
              <w:t>10</w:t>
            </w:r>
            <w:r>
              <w:rPr>
                <w:rFonts w:ascii="Times New Roman" w:hAnsi="Times New Roman" w:eastAsia="宋体"/>
                <w:kern w:val="0"/>
                <w:szCs w:val="21"/>
              </w:rPr>
              <w:t>.</w:t>
            </w:r>
            <w:r>
              <w:rPr>
                <w:rFonts w:hint="eastAsia" w:ascii="Times New Roman" w:hAnsi="Times New Roman" w:eastAsia="宋体"/>
                <w:kern w:val="0"/>
                <w:szCs w:val="21"/>
              </w:rPr>
              <w:t>8</w:t>
            </w:r>
          </w:p>
        </w:tc>
        <w:tc>
          <w:tcPr>
            <w:tcW w:w="671" w:type="pct"/>
            <w:tcBorders>
              <w:top w:val="single" w:color="000000" w:sz="4" w:space="0"/>
              <w:left w:val="single" w:color="auto" w:sz="4" w:space="0"/>
              <w:bottom w:val="single" w:color="000000" w:sz="4" w:space="0"/>
              <w:right w:val="single" w:color="000000" w:sz="4" w:space="0"/>
            </w:tcBorders>
            <w:vAlign w:val="center"/>
          </w:tcPr>
          <w:p w14:paraId="0E66014B">
            <w:pPr>
              <w:pStyle w:val="85"/>
              <w:ind w:firstLine="0" w:firstLineChars="0"/>
              <w:jc w:val="center"/>
              <w:rPr>
                <w:rFonts w:hint="eastAsia" w:eastAsia="宋体" w:cs="宋体"/>
                <w:color w:val="FF0000"/>
                <w:kern w:val="0"/>
                <w:szCs w:val="21"/>
              </w:rPr>
            </w:pPr>
            <w:r>
              <w:rPr>
                <w:rFonts w:hint="eastAsia" w:eastAsia="宋体" w:cs="宋体"/>
                <w:kern w:val="0"/>
                <w:szCs w:val="21"/>
              </w:rPr>
              <w:t>试验项目</w:t>
            </w:r>
          </w:p>
        </w:tc>
        <w:tc>
          <w:tcPr>
            <w:tcW w:w="695" w:type="pct"/>
            <w:tcBorders>
              <w:left w:val="single" w:color="000000" w:sz="4" w:space="0"/>
              <w:right w:val="single" w:color="000000" w:sz="4" w:space="0"/>
            </w:tcBorders>
            <w:vAlign w:val="center"/>
          </w:tcPr>
          <w:p w14:paraId="7A4C592F">
            <w:pPr>
              <w:pStyle w:val="85"/>
              <w:ind w:firstLine="0" w:firstLineChars="0"/>
              <w:jc w:val="center"/>
              <w:rPr>
                <w:rFonts w:hint="eastAsia" w:ascii="Times New Roman" w:eastAsia="宋体"/>
                <w:color w:val="FF0000"/>
                <w:kern w:val="0"/>
                <w:szCs w:val="21"/>
              </w:rPr>
            </w:pPr>
            <w:r>
              <w:rPr>
                <w:rFonts w:hint="eastAsia" w:ascii="Times New Roman" w:eastAsia="宋体"/>
                <w:kern w:val="0"/>
                <w:szCs w:val="21"/>
              </w:rPr>
              <w:t>≥1</w:t>
            </w:r>
          </w:p>
        </w:tc>
        <w:tc>
          <w:tcPr>
            <w:tcW w:w="686" w:type="pct"/>
            <w:tcBorders>
              <w:left w:val="single" w:color="000000" w:sz="4" w:space="0"/>
              <w:right w:val="single" w:color="000000" w:sz="4" w:space="0"/>
            </w:tcBorders>
            <w:vAlign w:val="center"/>
          </w:tcPr>
          <w:p w14:paraId="5E065017">
            <w:pPr>
              <w:pStyle w:val="85"/>
              <w:ind w:firstLine="0" w:firstLineChars="0"/>
              <w:jc w:val="center"/>
              <w:rPr>
                <w:rFonts w:ascii="Times New Roman" w:hAnsi="Times New Roman" w:eastAsia="宋体"/>
                <w:kern w:val="0"/>
                <w:szCs w:val="21"/>
              </w:rPr>
            </w:pPr>
            <w:r>
              <w:rPr>
                <w:rFonts w:hint="eastAsia" w:ascii="Times New Roman" w:hAnsi="Times New Roman" w:eastAsia="宋体"/>
                <w:kern w:val="0"/>
                <w:szCs w:val="21"/>
              </w:rPr>
              <w:t>计量性能试验后进行</w:t>
            </w:r>
          </w:p>
        </w:tc>
      </w:tr>
      <w:tr w14:paraId="3B27B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307" w:type="pct"/>
            <w:tcBorders>
              <w:left w:val="single" w:color="000000" w:sz="4" w:space="0"/>
              <w:right w:val="single" w:color="000000" w:sz="4" w:space="0"/>
            </w:tcBorders>
            <w:vAlign w:val="center"/>
          </w:tcPr>
          <w:p w14:paraId="0A7D171C">
            <w:pPr>
              <w:pStyle w:val="85"/>
              <w:ind w:firstLine="0" w:firstLineChars="0"/>
              <w:jc w:val="center"/>
              <w:rPr>
                <w:rFonts w:ascii="Times New Roman" w:hAnsi="Times New Roman" w:eastAsia="宋体"/>
                <w:kern w:val="0"/>
                <w:szCs w:val="21"/>
              </w:rPr>
            </w:pPr>
            <w:r>
              <w:rPr>
                <w:rFonts w:hint="eastAsia" w:ascii="Times New Roman" w:hAnsi="Times New Roman" w:eastAsia="宋体"/>
                <w:kern w:val="0"/>
                <w:szCs w:val="21"/>
              </w:rPr>
              <w:t>9</w:t>
            </w:r>
          </w:p>
        </w:tc>
        <w:tc>
          <w:tcPr>
            <w:tcW w:w="1350" w:type="pct"/>
            <w:gridSpan w:val="2"/>
            <w:tcBorders>
              <w:left w:val="single" w:color="000000" w:sz="4" w:space="0"/>
              <w:right w:val="single" w:color="000000" w:sz="4" w:space="0"/>
            </w:tcBorders>
            <w:vAlign w:val="center"/>
          </w:tcPr>
          <w:p w14:paraId="7BEC5314">
            <w:pPr>
              <w:pStyle w:val="85"/>
              <w:ind w:firstLine="0" w:firstLineChars="0"/>
              <w:jc w:val="center"/>
              <w:rPr>
                <w:rFonts w:ascii="Times New Roman" w:hAnsi="Times New Roman" w:eastAsia="宋体"/>
                <w:kern w:val="0"/>
                <w:szCs w:val="21"/>
              </w:rPr>
            </w:pPr>
            <w:r>
              <w:rPr>
                <w:rFonts w:hint="eastAsia" w:ascii="Times New Roman" w:hAnsi="Times New Roman" w:eastAsia="宋体"/>
                <w:kern w:val="0"/>
                <w:szCs w:val="21"/>
              </w:rPr>
              <w:t>软件标识管理要求</w:t>
            </w:r>
          </w:p>
        </w:tc>
        <w:tc>
          <w:tcPr>
            <w:tcW w:w="656" w:type="pct"/>
            <w:tcBorders>
              <w:top w:val="single" w:color="000000" w:sz="4" w:space="0"/>
              <w:left w:val="single" w:color="000000" w:sz="4" w:space="0"/>
              <w:bottom w:val="single" w:color="000000" w:sz="4" w:space="0"/>
              <w:right w:val="single" w:color="auto" w:sz="4" w:space="0"/>
            </w:tcBorders>
            <w:vAlign w:val="center"/>
          </w:tcPr>
          <w:p w14:paraId="343C122A">
            <w:pPr>
              <w:pStyle w:val="85"/>
              <w:ind w:firstLine="0" w:firstLineChars="0"/>
              <w:jc w:val="center"/>
              <w:rPr>
                <w:rFonts w:ascii="Times New Roman" w:hAnsi="Times New Roman" w:eastAsia="宋体"/>
                <w:kern w:val="0"/>
                <w:szCs w:val="21"/>
              </w:rPr>
            </w:pPr>
            <w:r>
              <w:rPr>
                <w:rFonts w:hint="eastAsia" w:ascii="Times New Roman" w:hAnsi="Times New Roman" w:eastAsia="宋体"/>
                <w:kern w:val="0"/>
                <w:szCs w:val="21"/>
              </w:rPr>
              <w:t>7.10</w:t>
            </w:r>
          </w:p>
        </w:tc>
        <w:tc>
          <w:tcPr>
            <w:tcW w:w="631" w:type="pct"/>
            <w:tcBorders>
              <w:top w:val="single" w:color="000000" w:sz="4" w:space="0"/>
              <w:left w:val="single" w:color="auto" w:sz="4" w:space="0"/>
              <w:bottom w:val="single" w:color="000000" w:sz="4" w:space="0"/>
              <w:right w:val="single" w:color="auto" w:sz="4" w:space="0"/>
            </w:tcBorders>
            <w:vAlign w:val="center"/>
          </w:tcPr>
          <w:p w14:paraId="7F919E4F">
            <w:pPr>
              <w:pStyle w:val="85"/>
              <w:ind w:firstLine="0" w:firstLineChars="0"/>
              <w:jc w:val="center"/>
              <w:rPr>
                <w:rFonts w:ascii="Times New Roman" w:hAnsi="Times New Roman" w:eastAsia="宋体"/>
                <w:color w:val="FF0000"/>
                <w:kern w:val="0"/>
                <w:szCs w:val="21"/>
              </w:rPr>
            </w:pPr>
            <w:r>
              <w:rPr>
                <w:rFonts w:hint="eastAsia" w:ascii="Times New Roman" w:hAnsi="Times New Roman" w:eastAsia="宋体"/>
                <w:color w:val="FF0000"/>
                <w:kern w:val="0"/>
                <w:szCs w:val="21"/>
              </w:rPr>
              <w:t>10.8</w:t>
            </w:r>
          </w:p>
        </w:tc>
        <w:tc>
          <w:tcPr>
            <w:tcW w:w="671" w:type="pct"/>
            <w:tcBorders>
              <w:top w:val="single" w:color="000000" w:sz="4" w:space="0"/>
              <w:left w:val="single" w:color="auto" w:sz="4" w:space="0"/>
              <w:bottom w:val="single" w:color="000000" w:sz="4" w:space="0"/>
              <w:right w:val="single" w:color="000000" w:sz="4" w:space="0"/>
            </w:tcBorders>
            <w:vAlign w:val="center"/>
          </w:tcPr>
          <w:p w14:paraId="107340BA">
            <w:pPr>
              <w:pStyle w:val="85"/>
              <w:ind w:firstLine="0" w:firstLineChars="0"/>
              <w:jc w:val="center"/>
              <w:rPr>
                <w:rFonts w:ascii="Times New Roman" w:hAnsi="Times New Roman" w:eastAsia="宋体"/>
                <w:kern w:val="0"/>
                <w:szCs w:val="21"/>
              </w:rPr>
            </w:pPr>
            <w:r>
              <w:rPr>
                <w:rFonts w:hint="eastAsia" w:ascii="Times New Roman" w:hAnsi="Times New Roman" w:eastAsia="宋体"/>
                <w:kern w:val="0"/>
                <w:szCs w:val="21"/>
              </w:rPr>
              <w:t>观察项目</w:t>
            </w:r>
          </w:p>
        </w:tc>
        <w:tc>
          <w:tcPr>
            <w:tcW w:w="695" w:type="pct"/>
            <w:tcBorders>
              <w:left w:val="single" w:color="000000" w:sz="4" w:space="0"/>
              <w:right w:val="single" w:color="000000" w:sz="4" w:space="0"/>
            </w:tcBorders>
            <w:vAlign w:val="center"/>
          </w:tcPr>
          <w:p w14:paraId="3086D525">
            <w:pPr>
              <w:pStyle w:val="85"/>
              <w:ind w:firstLine="0" w:firstLineChars="0"/>
              <w:jc w:val="center"/>
              <w:rPr>
                <w:rFonts w:ascii="Times New Roman" w:hAnsi="Times New Roman" w:eastAsia="宋体"/>
                <w:kern w:val="0"/>
                <w:szCs w:val="21"/>
              </w:rPr>
            </w:pPr>
            <w:r>
              <w:rPr>
                <w:rFonts w:hint="eastAsia" w:ascii="Times New Roman" w:eastAsia="宋体"/>
                <w:kern w:val="0"/>
                <w:szCs w:val="21"/>
              </w:rPr>
              <w:t>全部</w:t>
            </w:r>
          </w:p>
        </w:tc>
        <w:tc>
          <w:tcPr>
            <w:tcW w:w="686" w:type="pct"/>
            <w:tcBorders>
              <w:left w:val="single" w:color="000000" w:sz="4" w:space="0"/>
              <w:right w:val="single" w:color="000000" w:sz="4" w:space="0"/>
            </w:tcBorders>
            <w:vAlign w:val="center"/>
          </w:tcPr>
          <w:p w14:paraId="3FABC169">
            <w:pPr>
              <w:pStyle w:val="85"/>
              <w:ind w:firstLine="0" w:firstLineChars="0"/>
              <w:jc w:val="center"/>
              <w:rPr>
                <w:rFonts w:ascii="Times New Roman" w:hAnsi="Times New Roman" w:eastAsia="宋体"/>
                <w:kern w:val="0"/>
                <w:szCs w:val="21"/>
              </w:rPr>
            </w:pPr>
            <w:r>
              <w:rPr>
                <w:rFonts w:hint="eastAsia" w:eastAsia="宋体" w:cs="宋体"/>
                <w:szCs w:val="21"/>
                <w:shd w:val="clear" w:color="auto" w:fill="FFFFFF"/>
              </w:rPr>
              <w:t>通过目测或通信接口查询验证</w:t>
            </w:r>
          </w:p>
        </w:tc>
      </w:tr>
      <w:tr w14:paraId="33683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jc w:val="center"/>
        </w:trPr>
        <w:tc>
          <w:tcPr>
            <w:tcW w:w="307" w:type="pct"/>
            <w:tcBorders>
              <w:left w:val="single" w:color="000000" w:sz="4" w:space="0"/>
              <w:bottom w:val="single" w:color="000000" w:sz="4" w:space="0"/>
              <w:right w:val="single" w:color="000000" w:sz="4" w:space="0"/>
            </w:tcBorders>
            <w:vAlign w:val="center"/>
          </w:tcPr>
          <w:p w14:paraId="7CED8082">
            <w:pPr>
              <w:pStyle w:val="85"/>
              <w:ind w:firstLine="0" w:firstLineChars="0"/>
              <w:jc w:val="center"/>
              <w:rPr>
                <w:rFonts w:ascii="Times New Roman" w:hAnsi="Times New Roman" w:eastAsia="宋体"/>
                <w:kern w:val="0"/>
                <w:szCs w:val="21"/>
              </w:rPr>
            </w:pPr>
            <w:bookmarkStart w:id="203" w:name="_Toc501210802"/>
            <w:bookmarkStart w:id="204" w:name="_Toc457807270"/>
            <w:bookmarkStart w:id="205" w:name="_Toc457808133"/>
            <w:bookmarkStart w:id="206" w:name="_Toc185070211"/>
            <w:bookmarkStart w:id="207" w:name="_Toc457808595"/>
            <w:bookmarkStart w:id="208" w:name="_Toc291956074"/>
            <w:bookmarkStart w:id="209" w:name="_Toc265054862"/>
            <w:r>
              <w:rPr>
                <w:rFonts w:hint="eastAsia" w:ascii="Times New Roman" w:hAnsi="Times New Roman" w:eastAsia="宋体"/>
                <w:kern w:val="0"/>
                <w:szCs w:val="21"/>
              </w:rPr>
              <w:t>10</w:t>
            </w:r>
          </w:p>
        </w:tc>
        <w:tc>
          <w:tcPr>
            <w:tcW w:w="1350" w:type="pct"/>
            <w:gridSpan w:val="2"/>
            <w:tcBorders>
              <w:left w:val="single" w:color="000000" w:sz="4" w:space="0"/>
              <w:bottom w:val="single" w:color="000000" w:sz="4" w:space="0"/>
              <w:right w:val="single" w:color="000000" w:sz="4" w:space="0"/>
            </w:tcBorders>
            <w:vAlign w:val="center"/>
          </w:tcPr>
          <w:p w14:paraId="3E67FDD4">
            <w:pPr>
              <w:pStyle w:val="85"/>
              <w:ind w:firstLine="0" w:firstLineChars="0"/>
              <w:jc w:val="center"/>
              <w:rPr>
                <w:rFonts w:ascii="Times New Roman" w:hAnsi="Times New Roman" w:eastAsia="宋体"/>
                <w:kern w:val="0"/>
                <w:szCs w:val="21"/>
              </w:rPr>
            </w:pPr>
            <w:r>
              <w:rPr>
                <w:rFonts w:hint="eastAsia" w:ascii="Times New Roman" w:hAnsi="Times New Roman" w:eastAsia="宋体"/>
                <w:kern w:val="0"/>
                <w:szCs w:val="21"/>
              </w:rPr>
              <w:t>计量性能复测</w:t>
            </w:r>
          </w:p>
        </w:tc>
        <w:tc>
          <w:tcPr>
            <w:tcW w:w="656" w:type="pct"/>
            <w:tcBorders>
              <w:top w:val="single" w:color="000000" w:sz="4" w:space="0"/>
              <w:left w:val="single" w:color="000000" w:sz="4" w:space="0"/>
              <w:bottom w:val="single" w:color="000000" w:sz="4" w:space="0"/>
              <w:right w:val="single" w:color="auto" w:sz="4" w:space="0"/>
            </w:tcBorders>
            <w:vAlign w:val="center"/>
          </w:tcPr>
          <w:p w14:paraId="36817892">
            <w:pPr>
              <w:pStyle w:val="85"/>
              <w:ind w:firstLine="0" w:firstLineChars="0"/>
              <w:jc w:val="center"/>
              <w:rPr>
                <w:rFonts w:ascii="Times New Roman" w:hAnsi="Times New Roman" w:eastAsia="宋体"/>
                <w:kern w:val="0"/>
                <w:szCs w:val="21"/>
              </w:rPr>
            </w:pPr>
            <w:r>
              <w:rPr>
                <w:rFonts w:hint="eastAsia" w:ascii="Times New Roman" w:hAnsi="Times New Roman" w:eastAsia="宋体"/>
                <w:kern w:val="0"/>
                <w:szCs w:val="21"/>
              </w:rPr>
              <w:t>7.11</w:t>
            </w:r>
          </w:p>
        </w:tc>
        <w:tc>
          <w:tcPr>
            <w:tcW w:w="631" w:type="pct"/>
            <w:tcBorders>
              <w:top w:val="single" w:color="000000" w:sz="4" w:space="0"/>
              <w:left w:val="single" w:color="auto" w:sz="4" w:space="0"/>
              <w:bottom w:val="single" w:color="000000" w:sz="4" w:space="0"/>
              <w:right w:val="single" w:color="auto" w:sz="4" w:space="0"/>
            </w:tcBorders>
            <w:vAlign w:val="center"/>
          </w:tcPr>
          <w:p w14:paraId="1FFB489D">
            <w:pPr>
              <w:pStyle w:val="85"/>
              <w:ind w:firstLine="0" w:firstLineChars="0"/>
              <w:jc w:val="center"/>
              <w:rPr>
                <w:rFonts w:ascii="Times New Roman" w:hAnsi="Times New Roman" w:eastAsia="宋体"/>
                <w:color w:val="FF0000"/>
                <w:kern w:val="0"/>
                <w:szCs w:val="21"/>
              </w:rPr>
            </w:pPr>
            <w:r>
              <w:rPr>
                <w:rFonts w:hint="eastAsia" w:ascii="Times New Roman" w:hAnsi="Times New Roman" w:eastAsia="宋体"/>
                <w:color w:val="FF0000"/>
                <w:kern w:val="0"/>
                <w:szCs w:val="21"/>
              </w:rPr>
              <w:t>10.9</w:t>
            </w:r>
          </w:p>
        </w:tc>
        <w:tc>
          <w:tcPr>
            <w:tcW w:w="671" w:type="pct"/>
            <w:tcBorders>
              <w:top w:val="single" w:color="000000" w:sz="4" w:space="0"/>
              <w:left w:val="single" w:color="auto" w:sz="4" w:space="0"/>
              <w:bottom w:val="single" w:color="000000" w:sz="4" w:space="0"/>
              <w:right w:val="single" w:color="000000" w:sz="4" w:space="0"/>
            </w:tcBorders>
            <w:vAlign w:val="center"/>
          </w:tcPr>
          <w:p w14:paraId="061D8522">
            <w:pPr>
              <w:pStyle w:val="85"/>
              <w:ind w:firstLine="0" w:firstLineChars="0"/>
              <w:jc w:val="center"/>
              <w:rPr>
                <w:rFonts w:ascii="Times New Roman" w:hAnsi="Times New Roman" w:eastAsia="宋体"/>
                <w:kern w:val="0"/>
                <w:szCs w:val="21"/>
              </w:rPr>
            </w:pPr>
            <w:r>
              <w:rPr>
                <w:rFonts w:hint="eastAsia" w:eastAsia="宋体" w:cs="宋体"/>
                <w:kern w:val="0"/>
                <w:szCs w:val="21"/>
              </w:rPr>
              <w:t>试验项目</w:t>
            </w:r>
          </w:p>
        </w:tc>
        <w:tc>
          <w:tcPr>
            <w:tcW w:w="695" w:type="pct"/>
            <w:tcBorders>
              <w:left w:val="single" w:color="000000" w:sz="4" w:space="0"/>
              <w:bottom w:val="single" w:color="000000" w:sz="4" w:space="0"/>
              <w:right w:val="single" w:color="000000" w:sz="4" w:space="0"/>
            </w:tcBorders>
            <w:vAlign w:val="center"/>
          </w:tcPr>
          <w:p w14:paraId="35891184">
            <w:pPr>
              <w:pStyle w:val="85"/>
              <w:ind w:firstLine="0" w:firstLineChars="0"/>
              <w:jc w:val="center"/>
              <w:rPr>
                <w:rFonts w:ascii="Times New Roman" w:hAnsi="Times New Roman" w:eastAsia="宋体"/>
                <w:kern w:val="0"/>
                <w:szCs w:val="21"/>
              </w:rPr>
            </w:pPr>
            <w:r>
              <w:rPr>
                <w:rFonts w:hint="eastAsia" w:ascii="Times New Roman" w:eastAsia="宋体"/>
                <w:kern w:val="0"/>
                <w:szCs w:val="21"/>
              </w:rPr>
              <w:t>≥1</w:t>
            </w:r>
          </w:p>
        </w:tc>
        <w:tc>
          <w:tcPr>
            <w:tcW w:w="686" w:type="pct"/>
            <w:tcBorders>
              <w:left w:val="single" w:color="000000" w:sz="4" w:space="0"/>
              <w:bottom w:val="single" w:color="000000" w:sz="4" w:space="0"/>
              <w:right w:val="single" w:color="000000" w:sz="4" w:space="0"/>
            </w:tcBorders>
            <w:vAlign w:val="center"/>
          </w:tcPr>
          <w:p w14:paraId="6671B637">
            <w:pPr>
              <w:pStyle w:val="85"/>
              <w:ind w:firstLine="0" w:firstLineChars="0"/>
              <w:jc w:val="center"/>
              <w:rPr>
                <w:rFonts w:ascii="Times New Roman" w:hAnsi="Times New Roman" w:eastAsia="宋体"/>
                <w:kern w:val="0"/>
                <w:szCs w:val="21"/>
              </w:rPr>
            </w:pPr>
          </w:p>
        </w:tc>
      </w:tr>
    </w:tbl>
    <w:p w14:paraId="41191D20">
      <w:pPr>
        <w:pStyle w:val="36"/>
        <w:spacing w:line="259" w:lineRule="auto"/>
        <w:jc w:val="left"/>
        <w:rPr>
          <w:rFonts w:hint="eastAsia" w:ascii="宋体" w:hAnsi="宋体" w:eastAsia="黑体"/>
          <w:color w:val="000000" w:themeColor="text1"/>
          <w:sz w:val="24"/>
          <w14:textFill>
            <w14:solidFill>
              <w14:schemeClr w14:val="tx1"/>
            </w14:solidFill>
          </w14:textFill>
        </w:rPr>
      </w:pPr>
      <w:bookmarkStart w:id="210" w:name="_Toc29630"/>
      <w:bookmarkStart w:id="211" w:name="_Toc221090926"/>
      <w:r>
        <w:rPr>
          <w:rFonts w:ascii="Times New Roman" w:hAnsi="Times New Roman" w:eastAsia="黑体" w:cs="Times New Roman"/>
          <w:color w:val="000000" w:themeColor="text1"/>
          <w:sz w:val="24"/>
          <w14:textFill>
            <w14:solidFill>
              <w14:schemeClr w14:val="tx1"/>
            </w14:solidFill>
          </w14:textFill>
        </w:rPr>
        <w:t>9</w:t>
      </w:r>
      <w:r>
        <w:rPr>
          <w:rFonts w:hint="eastAsia" w:ascii="宋体" w:hAnsi="宋体" w:cs="Times New Roman"/>
          <w:color w:val="000000" w:themeColor="text1"/>
          <w14:textFill>
            <w14:solidFill>
              <w14:schemeClr w14:val="tx1"/>
            </w14:solidFill>
          </w14:textFill>
        </w:rPr>
        <w:t xml:space="preserve"> </w:t>
      </w:r>
      <w:r>
        <w:rPr>
          <w:rFonts w:hint="eastAsia" w:ascii="宋体" w:hAnsi="宋体" w:eastAsia="黑体" w:cs="Times New Roman"/>
          <w:color w:val="000000" w:themeColor="text1"/>
          <w:sz w:val="24"/>
          <w14:textFill>
            <w14:solidFill>
              <w14:schemeClr w14:val="tx1"/>
            </w14:solidFill>
          </w14:textFill>
        </w:rPr>
        <w:t>提供样机的数量及样机的使用方式</w:t>
      </w:r>
      <w:bookmarkEnd w:id="203"/>
      <w:bookmarkEnd w:id="204"/>
      <w:bookmarkEnd w:id="205"/>
      <w:bookmarkEnd w:id="206"/>
      <w:bookmarkEnd w:id="207"/>
      <w:bookmarkEnd w:id="210"/>
      <w:bookmarkEnd w:id="211"/>
    </w:p>
    <w:p w14:paraId="7B7F1B0E">
      <w:pPr>
        <w:pStyle w:val="2"/>
        <w:spacing w:before="160" w:after="0" w:line="360" w:lineRule="auto"/>
        <w:rPr>
          <w:iCs/>
          <w:color w:val="000000" w:themeColor="text1"/>
          <w:szCs w:val="21"/>
          <w14:textFill>
            <w14:solidFill>
              <w14:schemeClr w14:val="tx1"/>
            </w14:solidFill>
          </w14:textFill>
        </w:rPr>
      </w:pPr>
      <w:bookmarkStart w:id="212" w:name="_Toc185070212"/>
      <w:bookmarkStart w:id="213" w:name="_Toc221090927"/>
      <w:bookmarkStart w:id="214" w:name="_Toc457807271"/>
      <w:bookmarkStart w:id="215" w:name="_Toc457808134"/>
      <w:bookmarkStart w:id="216" w:name="_Toc21763"/>
      <w:bookmarkStart w:id="217" w:name="_Toc501210803"/>
      <w:bookmarkStart w:id="218" w:name="_Toc457808596"/>
      <w:r>
        <w:rPr>
          <w:b w:val="0"/>
          <w:iCs/>
          <w:color w:val="000000" w:themeColor="text1"/>
          <w:sz w:val="24"/>
          <w:szCs w:val="21"/>
          <w14:textFill>
            <w14:solidFill>
              <w14:schemeClr w14:val="tx1"/>
            </w14:solidFill>
          </w14:textFill>
        </w:rPr>
        <w:t>9.1</w:t>
      </w:r>
      <w:r>
        <w:rPr>
          <w:rFonts w:hint="eastAsia"/>
          <w:b w:val="0"/>
          <w:iCs/>
          <w:color w:val="000000" w:themeColor="text1"/>
          <w:sz w:val="24"/>
          <w:szCs w:val="21"/>
          <w14:textFill>
            <w14:solidFill>
              <w14:schemeClr w14:val="tx1"/>
            </w14:solidFill>
          </w14:textFill>
        </w:rPr>
        <w:t xml:space="preserve"> 流量计的特征识别</w:t>
      </w:r>
      <w:bookmarkEnd w:id="212"/>
      <w:bookmarkEnd w:id="213"/>
      <w:bookmarkEnd w:id="214"/>
      <w:bookmarkEnd w:id="215"/>
      <w:bookmarkEnd w:id="216"/>
      <w:bookmarkEnd w:id="217"/>
      <w:bookmarkEnd w:id="218"/>
    </w:p>
    <w:p w14:paraId="563DDE66">
      <w:pPr>
        <w:spacing w:before="160" w:line="360" w:lineRule="auto"/>
        <w:rPr>
          <w:rFonts w:cstheme="minorBidi"/>
          <w:sz w:val="24"/>
          <w:szCs w:val="24"/>
        </w:rPr>
      </w:pPr>
      <w:r>
        <w:rPr>
          <w:rFonts w:hint="eastAsia" w:cstheme="minorBidi"/>
          <w:sz w:val="24"/>
          <w:szCs w:val="24"/>
        </w:rPr>
        <w:t>9</w:t>
      </w:r>
      <w:r>
        <w:rPr>
          <w:rFonts w:cstheme="minorBidi"/>
          <w:sz w:val="24"/>
          <w:szCs w:val="24"/>
        </w:rPr>
        <w:t>.1.1</w:t>
      </w:r>
      <w:r>
        <w:rPr>
          <w:rFonts w:hint="eastAsia" w:cstheme="minorBidi"/>
          <w:sz w:val="24"/>
          <w:szCs w:val="24"/>
        </w:rPr>
        <w:t xml:space="preserve"> 技术资料</w:t>
      </w:r>
    </w:p>
    <w:p w14:paraId="1E89C1B4">
      <w:pPr>
        <w:spacing w:before="160" w:line="360" w:lineRule="auto"/>
        <w:ind w:firstLine="480" w:firstLineChars="200"/>
        <w:rPr>
          <w:rFonts w:cstheme="minorBidi"/>
          <w:sz w:val="24"/>
          <w:szCs w:val="24"/>
        </w:rPr>
      </w:pPr>
      <w:r>
        <w:rPr>
          <w:rFonts w:hint="eastAsia" w:cstheme="minorBidi"/>
          <w:sz w:val="24"/>
          <w:szCs w:val="24"/>
        </w:rPr>
        <w:t>申请单位</w:t>
      </w:r>
      <w:r>
        <w:rPr>
          <w:rFonts w:cstheme="minorBidi"/>
          <w:sz w:val="24"/>
          <w:szCs w:val="24"/>
        </w:rPr>
        <w:t>应按照JJF 1015第</w:t>
      </w:r>
      <w:r>
        <w:rPr>
          <w:rFonts w:hint="eastAsia" w:cstheme="minorBidi"/>
          <w:sz w:val="24"/>
          <w:szCs w:val="24"/>
        </w:rPr>
        <w:t>4</w:t>
      </w:r>
      <w:r>
        <w:rPr>
          <w:rFonts w:cstheme="minorBidi"/>
          <w:sz w:val="24"/>
          <w:szCs w:val="24"/>
        </w:rPr>
        <w:t>.</w:t>
      </w:r>
      <w:r>
        <w:rPr>
          <w:rFonts w:hint="eastAsia" w:cstheme="minorBidi"/>
          <w:sz w:val="24"/>
          <w:szCs w:val="24"/>
        </w:rPr>
        <w:t>1</w:t>
      </w:r>
      <w:r>
        <w:rPr>
          <w:rFonts w:cstheme="minorBidi"/>
          <w:sz w:val="24"/>
          <w:szCs w:val="24"/>
        </w:rPr>
        <w:t>条要求提供</w:t>
      </w:r>
      <w:r>
        <w:rPr>
          <w:rFonts w:hint="eastAsia" w:cstheme="minorBidi"/>
          <w:sz w:val="24"/>
          <w:szCs w:val="24"/>
        </w:rPr>
        <w:t>型式评价所需的</w:t>
      </w:r>
      <w:r>
        <w:rPr>
          <w:rFonts w:cstheme="minorBidi"/>
          <w:sz w:val="24"/>
          <w:szCs w:val="24"/>
        </w:rPr>
        <w:t>技术</w:t>
      </w:r>
      <w:r>
        <w:rPr>
          <w:rFonts w:hint="eastAsia" w:cstheme="minorBidi"/>
          <w:sz w:val="24"/>
          <w:szCs w:val="24"/>
        </w:rPr>
        <w:t>资料</w:t>
      </w:r>
      <w:r>
        <w:rPr>
          <w:rFonts w:cstheme="minorBidi"/>
          <w:sz w:val="24"/>
          <w:szCs w:val="24"/>
        </w:rPr>
        <w:t>。</w:t>
      </w:r>
    </w:p>
    <w:p w14:paraId="25D8D748">
      <w:pPr>
        <w:spacing w:before="160" w:line="360" w:lineRule="auto"/>
        <w:rPr>
          <w:rFonts w:cstheme="minorBidi"/>
          <w:sz w:val="24"/>
          <w:szCs w:val="24"/>
        </w:rPr>
      </w:pPr>
      <w:r>
        <w:rPr>
          <w:rFonts w:hint="eastAsia" w:cstheme="minorBidi"/>
          <w:sz w:val="24"/>
          <w:szCs w:val="24"/>
        </w:rPr>
        <w:t>9</w:t>
      </w:r>
      <w:r>
        <w:rPr>
          <w:rFonts w:cstheme="minorBidi"/>
          <w:sz w:val="24"/>
          <w:szCs w:val="24"/>
        </w:rPr>
        <w:t>.1.2</w:t>
      </w:r>
      <w:r>
        <w:rPr>
          <w:rFonts w:hint="eastAsia" w:cstheme="minorBidi"/>
          <w:sz w:val="24"/>
          <w:szCs w:val="24"/>
        </w:rPr>
        <w:t xml:space="preserve"> 系列产品的确定原则</w:t>
      </w:r>
    </w:p>
    <w:p w14:paraId="0AC7A42D">
      <w:pPr>
        <w:spacing w:before="160" w:line="360" w:lineRule="auto"/>
        <w:ind w:firstLine="480" w:firstLineChars="200"/>
        <w:rPr>
          <w:rFonts w:cstheme="minorBidi"/>
          <w:sz w:val="24"/>
          <w:szCs w:val="24"/>
        </w:rPr>
      </w:pPr>
      <w:r>
        <w:rPr>
          <w:rFonts w:hint="eastAsia" w:cstheme="minorBidi"/>
          <w:sz w:val="24"/>
          <w:szCs w:val="24"/>
        </w:rPr>
        <w:t>按附录B的原则确定流量计的系列产品。</w:t>
      </w:r>
    </w:p>
    <w:p w14:paraId="27F1FC9C">
      <w:pPr>
        <w:spacing w:before="160" w:line="360" w:lineRule="auto"/>
        <w:rPr>
          <w:rFonts w:cstheme="minorBidi"/>
          <w:sz w:val="24"/>
          <w:szCs w:val="24"/>
        </w:rPr>
      </w:pPr>
      <w:r>
        <w:rPr>
          <w:rFonts w:hint="eastAsia" w:cstheme="minorBidi"/>
          <w:sz w:val="24"/>
          <w:szCs w:val="24"/>
        </w:rPr>
        <w:t>9</w:t>
      </w:r>
      <w:r>
        <w:rPr>
          <w:rFonts w:cstheme="minorBidi"/>
          <w:sz w:val="24"/>
          <w:szCs w:val="24"/>
        </w:rPr>
        <w:t>.1.3</w:t>
      </w:r>
      <w:r>
        <w:rPr>
          <w:rFonts w:hint="eastAsia" w:cstheme="minorBidi"/>
          <w:sz w:val="24"/>
          <w:szCs w:val="24"/>
        </w:rPr>
        <w:t xml:space="preserve"> 产品的特征描述</w:t>
      </w:r>
    </w:p>
    <w:p w14:paraId="0974B13C">
      <w:pPr>
        <w:spacing w:before="160" w:line="360" w:lineRule="auto"/>
        <w:ind w:firstLine="480" w:firstLineChars="200"/>
        <w:rPr>
          <w:rFonts w:cstheme="minorBidi"/>
          <w:sz w:val="24"/>
          <w:szCs w:val="24"/>
        </w:rPr>
      </w:pPr>
      <w:r>
        <w:rPr>
          <w:rFonts w:hint="eastAsia" w:cstheme="minorBidi"/>
          <w:sz w:val="24"/>
          <w:szCs w:val="24"/>
        </w:rPr>
        <w:t>应结合有关文件对产品进行型式确认，并在型式评价报告中描述下列内容：</w:t>
      </w:r>
    </w:p>
    <w:p w14:paraId="5CC005FD">
      <w:pPr>
        <w:spacing w:before="160" w:line="360" w:lineRule="auto"/>
        <w:ind w:firstLine="480" w:firstLineChars="200"/>
        <w:rPr>
          <w:rFonts w:cstheme="minorBidi"/>
          <w:sz w:val="24"/>
          <w:szCs w:val="24"/>
        </w:rPr>
      </w:pPr>
      <w:r>
        <w:rPr>
          <w:rFonts w:cstheme="minorBidi"/>
          <w:sz w:val="24"/>
          <w:szCs w:val="24"/>
        </w:rPr>
        <w:t>——</w:t>
      </w:r>
      <w:r>
        <w:rPr>
          <w:rFonts w:hint="eastAsia" w:cstheme="minorBidi"/>
          <w:sz w:val="24"/>
          <w:szCs w:val="24"/>
        </w:rPr>
        <w:t>测量原理；</w:t>
      </w:r>
    </w:p>
    <w:p w14:paraId="4DB2A7C8">
      <w:pPr>
        <w:spacing w:before="160" w:line="360" w:lineRule="auto"/>
        <w:ind w:firstLine="480" w:firstLineChars="200"/>
        <w:rPr>
          <w:rFonts w:cstheme="minorBidi"/>
          <w:sz w:val="24"/>
          <w:szCs w:val="24"/>
        </w:rPr>
      </w:pPr>
      <w:r>
        <w:rPr>
          <w:rFonts w:cstheme="minorBidi"/>
          <w:sz w:val="24"/>
          <w:szCs w:val="24"/>
        </w:rPr>
        <w:t>——</w:t>
      </w:r>
      <w:r>
        <w:rPr>
          <w:rFonts w:hint="eastAsia" w:cstheme="minorBidi"/>
          <w:sz w:val="24"/>
          <w:szCs w:val="24"/>
        </w:rPr>
        <w:t>结构特征；</w:t>
      </w:r>
    </w:p>
    <w:p w14:paraId="59DB7A92">
      <w:pPr>
        <w:spacing w:before="160" w:line="360" w:lineRule="auto"/>
        <w:ind w:firstLine="480" w:firstLineChars="200"/>
        <w:rPr>
          <w:rFonts w:cstheme="minorBidi"/>
          <w:sz w:val="24"/>
          <w:szCs w:val="24"/>
        </w:rPr>
      </w:pPr>
      <w:r>
        <w:rPr>
          <w:rFonts w:cstheme="minorBidi"/>
          <w:sz w:val="24"/>
          <w:szCs w:val="24"/>
        </w:rPr>
        <w:t>——</w:t>
      </w:r>
      <w:r>
        <w:rPr>
          <w:rFonts w:hint="eastAsia" w:cstheme="minorBidi"/>
          <w:sz w:val="24"/>
          <w:szCs w:val="24"/>
        </w:rPr>
        <w:t>供电；</w:t>
      </w:r>
    </w:p>
    <w:p w14:paraId="53FA27DA">
      <w:pPr>
        <w:spacing w:before="160" w:line="360" w:lineRule="auto"/>
        <w:ind w:firstLine="480" w:firstLineChars="200"/>
        <w:rPr>
          <w:rFonts w:cstheme="minorBidi"/>
          <w:sz w:val="24"/>
          <w:szCs w:val="24"/>
        </w:rPr>
      </w:pPr>
      <w:r>
        <w:rPr>
          <w:rFonts w:cstheme="minorBidi"/>
          <w:sz w:val="24"/>
          <w:szCs w:val="24"/>
        </w:rPr>
        <w:t>——</w:t>
      </w:r>
      <w:r>
        <w:rPr>
          <w:rFonts w:hint="eastAsia" w:cstheme="minorBidi"/>
          <w:sz w:val="24"/>
          <w:szCs w:val="24"/>
        </w:rPr>
        <w:t>关键零部件和材料。</w:t>
      </w:r>
    </w:p>
    <w:p w14:paraId="3ED7B6DA">
      <w:pPr>
        <w:spacing w:before="160" w:line="360" w:lineRule="auto"/>
        <w:ind w:firstLine="480" w:firstLineChars="200"/>
        <w:rPr>
          <w:rFonts w:cstheme="minorBidi"/>
          <w:sz w:val="24"/>
          <w:szCs w:val="24"/>
        </w:rPr>
      </w:pPr>
      <w:r>
        <w:rPr>
          <w:rFonts w:hint="eastAsia" w:cstheme="minorBidi"/>
          <w:sz w:val="24"/>
          <w:szCs w:val="24"/>
        </w:rPr>
        <w:t>系列产品的特征描述可以采用文字、表格、图片等方式，必要时对典型样机进行拆解，以照片方式记录产品关键结构和零部件的特征。</w:t>
      </w:r>
    </w:p>
    <w:p w14:paraId="748EAF2B">
      <w:pPr>
        <w:spacing w:before="160" w:line="360" w:lineRule="auto"/>
        <w:ind w:firstLine="480" w:firstLineChars="200"/>
        <w:rPr>
          <w:rFonts w:cstheme="minorBidi"/>
          <w:sz w:val="24"/>
          <w:szCs w:val="24"/>
        </w:rPr>
      </w:pPr>
      <w:r>
        <w:rPr>
          <w:rFonts w:hint="eastAsia" w:cstheme="minorBidi"/>
          <w:sz w:val="24"/>
          <w:szCs w:val="24"/>
        </w:rPr>
        <w:t>表1所列的零部件和材料被认为对流量计性能至关重要的，应作为关键零部件的材料进行描述。</w:t>
      </w:r>
    </w:p>
    <w:p w14:paraId="20E30CFE">
      <w:pPr>
        <w:pStyle w:val="2"/>
        <w:spacing w:before="160" w:after="0" w:line="360" w:lineRule="auto"/>
        <w:rPr>
          <w:iCs/>
          <w:color w:val="000000" w:themeColor="text1"/>
          <w:szCs w:val="21"/>
          <w14:textFill>
            <w14:solidFill>
              <w14:schemeClr w14:val="tx1"/>
            </w14:solidFill>
          </w14:textFill>
        </w:rPr>
      </w:pPr>
      <w:bookmarkStart w:id="219" w:name="_Toc501210804"/>
      <w:bookmarkStart w:id="220" w:name="_Toc457808597"/>
      <w:bookmarkStart w:id="221" w:name="_Toc457807272"/>
      <w:bookmarkStart w:id="222" w:name="_Toc457808135"/>
      <w:bookmarkStart w:id="223" w:name="_Toc9097"/>
      <w:bookmarkStart w:id="224" w:name="_Toc221090928"/>
      <w:bookmarkStart w:id="225" w:name="_Toc185070213"/>
      <w:r>
        <w:rPr>
          <w:b w:val="0"/>
          <w:iCs/>
          <w:color w:val="000000" w:themeColor="text1"/>
          <w:sz w:val="24"/>
          <w:szCs w:val="21"/>
          <w14:textFill>
            <w14:solidFill>
              <w14:schemeClr w14:val="tx1"/>
            </w14:solidFill>
          </w14:textFill>
        </w:rPr>
        <w:t>9.2</w:t>
      </w:r>
      <w:r>
        <w:rPr>
          <w:rFonts w:hint="eastAsia"/>
          <w:b w:val="0"/>
          <w:iCs/>
          <w:color w:val="000000" w:themeColor="text1"/>
          <w:sz w:val="24"/>
          <w:szCs w:val="21"/>
          <w14:textFill>
            <w14:solidFill>
              <w14:schemeClr w14:val="tx1"/>
            </w14:solidFill>
          </w14:textFill>
        </w:rPr>
        <w:t xml:space="preserve"> 提供样机</w:t>
      </w:r>
      <w:bookmarkEnd w:id="219"/>
      <w:bookmarkEnd w:id="220"/>
      <w:bookmarkEnd w:id="221"/>
      <w:bookmarkEnd w:id="222"/>
      <w:r>
        <w:rPr>
          <w:rFonts w:hint="eastAsia"/>
          <w:b w:val="0"/>
          <w:iCs/>
          <w:color w:val="000000" w:themeColor="text1"/>
          <w:sz w:val="24"/>
          <w:szCs w:val="21"/>
          <w14:textFill>
            <w14:solidFill>
              <w14:schemeClr w14:val="tx1"/>
            </w14:solidFill>
          </w14:textFill>
        </w:rPr>
        <w:t>的数量</w:t>
      </w:r>
      <w:bookmarkEnd w:id="223"/>
      <w:bookmarkEnd w:id="224"/>
      <w:bookmarkEnd w:id="225"/>
    </w:p>
    <w:p w14:paraId="4176363A">
      <w:pPr>
        <w:spacing w:before="160" w:line="360" w:lineRule="auto"/>
        <w:rPr>
          <w:rFonts w:cstheme="minorBidi"/>
          <w:sz w:val="24"/>
          <w:szCs w:val="24"/>
        </w:rPr>
      </w:pPr>
      <w:r>
        <w:rPr>
          <w:rFonts w:hint="eastAsia" w:cstheme="minorBidi"/>
          <w:sz w:val="24"/>
          <w:szCs w:val="24"/>
        </w:rPr>
        <w:t>9.2.1 按单一规格产品申请的，公称通径小于100mm的提供1~3台样机，公称通径大于等于100mm的提供1台样机。</w:t>
      </w:r>
    </w:p>
    <w:p w14:paraId="6F0B339F">
      <w:pPr>
        <w:spacing w:before="160" w:line="360" w:lineRule="auto"/>
        <w:rPr>
          <w:rFonts w:cstheme="minorBidi"/>
          <w:sz w:val="24"/>
          <w:szCs w:val="24"/>
        </w:rPr>
      </w:pPr>
      <w:r>
        <w:rPr>
          <w:rFonts w:hint="eastAsia" w:cstheme="minorBidi"/>
          <w:sz w:val="24"/>
          <w:szCs w:val="24"/>
        </w:rPr>
        <w:t>9.2.2 按系列产品申请的，每一系列产品中抽取不超过三个有代表性规格的产品，每种规格提供试验样机数量按单一产品的原则执行。</w:t>
      </w:r>
    </w:p>
    <w:p w14:paraId="1BC851D3">
      <w:pPr>
        <w:spacing w:before="160" w:line="360" w:lineRule="auto"/>
        <w:rPr>
          <w:rFonts w:cstheme="minorBidi"/>
          <w:sz w:val="24"/>
          <w:szCs w:val="24"/>
        </w:rPr>
      </w:pPr>
      <w:r>
        <w:rPr>
          <w:rFonts w:hint="eastAsia" w:cstheme="minorBidi"/>
          <w:sz w:val="24"/>
          <w:szCs w:val="24"/>
        </w:rPr>
        <w:t>9.2.3 如产品采用不同企业生产的、名义相同的、影响产品计量性能的关键材料或零部件，则应提供不同的样机。</w:t>
      </w:r>
    </w:p>
    <w:p w14:paraId="6EF7D741">
      <w:pPr>
        <w:spacing w:before="160" w:line="360" w:lineRule="auto"/>
        <w:rPr>
          <w:sz w:val="24"/>
          <w:szCs w:val="24"/>
        </w:rPr>
      </w:pPr>
      <w:r>
        <w:rPr>
          <w:rFonts w:hint="eastAsia"/>
          <w:sz w:val="24"/>
          <w:szCs w:val="24"/>
        </w:rPr>
        <w:t>9.2.4 如产品具有一体式与分体式两种组合型式时，在完成计量性能测试抽取的样机中应包含这两种组合形式。</w:t>
      </w:r>
    </w:p>
    <w:p w14:paraId="3509BD05">
      <w:pPr>
        <w:spacing w:before="160" w:line="360" w:lineRule="auto"/>
        <w:rPr>
          <w:sz w:val="24"/>
          <w:szCs w:val="24"/>
        </w:rPr>
      </w:pPr>
      <w:r>
        <w:rPr>
          <w:rFonts w:hint="eastAsia"/>
          <w:sz w:val="24"/>
          <w:szCs w:val="24"/>
        </w:rPr>
        <w:t>9.2.5 如产品具有多种供电方式时，样机应包含每种供电方式。</w:t>
      </w:r>
    </w:p>
    <w:p w14:paraId="51A52B94">
      <w:pPr>
        <w:spacing w:before="160" w:line="360" w:lineRule="auto"/>
        <w:rPr>
          <w:sz w:val="24"/>
          <w:szCs w:val="24"/>
        </w:rPr>
      </w:pPr>
      <w:r>
        <w:rPr>
          <w:rFonts w:hint="eastAsia"/>
          <w:sz w:val="24"/>
          <w:szCs w:val="24"/>
        </w:rPr>
        <w:t>9.2.6 如产品具有多种耐压等级时，应抽取1台最高耐压等级的壳体或样机单独进行耐压试验。</w:t>
      </w:r>
    </w:p>
    <w:p w14:paraId="4885A089">
      <w:pPr>
        <w:spacing w:before="160" w:line="360" w:lineRule="auto"/>
        <w:rPr>
          <w:sz w:val="24"/>
          <w:szCs w:val="24"/>
        </w:rPr>
      </w:pPr>
      <w:r>
        <w:rPr>
          <w:rFonts w:hint="eastAsia" w:ascii="仿宋_GB2312" w:hAnsi="仿宋_GB2312" w:eastAsia="仿宋_GB2312" w:cs="仿宋_GB2312"/>
          <w:szCs w:val="21"/>
        </w:rPr>
        <w:t>注：本条款不适用于具有特种设备生产许可证或样机的特种设备监检证书的产品。</w:t>
      </w:r>
    </w:p>
    <w:p w14:paraId="496C8475">
      <w:pPr>
        <w:pStyle w:val="2"/>
        <w:spacing w:before="160" w:after="0" w:line="360" w:lineRule="auto"/>
        <w:rPr>
          <w:b w:val="0"/>
          <w:iCs/>
          <w:sz w:val="24"/>
          <w:szCs w:val="21"/>
        </w:rPr>
      </w:pPr>
      <w:bookmarkStart w:id="226" w:name="_Toc457807273"/>
      <w:bookmarkStart w:id="227" w:name="_Toc457808598"/>
      <w:bookmarkStart w:id="228" w:name="_Toc185070214"/>
      <w:bookmarkStart w:id="229" w:name="_Toc31271"/>
      <w:bookmarkStart w:id="230" w:name="_Toc457808136"/>
      <w:bookmarkStart w:id="231" w:name="_Toc501210805"/>
      <w:bookmarkStart w:id="232" w:name="_Toc221090929"/>
      <w:r>
        <w:rPr>
          <w:b w:val="0"/>
          <w:iCs/>
          <w:sz w:val="24"/>
          <w:szCs w:val="21"/>
        </w:rPr>
        <w:t xml:space="preserve">9.3 </w:t>
      </w:r>
      <w:r>
        <w:rPr>
          <w:rFonts w:hint="eastAsia"/>
          <w:b w:val="0"/>
          <w:iCs/>
          <w:sz w:val="24"/>
          <w:szCs w:val="21"/>
        </w:rPr>
        <w:t>样机的使用方式</w:t>
      </w:r>
      <w:bookmarkEnd w:id="226"/>
      <w:bookmarkEnd w:id="227"/>
      <w:bookmarkEnd w:id="228"/>
      <w:bookmarkEnd w:id="229"/>
      <w:bookmarkEnd w:id="230"/>
      <w:bookmarkEnd w:id="231"/>
      <w:bookmarkEnd w:id="232"/>
    </w:p>
    <w:p w14:paraId="63224A6D">
      <w:pPr>
        <w:spacing w:before="160" w:line="360" w:lineRule="auto"/>
        <w:rPr>
          <w:sz w:val="24"/>
          <w:szCs w:val="24"/>
        </w:rPr>
      </w:pPr>
      <w:r>
        <w:rPr>
          <w:sz w:val="24"/>
          <w:szCs w:val="24"/>
        </w:rPr>
        <w:t>9.3.</w:t>
      </w:r>
      <w:r>
        <w:rPr>
          <w:rFonts w:hint="eastAsia"/>
          <w:sz w:val="24"/>
          <w:szCs w:val="24"/>
        </w:rPr>
        <w:t>1 应按照表6要求的样机数量进行试验，至少1台样机完成全部试验项目。</w:t>
      </w:r>
    </w:p>
    <w:p w14:paraId="358E3434">
      <w:pPr>
        <w:spacing w:before="160" w:line="360" w:lineRule="auto"/>
        <w:rPr>
          <w:sz w:val="24"/>
          <w:szCs w:val="24"/>
        </w:rPr>
      </w:pPr>
      <w:r>
        <w:rPr>
          <w:sz w:val="24"/>
          <w:szCs w:val="24"/>
        </w:rPr>
        <w:t>9.3.</w:t>
      </w:r>
      <w:r>
        <w:rPr>
          <w:rFonts w:hint="eastAsia"/>
          <w:sz w:val="24"/>
          <w:szCs w:val="24"/>
        </w:rPr>
        <w:t>2 在试验期间或试验中除重新安装后的零点调整，不得对样机进行调整。</w:t>
      </w:r>
    </w:p>
    <w:p w14:paraId="2B758B5B">
      <w:pPr>
        <w:spacing w:before="160" w:line="360" w:lineRule="auto"/>
        <w:rPr>
          <w:sz w:val="24"/>
          <w:szCs w:val="24"/>
        </w:rPr>
      </w:pPr>
      <w:r>
        <w:rPr>
          <w:sz w:val="24"/>
          <w:szCs w:val="24"/>
        </w:rPr>
        <w:t>9.3.</w:t>
      </w:r>
      <w:r>
        <w:rPr>
          <w:rFonts w:hint="eastAsia"/>
          <w:sz w:val="24"/>
          <w:szCs w:val="24"/>
        </w:rPr>
        <w:t xml:space="preserve">3 型式评价结束后按 </w:t>
      </w:r>
      <w:r>
        <w:rPr>
          <w:sz w:val="24"/>
          <w:szCs w:val="24"/>
        </w:rPr>
        <w:t>JJF 1015</w:t>
      </w:r>
      <w:r>
        <w:rPr>
          <w:rFonts w:hint="eastAsia"/>
          <w:sz w:val="24"/>
          <w:szCs w:val="24"/>
        </w:rPr>
        <w:t>的规定处理样机。对于型式评价合格的产品样机，至少将</w:t>
      </w:r>
      <w:r>
        <w:rPr>
          <w:sz w:val="24"/>
          <w:szCs w:val="24"/>
        </w:rPr>
        <w:t>1</w:t>
      </w:r>
      <w:r>
        <w:rPr>
          <w:rFonts w:hint="eastAsia"/>
          <w:sz w:val="24"/>
          <w:szCs w:val="24"/>
        </w:rPr>
        <w:t>台样机按</w:t>
      </w:r>
      <w:r>
        <w:rPr>
          <w:sz w:val="24"/>
          <w:szCs w:val="24"/>
        </w:rPr>
        <w:t>JJF 1015</w:t>
      </w:r>
      <w:r>
        <w:rPr>
          <w:rFonts w:hint="eastAsia"/>
          <w:sz w:val="24"/>
          <w:szCs w:val="24"/>
        </w:rPr>
        <w:t>中</w:t>
      </w:r>
      <w:r>
        <w:rPr>
          <w:sz w:val="24"/>
          <w:szCs w:val="24"/>
        </w:rPr>
        <w:t>6.1.1</w:t>
      </w:r>
      <w:r>
        <w:rPr>
          <w:rFonts w:hint="eastAsia"/>
          <w:sz w:val="24"/>
          <w:szCs w:val="24"/>
        </w:rPr>
        <w:t>的规定进行封样并交由申请单位保存。</w:t>
      </w:r>
    </w:p>
    <w:p w14:paraId="576FDB14">
      <w:pPr>
        <w:spacing w:before="160" w:line="360" w:lineRule="auto"/>
        <w:rPr>
          <w:sz w:val="24"/>
          <w:szCs w:val="24"/>
        </w:rPr>
      </w:pPr>
      <w:r>
        <w:rPr>
          <w:rFonts w:hint="eastAsia"/>
          <w:sz w:val="24"/>
          <w:szCs w:val="24"/>
        </w:rPr>
        <w:t>9.3.4 单独做耐压试验的壳体或样机需要封存。</w:t>
      </w:r>
    </w:p>
    <w:p w14:paraId="793470DE">
      <w:pPr>
        <w:pStyle w:val="36"/>
        <w:spacing w:line="259" w:lineRule="auto"/>
        <w:jc w:val="left"/>
        <w:rPr>
          <w:rFonts w:hint="eastAsia" w:ascii="宋体" w:hAnsi="宋体" w:eastAsia="黑体"/>
          <w:sz w:val="24"/>
        </w:rPr>
      </w:pPr>
      <w:bookmarkStart w:id="233" w:name="_Toc501210806"/>
      <w:bookmarkStart w:id="234" w:name="_Toc221090930"/>
      <w:bookmarkStart w:id="235" w:name="_Toc395001416"/>
      <w:bookmarkStart w:id="236" w:name="_Toc457808599"/>
      <w:bookmarkStart w:id="237" w:name="_Toc457808137"/>
      <w:bookmarkStart w:id="238" w:name="_Toc457807274"/>
      <w:bookmarkStart w:id="239" w:name="_Toc9255"/>
      <w:bookmarkStart w:id="240" w:name="_Toc185070215"/>
      <w:r>
        <w:rPr>
          <w:rFonts w:ascii="Times New Roman" w:hAnsi="Times New Roman" w:eastAsia="黑体" w:cs="Times New Roman"/>
          <w:sz w:val="24"/>
        </w:rPr>
        <w:t>10</w:t>
      </w:r>
      <w:r>
        <w:rPr>
          <w:rFonts w:hint="eastAsia" w:ascii="宋体" w:hAnsi="宋体" w:cs="Times New Roman"/>
        </w:rPr>
        <w:t xml:space="preserve"> </w:t>
      </w:r>
      <w:r>
        <w:rPr>
          <w:rFonts w:hint="eastAsia" w:ascii="宋体" w:hAnsi="宋体" w:eastAsia="黑体" w:cs="Times New Roman"/>
          <w:sz w:val="24"/>
        </w:rPr>
        <w:t>试验项目的试验方法和条件以及数据处理和合格判据</w:t>
      </w:r>
      <w:bookmarkEnd w:id="233"/>
      <w:bookmarkEnd w:id="234"/>
      <w:bookmarkEnd w:id="235"/>
      <w:bookmarkEnd w:id="236"/>
      <w:bookmarkEnd w:id="237"/>
      <w:bookmarkEnd w:id="238"/>
      <w:bookmarkEnd w:id="239"/>
      <w:bookmarkEnd w:id="240"/>
    </w:p>
    <w:bookmarkEnd w:id="208"/>
    <w:bookmarkEnd w:id="209"/>
    <w:p w14:paraId="6BDAF659">
      <w:pPr>
        <w:pStyle w:val="2"/>
        <w:spacing w:before="160" w:after="0" w:line="360" w:lineRule="auto"/>
        <w:rPr>
          <w:b w:val="0"/>
          <w:iCs/>
          <w:sz w:val="24"/>
          <w:szCs w:val="21"/>
        </w:rPr>
      </w:pPr>
      <w:bookmarkStart w:id="241" w:name="_Toc501210807"/>
      <w:bookmarkStart w:id="242" w:name="_Toc32590"/>
      <w:bookmarkStart w:id="243" w:name="_Toc457808138"/>
      <w:bookmarkStart w:id="244" w:name="_Toc185070216"/>
      <w:bookmarkStart w:id="245" w:name="_Toc221090931"/>
      <w:bookmarkStart w:id="246" w:name="_Toc457807275"/>
      <w:bookmarkStart w:id="247" w:name="_Toc457808600"/>
      <w:r>
        <w:rPr>
          <w:b w:val="0"/>
          <w:iCs/>
          <w:sz w:val="24"/>
          <w:szCs w:val="21"/>
        </w:rPr>
        <w:t xml:space="preserve">10.1 </w:t>
      </w:r>
      <w:r>
        <w:rPr>
          <w:rFonts w:hint="eastAsia"/>
          <w:b w:val="0"/>
          <w:iCs/>
          <w:sz w:val="24"/>
          <w:szCs w:val="21"/>
        </w:rPr>
        <w:t>试验项目的条件</w:t>
      </w:r>
      <w:bookmarkEnd w:id="241"/>
      <w:bookmarkEnd w:id="242"/>
      <w:bookmarkEnd w:id="243"/>
      <w:bookmarkEnd w:id="244"/>
      <w:bookmarkEnd w:id="245"/>
      <w:bookmarkEnd w:id="246"/>
      <w:bookmarkEnd w:id="247"/>
    </w:p>
    <w:p w14:paraId="4A299E5B">
      <w:pPr>
        <w:spacing w:before="160" w:line="360" w:lineRule="auto"/>
        <w:rPr>
          <w:rFonts w:cstheme="minorBidi"/>
          <w:sz w:val="24"/>
          <w:szCs w:val="24"/>
        </w:rPr>
      </w:pPr>
      <w:r>
        <w:rPr>
          <w:rFonts w:cstheme="minorBidi"/>
          <w:sz w:val="24"/>
          <w:szCs w:val="24"/>
        </w:rPr>
        <w:t xml:space="preserve">10.1.1 </w:t>
      </w:r>
      <w:r>
        <w:rPr>
          <w:rFonts w:hint="eastAsia" w:cstheme="minorBidi"/>
          <w:sz w:val="24"/>
          <w:szCs w:val="24"/>
        </w:rPr>
        <w:t>参比条件</w:t>
      </w:r>
    </w:p>
    <w:p w14:paraId="39ACE3CC">
      <w:pPr>
        <w:spacing w:before="160" w:line="360" w:lineRule="auto"/>
        <w:ind w:firstLine="480" w:firstLineChars="200"/>
        <w:rPr>
          <w:rFonts w:cstheme="minorBidi"/>
          <w:sz w:val="24"/>
          <w:szCs w:val="24"/>
        </w:rPr>
      </w:pPr>
      <w:r>
        <w:rPr>
          <w:rFonts w:hint="eastAsia" w:cstheme="minorBidi"/>
          <w:sz w:val="24"/>
          <w:szCs w:val="24"/>
        </w:rPr>
        <w:t>对流量计进行型式评价试验过程中，除了试验时的影响量外，其他所有适用的影响量都应保持下列规定的参比条件。</w:t>
      </w:r>
    </w:p>
    <w:p w14:paraId="38ABE1AD">
      <w:pPr>
        <w:spacing w:before="160" w:line="360" w:lineRule="auto"/>
        <w:rPr>
          <w:rFonts w:cstheme="minorBidi"/>
          <w:sz w:val="24"/>
          <w:szCs w:val="24"/>
        </w:rPr>
      </w:pPr>
      <w:r>
        <w:rPr>
          <w:rFonts w:cstheme="minorBidi"/>
          <w:sz w:val="24"/>
          <w:szCs w:val="24"/>
        </w:rPr>
        <w:t xml:space="preserve">—— </w:t>
      </w:r>
      <w:r>
        <w:rPr>
          <w:rFonts w:hint="eastAsia" w:cstheme="minorBidi"/>
          <w:sz w:val="24"/>
          <w:szCs w:val="24"/>
        </w:rPr>
        <w:t>环境温度：(</w:t>
      </w:r>
      <w:r>
        <w:rPr>
          <w:rFonts w:cstheme="minorBidi"/>
          <w:sz w:val="24"/>
          <w:szCs w:val="24"/>
        </w:rPr>
        <w:t>5</w:t>
      </w:r>
      <w:r>
        <w:rPr>
          <w:rFonts w:hint="eastAsia" w:cstheme="minorBidi"/>
          <w:sz w:val="24"/>
          <w:szCs w:val="24"/>
        </w:rPr>
        <w:t>～</w:t>
      </w:r>
      <w:r>
        <w:rPr>
          <w:rFonts w:cstheme="minorBidi"/>
          <w:sz w:val="24"/>
          <w:szCs w:val="24"/>
        </w:rPr>
        <w:t>40)</w:t>
      </w:r>
      <w:r>
        <w:rPr>
          <w:rFonts w:hint="eastAsia" w:cstheme="minorBidi"/>
          <w:sz w:val="24"/>
          <w:szCs w:val="24"/>
        </w:rPr>
        <w:t>℃；</w:t>
      </w:r>
    </w:p>
    <w:p w14:paraId="34FD7826">
      <w:pPr>
        <w:spacing w:before="160" w:line="360" w:lineRule="auto"/>
        <w:rPr>
          <w:rFonts w:cstheme="minorBidi"/>
          <w:sz w:val="24"/>
          <w:szCs w:val="24"/>
        </w:rPr>
      </w:pPr>
      <w:r>
        <w:rPr>
          <w:rFonts w:cstheme="minorBidi"/>
          <w:sz w:val="24"/>
          <w:szCs w:val="24"/>
        </w:rPr>
        <w:t xml:space="preserve">—— </w:t>
      </w:r>
      <w:r>
        <w:rPr>
          <w:rFonts w:hint="eastAsia" w:cstheme="minorBidi"/>
          <w:sz w:val="24"/>
          <w:szCs w:val="24"/>
        </w:rPr>
        <w:t>相对湿度：</w:t>
      </w:r>
      <w:r>
        <w:rPr>
          <w:rFonts w:cstheme="minorBidi"/>
          <w:sz w:val="24"/>
          <w:szCs w:val="24"/>
        </w:rPr>
        <w:t>15%</w:t>
      </w:r>
      <w:r>
        <w:rPr>
          <w:rFonts w:hint="eastAsia" w:cstheme="minorBidi"/>
          <w:sz w:val="24"/>
          <w:szCs w:val="24"/>
        </w:rPr>
        <w:t>～8</w:t>
      </w:r>
      <w:r>
        <w:rPr>
          <w:rFonts w:cstheme="minorBidi"/>
          <w:sz w:val="24"/>
          <w:szCs w:val="24"/>
        </w:rPr>
        <w:t>5%</w:t>
      </w:r>
      <w:r>
        <w:rPr>
          <w:rFonts w:hint="eastAsia" w:cstheme="minorBidi"/>
          <w:sz w:val="24"/>
          <w:szCs w:val="24"/>
        </w:rPr>
        <w:t>；</w:t>
      </w:r>
    </w:p>
    <w:p w14:paraId="7AF71C86">
      <w:pPr>
        <w:spacing w:before="160" w:line="360" w:lineRule="auto"/>
        <w:rPr>
          <w:rFonts w:cstheme="minorBidi"/>
          <w:sz w:val="24"/>
          <w:szCs w:val="24"/>
        </w:rPr>
      </w:pPr>
      <w:r>
        <w:rPr>
          <w:rFonts w:cstheme="minorBidi"/>
          <w:sz w:val="24"/>
          <w:szCs w:val="24"/>
        </w:rPr>
        <w:t xml:space="preserve">—— </w:t>
      </w:r>
      <w:r>
        <w:rPr>
          <w:rFonts w:hint="eastAsia" w:cstheme="minorBidi"/>
          <w:sz w:val="24"/>
          <w:szCs w:val="24"/>
        </w:rPr>
        <w:t>大气压力：（</w:t>
      </w:r>
      <w:r>
        <w:rPr>
          <w:rFonts w:cstheme="minorBidi"/>
          <w:sz w:val="24"/>
          <w:szCs w:val="24"/>
        </w:rPr>
        <w:t>86</w:t>
      </w:r>
      <w:r>
        <w:rPr>
          <w:rFonts w:hint="eastAsia" w:cstheme="minorBidi"/>
          <w:sz w:val="24"/>
          <w:szCs w:val="24"/>
        </w:rPr>
        <w:t>～</w:t>
      </w:r>
      <w:r>
        <w:rPr>
          <w:rFonts w:cstheme="minorBidi"/>
          <w:sz w:val="24"/>
          <w:szCs w:val="24"/>
        </w:rPr>
        <w:t>106</w:t>
      </w:r>
      <w:r>
        <w:rPr>
          <w:rFonts w:hint="eastAsia" w:cstheme="minorBidi"/>
          <w:sz w:val="24"/>
          <w:szCs w:val="24"/>
        </w:rPr>
        <w:t>）</w:t>
      </w:r>
      <w:r>
        <w:rPr>
          <w:rFonts w:cstheme="minorBidi"/>
          <w:sz w:val="24"/>
          <w:szCs w:val="24"/>
        </w:rPr>
        <w:t>kPa</w:t>
      </w:r>
      <w:r>
        <w:rPr>
          <w:rFonts w:hint="eastAsia" w:cstheme="minorBidi"/>
          <w:sz w:val="24"/>
          <w:szCs w:val="24"/>
        </w:rPr>
        <w:t>。</w:t>
      </w:r>
    </w:p>
    <w:p w14:paraId="750E2EE5">
      <w:pPr>
        <w:spacing w:before="160" w:line="360" w:lineRule="auto"/>
        <w:rPr>
          <w:rFonts w:cstheme="minorBidi"/>
          <w:sz w:val="24"/>
          <w:szCs w:val="24"/>
        </w:rPr>
      </w:pPr>
      <w:r>
        <w:rPr>
          <w:rFonts w:cstheme="minorBidi"/>
          <w:sz w:val="24"/>
          <w:szCs w:val="24"/>
        </w:rPr>
        <w:t xml:space="preserve">—— </w:t>
      </w:r>
      <w:r>
        <w:rPr>
          <w:rFonts w:hint="eastAsia" w:cstheme="minorBidi"/>
          <w:sz w:val="24"/>
          <w:szCs w:val="24"/>
        </w:rPr>
        <w:t>外界磁场对流量计的影响应小到可忽略不计。</w:t>
      </w:r>
    </w:p>
    <w:p w14:paraId="3C2A0EE3">
      <w:pPr>
        <w:spacing w:before="160" w:line="360" w:lineRule="auto"/>
        <w:rPr>
          <w:rFonts w:cstheme="minorBidi"/>
          <w:sz w:val="24"/>
          <w:szCs w:val="24"/>
        </w:rPr>
      </w:pPr>
      <w:r>
        <w:rPr>
          <w:rFonts w:cstheme="minorBidi"/>
          <w:sz w:val="24"/>
          <w:szCs w:val="24"/>
        </w:rPr>
        <w:t xml:space="preserve">—— </w:t>
      </w:r>
      <w:r>
        <w:rPr>
          <w:rFonts w:hint="eastAsia" w:cstheme="minorBidi"/>
          <w:sz w:val="24"/>
          <w:szCs w:val="24"/>
        </w:rPr>
        <w:t>机械振动对流量计的影响应小到可忽略不计。</w:t>
      </w:r>
    </w:p>
    <w:p w14:paraId="3489F282">
      <w:pPr>
        <w:spacing w:before="160" w:line="360" w:lineRule="auto"/>
        <w:rPr>
          <w:rFonts w:cstheme="minorBidi"/>
          <w:sz w:val="24"/>
          <w:szCs w:val="24"/>
        </w:rPr>
      </w:pPr>
      <w:r>
        <w:rPr>
          <w:rFonts w:cstheme="minorBidi"/>
          <w:sz w:val="24"/>
          <w:szCs w:val="24"/>
        </w:rPr>
        <w:t xml:space="preserve">10.1.2 </w:t>
      </w:r>
      <w:r>
        <w:rPr>
          <w:rFonts w:hint="eastAsia" w:cstheme="minorBidi"/>
          <w:sz w:val="24"/>
          <w:szCs w:val="24"/>
        </w:rPr>
        <w:t>试验用气体</w:t>
      </w:r>
    </w:p>
    <w:p w14:paraId="2B29291D">
      <w:pPr>
        <w:autoSpaceDE w:val="0"/>
        <w:autoSpaceDN w:val="0"/>
        <w:spacing w:before="160" w:line="360" w:lineRule="auto"/>
        <w:ind w:firstLine="480" w:firstLineChars="200"/>
        <w:rPr>
          <w:kern w:val="0"/>
          <w:sz w:val="24"/>
        </w:rPr>
      </w:pPr>
      <w:r>
        <w:rPr>
          <w:rFonts w:hint="eastAsia"/>
          <w:kern w:val="0"/>
          <w:sz w:val="24"/>
        </w:rPr>
        <w:t>试验气体应洁净，无游离水或油等杂质。</w:t>
      </w:r>
    </w:p>
    <w:p w14:paraId="651B06BD">
      <w:pPr>
        <w:autoSpaceDE w:val="0"/>
        <w:autoSpaceDN w:val="0"/>
        <w:spacing w:before="160" w:line="360" w:lineRule="auto"/>
        <w:ind w:firstLine="480" w:firstLineChars="200"/>
        <w:rPr>
          <w:kern w:val="0"/>
          <w:sz w:val="24"/>
        </w:rPr>
      </w:pPr>
      <w:r>
        <w:rPr>
          <w:rFonts w:hint="eastAsia"/>
          <w:kern w:val="0"/>
          <w:sz w:val="24"/>
        </w:rPr>
        <w:t>在每个流量点的试验过程中，压力波动应不超过±</w:t>
      </w:r>
      <w:r>
        <w:rPr>
          <w:kern w:val="0"/>
          <w:sz w:val="24"/>
        </w:rPr>
        <w:t>0.5%</w:t>
      </w:r>
      <w:r>
        <w:rPr>
          <w:rFonts w:hint="eastAsia"/>
          <w:kern w:val="0"/>
          <w:sz w:val="24"/>
        </w:rPr>
        <w:t>，试验压力不得超过流量计最大工作压力。</w:t>
      </w:r>
    </w:p>
    <w:p w14:paraId="58DE6C42">
      <w:pPr>
        <w:autoSpaceDE w:val="0"/>
        <w:autoSpaceDN w:val="0"/>
        <w:spacing w:before="160" w:line="360" w:lineRule="auto"/>
        <w:ind w:firstLine="480" w:firstLineChars="200"/>
        <w:rPr>
          <w:kern w:val="0"/>
          <w:sz w:val="24"/>
        </w:rPr>
      </w:pPr>
      <w:r>
        <w:rPr>
          <w:rFonts w:hint="eastAsia"/>
          <w:kern w:val="0"/>
          <w:sz w:val="24"/>
        </w:rPr>
        <w:t>准确度等级不低于</w:t>
      </w:r>
      <w:r>
        <w:rPr>
          <w:kern w:val="0"/>
          <w:sz w:val="24"/>
        </w:rPr>
        <w:t>1.0</w:t>
      </w:r>
      <w:r>
        <w:rPr>
          <w:rFonts w:hint="eastAsia"/>
          <w:kern w:val="0"/>
          <w:sz w:val="24"/>
        </w:rPr>
        <w:t>级的流量计，在每个流量点的每一次试验过程中，气体的温度变化应不超过±</w:t>
      </w:r>
      <w:r>
        <w:rPr>
          <w:kern w:val="0"/>
          <w:sz w:val="24"/>
        </w:rPr>
        <w:t xml:space="preserve">0.5 </w:t>
      </w:r>
      <w:r>
        <w:rPr>
          <w:rFonts w:hint="eastAsia"/>
          <w:kern w:val="0"/>
          <w:sz w:val="24"/>
        </w:rPr>
        <w:t>℃。准确度等级不高于</w:t>
      </w:r>
      <w:r>
        <w:rPr>
          <w:kern w:val="0"/>
          <w:sz w:val="24"/>
        </w:rPr>
        <w:t>1.5</w:t>
      </w:r>
      <w:r>
        <w:rPr>
          <w:rFonts w:hint="eastAsia"/>
          <w:kern w:val="0"/>
          <w:sz w:val="24"/>
        </w:rPr>
        <w:t>级的流量计，在每个流量点的每一次试验过程中，气体的温度变化应不超过±</w:t>
      </w:r>
      <w:r>
        <w:rPr>
          <w:kern w:val="0"/>
          <w:sz w:val="24"/>
        </w:rPr>
        <w:t xml:space="preserve">1 </w:t>
      </w:r>
      <w:r>
        <w:rPr>
          <w:rFonts w:hint="eastAsia"/>
          <w:kern w:val="0"/>
          <w:sz w:val="24"/>
        </w:rPr>
        <w:t>℃。</w:t>
      </w:r>
    </w:p>
    <w:p w14:paraId="67EBF385">
      <w:pPr>
        <w:autoSpaceDE w:val="0"/>
        <w:autoSpaceDN w:val="0"/>
        <w:spacing w:before="160" w:line="360" w:lineRule="auto"/>
        <w:ind w:firstLine="480" w:firstLineChars="200"/>
        <w:rPr>
          <w:kern w:val="0"/>
          <w:sz w:val="24"/>
        </w:rPr>
      </w:pPr>
      <w:r>
        <w:rPr>
          <w:rFonts w:hint="eastAsia"/>
          <w:kern w:val="0"/>
          <w:sz w:val="24"/>
        </w:rPr>
        <w:t>试验气体为天然气时，天然气气质应符合</w:t>
      </w:r>
      <w:r>
        <w:rPr>
          <w:kern w:val="0"/>
          <w:sz w:val="24"/>
        </w:rPr>
        <w:t>GB 17820</w:t>
      </w:r>
      <w:r>
        <w:rPr>
          <w:rFonts w:hint="eastAsia"/>
          <w:kern w:val="0"/>
          <w:sz w:val="24"/>
        </w:rPr>
        <w:t>的要求，天然气的相对密度应</w:t>
      </w:r>
      <w:r>
        <w:rPr>
          <w:kern w:val="0"/>
          <w:sz w:val="24"/>
        </w:rPr>
        <w:t>0.55</w:t>
      </w:r>
      <w:r>
        <w:rPr>
          <w:rFonts w:hint="eastAsia"/>
          <w:kern w:val="0"/>
          <w:sz w:val="24"/>
        </w:rPr>
        <w:t>～</w:t>
      </w:r>
      <w:r>
        <w:rPr>
          <w:kern w:val="0"/>
          <w:sz w:val="24"/>
        </w:rPr>
        <w:t>0.80</w:t>
      </w:r>
      <w:r>
        <w:rPr>
          <w:rFonts w:hint="eastAsia"/>
          <w:kern w:val="0"/>
          <w:sz w:val="24"/>
        </w:rPr>
        <w:t>；试验过程中，天然气的组分应相对稳定，天然气取样按</w:t>
      </w:r>
      <w:r>
        <w:rPr>
          <w:kern w:val="0"/>
          <w:sz w:val="24"/>
        </w:rPr>
        <w:t>GB/T 13609</w:t>
      </w:r>
      <w:r>
        <w:rPr>
          <w:rFonts w:hint="eastAsia"/>
          <w:kern w:val="0"/>
          <w:sz w:val="24"/>
        </w:rPr>
        <w:t>执行，天然气组成分析按</w:t>
      </w:r>
      <w:r>
        <w:rPr>
          <w:kern w:val="0"/>
          <w:sz w:val="24"/>
        </w:rPr>
        <w:t>GB/T 13610</w:t>
      </w:r>
      <w:r>
        <w:rPr>
          <w:rFonts w:hint="eastAsia"/>
          <w:kern w:val="0"/>
          <w:sz w:val="24"/>
        </w:rPr>
        <w:t>执行。当使用易燃易爆介质试验流量计时所用标准装置与设备应符合相关安全防爆要求。</w:t>
      </w:r>
    </w:p>
    <w:p w14:paraId="61EA2376">
      <w:pPr>
        <w:spacing w:before="160" w:line="360" w:lineRule="auto"/>
        <w:rPr>
          <w:rFonts w:cstheme="minorBidi"/>
          <w:sz w:val="24"/>
          <w:szCs w:val="24"/>
        </w:rPr>
      </w:pPr>
      <w:r>
        <w:rPr>
          <w:rFonts w:cstheme="minorBidi"/>
          <w:sz w:val="24"/>
          <w:szCs w:val="24"/>
        </w:rPr>
        <w:t>10.1.3</w:t>
      </w:r>
      <w:r>
        <w:rPr>
          <w:rFonts w:hint="eastAsia" w:cstheme="minorBidi"/>
          <w:sz w:val="24"/>
          <w:szCs w:val="24"/>
        </w:rPr>
        <w:t xml:space="preserve"> 安装及其他要求</w:t>
      </w:r>
    </w:p>
    <w:p w14:paraId="6E5F4027">
      <w:pPr>
        <w:numPr>
          <w:ilvl w:val="255"/>
          <w:numId w:val="0"/>
        </w:numPr>
        <w:spacing w:before="160" w:line="360" w:lineRule="auto"/>
        <w:ind w:firstLine="480" w:firstLineChars="200"/>
        <w:rPr>
          <w:sz w:val="24"/>
          <w:szCs w:val="24"/>
        </w:rPr>
      </w:pPr>
      <w:r>
        <w:rPr>
          <w:rFonts w:hint="eastAsia"/>
          <w:kern w:val="0"/>
          <w:sz w:val="24"/>
        </w:rPr>
        <w:t>流量计应在</w:t>
      </w:r>
      <w:r>
        <w:rPr>
          <w:rFonts w:hint="eastAsia"/>
          <w:kern w:val="0"/>
          <w:sz w:val="24"/>
          <w:szCs w:val="24"/>
        </w:rPr>
        <w:t>实验室</w:t>
      </w:r>
      <w:r>
        <w:rPr>
          <w:rFonts w:hint="eastAsia"/>
          <w:kern w:val="0"/>
          <w:sz w:val="24"/>
        </w:rPr>
        <w:t>试验环境下放置</w:t>
      </w:r>
      <w:r>
        <w:rPr>
          <w:kern w:val="0"/>
          <w:sz w:val="24"/>
        </w:rPr>
        <w:t>4 h</w:t>
      </w:r>
      <w:r>
        <w:rPr>
          <w:rFonts w:hint="eastAsia"/>
          <w:kern w:val="0"/>
          <w:sz w:val="24"/>
        </w:rPr>
        <w:t>以上，以保证流量计稳定到试验环境的温度后方可开始试验。</w:t>
      </w:r>
      <w:r>
        <w:rPr>
          <w:rFonts w:hint="eastAsia"/>
          <w:sz w:val="24"/>
          <w:szCs w:val="24"/>
        </w:rPr>
        <w:t>流量计安装时，按照使用说明书中的要求。流量计与标准装置管道连接部分应无泄漏，连接处的密封垫不应凸入到管道内。</w:t>
      </w:r>
    </w:p>
    <w:p w14:paraId="79C7C359">
      <w:pPr>
        <w:autoSpaceDE w:val="0"/>
        <w:autoSpaceDN w:val="0"/>
        <w:snapToGrid w:val="0"/>
        <w:spacing w:before="160" w:line="360" w:lineRule="auto"/>
        <w:ind w:firstLine="480" w:firstLineChars="200"/>
        <w:rPr>
          <w:sz w:val="24"/>
          <w:szCs w:val="24"/>
        </w:rPr>
      </w:pPr>
      <w:r>
        <w:rPr>
          <w:rFonts w:hint="eastAsia"/>
          <w:kern w:val="0"/>
          <w:sz w:val="24"/>
        </w:rPr>
        <w:t>当采用流量计脉冲输出时，每个流量点单次测试时累计脉冲数不得少于最大允许误差绝对值倒数的</w:t>
      </w:r>
      <w:r>
        <w:rPr>
          <w:kern w:val="0"/>
          <w:sz w:val="24"/>
        </w:rPr>
        <w:t>10</w:t>
      </w:r>
      <w:r>
        <w:rPr>
          <w:rFonts w:hint="eastAsia"/>
          <w:kern w:val="0"/>
          <w:sz w:val="24"/>
        </w:rPr>
        <w:t>倍。</w:t>
      </w:r>
    </w:p>
    <w:p w14:paraId="7F9E30D4">
      <w:pPr>
        <w:pStyle w:val="2"/>
        <w:spacing w:before="160" w:after="0" w:line="360" w:lineRule="auto"/>
        <w:rPr>
          <w:b w:val="0"/>
          <w:iCs/>
          <w:sz w:val="24"/>
          <w:szCs w:val="21"/>
        </w:rPr>
      </w:pPr>
      <w:bookmarkStart w:id="248" w:name="_Toc31319"/>
      <w:bookmarkStart w:id="249" w:name="_Toc457807276"/>
      <w:bookmarkStart w:id="250" w:name="_Toc185070217"/>
      <w:bookmarkStart w:id="251" w:name="_Toc457808601"/>
      <w:bookmarkStart w:id="252" w:name="_Toc457808139"/>
      <w:bookmarkStart w:id="253" w:name="_Toc221090932"/>
      <w:bookmarkStart w:id="254" w:name="_Toc501210808"/>
      <w:r>
        <w:rPr>
          <w:b w:val="0"/>
          <w:iCs/>
          <w:sz w:val="24"/>
          <w:szCs w:val="21"/>
        </w:rPr>
        <w:t xml:space="preserve">10.2 </w:t>
      </w:r>
      <w:r>
        <w:rPr>
          <w:rFonts w:hint="eastAsia"/>
          <w:b w:val="0"/>
          <w:iCs/>
          <w:sz w:val="24"/>
          <w:szCs w:val="21"/>
        </w:rPr>
        <w:t>计量性能</w:t>
      </w:r>
      <w:bookmarkEnd w:id="248"/>
      <w:bookmarkEnd w:id="249"/>
      <w:bookmarkEnd w:id="250"/>
      <w:bookmarkEnd w:id="251"/>
      <w:bookmarkEnd w:id="252"/>
      <w:bookmarkEnd w:id="253"/>
      <w:bookmarkEnd w:id="254"/>
    </w:p>
    <w:p w14:paraId="72C42CD3">
      <w:pPr>
        <w:spacing w:before="160" w:line="360" w:lineRule="auto"/>
        <w:rPr>
          <w:rFonts w:cstheme="minorBidi"/>
          <w:sz w:val="24"/>
          <w:szCs w:val="24"/>
        </w:rPr>
      </w:pPr>
      <w:r>
        <w:rPr>
          <w:rFonts w:hint="eastAsia" w:cstheme="minorBidi"/>
          <w:sz w:val="24"/>
          <w:szCs w:val="24"/>
        </w:rPr>
        <w:t>10.2.1 示值误差、重复性</w:t>
      </w:r>
    </w:p>
    <w:p w14:paraId="6AF88593">
      <w:pPr>
        <w:spacing w:before="160" w:line="360" w:lineRule="auto"/>
        <w:rPr>
          <w:sz w:val="24"/>
          <w:szCs w:val="24"/>
        </w:rPr>
      </w:pPr>
      <w:r>
        <w:rPr>
          <w:sz w:val="24"/>
          <w:szCs w:val="24"/>
        </w:rPr>
        <w:t>10.2.1.1 试验目的</w:t>
      </w:r>
    </w:p>
    <w:p w14:paraId="5B293A08">
      <w:pPr>
        <w:numPr>
          <w:ilvl w:val="255"/>
          <w:numId w:val="0"/>
        </w:numPr>
        <w:spacing w:before="160" w:line="360" w:lineRule="auto"/>
        <w:ind w:firstLine="480" w:firstLineChars="200"/>
        <w:rPr>
          <w:kern w:val="0"/>
          <w:sz w:val="24"/>
          <w:szCs w:val="24"/>
        </w:rPr>
      </w:pPr>
      <w:r>
        <w:rPr>
          <w:rFonts w:hint="eastAsia"/>
          <w:kern w:val="0"/>
          <w:sz w:val="24"/>
          <w:szCs w:val="24"/>
        </w:rPr>
        <w:t>检验流量计的示值误差、重复性是否符合</w:t>
      </w:r>
      <w:r>
        <w:rPr>
          <w:kern w:val="0"/>
          <w:sz w:val="24"/>
          <w:szCs w:val="24"/>
        </w:rPr>
        <w:t>6.1</w:t>
      </w:r>
      <w:r>
        <w:rPr>
          <w:rFonts w:hint="eastAsia"/>
          <w:kern w:val="0"/>
          <w:sz w:val="24"/>
          <w:szCs w:val="24"/>
        </w:rPr>
        <w:t>表</w:t>
      </w:r>
      <w:r>
        <w:rPr>
          <w:kern w:val="0"/>
          <w:sz w:val="24"/>
          <w:szCs w:val="24"/>
        </w:rPr>
        <w:t>3</w:t>
      </w:r>
      <w:r>
        <w:rPr>
          <w:rFonts w:hint="eastAsia"/>
          <w:kern w:val="0"/>
          <w:sz w:val="24"/>
          <w:szCs w:val="24"/>
        </w:rPr>
        <w:t>中对应准确度等级最大允许误差、</w:t>
      </w:r>
      <w:r>
        <w:rPr>
          <w:kern w:val="0"/>
          <w:sz w:val="24"/>
          <w:szCs w:val="24"/>
        </w:rPr>
        <w:t>6.2</w:t>
      </w:r>
      <w:r>
        <w:rPr>
          <w:rFonts w:hint="eastAsia"/>
          <w:kern w:val="0"/>
          <w:sz w:val="24"/>
          <w:szCs w:val="24"/>
        </w:rPr>
        <w:t>重复性要求。</w:t>
      </w:r>
    </w:p>
    <w:p w14:paraId="57A438D2">
      <w:pPr>
        <w:spacing w:before="160" w:line="360" w:lineRule="auto"/>
        <w:rPr>
          <w:sz w:val="24"/>
          <w:szCs w:val="24"/>
        </w:rPr>
      </w:pPr>
      <w:r>
        <w:rPr>
          <w:sz w:val="24"/>
          <w:szCs w:val="24"/>
        </w:rPr>
        <w:t>10.2.1.2</w:t>
      </w:r>
      <w:r>
        <w:rPr>
          <w:rFonts w:hint="eastAsia"/>
          <w:sz w:val="24"/>
          <w:szCs w:val="24"/>
        </w:rPr>
        <w:t xml:space="preserve"> </w:t>
      </w:r>
      <w:r>
        <w:rPr>
          <w:sz w:val="24"/>
          <w:szCs w:val="24"/>
        </w:rPr>
        <w:t>试验条件</w:t>
      </w:r>
    </w:p>
    <w:p w14:paraId="5224AA0D">
      <w:pPr>
        <w:numPr>
          <w:ilvl w:val="255"/>
          <w:numId w:val="0"/>
        </w:numPr>
        <w:spacing w:before="160" w:line="360" w:lineRule="auto"/>
        <w:ind w:firstLine="480" w:firstLineChars="200"/>
        <w:rPr>
          <w:kern w:val="0"/>
          <w:sz w:val="24"/>
          <w:szCs w:val="24"/>
        </w:rPr>
      </w:pPr>
      <w:r>
        <w:rPr>
          <w:rFonts w:hint="eastAsia"/>
          <w:kern w:val="0"/>
          <w:sz w:val="24"/>
          <w:szCs w:val="24"/>
        </w:rPr>
        <w:t>在参比条件下试验。</w:t>
      </w:r>
    </w:p>
    <w:p w14:paraId="639CA5CA">
      <w:pPr>
        <w:spacing w:before="160" w:line="360" w:lineRule="auto"/>
        <w:rPr>
          <w:sz w:val="24"/>
          <w:szCs w:val="24"/>
        </w:rPr>
      </w:pPr>
      <w:r>
        <w:rPr>
          <w:sz w:val="24"/>
          <w:szCs w:val="24"/>
        </w:rPr>
        <w:t>10.2.1.3</w:t>
      </w:r>
      <w:r>
        <w:rPr>
          <w:rFonts w:hint="eastAsia"/>
          <w:sz w:val="24"/>
          <w:szCs w:val="24"/>
        </w:rPr>
        <w:t xml:space="preserve"> </w:t>
      </w:r>
      <w:r>
        <w:rPr>
          <w:sz w:val="24"/>
          <w:szCs w:val="24"/>
        </w:rPr>
        <w:t>试验设备</w:t>
      </w:r>
    </w:p>
    <w:p w14:paraId="0B9113E6">
      <w:pPr>
        <w:numPr>
          <w:ilvl w:val="255"/>
          <w:numId w:val="0"/>
        </w:numPr>
        <w:spacing w:before="160" w:line="360" w:lineRule="auto"/>
        <w:ind w:firstLine="480" w:firstLineChars="200"/>
        <w:rPr>
          <w:sz w:val="24"/>
          <w:szCs w:val="24"/>
        </w:rPr>
      </w:pPr>
      <w:r>
        <w:rPr>
          <w:rFonts w:hint="eastAsia"/>
          <w:sz w:val="24"/>
          <w:szCs w:val="24"/>
        </w:rPr>
        <w:t>气体流量标准装置及配套设备。</w:t>
      </w:r>
    </w:p>
    <w:p w14:paraId="57B5060A">
      <w:pPr>
        <w:spacing w:before="160" w:line="360" w:lineRule="auto"/>
        <w:rPr>
          <w:sz w:val="24"/>
          <w:szCs w:val="24"/>
        </w:rPr>
      </w:pPr>
      <w:r>
        <w:rPr>
          <w:sz w:val="24"/>
          <w:szCs w:val="24"/>
        </w:rPr>
        <w:t>10.2.1.4</w:t>
      </w:r>
      <w:r>
        <w:rPr>
          <w:rFonts w:hint="eastAsia"/>
          <w:sz w:val="24"/>
          <w:szCs w:val="24"/>
        </w:rPr>
        <w:t xml:space="preserve"> </w:t>
      </w:r>
      <w:r>
        <w:rPr>
          <w:sz w:val="24"/>
          <w:szCs w:val="24"/>
        </w:rPr>
        <w:t>试验程序</w:t>
      </w:r>
    </w:p>
    <w:p w14:paraId="56B5A345">
      <w:pPr>
        <w:spacing w:before="160" w:line="360" w:lineRule="auto"/>
        <w:ind w:firstLine="480" w:firstLineChars="200"/>
        <w:rPr>
          <w:sz w:val="24"/>
          <w:szCs w:val="24"/>
        </w:rPr>
      </w:pPr>
      <w:r>
        <w:rPr>
          <w:sz w:val="24"/>
          <w:szCs w:val="24"/>
        </w:rPr>
        <w:t>流量计</w:t>
      </w:r>
      <w:r>
        <w:rPr>
          <w:rFonts w:hint="eastAsia"/>
          <w:sz w:val="24"/>
          <w:szCs w:val="24"/>
        </w:rPr>
        <w:t>示值误差的</w:t>
      </w:r>
      <w:r>
        <w:rPr>
          <w:sz w:val="24"/>
          <w:szCs w:val="24"/>
        </w:rPr>
        <w:t>试验程序</w:t>
      </w:r>
      <w:r>
        <w:rPr>
          <w:rFonts w:hint="eastAsia"/>
          <w:sz w:val="24"/>
          <w:szCs w:val="24"/>
        </w:rPr>
        <w:t>按本条进行。</w:t>
      </w:r>
    </w:p>
    <w:p w14:paraId="11456EA7">
      <w:pPr>
        <w:spacing w:before="160" w:line="360" w:lineRule="auto"/>
        <w:ind w:firstLine="480" w:firstLineChars="200"/>
        <w:rPr>
          <w:sz w:val="24"/>
          <w:szCs w:val="24"/>
        </w:rPr>
      </w:pPr>
      <w:r>
        <w:rPr>
          <w:sz w:val="24"/>
          <w:szCs w:val="24"/>
        </w:rPr>
        <w:t>a</w:t>
      </w:r>
      <w:r>
        <w:rPr>
          <w:rFonts w:hint="eastAsia"/>
          <w:sz w:val="24"/>
          <w:szCs w:val="24"/>
        </w:rPr>
        <w:t>）</w:t>
      </w:r>
      <w:r>
        <w:rPr>
          <w:sz w:val="24"/>
          <w:szCs w:val="24"/>
        </w:rPr>
        <w:t>接通流量计、计时器电源，按流量计使用说明书中的方法检查流量计参数设置。流量计应在最大流量的70%~100%范围内运行一定时间，等气体压力、温度和流量稳定后方可进行正式试验。</w:t>
      </w:r>
    </w:p>
    <w:p w14:paraId="2FB2B551">
      <w:pPr>
        <w:spacing w:before="160" w:line="360" w:lineRule="auto"/>
        <w:ind w:firstLine="480" w:firstLineChars="200"/>
        <w:rPr>
          <w:sz w:val="24"/>
          <w:szCs w:val="24"/>
        </w:rPr>
      </w:pPr>
      <w:r>
        <w:rPr>
          <w:sz w:val="24"/>
          <w:szCs w:val="24"/>
        </w:rPr>
        <w:t>b</w:t>
      </w:r>
      <w:r>
        <w:rPr>
          <w:rFonts w:hint="eastAsia"/>
          <w:sz w:val="24"/>
          <w:szCs w:val="24"/>
        </w:rPr>
        <w:t>）</w:t>
      </w:r>
      <w:r>
        <w:rPr>
          <w:sz w:val="24"/>
          <w:szCs w:val="24"/>
        </w:rPr>
        <w:t>在</w:t>
      </w:r>
      <w:r>
        <w:rPr>
          <w:rFonts w:hint="eastAsia"/>
          <w:sz w:val="24"/>
          <w:szCs w:val="24"/>
        </w:rPr>
        <w:t>试验</w:t>
      </w:r>
      <w:r>
        <w:rPr>
          <w:sz w:val="24"/>
          <w:szCs w:val="24"/>
        </w:rPr>
        <w:t>过程中，</w:t>
      </w:r>
      <w:r>
        <w:rPr>
          <w:i/>
          <w:iCs/>
          <w:sz w:val="24"/>
          <w:szCs w:val="24"/>
        </w:rPr>
        <w:t>q</w:t>
      </w:r>
      <w:r>
        <w:rPr>
          <w:sz w:val="24"/>
          <w:szCs w:val="24"/>
          <w:vertAlign w:val="subscript"/>
        </w:rPr>
        <w:t xml:space="preserve">max </w:t>
      </w:r>
      <w:r>
        <w:rPr>
          <w:sz w:val="24"/>
          <w:szCs w:val="24"/>
        </w:rPr>
        <w:t>、0.5</w:t>
      </w:r>
      <w:r>
        <w:rPr>
          <w:i/>
          <w:iCs/>
          <w:sz w:val="24"/>
          <w:szCs w:val="24"/>
        </w:rPr>
        <w:t>q</w:t>
      </w:r>
      <w:r>
        <w:rPr>
          <w:sz w:val="24"/>
          <w:szCs w:val="24"/>
          <w:vertAlign w:val="subscript"/>
        </w:rPr>
        <w:t>max</w:t>
      </w:r>
      <w:r>
        <w:rPr>
          <w:sz w:val="24"/>
          <w:szCs w:val="24"/>
        </w:rPr>
        <w:t>和</w:t>
      </w:r>
      <w:r>
        <w:rPr>
          <w:i/>
          <w:iCs/>
          <w:sz w:val="24"/>
          <w:szCs w:val="24"/>
        </w:rPr>
        <w:t>q</w:t>
      </w:r>
      <w:r>
        <w:rPr>
          <w:sz w:val="24"/>
          <w:szCs w:val="24"/>
          <w:vertAlign w:val="subscript"/>
        </w:rPr>
        <w:t>t</w:t>
      </w:r>
      <w:r>
        <w:rPr>
          <w:sz w:val="24"/>
          <w:szCs w:val="24"/>
        </w:rPr>
        <w:t>流量点的每次实际检定流量与设定流量的偏差应不超过设定流量的±5%，qmin流量点的每次实际检定流量与设定流量的偏差应不超过设定流量的±10%，实际检定流量应在流量计量程范围内且分界流量点的实际流量应不小于设定流量。</w:t>
      </w:r>
    </w:p>
    <w:p w14:paraId="75E2A430">
      <w:pPr>
        <w:spacing w:before="160" w:line="360" w:lineRule="auto"/>
        <w:ind w:firstLine="480" w:firstLineChars="200"/>
        <w:rPr>
          <w:sz w:val="24"/>
          <w:szCs w:val="24"/>
        </w:rPr>
      </w:pPr>
      <w:r>
        <w:rPr>
          <w:sz w:val="24"/>
          <w:szCs w:val="24"/>
        </w:rPr>
        <w:t>c</w:t>
      </w:r>
      <w:r>
        <w:rPr>
          <w:rFonts w:hint="eastAsia"/>
          <w:sz w:val="24"/>
          <w:szCs w:val="24"/>
        </w:rPr>
        <w:t>）</w:t>
      </w:r>
      <w:r>
        <w:rPr>
          <w:sz w:val="24"/>
          <w:szCs w:val="24"/>
        </w:rPr>
        <w:t>每个试验点的试验次数应不少于3次。</w:t>
      </w:r>
    </w:p>
    <w:p w14:paraId="12C1B562">
      <w:pPr>
        <w:autoSpaceDE w:val="0"/>
        <w:autoSpaceDN w:val="0"/>
        <w:spacing w:before="160" w:line="360" w:lineRule="auto"/>
        <w:ind w:firstLine="480" w:firstLineChars="200"/>
        <w:rPr>
          <w:bCs/>
          <w:sz w:val="24"/>
          <w:szCs w:val="24"/>
        </w:rPr>
      </w:pPr>
      <w:r>
        <w:rPr>
          <w:sz w:val="24"/>
          <w:szCs w:val="24"/>
        </w:rPr>
        <w:t>d</w:t>
      </w:r>
      <w:r>
        <w:rPr>
          <w:rFonts w:hint="eastAsia"/>
          <w:sz w:val="24"/>
          <w:szCs w:val="24"/>
        </w:rPr>
        <w:t>）将标准装置流量设置或调整至所试验流量点，控制标准装置和流量计同时开始流量测量，经一段时间后，控制标准装置和流量计同时停止测量，记录标准装置流量、流量计输出值、标准装置处和流量计处的气体温度和气体压力，计算第</w:t>
      </w:r>
      <w:r>
        <w:rPr>
          <w:i/>
          <w:iCs/>
          <w:sz w:val="24"/>
          <w:szCs w:val="24"/>
        </w:rPr>
        <w:t>i</w:t>
      </w:r>
      <w:r>
        <w:rPr>
          <w:rFonts w:hint="eastAsia"/>
          <w:sz w:val="24"/>
          <w:szCs w:val="24"/>
        </w:rPr>
        <w:t>流量点第</w:t>
      </w:r>
      <w:r>
        <w:rPr>
          <w:i/>
          <w:iCs/>
          <w:sz w:val="24"/>
          <w:szCs w:val="24"/>
        </w:rPr>
        <w:t>j</w:t>
      </w:r>
      <w:r>
        <w:rPr>
          <w:rFonts w:hint="eastAsia"/>
          <w:sz w:val="24"/>
          <w:szCs w:val="24"/>
        </w:rPr>
        <w:t>次的示值误差。</w:t>
      </w:r>
    </w:p>
    <w:p w14:paraId="2C583277">
      <w:pPr>
        <w:autoSpaceDE w:val="0"/>
        <w:autoSpaceDN w:val="0"/>
        <w:spacing w:before="160" w:line="360" w:lineRule="auto"/>
        <w:ind w:firstLine="480" w:firstLineChars="200"/>
        <w:rPr>
          <w:sz w:val="24"/>
          <w:szCs w:val="24"/>
        </w:rPr>
      </w:pPr>
      <w:r>
        <w:rPr>
          <w:rFonts w:hint="eastAsia"/>
          <w:bCs/>
          <w:sz w:val="24"/>
          <w:szCs w:val="24"/>
        </w:rPr>
        <w:t>e</w:t>
      </w:r>
      <w:r>
        <w:rPr>
          <w:rFonts w:hint="eastAsia"/>
          <w:sz w:val="24"/>
          <w:szCs w:val="24"/>
        </w:rPr>
        <w:t>）至少</w:t>
      </w:r>
      <w:r>
        <w:rPr>
          <w:sz w:val="24"/>
          <w:szCs w:val="24"/>
        </w:rPr>
        <w:t>重复测量3次，计算第</w:t>
      </w:r>
      <w:r>
        <w:rPr>
          <w:i/>
          <w:iCs/>
          <w:sz w:val="24"/>
          <w:szCs w:val="24"/>
        </w:rPr>
        <w:t>i</w:t>
      </w:r>
      <w:r>
        <w:rPr>
          <w:sz w:val="24"/>
          <w:szCs w:val="24"/>
        </w:rPr>
        <w:t>流量点的平均示值误差和重复性。转入下一个流量点的试验，直至完成所有流量点的试验。</w:t>
      </w:r>
    </w:p>
    <w:p w14:paraId="4E94CC1B">
      <w:pPr>
        <w:autoSpaceDE w:val="0"/>
        <w:autoSpaceDN w:val="0"/>
        <w:spacing w:before="160" w:line="360" w:lineRule="auto"/>
        <w:ind w:firstLine="480" w:firstLineChars="200"/>
        <w:rPr>
          <w:kern w:val="0"/>
          <w:sz w:val="24"/>
        </w:rPr>
      </w:pPr>
      <w:r>
        <w:rPr>
          <w:rFonts w:hint="eastAsia"/>
          <w:bCs/>
          <w:sz w:val="24"/>
          <w:szCs w:val="24"/>
        </w:rPr>
        <w:t>f</w:t>
      </w:r>
      <w:r>
        <w:rPr>
          <w:rFonts w:hint="eastAsia"/>
          <w:sz w:val="24"/>
          <w:szCs w:val="24"/>
        </w:rPr>
        <w:t>）</w:t>
      </w:r>
      <w:r>
        <w:rPr>
          <w:rFonts w:hint="eastAsia"/>
          <w:kern w:val="0"/>
          <w:sz w:val="24"/>
        </w:rPr>
        <w:t>每次测量时间应不少于装置和流量计允许的最短测量时间。</w:t>
      </w:r>
    </w:p>
    <w:p w14:paraId="3D670F96">
      <w:pPr>
        <w:autoSpaceDE w:val="0"/>
        <w:autoSpaceDN w:val="0"/>
        <w:spacing w:before="160" w:line="360" w:lineRule="auto"/>
        <w:ind w:firstLine="480" w:firstLineChars="200"/>
        <w:rPr>
          <w:bCs/>
          <w:sz w:val="24"/>
          <w:szCs w:val="24"/>
        </w:rPr>
      </w:pPr>
      <w:r>
        <w:rPr>
          <w:rFonts w:hint="eastAsia"/>
          <w:bCs/>
          <w:sz w:val="24"/>
          <w:szCs w:val="24"/>
        </w:rPr>
        <w:t>g</w:t>
      </w:r>
      <w:r>
        <w:rPr>
          <w:rFonts w:hint="eastAsia"/>
          <w:sz w:val="24"/>
          <w:szCs w:val="24"/>
        </w:rPr>
        <w:t>）</w:t>
      </w:r>
      <w:r>
        <w:rPr>
          <w:sz w:val="24"/>
          <w:szCs w:val="24"/>
        </w:rPr>
        <w:t>在每个流量点的检定过程中，压力波动应不超过±0.5%</w:t>
      </w:r>
      <w:r>
        <w:rPr>
          <w:rFonts w:hint="eastAsia"/>
          <w:bCs/>
          <w:sz w:val="24"/>
          <w:szCs w:val="24"/>
        </w:rPr>
        <w:t>。</w:t>
      </w:r>
    </w:p>
    <w:p w14:paraId="35CDB6EC">
      <w:pPr>
        <w:spacing w:before="160" w:line="360" w:lineRule="auto"/>
        <w:ind w:firstLine="480" w:firstLineChars="200"/>
        <w:rPr>
          <w:sz w:val="24"/>
          <w:szCs w:val="24"/>
        </w:rPr>
      </w:pPr>
      <w:r>
        <w:rPr>
          <w:sz w:val="24"/>
          <w:szCs w:val="24"/>
        </w:rPr>
        <w:t>h</w:t>
      </w:r>
      <w:r>
        <w:rPr>
          <w:rFonts w:hint="eastAsia"/>
          <w:sz w:val="24"/>
          <w:szCs w:val="24"/>
        </w:rPr>
        <w:t>）对于具备多种输出功能的流量计，应分别在每种输出模式下进行测试。</w:t>
      </w:r>
    </w:p>
    <w:p w14:paraId="2FEF55E0">
      <w:pPr>
        <w:spacing w:before="160" w:line="360" w:lineRule="auto"/>
        <w:rPr>
          <w:sz w:val="24"/>
          <w:szCs w:val="24"/>
        </w:rPr>
      </w:pPr>
      <w:r>
        <w:rPr>
          <w:rFonts w:hint="eastAsia"/>
          <w:sz w:val="24"/>
          <w:szCs w:val="24"/>
        </w:rPr>
        <w:t>10</w:t>
      </w:r>
      <w:r>
        <w:rPr>
          <w:sz w:val="24"/>
          <w:szCs w:val="24"/>
        </w:rPr>
        <w:t>.</w:t>
      </w:r>
      <w:r>
        <w:rPr>
          <w:rFonts w:hint="eastAsia"/>
          <w:sz w:val="24"/>
          <w:szCs w:val="24"/>
        </w:rPr>
        <w:t>2.1.5</w:t>
      </w:r>
      <w:r>
        <w:rPr>
          <w:sz w:val="24"/>
          <w:szCs w:val="24"/>
        </w:rPr>
        <w:t>数据处理</w:t>
      </w:r>
    </w:p>
    <w:p w14:paraId="0BBE398F">
      <w:pPr>
        <w:autoSpaceDE w:val="0"/>
        <w:autoSpaceDN w:val="0"/>
        <w:spacing w:before="160" w:line="360" w:lineRule="auto"/>
        <w:ind w:firstLine="480" w:firstLineChars="200"/>
        <w:rPr>
          <w:szCs w:val="24"/>
        </w:rPr>
      </w:pPr>
      <w:r>
        <w:rPr>
          <w:rFonts w:hint="eastAsia"/>
          <w:sz w:val="24"/>
          <w:szCs w:val="24"/>
        </w:rPr>
        <w:t>（</w:t>
      </w:r>
      <w:r>
        <w:rPr>
          <w:sz w:val="24"/>
          <w:szCs w:val="24"/>
        </w:rPr>
        <w:t>1</w:t>
      </w:r>
      <w:r>
        <w:rPr>
          <w:rFonts w:hint="eastAsia"/>
          <w:sz w:val="24"/>
          <w:szCs w:val="24"/>
        </w:rPr>
        <w:t>）流量计的相对误差计算</w:t>
      </w:r>
    </w:p>
    <w:p w14:paraId="1BB2EBDB">
      <w:pPr>
        <w:spacing w:before="160" w:line="360" w:lineRule="auto"/>
        <w:ind w:firstLine="480" w:firstLineChars="200"/>
        <w:rPr>
          <w:sz w:val="24"/>
          <w:szCs w:val="24"/>
        </w:rPr>
      </w:pPr>
      <w:r>
        <w:rPr>
          <w:sz w:val="24"/>
          <w:szCs w:val="24"/>
        </w:rPr>
        <w:t>流量计</w:t>
      </w:r>
      <w:r>
        <w:rPr>
          <w:rFonts w:hint="eastAsia"/>
          <w:sz w:val="24"/>
          <w:szCs w:val="24"/>
        </w:rPr>
        <w:t>单点单次检定</w:t>
      </w:r>
      <w:r>
        <w:rPr>
          <w:sz w:val="24"/>
          <w:szCs w:val="24"/>
        </w:rPr>
        <w:t>时的相对示值误差按式（1）计算</w:t>
      </w:r>
      <w:r>
        <w:rPr>
          <w:rFonts w:hint="eastAsia"/>
          <w:sz w:val="24"/>
          <w:szCs w:val="24"/>
        </w:rPr>
        <w:t>：</w:t>
      </w:r>
    </w:p>
    <w:tbl>
      <w:tblPr>
        <w:tblStyle w:val="38"/>
        <w:tblW w:w="8080" w:type="dxa"/>
        <w:jc w:val="center"/>
        <w:tblLayout w:type="fixed"/>
        <w:tblCellMar>
          <w:top w:w="0" w:type="dxa"/>
          <w:left w:w="108" w:type="dxa"/>
          <w:bottom w:w="0" w:type="dxa"/>
          <w:right w:w="108" w:type="dxa"/>
        </w:tblCellMar>
      </w:tblPr>
      <w:tblGrid>
        <w:gridCol w:w="6870"/>
        <w:gridCol w:w="1210"/>
      </w:tblGrid>
      <w:tr w14:paraId="1F492DB9">
        <w:tblPrEx>
          <w:tblCellMar>
            <w:top w:w="0" w:type="dxa"/>
            <w:left w:w="108" w:type="dxa"/>
            <w:bottom w:w="0" w:type="dxa"/>
            <w:right w:w="108" w:type="dxa"/>
          </w:tblCellMar>
        </w:tblPrEx>
        <w:trPr>
          <w:jc w:val="center"/>
        </w:trPr>
        <w:tc>
          <w:tcPr>
            <w:tcW w:w="6870" w:type="dxa"/>
            <w:vAlign w:val="center"/>
          </w:tcPr>
          <w:p w14:paraId="3A0F0048">
            <w:pPr>
              <w:tabs>
                <w:tab w:val="left" w:pos="360"/>
              </w:tabs>
              <w:spacing w:before="160" w:line="360" w:lineRule="auto"/>
              <w:ind w:firstLine="480" w:firstLineChars="200"/>
              <w:jc w:val="center"/>
              <w:rPr>
                <w:sz w:val="24"/>
                <w:szCs w:val="24"/>
              </w:rPr>
            </w:pPr>
            <m:oMath>
              <m:sSub>
                <m:sSubPr>
                  <m:ctrlPr>
                    <w:rPr>
                      <w:rFonts w:ascii="Cambria Math" w:hAnsi="Cambria Math"/>
                      <w:i/>
                      <w:sz w:val="24"/>
                      <w:szCs w:val="24"/>
                    </w:rPr>
                  </m:ctrlPr>
                </m:sSubPr>
                <m:e>
                  <m:r>
                    <m:rPr/>
                    <w:rPr>
                      <w:rFonts w:ascii="Cambria Math"/>
                      <w:sz w:val="24"/>
                      <w:szCs w:val="24"/>
                    </w:rPr>
                    <m:t>E</m:t>
                  </m:r>
                  <m:ctrlPr>
                    <w:rPr>
                      <w:rFonts w:ascii="Cambria Math" w:hAnsi="Cambria Math"/>
                      <w:i/>
                      <w:sz w:val="24"/>
                      <w:szCs w:val="24"/>
                    </w:rPr>
                  </m:ctrlPr>
                </m:e>
                <m:sub>
                  <m:r>
                    <m:rPr/>
                    <w:rPr>
                      <w:rFonts w:ascii="Cambria Math"/>
                      <w:sz w:val="24"/>
                      <w:szCs w:val="24"/>
                    </w:rPr>
                    <m:t>ij</m:t>
                  </m:r>
                  <m:ctrlPr>
                    <w:rPr>
                      <w:rFonts w:ascii="Cambria Math" w:hAnsi="Cambria Math"/>
                      <w:i/>
                      <w:sz w:val="24"/>
                      <w:szCs w:val="24"/>
                    </w:rPr>
                  </m:ctrlPr>
                </m:sub>
              </m:sSub>
              <m:r>
                <m:rPr/>
                <w:rPr>
                  <w:rFonts w:asci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m:rPr/>
                        <w:rPr>
                          <w:rFonts w:ascii="Cambria Math"/>
                          <w:sz w:val="24"/>
                          <w:szCs w:val="24"/>
                        </w:rPr>
                        <m:t>Q</m:t>
                      </m:r>
                      <m:ctrlPr>
                        <w:rPr>
                          <w:rFonts w:ascii="Cambria Math" w:hAnsi="Cambria Math"/>
                          <w:i/>
                          <w:sz w:val="24"/>
                          <w:szCs w:val="24"/>
                        </w:rPr>
                      </m:ctrlPr>
                    </m:e>
                    <m:sub>
                      <m:r>
                        <m:rPr/>
                        <w:rPr>
                          <w:rFonts w:ascii="Cambria Math"/>
                          <w:sz w:val="24"/>
                          <w:szCs w:val="24"/>
                        </w:rPr>
                        <m:t>ij</m:t>
                      </m:r>
                      <m:ctrlPr>
                        <w:rPr>
                          <w:rFonts w:ascii="Cambria Math" w:hAnsi="Cambria Math"/>
                          <w:i/>
                          <w:sz w:val="24"/>
                          <w:szCs w:val="24"/>
                        </w:rPr>
                      </m:ctrlPr>
                    </m:sub>
                  </m:sSub>
                  <m:r>
                    <m:rPr/>
                    <w:rPr>
                      <w:rFonts w:ascii="Cambria Math"/>
                      <w:sz w:val="24"/>
                      <w:szCs w:val="24"/>
                    </w:rPr>
                    <m:t>−(</m:t>
                  </m:r>
                  <m:sSub>
                    <m:sSubPr>
                      <m:ctrlPr>
                        <w:rPr>
                          <w:rFonts w:ascii="Cambria Math" w:hAnsi="Cambria Math"/>
                          <w:i/>
                          <w:sz w:val="24"/>
                          <w:szCs w:val="24"/>
                        </w:rPr>
                      </m:ctrlPr>
                    </m:sSubPr>
                    <m:e>
                      <m:r>
                        <m:rPr/>
                        <w:rPr>
                          <w:rFonts w:ascii="Cambria Math"/>
                          <w:sz w:val="24"/>
                          <w:szCs w:val="24"/>
                        </w:rPr>
                        <m:t>Q</m:t>
                      </m:r>
                      <m:ctrlPr>
                        <w:rPr>
                          <w:rFonts w:ascii="Cambria Math" w:hAnsi="Cambria Math"/>
                          <w:i/>
                          <w:sz w:val="24"/>
                          <w:szCs w:val="24"/>
                        </w:rPr>
                      </m:ctrlPr>
                    </m:e>
                    <m:sub>
                      <m:r>
                        <m:rPr/>
                        <w:rPr>
                          <w:rFonts w:ascii="Cambria Math"/>
                          <w:sz w:val="24"/>
                          <w:szCs w:val="24"/>
                        </w:rPr>
                        <m:t>s</m:t>
                      </m:r>
                      <m:ctrlPr>
                        <w:rPr>
                          <w:rFonts w:ascii="Cambria Math" w:hAnsi="Cambria Math"/>
                          <w:i/>
                          <w:sz w:val="24"/>
                          <w:szCs w:val="24"/>
                        </w:rPr>
                      </m:ctrlPr>
                    </m:sub>
                  </m:sSub>
                  <m:sSub>
                    <m:sSubPr>
                      <m:ctrlPr>
                        <w:rPr>
                          <w:rFonts w:ascii="Cambria Math" w:hAnsi="Cambria Math"/>
                          <w:i/>
                          <w:sz w:val="24"/>
                          <w:szCs w:val="24"/>
                        </w:rPr>
                      </m:ctrlPr>
                    </m:sSubPr>
                    <m:e>
                      <m:r>
                        <m:rPr/>
                        <w:rPr>
                          <w:rFonts w:ascii="Cambria Math"/>
                          <w:sz w:val="24"/>
                          <w:szCs w:val="24"/>
                        </w:rPr>
                        <m:t>)</m:t>
                      </m:r>
                      <m:ctrlPr>
                        <w:rPr>
                          <w:rFonts w:ascii="Cambria Math" w:hAnsi="Cambria Math"/>
                          <w:i/>
                          <w:sz w:val="24"/>
                          <w:szCs w:val="24"/>
                        </w:rPr>
                      </m:ctrlPr>
                    </m:e>
                    <m:sub>
                      <m:r>
                        <m:rPr/>
                        <w:rPr>
                          <w:rFonts w:ascii="Cambria Math"/>
                          <w:sz w:val="24"/>
                          <w:szCs w:val="24"/>
                        </w:rPr>
                        <m:t>ij</m:t>
                      </m:r>
                      <m:ctrlPr>
                        <w:rPr>
                          <w:rFonts w:ascii="Cambria Math" w:hAnsi="Cambria Math"/>
                          <w:i/>
                          <w:sz w:val="24"/>
                          <w:szCs w:val="24"/>
                        </w:rPr>
                      </m:ctrlPr>
                    </m:sub>
                  </m:sSub>
                  <m:ctrlPr>
                    <w:rPr>
                      <w:rFonts w:ascii="Cambria Math" w:hAnsi="Cambria Math"/>
                      <w:i/>
                      <w:sz w:val="24"/>
                      <w:szCs w:val="24"/>
                    </w:rPr>
                  </m:ctrlPr>
                </m:num>
                <m:den>
                  <m:r>
                    <m:rPr/>
                    <w:rPr>
                      <w:rFonts w:ascii="Cambria Math"/>
                      <w:sz w:val="24"/>
                      <w:szCs w:val="24"/>
                    </w:rPr>
                    <m:t>(</m:t>
                  </m:r>
                  <m:sSub>
                    <m:sSubPr>
                      <m:ctrlPr>
                        <w:rPr>
                          <w:rFonts w:ascii="Cambria Math" w:hAnsi="Cambria Math"/>
                          <w:i/>
                          <w:sz w:val="24"/>
                          <w:szCs w:val="24"/>
                        </w:rPr>
                      </m:ctrlPr>
                    </m:sSubPr>
                    <m:e>
                      <m:r>
                        <m:rPr/>
                        <w:rPr>
                          <w:rFonts w:ascii="Cambria Math"/>
                          <w:sz w:val="24"/>
                          <w:szCs w:val="24"/>
                        </w:rPr>
                        <m:t>Q</m:t>
                      </m:r>
                      <m:ctrlPr>
                        <w:rPr>
                          <w:rFonts w:ascii="Cambria Math" w:hAnsi="Cambria Math"/>
                          <w:i/>
                          <w:sz w:val="24"/>
                          <w:szCs w:val="24"/>
                        </w:rPr>
                      </m:ctrlPr>
                    </m:e>
                    <m:sub>
                      <m:r>
                        <m:rPr/>
                        <w:rPr>
                          <w:rFonts w:ascii="Cambria Math"/>
                          <w:sz w:val="24"/>
                          <w:szCs w:val="24"/>
                        </w:rPr>
                        <m:t>s</m:t>
                      </m:r>
                      <m:ctrlPr>
                        <w:rPr>
                          <w:rFonts w:ascii="Cambria Math" w:hAnsi="Cambria Math"/>
                          <w:i/>
                          <w:sz w:val="24"/>
                          <w:szCs w:val="24"/>
                        </w:rPr>
                      </m:ctrlPr>
                    </m:sub>
                  </m:sSub>
                  <m:sSub>
                    <m:sSubPr>
                      <m:ctrlPr>
                        <w:rPr>
                          <w:rFonts w:ascii="Cambria Math" w:hAnsi="Cambria Math"/>
                          <w:i/>
                          <w:sz w:val="24"/>
                          <w:szCs w:val="24"/>
                        </w:rPr>
                      </m:ctrlPr>
                    </m:sSubPr>
                    <m:e>
                      <m:r>
                        <m:rPr/>
                        <w:rPr>
                          <w:rFonts w:ascii="Cambria Math"/>
                          <w:sz w:val="24"/>
                          <w:szCs w:val="24"/>
                        </w:rPr>
                        <m:t>)</m:t>
                      </m:r>
                      <m:ctrlPr>
                        <w:rPr>
                          <w:rFonts w:ascii="Cambria Math" w:hAnsi="Cambria Math"/>
                          <w:i/>
                          <w:sz w:val="24"/>
                          <w:szCs w:val="24"/>
                        </w:rPr>
                      </m:ctrlPr>
                    </m:e>
                    <m:sub>
                      <m:r>
                        <m:rPr/>
                        <w:rPr>
                          <w:rFonts w:ascii="Cambria Math"/>
                          <w:sz w:val="24"/>
                          <w:szCs w:val="24"/>
                        </w:rPr>
                        <m:t>ij</m:t>
                      </m:r>
                      <m:ctrlPr>
                        <w:rPr>
                          <w:rFonts w:ascii="Cambria Math" w:hAnsi="Cambria Math"/>
                          <w:i/>
                          <w:sz w:val="24"/>
                          <w:szCs w:val="24"/>
                        </w:rPr>
                      </m:ctrlPr>
                    </m:sub>
                  </m:sSub>
                  <m:ctrlPr>
                    <w:rPr>
                      <w:rFonts w:ascii="Cambria Math" w:hAnsi="Cambria Math"/>
                      <w:i/>
                      <w:sz w:val="24"/>
                      <w:szCs w:val="24"/>
                    </w:rPr>
                  </m:ctrlPr>
                </m:den>
              </m:f>
              <m:r>
                <m:rPr/>
                <w:rPr>
                  <w:rFonts w:ascii="Cambria Math"/>
                  <w:sz w:val="24"/>
                  <w:szCs w:val="24"/>
                </w:rPr>
                <m:t>×100%</m:t>
              </m:r>
            </m:oMath>
            <w:r>
              <w:rPr>
                <w:sz w:val="24"/>
                <w:szCs w:val="24"/>
              </w:rPr>
              <w:t>或</w:t>
            </w:r>
            <m:oMath>
              <m:sSub>
                <m:sSubPr>
                  <m:ctrlPr>
                    <w:rPr>
                      <w:rFonts w:ascii="Cambria Math" w:hAnsi="Cambria Math"/>
                      <w:i/>
                      <w:sz w:val="24"/>
                      <w:szCs w:val="24"/>
                    </w:rPr>
                  </m:ctrlPr>
                </m:sSubPr>
                <m:e>
                  <m:r>
                    <m:rPr/>
                    <w:rPr>
                      <w:rFonts w:ascii="Cambria Math"/>
                      <w:sz w:val="24"/>
                      <w:szCs w:val="24"/>
                    </w:rPr>
                    <m:t>E</m:t>
                  </m:r>
                  <m:ctrlPr>
                    <w:rPr>
                      <w:rFonts w:ascii="Cambria Math" w:hAnsi="Cambria Math"/>
                      <w:i/>
                      <w:sz w:val="24"/>
                      <w:szCs w:val="24"/>
                    </w:rPr>
                  </m:ctrlPr>
                </m:e>
                <m:sub>
                  <m:r>
                    <m:rPr/>
                    <w:rPr>
                      <w:rFonts w:ascii="Cambria Math"/>
                      <w:sz w:val="24"/>
                      <w:szCs w:val="24"/>
                    </w:rPr>
                    <m:t>ij</m:t>
                  </m:r>
                  <m:ctrlPr>
                    <w:rPr>
                      <w:rFonts w:ascii="Cambria Math" w:hAnsi="Cambria Math"/>
                      <w:i/>
                      <w:sz w:val="24"/>
                      <w:szCs w:val="24"/>
                    </w:rPr>
                  </m:ctrlPr>
                </m:sub>
              </m:sSub>
              <m:r>
                <m:rPr/>
                <w:rPr>
                  <w:rFonts w:asci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m:rPr/>
                        <w:rPr>
                          <w:rFonts w:ascii="Cambria Math"/>
                          <w:sz w:val="24"/>
                          <w:szCs w:val="24"/>
                        </w:rPr>
                        <m:t>q</m:t>
                      </m:r>
                      <m:ctrlPr>
                        <w:rPr>
                          <w:rFonts w:ascii="Cambria Math" w:hAnsi="Cambria Math"/>
                          <w:i/>
                          <w:sz w:val="24"/>
                          <w:szCs w:val="24"/>
                        </w:rPr>
                      </m:ctrlPr>
                    </m:e>
                    <m:sub>
                      <m:r>
                        <m:rPr/>
                        <w:rPr>
                          <w:rFonts w:ascii="Cambria Math"/>
                          <w:sz w:val="24"/>
                          <w:szCs w:val="24"/>
                        </w:rPr>
                        <m:t>ij</m:t>
                      </m:r>
                      <m:ctrlPr>
                        <w:rPr>
                          <w:rFonts w:ascii="Cambria Math" w:hAnsi="Cambria Math"/>
                          <w:i/>
                          <w:sz w:val="24"/>
                          <w:szCs w:val="24"/>
                        </w:rPr>
                      </m:ctrlPr>
                    </m:sub>
                  </m:sSub>
                  <m:r>
                    <m:rPr/>
                    <w:rPr>
                      <w:rFonts w:ascii="Cambria Math"/>
                      <w:sz w:val="24"/>
                      <w:szCs w:val="24"/>
                    </w:rPr>
                    <m:t>−(</m:t>
                  </m:r>
                  <m:sSub>
                    <m:sSubPr>
                      <m:ctrlPr>
                        <w:rPr>
                          <w:rFonts w:ascii="Cambria Math" w:hAnsi="Cambria Math"/>
                          <w:i/>
                          <w:sz w:val="24"/>
                          <w:szCs w:val="24"/>
                        </w:rPr>
                      </m:ctrlPr>
                    </m:sSubPr>
                    <m:e>
                      <m:r>
                        <m:rPr/>
                        <w:rPr>
                          <w:rFonts w:ascii="Cambria Math"/>
                          <w:sz w:val="24"/>
                          <w:szCs w:val="24"/>
                        </w:rPr>
                        <m:t>q</m:t>
                      </m:r>
                      <m:ctrlPr>
                        <w:rPr>
                          <w:rFonts w:ascii="Cambria Math" w:hAnsi="Cambria Math"/>
                          <w:i/>
                          <w:sz w:val="24"/>
                          <w:szCs w:val="24"/>
                        </w:rPr>
                      </m:ctrlPr>
                    </m:e>
                    <m:sub>
                      <m:r>
                        <m:rPr/>
                        <w:rPr>
                          <w:rFonts w:ascii="Cambria Math"/>
                          <w:sz w:val="24"/>
                          <w:szCs w:val="24"/>
                        </w:rPr>
                        <m:t>s</m:t>
                      </m:r>
                      <m:ctrlPr>
                        <w:rPr>
                          <w:rFonts w:ascii="Cambria Math" w:hAnsi="Cambria Math"/>
                          <w:i/>
                          <w:sz w:val="24"/>
                          <w:szCs w:val="24"/>
                        </w:rPr>
                      </m:ctrlPr>
                    </m:sub>
                  </m:sSub>
                  <m:sSub>
                    <m:sSubPr>
                      <m:ctrlPr>
                        <w:rPr>
                          <w:rFonts w:ascii="Cambria Math" w:hAnsi="Cambria Math"/>
                          <w:i/>
                          <w:sz w:val="24"/>
                          <w:szCs w:val="24"/>
                        </w:rPr>
                      </m:ctrlPr>
                    </m:sSubPr>
                    <m:e>
                      <m:r>
                        <m:rPr/>
                        <w:rPr>
                          <w:rFonts w:ascii="Cambria Math"/>
                          <w:sz w:val="24"/>
                          <w:szCs w:val="24"/>
                        </w:rPr>
                        <m:t>)</m:t>
                      </m:r>
                      <m:ctrlPr>
                        <w:rPr>
                          <w:rFonts w:ascii="Cambria Math" w:hAnsi="Cambria Math"/>
                          <w:i/>
                          <w:sz w:val="24"/>
                          <w:szCs w:val="24"/>
                        </w:rPr>
                      </m:ctrlPr>
                    </m:e>
                    <m:sub>
                      <m:r>
                        <m:rPr/>
                        <w:rPr>
                          <w:rFonts w:ascii="Cambria Math"/>
                          <w:sz w:val="24"/>
                          <w:szCs w:val="24"/>
                        </w:rPr>
                        <m:t>ij</m:t>
                      </m:r>
                      <m:ctrlPr>
                        <w:rPr>
                          <w:rFonts w:ascii="Cambria Math" w:hAnsi="Cambria Math"/>
                          <w:i/>
                          <w:sz w:val="24"/>
                          <w:szCs w:val="24"/>
                        </w:rPr>
                      </m:ctrlPr>
                    </m:sub>
                  </m:sSub>
                  <m:ctrlPr>
                    <w:rPr>
                      <w:rFonts w:ascii="Cambria Math" w:hAnsi="Cambria Math"/>
                      <w:i/>
                      <w:sz w:val="24"/>
                      <w:szCs w:val="24"/>
                    </w:rPr>
                  </m:ctrlPr>
                </m:num>
                <m:den>
                  <m:r>
                    <m:rPr/>
                    <w:rPr>
                      <w:rFonts w:ascii="Cambria Math"/>
                      <w:sz w:val="24"/>
                      <w:szCs w:val="24"/>
                    </w:rPr>
                    <m:t>(</m:t>
                  </m:r>
                  <m:sSub>
                    <m:sSubPr>
                      <m:ctrlPr>
                        <w:rPr>
                          <w:rFonts w:ascii="Cambria Math" w:hAnsi="Cambria Math"/>
                          <w:i/>
                          <w:sz w:val="24"/>
                          <w:szCs w:val="24"/>
                        </w:rPr>
                      </m:ctrlPr>
                    </m:sSubPr>
                    <m:e>
                      <m:r>
                        <m:rPr/>
                        <w:rPr>
                          <w:rFonts w:ascii="Cambria Math"/>
                          <w:sz w:val="24"/>
                          <w:szCs w:val="24"/>
                        </w:rPr>
                        <m:t>q</m:t>
                      </m:r>
                      <m:ctrlPr>
                        <w:rPr>
                          <w:rFonts w:ascii="Cambria Math" w:hAnsi="Cambria Math"/>
                          <w:i/>
                          <w:sz w:val="24"/>
                          <w:szCs w:val="24"/>
                        </w:rPr>
                      </m:ctrlPr>
                    </m:e>
                    <m:sub>
                      <m:r>
                        <m:rPr/>
                        <w:rPr>
                          <w:rFonts w:ascii="Cambria Math"/>
                          <w:sz w:val="24"/>
                          <w:szCs w:val="24"/>
                        </w:rPr>
                        <m:t>s</m:t>
                      </m:r>
                      <m:ctrlPr>
                        <w:rPr>
                          <w:rFonts w:ascii="Cambria Math" w:hAnsi="Cambria Math"/>
                          <w:i/>
                          <w:sz w:val="24"/>
                          <w:szCs w:val="24"/>
                        </w:rPr>
                      </m:ctrlPr>
                    </m:sub>
                  </m:sSub>
                  <m:sSub>
                    <m:sSubPr>
                      <m:ctrlPr>
                        <w:rPr>
                          <w:rFonts w:ascii="Cambria Math" w:hAnsi="Cambria Math"/>
                          <w:i/>
                          <w:sz w:val="24"/>
                          <w:szCs w:val="24"/>
                        </w:rPr>
                      </m:ctrlPr>
                    </m:sSubPr>
                    <m:e>
                      <m:r>
                        <m:rPr/>
                        <w:rPr>
                          <w:rFonts w:ascii="Cambria Math"/>
                          <w:sz w:val="24"/>
                          <w:szCs w:val="24"/>
                        </w:rPr>
                        <m:t>)</m:t>
                      </m:r>
                      <m:ctrlPr>
                        <w:rPr>
                          <w:rFonts w:ascii="Cambria Math" w:hAnsi="Cambria Math"/>
                          <w:i/>
                          <w:sz w:val="24"/>
                          <w:szCs w:val="24"/>
                        </w:rPr>
                      </m:ctrlPr>
                    </m:e>
                    <m:sub>
                      <m:r>
                        <m:rPr/>
                        <w:rPr>
                          <w:rFonts w:ascii="Cambria Math"/>
                          <w:sz w:val="24"/>
                          <w:szCs w:val="24"/>
                        </w:rPr>
                        <m:t>ij</m:t>
                      </m:r>
                      <m:ctrlPr>
                        <w:rPr>
                          <w:rFonts w:ascii="Cambria Math" w:hAnsi="Cambria Math"/>
                          <w:i/>
                          <w:sz w:val="24"/>
                          <w:szCs w:val="24"/>
                        </w:rPr>
                      </m:ctrlPr>
                    </m:sub>
                  </m:sSub>
                  <m:ctrlPr>
                    <w:rPr>
                      <w:rFonts w:ascii="Cambria Math" w:hAnsi="Cambria Math"/>
                      <w:i/>
                      <w:sz w:val="24"/>
                      <w:szCs w:val="24"/>
                    </w:rPr>
                  </m:ctrlPr>
                </m:den>
              </m:f>
              <m:r>
                <m:rPr/>
                <w:rPr>
                  <w:rFonts w:ascii="Cambria Math"/>
                  <w:sz w:val="24"/>
                  <w:szCs w:val="24"/>
                </w:rPr>
                <m:t>×100%</m:t>
              </m:r>
            </m:oMath>
          </w:p>
        </w:tc>
        <w:tc>
          <w:tcPr>
            <w:tcW w:w="1210" w:type="dxa"/>
            <w:vAlign w:val="center"/>
          </w:tcPr>
          <w:p w14:paraId="6C8AAE2F">
            <w:pPr>
              <w:tabs>
                <w:tab w:val="left" w:pos="360"/>
              </w:tabs>
              <w:spacing w:before="160" w:line="360" w:lineRule="auto"/>
              <w:jc w:val="center"/>
              <w:rPr>
                <w:sz w:val="24"/>
                <w:szCs w:val="24"/>
              </w:rPr>
            </w:pPr>
            <w:r>
              <w:rPr>
                <w:rFonts w:hint="eastAsia"/>
                <w:sz w:val="24"/>
                <w:szCs w:val="24"/>
              </w:rPr>
              <w:t xml:space="preserve">     </w:t>
            </w:r>
            <w:r>
              <w:rPr>
                <w:sz w:val="24"/>
                <w:szCs w:val="24"/>
              </w:rPr>
              <w:t>（1）</w:t>
            </w:r>
          </w:p>
        </w:tc>
      </w:tr>
    </w:tbl>
    <w:p w14:paraId="556BD45E">
      <w:pPr>
        <w:spacing w:before="160" w:line="360" w:lineRule="auto"/>
        <w:rPr>
          <w:i/>
          <w:sz w:val="24"/>
          <w:szCs w:val="24"/>
        </w:rPr>
      </w:pPr>
      <w:r>
        <w:rPr>
          <w:sz w:val="24"/>
          <w:szCs w:val="24"/>
        </w:rPr>
        <w:t>式中：</w:t>
      </w:r>
      <w:r>
        <w:rPr>
          <w:rFonts w:hint="eastAsia"/>
          <w:i/>
          <w:sz w:val="24"/>
          <w:szCs w:val="24"/>
        </w:rPr>
        <w:t>E</w:t>
      </w:r>
      <w:r>
        <w:rPr>
          <w:rFonts w:hint="eastAsia"/>
          <w:i/>
          <w:iCs/>
          <w:sz w:val="24"/>
          <w:szCs w:val="24"/>
          <w:vertAlign w:val="subscript"/>
        </w:rPr>
        <w:t>ij</w:t>
      </w:r>
      <w:r>
        <w:rPr>
          <w:rFonts w:hint="eastAsia"/>
          <w:sz w:val="24"/>
          <w:szCs w:val="24"/>
        </w:rPr>
        <w:t>—</w:t>
      </w:r>
      <w:r>
        <w:rPr>
          <w:sz w:val="24"/>
          <w:szCs w:val="24"/>
        </w:rPr>
        <w:t>第</w:t>
      </w:r>
      <w:r>
        <w:rPr>
          <w:i/>
          <w:sz w:val="24"/>
          <w:szCs w:val="24"/>
        </w:rPr>
        <w:t>i</w:t>
      </w:r>
      <w:r>
        <w:rPr>
          <w:sz w:val="24"/>
          <w:szCs w:val="24"/>
        </w:rPr>
        <w:t>流量点第</w:t>
      </w:r>
      <w:r>
        <w:rPr>
          <w:i/>
          <w:iCs/>
          <w:sz w:val="24"/>
          <w:szCs w:val="24"/>
        </w:rPr>
        <w:t>j</w:t>
      </w:r>
      <w:r>
        <w:rPr>
          <w:sz w:val="24"/>
          <w:szCs w:val="24"/>
        </w:rPr>
        <w:t>次检定</w:t>
      </w:r>
      <w:r>
        <w:rPr>
          <w:rFonts w:hint="eastAsia"/>
          <w:sz w:val="24"/>
          <w:szCs w:val="24"/>
        </w:rPr>
        <w:t>时被检</w:t>
      </w:r>
      <w:r>
        <w:rPr>
          <w:sz w:val="24"/>
          <w:szCs w:val="24"/>
        </w:rPr>
        <w:t>流量计的相对示值误差</w:t>
      </w:r>
      <w:r>
        <w:rPr>
          <w:rFonts w:hint="eastAsia"/>
          <w:sz w:val="24"/>
          <w:szCs w:val="24"/>
        </w:rPr>
        <w:t>，%</w:t>
      </w:r>
      <w:r>
        <w:rPr>
          <w:sz w:val="24"/>
          <w:szCs w:val="24"/>
        </w:rPr>
        <w:t>；</w:t>
      </w:r>
    </w:p>
    <w:tbl>
      <w:tblPr>
        <w:tblStyle w:val="38"/>
        <w:tblW w:w="8357" w:type="dxa"/>
        <w:tblInd w:w="108" w:type="dxa"/>
        <w:tblLayout w:type="fixed"/>
        <w:tblCellMar>
          <w:top w:w="0" w:type="dxa"/>
          <w:left w:w="108" w:type="dxa"/>
          <w:bottom w:w="0" w:type="dxa"/>
          <w:right w:w="108" w:type="dxa"/>
        </w:tblCellMar>
      </w:tblPr>
      <w:tblGrid>
        <w:gridCol w:w="8357"/>
      </w:tblGrid>
      <w:tr w14:paraId="4EDF08D8">
        <w:tblPrEx>
          <w:tblCellMar>
            <w:top w:w="0" w:type="dxa"/>
            <w:left w:w="108" w:type="dxa"/>
            <w:bottom w:w="0" w:type="dxa"/>
            <w:right w:w="108" w:type="dxa"/>
          </w:tblCellMar>
        </w:tblPrEx>
        <w:trPr>
          <w:trHeight w:val="533" w:hRule="exact"/>
        </w:trPr>
        <w:tc>
          <w:tcPr>
            <w:tcW w:w="8357" w:type="dxa"/>
          </w:tcPr>
          <w:p w14:paraId="24BF02E6">
            <w:pPr>
              <w:spacing w:before="160" w:line="360" w:lineRule="auto"/>
              <w:ind w:firstLine="600" w:firstLineChars="250"/>
              <w:rPr>
                <w:sz w:val="24"/>
                <w:szCs w:val="24"/>
              </w:rPr>
            </w:pPr>
            <w:r>
              <w:rPr>
                <w:rFonts w:hint="eastAsia"/>
                <w:i/>
                <w:sz w:val="24"/>
                <w:szCs w:val="24"/>
              </w:rPr>
              <w:t>Q</w:t>
            </w:r>
            <w:r>
              <w:rPr>
                <w:rFonts w:hint="eastAsia"/>
                <w:i/>
                <w:iCs/>
                <w:sz w:val="24"/>
                <w:szCs w:val="24"/>
                <w:vertAlign w:val="subscript"/>
              </w:rPr>
              <w:t>ij</w:t>
            </w:r>
            <w:r>
              <w:rPr>
                <w:sz w:val="24"/>
                <w:szCs w:val="24"/>
              </w:rPr>
              <w:t>—第</w:t>
            </w:r>
            <w:r>
              <w:rPr>
                <w:i/>
                <w:sz w:val="24"/>
                <w:szCs w:val="24"/>
              </w:rPr>
              <w:t>i</w:t>
            </w:r>
            <w:r>
              <w:rPr>
                <w:sz w:val="24"/>
                <w:szCs w:val="24"/>
              </w:rPr>
              <w:t>流量点第</w:t>
            </w:r>
            <w:r>
              <w:rPr>
                <w:i/>
                <w:sz w:val="24"/>
                <w:szCs w:val="24"/>
              </w:rPr>
              <w:t>j</w:t>
            </w:r>
            <w:r>
              <w:rPr>
                <w:sz w:val="24"/>
                <w:szCs w:val="24"/>
              </w:rPr>
              <w:t>次检定</w:t>
            </w:r>
            <w:r>
              <w:rPr>
                <w:rFonts w:hint="eastAsia"/>
                <w:sz w:val="24"/>
                <w:szCs w:val="24"/>
              </w:rPr>
              <w:t>时被检</w:t>
            </w:r>
            <w:r>
              <w:rPr>
                <w:sz w:val="24"/>
                <w:szCs w:val="24"/>
              </w:rPr>
              <w:t>流量计累积</w:t>
            </w:r>
            <w:r>
              <w:rPr>
                <w:rFonts w:hint="eastAsia"/>
                <w:sz w:val="24"/>
                <w:szCs w:val="24"/>
              </w:rPr>
              <w:t>体积</w:t>
            </w:r>
            <w:r>
              <w:rPr>
                <w:sz w:val="24"/>
                <w:szCs w:val="24"/>
              </w:rPr>
              <w:t>流量</w:t>
            </w:r>
            <w:r>
              <w:rPr>
                <w:rFonts w:hint="eastAsia"/>
                <w:sz w:val="24"/>
                <w:szCs w:val="24"/>
              </w:rPr>
              <w:t>，</w:t>
            </w:r>
            <w:r>
              <w:rPr>
                <w:sz w:val="24"/>
                <w:szCs w:val="24"/>
              </w:rPr>
              <w:t>m</w:t>
            </w:r>
            <w:r>
              <w:rPr>
                <w:sz w:val="24"/>
                <w:szCs w:val="24"/>
                <w:vertAlign w:val="superscript"/>
              </w:rPr>
              <w:t>3</w:t>
            </w:r>
            <w:r>
              <w:rPr>
                <w:sz w:val="24"/>
                <w:szCs w:val="24"/>
              </w:rPr>
              <w:t>或</w:t>
            </w:r>
            <w:r>
              <w:rPr>
                <w:rFonts w:hint="eastAsia"/>
                <w:sz w:val="24"/>
                <w:szCs w:val="24"/>
              </w:rPr>
              <w:t>L或</w:t>
            </w:r>
            <w:r>
              <w:rPr>
                <w:sz w:val="24"/>
                <w:szCs w:val="24"/>
              </w:rPr>
              <w:t>mL；</w:t>
            </w:r>
          </w:p>
        </w:tc>
      </w:tr>
      <w:tr w14:paraId="425EFFE4">
        <w:tblPrEx>
          <w:tblCellMar>
            <w:top w:w="0" w:type="dxa"/>
            <w:left w:w="108" w:type="dxa"/>
            <w:bottom w:w="0" w:type="dxa"/>
            <w:right w:w="108" w:type="dxa"/>
          </w:tblCellMar>
        </w:tblPrEx>
        <w:trPr>
          <w:trHeight w:val="605" w:hRule="exact"/>
        </w:trPr>
        <w:tc>
          <w:tcPr>
            <w:tcW w:w="8357" w:type="dxa"/>
          </w:tcPr>
          <w:p w14:paraId="5D6337C2">
            <w:pPr>
              <w:spacing w:before="160" w:line="360" w:lineRule="auto"/>
              <w:ind w:firstLine="600" w:firstLineChars="250"/>
              <w:rPr>
                <w:sz w:val="24"/>
                <w:szCs w:val="24"/>
              </w:rPr>
            </w:pPr>
            <w:r>
              <w:rPr>
                <w:rFonts w:hint="eastAsia"/>
                <w:iCs/>
                <w:sz w:val="24"/>
                <w:szCs w:val="24"/>
              </w:rPr>
              <w:t>(</w:t>
            </w:r>
            <w:r>
              <w:rPr>
                <w:rFonts w:hint="eastAsia"/>
                <w:i/>
                <w:sz w:val="24"/>
                <w:szCs w:val="24"/>
              </w:rPr>
              <w:t>Q</w:t>
            </w:r>
            <w:r>
              <w:rPr>
                <w:rFonts w:hint="eastAsia"/>
                <w:iCs/>
                <w:sz w:val="24"/>
                <w:szCs w:val="24"/>
                <w:vertAlign w:val="subscript"/>
              </w:rPr>
              <w:t>s</w:t>
            </w:r>
            <w:r>
              <w:rPr>
                <w:rFonts w:hint="eastAsia"/>
                <w:iCs/>
                <w:sz w:val="24"/>
                <w:szCs w:val="24"/>
              </w:rPr>
              <w:t>)</w:t>
            </w:r>
            <w:r>
              <w:rPr>
                <w:rFonts w:hint="eastAsia"/>
                <w:i/>
                <w:iCs/>
                <w:sz w:val="24"/>
                <w:szCs w:val="24"/>
                <w:vertAlign w:val="subscript"/>
              </w:rPr>
              <w:t>ij</w:t>
            </w:r>
            <w:r>
              <w:rPr>
                <w:sz w:val="24"/>
                <w:szCs w:val="24"/>
              </w:rPr>
              <w:t>—第</w:t>
            </w:r>
            <w:r>
              <w:rPr>
                <w:i/>
                <w:sz w:val="24"/>
                <w:szCs w:val="24"/>
              </w:rPr>
              <w:t>i</w:t>
            </w:r>
            <w:r>
              <w:rPr>
                <w:sz w:val="24"/>
                <w:szCs w:val="24"/>
              </w:rPr>
              <w:t>流量点第</w:t>
            </w:r>
            <w:r>
              <w:rPr>
                <w:i/>
                <w:sz w:val="24"/>
                <w:szCs w:val="24"/>
              </w:rPr>
              <w:t>j</w:t>
            </w:r>
            <w:r>
              <w:rPr>
                <w:sz w:val="24"/>
                <w:szCs w:val="24"/>
              </w:rPr>
              <w:t>次检定</w:t>
            </w:r>
            <w:r>
              <w:rPr>
                <w:rFonts w:hint="eastAsia"/>
                <w:sz w:val="24"/>
                <w:szCs w:val="24"/>
              </w:rPr>
              <w:t>时</w:t>
            </w:r>
            <w:r>
              <w:rPr>
                <w:sz w:val="24"/>
                <w:szCs w:val="24"/>
              </w:rPr>
              <w:t>标准装置累积</w:t>
            </w:r>
            <w:r>
              <w:rPr>
                <w:rFonts w:hint="eastAsia"/>
                <w:sz w:val="24"/>
                <w:szCs w:val="24"/>
              </w:rPr>
              <w:t>体积</w:t>
            </w:r>
            <w:r>
              <w:rPr>
                <w:sz w:val="24"/>
                <w:szCs w:val="24"/>
              </w:rPr>
              <w:t>流量</w:t>
            </w:r>
            <w:r>
              <w:rPr>
                <w:rFonts w:hint="eastAsia"/>
                <w:sz w:val="24"/>
                <w:szCs w:val="24"/>
              </w:rPr>
              <w:t>，</w:t>
            </w:r>
            <w:r>
              <w:rPr>
                <w:sz w:val="24"/>
                <w:szCs w:val="24"/>
              </w:rPr>
              <w:t>m</w:t>
            </w:r>
            <w:r>
              <w:rPr>
                <w:sz w:val="24"/>
                <w:szCs w:val="24"/>
                <w:vertAlign w:val="superscript"/>
              </w:rPr>
              <w:t>3</w:t>
            </w:r>
            <w:r>
              <w:rPr>
                <w:sz w:val="24"/>
                <w:szCs w:val="24"/>
              </w:rPr>
              <w:t>或</w:t>
            </w:r>
            <w:r>
              <w:rPr>
                <w:rFonts w:hint="eastAsia"/>
                <w:sz w:val="24"/>
                <w:szCs w:val="24"/>
              </w:rPr>
              <w:t>L或</w:t>
            </w:r>
            <w:r>
              <w:rPr>
                <w:sz w:val="24"/>
                <w:szCs w:val="24"/>
              </w:rPr>
              <w:t>mL；</w:t>
            </w:r>
          </w:p>
        </w:tc>
      </w:tr>
      <w:tr w14:paraId="77C5A49B">
        <w:tblPrEx>
          <w:tblCellMar>
            <w:top w:w="0" w:type="dxa"/>
            <w:left w:w="108" w:type="dxa"/>
            <w:bottom w:w="0" w:type="dxa"/>
            <w:right w:w="108" w:type="dxa"/>
          </w:tblCellMar>
        </w:tblPrEx>
        <w:trPr>
          <w:trHeight w:val="556" w:hRule="atLeast"/>
        </w:trPr>
        <w:tc>
          <w:tcPr>
            <w:tcW w:w="8357" w:type="dxa"/>
          </w:tcPr>
          <w:p w14:paraId="518BB5AE">
            <w:pPr>
              <w:spacing w:before="160" w:line="360" w:lineRule="auto"/>
              <w:ind w:firstLine="600" w:firstLineChars="250"/>
              <w:rPr>
                <w:sz w:val="24"/>
                <w:szCs w:val="24"/>
              </w:rPr>
            </w:pPr>
            <w:r>
              <w:rPr>
                <w:rFonts w:hint="eastAsia"/>
                <w:i/>
                <w:sz w:val="24"/>
                <w:szCs w:val="24"/>
              </w:rPr>
              <w:t>q</w:t>
            </w:r>
            <w:r>
              <w:rPr>
                <w:rFonts w:hint="eastAsia"/>
                <w:i/>
                <w:iCs/>
                <w:sz w:val="24"/>
                <w:szCs w:val="24"/>
                <w:vertAlign w:val="subscript"/>
              </w:rPr>
              <w:t>ij</w:t>
            </w:r>
            <w:r>
              <w:rPr>
                <w:sz w:val="24"/>
                <w:szCs w:val="24"/>
              </w:rPr>
              <w:t>—第</w:t>
            </w:r>
            <w:r>
              <w:rPr>
                <w:i/>
                <w:sz w:val="24"/>
                <w:szCs w:val="24"/>
              </w:rPr>
              <w:t>i</w:t>
            </w:r>
            <w:r>
              <w:rPr>
                <w:sz w:val="24"/>
                <w:szCs w:val="24"/>
              </w:rPr>
              <w:t>流量点第</w:t>
            </w:r>
            <w:r>
              <w:rPr>
                <w:i/>
                <w:sz w:val="24"/>
                <w:szCs w:val="24"/>
              </w:rPr>
              <w:t>j</w:t>
            </w:r>
            <w:r>
              <w:rPr>
                <w:sz w:val="24"/>
                <w:szCs w:val="24"/>
              </w:rPr>
              <w:t>次检定</w:t>
            </w:r>
            <w:r>
              <w:rPr>
                <w:rFonts w:hint="eastAsia"/>
                <w:sz w:val="24"/>
                <w:szCs w:val="24"/>
              </w:rPr>
              <w:t>时被检</w:t>
            </w:r>
            <w:r>
              <w:rPr>
                <w:sz w:val="24"/>
                <w:szCs w:val="24"/>
              </w:rPr>
              <w:t>流量计瞬时</w:t>
            </w:r>
            <w:r>
              <w:rPr>
                <w:rFonts w:hint="eastAsia"/>
                <w:sz w:val="24"/>
                <w:szCs w:val="24"/>
              </w:rPr>
              <w:t>体积</w:t>
            </w:r>
            <w:r>
              <w:rPr>
                <w:sz w:val="24"/>
                <w:szCs w:val="24"/>
              </w:rPr>
              <w:t>流量</w:t>
            </w:r>
            <w:r>
              <w:rPr>
                <w:rFonts w:hint="eastAsia"/>
                <w:sz w:val="24"/>
                <w:szCs w:val="24"/>
              </w:rPr>
              <w:t>，</w:t>
            </w:r>
            <w:r>
              <w:rPr>
                <w:sz w:val="24"/>
                <w:szCs w:val="24"/>
              </w:rPr>
              <w:t>m³/h或L/min或mL/</w:t>
            </w:r>
            <w:r>
              <w:rPr>
                <w:rFonts w:hint="eastAsia"/>
                <w:sz w:val="24"/>
                <w:szCs w:val="24"/>
              </w:rPr>
              <w:t>min</w:t>
            </w:r>
            <w:r>
              <w:rPr>
                <w:sz w:val="24"/>
                <w:szCs w:val="24"/>
              </w:rPr>
              <w:t>；</w:t>
            </w:r>
          </w:p>
        </w:tc>
      </w:tr>
      <w:tr w14:paraId="0E2B5062">
        <w:tblPrEx>
          <w:tblCellMar>
            <w:top w:w="0" w:type="dxa"/>
            <w:left w:w="108" w:type="dxa"/>
            <w:bottom w:w="0" w:type="dxa"/>
            <w:right w:w="108" w:type="dxa"/>
          </w:tblCellMar>
        </w:tblPrEx>
        <w:trPr>
          <w:trHeight w:val="1224" w:hRule="exact"/>
        </w:trPr>
        <w:tc>
          <w:tcPr>
            <w:tcW w:w="8357" w:type="dxa"/>
          </w:tcPr>
          <w:p w14:paraId="7448CAB0">
            <w:pPr>
              <w:spacing w:before="160" w:line="360" w:lineRule="auto"/>
              <w:ind w:firstLine="600" w:firstLineChars="250"/>
              <w:rPr>
                <w:sz w:val="24"/>
                <w:szCs w:val="24"/>
              </w:rPr>
            </w:pPr>
            <w:r>
              <w:rPr>
                <w:rFonts w:hint="eastAsia"/>
                <w:iCs/>
                <w:sz w:val="24"/>
                <w:szCs w:val="24"/>
              </w:rPr>
              <w:t>(</w:t>
            </w:r>
            <w:r>
              <w:rPr>
                <w:rFonts w:hint="eastAsia"/>
                <w:i/>
                <w:sz w:val="24"/>
                <w:szCs w:val="24"/>
              </w:rPr>
              <w:t>q</w:t>
            </w:r>
            <w:r>
              <w:rPr>
                <w:rFonts w:hint="eastAsia"/>
                <w:iCs/>
                <w:sz w:val="24"/>
                <w:szCs w:val="24"/>
                <w:vertAlign w:val="subscript"/>
              </w:rPr>
              <w:t>s</w:t>
            </w:r>
            <w:r>
              <w:rPr>
                <w:rFonts w:hint="eastAsia"/>
                <w:iCs/>
                <w:sz w:val="24"/>
                <w:szCs w:val="24"/>
              </w:rPr>
              <w:t>)</w:t>
            </w:r>
            <w:r>
              <w:rPr>
                <w:rFonts w:hint="eastAsia"/>
                <w:i/>
                <w:iCs/>
                <w:sz w:val="24"/>
                <w:szCs w:val="24"/>
                <w:vertAlign w:val="subscript"/>
              </w:rPr>
              <w:t>ij</w:t>
            </w:r>
            <w:r>
              <w:rPr>
                <w:sz w:val="24"/>
                <w:szCs w:val="24"/>
              </w:rPr>
              <w:t>—第</w:t>
            </w:r>
            <w:r>
              <w:rPr>
                <w:i/>
                <w:sz w:val="24"/>
                <w:szCs w:val="24"/>
              </w:rPr>
              <w:t>i</w:t>
            </w:r>
            <w:r>
              <w:rPr>
                <w:sz w:val="24"/>
                <w:szCs w:val="24"/>
              </w:rPr>
              <w:t>流量点第</w:t>
            </w:r>
            <w:r>
              <w:rPr>
                <w:i/>
                <w:sz w:val="24"/>
                <w:szCs w:val="24"/>
              </w:rPr>
              <w:t>j</w:t>
            </w:r>
            <w:r>
              <w:rPr>
                <w:sz w:val="24"/>
                <w:szCs w:val="24"/>
              </w:rPr>
              <w:t>次检定</w:t>
            </w:r>
            <w:r>
              <w:rPr>
                <w:rFonts w:hint="eastAsia"/>
                <w:sz w:val="24"/>
                <w:szCs w:val="24"/>
              </w:rPr>
              <w:t>时</w:t>
            </w:r>
            <w:r>
              <w:rPr>
                <w:sz w:val="24"/>
                <w:szCs w:val="24"/>
              </w:rPr>
              <w:t>标准装置瞬时</w:t>
            </w:r>
            <w:r>
              <w:rPr>
                <w:rFonts w:hint="eastAsia"/>
                <w:sz w:val="24"/>
                <w:szCs w:val="24"/>
              </w:rPr>
              <w:t>体积</w:t>
            </w:r>
            <w:r>
              <w:rPr>
                <w:sz w:val="24"/>
                <w:szCs w:val="24"/>
              </w:rPr>
              <w:t>流量</w:t>
            </w:r>
            <w:r>
              <w:rPr>
                <w:rFonts w:hint="eastAsia"/>
                <w:sz w:val="24"/>
                <w:szCs w:val="24"/>
              </w:rPr>
              <w:t>，</w:t>
            </w:r>
            <w:r>
              <w:rPr>
                <w:sz w:val="24"/>
                <w:szCs w:val="24"/>
              </w:rPr>
              <w:t>m³/h或L/min或mL/</w:t>
            </w:r>
            <w:r>
              <w:rPr>
                <w:rFonts w:hint="eastAsia"/>
                <w:sz w:val="24"/>
                <w:szCs w:val="24"/>
              </w:rPr>
              <w:t>min</w:t>
            </w:r>
            <w:r>
              <w:rPr>
                <w:sz w:val="24"/>
                <w:szCs w:val="24"/>
              </w:rPr>
              <w:t>。</w:t>
            </w:r>
          </w:p>
          <w:p w14:paraId="2794AFDC">
            <w:pPr>
              <w:spacing w:before="160" w:line="360" w:lineRule="auto"/>
              <w:ind w:firstLine="480" w:firstLineChars="200"/>
              <w:rPr>
                <w:sz w:val="24"/>
                <w:szCs w:val="24"/>
              </w:rPr>
            </w:pPr>
            <w:r>
              <w:rPr>
                <w:rFonts w:hint="eastAsia"/>
                <w:sz w:val="24"/>
                <w:szCs w:val="24"/>
              </w:rPr>
              <w:t>注</w:t>
            </w:r>
            <w:r>
              <w:rPr>
                <w:sz w:val="24"/>
                <w:szCs w:val="24"/>
              </w:rPr>
              <w:t>：当流量计显示</w:t>
            </w:r>
            <w:r>
              <w:rPr>
                <w:rFonts w:hint="eastAsia"/>
                <w:sz w:val="24"/>
                <w:szCs w:val="24"/>
              </w:rPr>
              <w:t>为</w:t>
            </w:r>
            <w:r>
              <w:rPr>
                <w:sz w:val="24"/>
                <w:szCs w:val="24"/>
              </w:rPr>
              <w:t xml:space="preserve">质量流量时，应结合气体介质密度进行换算。 </w:t>
            </w:r>
          </w:p>
        </w:tc>
      </w:tr>
    </w:tbl>
    <w:p w14:paraId="2EB781B1">
      <w:pPr>
        <w:spacing w:before="160" w:line="360" w:lineRule="auto"/>
        <w:ind w:firstLine="480" w:firstLineChars="200"/>
        <w:rPr>
          <w:sz w:val="24"/>
          <w:szCs w:val="24"/>
        </w:rPr>
      </w:pPr>
      <w:r>
        <w:rPr>
          <w:sz w:val="24"/>
          <w:szCs w:val="24"/>
        </w:rPr>
        <w:t>标准装置为皂膜气体流量标准装置时，</w:t>
      </w:r>
      <w:r>
        <w:rPr>
          <w:rFonts w:hint="eastAsia"/>
          <w:iCs/>
          <w:sz w:val="24"/>
          <w:szCs w:val="24"/>
        </w:rPr>
        <w:t>(</w:t>
      </w:r>
      <w:r>
        <w:rPr>
          <w:rFonts w:hint="eastAsia"/>
          <w:i/>
          <w:sz w:val="24"/>
          <w:szCs w:val="24"/>
        </w:rPr>
        <w:t>Q</w:t>
      </w:r>
      <w:r>
        <w:rPr>
          <w:rFonts w:hint="eastAsia"/>
          <w:iCs/>
          <w:sz w:val="24"/>
          <w:szCs w:val="24"/>
          <w:vertAlign w:val="subscript"/>
        </w:rPr>
        <w:t>s</w:t>
      </w:r>
      <w:r>
        <w:rPr>
          <w:rFonts w:hint="eastAsia"/>
          <w:iCs/>
          <w:sz w:val="24"/>
          <w:szCs w:val="24"/>
        </w:rPr>
        <w:t>)</w:t>
      </w:r>
      <w:r>
        <w:rPr>
          <w:rFonts w:hint="eastAsia"/>
          <w:iCs/>
          <w:sz w:val="24"/>
          <w:szCs w:val="24"/>
          <w:vertAlign w:val="subscript"/>
        </w:rPr>
        <w:t>ij</w:t>
      </w:r>
      <w:r>
        <w:rPr>
          <w:sz w:val="24"/>
          <w:szCs w:val="24"/>
        </w:rPr>
        <w:t>按式（2）计算</w:t>
      </w:r>
      <w:r>
        <w:rPr>
          <w:rFonts w:hint="eastAsia"/>
          <w:sz w:val="24"/>
          <w:szCs w:val="24"/>
        </w:rPr>
        <w:t>：</w:t>
      </w:r>
    </w:p>
    <w:tbl>
      <w:tblPr>
        <w:tblStyle w:val="38"/>
        <w:tblW w:w="8300" w:type="dxa"/>
        <w:jc w:val="center"/>
        <w:tblLayout w:type="fixed"/>
        <w:tblCellMar>
          <w:top w:w="0" w:type="dxa"/>
          <w:left w:w="108" w:type="dxa"/>
          <w:bottom w:w="0" w:type="dxa"/>
          <w:right w:w="108" w:type="dxa"/>
        </w:tblCellMar>
      </w:tblPr>
      <w:tblGrid>
        <w:gridCol w:w="7184"/>
        <w:gridCol w:w="1116"/>
      </w:tblGrid>
      <w:tr w14:paraId="5E473287">
        <w:tblPrEx>
          <w:tblCellMar>
            <w:top w:w="0" w:type="dxa"/>
            <w:left w:w="108" w:type="dxa"/>
            <w:bottom w:w="0" w:type="dxa"/>
            <w:right w:w="108" w:type="dxa"/>
          </w:tblCellMar>
        </w:tblPrEx>
        <w:trPr>
          <w:jc w:val="center"/>
        </w:trPr>
        <w:tc>
          <w:tcPr>
            <w:tcW w:w="7184" w:type="dxa"/>
            <w:vAlign w:val="center"/>
          </w:tcPr>
          <w:p w14:paraId="50F71EB8">
            <w:pPr>
              <w:tabs>
                <w:tab w:val="left" w:pos="360"/>
              </w:tabs>
              <w:spacing w:before="160" w:line="360" w:lineRule="auto"/>
              <w:ind w:firstLine="480" w:firstLineChars="200"/>
              <w:jc w:val="center"/>
              <w:rPr>
                <w:sz w:val="24"/>
                <w:szCs w:val="24"/>
              </w:rPr>
            </w:pPr>
            <m:oMathPara>
              <m:oMath>
                <m:r>
                  <m:rPr/>
                  <w:rPr>
                    <w:rFonts w:ascii="Cambria Math"/>
                    <w:sz w:val="24"/>
                    <w:szCs w:val="24"/>
                  </w:rPr>
                  <m:t>(</m:t>
                </m:r>
                <m:sSub>
                  <m:sSubPr>
                    <m:ctrlPr>
                      <w:rPr>
                        <w:rFonts w:ascii="Cambria Math" w:hAnsi="Cambria Math"/>
                        <w:i/>
                        <w:sz w:val="24"/>
                        <w:szCs w:val="24"/>
                      </w:rPr>
                    </m:ctrlPr>
                  </m:sSubPr>
                  <m:e>
                    <m:r>
                      <m:rPr/>
                      <w:rPr>
                        <w:rFonts w:ascii="Cambria Math"/>
                        <w:sz w:val="24"/>
                        <w:szCs w:val="24"/>
                      </w:rPr>
                      <m:t>Q</m:t>
                    </m:r>
                    <m:ctrlPr>
                      <w:rPr>
                        <w:rFonts w:ascii="Cambria Math" w:hAnsi="Cambria Math"/>
                        <w:i/>
                        <w:sz w:val="24"/>
                        <w:szCs w:val="24"/>
                      </w:rPr>
                    </m:ctrlPr>
                  </m:e>
                  <m:sub>
                    <m:r>
                      <m:rPr>
                        <m:nor/>
                        <m:sty m:val="p"/>
                      </m:rPr>
                      <w:rPr>
                        <w:rFonts w:ascii="Cambria Math"/>
                        <w:sz w:val="24"/>
                        <w:szCs w:val="24"/>
                      </w:rPr>
                      <m:t>s</m:t>
                    </m:r>
                    <m:ctrlPr>
                      <w:rPr>
                        <w:rFonts w:ascii="Cambria Math" w:hAnsi="Cambria Math"/>
                        <w:i/>
                        <w:sz w:val="24"/>
                        <w:szCs w:val="24"/>
                      </w:rPr>
                    </m:ctrlPr>
                  </m:sub>
                </m:sSub>
                <m:sSub>
                  <m:sSubPr>
                    <m:ctrlPr>
                      <w:rPr>
                        <w:rFonts w:ascii="Cambria Math" w:hAnsi="Cambria Math"/>
                        <w:i/>
                        <w:sz w:val="24"/>
                        <w:szCs w:val="24"/>
                      </w:rPr>
                    </m:ctrlPr>
                  </m:sSubPr>
                  <m:e>
                    <m:r>
                      <m:rPr/>
                      <w:rPr>
                        <w:rFonts w:ascii="Cambria Math"/>
                        <w:sz w:val="24"/>
                        <w:szCs w:val="24"/>
                      </w:rPr>
                      <m:t>)</m:t>
                    </m:r>
                    <m:ctrlPr>
                      <w:rPr>
                        <w:rFonts w:ascii="Cambria Math" w:hAnsi="Cambria Math"/>
                        <w:i/>
                        <w:sz w:val="24"/>
                        <w:szCs w:val="24"/>
                      </w:rPr>
                    </m:ctrlPr>
                  </m:e>
                  <m:sub>
                    <m:r>
                      <m:rPr>
                        <m:nor/>
                      </m:rPr>
                      <w:rPr>
                        <w:i/>
                        <w:sz w:val="24"/>
                        <w:szCs w:val="24"/>
                      </w:rPr>
                      <m:t>ij</m:t>
                    </m:r>
                    <m:ctrlPr>
                      <w:rPr>
                        <w:rFonts w:ascii="Cambria Math" w:hAnsi="Cambria Math"/>
                        <w:i/>
                        <w:sz w:val="24"/>
                        <w:szCs w:val="24"/>
                      </w:rPr>
                    </m:ctrlPr>
                  </m:sub>
                </m:sSub>
                <m:r>
                  <m:rPr/>
                  <w:rPr>
                    <w:rFonts w:ascii="Cambria Math"/>
                    <w:sz w:val="24"/>
                    <w:szCs w:val="24"/>
                  </w:rPr>
                  <m:t>=V</m:t>
                </m:r>
                <m:r>
                  <m:rP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m:rPr/>
                          <w:rPr>
                            <w:rFonts w:ascii="Cambria Math"/>
                            <w:sz w:val="24"/>
                            <w:szCs w:val="24"/>
                          </w:rPr>
                          <m:t>T</m:t>
                        </m:r>
                        <m:ctrlPr>
                          <w:rPr>
                            <w:rFonts w:ascii="Cambria Math" w:hAnsi="Cambria Math"/>
                            <w:i/>
                            <w:sz w:val="24"/>
                            <w:szCs w:val="24"/>
                          </w:rPr>
                        </m:ctrlPr>
                      </m:e>
                      <m:sub>
                        <m:r>
                          <m:rPr>
                            <m:nor/>
                            <m:sty m:val="p"/>
                          </m:rPr>
                          <w:rPr>
                            <w:rFonts w:ascii="Cambria Math"/>
                            <w:sz w:val="24"/>
                            <w:szCs w:val="24"/>
                          </w:rPr>
                          <m:t>0</m:t>
                        </m:r>
                        <m:ctrlPr>
                          <w:rPr>
                            <w:rFonts w:ascii="Cambria Math" w:hAnsi="Cambria Math"/>
                            <w:i/>
                            <w:sz w:val="24"/>
                            <w:szCs w:val="24"/>
                          </w:rPr>
                        </m:ctrlPr>
                      </m:sub>
                    </m:sSub>
                    <m:ctrlPr>
                      <w:rPr>
                        <w:rFonts w:ascii="Cambria Math" w:hAnsi="Cambria Math"/>
                        <w:i/>
                        <w:sz w:val="24"/>
                        <w:szCs w:val="24"/>
                      </w:rPr>
                    </m:ctrlPr>
                  </m:num>
                  <m:den>
                    <m:sSub>
                      <m:sSubPr>
                        <m:ctrlPr>
                          <w:rPr>
                            <w:rFonts w:ascii="Cambria Math" w:hAnsi="Cambria Math"/>
                            <w:i/>
                            <w:sz w:val="24"/>
                            <w:szCs w:val="24"/>
                          </w:rPr>
                        </m:ctrlPr>
                      </m:sSubPr>
                      <m:e>
                        <m:r>
                          <m:rPr/>
                          <w:rPr>
                            <w:rFonts w:ascii="Cambria Math"/>
                            <w:sz w:val="24"/>
                            <w:szCs w:val="24"/>
                          </w:rPr>
                          <m:t>P</m:t>
                        </m:r>
                        <m:ctrlPr>
                          <w:rPr>
                            <w:rFonts w:ascii="Cambria Math" w:hAnsi="Cambria Math"/>
                            <w:i/>
                            <w:sz w:val="24"/>
                            <w:szCs w:val="24"/>
                          </w:rPr>
                        </m:ctrlPr>
                      </m:e>
                      <m:sub>
                        <m:r>
                          <m:rPr>
                            <m:nor/>
                            <m:sty m:val="p"/>
                          </m:rPr>
                          <w:rPr>
                            <w:rFonts w:hint="eastAsia" w:ascii="Cambria Math"/>
                            <w:sz w:val="24"/>
                            <w:szCs w:val="24"/>
                          </w:rPr>
                          <m:t>0</m:t>
                        </m:r>
                        <m:ctrlPr>
                          <w:rPr>
                            <w:rFonts w:ascii="Cambria Math" w:hAnsi="Cambria Math"/>
                            <w:i/>
                            <w:sz w:val="24"/>
                            <w:szCs w:val="24"/>
                          </w:rPr>
                        </m:ctrlPr>
                      </m:sub>
                    </m:sSub>
                    <m:ctrlPr>
                      <w:rPr>
                        <w:rFonts w:ascii="Cambria Math" w:hAnsi="Cambria Math"/>
                        <w:i/>
                        <w:sz w:val="24"/>
                        <w:szCs w:val="24"/>
                      </w:rPr>
                    </m:ctrlPr>
                  </m:den>
                </m:f>
                <m:r>
                  <m:rPr/>
                  <w:rPr>
                    <w:rFonts w:ascii="Cambria Math" w:hAnsi="Cambria Math"/>
                    <w:sz w:val="24"/>
                    <w:szCs w:val="24"/>
                  </w:rPr>
                  <m:t>∙</m:t>
                </m:r>
                <m:f>
                  <m:fPr>
                    <m:ctrlPr>
                      <w:rPr>
                        <w:rFonts w:ascii="Cambria Math" w:hAnsi="Cambria Math"/>
                        <w:i/>
                        <w:sz w:val="24"/>
                        <w:szCs w:val="24"/>
                      </w:rPr>
                    </m:ctrlPr>
                  </m:fPr>
                  <m:num>
                    <m:d>
                      <m:dPr>
                        <m:ctrlPr>
                          <w:rPr>
                            <w:rFonts w:ascii="Cambria Math" w:hAnsi="Cambria Math"/>
                            <w:i/>
                            <w:sz w:val="24"/>
                            <w:szCs w:val="24"/>
                          </w:rPr>
                        </m:ctrlPr>
                      </m:dPr>
                      <m:e>
                        <m:r>
                          <m:rPr/>
                          <w:rPr>
                            <w:rFonts w:ascii="Cambria Math"/>
                            <w:sz w:val="24"/>
                            <w:szCs w:val="24"/>
                          </w:rPr>
                          <m:t>P−</m:t>
                        </m:r>
                        <m:sSub>
                          <m:sSubPr>
                            <m:ctrlPr>
                              <w:rPr>
                                <w:rFonts w:ascii="Cambria Math" w:hAnsi="Cambria Math"/>
                                <w:i/>
                                <w:sz w:val="24"/>
                                <w:szCs w:val="24"/>
                              </w:rPr>
                            </m:ctrlPr>
                          </m:sSubPr>
                          <m:e>
                            <m:r>
                              <m:rPr/>
                              <w:rPr>
                                <w:rFonts w:ascii="Cambria Math" w:hAnsi="Cambria Math"/>
                                <w:sz w:val="24"/>
                                <w:szCs w:val="24"/>
                              </w:rPr>
                              <m:t>φP</m:t>
                            </m:r>
                            <m:ctrlPr>
                              <w:rPr>
                                <w:rFonts w:ascii="Cambria Math" w:hAnsi="Cambria Math"/>
                                <w:i/>
                                <w:sz w:val="24"/>
                                <w:szCs w:val="24"/>
                              </w:rPr>
                            </m:ctrlPr>
                          </m:e>
                          <m:sub>
                            <m:r>
                              <m:rPr/>
                              <w:rPr>
                                <w:rFonts w:hint="eastAsia" w:ascii="Cambria Math" w:hAnsi="Cambria Math"/>
                                <w:sz w:val="24"/>
                                <w:szCs w:val="24"/>
                              </w:rPr>
                              <m:t>d</m:t>
                            </m:r>
                            <m:ctrlPr>
                              <w:rPr>
                                <w:rFonts w:ascii="Cambria Math" w:hAnsi="Cambria Math"/>
                                <w:i/>
                                <w:sz w:val="24"/>
                                <w:szCs w:val="24"/>
                              </w:rPr>
                            </m:ctrlPr>
                          </m:sub>
                        </m:sSub>
                        <m:ctrlPr>
                          <w:rPr>
                            <w:rFonts w:ascii="Cambria Math" w:hAnsi="Cambria Math"/>
                            <w:i/>
                            <w:sz w:val="24"/>
                            <w:szCs w:val="24"/>
                          </w:rPr>
                        </m:ctrlPr>
                      </m:e>
                    </m:d>
                    <m:ctrlPr>
                      <w:rPr>
                        <w:rFonts w:ascii="Cambria Math" w:hAnsi="Cambria Math"/>
                        <w:i/>
                        <w:sz w:val="24"/>
                        <w:szCs w:val="24"/>
                      </w:rPr>
                    </m:ctrlPr>
                  </m:num>
                  <m:den>
                    <m:r>
                      <m:rPr/>
                      <w:rPr>
                        <w:rFonts w:ascii="Cambria Math" w:hAnsi="Cambria Math"/>
                        <w:sz w:val="24"/>
                        <w:szCs w:val="24"/>
                      </w:rPr>
                      <m:t>T</m:t>
                    </m:r>
                    <m:ctrlPr>
                      <w:rPr>
                        <w:rFonts w:ascii="Cambria Math" w:hAnsi="Cambria Math"/>
                        <w:i/>
                        <w:sz w:val="24"/>
                        <w:szCs w:val="24"/>
                      </w:rPr>
                    </m:ctrlPr>
                  </m:den>
                </m:f>
              </m:oMath>
            </m:oMathPara>
          </w:p>
        </w:tc>
        <w:tc>
          <w:tcPr>
            <w:tcW w:w="1116" w:type="dxa"/>
            <w:vAlign w:val="center"/>
          </w:tcPr>
          <w:p w14:paraId="33625442">
            <w:pPr>
              <w:tabs>
                <w:tab w:val="left" w:pos="360"/>
              </w:tabs>
              <w:spacing w:before="160" w:line="360" w:lineRule="auto"/>
              <w:jc w:val="center"/>
              <w:rPr>
                <w:sz w:val="24"/>
                <w:szCs w:val="24"/>
              </w:rPr>
            </w:pPr>
            <w:r>
              <w:rPr>
                <w:rFonts w:hint="eastAsia"/>
                <w:sz w:val="24"/>
                <w:szCs w:val="24"/>
              </w:rPr>
              <w:t xml:space="preserve">    </w:t>
            </w:r>
            <w:r>
              <w:rPr>
                <w:sz w:val="24"/>
                <w:szCs w:val="24"/>
              </w:rPr>
              <w:t>（</w:t>
            </w:r>
            <w:r>
              <w:rPr>
                <w:rFonts w:hint="eastAsia"/>
                <w:sz w:val="24"/>
                <w:szCs w:val="24"/>
              </w:rPr>
              <w:t>2</w:t>
            </w:r>
            <w:r>
              <w:rPr>
                <w:sz w:val="24"/>
                <w:szCs w:val="24"/>
              </w:rPr>
              <w:t>）</w:t>
            </w:r>
          </w:p>
        </w:tc>
      </w:tr>
    </w:tbl>
    <w:p w14:paraId="6C6A5AFA">
      <w:pPr>
        <w:spacing w:before="160" w:line="360" w:lineRule="auto"/>
        <w:rPr>
          <w:sz w:val="24"/>
          <w:szCs w:val="24"/>
        </w:rPr>
      </w:pPr>
      <w:r>
        <w:rPr>
          <w:sz w:val="24"/>
          <w:szCs w:val="24"/>
        </w:rPr>
        <w:t>式中：</w:t>
      </w:r>
      <w:r>
        <w:rPr>
          <w:i/>
          <w:sz w:val="24"/>
          <w:szCs w:val="24"/>
        </w:rPr>
        <w:t>V</w:t>
      </w:r>
      <w:r>
        <w:rPr>
          <w:sz w:val="24"/>
          <w:szCs w:val="24"/>
        </w:rPr>
        <w:t>—第</w:t>
      </w:r>
      <w:r>
        <w:rPr>
          <w:i/>
          <w:sz w:val="24"/>
          <w:szCs w:val="24"/>
        </w:rPr>
        <w:t>i</w:t>
      </w:r>
      <w:r>
        <w:rPr>
          <w:sz w:val="24"/>
          <w:szCs w:val="24"/>
        </w:rPr>
        <w:t>流量点第</w:t>
      </w:r>
      <w:r>
        <w:rPr>
          <w:i/>
          <w:iCs/>
          <w:sz w:val="24"/>
          <w:szCs w:val="24"/>
        </w:rPr>
        <w:t>j</w:t>
      </w:r>
      <w:r>
        <w:rPr>
          <w:sz w:val="24"/>
          <w:szCs w:val="24"/>
        </w:rPr>
        <w:t>次检定</w:t>
      </w:r>
      <w:r>
        <w:rPr>
          <w:rFonts w:hint="eastAsia"/>
          <w:sz w:val="24"/>
          <w:szCs w:val="24"/>
        </w:rPr>
        <w:t>时</w:t>
      </w:r>
      <w:r>
        <w:rPr>
          <w:sz w:val="24"/>
          <w:szCs w:val="24"/>
        </w:rPr>
        <w:t>标准装置显示的气体累积体积流量</w:t>
      </w:r>
      <w:r>
        <w:rPr>
          <w:rFonts w:hint="eastAsia"/>
          <w:sz w:val="24"/>
          <w:szCs w:val="24"/>
        </w:rPr>
        <w:t>，L或</w:t>
      </w:r>
      <w:r>
        <w:rPr>
          <w:sz w:val="24"/>
          <w:szCs w:val="24"/>
        </w:rPr>
        <w:t>mL；</w:t>
      </w:r>
    </w:p>
    <w:tbl>
      <w:tblPr>
        <w:tblStyle w:val="38"/>
        <w:tblW w:w="8365" w:type="dxa"/>
        <w:tblInd w:w="108" w:type="dxa"/>
        <w:tblLayout w:type="fixed"/>
        <w:tblCellMar>
          <w:top w:w="0" w:type="dxa"/>
          <w:left w:w="108" w:type="dxa"/>
          <w:bottom w:w="0" w:type="dxa"/>
          <w:right w:w="108" w:type="dxa"/>
        </w:tblCellMar>
      </w:tblPr>
      <w:tblGrid>
        <w:gridCol w:w="8365"/>
      </w:tblGrid>
      <w:tr w14:paraId="436FE365">
        <w:tblPrEx>
          <w:tblCellMar>
            <w:top w:w="0" w:type="dxa"/>
            <w:left w:w="108" w:type="dxa"/>
            <w:bottom w:w="0" w:type="dxa"/>
            <w:right w:w="108" w:type="dxa"/>
          </w:tblCellMar>
        </w:tblPrEx>
        <w:trPr>
          <w:trHeight w:val="600" w:hRule="atLeast"/>
        </w:trPr>
        <w:tc>
          <w:tcPr>
            <w:tcW w:w="8365" w:type="dxa"/>
          </w:tcPr>
          <w:p w14:paraId="47312547">
            <w:pPr>
              <w:spacing w:before="160" w:line="360" w:lineRule="auto"/>
              <w:ind w:firstLine="600" w:firstLineChars="250"/>
              <w:rPr>
                <w:sz w:val="24"/>
                <w:szCs w:val="24"/>
              </w:rPr>
            </w:pPr>
            <w:r>
              <w:rPr>
                <w:i/>
                <w:sz w:val="24"/>
                <w:szCs w:val="24"/>
              </w:rPr>
              <w:t>T</w:t>
            </w:r>
            <w:r>
              <w:rPr>
                <w:iCs/>
                <w:sz w:val="24"/>
                <w:szCs w:val="24"/>
                <w:vertAlign w:val="subscript"/>
              </w:rPr>
              <w:t>0</w:t>
            </w:r>
            <w:r>
              <w:rPr>
                <w:sz w:val="24"/>
                <w:szCs w:val="24"/>
              </w:rPr>
              <w:t>—标况的温度，</w:t>
            </w:r>
            <w:r>
              <w:rPr>
                <w:rFonts w:hint="eastAsia"/>
                <w:sz w:val="24"/>
                <w:szCs w:val="24"/>
              </w:rPr>
              <w:t>取标准</w:t>
            </w:r>
            <w:r>
              <w:rPr>
                <w:sz w:val="24"/>
                <w:szCs w:val="24"/>
              </w:rPr>
              <w:t>参比条件的温度</w:t>
            </w:r>
            <w:r>
              <w:rPr>
                <w:rFonts w:hint="eastAsia"/>
                <w:sz w:val="24"/>
                <w:szCs w:val="24"/>
              </w:rPr>
              <w:t>值</w:t>
            </w:r>
            <w:r>
              <w:rPr>
                <w:sz w:val="24"/>
                <w:szCs w:val="24"/>
              </w:rPr>
              <w:t>，</w:t>
            </w:r>
            <w:r>
              <w:rPr>
                <w:rFonts w:hint="eastAsia"/>
                <w:sz w:val="24"/>
                <w:szCs w:val="24"/>
              </w:rPr>
              <w:t>一般取293.15</w:t>
            </w:r>
            <w:r>
              <w:rPr>
                <w:sz w:val="24"/>
                <w:szCs w:val="24"/>
              </w:rPr>
              <w:t>K</w:t>
            </w:r>
            <w:r>
              <w:rPr>
                <w:rFonts w:hint="eastAsia"/>
                <w:sz w:val="24"/>
                <w:szCs w:val="24"/>
              </w:rPr>
              <w:t>；</w:t>
            </w:r>
          </w:p>
        </w:tc>
      </w:tr>
      <w:tr w14:paraId="03807879">
        <w:tblPrEx>
          <w:tblCellMar>
            <w:top w:w="0" w:type="dxa"/>
            <w:left w:w="108" w:type="dxa"/>
            <w:bottom w:w="0" w:type="dxa"/>
            <w:right w:w="108" w:type="dxa"/>
          </w:tblCellMar>
        </w:tblPrEx>
        <w:trPr>
          <w:trHeight w:val="600" w:hRule="atLeast"/>
        </w:trPr>
        <w:tc>
          <w:tcPr>
            <w:tcW w:w="8365" w:type="dxa"/>
          </w:tcPr>
          <w:p w14:paraId="367361EC">
            <w:pPr>
              <w:spacing w:before="160" w:line="360" w:lineRule="auto"/>
              <w:ind w:firstLine="600" w:firstLineChars="250"/>
              <w:rPr>
                <w:sz w:val="24"/>
                <w:szCs w:val="24"/>
              </w:rPr>
            </w:pPr>
            <w:r>
              <w:rPr>
                <w:i/>
                <w:sz w:val="24"/>
                <w:szCs w:val="24"/>
              </w:rPr>
              <w:t>P</w:t>
            </w:r>
            <w:r>
              <w:rPr>
                <w:iCs/>
                <w:sz w:val="24"/>
                <w:szCs w:val="24"/>
                <w:vertAlign w:val="subscript"/>
              </w:rPr>
              <w:t>0</w:t>
            </w:r>
            <w:r>
              <w:rPr>
                <w:sz w:val="24"/>
                <w:szCs w:val="24"/>
              </w:rPr>
              <w:t>—标况的绝对压力，</w:t>
            </w:r>
            <w:r>
              <w:rPr>
                <w:rFonts w:hint="eastAsia"/>
                <w:sz w:val="24"/>
                <w:szCs w:val="24"/>
              </w:rPr>
              <w:t>取标准</w:t>
            </w:r>
            <w:r>
              <w:rPr>
                <w:sz w:val="24"/>
                <w:szCs w:val="24"/>
              </w:rPr>
              <w:t>参比条件的</w:t>
            </w:r>
            <w:r>
              <w:rPr>
                <w:rFonts w:hint="eastAsia"/>
                <w:sz w:val="24"/>
                <w:szCs w:val="24"/>
              </w:rPr>
              <w:t>压力值</w:t>
            </w:r>
            <w:r>
              <w:rPr>
                <w:sz w:val="24"/>
                <w:szCs w:val="24"/>
              </w:rPr>
              <w:t>，</w:t>
            </w:r>
            <w:r>
              <w:rPr>
                <w:rFonts w:hint="eastAsia"/>
                <w:sz w:val="24"/>
                <w:szCs w:val="24"/>
              </w:rPr>
              <w:t>一般取101325</w:t>
            </w:r>
            <w:r>
              <w:rPr>
                <w:sz w:val="24"/>
                <w:szCs w:val="24"/>
              </w:rPr>
              <w:t>Pa</w:t>
            </w:r>
            <w:r>
              <w:rPr>
                <w:rFonts w:hint="eastAsia"/>
                <w:sz w:val="24"/>
                <w:szCs w:val="24"/>
              </w:rPr>
              <w:t>；</w:t>
            </w:r>
          </w:p>
        </w:tc>
      </w:tr>
      <w:tr w14:paraId="2ABB1D9C">
        <w:tblPrEx>
          <w:tblCellMar>
            <w:top w:w="0" w:type="dxa"/>
            <w:left w:w="108" w:type="dxa"/>
            <w:bottom w:w="0" w:type="dxa"/>
            <w:right w:w="108" w:type="dxa"/>
          </w:tblCellMar>
        </w:tblPrEx>
        <w:trPr>
          <w:trHeight w:val="600" w:hRule="atLeast"/>
        </w:trPr>
        <w:tc>
          <w:tcPr>
            <w:tcW w:w="8365" w:type="dxa"/>
          </w:tcPr>
          <w:p w14:paraId="729A7659">
            <w:pPr>
              <w:spacing w:before="160" w:line="360" w:lineRule="auto"/>
              <w:ind w:firstLine="600" w:firstLineChars="250"/>
              <w:rPr>
                <w:sz w:val="24"/>
                <w:szCs w:val="24"/>
              </w:rPr>
            </w:pPr>
            <w:r>
              <w:rPr>
                <w:i/>
                <w:sz w:val="24"/>
                <w:szCs w:val="24"/>
              </w:rPr>
              <w:t>T</w:t>
            </w:r>
            <w:r>
              <w:rPr>
                <w:sz w:val="24"/>
                <w:szCs w:val="24"/>
              </w:rPr>
              <w:t>—第</w:t>
            </w:r>
            <w:r>
              <w:rPr>
                <w:i/>
                <w:sz w:val="24"/>
                <w:szCs w:val="24"/>
              </w:rPr>
              <w:t>i</w:t>
            </w:r>
            <w:r>
              <w:rPr>
                <w:sz w:val="24"/>
                <w:szCs w:val="24"/>
              </w:rPr>
              <w:t>流量点第</w:t>
            </w:r>
            <w:r>
              <w:rPr>
                <w:i/>
                <w:iCs/>
                <w:sz w:val="24"/>
                <w:szCs w:val="24"/>
              </w:rPr>
              <w:t>j</w:t>
            </w:r>
            <w:r>
              <w:rPr>
                <w:sz w:val="24"/>
                <w:szCs w:val="24"/>
              </w:rPr>
              <w:t>次检定</w:t>
            </w:r>
            <w:r>
              <w:rPr>
                <w:rFonts w:hint="eastAsia"/>
                <w:sz w:val="24"/>
                <w:szCs w:val="24"/>
              </w:rPr>
              <w:t>时</w:t>
            </w:r>
            <w:r>
              <w:rPr>
                <w:sz w:val="24"/>
                <w:szCs w:val="24"/>
              </w:rPr>
              <w:t>标准装置处气体的温度，K</w:t>
            </w:r>
            <w:r>
              <w:rPr>
                <w:rFonts w:hint="eastAsia"/>
                <w:sz w:val="24"/>
                <w:szCs w:val="24"/>
              </w:rPr>
              <w:t>；</w:t>
            </w:r>
          </w:p>
        </w:tc>
      </w:tr>
      <w:tr w14:paraId="27A93EC5">
        <w:tblPrEx>
          <w:tblCellMar>
            <w:top w:w="0" w:type="dxa"/>
            <w:left w:w="108" w:type="dxa"/>
            <w:bottom w:w="0" w:type="dxa"/>
            <w:right w:w="108" w:type="dxa"/>
          </w:tblCellMar>
        </w:tblPrEx>
        <w:trPr>
          <w:trHeight w:val="600" w:hRule="atLeast"/>
        </w:trPr>
        <w:tc>
          <w:tcPr>
            <w:tcW w:w="8365" w:type="dxa"/>
          </w:tcPr>
          <w:p w14:paraId="676BA517">
            <w:pPr>
              <w:spacing w:before="160" w:line="360" w:lineRule="auto"/>
              <w:ind w:firstLine="600" w:firstLineChars="250"/>
              <w:rPr>
                <w:sz w:val="24"/>
                <w:szCs w:val="24"/>
              </w:rPr>
            </w:pPr>
            <w:r>
              <w:rPr>
                <w:i/>
                <w:sz w:val="24"/>
                <w:szCs w:val="24"/>
              </w:rPr>
              <w:t>P</w:t>
            </w:r>
            <w:r>
              <w:rPr>
                <w:sz w:val="24"/>
                <w:szCs w:val="24"/>
              </w:rPr>
              <w:t>—第</w:t>
            </w:r>
            <w:r>
              <w:rPr>
                <w:i/>
                <w:sz w:val="24"/>
                <w:szCs w:val="24"/>
              </w:rPr>
              <w:t>i</w:t>
            </w:r>
            <w:r>
              <w:rPr>
                <w:sz w:val="24"/>
                <w:szCs w:val="24"/>
              </w:rPr>
              <w:t>流量点第</w:t>
            </w:r>
            <w:r>
              <w:rPr>
                <w:i/>
                <w:iCs/>
                <w:sz w:val="24"/>
                <w:szCs w:val="24"/>
              </w:rPr>
              <w:t>j</w:t>
            </w:r>
            <w:r>
              <w:rPr>
                <w:sz w:val="24"/>
                <w:szCs w:val="24"/>
              </w:rPr>
              <w:t>次检定</w:t>
            </w:r>
            <w:r>
              <w:rPr>
                <w:rFonts w:hint="eastAsia"/>
                <w:sz w:val="24"/>
                <w:szCs w:val="24"/>
              </w:rPr>
              <w:t>时</w:t>
            </w:r>
            <w:r>
              <w:rPr>
                <w:sz w:val="24"/>
                <w:szCs w:val="24"/>
              </w:rPr>
              <w:t>标准装置处气体的绝对压力，Pa</w:t>
            </w:r>
            <w:r>
              <w:rPr>
                <w:rFonts w:hint="eastAsia"/>
                <w:sz w:val="24"/>
                <w:szCs w:val="24"/>
              </w:rPr>
              <w:t>；</w:t>
            </w:r>
            <w:r>
              <w:rPr>
                <w:sz w:val="24"/>
                <w:szCs w:val="24"/>
              </w:rPr>
              <w:t xml:space="preserve"> </w:t>
            </w:r>
          </w:p>
        </w:tc>
      </w:tr>
      <w:tr w14:paraId="61C311D5">
        <w:tblPrEx>
          <w:tblCellMar>
            <w:top w:w="0" w:type="dxa"/>
            <w:left w:w="108" w:type="dxa"/>
            <w:bottom w:w="0" w:type="dxa"/>
            <w:right w:w="108" w:type="dxa"/>
          </w:tblCellMar>
        </w:tblPrEx>
        <w:trPr>
          <w:trHeight w:val="1134" w:hRule="exact"/>
        </w:trPr>
        <w:tc>
          <w:tcPr>
            <w:tcW w:w="8365" w:type="dxa"/>
          </w:tcPr>
          <w:p w14:paraId="22D9D61F">
            <w:pPr>
              <w:spacing w:before="160" w:line="360" w:lineRule="auto"/>
              <w:ind w:firstLine="600" w:firstLineChars="250"/>
              <w:rPr>
                <w:i/>
                <w:sz w:val="24"/>
                <w:szCs w:val="24"/>
              </w:rPr>
            </w:pPr>
            <m:oMath>
              <m:r>
                <m:rPr>
                  <m:sty m:val="p"/>
                </m:rPr>
                <w:rPr>
                  <w:rFonts w:ascii="Cambria Math" w:hAnsi="Cambria Math"/>
                  <w:sz w:val="24"/>
                  <w:szCs w:val="24"/>
                </w:rPr>
                <m:t>φ</m:t>
              </m:r>
            </m:oMath>
            <w:r>
              <w:rPr>
                <w:sz w:val="24"/>
                <w:szCs w:val="24"/>
              </w:rPr>
              <w:t>—第</w:t>
            </w:r>
            <w:r>
              <w:rPr>
                <w:i/>
                <w:sz w:val="24"/>
                <w:szCs w:val="24"/>
              </w:rPr>
              <w:t>i</w:t>
            </w:r>
            <w:r>
              <w:rPr>
                <w:sz w:val="24"/>
                <w:szCs w:val="24"/>
              </w:rPr>
              <w:t>流量点第</w:t>
            </w:r>
            <w:r>
              <w:rPr>
                <w:i/>
                <w:iCs/>
                <w:sz w:val="24"/>
                <w:szCs w:val="24"/>
              </w:rPr>
              <w:t>j</w:t>
            </w:r>
            <w:r>
              <w:rPr>
                <w:sz w:val="24"/>
                <w:szCs w:val="24"/>
              </w:rPr>
              <w:t>次检定</w:t>
            </w:r>
            <w:r>
              <w:rPr>
                <w:rFonts w:hint="eastAsia"/>
                <w:sz w:val="24"/>
                <w:szCs w:val="24"/>
              </w:rPr>
              <w:t>时</w:t>
            </w:r>
            <w:r>
              <w:rPr>
                <w:sz w:val="24"/>
                <w:szCs w:val="24"/>
              </w:rPr>
              <w:t>标准装置</w:t>
            </w:r>
            <w:r>
              <w:rPr>
                <w:rFonts w:hint="eastAsia"/>
                <w:sz w:val="24"/>
                <w:szCs w:val="24"/>
              </w:rPr>
              <w:t>处气体</w:t>
            </w:r>
            <w:r>
              <w:rPr>
                <w:sz w:val="24"/>
                <w:szCs w:val="24"/>
              </w:rPr>
              <w:t>相对湿度，取值</w:t>
            </w:r>
            <w:r>
              <w:rPr>
                <w:rFonts w:hint="eastAsia"/>
                <w:sz w:val="24"/>
                <w:szCs w:val="24"/>
              </w:rPr>
              <w:t>100%；</w:t>
            </w:r>
          </w:p>
          <w:p w14:paraId="19F832D7">
            <w:pPr>
              <w:spacing w:before="160" w:line="360" w:lineRule="auto"/>
              <w:ind w:firstLine="600" w:firstLineChars="250"/>
              <w:rPr>
                <w:i/>
                <w:sz w:val="24"/>
                <w:szCs w:val="24"/>
              </w:rPr>
            </w:pPr>
            <w:r>
              <w:rPr>
                <w:i/>
                <w:sz w:val="24"/>
                <w:szCs w:val="24"/>
              </w:rPr>
              <w:t>P</w:t>
            </w:r>
            <w:r>
              <w:rPr>
                <w:sz w:val="24"/>
                <w:szCs w:val="24"/>
                <w:vertAlign w:val="subscript"/>
              </w:rPr>
              <w:t>d</w:t>
            </w:r>
            <w:r>
              <w:rPr>
                <w:sz w:val="24"/>
                <w:szCs w:val="24"/>
              </w:rPr>
              <w:t>—第</w:t>
            </w:r>
            <w:r>
              <w:rPr>
                <w:i/>
                <w:sz w:val="24"/>
                <w:szCs w:val="24"/>
              </w:rPr>
              <w:t>i</w:t>
            </w:r>
            <w:r>
              <w:rPr>
                <w:sz w:val="24"/>
                <w:szCs w:val="24"/>
              </w:rPr>
              <w:t>流量点第</w:t>
            </w:r>
            <w:r>
              <w:rPr>
                <w:i/>
                <w:iCs/>
                <w:sz w:val="24"/>
                <w:szCs w:val="24"/>
              </w:rPr>
              <w:t>j</w:t>
            </w:r>
            <w:r>
              <w:rPr>
                <w:sz w:val="24"/>
                <w:szCs w:val="24"/>
              </w:rPr>
              <w:t>次检定</w:t>
            </w:r>
            <w:r>
              <w:rPr>
                <w:rFonts w:hint="eastAsia"/>
                <w:sz w:val="24"/>
                <w:szCs w:val="24"/>
              </w:rPr>
              <w:t>时</w:t>
            </w:r>
            <w:r>
              <w:rPr>
                <w:sz w:val="24"/>
                <w:szCs w:val="24"/>
              </w:rPr>
              <w:t>标准装置</w:t>
            </w:r>
            <w:r>
              <w:rPr>
                <w:rFonts w:hint="eastAsia"/>
                <w:sz w:val="24"/>
                <w:szCs w:val="24"/>
              </w:rPr>
              <w:t>状态</w:t>
            </w:r>
            <w:r>
              <w:rPr>
                <w:sz w:val="24"/>
                <w:szCs w:val="24"/>
              </w:rPr>
              <w:t>下检定气体的的饱和蒸汽压，Pa</w:t>
            </w:r>
            <w:r>
              <w:rPr>
                <w:rFonts w:hint="eastAsia"/>
                <w:sz w:val="24"/>
                <w:szCs w:val="24"/>
              </w:rPr>
              <w:t>。</w:t>
            </w:r>
          </w:p>
        </w:tc>
      </w:tr>
    </w:tbl>
    <w:p w14:paraId="13900D45">
      <w:pPr>
        <w:spacing w:before="160" w:line="360" w:lineRule="auto"/>
        <w:ind w:firstLine="480" w:firstLineChars="200"/>
        <w:rPr>
          <w:sz w:val="24"/>
          <w:szCs w:val="24"/>
        </w:rPr>
      </w:pPr>
      <w:r>
        <w:rPr>
          <w:sz w:val="24"/>
          <w:szCs w:val="24"/>
        </w:rPr>
        <w:t>标准装置为钟罩式气体流量标准装置、标准表法气体流量装置、活塞式气体流量标准装置</w:t>
      </w:r>
      <w:r>
        <w:rPr>
          <w:rFonts w:hint="eastAsia"/>
          <w:sz w:val="24"/>
          <w:szCs w:val="24"/>
        </w:rPr>
        <w:t>等</w:t>
      </w:r>
      <w:r>
        <w:rPr>
          <w:sz w:val="24"/>
          <w:szCs w:val="24"/>
        </w:rPr>
        <w:t>时，</w:t>
      </w:r>
      <w:r>
        <w:rPr>
          <w:rFonts w:hint="eastAsia"/>
          <w:iCs/>
          <w:sz w:val="24"/>
          <w:szCs w:val="24"/>
        </w:rPr>
        <w:t>(</w:t>
      </w:r>
      <w:r>
        <w:rPr>
          <w:rFonts w:hint="eastAsia"/>
          <w:i/>
          <w:sz w:val="24"/>
          <w:szCs w:val="24"/>
        </w:rPr>
        <w:t>Q</w:t>
      </w:r>
      <w:r>
        <w:rPr>
          <w:rFonts w:hint="eastAsia"/>
          <w:iCs/>
          <w:sz w:val="24"/>
          <w:szCs w:val="24"/>
          <w:vertAlign w:val="subscript"/>
        </w:rPr>
        <w:t>s</w:t>
      </w:r>
      <w:r>
        <w:rPr>
          <w:rFonts w:hint="eastAsia"/>
          <w:iCs/>
          <w:sz w:val="24"/>
          <w:szCs w:val="24"/>
        </w:rPr>
        <w:t>)</w:t>
      </w:r>
      <w:r>
        <w:rPr>
          <w:rFonts w:hint="eastAsia"/>
          <w:iCs/>
          <w:sz w:val="24"/>
          <w:szCs w:val="24"/>
          <w:vertAlign w:val="subscript"/>
        </w:rPr>
        <w:t>ij</w:t>
      </w:r>
      <w:r>
        <w:rPr>
          <w:sz w:val="24"/>
          <w:szCs w:val="24"/>
        </w:rPr>
        <w:t>按式（3）计算</w:t>
      </w:r>
      <w:r>
        <w:rPr>
          <w:rFonts w:hint="eastAsia"/>
          <w:sz w:val="24"/>
          <w:szCs w:val="24"/>
        </w:rPr>
        <w:t>：</w:t>
      </w:r>
    </w:p>
    <w:tbl>
      <w:tblPr>
        <w:tblStyle w:val="38"/>
        <w:tblW w:w="8360" w:type="dxa"/>
        <w:jc w:val="center"/>
        <w:tblLayout w:type="fixed"/>
        <w:tblCellMar>
          <w:top w:w="0" w:type="dxa"/>
          <w:left w:w="108" w:type="dxa"/>
          <w:bottom w:w="0" w:type="dxa"/>
          <w:right w:w="108" w:type="dxa"/>
        </w:tblCellMar>
      </w:tblPr>
      <w:tblGrid>
        <w:gridCol w:w="6870"/>
        <w:gridCol w:w="1490"/>
      </w:tblGrid>
      <w:tr w14:paraId="17FDCFE5">
        <w:tblPrEx>
          <w:tblCellMar>
            <w:top w:w="0" w:type="dxa"/>
            <w:left w:w="108" w:type="dxa"/>
            <w:bottom w:w="0" w:type="dxa"/>
            <w:right w:w="108" w:type="dxa"/>
          </w:tblCellMar>
        </w:tblPrEx>
        <w:trPr>
          <w:trHeight w:val="676" w:hRule="atLeast"/>
          <w:jc w:val="center"/>
        </w:trPr>
        <w:tc>
          <w:tcPr>
            <w:tcW w:w="6870" w:type="dxa"/>
            <w:vAlign w:val="center"/>
          </w:tcPr>
          <w:p w14:paraId="1859D155">
            <w:pPr>
              <w:tabs>
                <w:tab w:val="left" w:pos="360"/>
              </w:tabs>
              <w:spacing w:before="160" w:line="360" w:lineRule="auto"/>
              <w:ind w:firstLine="480" w:firstLineChars="200"/>
              <w:jc w:val="center"/>
              <w:rPr>
                <w:sz w:val="24"/>
                <w:szCs w:val="24"/>
              </w:rPr>
            </w:pPr>
            <w:r>
              <w:rPr>
                <w:rFonts w:ascii="Cambria Math"/>
                <w:i/>
                <w:sz w:val="24"/>
                <w:szCs w:val="24"/>
              </w:rPr>
              <w:t xml:space="preserve"> </w:t>
            </w:r>
            <m:oMath>
              <m:r>
                <m:rPr/>
                <w:rPr>
                  <w:rFonts w:ascii="Cambria Math"/>
                  <w:sz w:val="24"/>
                  <w:szCs w:val="24"/>
                </w:rPr>
                <m:t>(</m:t>
              </m:r>
              <m:sSub>
                <m:sSubPr>
                  <m:ctrlPr>
                    <w:rPr>
                      <w:rFonts w:ascii="Cambria Math" w:hAnsi="Cambria Math"/>
                      <w:i/>
                      <w:sz w:val="24"/>
                      <w:szCs w:val="24"/>
                    </w:rPr>
                  </m:ctrlPr>
                </m:sSubPr>
                <m:e>
                  <m:r>
                    <m:rPr/>
                    <w:rPr>
                      <w:rFonts w:ascii="Cambria Math"/>
                      <w:sz w:val="24"/>
                      <w:szCs w:val="24"/>
                    </w:rPr>
                    <m:t>Q</m:t>
                  </m:r>
                  <m:ctrlPr>
                    <w:rPr>
                      <w:rFonts w:ascii="Cambria Math" w:hAnsi="Cambria Math"/>
                      <w:i/>
                      <w:sz w:val="24"/>
                      <w:szCs w:val="24"/>
                    </w:rPr>
                  </m:ctrlPr>
                </m:e>
                <m:sub>
                  <m:r>
                    <m:rPr>
                      <m:nor/>
                      <m:sty m:val="p"/>
                    </m:rPr>
                    <w:rPr>
                      <w:rFonts w:ascii="Cambria Math"/>
                      <w:sz w:val="24"/>
                      <w:szCs w:val="24"/>
                    </w:rPr>
                    <m:t>s</m:t>
                  </m:r>
                  <m:ctrlPr>
                    <w:rPr>
                      <w:rFonts w:ascii="Cambria Math" w:hAnsi="Cambria Math"/>
                      <w:i/>
                      <w:sz w:val="24"/>
                      <w:szCs w:val="24"/>
                    </w:rPr>
                  </m:ctrlPr>
                </m:sub>
              </m:sSub>
              <m:sSub>
                <m:sSubPr>
                  <m:ctrlPr>
                    <w:rPr>
                      <w:rFonts w:ascii="Cambria Math" w:hAnsi="Cambria Math"/>
                      <w:i/>
                      <w:sz w:val="24"/>
                      <w:szCs w:val="24"/>
                    </w:rPr>
                  </m:ctrlPr>
                </m:sSubPr>
                <m:e>
                  <m:r>
                    <m:rPr/>
                    <w:rPr>
                      <w:rFonts w:ascii="Cambria Math"/>
                      <w:sz w:val="24"/>
                      <w:szCs w:val="24"/>
                    </w:rPr>
                    <m:t>)</m:t>
                  </m:r>
                  <m:ctrlPr>
                    <w:rPr>
                      <w:rFonts w:ascii="Cambria Math" w:hAnsi="Cambria Math"/>
                      <w:i/>
                      <w:sz w:val="24"/>
                      <w:szCs w:val="24"/>
                    </w:rPr>
                  </m:ctrlPr>
                </m:e>
                <m:sub>
                  <m:r>
                    <m:rPr>
                      <m:nor/>
                    </m:rPr>
                    <w:rPr>
                      <w:i/>
                      <w:sz w:val="24"/>
                      <w:szCs w:val="24"/>
                    </w:rPr>
                    <m:t>ij</m:t>
                  </m:r>
                  <m:ctrlPr>
                    <w:rPr>
                      <w:rFonts w:ascii="Cambria Math" w:hAnsi="Cambria Math"/>
                      <w:i/>
                      <w:sz w:val="24"/>
                      <w:szCs w:val="24"/>
                    </w:rPr>
                  </m:ctrlPr>
                </m:sub>
              </m:sSub>
              <m:r>
                <m:rPr/>
                <w:rPr>
                  <w:rFonts w:ascii="Cambria Math"/>
                  <w:sz w:val="24"/>
                  <w:szCs w:val="24"/>
                </w:rPr>
                <m:t>=V</m:t>
              </m:r>
              <m:r>
                <m:rP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m:rPr/>
                        <w:rPr>
                          <w:rFonts w:ascii="Cambria Math"/>
                          <w:sz w:val="24"/>
                          <w:szCs w:val="24"/>
                        </w:rPr>
                        <m:t>T</m:t>
                      </m:r>
                      <m:ctrlPr>
                        <w:rPr>
                          <w:rFonts w:ascii="Cambria Math" w:hAnsi="Cambria Math"/>
                          <w:i/>
                          <w:sz w:val="24"/>
                          <w:szCs w:val="24"/>
                        </w:rPr>
                      </m:ctrlPr>
                    </m:e>
                    <m:sub>
                      <m:r>
                        <m:rPr>
                          <m:nor/>
                          <m:sty m:val="p"/>
                        </m:rPr>
                        <w:rPr>
                          <w:rFonts w:ascii="Cambria Math"/>
                          <w:sz w:val="24"/>
                          <w:szCs w:val="24"/>
                        </w:rPr>
                        <m:t>0</m:t>
                      </m:r>
                      <m:ctrlPr>
                        <w:rPr>
                          <w:rFonts w:ascii="Cambria Math" w:hAnsi="Cambria Math"/>
                          <w:i/>
                          <w:sz w:val="24"/>
                          <w:szCs w:val="24"/>
                        </w:rPr>
                      </m:ctrlPr>
                    </m:sub>
                  </m:sSub>
                  <m:ctrlPr>
                    <w:rPr>
                      <w:rFonts w:ascii="Cambria Math" w:hAnsi="Cambria Math"/>
                      <w:i/>
                      <w:sz w:val="24"/>
                      <w:szCs w:val="24"/>
                    </w:rPr>
                  </m:ctrlPr>
                </m:num>
                <m:den>
                  <m:sSub>
                    <m:sSubPr>
                      <m:ctrlPr>
                        <w:rPr>
                          <w:rFonts w:ascii="Cambria Math" w:hAnsi="Cambria Math"/>
                          <w:i/>
                          <w:sz w:val="24"/>
                          <w:szCs w:val="24"/>
                        </w:rPr>
                      </m:ctrlPr>
                    </m:sSubPr>
                    <m:e>
                      <m:r>
                        <m:rPr/>
                        <w:rPr>
                          <w:rFonts w:ascii="Cambria Math"/>
                          <w:sz w:val="24"/>
                          <w:szCs w:val="24"/>
                        </w:rPr>
                        <m:t>P</m:t>
                      </m:r>
                      <m:ctrlPr>
                        <w:rPr>
                          <w:rFonts w:ascii="Cambria Math" w:hAnsi="Cambria Math"/>
                          <w:i/>
                          <w:sz w:val="24"/>
                          <w:szCs w:val="24"/>
                        </w:rPr>
                      </m:ctrlPr>
                    </m:e>
                    <m:sub>
                      <m:r>
                        <m:rPr>
                          <m:nor/>
                          <m:sty m:val="p"/>
                        </m:rPr>
                        <w:rPr>
                          <w:rFonts w:hint="eastAsia" w:ascii="Cambria Math"/>
                          <w:sz w:val="24"/>
                          <w:szCs w:val="24"/>
                        </w:rPr>
                        <m:t>0</m:t>
                      </m:r>
                      <m:ctrlPr>
                        <w:rPr>
                          <w:rFonts w:ascii="Cambria Math" w:hAnsi="Cambria Math"/>
                          <w:i/>
                          <w:sz w:val="24"/>
                          <w:szCs w:val="24"/>
                        </w:rPr>
                      </m:ctrlPr>
                    </m:sub>
                  </m:sSub>
                  <m:ctrlPr>
                    <w:rPr>
                      <w:rFonts w:ascii="Cambria Math" w:hAnsi="Cambria Math"/>
                      <w:i/>
                      <w:sz w:val="24"/>
                      <w:szCs w:val="24"/>
                    </w:rPr>
                  </m:ctrlPr>
                </m:den>
              </m:f>
              <m:r>
                <m:rPr/>
                <w:rPr>
                  <w:rFonts w:ascii="Cambria Math" w:hAnsi="Cambria Math"/>
                  <w:sz w:val="24"/>
                  <w:szCs w:val="24"/>
                </w:rPr>
                <m:t>∙</m:t>
              </m:r>
              <m:f>
                <m:fPr>
                  <m:ctrlPr>
                    <w:rPr>
                      <w:rFonts w:ascii="Cambria Math" w:hAnsi="Cambria Math"/>
                      <w:i/>
                      <w:sz w:val="24"/>
                      <w:szCs w:val="24"/>
                    </w:rPr>
                  </m:ctrlPr>
                </m:fPr>
                <m:num>
                  <m:r>
                    <m:rPr/>
                    <w:rPr>
                      <w:rFonts w:ascii="Cambria Math"/>
                      <w:sz w:val="24"/>
                      <w:szCs w:val="24"/>
                    </w:rPr>
                    <m:t>P</m:t>
                  </m:r>
                  <m:ctrlPr>
                    <w:rPr>
                      <w:rFonts w:ascii="Cambria Math" w:hAnsi="Cambria Math"/>
                      <w:i/>
                      <w:sz w:val="24"/>
                      <w:szCs w:val="24"/>
                    </w:rPr>
                  </m:ctrlPr>
                </m:num>
                <m:den>
                  <m:r>
                    <m:rPr/>
                    <w:rPr>
                      <w:rFonts w:ascii="Cambria Math" w:hAnsi="Cambria Math"/>
                      <w:sz w:val="24"/>
                      <w:szCs w:val="24"/>
                    </w:rPr>
                    <m:t>T</m:t>
                  </m:r>
                  <m:ctrlPr>
                    <w:rPr>
                      <w:rFonts w:ascii="Cambria Math" w:hAnsi="Cambria Math"/>
                      <w:i/>
                      <w:sz w:val="24"/>
                      <w:szCs w:val="24"/>
                    </w:rPr>
                  </m:ctrlPr>
                </m:den>
              </m:f>
            </m:oMath>
            <w:r>
              <w:rPr>
                <w:sz w:val="24"/>
                <w:szCs w:val="24"/>
              </w:rPr>
              <w:t xml:space="preserve"> </w:t>
            </w:r>
            <w:r>
              <w:rPr>
                <w:sz w:val="24"/>
                <w:szCs w:val="24"/>
              </w:rPr>
              <w:fldChar w:fldCharType="begin"/>
            </w:r>
            <w:r>
              <w:rPr>
                <w:sz w:val="24"/>
                <w:szCs w:val="24"/>
              </w:rPr>
              <w:instrText xml:space="preserve"> QUOTE </w:instrText>
            </w:r>
            <w:r>
              <w:rPr>
                <w:rFonts w:ascii="Cambria Math" w:hAnsi="Cambria Math"/>
                <w:sz w:val="24"/>
                <w:szCs w:val="24"/>
              </w:rPr>
              <w:instrText xml:space="preserve">(qs)ij</w:instrText>
            </w:r>
            <w:r>
              <w:rPr>
                <w:rFonts w:ascii="Cambria Math"/>
                <w:sz w:val="24"/>
                <w:szCs w:val="24"/>
              </w:rPr>
              <w:instrText xml:space="preserve">=(Qs)ijtij</w:instrText>
            </w:r>
            <w:r>
              <w:rPr>
                <w:sz w:val="24"/>
                <w:szCs w:val="24"/>
              </w:rPr>
              <w:instrText xml:space="preserve"> </w:instrText>
            </w:r>
            <w:r>
              <w:rPr>
                <w:sz w:val="24"/>
                <w:szCs w:val="24"/>
              </w:rPr>
              <w:fldChar w:fldCharType="end"/>
            </w:r>
          </w:p>
        </w:tc>
        <w:tc>
          <w:tcPr>
            <w:tcW w:w="1490" w:type="dxa"/>
            <w:vAlign w:val="center"/>
          </w:tcPr>
          <w:p w14:paraId="48C0655F">
            <w:pPr>
              <w:tabs>
                <w:tab w:val="left" w:pos="360"/>
              </w:tabs>
              <w:spacing w:before="160" w:line="360" w:lineRule="auto"/>
              <w:jc w:val="center"/>
              <w:rPr>
                <w:sz w:val="24"/>
                <w:szCs w:val="24"/>
              </w:rPr>
            </w:pPr>
            <w:r>
              <w:rPr>
                <w:sz w:val="24"/>
                <w:szCs w:val="24"/>
              </w:rPr>
              <w:t xml:space="preserve">        </w:t>
            </w:r>
            <w:r>
              <w:rPr>
                <w:rFonts w:hint="eastAsia"/>
                <w:sz w:val="24"/>
                <w:szCs w:val="24"/>
              </w:rPr>
              <w:t>（</w:t>
            </w:r>
            <w:r>
              <w:rPr>
                <w:sz w:val="24"/>
                <w:szCs w:val="24"/>
              </w:rPr>
              <w:t>3</w:t>
            </w:r>
            <w:r>
              <w:rPr>
                <w:rFonts w:hint="eastAsia"/>
                <w:sz w:val="24"/>
                <w:szCs w:val="24"/>
              </w:rPr>
              <w:t>）</w:t>
            </w:r>
          </w:p>
        </w:tc>
      </w:tr>
    </w:tbl>
    <w:p w14:paraId="7F1D4A9F">
      <w:pPr>
        <w:spacing w:before="160" w:line="360" w:lineRule="auto"/>
        <w:ind w:firstLine="480" w:firstLineChars="200"/>
        <w:rPr>
          <w:sz w:val="24"/>
          <w:szCs w:val="24"/>
        </w:rPr>
      </w:pPr>
      <w:r>
        <w:rPr>
          <w:sz w:val="24"/>
          <w:szCs w:val="24"/>
        </w:rPr>
        <w:fldChar w:fldCharType="begin"/>
      </w:r>
      <w:r>
        <w:rPr>
          <w:sz w:val="24"/>
          <w:szCs w:val="24"/>
        </w:rPr>
        <w:instrText xml:space="preserve"> QUOTE </w:instrText>
      </w:r>
      <w:r>
        <w:rPr>
          <w:rFonts w:ascii="Cambria Math"/>
          <w:sz w:val="24"/>
          <w:szCs w:val="24"/>
        </w:rPr>
        <w:instrText xml:space="preserve">(qs)ij</w:instrText>
      </w:r>
      <w:r>
        <w:rPr>
          <w:sz w:val="24"/>
          <w:szCs w:val="24"/>
        </w:rPr>
        <w:instrText xml:space="preserve"> </w:instrText>
      </w:r>
      <w:r>
        <w:rPr>
          <w:sz w:val="24"/>
          <w:szCs w:val="24"/>
        </w:rPr>
        <w:fldChar w:fldCharType="separate"/>
      </w:r>
      <w:r>
        <w:rPr>
          <w:iCs/>
          <w:sz w:val="24"/>
          <w:szCs w:val="24"/>
        </w:rPr>
        <w:t>(</w:t>
      </w:r>
      <w:r>
        <w:rPr>
          <w:i/>
          <w:sz w:val="24"/>
          <w:szCs w:val="24"/>
        </w:rPr>
        <w:t>q</w:t>
      </w:r>
      <w:r>
        <w:rPr>
          <w:iCs/>
          <w:sz w:val="24"/>
          <w:szCs w:val="24"/>
          <w:vertAlign w:val="subscript"/>
        </w:rPr>
        <w:t>s</w:t>
      </w:r>
      <w:r>
        <w:rPr>
          <w:iCs/>
          <w:sz w:val="24"/>
          <w:szCs w:val="24"/>
        </w:rPr>
        <w:t>)</w:t>
      </w:r>
      <w:r>
        <w:rPr>
          <w:i/>
          <w:iCs/>
          <w:sz w:val="24"/>
          <w:szCs w:val="24"/>
          <w:vertAlign w:val="subscript"/>
        </w:rPr>
        <w:t>ij</w:t>
      </w:r>
      <w:r>
        <w:rPr>
          <w:sz w:val="24"/>
          <w:szCs w:val="24"/>
        </w:rPr>
        <w:t xml:space="preserve"> </w:t>
      </w:r>
      <w:r>
        <w:rPr>
          <w:sz w:val="24"/>
          <w:szCs w:val="24"/>
        </w:rPr>
        <w:fldChar w:fldCharType="end"/>
      </w:r>
      <w:r>
        <w:rPr>
          <w:rFonts w:hint="eastAsia"/>
          <w:sz w:val="24"/>
          <w:szCs w:val="24"/>
        </w:rPr>
        <w:t>按式（</w:t>
      </w:r>
      <w:r>
        <w:rPr>
          <w:sz w:val="24"/>
          <w:szCs w:val="24"/>
        </w:rPr>
        <w:t>4</w:t>
      </w:r>
      <w:r>
        <w:rPr>
          <w:rFonts w:hint="eastAsia"/>
          <w:sz w:val="24"/>
          <w:szCs w:val="24"/>
        </w:rPr>
        <w:t>）计算：</w:t>
      </w:r>
    </w:p>
    <w:tbl>
      <w:tblPr>
        <w:tblStyle w:val="38"/>
        <w:tblW w:w="8420" w:type="dxa"/>
        <w:jc w:val="center"/>
        <w:tblLayout w:type="fixed"/>
        <w:tblCellMar>
          <w:top w:w="0" w:type="dxa"/>
          <w:left w:w="108" w:type="dxa"/>
          <w:bottom w:w="0" w:type="dxa"/>
          <w:right w:w="108" w:type="dxa"/>
        </w:tblCellMar>
      </w:tblPr>
      <w:tblGrid>
        <w:gridCol w:w="6870"/>
        <w:gridCol w:w="1550"/>
      </w:tblGrid>
      <w:tr w14:paraId="4D9C0D1C">
        <w:tblPrEx>
          <w:tblCellMar>
            <w:top w:w="0" w:type="dxa"/>
            <w:left w:w="108" w:type="dxa"/>
            <w:bottom w:w="0" w:type="dxa"/>
            <w:right w:w="108" w:type="dxa"/>
          </w:tblCellMar>
        </w:tblPrEx>
        <w:trPr>
          <w:jc w:val="center"/>
        </w:trPr>
        <w:tc>
          <w:tcPr>
            <w:tcW w:w="6870" w:type="dxa"/>
            <w:vAlign w:val="center"/>
          </w:tcPr>
          <w:p w14:paraId="21C4AC13">
            <w:pPr>
              <w:tabs>
                <w:tab w:val="left" w:pos="360"/>
              </w:tabs>
              <w:spacing w:before="160" w:line="360" w:lineRule="auto"/>
              <w:ind w:firstLine="480" w:firstLineChars="200"/>
              <w:jc w:val="center"/>
              <w:rPr>
                <w:sz w:val="24"/>
                <w:szCs w:val="24"/>
              </w:rPr>
            </w:pPr>
            <m:oMath>
              <w:bookmarkStart w:id="255" w:name="_Hlk196128016"/>
              <m:r>
                <m:rPr/>
                <w:rPr>
                  <w:rFonts w:ascii="Cambria Math" w:hAnsi="Cambria Math"/>
                  <w:sz w:val="24"/>
                  <w:szCs w:val="24"/>
                </w:rPr>
                <m:t>(</m:t>
              </m:r>
              <m:sSub>
                <m:sSubPr>
                  <m:ctrlPr>
                    <w:rPr>
                      <w:rFonts w:ascii="Cambria Math" w:hAnsi="Cambria Math"/>
                      <w:i/>
                      <w:sz w:val="24"/>
                      <w:szCs w:val="24"/>
                    </w:rPr>
                  </m:ctrlPr>
                </m:sSubPr>
                <m:e>
                  <m:r>
                    <m:rPr/>
                    <w:rPr>
                      <w:rFonts w:ascii="Cambria Math" w:hAnsi="Cambria Math"/>
                      <w:sz w:val="24"/>
                      <w:szCs w:val="24"/>
                    </w:rPr>
                    <m:t>q</m:t>
                  </m:r>
                  <m:ctrlPr>
                    <w:rPr>
                      <w:rFonts w:ascii="Cambria Math" w:hAnsi="Cambria Math"/>
                      <w:i/>
                      <w:sz w:val="24"/>
                      <w:szCs w:val="24"/>
                    </w:rPr>
                  </m:ctrlPr>
                </m:e>
                <m:sub>
                  <m:r>
                    <m:rPr>
                      <m:nor/>
                      <m:sty m:val="p"/>
                    </m:rPr>
                    <w:rPr>
                      <w:sz w:val="24"/>
                      <w:szCs w:val="24"/>
                    </w:rPr>
                    <m:t>s</m:t>
                  </m:r>
                  <m:ctrlPr>
                    <w:rPr>
                      <w:rFonts w:ascii="Cambria Math" w:hAnsi="Cambria Math"/>
                      <w:i/>
                      <w:sz w:val="24"/>
                      <w:szCs w:val="24"/>
                    </w:rPr>
                  </m:ctrlPr>
                </m:sub>
              </m:sSub>
              <m:sSub>
                <m:sSubPr>
                  <m:ctrlPr>
                    <w:rPr>
                      <w:rFonts w:ascii="Cambria Math" w:hAnsi="Cambria Math"/>
                      <w:i/>
                      <w:sz w:val="24"/>
                      <w:szCs w:val="24"/>
                    </w:rPr>
                  </m:ctrlPr>
                </m:sSubPr>
                <m:e>
                  <m:r>
                    <m:rPr/>
                    <w:rPr>
                      <w:rFonts w:ascii="Cambria Math" w:hAnsi="Cambria Math"/>
                      <w:sz w:val="24"/>
                      <w:szCs w:val="24"/>
                    </w:rPr>
                    <m:t>)</m:t>
                  </m:r>
                  <m:ctrlPr>
                    <w:rPr>
                      <w:rFonts w:ascii="Cambria Math" w:hAnsi="Cambria Math"/>
                      <w:i/>
                      <w:sz w:val="24"/>
                      <w:szCs w:val="24"/>
                    </w:rPr>
                  </m:ctrlPr>
                </m:e>
                <m:sub>
                  <m:r>
                    <m:rPr>
                      <m:nor/>
                    </m:rPr>
                    <w:rPr>
                      <w:i/>
                      <w:sz w:val="24"/>
                      <w:szCs w:val="24"/>
                    </w:rPr>
                    <m:t>ij</m:t>
                  </m:r>
                  <m:ctrlPr>
                    <w:rPr>
                      <w:rFonts w:ascii="Cambria Math" w:hAnsi="Cambria Math"/>
                      <w:i/>
                      <w:sz w:val="24"/>
                      <w:szCs w:val="24"/>
                    </w:rPr>
                  </m:ctrlPr>
                </m:sub>
              </m:sSub>
              <m:r>
                <m:rPr/>
                <w:rPr>
                  <w:rFonts w:ascii="Cambria Math" w:hAnsi="Cambria Math"/>
                  <w:sz w:val="24"/>
                  <w:szCs w:val="24"/>
                </w:rPr>
                <m:t>=</m:t>
              </m:r>
              <m:f>
                <m:fPr>
                  <m:ctrlPr>
                    <w:rPr>
                      <w:rFonts w:ascii="Cambria Math" w:hAnsi="Cambria Math"/>
                      <w:i/>
                      <w:sz w:val="24"/>
                      <w:szCs w:val="24"/>
                    </w:rPr>
                  </m:ctrlPr>
                </m:fPr>
                <m:num>
                  <m:r>
                    <m:rPr/>
                    <w:rPr>
                      <w:rFonts w:ascii="Cambria Math" w:hAnsi="Cambria Math"/>
                      <w:sz w:val="24"/>
                      <w:szCs w:val="24"/>
                    </w:rPr>
                    <m:t>(</m:t>
                  </m:r>
                  <m:sSub>
                    <m:sSubPr>
                      <m:ctrlPr>
                        <w:rPr>
                          <w:rFonts w:ascii="Cambria Math" w:hAnsi="Cambria Math"/>
                          <w:i/>
                          <w:sz w:val="24"/>
                          <w:szCs w:val="24"/>
                        </w:rPr>
                      </m:ctrlPr>
                    </m:sSubPr>
                    <m:e>
                      <m:r>
                        <m:rPr/>
                        <w:rPr>
                          <w:rFonts w:ascii="Cambria Math" w:hAnsi="Cambria Math"/>
                          <w:sz w:val="24"/>
                          <w:szCs w:val="24"/>
                        </w:rPr>
                        <m:t>Q</m:t>
                      </m:r>
                      <m:ctrlPr>
                        <w:rPr>
                          <w:rFonts w:ascii="Cambria Math" w:hAnsi="Cambria Math"/>
                          <w:i/>
                          <w:sz w:val="24"/>
                          <w:szCs w:val="24"/>
                        </w:rPr>
                      </m:ctrlPr>
                    </m:e>
                    <m:sub>
                      <m:r>
                        <m:rPr>
                          <m:nor/>
                          <m:sty m:val="p"/>
                        </m:rPr>
                        <w:rPr>
                          <w:sz w:val="24"/>
                          <w:szCs w:val="24"/>
                        </w:rPr>
                        <m:t>s</m:t>
                      </m:r>
                      <m:ctrlPr>
                        <w:rPr>
                          <w:rFonts w:ascii="Cambria Math" w:hAnsi="Cambria Math"/>
                          <w:i/>
                          <w:sz w:val="24"/>
                          <w:szCs w:val="24"/>
                        </w:rPr>
                      </m:ctrlPr>
                    </m:sub>
                  </m:sSub>
                  <m:sSub>
                    <m:sSubPr>
                      <m:ctrlPr>
                        <w:rPr>
                          <w:rFonts w:ascii="Cambria Math" w:hAnsi="Cambria Math"/>
                          <w:i/>
                          <w:sz w:val="24"/>
                          <w:szCs w:val="24"/>
                        </w:rPr>
                      </m:ctrlPr>
                    </m:sSubPr>
                    <m:e>
                      <m:r>
                        <m:rPr/>
                        <w:rPr>
                          <w:rFonts w:ascii="Cambria Math" w:hAnsi="Cambria Math"/>
                          <w:sz w:val="24"/>
                          <w:szCs w:val="24"/>
                        </w:rPr>
                        <m:t>)</m:t>
                      </m:r>
                      <m:ctrlPr>
                        <w:rPr>
                          <w:rFonts w:ascii="Cambria Math" w:hAnsi="Cambria Math"/>
                          <w:i/>
                          <w:sz w:val="24"/>
                          <w:szCs w:val="24"/>
                        </w:rPr>
                      </m:ctrlPr>
                    </m:e>
                    <m:sub>
                      <m:r>
                        <m:rPr>
                          <m:nor/>
                        </m:rPr>
                        <w:rPr>
                          <w:i/>
                          <w:sz w:val="24"/>
                          <w:szCs w:val="24"/>
                        </w:rPr>
                        <m:t>ij</m:t>
                      </m:r>
                      <m:ctrlPr>
                        <w:rPr>
                          <w:rFonts w:ascii="Cambria Math" w:hAnsi="Cambria Math"/>
                          <w:i/>
                          <w:sz w:val="24"/>
                          <w:szCs w:val="24"/>
                        </w:rPr>
                      </m:ctrlPr>
                    </m:sub>
                  </m:sSub>
                  <m:ctrlPr>
                    <w:rPr>
                      <w:rFonts w:ascii="Cambria Math" w:hAnsi="Cambria Math"/>
                      <w:i/>
                      <w:sz w:val="24"/>
                      <w:szCs w:val="24"/>
                    </w:rPr>
                  </m:ctrlPr>
                </m:num>
                <m:den>
                  <m:sSub>
                    <m:sSubPr>
                      <m:ctrlPr>
                        <w:rPr>
                          <w:rFonts w:ascii="Cambria Math" w:hAnsi="Cambria Math"/>
                          <w:i/>
                          <w:sz w:val="24"/>
                          <w:szCs w:val="24"/>
                        </w:rPr>
                      </m:ctrlPr>
                    </m:sSubPr>
                    <m:e>
                      <m:r>
                        <m:rPr/>
                        <w:rPr>
                          <w:rFonts w:ascii="Cambria Math" w:hAnsi="Cambria Math"/>
                          <w:sz w:val="24"/>
                          <w:szCs w:val="24"/>
                        </w:rPr>
                        <m:t>t</m:t>
                      </m:r>
                      <m:ctrlPr>
                        <w:rPr>
                          <w:rFonts w:ascii="Cambria Math" w:hAnsi="Cambria Math"/>
                          <w:i/>
                          <w:sz w:val="24"/>
                          <w:szCs w:val="24"/>
                        </w:rPr>
                      </m:ctrlPr>
                    </m:e>
                    <m:sub>
                      <m:r>
                        <m:rPr>
                          <m:nor/>
                        </m:rPr>
                        <w:rPr>
                          <w:i/>
                          <w:sz w:val="24"/>
                          <w:szCs w:val="24"/>
                        </w:rPr>
                        <m:t>ij</m:t>
                      </m:r>
                      <m:ctrlPr>
                        <w:rPr>
                          <w:rFonts w:ascii="Cambria Math" w:hAnsi="Cambria Math"/>
                          <w:i/>
                          <w:sz w:val="24"/>
                          <w:szCs w:val="24"/>
                        </w:rPr>
                      </m:ctrlPr>
                    </m:sub>
                  </m:sSub>
                  <m:ctrlPr>
                    <w:rPr>
                      <w:rFonts w:ascii="Cambria Math" w:hAnsi="Cambria Math"/>
                      <w:i/>
                      <w:sz w:val="24"/>
                      <w:szCs w:val="24"/>
                    </w:rPr>
                  </m:ctrlPr>
                </m:den>
              </m:f>
            </m:oMath>
            <w:r>
              <w:rPr>
                <w:sz w:val="24"/>
                <w:szCs w:val="24"/>
              </w:rPr>
              <w:t xml:space="preserve">    </w:t>
            </w:r>
          </w:p>
        </w:tc>
        <w:tc>
          <w:tcPr>
            <w:tcW w:w="1550" w:type="dxa"/>
            <w:vAlign w:val="center"/>
          </w:tcPr>
          <w:p w14:paraId="110A278D">
            <w:pPr>
              <w:tabs>
                <w:tab w:val="left" w:pos="360"/>
              </w:tabs>
              <w:spacing w:before="160" w:line="360" w:lineRule="auto"/>
              <w:jc w:val="center"/>
              <w:rPr>
                <w:sz w:val="24"/>
                <w:szCs w:val="24"/>
              </w:rPr>
            </w:pPr>
            <w:r>
              <w:rPr>
                <w:sz w:val="24"/>
                <w:szCs w:val="24"/>
              </w:rPr>
              <w:t xml:space="preserve">        </w:t>
            </w:r>
            <w:r>
              <w:rPr>
                <w:rFonts w:hint="eastAsia"/>
                <w:sz w:val="24"/>
                <w:szCs w:val="24"/>
              </w:rPr>
              <w:t>（</w:t>
            </w:r>
            <w:r>
              <w:rPr>
                <w:sz w:val="24"/>
                <w:szCs w:val="24"/>
              </w:rPr>
              <w:t>4</w:t>
            </w:r>
            <w:r>
              <w:rPr>
                <w:rFonts w:hint="eastAsia"/>
                <w:sz w:val="24"/>
                <w:szCs w:val="24"/>
              </w:rPr>
              <w:t>）</w:t>
            </w:r>
          </w:p>
        </w:tc>
      </w:tr>
      <w:bookmarkEnd w:id="255"/>
    </w:tbl>
    <w:p w14:paraId="76AFD08C">
      <w:pPr>
        <w:spacing w:before="160" w:line="360" w:lineRule="auto"/>
        <w:rPr>
          <w:i/>
          <w:sz w:val="24"/>
          <w:szCs w:val="24"/>
        </w:rPr>
      </w:pPr>
      <w:r>
        <w:rPr>
          <w:sz w:val="24"/>
          <w:szCs w:val="24"/>
        </w:rPr>
        <w:t>式中：</w:t>
      </w:r>
      <w:r>
        <w:rPr>
          <w:rFonts w:hint="eastAsia"/>
          <w:i/>
          <w:sz w:val="24"/>
          <w:szCs w:val="24"/>
        </w:rPr>
        <w:t>t</w:t>
      </w:r>
      <w:r>
        <w:rPr>
          <w:rFonts w:hint="eastAsia"/>
          <w:i/>
          <w:iCs/>
          <w:sz w:val="24"/>
          <w:szCs w:val="24"/>
          <w:vertAlign w:val="subscript"/>
        </w:rPr>
        <w:t>ij</w:t>
      </w:r>
      <w:r>
        <w:rPr>
          <w:sz w:val="24"/>
          <w:szCs w:val="24"/>
        </w:rPr>
        <w:t>—第</w:t>
      </w:r>
      <w:r>
        <w:rPr>
          <w:i/>
          <w:sz w:val="24"/>
          <w:szCs w:val="24"/>
        </w:rPr>
        <w:t>i</w:t>
      </w:r>
      <w:r>
        <w:rPr>
          <w:sz w:val="24"/>
          <w:szCs w:val="24"/>
        </w:rPr>
        <w:t>流量点第</w:t>
      </w:r>
      <w:r>
        <w:rPr>
          <w:i/>
          <w:iCs/>
          <w:sz w:val="24"/>
          <w:szCs w:val="24"/>
        </w:rPr>
        <w:t>j</w:t>
      </w:r>
      <w:r>
        <w:rPr>
          <w:sz w:val="24"/>
          <w:szCs w:val="24"/>
        </w:rPr>
        <w:t>次检定</w:t>
      </w:r>
      <w:r>
        <w:rPr>
          <w:rFonts w:hint="eastAsia"/>
          <w:sz w:val="24"/>
          <w:szCs w:val="24"/>
        </w:rPr>
        <w:t>时间，h</w:t>
      </w:r>
      <w:r>
        <w:rPr>
          <w:sz w:val="24"/>
          <w:szCs w:val="24"/>
        </w:rPr>
        <w:t>或min或</w:t>
      </w:r>
      <w:r>
        <w:rPr>
          <w:rFonts w:hint="eastAsia"/>
          <w:sz w:val="24"/>
          <w:szCs w:val="24"/>
        </w:rPr>
        <w:t>s</w:t>
      </w:r>
      <w:r>
        <w:rPr>
          <w:sz w:val="24"/>
          <w:szCs w:val="24"/>
        </w:rPr>
        <w:t>；</w:t>
      </w:r>
    </w:p>
    <w:p w14:paraId="51E081D8">
      <w:pPr>
        <w:spacing w:before="160" w:line="360" w:lineRule="auto"/>
        <w:ind w:firstLine="480"/>
        <w:rPr>
          <w:sz w:val="24"/>
          <w:szCs w:val="24"/>
        </w:rPr>
      </w:pPr>
      <w:r>
        <w:rPr>
          <w:sz w:val="24"/>
          <w:szCs w:val="24"/>
        </w:rPr>
        <w:t>流量计各检定流量点的相对示值误差按式（</w:t>
      </w:r>
      <w:r>
        <w:rPr>
          <w:rFonts w:hint="eastAsia"/>
          <w:sz w:val="24"/>
          <w:szCs w:val="24"/>
        </w:rPr>
        <w:t>5</w:t>
      </w:r>
      <w:r>
        <w:rPr>
          <w:sz w:val="24"/>
          <w:szCs w:val="24"/>
        </w:rPr>
        <w:t>）计算：</w:t>
      </w:r>
    </w:p>
    <w:tbl>
      <w:tblPr>
        <w:tblStyle w:val="38"/>
        <w:tblW w:w="8680" w:type="dxa"/>
        <w:jc w:val="center"/>
        <w:tblLayout w:type="fixed"/>
        <w:tblCellMar>
          <w:top w:w="0" w:type="dxa"/>
          <w:left w:w="108" w:type="dxa"/>
          <w:bottom w:w="0" w:type="dxa"/>
          <w:right w:w="108" w:type="dxa"/>
        </w:tblCellMar>
      </w:tblPr>
      <w:tblGrid>
        <w:gridCol w:w="6870"/>
        <w:gridCol w:w="1810"/>
      </w:tblGrid>
      <w:tr w14:paraId="24B9E9F9">
        <w:tblPrEx>
          <w:tblCellMar>
            <w:top w:w="0" w:type="dxa"/>
            <w:left w:w="108" w:type="dxa"/>
            <w:bottom w:w="0" w:type="dxa"/>
            <w:right w:w="108" w:type="dxa"/>
          </w:tblCellMar>
        </w:tblPrEx>
        <w:trPr>
          <w:jc w:val="center"/>
        </w:trPr>
        <w:tc>
          <w:tcPr>
            <w:tcW w:w="6870" w:type="dxa"/>
            <w:vAlign w:val="center"/>
          </w:tcPr>
          <w:p w14:paraId="2CE22665">
            <w:pPr>
              <w:tabs>
                <w:tab w:val="left" w:pos="360"/>
              </w:tabs>
              <w:spacing w:before="160" w:line="360" w:lineRule="auto"/>
              <w:ind w:firstLine="480" w:firstLineChars="200"/>
              <w:jc w:val="center"/>
              <w:rPr>
                <w:sz w:val="24"/>
                <w:szCs w:val="24"/>
              </w:rPr>
            </w:pPr>
            <w:r>
              <w:rPr>
                <w:sz w:val="24"/>
                <w:szCs w:val="24"/>
              </w:rPr>
              <w:fldChar w:fldCharType="begin"/>
            </w:r>
            <w:r>
              <w:rPr>
                <w:sz w:val="24"/>
                <w:szCs w:val="24"/>
              </w:rPr>
              <w:instrText xml:space="preserve"> QUOTE </w:instrText>
            </w:r>
            <w:r>
              <w:rPr>
                <w:rFonts w:ascii="Cambria Math" w:hAnsi="Cambria Math"/>
                <w:sz w:val="24"/>
                <w:szCs w:val="24"/>
              </w:rPr>
              <w:instrText xml:space="preserve">(qs)ij</w:instrText>
            </w:r>
            <w:r>
              <w:rPr>
                <w:rFonts w:ascii="Cambria Math"/>
                <w:sz w:val="24"/>
                <w:szCs w:val="24"/>
              </w:rPr>
              <w:instrText xml:space="preserve">=(Qs)ijtij</w:instrText>
            </w:r>
            <w:r>
              <w:rPr>
                <w:sz w:val="24"/>
                <w:szCs w:val="24"/>
              </w:rPr>
              <w:instrText xml:space="preserve"> </w:instrText>
            </w:r>
            <w:r>
              <w:rPr>
                <w:sz w:val="24"/>
                <w:szCs w:val="24"/>
              </w:rPr>
              <w:fldChar w:fldCharType="separate"/>
            </w:r>
            <m:oMath>
              <m:sSub>
                <m:sSubPr>
                  <m:ctrlPr>
                    <w:rPr>
                      <w:rFonts w:ascii="Cambria Math" w:hAnsi="Cambria Math"/>
                      <w:i/>
                      <w:sz w:val="24"/>
                      <w:szCs w:val="24"/>
                    </w:rPr>
                  </m:ctrlPr>
                </m:sSubPr>
                <m:e>
                  <m:r>
                    <m:rPr>
                      <m:sty m:val="p"/>
                    </m:rPr>
                    <w:rPr>
                      <w:rFonts w:ascii="Cambria Math" w:hAnsi="Cambria Math"/>
                      <w:sz w:val="24"/>
                      <w:szCs w:val="24"/>
                    </w:rPr>
                    <m:t>E</m:t>
                  </m:r>
                  <m:ctrlPr>
                    <w:rPr>
                      <w:rFonts w:ascii="Cambria Math" w:hAnsi="Cambria Math"/>
                      <w:i/>
                      <w:sz w:val="24"/>
                      <w:szCs w:val="24"/>
                    </w:rPr>
                  </m:ctrlPr>
                </m:e>
                <m:sub>
                  <m:r>
                    <m:rPr>
                      <m:nor/>
                      <m:sty m:val="p"/>
                    </m:rPr>
                    <w:rPr>
                      <w:rFonts w:ascii="Cambria Math"/>
                      <w:sz w:val="24"/>
                      <w:szCs w:val="24"/>
                    </w:rPr>
                    <m:t>i</m:t>
                  </m:r>
                  <m:ctrlPr>
                    <w:rPr>
                      <w:rFonts w:ascii="Cambria Math" w:hAnsi="Cambria Math"/>
                      <w:i/>
                      <w:sz w:val="24"/>
                      <w:szCs w:val="24"/>
                    </w:rPr>
                  </m:ctrlPr>
                </m:sub>
              </m:sSub>
              <m:r>
                <m:rPr>
                  <m:sty m:val="p"/>
                </m:rPr>
                <w:rPr>
                  <w:rFonts w:ascii="Cambria Math"/>
                  <w:sz w:val="24"/>
                  <w:szCs w:val="24"/>
                </w:rPr>
                <m:t>=</m:t>
              </m:r>
              <m:f>
                <m:fPr>
                  <m:ctrlPr>
                    <w:rPr>
                      <w:rFonts w:ascii="Cambria Math" w:hAnsi="Cambria Math"/>
                      <w:i/>
                      <w:sz w:val="24"/>
                      <w:szCs w:val="24"/>
                    </w:rPr>
                  </m:ctrlPr>
                </m:fPr>
                <m:num>
                  <m:nary>
                    <m:naryPr>
                      <m:chr m:val="∑"/>
                      <m:ctrlPr>
                        <w:rPr>
                          <w:rFonts w:ascii="Cambria Math" w:hAnsi="Cambria Math"/>
                          <w:i/>
                          <w:sz w:val="24"/>
                          <w:szCs w:val="24"/>
                        </w:rPr>
                      </m:ctrlPr>
                    </m:naryPr>
                    <m:sub>
                      <m:r>
                        <m:rPr>
                          <m:sty m:val="p"/>
                        </m:rPr>
                        <w:rPr>
                          <w:rFonts w:ascii="Cambria Math"/>
                          <w:sz w:val="24"/>
                          <w:szCs w:val="24"/>
                        </w:rPr>
                        <m:t>j=1</m:t>
                      </m:r>
                      <m:ctrlPr>
                        <w:rPr>
                          <w:rFonts w:ascii="Cambria Math" w:hAnsi="Cambria Math"/>
                          <w:i/>
                          <w:sz w:val="24"/>
                          <w:szCs w:val="24"/>
                        </w:rPr>
                      </m:ctrlPr>
                    </m:sub>
                    <m:sup>
                      <m:r>
                        <m:rPr>
                          <m:sty m:val="p"/>
                        </m:rPr>
                        <w:rPr>
                          <w:rFonts w:ascii="Cambria Math"/>
                          <w:sz w:val="24"/>
                          <w:szCs w:val="24"/>
                        </w:rPr>
                        <m:t>n</m:t>
                      </m:r>
                      <m:ctrlPr>
                        <w:rPr>
                          <w:rFonts w:ascii="Cambria Math" w:hAnsi="Cambria Math"/>
                          <w:i/>
                          <w:sz w:val="24"/>
                          <w:szCs w:val="24"/>
                        </w:rPr>
                      </m:ctrlPr>
                    </m:sup>
                    <m:e>
                      <m:sSub>
                        <m:sSubPr>
                          <m:ctrlPr>
                            <w:rPr>
                              <w:rFonts w:ascii="Cambria Math" w:hAnsi="Cambria Math"/>
                              <w:i/>
                              <w:sz w:val="24"/>
                              <w:szCs w:val="24"/>
                            </w:rPr>
                          </m:ctrlPr>
                        </m:sSubPr>
                        <m:e>
                          <m:r>
                            <m:rPr>
                              <m:sty m:val="p"/>
                            </m:rPr>
                            <w:rPr>
                              <w:rFonts w:ascii="Cambria Math" w:hAnsi="Cambria Math"/>
                              <w:sz w:val="24"/>
                              <w:szCs w:val="24"/>
                            </w:rPr>
                            <m:t>E</m:t>
                          </m:r>
                          <m:ctrlPr>
                            <w:rPr>
                              <w:rFonts w:ascii="Cambria Math" w:hAnsi="Cambria Math"/>
                              <w:i/>
                              <w:sz w:val="24"/>
                              <w:szCs w:val="24"/>
                            </w:rPr>
                          </m:ctrlPr>
                        </m:e>
                        <m:sub>
                          <m:r>
                            <m:rPr>
                              <m:nor/>
                              <m:sty m:val="p"/>
                            </m:rPr>
                            <w:rPr>
                              <w:rFonts w:ascii="Cambria Math"/>
                              <w:sz w:val="24"/>
                              <w:szCs w:val="24"/>
                            </w:rPr>
                            <m:t>ij</m:t>
                          </m:r>
                          <m:ctrlPr>
                            <w:rPr>
                              <w:rFonts w:ascii="Cambria Math" w:hAnsi="Cambria Math"/>
                              <w:i/>
                              <w:sz w:val="24"/>
                              <w:szCs w:val="24"/>
                            </w:rPr>
                          </m:ctrlPr>
                        </m:sub>
                      </m:sSub>
                      <m:ctrlPr>
                        <w:rPr>
                          <w:rFonts w:ascii="Cambria Math" w:hAnsi="Cambria Math"/>
                          <w:i/>
                          <w:sz w:val="24"/>
                          <w:szCs w:val="24"/>
                        </w:rPr>
                      </m:ctrlPr>
                    </m:e>
                  </m:nary>
                  <m:ctrlPr>
                    <w:rPr>
                      <w:rFonts w:ascii="Cambria Math" w:hAnsi="Cambria Math"/>
                      <w:i/>
                      <w:sz w:val="24"/>
                      <w:szCs w:val="24"/>
                    </w:rPr>
                  </m:ctrlPr>
                </m:num>
                <m:den>
                  <m:r>
                    <m:rPr>
                      <m:sty m:val="p"/>
                    </m:rPr>
                    <w:rPr>
                      <w:rFonts w:ascii="Cambria Math"/>
                      <w:sz w:val="24"/>
                      <w:szCs w:val="24"/>
                    </w:rPr>
                    <m:t>n</m:t>
                  </m:r>
                  <m:ctrlPr>
                    <w:rPr>
                      <w:rFonts w:ascii="Cambria Math" w:hAnsi="Cambria Math"/>
                      <w:i/>
                      <w:sz w:val="24"/>
                      <w:szCs w:val="24"/>
                    </w:rPr>
                  </m:ctrlPr>
                </m:den>
              </m:f>
            </m:oMath>
            <w:r>
              <w:rPr>
                <w:sz w:val="24"/>
                <w:szCs w:val="24"/>
              </w:rPr>
              <w:fldChar w:fldCharType="end"/>
            </w:r>
            <w:r>
              <w:rPr>
                <w:sz w:val="24"/>
                <w:szCs w:val="24"/>
              </w:rPr>
              <w:t xml:space="preserve"> </w:t>
            </w:r>
          </w:p>
        </w:tc>
        <w:tc>
          <w:tcPr>
            <w:tcW w:w="1810" w:type="dxa"/>
            <w:vAlign w:val="center"/>
          </w:tcPr>
          <w:p w14:paraId="7AE7ABE2">
            <w:pPr>
              <w:tabs>
                <w:tab w:val="left" w:pos="360"/>
              </w:tabs>
              <w:spacing w:before="160" w:line="360" w:lineRule="auto"/>
              <w:jc w:val="center"/>
              <w:rPr>
                <w:sz w:val="24"/>
                <w:szCs w:val="24"/>
              </w:rPr>
            </w:pPr>
            <w:r>
              <w:rPr>
                <w:sz w:val="24"/>
                <w:szCs w:val="24"/>
              </w:rPr>
              <w:t xml:space="preserve">        </w:t>
            </w:r>
            <w:r>
              <w:rPr>
                <w:rFonts w:hint="eastAsia"/>
                <w:sz w:val="24"/>
                <w:szCs w:val="24"/>
              </w:rPr>
              <w:t>（</w:t>
            </w:r>
            <w:r>
              <w:rPr>
                <w:sz w:val="24"/>
                <w:szCs w:val="24"/>
              </w:rPr>
              <w:t>5</w:t>
            </w:r>
            <w:r>
              <w:rPr>
                <w:rFonts w:hint="eastAsia"/>
                <w:sz w:val="24"/>
                <w:szCs w:val="24"/>
              </w:rPr>
              <w:t>）</w:t>
            </w:r>
          </w:p>
        </w:tc>
      </w:tr>
    </w:tbl>
    <w:p w14:paraId="0B51CC74">
      <w:pPr>
        <w:spacing w:before="160" w:line="360" w:lineRule="auto"/>
        <w:rPr>
          <w:sz w:val="24"/>
          <w:szCs w:val="24"/>
        </w:rPr>
      </w:pPr>
      <w:r>
        <w:rPr>
          <w:sz w:val="24"/>
          <w:szCs w:val="24"/>
        </w:rPr>
        <w:t>式中：</w:t>
      </w:r>
      <w:r>
        <w:rPr>
          <w:rFonts w:hint="eastAsia"/>
          <w:i/>
          <w:sz w:val="24"/>
          <w:szCs w:val="24"/>
        </w:rPr>
        <w:t>E</w:t>
      </w:r>
      <w:r>
        <w:rPr>
          <w:rFonts w:hint="eastAsia"/>
          <w:iCs/>
          <w:sz w:val="24"/>
          <w:szCs w:val="24"/>
          <w:vertAlign w:val="subscript"/>
        </w:rPr>
        <w:t>i</w:t>
      </w:r>
      <w:r>
        <w:rPr>
          <w:sz w:val="24"/>
          <w:szCs w:val="24"/>
        </w:rPr>
        <w:t>—第</w:t>
      </w:r>
      <w:r>
        <w:rPr>
          <w:i/>
          <w:sz w:val="24"/>
          <w:szCs w:val="24"/>
        </w:rPr>
        <w:t>i</w:t>
      </w:r>
      <w:r>
        <w:rPr>
          <w:sz w:val="24"/>
          <w:szCs w:val="24"/>
        </w:rPr>
        <w:t>流量点流量计的相对示值误差，%；</w:t>
      </w:r>
    </w:p>
    <w:tbl>
      <w:tblPr>
        <w:tblStyle w:val="38"/>
        <w:tblW w:w="7808" w:type="dxa"/>
        <w:tblInd w:w="108" w:type="dxa"/>
        <w:tblLayout w:type="fixed"/>
        <w:tblCellMar>
          <w:top w:w="0" w:type="dxa"/>
          <w:left w:w="108" w:type="dxa"/>
          <w:bottom w:w="0" w:type="dxa"/>
          <w:right w:w="108" w:type="dxa"/>
        </w:tblCellMar>
      </w:tblPr>
      <w:tblGrid>
        <w:gridCol w:w="7808"/>
      </w:tblGrid>
      <w:tr w14:paraId="665BB3B3">
        <w:tblPrEx>
          <w:tblCellMar>
            <w:top w:w="0" w:type="dxa"/>
            <w:left w:w="108" w:type="dxa"/>
            <w:bottom w:w="0" w:type="dxa"/>
            <w:right w:w="108" w:type="dxa"/>
          </w:tblCellMar>
        </w:tblPrEx>
        <w:tc>
          <w:tcPr>
            <w:tcW w:w="7808" w:type="dxa"/>
          </w:tcPr>
          <w:p w14:paraId="5C1D2D32">
            <w:pPr>
              <w:tabs>
                <w:tab w:val="left" w:pos="720"/>
                <w:tab w:val="left" w:pos="1080"/>
                <w:tab w:val="left" w:pos="1440"/>
                <w:tab w:val="left" w:pos="1800"/>
                <w:tab w:val="left" w:pos="2160"/>
              </w:tabs>
              <w:spacing w:before="160" w:line="360" w:lineRule="auto"/>
              <w:ind w:firstLine="708" w:firstLineChars="295"/>
              <w:rPr>
                <w:sz w:val="24"/>
                <w:szCs w:val="24"/>
              </w:rPr>
            </w:pPr>
            <m:oMath>
              <m:r>
                <m:rPr/>
                <w:rPr>
                  <w:rFonts w:ascii="Cambria Math"/>
                  <w:sz w:val="24"/>
                  <w:szCs w:val="24"/>
                </w:rPr>
                <m:t>n</m:t>
              </m:r>
            </m:oMath>
            <w:r>
              <w:rPr>
                <w:sz w:val="24"/>
                <w:szCs w:val="24"/>
              </w:rPr>
              <w:t>—第</w:t>
            </w:r>
            <w:r>
              <w:rPr>
                <w:i/>
                <w:sz w:val="24"/>
                <w:szCs w:val="24"/>
              </w:rPr>
              <w:t>i</w:t>
            </w:r>
            <w:r>
              <w:rPr>
                <w:sz w:val="24"/>
                <w:szCs w:val="24"/>
              </w:rPr>
              <w:t>流量点的检定次数。</w:t>
            </w:r>
          </w:p>
        </w:tc>
      </w:tr>
    </w:tbl>
    <w:p w14:paraId="6709C061">
      <w:pPr>
        <w:autoSpaceDE w:val="0"/>
        <w:autoSpaceDN w:val="0"/>
        <w:spacing w:before="160" w:line="360" w:lineRule="auto"/>
        <w:ind w:firstLine="480" w:firstLineChars="200"/>
        <w:rPr>
          <w:sz w:val="24"/>
          <w:szCs w:val="24"/>
        </w:rPr>
      </w:pPr>
      <w:r>
        <w:rPr>
          <w:rFonts w:hint="eastAsia"/>
          <w:sz w:val="24"/>
          <w:szCs w:val="24"/>
        </w:rPr>
        <w:t>（2）流量计的示值误差</w:t>
      </w:r>
    </w:p>
    <w:p w14:paraId="7C2627B8">
      <w:pPr>
        <w:spacing w:before="160" w:line="360" w:lineRule="auto"/>
        <w:ind w:firstLine="480" w:firstLineChars="200"/>
        <w:rPr>
          <w:sz w:val="24"/>
          <w:szCs w:val="24"/>
        </w:rPr>
      </w:pPr>
      <w:r>
        <w:rPr>
          <w:sz w:val="24"/>
          <w:szCs w:val="24"/>
        </w:rPr>
        <w:t>流量计</w:t>
      </w:r>
      <w:r>
        <w:rPr>
          <w:rFonts w:hint="eastAsia"/>
          <w:sz w:val="24"/>
          <w:szCs w:val="24"/>
        </w:rPr>
        <w:t>的</w:t>
      </w:r>
      <w:r>
        <w:rPr>
          <w:sz w:val="24"/>
          <w:szCs w:val="24"/>
        </w:rPr>
        <w:t>相对示值误差分别取</w:t>
      </w:r>
      <w:r>
        <w:rPr>
          <w:i/>
          <w:sz w:val="24"/>
          <w:szCs w:val="24"/>
        </w:rPr>
        <w:t>q</w:t>
      </w:r>
      <w:r>
        <w:rPr>
          <w:sz w:val="24"/>
          <w:szCs w:val="24"/>
          <w:vertAlign w:val="subscript"/>
        </w:rPr>
        <w:t>t</w:t>
      </w:r>
      <w:r>
        <w:rPr>
          <w:rFonts w:ascii="宋体" w:hAnsi="宋体"/>
          <w:sz w:val="24"/>
          <w:szCs w:val="24"/>
        </w:rPr>
        <w:t>≤</w:t>
      </w:r>
      <w:r>
        <w:rPr>
          <w:i/>
          <w:sz w:val="24"/>
          <w:szCs w:val="24"/>
        </w:rPr>
        <w:t>q</w:t>
      </w:r>
      <w:r>
        <w:rPr>
          <w:rFonts w:ascii="宋体" w:hAnsi="宋体"/>
          <w:sz w:val="24"/>
          <w:szCs w:val="24"/>
        </w:rPr>
        <w:t>≤</w:t>
      </w:r>
      <w:r>
        <w:rPr>
          <w:i/>
          <w:sz w:val="24"/>
          <w:szCs w:val="24"/>
        </w:rPr>
        <w:t>q</w:t>
      </w:r>
      <w:r>
        <w:rPr>
          <w:sz w:val="24"/>
          <w:szCs w:val="24"/>
          <w:vertAlign w:val="subscript"/>
        </w:rPr>
        <w:t>max</w:t>
      </w:r>
      <w:r>
        <w:rPr>
          <w:rFonts w:hint="eastAsia"/>
          <w:sz w:val="24"/>
          <w:szCs w:val="24"/>
        </w:rPr>
        <w:t>和</w:t>
      </w:r>
      <w:r>
        <w:rPr>
          <w:i/>
          <w:sz w:val="24"/>
          <w:szCs w:val="24"/>
        </w:rPr>
        <w:t>q</w:t>
      </w:r>
      <w:r>
        <w:rPr>
          <w:sz w:val="24"/>
          <w:szCs w:val="24"/>
          <w:vertAlign w:val="subscript"/>
        </w:rPr>
        <w:t>min</w:t>
      </w:r>
      <w:r>
        <w:rPr>
          <w:rFonts w:ascii="宋体" w:hAnsi="宋体"/>
          <w:sz w:val="24"/>
          <w:szCs w:val="24"/>
        </w:rPr>
        <w:t>≤</w:t>
      </w:r>
      <w:r>
        <w:rPr>
          <w:i/>
          <w:sz w:val="24"/>
          <w:szCs w:val="24"/>
        </w:rPr>
        <w:t>q</w:t>
      </w:r>
      <w:r>
        <w:rPr>
          <w:rFonts w:hint="eastAsia" w:ascii="宋体" w:hAnsi="宋体"/>
          <w:sz w:val="24"/>
          <w:szCs w:val="24"/>
        </w:rPr>
        <w:t>＜</w:t>
      </w:r>
      <w:r>
        <w:rPr>
          <w:i/>
          <w:sz w:val="24"/>
          <w:szCs w:val="24"/>
        </w:rPr>
        <w:t>q</w:t>
      </w:r>
      <w:r>
        <w:rPr>
          <w:sz w:val="24"/>
          <w:szCs w:val="24"/>
          <w:vertAlign w:val="subscript"/>
        </w:rPr>
        <w:t>t</w:t>
      </w:r>
      <w:r>
        <w:rPr>
          <w:rFonts w:hint="eastAsia"/>
          <w:sz w:val="24"/>
          <w:szCs w:val="24"/>
        </w:rPr>
        <w:t>内</w:t>
      </w:r>
      <w:r>
        <w:rPr>
          <w:sz w:val="24"/>
          <w:szCs w:val="24"/>
        </w:rPr>
        <w:t>各</w:t>
      </w:r>
      <w:r>
        <w:rPr>
          <w:rFonts w:hint="eastAsia"/>
          <w:sz w:val="24"/>
          <w:szCs w:val="24"/>
        </w:rPr>
        <w:t>流量</w:t>
      </w:r>
      <w:r>
        <w:rPr>
          <w:sz w:val="24"/>
          <w:szCs w:val="24"/>
        </w:rPr>
        <w:t>点相对示值误差中</w:t>
      </w:r>
      <w:r>
        <w:rPr>
          <w:rFonts w:hint="eastAsia"/>
          <w:sz w:val="24"/>
          <w:szCs w:val="24"/>
        </w:rPr>
        <w:t>绝对值</w:t>
      </w:r>
      <w:r>
        <w:rPr>
          <w:sz w:val="24"/>
          <w:szCs w:val="24"/>
        </w:rPr>
        <w:t>的最大值。</w:t>
      </w:r>
    </w:p>
    <w:p w14:paraId="5ECEBFEB">
      <w:pPr>
        <w:spacing w:before="160" w:line="360" w:lineRule="auto"/>
        <w:rPr>
          <w:sz w:val="24"/>
          <w:szCs w:val="24"/>
        </w:rPr>
      </w:pPr>
      <w:r>
        <w:rPr>
          <w:rFonts w:hint="eastAsia"/>
          <w:sz w:val="24"/>
          <w:szCs w:val="24"/>
        </w:rPr>
        <w:t>10</w:t>
      </w:r>
      <w:r>
        <w:rPr>
          <w:sz w:val="24"/>
          <w:szCs w:val="24"/>
        </w:rPr>
        <w:t>.</w:t>
      </w:r>
      <w:r>
        <w:rPr>
          <w:rFonts w:hint="eastAsia"/>
          <w:sz w:val="24"/>
          <w:szCs w:val="24"/>
        </w:rPr>
        <w:t>2</w:t>
      </w:r>
      <w:r>
        <w:rPr>
          <w:sz w:val="24"/>
          <w:szCs w:val="24"/>
        </w:rPr>
        <w:t>.</w:t>
      </w:r>
      <w:r>
        <w:rPr>
          <w:rFonts w:hint="eastAsia"/>
          <w:sz w:val="24"/>
          <w:szCs w:val="24"/>
        </w:rPr>
        <w:t>1</w:t>
      </w:r>
      <w:r>
        <w:rPr>
          <w:sz w:val="24"/>
          <w:szCs w:val="24"/>
        </w:rPr>
        <w:t>.</w:t>
      </w:r>
      <w:r>
        <w:rPr>
          <w:rFonts w:hint="eastAsia"/>
          <w:sz w:val="24"/>
          <w:szCs w:val="24"/>
        </w:rPr>
        <w:t xml:space="preserve">6 </w:t>
      </w:r>
      <w:r>
        <w:rPr>
          <w:sz w:val="24"/>
          <w:szCs w:val="24"/>
        </w:rPr>
        <w:t>合格判据</w:t>
      </w:r>
    </w:p>
    <w:p w14:paraId="3CA580CC">
      <w:pPr>
        <w:spacing w:before="160" w:line="360" w:lineRule="auto"/>
        <w:ind w:firstLine="480" w:firstLineChars="200"/>
        <w:rPr>
          <w:sz w:val="24"/>
          <w:szCs w:val="24"/>
        </w:rPr>
      </w:pPr>
      <w:r>
        <w:rPr>
          <w:rFonts w:hint="eastAsia"/>
          <w:sz w:val="24"/>
          <w:szCs w:val="24"/>
        </w:rPr>
        <w:t>流量计</w:t>
      </w:r>
      <w:r>
        <w:rPr>
          <w:sz w:val="24"/>
          <w:szCs w:val="24"/>
        </w:rPr>
        <w:t>示值误差</w:t>
      </w:r>
      <w:r>
        <w:rPr>
          <w:rFonts w:hint="eastAsia"/>
          <w:sz w:val="24"/>
          <w:szCs w:val="24"/>
        </w:rPr>
        <w:t>应</w:t>
      </w:r>
      <w:r>
        <w:rPr>
          <w:sz w:val="24"/>
          <w:szCs w:val="24"/>
        </w:rPr>
        <w:t>符合第</w:t>
      </w:r>
      <w:r>
        <w:rPr>
          <w:rFonts w:hint="eastAsia"/>
          <w:sz w:val="24"/>
          <w:szCs w:val="24"/>
        </w:rPr>
        <w:t>6</w:t>
      </w:r>
      <w:r>
        <w:rPr>
          <w:sz w:val="24"/>
          <w:szCs w:val="24"/>
        </w:rPr>
        <w:t>.1条要求。</w:t>
      </w:r>
    </w:p>
    <w:p w14:paraId="344AF790">
      <w:pPr>
        <w:spacing w:before="160" w:line="360" w:lineRule="auto"/>
        <w:rPr>
          <w:sz w:val="24"/>
          <w:szCs w:val="24"/>
        </w:rPr>
      </w:pPr>
      <w:r>
        <w:rPr>
          <w:rFonts w:hint="eastAsia"/>
          <w:sz w:val="24"/>
          <w:szCs w:val="24"/>
        </w:rPr>
        <w:t>10.2.1</w:t>
      </w:r>
      <w:r>
        <w:rPr>
          <w:sz w:val="24"/>
          <w:szCs w:val="24"/>
        </w:rPr>
        <w:t>.</w:t>
      </w:r>
      <w:r>
        <w:rPr>
          <w:rFonts w:hint="eastAsia"/>
          <w:sz w:val="24"/>
          <w:szCs w:val="24"/>
        </w:rPr>
        <w:t>7</w:t>
      </w:r>
      <w:r>
        <w:rPr>
          <w:sz w:val="24"/>
          <w:szCs w:val="24"/>
        </w:rPr>
        <w:t>流量计</w:t>
      </w:r>
      <w:r>
        <w:rPr>
          <w:rFonts w:hint="eastAsia"/>
          <w:sz w:val="24"/>
          <w:szCs w:val="24"/>
        </w:rPr>
        <w:t>的</w:t>
      </w:r>
      <w:r>
        <w:rPr>
          <w:sz w:val="24"/>
          <w:szCs w:val="24"/>
        </w:rPr>
        <w:t>引用误差</w:t>
      </w:r>
      <w:r>
        <w:rPr>
          <w:rFonts w:hint="eastAsia"/>
          <w:sz w:val="24"/>
          <w:szCs w:val="24"/>
        </w:rPr>
        <w:t>计算</w:t>
      </w:r>
    </w:p>
    <w:p w14:paraId="3B0826E8">
      <w:pPr>
        <w:spacing w:before="160" w:line="360" w:lineRule="auto"/>
        <w:ind w:firstLine="480" w:firstLineChars="200"/>
        <w:rPr>
          <w:sz w:val="24"/>
          <w:szCs w:val="22"/>
        </w:rPr>
      </w:pPr>
      <w:r>
        <w:rPr>
          <w:sz w:val="24"/>
          <w:szCs w:val="22"/>
        </w:rPr>
        <w:t>流量计</w:t>
      </w:r>
      <w:r>
        <w:rPr>
          <w:rFonts w:hint="eastAsia"/>
          <w:sz w:val="24"/>
          <w:szCs w:val="22"/>
        </w:rPr>
        <w:t>单点</w:t>
      </w:r>
      <w:r>
        <w:rPr>
          <w:sz w:val="24"/>
          <w:szCs w:val="22"/>
        </w:rPr>
        <w:t>单次检定的</w:t>
      </w:r>
      <w:r>
        <w:rPr>
          <w:rFonts w:hint="eastAsia"/>
          <w:sz w:val="24"/>
          <w:szCs w:val="22"/>
        </w:rPr>
        <w:t>引用示值</w:t>
      </w:r>
      <w:r>
        <w:rPr>
          <w:sz w:val="24"/>
          <w:szCs w:val="22"/>
        </w:rPr>
        <w:t>误差按式（</w:t>
      </w:r>
      <w:r>
        <w:rPr>
          <w:rFonts w:hint="eastAsia"/>
          <w:sz w:val="24"/>
          <w:szCs w:val="22"/>
        </w:rPr>
        <w:t>6</w:t>
      </w:r>
      <w:r>
        <w:rPr>
          <w:sz w:val="24"/>
          <w:szCs w:val="22"/>
        </w:rPr>
        <w:t>）计算</w:t>
      </w:r>
      <w:r>
        <w:rPr>
          <w:rFonts w:hint="eastAsia"/>
          <w:sz w:val="24"/>
          <w:szCs w:val="22"/>
        </w:rPr>
        <w:t>：</w:t>
      </w:r>
    </w:p>
    <w:tbl>
      <w:tblPr>
        <w:tblStyle w:val="38"/>
        <w:tblW w:w="8629" w:type="dxa"/>
        <w:tblInd w:w="108" w:type="dxa"/>
        <w:tblLayout w:type="fixed"/>
        <w:tblCellMar>
          <w:top w:w="0" w:type="dxa"/>
          <w:left w:w="108" w:type="dxa"/>
          <w:bottom w:w="0" w:type="dxa"/>
          <w:right w:w="108" w:type="dxa"/>
        </w:tblCellMar>
      </w:tblPr>
      <w:tblGrid>
        <w:gridCol w:w="7381"/>
        <w:gridCol w:w="1248"/>
      </w:tblGrid>
      <w:tr w14:paraId="39B01B48">
        <w:tblPrEx>
          <w:tblCellMar>
            <w:top w:w="0" w:type="dxa"/>
            <w:left w:w="108" w:type="dxa"/>
            <w:bottom w:w="0" w:type="dxa"/>
            <w:right w:w="108" w:type="dxa"/>
          </w:tblCellMar>
        </w:tblPrEx>
        <w:tc>
          <w:tcPr>
            <w:tcW w:w="7381" w:type="dxa"/>
            <w:vAlign w:val="center"/>
          </w:tcPr>
          <w:p w14:paraId="42C952B8">
            <w:pPr>
              <w:tabs>
                <w:tab w:val="left" w:pos="360"/>
              </w:tabs>
              <w:spacing w:before="160" w:line="360" w:lineRule="auto"/>
              <w:jc w:val="center"/>
              <w:rPr>
                <w:sz w:val="24"/>
                <w:szCs w:val="24"/>
              </w:rPr>
            </w:pPr>
            <m:oMathPara>
              <m:oMath>
                <m:sSub>
                  <m:sSubPr>
                    <m:ctrlPr>
                      <w:rPr>
                        <w:rFonts w:ascii="Cambria Math" w:hAnsi="Cambria Math"/>
                        <w:i/>
                        <w:sz w:val="24"/>
                        <w:szCs w:val="24"/>
                      </w:rPr>
                    </m:ctrlPr>
                  </m:sSubPr>
                  <m:e>
                    <m:sSub>
                      <m:sSubPr>
                        <m:ctrlPr>
                          <w:rPr>
                            <w:rFonts w:ascii="Cambria Math" w:hAnsi="Cambria Math"/>
                            <w:i/>
                            <w:sz w:val="24"/>
                            <w:szCs w:val="24"/>
                          </w:rPr>
                        </m:ctrlPr>
                      </m:sSubPr>
                      <m:e>
                        <m:r>
                          <m:rPr/>
                          <w:rPr>
                            <w:rFonts w:ascii="Cambria Math"/>
                            <w:sz w:val="24"/>
                            <w:szCs w:val="24"/>
                          </w:rPr>
                          <m:t>E</m:t>
                        </m:r>
                        <m:ctrlPr>
                          <w:rPr>
                            <w:rFonts w:ascii="Cambria Math" w:hAnsi="Cambria Math"/>
                            <w:i/>
                            <w:sz w:val="24"/>
                            <w:szCs w:val="24"/>
                          </w:rPr>
                        </m:ctrlPr>
                      </m:e>
                      <m:sub>
                        <m:r>
                          <m:rPr/>
                          <w:rPr>
                            <w:rFonts w:ascii="Cambria Math" w:hAnsi="Cambria Math"/>
                            <w:sz w:val="24"/>
                            <w:szCs w:val="24"/>
                          </w:rPr>
                          <m:t>fid</m:t>
                        </m:r>
                        <m:r>
                          <m:rPr>
                            <m:sty m:val="p"/>
                          </m:rPr>
                          <w:rPr>
                            <w:rFonts w:ascii="Cambria Math" w:hAnsi="Cambria Math"/>
                            <w:sz w:val="24"/>
                            <w:szCs w:val="24"/>
                          </w:rPr>
                          <m:t>,</m:t>
                        </m:r>
                        <m:ctrlPr>
                          <w:rPr>
                            <w:rFonts w:ascii="Cambria Math" w:hAnsi="Cambria Math"/>
                            <w:i/>
                            <w:sz w:val="24"/>
                            <w:szCs w:val="24"/>
                          </w:rPr>
                        </m:ctrlPr>
                      </m:sub>
                    </m:sSub>
                    <m:ctrlPr>
                      <w:rPr>
                        <w:rFonts w:ascii="Cambria Math" w:hAnsi="Cambria Math"/>
                        <w:i/>
                        <w:sz w:val="24"/>
                        <w:szCs w:val="24"/>
                      </w:rPr>
                    </m:ctrlPr>
                  </m:e>
                  <m:sub>
                    <m:r>
                      <m:rPr>
                        <m:nor/>
                        <m:sty m:val="p"/>
                      </m:rPr>
                      <w:rPr>
                        <w:rFonts w:ascii="Cambria Math"/>
                        <w:sz w:val="24"/>
                        <w:szCs w:val="24"/>
                      </w:rPr>
                      <m:t>ij</m:t>
                    </m:r>
                    <m:ctrlPr>
                      <w:rPr>
                        <w:rFonts w:ascii="Cambria Math" w:hAnsi="Cambria Math"/>
                        <w:i/>
                        <w:sz w:val="24"/>
                        <w:szCs w:val="24"/>
                      </w:rPr>
                    </m:ctrlPr>
                  </m:sub>
                </m:sSub>
                <m:r>
                  <m:rP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m:rPr/>
                          <w:rPr>
                            <w:rFonts w:ascii="Cambria Math"/>
                            <w:sz w:val="24"/>
                            <w:szCs w:val="24"/>
                          </w:rPr>
                          <m:t>q</m:t>
                        </m:r>
                        <m:ctrlPr>
                          <w:rPr>
                            <w:rFonts w:ascii="Cambria Math" w:hAnsi="Cambria Math"/>
                            <w:i/>
                            <w:sz w:val="24"/>
                            <w:szCs w:val="24"/>
                          </w:rPr>
                        </m:ctrlPr>
                      </m:e>
                      <m:sub>
                        <m:r>
                          <m:rPr>
                            <m:nor/>
                            <m:sty m:val="p"/>
                          </m:rPr>
                          <w:rPr>
                            <w:rFonts w:ascii="Cambria Math"/>
                            <w:sz w:val="24"/>
                            <w:szCs w:val="24"/>
                          </w:rPr>
                          <m:t>ij</m:t>
                        </m:r>
                        <m:ctrlPr>
                          <w:rPr>
                            <w:rFonts w:ascii="Cambria Math" w:hAnsi="Cambria Math"/>
                            <w:i/>
                            <w:sz w:val="24"/>
                            <w:szCs w:val="24"/>
                          </w:rPr>
                        </m:ctrlPr>
                      </m:sub>
                    </m:sSub>
                    <m:r>
                      <m:rPr/>
                      <w:rPr>
                        <w:rFonts w:ascii="Cambria Math"/>
                        <w:sz w:val="24"/>
                        <w:szCs w:val="24"/>
                      </w:rPr>
                      <m:t>−(</m:t>
                    </m:r>
                    <m:sSub>
                      <m:sSubPr>
                        <m:ctrlPr>
                          <w:rPr>
                            <w:rFonts w:ascii="Cambria Math" w:hAnsi="Cambria Math"/>
                            <w:i/>
                            <w:sz w:val="24"/>
                            <w:szCs w:val="24"/>
                          </w:rPr>
                        </m:ctrlPr>
                      </m:sSubPr>
                      <m:e>
                        <m:r>
                          <m:rPr/>
                          <w:rPr>
                            <w:rFonts w:ascii="Cambria Math"/>
                            <w:sz w:val="24"/>
                            <w:szCs w:val="24"/>
                          </w:rPr>
                          <m:t>q</m:t>
                        </m:r>
                        <m:ctrlPr>
                          <w:rPr>
                            <w:rFonts w:ascii="Cambria Math" w:hAnsi="Cambria Math"/>
                            <w:i/>
                            <w:sz w:val="24"/>
                            <w:szCs w:val="24"/>
                          </w:rPr>
                        </m:ctrlPr>
                      </m:e>
                      <m:sub>
                        <m:r>
                          <m:rPr>
                            <m:nor/>
                            <m:sty m:val="p"/>
                          </m:rPr>
                          <w:rPr>
                            <w:rFonts w:ascii="Cambria Math"/>
                            <w:sz w:val="24"/>
                            <w:szCs w:val="24"/>
                          </w:rPr>
                          <m:t>s</m:t>
                        </m:r>
                        <m:ctrlPr>
                          <w:rPr>
                            <w:rFonts w:ascii="Cambria Math" w:hAnsi="Cambria Math"/>
                            <w:i/>
                            <w:sz w:val="24"/>
                            <w:szCs w:val="24"/>
                          </w:rPr>
                        </m:ctrlPr>
                      </m:sub>
                    </m:sSub>
                    <m:sSub>
                      <m:sSubPr>
                        <m:ctrlPr>
                          <w:rPr>
                            <w:rFonts w:ascii="Cambria Math" w:hAnsi="Cambria Math"/>
                            <w:i/>
                            <w:sz w:val="24"/>
                            <w:szCs w:val="24"/>
                          </w:rPr>
                        </m:ctrlPr>
                      </m:sSubPr>
                      <m:e>
                        <m:r>
                          <m:rPr/>
                          <w:rPr>
                            <w:rFonts w:ascii="Cambria Math"/>
                            <w:sz w:val="24"/>
                            <w:szCs w:val="24"/>
                          </w:rPr>
                          <m:t>)</m:t>
                        </m:r>
                        <m:ctrlPr>
                          <w:rPr>
                            <w:rFonts w:ascii="Cambria Math" w:hAnsi="Cambria Math"/>
                            <w:i/>
                            <w:sz w:val="24"/>
                            <w:szCs w:val="24"/>
                          </w:rPr>
                        </m:ctrlPr>
                      </m:e>
                      <m:sub>
                        <m:r>
                          <m:rPr>
                            <m:nor/>
                            <m:sty m:val="p"/>
                          </m:rPr>
                          <w:rPr>
                            <w:rFonts w:ascii="Cambria Math"/>
                            <w:sz w:val="24"/>
                            <w:szCs w:val="24"/>
                          </w:rPr>
                          <m:t>ij</m:t>
                        </m:r>
                        <m:ctrlPr>
                          <w:rPr>
                            <w:rFonts w:ascii="Cambria Math" w:hAnsi="Cambria Math"/>
                            <w:i/>
                            <w:sz w:val="24"/>
                            <w:szCs w:val="24"/>
                          </w:rPr>
                        </m:ctrlPr>
                      </m:sub>
                    </m:sSub>
                    <m:ctrlPr>
                      <w:rPr>
                        <w:rFonts w:ascii="Cambria Math" w:hAnsi="Cambria Math"/>
                        <w:i/>
                        <w:sz w:val="24"/>
                        <w:szCs w:val="24"/>
                      </w:rPr>
                    </m:ctrlPr>
                  </m:num>
                  <m:den>
                    <m:sSub>
                      <m:sSubPr>
                        <m:ctrlPr>
                          <w:rPr>
                            <w:rFonts w:ascii="Cambria Math" w:hAnsi="Cambria Math"/>
                            <w:i/>
                            <w:sz w:val="24"/>
                            <w:szCs w:val="24"/>
                          </w:rPr>
                        </m:ctrlPr>
                      </m:sSubPr>
                      <m:e>
                        <m:r>
                          <m:rPr/>
                          <w:rPr>
                            <w:rFonts w:ascii="Cambria Math"/>
                            <w:sz w:val="24"/>
                            <w:szCs w:val="24"/>
                          </w:rPr>
                          <m:t>q</m:t>
                        </m:r>
                        <m:ctrlPr>
                          <w:rPr>
                            <w:rFonts w:ascii="Cambria Math" w:hAnsi="Cambria Math"/>
                            <w:i/>
                            <w:sz w:val="24"/>
                            <w:szCs w:val="24"/>
                          </w:rPr>
                        </m:ctrlPr>
                      </m:e>
                      <m:sub>
                        <m:r>
                          <m:rPr>
                            <m:nor/>
                            <m:sty m:val="p"/>
                          </m:rPr>
                          <w:rPr>
                            <w:rFonts w:ascii="Cambria Math"/>
                            <w:sz w:val="24"/>
                            <w:szCs w:val="24"/>
                          </w:rPr>
                          <m:t>max</m:t>
                        </m:r>
                        <m:ctrlPr>
                          <w:rPr>
                            <w:rFonts w:ascii="Cambria Math" w:hAnsi="Cambria Math"/>
                            <w:i/>
                            <w:sz w:val="24"/>
                            <w:szCs w:val="24"/>
                          </w:rPr>
                        </m:ctrlPr>
                      </m:sub>
                    </m:sSub>
                    <m:ctrlPr>
                      <w:rPr>
                        <w:rFonts w:ascii="Cambria Math" w:hAnsi="Cambria Math"/>
                        <w:i/>
                        <w:sz w:val="24"/>
                        <w:szCs w:val="24"/>
                      </w:rPr>
                    </m:ctrlPr>
                  </m:den>
                </m:f>
                <m:r>
                  <m:rPr/>
                  <w:rPr>
                    <w:rFonts w:ascii="Cambria Math" w:hAnsi="Cambria Math"/>
                    <w:sz w:val="24"/>
                    <w:szCs w:val="24"/>
                  </w:rPr>
                  <m:t>×100%</m:t>
                </m:r>
              </m:oMath>
            </m:oMathPara>
          </w:p>
        </w:tc>
        <w:tc>
          <w:tcPr>
            <w:tcW w:w="1248" w:type="dxa"/>
            <w:vAlign w:val="center"/>
          </w:tcPr>
          <w:p w14:paraId="40773EC6">
            <w:pPr>
              <w:tabs>
                <w:tab w:val="left" w:pos="360"/>
              </w:tabs>
              <w:spacing w:before="160" w:line="360" w:lineRule="auto"/>
              <w:jc w:val="center"/>
              <w:rPr>
                <w:sz w:val="24"/>
                <w:szCs w:val="24"/>
              </w:rPr>
            </w:pPr>
            <w:r>
              <w:rPr>
                <w:sz w:val="24"/>
                <w:szCs w:val="24"/>
              </w:rPr>
              <w:t>（</w:t>
            </w:r>
            <w:r>
              <w:rPr>
                <w:rFonts w:hint="eastAsia"/>
                <w:sz w:val="24"/>
                <w:szCs w:val="24"/>
              </w:rPr>
              <w:t>6</w:t>
            </w:r>
            <w:r>
              <w:rPr>
                <w:sz w:val="24"/>
                <w:szCs w:val="24"/>
              </w:rPr>
              <w:t>）</w:t>
            </w:r>
          </w:p>
        </w:tc>
      </w:tr>
    </w:tbl>
    <w:p w14:paraId="34135B78">
      <w:pPr>
        <w:spacing w:before="160" w:line="360" w:lineRule="auto"/>
        <w:rPr>
          <w:iCs/>
          <w:sz w:val="24"/>
          <w:szCs w:val="24"/>
          <w:vertAlign w:val="subscript"/>
        </w:rPr>
      </w:pPr>
      <w:r>
        <w:rPr>
          <w:sz w:val="24"/>
          <w:szCs w:val="24"/>
        </w:rPr>
        <w:t>式中：</w:t>
      </w:r>
      <w:r>
        <w:rPr>
          <w:rFonts w:hint="eastAsia"/>
          <w:i/>
          <w:sz w:val="24"/>
          <w:szCs w:val="24"/>
        </w:rPr>
        <w:t>E</w:t>
      </w:r>
      <w:r>
        <w:rPr>
          <w:rFonts w:hint="eastAsia"/>
          <w:iCs/>
          <w:sz w:val="24"/>
          <w:szCs w:val="24"/>
          <w:vertAlign w:val="subscript"/>
        </w:rPr>
        <w:t>f</w:t>
      </w:r>
      <w:r>
        <w:rPr>
          <w:iCs/>
          <w:sz w:val="24"/>
          <w:szCs w:val="24"/>
          <w:vertAlign w:val="subscript"/>
        </w:rPr>
        <w:t>id</w:t>
      </w:r>
      <w:r>
        <w:rPr>
          <w:rFonts w:hint="eastAsia"/>
          <w:iCs/>
          <w:sz w:val="24"/>
          <w:szCs w:val="24"/>
          <w:vertAlign w:val="subscript"/>
        </w:rPr>
        <w:t>,ij</w:t>
      </w:r>
      <w:r>
        <w:rPr>
          <w:sz w:val="24"/>
          <w:szCs w:val="24"/>
        </w:rPr>
        <w:t>第</w:t>
      </w:r>
      <w:r>
        <w:rPr>
          <w:i/>
          <w:sz w:val="24"/>
          <w:szCs w:val="24"/>
        </w:rPr>
        <w:t>i</w:t>
      </w:r>
      <w:r>
        <w:rPr>
          <w:sz w:val="24"/>
          <w:szCs w:val="24"/>
        </w:rPr>
        <w:t>流量点第</w:t>
      </w:r>
      <w:r>
        <w:rPr>
          <w:i/>
          <w:iCs/>
          <w:sz w:val="24"/>
          <w:szCs w:val="24"/>
        </w:rPr>
        <w:t>j</w:t>
      </w:r>
      <w:r>
        <w:rPr>
          <w:sz w:val="24"/>
          <w:szCs w:val="24"/>
        </w:rPr>
        <w:t>次检定</w:t>
      </w:r>
      <w:r>
        <w:rPr>
          <w:rFonts w:hint="eastAsia"/>
          <w:sz w:val="24"/>
          <w:szCs w:val="24"/>
        </w:rPr>
        <w:t>时被检</w:t>
      </w:r>
      <w:r>
        <w:rPr>
          <w:sz w:val="24"/>
          <w:szCs w:val="24"/>
        </w:rPr>
        <w:t>流量计的</w:t>
      </w:r>
      <w:r>
        <w:rPr>
          <w:rFonts w:hint="eastAsia"/>
          <w:sz w:val="24"/>
          <w:szCs w:val="24"/>
        </w:rPr>
        <w:t>引用</w:t>
      </w:r>
      <w:r>
        <w:rPr>
          <w:sz w:val="24"/>
          <w:szCs w:val="24"/>
        </w:rPr>
        <w:t>误差，%；</w:t>
      </w:r>
    </w:p>
    <w:tbl>
      <w:tblPr>
        <w:tblStyle w:val="38"/>
        <w:tblW w:w="8641" w:type="dxa"/>
        <w:tblInd w:w="108" w:type="dxa"/>
        <w:tblLayout w:type="fixed"/>
        <w:tblCellMar>
          <w:top w:w="0" w:type="dxa"/>
          <w:left w:w="108" w:type="dxa"/>
          <w:bottom w:w="0" w:type="dxa"/>
          <w:right w:w="108" w:type="dxa"/>
        </w:tblCellMar>
      </w:tblPr>
      <w:tblGrid>
        <w:gridCol w:w="8641"/>
      </w:tblGrid>
      <w:tr w14:paraId="19E3386C">
        <w:tblPrEx>
          <w:tblCellMar>
            <w:top w:w="0" w:type="dxa"/>
            <w:left w:w="108" w:type="dxa"/>
            <w:bottom w:w="0" w:type="dxa"/>
            <w:right w:w="108" w:type="dxa"/>
          </w:tblCellMar>
        </w:tblPrEx>
        <w:tc>
          <w:tcPr>
            <w:tcW w:w="8641" w:type="dxa"/>
          </w:tcPr>
          <w:p w14:paraId="65A8DAEA">
            <w:pPr>
              <w:spacing w:before="160" w:line="360" w:lineRule="auto"/>
              <w:ind w:firstLine="600" w:firstLineChars="250"/>
              <w:rPr>
                <w:sz w:val="24"/>
                <w:szCs w:val="24"/>
              </w:rPr>
            </w:pPr>
            <w:bookmarkStart w:id="256" w:name="_Hlk196133419"/>
            <w:r>
              <w:rPr>
                <w:rFonts w:hint="eastAsia"/>
                <w:i/>
                <w:iCs/>
                <w:sz w:val="24"/>
                <w:szCs w:val="24"/>
              </w:rPr>
              <w:t>q</w:t>
            </w:r>
            <w:r>
              <w:rPr>
                <w:rFonts w:hint="eastAsia"/>
                <w:sz w:val="24"/>
                <w:szCs w:val="24"/>
                <w:vertAlign w:val="subscript"/>
              </w:rPr>
              <w:t>max</w:t>
            </w:r>
            <w:r>
              <w:rPr>
                <w:rFonts w:hint="eastAsia"/>
                <w:sz w:val="24"/>
                <w:szCs w:val="24"/>
              </w:rPr>
              <w:t>—</w:t>
            </w:r>
            <w:r>
              <w:rPr>
                <w:sz w:val="24"/>
                <w:szCs w:val="24"/>
              </w:rPr>
              <w:t>流量计流量范围上限</w:t>
            </w:r>
            <w:r>
              <w:rPr>
                <w:rFonts w:hint="eastAsia"/>
                <w:sz w:val="24"/>
                <w:szCs w:val="24"/>
              </w:rPr>
              <w:t>，</w:t>
            </w:r>
            <w:r>
              <w:rPr>
                <w:sz w:val="24"/>
                <w:szCs w:val="24"/>
              </w:rPr>
              <w:t>kg/h或kg/min或g/s或m³/h或L/min或mL/</w:t>
            </w:r>
            <w:r>
              <w:rPr>
                <w:rFonts w:hint="eastAsia"/>
                <w:sz w:val="24"/>
                <w:szCs w:val="24"/>
              </w:rPr>
              <w:t>min</w:t>
            </w:r>
            <w:r>
              <w:rPr>
                <w:sz w:val="24"/>
                <w:szCs w:val="24"/>
              </w:rPr>
              <w:t>。</w:t>
            </w:r>
          </w:p>
        </w:tc>
      </w:tr>
      <w:bookmarkEnd w:id="256"/>
    </w:tbl>
    <w:p w14:paraId="3CF852EA">
      <w:pPr>
        <w:spacing w:before="160" w:line="360" w:lineRule="auto"/>
        <w:ind w:firstLine="480"/>
        <w:rPr>
          <w:sz w:val="24"/>
          <w:szCs w:val="24"/>
        </w:rPr>
      </w:pPr>
      <w:r>
        <w:rPr>
          <w:sz w:val="24"/>
          <w:szCs w:val="24"/>
        </w:rPr>
        <w:t>流量计各检定流量点的</w:t>
      </w:r>
      <w:r>
        <w:rPr>
          <w:rFonts w:hint="eastAsia"/>
          <w:sz w:val="24"/>
          <w:szCs w:val="24"/>
        </w:rPr>
        <w:t>引用示值</w:t>
      </w:r>
      <w:r>
        <w:rPr>
          <w:sz w:val="24"/>
          <w:szCs w:val="24"/>
        </w:rPr>
        <w:t>误差按式（</w:t>
      </w:r>
      <w:r>
        <w:rPr>
          <w:rFonts w:hint="eastAsia"/>
          <w:sz w:val="24"/>
          <w:szCs w:val="24"/>
        </w:rPr>
        <w:t>7</w:t>
      </w:r>
      <w:r>
        <w:rPr>
          <w:sz w:val="24"/>
          <w:szCs w:val="24"/>
        </w:rPr>
        <w:t>）计算：</w:t>
      </w:r>
    </w:p>
    <w:tbl>
      <w:tblPr>
        <w:tblStyle w:val="38"/>
        <w:tblW w:w="8641" w:type="dxa"/>
        <w:tblInd w:w="108" w:type="dxa"/>
        <w:tblLayout w:type="fixed"/>
        <w:tblCellMar>
          <w:top w:w="0" w:type="dxa"/>
          <w:left w:w="108" w:type="dxa"/>
          <w:bottom w:w="0" w:type="dxa"/>
          <w:right w:w="108" w:type="dxa"/>
        </w:tblCellMar>
      </w:tblPr>
      <w:tblGrid>
        <w:gridCol w:w="7453"/>
        <w:gridCol w:w="1188"/>
      </w:tblGrid>
      <w:tr w14:paraId="0A2FC2A7">
        <w:tblPrEx>
          <w:tblCellMar>
            <w:top w:w="0" w:type="dxa"/>
            <w:left w:w="108" w:type="dxa"/>
            <w:bottom w:w="0" w:type="dxa"/>
            <w:right w:w="108" w:type="dxa"/>
          </w:tblCellMar>
        </w:tblPrEx>
        <w:tc>
          <w:tcPr>
            <w:tcW w:w="7453" w:type="dxa"/>
            <w:vAlign w:val="center"/>
          </w:tcPr>
          <w:p w14:paraId="1D91A005">
            <w:pPr>
              <w:tabs>
                <w:tab w:val="left" w:pos="360"/>
              </w:tabs>
              <w:spacing w:before="160" w:line="360" w:lineRule="auto"/>
              <w:jc w:val="center"/>
              <w:rPr>
                <w:sz w:val="24"/>
                <w:szCs w:val="24"/>
              </w:rPr>
            </w:pPr>
            <m:oMathPara>
              <m:oMath>
                <m:sSub>
                  <m:sSubPr>
                    <m:ctrlPr>
                      <w:rPr>
                        <w:rFonts w:ascii="Cambria Math" w:hAnsi="Cambria Math"/>
                        <w:i/>
                        <w:sz w:val="24"/>
                        <w:szCs w:val="24"/>
                      </w:rPr>
                    </m:ctrlPr>
                  </m:sSubPr>
                  <m:e>
                    <m:sSub>
                      <m:sSubPr>
                        <m:ctrlPr>
                          <w:rPr>
                            <w:rFonts w:ascii="Cambria Math" w:hAnsi="Cambria Math"/>
                            <w:i/>
                            <w:sz w:val="24"/>
                            <w:szCs w:val="24"/>
                          </w:rPr>
                        </m:ctrlPr>
                      </m:sSubPr>
                      <m:e>
                        <m:r>
                          <m:rPr/>
                          <w:rPr>
                            <w:rFonts w:ascii="Cambria Math"/>
                            <w:sz w:val="24"/>
                            <w:szCs w:val="24"/>
                          </w:rPr>
                          <m:t>E</m:t>
                        </m:r>
                        <m:ctrlPr>
                          <w:rPr>
                            <w:rFonts w:ascii="Cambria Math" w:hAnsi="Cambria Math"/>
                            <w:i/>
                            <w:sz w:val="24"/>
                            <w:szCs w:val="24"/>
                          </w:rPr>
                        </m:ctrlPr>
                      </m:e>
                      <m:sub>
                        <m:r>
                          <m:rPr>
                            <m:nor/>
                            <m:sty m:val="p"/>
                          </m:rPr>
                          <w:rPr>
                            <w:rFonts w:ascii="Cambria Math"/>
                            <w:sz w:val="24"/>
                            <w:szCs w:val="24"/>
                          </w:rPr>
                          <m:t>fid</m:t>
                        </m:r>
                        <m:r>
                          <m:rPr>
                            <m:nor/>
                            <m:sty m:val="p"/>
                          </m:rPr>
                          <w:rPr>
                            <w:rFonts w:ascii="Cambria Math" w:hAnsi="Cambria Math"/>
                            <w:sz w:val="24"/>
                            <w:szCs w:val="24"/>
                          </w:rPr>
                          <m:t>,</m:t>
                        </m:r>
                        <m:ctrlPr>
                          <w:rPr>
                            <w:rFonts w:ascii="Cambria Math" w:hAnsi="Cambria Math"/>
                            <w:i/>
                            <w:sz w:val="24"/>
                            <w:szCs w:val="24"/>
                          </w:rPr>
                        </m:ctrlPr>
                      </m:sub>
                    </m:sSub>
                    <m:ctrlPr>
                      <w:rPr>
                        <w:rFonts w:ascii="Cambria Math" w:hAnsi="Cambria Math"/>
                        <w:i/>
                        <w:sz w:val="24"/>
                        <w:szCs w:val="24"/>
                      </w:rPr>
                    </m:ctrlPr>
                  </m:e>
                  <m:sub>
                    <m:r>
                      <m:rPr>
                        <m:nor/>
                      </m:rPr>
                      <w:rPr>
                        <w:i/>
                        <w:sz w:val="24"/>
                        <w:szCs w:val="24"/>
                      </w:rPr>
                      <m:t>i</m:t>
                    </m:r>
                    <m:ctrlPr>
                      <w:rPr>
                        <w:rFonts w:ascii="Cambria Math" w:hAnsi="Cambria Math"/>
                        <w:i/>
                        <w:sz w:val="24"/>
                        <w:szCs w:val="24"/>
                      </w:rPr>
                    </m:ctrlPr>
                  </m:sub>
                </m:sSub>
                <m:r>
                  <m:rPr/>
                  <w:rPr>
                    <w:rFonts w:ascii="Cambria Math"/>
                    <w:sz w:val="24"/>
                    <w:szCs w:val="24"/>
                  </w:rPr>
                  <m:t>=</m:t>
                </m:r>
                <m:f>
                  <m:fPr>
                    <m:ctrlPr>
                      <w:rPr>
                        <w:rFonts w:ascii="Cambria Math" w:hAnsi="Cambria Math"/>
                        <w:i/>
                        <w:sz w:val="24"/>
                        <w:szCs w:val="24"/>
                      </w:rPr>
                    </m:ctrlPr>
                  </m:fPr>
                  <m:num>
                    <m:nary>
                      <m:naryPr>
                        <m:chr m:val="∑"/>
                        <m:ctrlPr>
                          <w:rPr>
                            <w:rFonts w:ascii="Cambria Math" w:hAnsi="Cambria Math"/>
                            <w:i/>
                            <w:sz w:val="24"/>
                            <w:szCs w:val="24"/>
                          </w:rPr>
                        </m:ctrlPr>
                      </m:naryPr>
                      <m:sub>
                        <m:r>
                          <m:rPr/>
                          <w:rPr>
                            <w:rFonts w:ascii="Cambria Math"/>
                            <w:sz w:val="24"/>
                            <w:szCs w:val="24"/>
                          </w:rPr>
                          <m:t>j=1</m:t>
                        </m:r>
                        <m:ctrlPr>
                          <w:rPr>
                            <w:rFonts w:ascii="Cambria Math" w:hAnsi="Cambria Math"/>
                            <w:i/>
                            <w:sz w:val="24"/>
                            <w:szCs w:val="24"/>
                          </w:rPr>
                        </m:ctrlPr>
                      </m:sub>
                      <m:sup>
                        <m:r>
                          <m:rPr/>
                          <w:rPr>
                            <w:rFonts w:ascii="Cambria Math"/>
                            <w:sz w:val="24"/>
                            <w:szCs w:val="24"/>
                          </w:rPr>
                          <m:t>n</m:t>
                        </m:r>
                        <m:ctrlPr>
                          <w:rPr>
                            <w:rFonts w:ascii="Cambria Math" w:hAnsi="Cambria Math"/>
                            <w:i/>
                            <w:sz w:val="24"/>
                            <w:szCs w:val="24"/>
                          </w:rPr>
                        </m:ctrlPr>
                      </m:sup>
                      <m:e>
                        <m:sSub>
                          <m:sSubPr>
                            <m:ctrlPr>
                              <w:rPr>
                                <w:rFonts w:ascii="Cambria Math" w:hAnsi="Cambria Math"/>
                                <w:i/>
                                <w:sz w:val="24"/>
                                <w:szCs w:val="24"/>
                              </w:rPr>
                            </m:ctrlPr>
                          </m:sSubPr>
                          <m:e>
                            <m:r>
                              <m:rPr/>
                              <w:rPr>
                                <w:rFonts w:ascii="Cambria Math"/>
                                <w:sz w:val="24"/>
                                <w:szCs w:val="24"/>
                              </w:rPr>
                              <m:t>E</m:t>
                            </m:r>
                            <m:ctrlPr>
                              <w:rPr>
                                <w:rFonts w:ascii="Cambria Math" w:hAnsi="Cambria Math"/>
                                <w:i/>
                                <w:sz w:val="24"/>
                                <w:szCs w:val="24"/>
                              </w:rPr>
                            </m:ctrlPr>
                          </m:e>
                          <m:sub>
                            <m:r>
                              <m:rPr/>
                              <w:rPr>
                                <w:rFonts w:ascii="Cambria Math"/>
                                <w:sz w:val="24"/>
                                <w:szCs w:val="24"/>
                              </w:rPr>
                              <m:t>fid,ij</m:t>
                            </m:r>
                            <m:ctrlPr>
                              <w:rPr>
                                <w:rFonts w:ascii="Cambria Math" w:hAnsi="Cambria Math"/>
                                <w:i/>
                                <w:sz w:val="24"/>
                                <w:szCs w:val="24"/>
                              </w:rPr>
                            </m:ctrlPr>
                          </m:sub>
                        </m:sSub>
                        <m:ctrlPr>
                          <w:rPr>
                            <w:rFonts w:ascii="Cambria Math" w:hAnsi="Cambria Math"/>
                            <w:i/>
                            <w:sz w:val="24"/>
                            <w:szCs w:val="24"/>
                          </w:rPr>
                        </m:ctrlPr>
                      </m:e>
                    </m:nary>
                    <m:ctrlPr>
                      <w:rPr>
                        <w:rFonts w:ascii="Cambria Math" w:hAnsi="Cambria Math"/>
                        <w:i/>
                        <w:sz w:val="24"/>
                        <w:szCs w:val="24"/>
                      </w:rPr>
                    </m:ctrlPr>
                  </m:num>
                  <m:den>
                    <m:r>
                      <m:rPr/>
                      <w:rPr>
                        <w:rFonts w:ascii="Cambria Math"/>
                        <w:sz w:val="24"/>
                        <w:szCs w:val="24"/>
                      </w:rPr>
                      <m:t>n</m:t>
                    </m:r>
                    <m:ctrlPr>
                      <w:rPr>
                        <w:rFonts w:ascii="Cambria Math" w:hAnsi="Cambria Math"/>
                        <w:i/>
                        <w:sz w:val="24"/>
                        <w:szCs w:val="24"/>
                      </w:rPr>
                    </m:ctrlPr>
                  </m:den>
                </m:f>
              </m:oMath>
            </m:oMathPara>
          </w:p>
        </w:tc>
        <w:tc>
          <w:tcPr>
            <w:tcW w:w="1188" w:type="dxa"/>
            <w:vAlign w:val="center"/>
          </w:tcPr>
          <w:p w14:paraId="76B49E74">
            <w:pPr>
              <w:tabs>
                <w:tab w:val="left" w:pos="360"/>
              </w:tabs>
              <w:spacing w:before="160" w:line="360" w:lineRule="auto"/>
              <w:ind w:firstLine="240" w:firstLineChars="100"/>
              <w:rPr>
                <w:sz w:val="24"/>
                <w:szCs w:val="24"/>
              </w:rPr>
            </w:pPr>
            <w:r>
              <w:rPr>
                <w:sz w:val="24"/>
                <w:szCs w:val="24"/>
              </w:rPr>
              <w:t>（</w:t>
            </w:r>
            <w:r>
              <w:rPr>
                <w:rFonts w:hint="eastAsia"/>
                <w:sz w:val="24"/>
                <w:szCs w:val="24"/>
              </w:rPr>
              <w:t>7</w:t>
            </w:r>
            <w:r>
              <w:rPr>
                <w:sz w:val="24"/>
                <w:szCs w:val="24"/>
              </w:rPr>
              <w:t>）</w:t>
            </w:r>
          </w:p>
        </w:tc>
      </w:tr>
    </w:tbl>
    <w:p w14:paraId="654B338B">
      <w:pPr>
        <w:spacing w:before="160" w:line="360" w:lineRule="auto"/>
        <w:ind w:firstLine="480" w:firstLineChars="200"/>
        <w:rPr>
          <w:sz w:val="24"/>
          <w:szCs w:val="22"/>
        </w:rPr>
      </w:pPr>
      <w:r>
        <w:rPr>
          <w:rFonts w:hint="eastAsia"/>
          <w:sz w:val="24"/>
          <w:szCs w:val="22"/>
        </w:rPr>
        <w:t>流量计引用误差取流量点中引用误差绝对值的最大值。</w:t>
      </w:r>
    </w:p>
    <w:p w14:paraId="11054227">
      <w:pPr>
        <w:spacing w:before="160" w:line="360" w:lineRule="auto"/>
        <w:rPr>
          <w:sz w:val="24"/>
          <w:szCs w:val="24"/>
        </w:rPr>
      </w:pPr>
      <w:r>
        <w:rPr>
          <w:rFonts w:hint="eastAsia"/>
          <w:sz w:val="24"/>
          <w:szCs w:val="24"/>
        </w:rPr>
        <w:t>10</w:t>
      </w:r>
      <w:r>
        <w:rPr>
          <w:sz w:val="24"/>
          <w:szCs w:val="24"/>
        </w:rPr>
        <w:t>.</w:t>
      </w:r>
      <w:r>
        <w:rPr>
          <w:rFonts w:hint="eastAsia"/>
          <w:sz w:val="24"/>
          <w:szCs w:val="24"/>
        </w:rPr>
        <w:t>2</w:t>
      </w:r>
      <w:r>
        <w:rPr>
          <w:sz w:val="24"/>
          <w:szCs w:val="24"/>
        </w:rPr>
        <w:t>.</w:t>
      </w:r>
      <w:r>
        <w:rPr>
          <w:rFonts w:hint="eastAsia"/>
          <w:sz w:val="24"/>
          <w:szCs w:val="24"/>
        </w:rPr>
        <w:t>1</w:t>
      </w:r>
      <w:r>
        <w:rPr>
          <w:sz w:val="24"/>
          <w:szCs w:val="24"/>
        </w:rPr>
        <w:t>.</w:t>
      </w:r>
      <w:r>
        <w:rPr>
          <w:rFonts w:hint="eastAsia"/>
          <w:sz w:val="24"/>
          <w:szCs w:val="24"/>
        </w:rPr>
        <w:t xml:space="preserve">8 </w:t>
      </w:r>
      <w:r>
        <w:rPr>
          <w:sz w:val="24"/>
          <w:szCs w:val="24"/>
        </w:rPr>
        <w:t>合格判据</w:t>
      </w:r>
    </w:p>
    <w:p w14:paraId="11C77FCD">
      <w:pPr>
        <w:spacing w:before="160" w:line="360" w:lineRule="auto"/>
        <w:ind w:firstLine="480" w:firstLineChars="200"/>
        <w:rPr>
          <w:sz w:val="24"/>
          <w:szCs w:val="22"/>
        </w:rPr>
      </w:pPr>
      <w:r>
        <w:rPr>
          <w:rFonts w:hint="eastAsia"/>
          <w:sz w:val="24"/>
          <w:szCs w:val="22"/>
        </w:rPr>
        <w:t>流量计</w:t>
      </w:r>
      <w:r>
        <w:rPr>
          <w:sz w:val="24"/>
          <w:szCs w:val="22"/>
        </w:rPr>
        <w:t>示值误差</w:t>
      </w:r>
      <w:r>
        <w:rPr>
          <w:rFonts w:hint="eastAsia"/>
          <w:sz w:val="24"/>
          <w:szCs w:val="22"/>
        </w:rPr>
        <w:t>应</w:t>
      </w:r>
      <w:r>
        <w:rPr>
          <w:sz w:val="24"/>
          <w:szCs w:val="22"/>
        </w:rPr>
        <w:t>符合第</w:t>
      </w:r>
      <w:r>
        <w:rPr>
          <w:rFonts w:hint="eastAsia"/>
          <w:sz w:val="24"/>
          <w:szCs w:val="22"/>
        </w:rPr>
        <w:t>6</w:t>
      </w:r>
      <w:r>
        <w:rPr>
          <w:sz w:val="24"/>
          <w:szCs w:val="22"/>
        </w:rPr>
        <w:t>.1条要求。</w:t>
      </w:r>
    </w:p>
    <w:p w14:paraId="2D7EA6B4">
      <w:pPr>
        <w:spacing w:line="360" w:lineRule="auto"/>
        <w:rPr>
          <w:sz w:val="24"/>
          <w:szCs w:val="22"/>
        </w:rPr>
      </w:pPr>
      <w:r>
        <w:rPr>
          <w:rFonts w:hint="eastAsia"/>
          <w:sz w:val="24"/>
          <w:szCs w:val="22"/>
        </w:rPr>
        <w:t xml:space="preserve">10.2.2 </w:t>
      </w:r>
      <w:r>
        <w:rPr>
          <w:sz w:val="24"/>
          <w:szCs w:val="22"/>
        </w:rPr>
        <w:t>流量计</w:t>
      </w:r>
      <w:r>
        <w:rPr>
          <w:rFonts w:hint="eastAsia"/>
          <w:sz w:val="24"/>
          <w:szCs w:val="22"/>
        </w:rPr>
        <w:t>的重复性</w:t>
      </w:r>
    </w:p>
    <w:p w14:paraId="6ECE08F3">
      <w:pPr>
        <w:spacing w:before="160" w:line="360" w:lineRule="auto"/>
        <w:rPr>
          <w:sz w:val="24"/>
          <w:szCs w:val="22"/>
        </w:rPr>
      </w:pPr>
      <w:r>
        <w:rPr>
          <w:rFonts w:hint="eastAsia"/>
          <w:sz w:val="24"/>
          <w:szCs w:val="22"/>
        </w:rPr>
        <w:t>10.2.2</w:t>
      </w:r>
      <w:r>
        <w:rPr>
          <w:sz w:val="24"/>
          <w:szCs w:val="22"/>
        </w:rPr>
        <w:t>.</w:t>
      </w:r>
      <w:r>
        <w:rPr>
          <w:rFonts w:hint="eastAsia"/>
          <w:sz w:val="24"/>
          <w:szCs w:val="22"/>
        </w:rPr>
        <w:t xml:space="preserve">1 </w:t>
      </w:r>
      <w:r>
        <w:rPr>
          <w:sz w:val="24"/>
          <w:szCs w:val="22"/>
        </w:rPr>
        <w:t>试验目的</w:t>
      </w:r>
    </w:p>
    <w:p w14:paraId="713A5001">
      <w:pPr>
        <w:spacing w:before="160" w:line="360" w:lineRule="auto"/>
        <w:ind w:firstLine="480" w:firstLineChars="200"/>
        <w:rPr>
          <w:sz w:val="24"/>
          <w:szCs w:val="22"/>
        </w:rPr>
      </w:pPr>
      <w:r>
        <w:rPr>
          <w:sz w:val="24"/>
          <w:szCs w:val="22"/>
        </w:rPr>
        <w:t>检验流量计</w:t>
      </w:r>
      <w:r>
        <w:rPr>
          <w:rFonts w:hint="eastAsia"/>
          <w:sz w:val="24"/>
          <w:szCs w:val="22"/>
        </w:rPr>
        <w:t>的重复性</w:t>
      </w:r>
      <w:r>
        <w:rPr>
          <w:sz w:val="24"/>
          <w:szCs w:val="22"/>
        </w:rPr>
        <w:t>是否符合第</w:t>
      </w:r>
      <w:r>
        <w:rPr>
          <w:rFonts w:hint="eastAsia"/>
          <w:sz w:val="24"/>
          <w:szCs w:val="22"/>
        </w:rPr>
        <w:t>6</w:t>
      </w:r>
      <w:r>
        <w:rPr>
          <w:sz w:val="24"/>
          <w:szCs w:val="22"/>
        </w:rPr>
        <w:t>.</w:t>
      </w:r>
      <w:r>
        <w:rPr>
          <w:rFonts w:hint="eastAsia"/>
          <w:sz w:val="24"/>
          <w:szCs w:val="22"/>
        </w:rPr>
        <w:t>3条的</w:t>
      </w:r>
      <w:r>
        <w:rPr>
          <w:sz w:val="24"/>
          <w:szCs w:val="22"/>
        </w:rPr>
        <w:t>要求。</w:t>
      </w:r>
    </w:p>
    <w:p w14:paraId="651C2EC5">
      <w:pPr>
        <w:spacing w:before="160" w:line="360" w:lineRule="auto"/>
        <w:ind w:firstLine="480" w:firstLineChars="200"/>
        <w:rPr>
          <w:sz w:val="24"/>
          <w:szCs w:val="22"/>
        </w:rPr>
      </w:pPr>
      <w:r>
        <w:rPr>
          <w:rFonts w:hint="eastAsia"/>
          <w:sz w:val="24"/>
          <w:szCs w:val="24"/>
        </w:rPr>
        <w:t>根据10</w:t>
      </w:r>
      <w:r>
        <w:rPr>
          <w:sz w:val="24"/>
          <w:szCs w:val="24"/>
        </w:rPr>
        <w:t>.</w:t>
      </w:r>
      <w:r>
        <w:rPr>
          <w:rFonts w:hint="eastAsia"/>
          <w:sz w:val="24"/>
          <w:szCs w:val="24"/>
        </w:rPr>
        <w:t xml:space="preserve">1.6.2的数据，当每个流量点重复试验 </w:t>
      </w:r>
      <w:r>
        <w:rPr>
          <w:i/>
          <w:sz w:val="24"/>
          <w:szCs w:val="24"/>
        </w:rPr>
        <w:t>n</w:t>
      </w:r>
      <w:r>
        <w:rPr>
          <w:rFonts w:hint="eastAsia"/>
          <w:i/>
          <w:sz w:val="24"/>
          <w:szCs w:val="24"/>
        </w:rPr>
        <w:t xml:space="preserve"> </w:t>
      </w:r>
      <w:r>
        <w:rPr>
          <w:rFonts w:hint="eastAsia"/>
          <w:sz w:val="24"/>
          <w:szCs w:val="24"/>
        </w:rPr>
        <w:t>次时，该流量点的</w:t>
      </w:r>
      <w:r>
        <w:rPr>
          <w:sz w:val="24"/>
          <w:szCs w:val="24"/>
        </w:rPr>
        <w:t>重复性</w:t>
      </w:r>
      <w:r>
        <w:rPr>
          <w:rFonts w:hint="eastAsia"/>
          <w:sz w:val="24"/>
          <w:szCs w:val="24"/>
        </w:rPr>
        <w:t xml:space="preserve"> (</w:t>
      </w:r>
      <w:r>
        <w:rPr>
          <w:rFonts w:hint="eastAsia"/>
          <w:i/>
          <w:sz w:val="24"/>
          <w:szCs w:val="24"/>
        </w:rPr>
        <w:t>E</w:t>
      </w:r>
      <w:r>
        <w:rPr>
          <w:rFonts w:hint="eastAsia"/>
          <w:sz w:val="24"/>
          <w:szCs w:val="24"/>
          <w:vertAlign w:val="subscript"/>
        </w:rPr>
        <w:t>r</w:t>
      </w:r>
      <w:r>
        <w:rPr>
          <w:rFonts w:hint="eastAsia"/>
          <w:sz w:val="24"/>
          <w:szCs w:val="24"/>
        </w:rPr>
        <w:t>)</w:t>
      </w:r>
      <w:r>
        <w:rPr>
          <w:rFonts w:hint="eastAsia"/>
          <w:i/>
          <w:sz w:val="24"/>
          <w:szCs w:val="24"/>
          <w:vertAlign w:val="subscript"/>
        </w:rPr>
        <w:t>i</w:t>
      </w:r>
      <w:r>
        <w:rPr>
          <w:rFonts w:hint="eastAsia"/>
          <w:sz w:val="24"/>
          <w:szCs w:val="24"/>
        </w:rPr>
        <w:t xml:space="preserve"> </w:t>
      </w:r>
      <w:r>
        <w:rPr>
          <w:sz w:val="24"/>
          <w:szCs w:val="24"/>
        </w:rPr>
        <w:t>按</w:t>
      </w:r>
      <w:r>
        <w:rPr>
          <w:sz w:val="24"/>
          <w:szCs w:val="22"/>
        </w:rPr>
        <w:t>该流量点的重复性按式</w:t>
      </w:r>
      <w:r>
        <w:rPr>
          <w:rFonts w:hint="eastAsia"/>
          <w:sz w:val="24"/>
          <w:szCs w:val="22"/>
        </w:rPr>
        <w:t>（9）计算</w:t>
      </w:r>
      <w:r>
        <w:rPr>
          <w:sz w:val="24"/>
          <w:szCs w:val="22"/>
        </w:rPr>
        <w:t>：</w:t>
      </w:r>
    </w:p>
    <w:tbl>
      <w:tblPr>
        <w:tblStyle w:val="38"/>
        <w:tblW w:w="8617" w:type="dxa"/>
        <w:tblInd w:w="108" w:type="dxa"/>
        <w:tblLayout w:type="fixed"/>
        <w:tblCellMar>
          <w:top w:w="0" w:type="dxa"/>
          <w:left w:w="108" w:type="dxa"/>
          <w:bottom w:w="0" w:type="dxa"/>
          <w:right w:w="108" w:type="dxa"/>
        </w:tblCellMar>
      </w:tblPr>
      <w:tblGrid>
        <w:gridCol w:w="7429"/>
        <w:gridCol w:w="1188"/>
      </w:tblGrid>
      <w:tr w14:paraId="3724693C">
        <w:tblPrEx>
          <w:tblCellMar>
            <w:top w:w="0" w:type="dxa"/>
            <w:left w:w="108" w:type="dxa"/>
            <w:bottom w:w="0" w:type="dxa"/>
            <w:right w:w="108" w:type="dxa"/>
          </w:tblCellMar>
        </w:tblPrEx>
        <w:tc>
          <w:tcPr>
            <w:tcW w:w="7429" w:type="dxa"/>
            <w:vAlign w:val="center"/>
          </w:tcPr>
          <w:p w14:paraId="053B37E0">
            <w:pPr>
              <w:tabs>
                <w:tab w:val="left" w:pos="360"/>
              </w:tabs>
              <w:spacing w:before="160" w:line="360" w:lineRule="auto"/>
              <w:jc w:val="center"/>
              <w:rPr>
                <w:sz w:val="24"/>
                <w:szCs w:val="24"/>
              </w:rPr>
            </w:pPr>
            <m:oMath>
              <m:r>
                <m:rPr/>
                <w:rPr>
                  <w:rFonts w:ascii="Cambria Math"/>
                  <w:sz w:val="24"/>
                  <w:szCs w:val="24"/>
                </w:rPr>
                <m:t>(</m:t>
              </m:r>
              <m:sSub>
                <m:sSubPr>
                  <m:ctrlPr>
                    <w:rPr>
                      <w:rFonts w:ascii="Cambria Math" w:hAnsi="Cambria Math"/>
                      <w:i/>
                      <w:sz w:val="24"/>
                      <w:szCs w:val="24"/>
                    </w:rPr>
                  </m:ctrlPr>
                </m:sSubPr>
                <m:e>
                  <m:r>
                    <m:rPr/>
                    <w:rPr>
                      <w:rFonts w:ascii="Cambria Math"/>
                      <w:sz w:val="24"/>
                      <w:szCs w:val="24"/>
                    </w:rPr>
                    <m:t>E</m:t>
                  </m:r>
                  <m:ctrlPr>
                    <w:rPr>
                      <w:rFonts w:ascii="Cambria Math" w:hAnsi="Cambria Math"/>
                      <w:i/>
                      <w:sz w:val="24"/>
                      <w:szCs w:val="24"/>
                    </w:rPr>
                  </m:ctrlPr>
                </m:e>
                <m:sub>
                  <m:r>
                    <m:rPr>
                      <m:nor/>
                      <m:sty m:val="p"/>
                    </m:rPr>
                    <w:rPr>
                      <w:rFonts w:ascii="Cambria Math"/>
                      <w:sz w:val="24"/>
                      <w:szCs w:val="24"/>
                    </w:rPr>
                    <m:t>r</m:t>
                  </m:r>
                  <m:ctrlPr>
                    <w:rPr>
                      <w:rFonts w:ascii="Cambria Math" w:hAnsi="Cambria Math"/>
                      <w:i/>
                      <w:sz w:val="24"/>
                      <w:szCs w:val="24"/>
                    </w:rPr>
                  </m:ctrlPr>
                </m:sub>
              </m:sSub>
              <m:sSub>
                <m:sSubPr>
                  <m:ctrlPr>
                    <w:rPr>
                      <w:rFonts w:ascii="Cambria Math" w:hAnsi="Cambria Math"/>
                      <w:i/>
                      <w:sz w:val="24"/>
                      <w:szCs w:val="24"/>
                    </w:rPr>
                  </m:ctrlPr>
                </m:sSubPr>
                <m:e>
                  <m:r>
                    <m:rPr>
                      <m:nor/>
                      <m:sty m:val="p"/>
                    </m:rPr>
                    <w:rPr>
                      <w:rFonts w:ascii="Cambria Math"/>
                      <w:sz w:val="24"/>
                      <w:szCs w:val="24"/>
                    </w:rPr>
                    <m:t>)</m:t>
                  </m:r>
                  <m:ctrlPr>
                    <w:rPr>
                      <w:rFonts w:ascii="Cambria Math" w:hAnsi="Cambria Math"/>
                      <w:i/>
                      <w:sz w:val="24"/>
                      <w:szCs w:val="24"/>
                    </w:rPr>
                  </m:ctrlPr>
                </m:e>
                <m:sub>
                  <m:r>
                    <m:rPr>
                      <m:nor/>
                      <m:sty m:val="p"/>
                    </m:rPr>
                    <w:rPr>
                      <w:rFonts w:ascii="Cambria Math"/>
                      <w:sz w:val="24"/>
                      <w:szCs w:val="24"/>
                    </w:rPr>
                    <m:t>i</m:t>
                  </m:r>
                  <m:ctrlPr>
                    <w:rPr>
                      <w:rFonts w:ascii="Cambria Math" w:hAnsi="Cambria Math"/>
                      <w:i/>
                      <w:sz w:val="24"/>
                      <w:szCs w:val="24"/>
                    </w:rPr>
                  </m:ctrlPr>
                </m:sub>
              </m:sSub>
              <m:r>
                <m:rPr/>
                <w:rPr>
                  <w:rFonts w:ascii="Cambria Math"/>
                  <w:sz w:val="24"/>
                  <w:szCs w:val="24"/>
                </w:rPr>
                <m:t>=</m:t>
              </m:r>
              <m:sSup>
                <m:sSupPr>
                  <m:ctrlPr>
                    <w:rPr>
                      <w:rFonts w:ascii="Cambria Math" w:hAnsi="Cambria Math"/>
                      <w:i/>
                      <w:sz w:val="24"/>
                      <w:szCs w:val="24"/>
                    </w:rPr>
                  </m:ctrlPr>
                </m:sSupPr>
                <m:e>
                  <m:d>
                    <m:dPr>
                      <m:begChr m:val="["/>
                      <m:endChr m:val="]"/>
                      <m:ctrlPr>
                        <w:rPr>
                          <w:rFonts w:ascii="Cambria Math" w:hAnsi="Cambria Math"/>
                          <w:i/>
                          <w:sz w:val="24"/>
                          <w:szCs w:val="24"/>
                        </w:rPr>
                      </m:ctrlPr>
                    </m:dPr>
                    <m:e>
                      <m:f>
                        <m:fPr>
                          <m:ctrlPr>
                            <w:rPr>
                              <w:rFonts w:ascii="Cambria Math" w:hAnsi="Cambria Math"/>
                              <w:i/>
                              <w:sz w:val="24"/>
                              <w:szCs w:val="24"/>
                            </w:rPr>
                          </m:ctrlPr>
                        </m:fPr>
                        <m:num>
                          <m:r>
                            <m:rPr/>
                            <w:rPr>
                              <w:rFonts w:ascii="Cambria Math"/>
                              <w:sz w:val="24"/>
                              <w:szCs w:val="24"/>
                            </w:rPr>
                            <m:t>1</m:t>
                          </m:r>
                          <m:ctrlPr>
                            <w:rPr>
                              <w:rFonts w:ascii="Cambria Math" w:hAnsi="Cambria Math"/>
                              <w:i/>
                              <w:sz w:val="24"/>
                              <w:szCs w:val="24"/>
                            </w:rPr>
                          </m:ctrlPr>
                        </m:num>
                        <m:den>
                          <m:r>
                            <m:rPr/>
                            <w:rPr>
                              <w:rFonts w:ascii="Cambria Math"/>
                              <w:sz w:val="24"/>
                              <w:szCs w:val="24"/>
                            </w:rPr>
                            <m:t>(n−1)</m:t>
                          </m:r>
                          <m:ctrlPr>
                            <w:rPr>
                              <w:rFonts w:ascii="Cambria Math" w:hAnsi="Cambria Math"/>
                              <w:i/>
                              <w:sz w:val="24"/>
                              <w:szCs w:val="24"/>
                            </w:rPr>
                          </m:ctrlPr>
                        </m:den>
                      </m:f>
                      <m:nary>
                        <m:naryPr>
                          <m:chr m:val="∑"/>
                          <m:ctrlPr>
                            <w:rPr>
                              <w:rFonts w:ascii="Cambria Math" w:hAnsi="Cambria Math"/>
                              <w:i/>
                              <w:sz w:val="24"/>
                              <w:szCs w:val="24"/>
                            </w:rPr>
                          </m:ctrlPr>
                        </m:naryPr>
                        <m:sub>
                          <m:r>
                            <m:rPr/>
                            <w:rPr>
                              <w:rFonts w:ascii="Cambria Math"/>
                              <w:sz w:val="24"/>
                              <w:szCs w:val="24"/>
                            </w:rPr>
                            <m:t>i=1</m:t>
                          </m:r>
                          <m:ctrlPr>
                            <w:rPr>
                              <w:rFonts w:ascii="Cambria Math" w:hAnsi="Cambria Math"/>
                              <w:i/>
                              <w:sz w:val="24"/>
                              <w:szCs w:val="24"/>
                            </w:rPr>
                          </m:ctrlPr>
                        </m:sub>
                        <m:sup>
                          <m:r>
                            <m:rPr/>
                            <w:rPr>
                              <w:rFonts w:ascii="Cambria Math"/>
                              <w:sz w:val="24"/>
                              <w:szCs w:val="24"/>
                            </w:rPr>
                            <m:t>n</m:t>
                          </m:r>
                          <m:ctrlPr>
                            <w:rPr>
                              <w:rFonts w:ascii="Cambria Math" w:hAnsi="Cambria Math"/>
                              <w:i/>
                              <w:sz w:val="24"/>
                              <w:szCs w:val="24"/>
                            </w:rPr>
                          </m:ctrlPr>
                        </m:sup>
                        <m:e>
                          <m:r>
                            <m:rPr/>
                            <w:rPr>
                              <w:rFonts w:ascii="Cambria Math"/>
                              <w:sz w:val="24"/>
                              <w:szCs w:val="24"/>
                            </w:rPr>
                            <m:t>(</m:t>
                          </m:r>
                          <m:sSub>
                            <m:sSubPr>
                              <m:ctrlPr>
                                <w:rPr>
                                  <w:rFonts w:ascii="Cambria Math" w:hAnsi="Cambria Math"/>
                                  <w:i/>
                                  <w:sz w:val="24"/>
                                  <w:szCs w:val="24"/>
                                </w:rPr>
                              </m:ctrlPr>
                            </m:sSubPr>
                            <m:e>
                              <m:r>
                                <m:rPr/>
                                <w:rPr>
                                  <w:rFonts w:ascii="Cambria Math"/>
                                  <w:sz w:val="24"/>
                                  <w:szCs w:val="24"/>
                                </w:rPr>
                                <m:t>E</m:t>
                              </m:r>
                              <m:ctrlPr>
                                <w:rPr>
                                  <w:rFonts w:ascii="Cambria Math" w:hAnsi="Cambria Math"/>
                                  <w:i/>
                                  <w:sz w:val="24"/>
                                  <w:szCs w:val="24"/>
                                </w:rPr>
                              </m:ctrlPr>
                            </m:e>
                            <m:sub>
                              <m:r>
                                <m:rPr>
                                  <m:nor/>
                                  <m:sty m:val="p"/>
                                </m:rPr>
                                <w:rPr>
                                  <w:rFonts w:ascii="Cambria Math"/>
                                  <w:sz w:val="24"/>
                                  <w:szCs w:val="24"/>
                                </w:rPr>
                                <m:t>ij</m:t>
                              </m:r>
                              <m:ctrlPr>
                                <w:rPr>
                                  <w:rFonts w:ascii="Cambria Math" w:hAnsi="Cambria Math"/>
                                  <w:i/>
                                  <w:sz w:val="24"/>
                                  <w:szCs w:val="24"/>
                                </w:rPr>
                              </m:ctrlPr>
                            </m:sub>
                          </m:sSub>
                          <m:r>
                            <m:rPr/>
                            <w:rPr>
                              <w:rFonts w:ascii="Cambria Math"/>
                              <w:sz w:val="24"/>
                              <w:szCs w:val="24"/>
                            </w:rPr>
                            <m:t>−</m:t>
                          </m:r>
                          <m:sSub>
                            <m:sSubPr>
                              <m:ctrlPr>
                                <w:rPr>
                                  <w:rFonts w:ascii="Cambria Math" w:hAnsi="Cambria Math"/>
                                  <w:i/>
                                  <w:sz w:val="24"/>
                                  <w:szCs w:val="24"/>
                                </w:rPr>
                              </m:ctrlPr>
                            </m:sSubPr>
                            <m:e>
                              <m:r>
                                <m:rPr/>
                                <w:rPr>
                                  <w:rFonts w:ascii="Cambria Math"/>
                                  <w:sz w:val="24"/>
                                  <w:szCs w:val="24"/>
                                </w:rPr>
                                <m:t>E</m:t>
                              </m:r>
                              <m:ctrlPr>
                                <w:rPr>
                                  <w:rFonts w:ascii="Cambria Math" w:hAnsi="Cambria Math"/>
                                  <w:i/>
                                  <w:sz w:val="24"/>
                                  <w:szCs w:val="24"/>
                                </w:rPr>
                              </m:ctrlPr>
                            </m:e>
                            <m:sub>
                              <m:r>
                                <m:rPr>
                                  <m:nor/>
                                  <m:sty m:val="p"/>
                                </m:rPr>
                                <w:rPr>
                                  <w:rFonts w:ascii="Cambria Math"/>
                                  <w:sz w:val="24"/>
                                  <w:szCs w:val="24"/>
                                </w:rPr>
                                <m:t>i</m:t>
                              </m:r>
                              <m:ctrlPr>
                                <w:rPr>
                                  <w:rFonts w:ascii="Cambria Math" w:hAnsi="Cambria Math"/>
                                  <w:i/>
                                  <w:sz w:val="24"/>
                                  <w:szCs w:val="24"/>
                                </w:rPr>
                              </m:ctrlPr>
                            </m:sub>
                          </m:sSub>
                          <m:sSup>
                            <m:sSupPr>
                              <m:ctrlPr>
                                <w:rPr>
                                  <w:rFonts w:ascii="Cambria Math" w:hAnsi="Cambria Math"/>
                                  <w:i/>
                                  <w:sz w:val="24"/>
                                  <w:szCs w:val="24"/>
                                </w:rPr>
                              </m:ctrlPr>
                            </m:sSupPr>
                            <m:e>
                              <m:r>
                                <m:rPr/>
                                <w:rPr>
                                  <w:rFonts w:ascii="Cambria Math"/>
                                  <w:sz w:val="24"/>
                                  <w:szCs w:val="24"/>
                                </w:rPr>
                                <m:t>)</m:t>
                              </m:r>
                              <m:ctrlPr>
                                <w:rPr>
                                  <w:rFonts w:ascii="Cambria Math" w:hAnsi="Cambria Math"/>
                                  <w:i/>
                                  <w:sz w:val="24"/>
                                  <w:szCs w:val="24"/>
                                </w:rPr>
                              </m:ctrlPr>
                            </m:e>
                            <m:sup>
                              <m:r>
                                <m:rPr/>
                                <w:rPr>
                                  <w:rFonts w:ascii="Cambria Math"/>
                                  <w:sz w:val="24"/>
                                  <w:szCs w:val="24"/>
                                </w:rPr>
                                <m:t>2</m:t>
                              </m:r>
                              <m:ctrlPr>
                                <w:rPr>
                                  <w:rFonts w:ascii="Cambria Math" w:hAnsi="Cambria Math"/>
                                  <w:i/>
                                  <w:sz w:val="24"/>
                                  <w:szCs w:val="24"/>
                                </w:rPr>
                              </m:ctrlPr>
                            </m:sup>
                          </m:sSup>
                          <m:ctrlPr>
                            <w:rPr>
                              <w:rFonts w:ascii="Cambria Math" w:hAnsi="Cambria Math"/>
                              <w:i/>
                              <w:sz w:val="24"/>
                              <w:szCs w:val="24"/>
                            </w:rPr>
                          </m:ctrlPr>
                        </m:e>
                      </m:nary>
                      <m:ctrlPr>
                        <w:rPr>
                          <w:rFonts w:ascii="Cambria Math" w:hAnsi="Cambria Math"/>
                          <w:i/>
                          <w:sz w:val="24"/>
                          <w:szCs w:val="24"/>
                        </w:rPr>
                      </m:ctrlPr>
                    </m:e>
                  </m:d>
                  <m:ctrlPr>
                    <w:rPr>
                      <w:rFonts w:ascii="Cambria Math" w:hAnsi="Cambria Math"/>
                      <w:i/>
                      <w:sz w:val="24"/>
                      <w:szCs w:val="24"/>
                    </w:rPr>
                  </m:ctrlPr>
                </m:e>
                <m:sup>
                  <m:f>
                    <m:fPr>
                      <m:ctrlPr>
                        <w:rPr>
                          <w:rFonts w:ascii="Cambria Math" w:hAnsi="Cambria Math"/>
                          <w:i/>
                          <w:sz w:val="24"/>
                          <w:szCs w:val="24"/>
                        </w:rPr>
                      </m:ctrlPr>
                    </m:fPr>
                    <m:num>
                      <m:r>
                        <m:rPr/>
                        <w:rPr>
                          <w:rFonts w:ascii="Cambria Math"/>
                          <w:sz w:val="24"/>
                          <w:szCs w:val="24"/>
                        </w:rPr>
                        <m:t>1</m:t>
                      </m:r>
                      <m:ctrlPr>
                        <w:rPr>
                          <w:rFonts w:ascii="Cambria Math" w:hAnsi="Cambria Math"/>
                          <w:i/>
                          <w:sz w:val="24"/>
                          <w:szCs w:val="24"/>
                        </w:rPr>
                      </m:ctrlPr>
                    </m:num>
                    <m:den>
                      <m:r>
                        <m:rPr/>
                        <w:rPr>
                          <w:rFonts w:ascii="Cambria Math"/>
                          <w:sz w:val="24"/>
                          <w:szCs w:val="24"/>
                        </w:rPr>
                        <m:t>2</m:t>
                      </m:r>
                      <m:ctrlPr>
                        <w:rPr>
                          <w:rFonts w:ascii="Cambria Math" w:hAnsi="Cambria Math"/>
                          <w:i/>
                          <w:sz w:val="24"/>
                          <w:szCs w:val="24"/>
                        </w:rPr>
                      </m:ctrlPr>
                    </m:den>
                  </m:f>
                  <m:ctrlPr>
                    <w:rPr>
                      <w:rFonts w:ascii="Cambria Math" w:hAnsi="Cambria Math"/>
                      <w:i/>
                      <w:sz w:val="24"/>
                      <w:szCs w:val="24"/>
                    </w:rPr>
                  </m:ctrlPr>
                </m:sup>
              </m:sSup>
            </m:oMath>
            <w:r>
              <w:rPr>
                <w:sz w:val="24"/>
                <w:szCs w:val="24"/>
              </w:rPr>
              <w:t xml:space="preserve">       </w:t>
            </w:r>
            <w:r>
              <w:rPr>
                <w:rFonts w:hint="eastAsia"/>
                <w:sz w:val="24"/>
                <w:szCs w:val="24"/>
              </w:rPr>
              <w:t xml:space="preserve">  </w:t>
            </w:r>
          </w:p>
        </w:tc>
        <w:tc>
          <w:tcPr>
            <w:tcW w:w="1188" w:type="dxa"/>
            <w:vAlign w:val="center"/>
          </w:tcPr>
          <w:p w14:paraId="4BDB4CF6">
            <w:pPr>
              <w:tabs>
                <w:tab w:val="left" w:pos="360"/>
              </w:tabs>
              <w:spacing w:before="160" w:line="360" w:lineRule="auto"/>
              <w:jc w:val="center"/>
              <w:rPr>
                <w:sz w:val="24"/>
                <w:szCs w:val="24"/>
              </w:rPr>
            </w:pPr>
            <w:r>
              <w:rPr>
                <w:sz w:val="24"/>
                <w:szCs w:val="24"/>
              </w:rPr>
              <w:t>（</w:t>
            </w:r>
            <w:r>
              <w:rPr>
                <w:rFonts w:hint="eastAsia"/>
                <w:sz w:val="24"/>
                <w:szCs w:val="24"/>
              </w:rPr>
              <w:t>9</w:t>
            </w:r>
            <w:r>
              <w:rPr>
                <w:sz w:val="24"/>
                <w:szCs w:val="24"/>
              </w:rPr>
              <w:t>）</w:t>
            </w:r>
          </w:p>
        </w:tc>
      </w:tr>
    </w:tbl>
    <w:p w14:paraId="0AE603E8">
      <w:pPr>
        <w:spacing w:before="160" w:line="360" w:lineRule="auto"/>
        <w:ind w:firstLine="480"/>
        <w:rPr>
          <w:sz w:val="24"/>
          <w:szCs w:val="24"/>
        </w:rPr>
      </w:pPr>
      <w:r>
        <w:rPr>
          <w:sz w:val="24"/>
          <w:szCs w:val="24"/>
        </w:rPr>
        <w:t>流量计重复性</w:t>
      </w:r>
      <m:oMath>
        <m:sSub>
          <m:sSubPr>
            <m:ctrlPr>
              <w:rPr>
                <w:rFonts w:ascii="Cambria Math" w:hAnsi="Cambria Math"/>
                <w:i/>
                <w:sz w:val="24"/>
                <w:szCs w:val="24"/>
              </w:rPr>
            </m:ctrlPr>
          </m:sSubPr>
          <m:e>
            <m:r>
              <m:rPr/>
              <w:rPr>
                <w:rFonts w:ascii="Cambria Math"/>
                <w:sz w:val="24"/>
                <w:szCs w:val="24"/>
              </w:rPr>
              <m:t>E</m:t>
            </m:r>
            <m:ctrlPr>
              <w:rPr>
                <w:rFonts w:ascii="Cambria Math" w:hAnsi="Cambria Math"/>
                <w:i/>
                <w:sz w:val="24"/>
                <w:szCs w:val="24"/>
              </w:rPr>
            </m:ctrlPr>
          </m:e>
          <m:sub>
            <m:r>
              <m:rPr>
                <m:nor/>
                <m:sty m:val="p"/>
              </m:rPr>
              <w:rPr>
                <w:rFonts w:ascii="Cambria Math"/>
                <w:sz w:val="24"/>
                <w:szCs w:val="24"/>
              </w:rPr>
              <m:t>r</m:t>
            </m:r>
            <m:ctrlPr>
              <w:rPr>
                <w:rFonts w:ascii="Cambria Math" w:hAnsi="Cambria Math"/>
                <w:i/>
                <w:sz w:val="24"/>
                <w:szCs w:val="24"/>
              </w:rPr>
            </m:ctrlPr>
          </m:sub>
        </m:sSub>
      </m:oMath>
      <w:r>
        <w:rPr>
          <w:sz w:val="24"/>
          <w:szCs w:val="24"/>
        </w:rPr>
        <w:t>为：</w:t>
      </w:r>
    </w:p>
    <w:tbl>
      <w:tblPr>
        <w:tblStyle w:val="38"/>
        <w:tblW w:w="8617" w:type="dxa"/>
        <w:tblInd w:w="108" w:type="dxa"/>
        <w:tblLayout w:type="fixed"/>
        <w:tblCellMar>
          <w:top w:w="0" w:type="dxa"/>
          <w:left w:w="108" w:type="dxa"/>
          <w:bottom w:w="0" w:type="dxa"/>
          <w:right w:w="108" w:type="dxa"/>
        </w:tblCellMar>
      </w:tblPr>
      <w:tblGrid>
        <w:gridCol w:w="7429"/>
        <w:gridCol w:w="1188"/>
      </w:tblGrid>
      <w:tr w14:paraId="584DE673">
        <w:tblPrEx>
          <w:tblCellMar>
            <w:top w:w="0" w:type="dxa"/>
            <w:left w:w="108" w:type="dxa"/>
            <w:bottom w:w="0" w:type="dxa"/>
            <w:right w:w="108" w:type="dxa"/>
          </w:tblCellMar>
        </w:tblPrEx>
        <w:tc>
          <w:tcPr>
            <w:tcW w:w="7429" w:type="dxa"/>
            <w:vAlign w:val="center"/>
          </w:tcPr>
          <w:p w14:paraId="35309E58">
            <w:pPr>
              <w:tabs>
                <w:tab w:val="left" w:pos="360"/>
              </w:tabs>
              <w:spacing w:before="160" w:line="360" w:lineRule="auto"/>
              <w:jc w:val="center"/>
              <w:rPr>
                <w:sz w:val="24"/>
                <w:szCs w:val="24"/>
              </w:rPr>
            </w:pPr>
            <m:oMath>
              <m:sSub>
                <m:sSubPr>
                  <m:ctrlPr>
                    <w:rPr>
                      <w:rFonts w:ascii="Cambria Math" w:hAnsi="Cambria Math"/>
                      <w:i/>
                      <w:sz w:val="24"/>
                      <w:szCs w:val="24"/>
                    </w:rPr>
                  </m:ctrlPr>
                </m:sSubPr>
                <m:e>
                  <m:r>
                    <m:rPr/>
                    <w:rPr>
                      <w:rFonts w:ascii="Cambria Math"/>
                      <w:sz w:val="24"/>
                      <w:szCs w:val="24"/>
                    </w:rPr>
                    <m:t>E</m:t>
                  </m:r>
                  <m:ctrlPr>
                    <w:rPr>
                      <w:rFonts w:ascii="Cambria Math" w:hAnsi="Cambria Math"/>
                      <w:i/>
                      <w:sz w:val="24"/>
                      <w:szCs w:val="24"/>
                    </w:rPr>
                  </m:ctrlPr>
                </m:e>
                <m:sub>
                  <m:r>
                    <m:rPr>
                      <m:nor/>
                      <m:sty m:val="p"/>
                    </m:rPr>
                    <w:rPr>
                      <w:rFonts w:ascii="Cambria Math"/>
                      <w:sz w:val="24"/>
                      <w:szCs w:val="24"/>
                    </w:rPr>
                    <m:t>r</m:t>
                  </m:r>
                  <m:ctrlPr>
                    <w:rPr>
                      <w:rFonts w:ascii="Cambria Math" w:hAnsi="Cambria Math"/>
                      <w:i/>
                      <w:sz w:val="24"/>
                      <w:szCs w:val="24"/>
                    </w:rPr>
                  </m:ctrlPr>
                </m:sub>
              </m:sSub>
              <m:r>
                <m:rPr/>
                <w:rPr>
                  <w:rFonts w:ascii="Cambria Math"/>
                  <w:sz w:val="24"/>
                  <w:szCs w:val="24"/>
                </w:rPr>
                <m:t>=</m:t>
              </m:r>
              <m:sSub>
                <m:sSubPr>
                  <m:ctrlPr>
                    <w:rPr>
                      <w:rFonts w:ascii="Cambria Math" w:hAnsi="Cambria Math"/>
                      <w:sz w:val="24"/>
                      <w:szCs w:val="24"/>
                    </w:rPr>
                  </m:ctrlPr>
                </m:sSubPr>
                <m:e>
                  <m:r>
                    <m:rPr/>
                    <w:rPr>
                      <w:rFonts w:hint="eastAsia" w:ascii="Cambria Math" w:hAnsi="Cambria Math"/>
                      <w:sz w:val="24"/>
                      <w:szCs w:val="24"/>
                    </w:rPr>
                    <m:t>[</m:t>
                  </m:r>
                  <m:d>
                    <m:dPr>
                      <m:endChr m:val="]"/>
                      <m:ctrlPr>
                        <w:rPr>
                          <w:rFonts w:ascii="Cambria Math" w:hAnsi="Cambria Math"/>
                          <w:i/>
                          <w:sz w:val="24"/>
                          <w:szCs w:val="24"/>
                        </w:rPr>
                      </m:ctrlPr>
                    </m:dPr>
                    <m:e>
                      <m:sSub>
                        <m:sSubPr>
                          <m:ctrlPr>
                            <w:rPr>
                              <w:rFonts w:ascii="Cambria Math" w:hAnsi="Cambria Math"/>
                              <w:i/>
                              <w:sz w:val="24"/>
                              <w:szCs w:val="24"/>
                            </w:rPr>
                          </m:ctrlPr>
                        </m:sSubPr>
                        <m:e>
                          <m:r>
                            <m:rPr/>
                            <w:rPr>
                              <w:rFonts w:ascii="Cambria Math"/>
                              <w:sz w:val="24"/>
                              <w:szCs w:val="24"/>
                            </w:rPr>
                            <m:t>E</m:t>
                          </m:r>
                          <m:ctrlPr>
                            <w:rPr>
                              <w:rFonts w:ascii="Cambria Math" w:hAnsi="Cambria Math"/>
                              <w:i/>
                              <w:sz w:val="24"/>
                              <w:szCs w:val="24"/>
                            </w:rPr>
                          </m:ctrlPr>
                        </m:e>
                        <m:sub>
                          <m:r>
                            <m:rPr>
                              <m:nor/>
                              <m:sty m:val="p"/>
                            </m:rPr>
                            <w:rPr>
                              <w:rFonts w:ascii="Cambria Math"/>
                              <w:sz w:val="24"/>
                              <w:szCs w:val="24"/>
                            </w:rPr>
                            <m:t>r</m:t>
                          </m:r>
                          <m:ctrlPr>
                            <w:rPr>
                              <w:rFonts w:ascii="Cambria Math" w:hAnsi="Cambria Math"/>
                              <w:i/>
                              <w:sz w:val="24"/>
                              <w:szCs w:val="24"/>
                            </w:rPr>
                          </m:ctrlPr>
                        </m:sub>
                      </m:sSub>
                      <m:sSub>
                        <m:sSubPr>
                          <m:ctrlPr>
                            <w:rPr>
                              <w:rFonts w:ascii="Cambria Math" w:hAnsi="Cambria Math"/>
                              <w:i/>
                              <w:sz w:val="24"/>
                              <w:szCs w:val="24"/>
                            </w:rPr>
                          </m:ctrlPr>
                        </m:sSubPr>
                        <m:e>
                          <m:r>
                            <m:rPr>
                              <m:nor/>
                              <m:sty m:val="p"/>
                            </m:rPr>
                            <w:rPr>
                              <w:rFonts w:ascii="Cambria Math"/>
                              <w:sz w:val="24"/>
                              <w:szCs w:val="24"/>
                            </w:rPr>
                            <m:t>)</m:t>
                          </m:r>
                          <m:ctrlPr>
                            <w:rPr>
                              <w:rFonts w:ascii="Cambria Math" w:hAnsi="Cambria Math"/>
                              <w:i/>
                              <w:sz w:val="24"/>
                              <w:szCs w:val="24"/>
                            </w:rPr>
                          </m:ctrlPr>
                        </m:e>
                        <m:sub>
                          <m:r>
                            <m:rPr>
                              <m:nor/>
                              <m:sty m:val="p"/>
                            </m:rPr>
                            <w:rPr>
                              <w:rFonts w:ascii="Cambria Math"/>
                              <w:sz w:val="24"/>
                              <w:szCs w:val="24"/>
                            </w:rPr>
                            <m:t>i</m:t>
                          </m:r>
                          <m:ctrlPr>
                            <w:rPr>
                              <w:rFonts w:ascii="Cambria Math" w:hAnsi="Cambria Math"/>
                              <w:i/>
                              <w:sz w:val="24"/>
                              <w:szCs w:val="24"/>
                            </w:rPr>
                          </m:ctrlPr>
                        </m:sub>
                      </m:sSub>
                      <m:ctrlPr>
                        <w:rPr>
                          <w:rFonts w:ascii="Cambria Math" w:hAnsi="Cambria Math"/>
                          <w:i/>
                          <w:sz w:val="24"/>
                          <w:szCs w:val="24"/>
                        </w:rPr>
                      </m:ctrlPr>
                    </m:e>
                  </m:d>
                  <m:ctrlPr>
                    <w:rPr>
                      <w:rFonts w:ascii="Cambria Math" w:hAnsi="Cambria Math"/>
                      <w:sz w:val="24"/>
                      <w:szCs w:val="24"/>
                    </w:rPr>
                  </m:ctrlPr>
                </m:e>
                <m:sub>
                  <m:r>
                    <m:rPr>
                      <m:nor/>
                      <m:sty m:val="p"/>
                    </m:rPr>
                    <w:rPr>
                      <w:rFonts w:ascii="Cambria Math" w:hAnsi="Cambria Math"/>
                      <w:sz w:val="24"/>
                      <w:szCs w:val="24"/>
                    </w:rPr>
                    <m:t>max</m:t>
                  </m:r>
                  <m:ctrlPr>
                    <w:rPr>
                      <w:rFonts w:ascii="Cambria Math" w:hAnsi="Cambria Math"/>
                      <w:sz w:val="24"/>
                      <w:szCs w:val="24"/>
                    </w:rPr>
                  </m:ctrlPr>
                </m:sub>
              </m:sSub>
            </m:oMath>
            <w:r>
              <w:rPr>
                <w:sz w:val="24"/>
                <w:szCs w:val="24"/>
              </w:rPr>
              <w:t xml:space="preserve">       </w:t>
            </w:r>
            <w:r>
              <w:rPr>
                <w:rFonts w:hint="eastAsia"/>
                <w:sz w:val="24"/>
                <w:szCs w:val="24"/>
              </w:rPr>
              <w:t xml:space="preserve">  </w:t>
            </w:r>
          </w:p>
        </w:tc>
        <w:tc>
          <w:tcPr>
            <w:tcW w:w="1188" w:type="dxa"/>
            <w:vAlign w:val="center"/>
          </w:tcPr>
          <w:p w14:paraId="25375F40">
            <w:pPr>
              <w:tabs>
                <w:tab w:val="left" w:pos="360"/>
              </w:tabs>
              <w:spacing w:before="160" w:line="360" w:lineRule="auto"/>
              <w:jc w:val="center"/>
              <w:rPr>
                <w:sz w:val="24"/>
                <w:szCs w:val="24"/>
              </w:rPr>
            </w:pPr>
            <w:r>
              <w:rPr>
                <w:sz w:val="24"/>
                <w:szCs w:val="24"/>
              </w:rPr>
              <w:t>（</w:t>
            </w:r>
            <w:r>
              <w:rPr>
                <w:rFonts w:hint="eastAsia"/>
                <w:sz w:val="24"/>
                <w:szCs w:val="24"/>
              </w:rPr>
              <w:t>10</w:t>
            </w:r>
            <w:r>
              <w:rPr>
                <w:sz w:val="24"/>
                <w:szCs w:val="24"/>
              </w:rPr>
              <w:t>）</w:t>
            </w:r>
          </w:p>
        </w:tc>
      </w:tr>
    </w:tbl>
    <w:p w14:paraId="3F8EBF91">
      <w:pPr>
        <w:spacing w:before="160" w:line="360" w:lineRule="auto"/>
        <w:ind w:left="1920" w:hanging="1920" w:hangingChars="800"/>
        <w:rPr>
          <w:sz w:val="24"/>
          <w:szCs w:val="24"/>
        </w:rPr>
      </w:pPr>
      <w:r>
        <w:rPr>
          <w:sz w:val="24"/>
          <w:szCs w:val="24"/>
        </w:rPr>
        <w:t>式中：</w:t>
      </w:r>
      <m:oMath>
        <m:sSub>
          <m:sSubPr>
            <m:ctrlPr>
              <w:rPr>
                <w:rFonts w:ascii="Cambria Math" w:hAnsi="Cambria Math"/>
                <w:sz w:val="24"/>
                <w:szCs w:val="24"/>
              </w:rPr>
            </m:ctrlPr>
          </m:sSubPr>
          <m:e>
            <m:r>
              <m:rPr/>
              <w:rPr>
                <w:rFonts w:hint="eastAsia" w:ascii="Cambria Math" w:hAnsi="Cambria Math"/>
                <w:sz w:val="24"/>
                <w:szCs w:val="24"/>
              </w:rPr>
              <m:t>[</m:t>
            </m:r>
            <m:d>
              <m:dPr>
                <m:endChr m:val="]"/>
                <m:ctrlPr>
                  <w:rPr>
                    <w:rFonts w:ascii="Cambria Math" w:hAnsi="Cambria Math"/>
                    <w:i/>
                    <w:sz w:val="24"/>
                    <w:szCs w:val="24"/>
                  </w:rPr>
                </m:ctrlPr>
              </m:dPr>
              <m:e>
                <m:sSub>
                  <m:sSubPr>
                    <m:ctrlPr>
                      <w:rPr>
                        <w:rFonts w:ascii="Cambria Math" w:hAnsi="Cambria Math"/>
                        <w:i/>
                        <w:sz w:val="24"/>
                        <w:szCs w:val="24"/>
                      </w:rPr>
                    </m:ctrlPr>
                  </m:sSubPr>
                  <m:e>
                    <m:r>
                      <m:rPr/>
                      <w:rPr>
                        <w:rFonts w:ascii="Cambria Math"/>
                        <w:sz w:val="24"/>
                        <w:szCs w:val="24"/>
                      </w:rPr>
                      <m:t>E</m:t>
                    </m:r>
                    <m:ctrlPr>
                      <w:rPr>
                        <w:rFonts w:ascii="Cambria Math" w:hAnsi="Cambria Math"/>
                        <w:i/>
                        <w:sz w:val="24"/>
                        <w:szCs w:val="24"/>
                      </w:rPr>
                    </m:ctrlPr>
                  </m:e>
                  <m:sub>
                    <m:r>
                      <m:rPr>
                        <m:nor/>
                        <m:sty m:val="p"/>
                      </m:rPr>
                      <w:rPr>
                        <w:rFonts w:ascii="Cambria Math"/>
                        <w:sz w:val="24"/>
                        <w:szCs w:val="24"/>
                      </w:rPr>
                      <m:t>r</m:t>
                    </m:r>
                    <m:ctrlPr>
                      <w:rPr>
                        <w:rFonts w:ascii="Cambria Math" w:hAnsi="Cambria Math"/>
                        <w:i/>
                        <w:sz w:val="24"/>
                        <w:szCs w:val="24"/>
                      </w:rPr>
                    </m:ctrlPr>
                  </m:sub>
                </m:sSub>
                <m:sSub>
                  <m:sSubPr>
                    <m:ctrlPr>
                      <w:rPr>
                        <w:rFonts w:ascii="Cambria Math" w:hAnsi="Cambria Math"/>
                        <w:i/>
                        <w:sz w:val="24"/>
                        <w:szCs w:val="24"/>
                      </w:rPr>
                    </m:ctrlPr>
                  </m:sSubPr>
                  <m:e>
                    <m:r>
                      <m:rPr>
                        <m:nor/>
                        <m:sty m:val="p"/>
                      </m:rPr>
                      <w:rPr>
                        <w:rFonts w:ascii="Cambria Math"/>
                        <w:sz w:val="24"/>
                        <w:szCs w:val="24"/>
                      </w:rPr>
                      <m:t>)</m:t>
                    </m:r>
                    <m:ctrlPr>
                      <w:rPr>
                        <w:rFonts w:ascii="Cambria Math" w:hAnsi="Cambria Math"/>
                        <w:i/>
                        <w:sz w:val="24"/>
                        <w:szCs w:val="24"/>
                      </w:rPr>
                    </m:ctrlPr>
                  </m:e>
                  <m:sub>
                    <m:r>
                      <m:rPr>
                        <m:nor/>
                        <m:sty m:val="p"/>
                      </m:rPr>
                      <w:rPr>
                        <w:rFonts w:ascii="Cambria Math"/>
                        <w:sz w:val="24"/>
                        <w:szCs w:val="24"/>
                      </w:rPr>
                      <m:t>i</m:t>
                    </m:r>
                    <m:ctrlPr>
                      <w:rPr>
                        <w:rFonts w:ascii="Cambria Math" w:hAnsi="Cambria Math"/>
                        <w:i/>
                        <w:sz w:val="24"/>
                        <w:szCs w:val="24"/>
                      </w:rPr>
                    </m:ctrlPr>
                  </m:sub>
                </m:sSub>
                <m:ctrlPr>
                  <w:rPr>
                    <w:rFonts w:ascii="Cambria Math" w:hAnsi="Cambria Math"/>
                    <w:i/>
                    <w:sz w:val="24"/>
                    <w:szCs w:val="24"/>
                  </w:rPr>
                </m:ctrlPr>
              </m:e>
            </m:d>
            <m:ctrlPr>
              <w:rPr>
                <w:rFonts w:ascii="Cambria Math" w:hAnsi="Cambria Math"/>
                <w:sz w:val="24"/>
                <w:szCs w:val="24"/>
              </w:rPr>
            </m:ctrlPr>
          </m:e>
          <m:sub>
            <m:r>
              <m:rPr>
                <m:nor/>
                <m:sty m:val="p"/>
              </m:rPr>
              <w:rPr>
                <w:rFonts w:ascii="Cambria Math" w:hAnsi="Cambria Math"/>
                <w:sz w:val="24"/>
                <w:szCs w:val="24"/>
              </w:rPr>
              <m:t>max</m:t>
            </m:r>
            <m:ctrlPr>
              <w:rPr>
                <w:rFonts w:ascii="Cambria Math" w:hAnsi="Cambria Math"/>
                <w:sz w:val="24"/>
                <w:szCs w:val="24"/>
              </w:rPr>
            </m:ctrlPr>
          </m:sub>
        </m:sSub>
      </m:oMath>
      <w:r>
        <w:rPr>
          <w:rFonts w:hint="eastAsia"/>
          <w:sz w:val="24"/>
          <w:szCs w:val="24"/>
        </w:rPr>
        <w:t>—对给出准确度等级的流量计分别取</w:t>
      </w:r>
      <w:r>
        <w:rPr>
          <w:i/>
          <w:sz w:val="24"/>
          <w:szCs w:val="24"/>
        </w:rPr>
        <w:t>q</w:t>
      </w:r>
      <w:r>
        <w:rPr>
          <w:sz w:val="24"/>
          <w:szCs w:val="24"/>
          <w:vertAlign w:val="subscript"/>
        </w:rPr>
        <w:t>t</w:t>
      </w:r>
      <w:r>
        <w:rPr>
          <w:rFonts w:ascii="宋体" w:hAnsi="宋体"/>
          <w:sz w:val="24"/>
          <w:szCs w:val="24"/>
        </w:rPr>
        <w:t>≤</w:t>
      </w:r>
      <w:r>
        <w:rPr>
          <w:i/>
          <w:sz w:val="24"/>
          <w:szCs w:val="24"/>
        </w:rPr>
        <w:t>q</w:t>
      </w:r>
      <w:r>
        <w:rPr>
          <w:rFonts w:ascii="宋体" w:hAnsi="宋体"/>
          <w:sz w:val="24"/>
          <w:szCs w:val="24"/>
        </w:rPr>
        <w:t>≤</w:t>
      </w:r>
      <w:r>
        <w:rPr>
          <w:i/>
          <w:sz w:val="24"/>
          <w:szCs w:val="24"/>
        </w:rPr>
        <w:t>q</w:t>
      </w:r>
      <w:r>
        <w:rPr>
          <w:sz w:val="24"/>
          <w:szCs w:val="24"/>
          <w:vertAlign w:val="subscript"/>
        </w:rPr>
        <w:t>max</w:t>
      </w:r>
      <w:r>
        <w:rPr>
          <w:rFonts w:hint="eastAsia"/>
          <w:sz w:val="24"/>
          <w:szCs w:val="24"/>
        </w:rPr>
        <w:t>和</w:t>
      </w:r>
      <w:r>
        <w:rPr>
          <w:i/>
          <w:sz w:val="24"/>
          <w:szCs w:val="24"/>
        </w:rPr>
        <w:t>q</w:t>
      </w:r>
      <w:r>
        <w:rPr>
          <w:sz w:val="24"/>
          <w:szCs w:val="24"/>
          <w:vertAlign w:val="subscript"/>
        </w:rPr>
        <w:t>min</w:t>
      </w:r>
      <w:r>
        <w:rPr>
          <w:rFonts w:ascii="宋体" w:hAnsi="宋体"/>
          <w:sz w:val="24"/>
          <w:szCs w:val="24"/>
        </w:rPr>
        <w:t>≤</w:t>
      </w:r>
      <w:r>
        <w:rPr>
          <w:i/>
          <w:sz w:val="24"/>
          <w:szCs w:val="24"/>
        </w:rPr>
        <w:t>q</w:t>
      </w:r>
      <w:r>
        <w:rPr>
          <w:rFonts w:hint="eastAsia" w:ascii="宋体" w:hAnsi="宋体"/>
          <w:sz w:val="24"/>
          <w:szCs w:val="24"/>
        </w:rPr>
        <w:t>＜</w:t>
      </w:r>
      <w:r>
        <w:rPr>
          <w:i/>
          <w:sz w:val="24"/>
          <w:szCs w:val="24"/>
        </w:rPr>
        <w:t>q</w:t>
      </w:r>
      <w:r>
        <w:rPr>
          <w:sz w:val="24"/>
          <w:szCs w:val="24"/>
          <w:vertAlign w:val="subscript"/>
        </w:rPr>
        <w:t>t</w:t>
      </w:r>
      <w:r>
        <w:rPr>
          <w:rFonts w:hint="eastAsia"/>
          <w:sz w:val="24"/>
          <w:szCs w:val="24"/>
        </w:rPr>
        <w:t>内各流量点重复性最大值；对给出引用误差的流量计取各流量点中重复性最大值。</w:t>
      </w:r>
    </w:p>
    <w:p w14:paraId="6257E5D4">
      <w:pPr>
        <w:spacing w:before="160" w:line="360" w:lineRule="auto"/>
        <w:rPr>
          <w:rFonts w:cstheme="minorBidi"/>
          <w:sz w:val="24"/>
          <w:szCs w:val="24"/>
        </w:rPr>
      </w:pPr>
      <w:r>
        <w:rPr>
          <w:rFonts w:hint="eastAsia" w:cstheme="minorBidi"/>
          <w:sz w:val="24"/>
          <w:szCs w:val="24"/>
        </w:rPr>
        <w:t>10</w:t>
      </w:r>
      <w:r>
        <w:rPr>
          <w:rFonts w:cstheme="minorBidi"/>
          <w:sz w:val="24"/>
          <w:szCs w:val="24"/>
        </w:rPr>
        <w:t>.</w:t>
      </w:r>
      <w:r>
        <w:rPr>
          <w:rFonts w:hint="eastAsia" w:cstheme="minorBidi"/>
          <w:sz w:val="24"/>
          <w:szCs w:val="24"/>
        </w:rPr>
        <w:t>2</w:t>
      </w:r>
      <w:r>
        <w:rPr>
          <w:rFonts w:cstheme="minorBidi"/>
          <w:sz w:val="24"/>
          <w:szCs w:val="24"/>
        </w:rPr>
        <w:t>.</w:t>
      </w:r>
      <w:r>
        <w:rPr>
          <w:rFonts w:hint="eastAsia" w:cstheme="minorBidi"/>
          <w:sz w:val="24"/>
          <w:szCs w:val="24"/>
        </w:rPr>
        <w:t>2</w:t>
      </w:r>
      <w:r>
        <w:rPr>
          <w:rFonts w:cstheme="minorBidi"/>
          <w:sz w:val="24"/>
          <w:szCs w:val="24"/>
        </w:rPr>
        <w:t>.</w:t>
      </w:r>
      <w:r>
        <w:rPr>
          <w:rFonts w:hint="eastAsia" w:cstheme="minorBidi"/>
          <w:sz w:val="24"/>
          <w:szCs w:val="24"/>
        </w:rPr>
        <w:t xml:space="preserve">2 </w:t>
      </w:r>
      <w:r>
        <w:rPr>
          <w:rFonts w:cstheme="minorBidi"/>
          <w:sz w:val="24"/>
          <w:szCs w:val="24"/>
        </w:rPr>
        <w:t>合格判据</w:t>
      </w:r>
    </w:p>
    <w:p w14:paraId="6118F325">
      <w:pPr>
        <w:spacing w:before="160" w:line="360" w:lineRule="auto"/>
        <w:ind w:firstLine="480" w:firstLineChars="200"/>
        <w:rPr>
          <w:sz w:val="24"/>
          <w:szCs w:val="22"/>
        </w:rPr>
      </w:pPr>
      <w:r>
        <w:rPr>
          <w:rFonts w:hint="eastAsia"/>
          <w:sz w:val="24"/>
          <w:szCs w:val="22"/>
        </w:rPr>
        <w:t>流量计示值误差应符合第</w:t>
      </w:r>
      <w:r>
        <w:rPr>
          <w:sz w:val="24"/>
          <w:szCs w:val="22"/>
        </w:rPr>
        <w:t>6.2</w:t>
      </w:r>
      <w:r>
        <w:rPr>
          <w:rFonts w:hint="eastAsia"/>
          <w:sz w:val="24"/>
          <w:szCs w:val="22"/>
        </w:rPr>
        <w:t>条要求。</w:t>
      </w:r>
    </w:p>
    <w:p w14:paraId="1534B952">
      <w:pPr>
        <w:spacing w:before="160" w:line="360" w:lineRule="auto"/>
        <w:rPr>
          <w:rFonts w:cstheme="minorBidi"/>
          <w:sz w:val="24"/>
          <w:szCs w:val="24"/>
        </w:rPr>
      </w:pPr>
      <w:bookmarkStart w:id="257" w:name="_Toc15165"/>
      <w:r>
        <w:rPr>
          <w:rFonts w:hint="eastAsia" w:cstheme="minorBidi"/>
          <w:sz w:val="24"/>
          <w:szCs w:val="24"/>
        </w:rPr>
        <w:t>10.2.3 复现性误差</w:t>
      </w:r>
      <w:r>
        <w:rPr>
          <w:rFonts w:cstheme="minorBidi"/>
          <w:sz w:val="24"/>
          <w:szCs w:val="24"/>
        </w:rPr>
        <w:t xml:space="preserve"> </w:t>
      </w:r>
    </w:p>
    <w:p w14:paraId="22B64154">
      <w:pPr>
        <w:spacing w:before="160" w:line="360" w:lineRule="auto"/>
        <w:rPr>
          <w:rFonts w:cstheme="minorBidi"/>
          <w:sz w:val="24"/>
          <w:szCs w:val="24"/>
        </w:rPr>
      </w:pPr>
      <w:r>
        <w:rPr>
          <w:rFonts w:hint="eastAsia" w:cstheme="minorBidi"/>
          <w:sz w:val="24"/>
          <w:szCs w:val="24"/>
        </w:rPr>
        <w:t>10.2.3.1 试验目的</w:t>
      </w:r>
    </w:p>
    <w:p w14:paraId="44F4F261">
      <w:pPr>
        <w:spacing w:before="160" w:line="360" w:lineRule="auto"/>
        <w:ind w:firstLine="480" w:firstLineChars="200"/>
        <w:rPr>
          <w:sz w:val="24"/>
          <w:szCs w:val="22"/>
        </w:rPr>
      </w:pPr>
      <w:r>
        <w:rPr>
          <w:rFonts w:hint="eastAsia"/>
          <w:sz w:val="24"/>
          <w:szCs w:val="22"/>
        </w:rPr>
        <w:t xml:space="preserve">检验流量计的复现性误差是否符合 6.3 的要求。 </w:t>
      </w:r>
    </w:p>
    <w:p w14:paraId="04035C4B">
      <w:pPr>
        <w:spacing w:before="160" w:line="360" w:lineRule="auto"/>
        <w:rPr>
          <w:rFonts w:cstheme="minorBidi"/>
          <w:sz w:val="24"/>
          <w:szCs w:val="24"/>
        </w:rPr>
      </w:pPr>
      <w:r>
        <w:rPr>
          <w:rFonts w:hint="eastAsia" w:cstheme="minorBidi"/>
          <w:sz w:val="24"/>
          <w:szCs w:val="24"/>
        </w:rPr>
        <w:t xml:space="preserve">10.2.3.2 试验条件和试验设备 </w:t>
      </w:r>
    </w:p>
    <w:p w14:paraId="0FF84FB0">
      <w:pPr>
        <w:spacing w:before="160" w:line="360" w:lineRule="auto"/>
        <w:ind w:firstLine="480" w:firstLineChars="200"/>
        <w:rPr>
          <w:sz w:val="24"/>
          <w:szCs w:val="22"/>
        </w:rPr>
      </w:pPr>
      <w:r>
        <w:rPr>
          <w:rFonts w:hint="eastAsia"/>
          <w:sz w:val="24"/>
          <w:szCs w:val="22"/>
        </w:rPr>
        <w:t xml:space="preserve">试验条件和设备与准确度等级试验相同。 </w:t>
      </w:r>
    </w:p>
    <w:p w14:paraId="4415CD62">
      <w:pPr>
        <w:spacing w:before="160" w:line="360" w:lineRule="auto"/>
        <w:rPr>
          <w:rFonts w:cstheme="minorBidi"/>
          <w:sz w:val="24"/>
          <w:szCs w:val="24"/>
        </w:rPr>
      </w:pPr>
      <w:r>
        <w:rPr>
          <w:rFonts w:hint="eastAsia" w:cstheme="minorBidi"/>
          <w:sz w:val="24"/>
          <w:szCs w:val="24"/>
        </w:rPr>
        <w:t>10.2.3.3 试验程序</w:t>
      </w:r>
    </w:p>
    <w:p w14:paraId="1374F628">
      <w:pPr>
        <w:spacing w:before="160" w:line="360" w:lineRule="auto"/>
        <w:ind w:firstLine="480" w:firstLineChars="200"/>
        <w:rPr>
          <w:sz w:val="24"/>
          <w:szCs w:val="32"/>
        </w:rPr>
      </w:pPr>
      <w:r>
        <w:rPr>
          <w:rFonts w:hint="eastAsia"/>
          <w:sz w:val="24"/>
          <w:szCs w:val="32"/>
        </w:rPr>
        <w:t>在</w:t>
      </w:r>
      <w:r>
        <w:rPr>
          <w:i/>
          <w:iCs/>
          <w:sz w:val="24"/>
          <w:szCs w:val="32"/>
        </w:rPr>
        <w:t>q</w:t>
      </w:r>
      <w:r>
        <w:rPr>
          <w:sz w:val="24"/>
          <w:szCs w:val="32"/>
          <w:vertAlign w:val="subscript"/>
        </w:rPr>
        <w:t>t</w:t>
      </w:r>
      <w:r>
        <w:rPr>
          <w:rFonts w:hint="eastAsia"/>
          <w:sz w:val="24"/>
          <w:szCs w:val="32"/>
        </w:rPr>
        <w:t>≤</w:t>
      </w:r>
      <w:r>
        <w:rPr>
          <w:i/>
          <w:iCs/>
          <w:sz w:val="24"/>
          <w:szCs w:val="32"/>
        </w:rPr>
        <w:t>q</w:t>
      </w:r>
      <w:r>
        <w:rPr>
          <w:rFonts w:hint="eastAsia"/>
          <w:sz w:val="24"/>
          <w:szCs w:val="32"/>
        </w:rPr>
        <w:t>≤</w:t>
      </w:r>
      <w:r>
        <w:rPr>
          <w:i/>
          <w:iCs/>
          <w:sz w:val="24"/>
          <w:szCs w:val="32"/>
        </w:rPr>
        <w:t>q</w:t>
      </w:r>
      <w:r>
        <w:rPr>
          <w:sz w:val="24"/>
          <w:szCs w:val="32"/>
          <w:vertAlign w:val="subscript"/>
        </w:rPr>
        <w:t>max</w:t>
      </w:r>
      <w:r>
        <w:rPr>
          <w:rFonts w:hint="eastAsia"/>
          <w:sz w:val="24"/>
          <w:szCs w:val="32"/>
        </w:rPr>
        <w:t>流量范围内，选取</w:t>
      </w:r>
      <w:r>
        <w:rPr>
          <w:i/>
          <w:iCs/>
          <w:sz w:val="24"/>
          <w:szCs w:val="32"/>
        </w:rPr>
        <w:t>q</w:t>
      </w:r>
      <w:r>
        <w:rPr>
          <w:sz w:val="24"/>
          <w:szCs w:val="32"/>
          <w:vertAlign w:val="subscript"/>
        </w:rPr>
        <w:t>t</w:t>
      </w:r>
      <w:r>
        <w:rPr>
          <w:rFonts w:hint="eastAsia"/>
          <w:sz w:val="24"/>
          <w:szCs w:val="32"/>
        </w:rPr>
        <w:t>、0.5</w:t>
      </w:r>
      <w:r>
        <w:rPr>
          <w:i/>
          <w:iCs/>
          <w:sz w:val="24"/>
          <w:szCs w:val="32"/>
        </w:rPr>
        <w:t>q</w:t>
      </w:r>
      <w:r>
        <w:rPr>
          <w:sz w:val="24"/>
          <w:szCs w:val="32"/>
          <w:vertAlign w:val="subscript"/>
        </w:rPr>
        <w:t>max</w:t>
      </w:r>
      <w:r>
        <w:rPr>
          <w:rFonts w:hint="eastAsia"/>
          <w:sz w:val="24"/>
          <w:szCs w:val="32"/>
        </w:rPr>
        <w:t xml:space="preserve">和 </w:t>
      </w:r>
      <w:r>
        <w:rPr>
          <w:i/>
          <w:iCs/>
          <w:sz w:val="24"/>
          <w:szCs w:val="32"/>
        </w:rPr>
        <w:t>q</w:t>
      </w:r>
      <w:r>
        <w:rPr>
          <w:sz w:val="24"/>
          <w:szCs w:val="32"/>
          <w:vertAlign w:val="subscript"/>
        </w:rPr>
        <w:t>max</w:t>
      </w:r>
      <w:r>
        <w:rPr>
          <w:rFonts w:hint="eastAsia"/>
          <w:sz w:val="24"/>
          <w:szCs w:val="32"/>
        </w:rPr>
        <w:t xml:space="preserve"> 3个流量点进行试验，每个流量点一般应进行6次测量，每次测量完成后变化流量点进行测试，每次测量按</w:t>
      </w:r>
      <w:r>
        <w:rPr>
          <w:i/>
          <w:iCs/>
          <w:sz w:val="24"/>
          <w:szCs w:val="32"/>
        </w:rPr>
        <w:t>q</w:t>
      </w:r>
      <w:r>
        <w:rPr>
          <w:sz w:val="24"/>
          <w:szCs w:val="32"/>
          <w:vertAlign w:val="subscript"/>
        </w:rPr>
        <w:t>t</w:t>
      </w:r>
      <w:r>
        <w:rPr>
          <w:rFonts w:hint="eastAsia"/>
          <w:sz w:val="24"/>
          <w:szCs w:val="32"/>
        </w:rPr>
        <w:t>、0.5</w:t>
      </w:r>
      <w:r>
        <w:rPr>
          <w:i/>
          <w:iCs/>
          <w:sz w:val="24"/>
          <w:szCs w:val="32"/>
        </w:rPr>
        <w:t>q</w:t>
      </w:r>
      <w:r>
        <w:rPr>
          <w:sz w:val="24"/>
          <w:szCs w:val="32"/>
          <w:vertAlign w:val="subscript"/>
        </w:rPr>
        <w:t>max</w:t>
      </w:r>
      <w:r>
        <w:rPr>
          <w:rFonts w:hint="eastAsia"/>
          <w:sz w:val="24"/>
          <w:szCs w:val="32"/>
        </w:rPr>
        <w:t xml:space="preserve">和 </w:t>
      </w:r>
      <w:r>
        <w:rPr>
          <w:i/>
          <w:iCs/>
          <w:sz w:val="24"/>
          <w:szCs w:val="32"/>
        </w:rPr>
        <w:t>q</w:t>
      </w:r>
      <w:r>
        <w:rPr>
          <w:sz w:val="24"/>
          <w:szCs w:val="32"/>
          <w:vertAlign w:val="subscript"/>
        </w:rPr>
        <w:t>max</w:t>
      </w:r>
      <w:r>
        <w:rPr>
          <w:rFonts w:hint="eastAsia"/>
          <w:sz w:val="24"/>
          <w:szCs w:val="32"/>
        </w:rPr>
        <w:t>的顺序进行，重复6次。</w:t>
      </w:r>
    </w:p>
    <w:p w14:paraId="09140FF0">
      <w:pPr>
        <w:spacing w:before="160" w:line="360" w:lineRule="auto"/>
        <w:ind w:firstLine="480" w:firstLineChars="200"/>
        <w:rPr>
          <w:sz w:val="24"/>
          <w:szCs w:val="32"/>
        </w:rPr>
      </w:pPr>
      <w:r>
        <w:rPr>
          <w:rFonts w:hint="eastAsia"/>
          <w:sz w:val="24"/>
          <w:szCs w:val="32"/>
        </w:rPr>
        <w:t>如果</w:t>
      </w:r>
      <w:r>
        <w:rPr>
          <w:rFonts w:hint="eastAsia"/>
          <w:sz w:val="24"/>
          <w:szCs w:val="28"/>
        </w:rPr>
        <w:t>前3次测量的</w:t>
      </w:r>
      <w:r>
        <w:rPr>
          <w:rFonts w:hint="eastAsia"/>
          <w:sz w:val="24"/>
          <w:szCs w:val="32"/>
        </w:rPr>
        <w:t>复现性误差等于或小于最大允许误差绝对值的</w:t>
      </w:r>
      <w:r>
        <w:rPr>
          <w:sz w:val="24"/>
          <w:szCs w:val="32"/>
        </w:rPr>
        <w:t>1/3</w:t>
      </w:r>
      <w:r>
        <w:rPr>
          <w:rFonts w:hint="eastAsia"/>
          <w:sz w:val="24"/>
          <w:szCs w:val="32"/>
        </w:rPr>
        <w:t>，则认为该流量点复现性误差已经满足要求，无需进行后3次的测量。</w:t>
      </w:r>
    </w:p>
    <w:p w14:paraId="61B40E87">
      <w:pPr>
        <w:spacing w:before="160" w:line="360" w:lineRule="auto"/>
        <w:rPr>
          <w:rFonts w:cstheme="minorBidi"/>
          <w:sz w:val="24"/>
          <w:szCs w:val="24"/>
        </w:rPr>
      </w:pPr>
      <w:bookmarkStart w:id="258" w:name="_Toc15534"/>
      <w:bookmarkStart w:id="259" w:name="_Toc17862"/>
      <w:bookmarkStart w:id="260" w:name="_Toc19948"/>
      <w:bookmarkStart w:id="261" w:name="_Toc22187"/>
      <w:r>
        <w:rPr>
          <w:rFonts w:hint="eastAsia" w:cstheme="minorBidi"/>
          <w:sz w:val="24"/>
          <w:szCs w:val="24"/>
        </w:rPr>
        <w:t>10.2.3.4数据处理</w:t>
      </w:r>
      <w:bookmarkEnd w:id="258"/>
      <w:bookmarkEnd w:id="259"/>
      <w:bookmarkEnd w:id="260"/>
      <w:bookmarkEnd w:id="261"/>
    </w:p>
    <w:p w14:paraId="539E2E8D">
      <w:pPr>
        <w:spacing w:before="160" w:line="360" w:lineRule="auto"/>
        <w:ind w:firstLine="480" w:firstLineChars="200"/>
        <w:rPr>
          <w:sz w:val="24"/>
          <w:szCs w:val="24"/>
        </w:rPr>
      </w:pPr>
      <w:bookmarkStart w:id="262" w:name="_Toc2977"/>
      <w:bookmarkStart w:id="263" w:name="_Toc7065"/>
      <w:bookmarkStart w:id="264" w:name="_Toc9569"/>
      <w:bookmarkStart w:id="265" w:name="_Toc29982"/>
      <w:r>
        <w:rPr>
          <w:rFonts w:hint="eastAsia"/>
          <w:sz w:val="24"/>
          <w:szCs w:val="24"/>
        </w:rPr>
        <w:t>当试验数据为3次时，采用极差法计算复现性误差。当试验数据为6次时，根据10.2.1.5的数据处理方法，计算每个流量点在复现性测量条件下试验 n 次的示值误差，则该流量点复现性误差</w:t>
      </w:r>
      <w:r>
        <w:rPr>
          <w:sz w:val="24"/>
          <w:szCs w:val="24"/>
        </w:rPr>
        <w:t xml:space="preserve"> (E</w:t>
      </w:r>
      <w:r>
        <w:rPr>
          <w:sz w:val="24"/>
          <w:szCs w:val="24"/>
          <w:vertAlign w:val="subscript"/>
        </w:rPr>
        <w:t>f</w:t>
      </w:r>
      <w:r>
        <w:rPr>
          <w:sz w:val="24"/>
          <w:szCs w:val="24"/>
        </w:rPr>
        <w:t>)</w:t>
      </w:r>
      <w:r>
        <w:rPr>
          <w:sz w:val="24"/>
          <w:szCs w:val="24"/>
          <w:vertAlign w:val="subscript"/>
        </w:rPr>
        <w:t>i</w:t>
      </w:r>
      <w:r>
        <w:rPr>
          <w:rFonts w:hint="eastAsia"/>
          <w:sz w:val="24"/>
          <w:szCs w:val="24"/>
        </w:rPr>
        <w:t xml:space="preserve"> 按式（11）或式（12）计算：</w:t>
      </w:r>
      <w:bookmarkEnd w:id="262"/>
      <w:bookmarkEnd w:id="263"/>
      <w:bookmarkEnd w:id="264"/>
      <w:bookmarkEnd w:id="265"/>
    </w:p>
    <w:p w14:paraId="766CCB6F">
      <w:pPr>
        <w:spacing w:before="160" w:line="360" w:lineRule="auto"/>
        <w:ind w:firstLine="480" w:firstLineChars="200"/>
        <w:jc w:val="right"/>
        <w:rPr>
          <w:sz w:val="24"/>
          <w:szCs w:val="24"/>
        </w:rPr>
      </w:pPr>
      <w:r>
        <w:rPr>
          <w:sz w:val="24"/>
          <w:szCs w:val="24"/>
        </w:rPr>
        <w:t xml:space="preserve">       </w:t>
      </w:r>
      <w:r>
        <w:rPr>
          <w:sz w:val="24"/>
          <w:szCs w:val="24"/>
        </w:rPr>
        <w:tab/>
      </w:r>
      <w:bookmarkStart w:id="266" w:name="_Toc22610"/>
      <w:bookmarkStart w:id="267" w:name="_Toc17910"/>
      <w:bookmarkStart w:id="268" w:name="_Toc30334"/>
      <w:bookmarkStart w:id="269" w:name="_Toc24961"/>
      <w:r>
        <w:rPr>
          <w:rFonts w:hint="eastAsia"/>
          <w:sz w:val="24"/>
          <w:szCs w:val="24"/>
        </w:rPr>
        <w:object>
          <v:shape id="_x0000_i1025" o:spt="75" type="#_x0000_t75" style="height:42.9pt;width:160.6pt;" o:ole="t" filled="f" o:preferrelative="t" stroked="f" coordsize="21600,21600">
            <v:path/>
            <v:fill on="f" focussize="0,0"/>
            <v:stroke on="f" joinstyle="miter"/>
            <v:imagedata r:id="rId9" o:title=""/>
            <o:lock v:ext="edit" aspectratio="t"/>
            <w10:wrap type="none"/>
            <w10:anchorlock/>
          </v:shape>
          <o:OLEObject Type="Embed" ProgID="Equation.DSMT4" ShapeID="_x0000_i1025" DrawAspect="Content" ObjectID="_1468075725" r:id="rId8">
            <o:LockedField>false</o:LockedField>
          </o:OLEObject>
        </w:object>
      </w:r>
      <w:r>
        <w:rPr>
          <w:sz w:val="24"/>
          <w:szCs w:val="24"/>
        </w:rPr>
        <w:t xml:space="preserve">               </w:t>
      </w:r>
      <w:r>
        <w:rPr>
          <w:rFonts w:hint="eastAsia"/>
          <w:sz w:val="24"/>
          <w:szCs w:val="24"/>
        </w:rPr>
        <w:t xml:space="preserve">      （11）</w:t>
      </w:r>
      <w:bookmarkEnd w:id="266"/>
      <w:bookmarkEnd w:id="267"/>
      <w:bookmarkEnd w:id="268"/>
      <w:bookmarkEnd w:id="269"/>
    </w:p>
    <w:p w14:paraId="46C556F6">
      <w:pPr>
        <w:spacing w:before="160" w:line="360" w:lineRule="auto"/>
        <w:ind w:firstLine="480" w:firstLineChars="200"/>
        <w:jc w:val="right"/>
        <w:rPr>
          <w:sz w:val="24"/>
          <w:szCs w:val="24"/>
        </w:rPr>
      </w:pPr>
      <w:bookmarkStart w:id="270" w:name="_Toc4004"/>
      <w:bookmarkStart w:id="271" w:name="_Toc21875"/>
      <w:bookmarkStart w:id="272" w:name="_Toc22630"/>
      <w:bookmarkStart w:id="273" w:name="_Toc23106"/>
      <w:r>
        <w:rPr>
          <w:rFonts w:hint="eastAsia"/>
          <w:sz w:val="24"/>
          <w:szCs w:val="24"/>
        </w:rPr>
        <w:object>
          <v:shape id="_x0000_i1026" o:spt="75" type="#_x0000_t75" style="height:42.9pt;width:219.45pt;" o:ole="t" filled="f" o:preferrelative="t" stroked="f" coordsize="21600,21600">
            <v:path/>
            <v:fill on="f" focussize="0,0"/>
            <v:stroke on="f" joinstyle="miter"/>
            <v:imagedata r:id="rId11" o:title=""/>
            <o:lock v:ext="edit" aspectratio="t"/>
            <w10:wrap type="none"/>
            <w10:anchorlock/>
          </v:shape>
          <o:OLEObject Type="Embed" ProgID="Equation.DSMT4" ShapeID="_x0000_i1026" DrawAspect="Content" ObjectID="_1468075726" r:id="rId10">
            <o:LockedField>false</o:LockedField>
          </o:OLEObject>
        </w:object>
      </w:r>
      <w:r>
        <w:rPr>
          <w:rFonts w:hint="eastAsia"/>
          <w:sz w:val="24"/>
          <w:szCs w:val="24"/>
        </w:rPr>
        <w:t xml:space="preserve">              （12）</w:t>
      </w:r>
      <w:bookmarkEnd w:id="270"/>
      <w:bookmarkEnd w:id="271"/>
    </w:p>
    <w:p w14:paraId="1BA5FC1A">
      <w:pPr>
        <w:spacing w:before="160" w:line="360" w:lineRule="auto"/>
        <w:ind w:firstLine="480" w:firstLineChars="200"/>
        <w:rPr>
          <w:sz w:val="24"/>
          <w:szCs w:val="24"/>
        </w:rPr>
      </w:pPr>
    </w:p>
    <w:p w14:paraId="49C53807">
      <w:pPr>
        <w:spacing w:before="160" w:line="360" w:lineRule="auto"/>
        <w:ind w:firstLine="480" w:firstLineChars="200"/>
        <w:rPr>
          <w:sz w:val="24"/>
          <w:szCs w:val="24"/>
        </w:rPr>
      </w:pPr>
      <w:bookmarkStart w:id="274" w:name="_Toc14986"/>
      <w:bookmarkStart w:id="275" w:name="_Toc3964"/>
      <w:r>
        <w:rPr>
          <w:rFonts w:hint="eastAsia"/>
          <w:sz w:val="24"/>
          <w:szCs w:val="24"/>
        </w:rPr>
        <w:t>按式（13）确定流量计的复现性误差：</w:t>
      </w:r>
      <w:bookmarkEnd w:id="272"/>
      <w:bookmarkEnd w:id="273"/>
      <w:bookmarkEnd w:id="274"/>
      <w:bookmarkEnd w:id="275"/>
    </w:p>
    <w:p w14:paraId="2E03426E">
      <w:pPr>
        <w:spacing w:before="160" w:line="360" w:lineRule="auto"/>
        <w:ind w:firstLine="480" w:firstLineChars="200"/>
        <w:jc w:val="right"/>
        <w:rPr>
          <w:sz w:val="24"/>
          <w:szCs w:val="24"/>
        </w:rPr>
      </w:pPr>
      <w:r>
        <w:rPr>
          <w:sz w:val="24"/>
          <w:szCs w:val="24"/>
        </w:rPr>
        <w:tab/>
      </w:r>
      <w:bookmarkStart w:id="276" w:name="_Toc2067"/>
      <w:bookmarkStart w:id="277" w:name="_Toc17347"/>
      <w:bookmarkStart w:id="278" w:name="_Toc10231"/>
      <w:bookmarkStart w:id="279" w:name="_Toc5050"/>
      <w:r>
        <w:rPr>
          <w:rFonts w:hint="eastAsia"/>
          <w:sz w:val="24"/>
          <w:szCs w:val="24"/>
        </w:rPr>
        <w:object>
          <v:shape id="_x0000_i1027" o:spt="75" type="#_x0000_t75" style="height:23.55pt;width:78.25pt;" o:ole="t" filled="f" o:preferrelative="t" stroked="f" coordsize="21600,21600">
            <v:path/>
            <v:fill on="f" focussize="0,0"/>
            <v:stroke on="f" joinstyle="miter"/>
            <v:imagedata r:id="rId13" o:title=""/>
            <o:lock v:ext="edit" aspectratio="t"/>
            <w10:wrap type="none"/>
            <w10:anchorlock/>
          </v:shape>
          <o:OLEObject Type="Embed" ProgID="Equation.DSMT4" ShapeID="_x0000_i1027" DrawAspect="Content" ObjectID="_1468075727" r:id="rId12">
            <o:LockedField>false</o:LockedField>
          </o:OLEObject>
        </w:object>
      </w:r>
      <w:r>
        <w:rPr>
          <w:sz w:val="24"/>
          <w:szCs w:val="24"/>
        </w:rPr>
        <w:t xml:space="preserve">               </w:t>
      </w:r>
      <w:r>
        <w:rPr>
          <w:sz w:val="24"/>
          <w:szCs w:val="24"/>
        </w:rPr>
        <w:tab/>
      </w:r>
      <w:r>
        <w:rPr>
          <w:rFonts w:hint="eastAsia"/>
          <w:sz w:val="24"/>
          <w:szCs w:val="24"/>
        </w:rPr>
        <w:t xml:space="preserve">   （13）</w:t>
      </w:r>
      <w:bookmarkEnd w:id="276"/>
      <w:bookmarkEnd w:id="277"/>
      <w:bookmarkEnd w:id="278"/>
      <w:bookmarkEnd w:id="279"/>
    </w:p>
    <w:p w14:paraId="4E18404A">
      <w:pPr>
        <w:spacing w:before="160" w:line="360" w:lineRule="auto"/>
        <w:ind w:firstLine="480" w:firstLineChars="200"/>
        <w:rPr>
          <w:sz w:val="24"/>
          <w:szCs w:val="24"/>
        </w:rPr>
      </w:pPr>
      <w:r>
        <w:rPr>
          <w:rFonts w:hint="eastAsia"/>
          <w:sz w:val="24"/>
          <w:szCs w:val="24"/>
        </w:rPr>
        <w:t>式中：</w:t>
      </w:r>
      <w:r>
        <w:rPr>
          <w:sz w:val="24"/>
          <w:szCs w:val="24"/>
        </w:rPr>
        <w:t xml:space="preserve"> </w:t>
      </w:r>
    </w:p>
    <w:p w14:paraId="136737EB">
      <w:pPr>
        <w:spacing w:before="160" w:line="360" w:lineRule="auto"/>
        <w:ind w:firstLine="480" w:firstLineChars="200"/>
        <w:rPr>
          <w:sz w:val="24"/>
          <w:szCs w:val="24"/>
        </w:rPr>
      </w:pPr>
      <w:r>
        <w:rPr>
          <w:sz w:val="24"/>
          <w:szCs w:val="24"/>
        </w:rPr>
        <w:t xml:space="preserve"> </w:t>
      </w:r>
      <w:bookmarkStart w:id="280" w:name="_Toc21705"/>
      <w:bookmarkStart w:id="281" w:name="_Toc553"/>
      <w:bookmarkStart w:id="282" w:name="_Toc27746"/>
      <w:bookmarkStart w:id="283" w:name="_Toc9962"/>
      <w:r>
        <w:rPr>
          <w:sz w:val="24"/>
          <w:szCs w:val="24"/>
        </w:rPr>
        <w:t>(</w:t>
      </w:r>
      <w:r>
        <w:rPr>
          <w:i/>
          <w:iCs/>
          <w:sz w:val="24"/>
          <w:szCs w:val="24"/>
        </w:rPr>
        <w:t>E</w:t>
      </w:r>
      <w:r>
        <w:rPr>
          <w:sz w:val="24"/>
          <w:szCs w:val="24"/>
          <w:vertAlign w:val="subscript"/>
        </w:rPr>
        <w:t>f</w:t>
      </w:r>
      <w:r>
        <w:rPr>
          <w:sz w:val="24"/>
          <w:szCs w:val="24"/>
        </w:rPr>
        <w:t>)</w:t>
      </w:r>
      <w:r>
        <w:rPr>
          <w:sz w:val="24"/>
          <w:szCs w:val="24"/>
          <w:vertAlign w:val="subscript"/>
        </w:rPr>
        <w:t>i</w:t>
      </w:r>
      <w:r>
        <w:rPr>
          <w:rFonts w:hint="eastAsia"/>
          <w:sz w:val="24"/>
          <w:szCs w:val="24"/>
        </w:rPr>
        <w:t xml:space="preserve"> — 流量计第i流量点的复现性误差，%；</w:t>
      </w:r>
      <w:bookmarkEnd w:id="280"/>
      <w:bookmarkEnd w:id="281"/>
      <w:bookmarkEnd w:id="282"/>
      <w:bookmarkEnd w:id="283"/>
    </w:p>
    <w:p w14:paraId="79D8EE76">
      <w:pPr>
        <w:spacing w:before="160" w:line="360" w:lineRule="auto"/>
        <w:ind w:firstLine="720" w:firstLineChars="300"/>
        <w:rPr>
          <w:sz w:val="24"/>
          <w:szCs w:val="24"/>
        </w:rPr>
      </w:pPr>
      <w:bookmarkStart w:id="284" w:name="_Toc8241"/>
      <w:bookmarkStart w:id="285" w:name="_Toc19469"/>
      <w:bookmarkStart w:id="286" w:name="_Toc22805"/>
      <w:bookmarkStart w:id="287" w:name="_Toc26115"/>
      <w:r>
        <w:rPr>
          <w:i/>
          <w:iCs/>
          <w:sz w:val="24"/>
          <w:szCs w:val="24"/>
        </w:rPr>
        <w:t>E</w:t>
      </w:r>
      <w:r>
        <w:rPr>
          <w:sz w:val="24"/>
          <w:szCs w:val="24"/>
          <w:vertAlign w:val="subscript"/>
        </w:rPr>
        <w:t>f</w:t>
      </w:r>
      <w:r>
        <w:rPr>
          <w:rFonts w:hint="eastAsia"/>
          <w:sz w:val="24"/>
          <w:szCs w:val="24"/>
        </w:rPr>
        <w:t xml:space="preserve"> — 流量计的复现性误差，%。</w:t>
      </w:r>
      <w:bookmarkEnd w:id="284"/>
      <w:bookmarkEnd w:id="285"/>
      <w:bookmarkEnd w:id="286"/>
      <w:bookmarkEnd w:id="287"/>
    </w:p>
    <w:p w14:paraId="124118A2">
      <w:pPr>
        <w:spacing w:before="160" w:line="360" w:lineRule="auto"/>
        <w:rPr>
          <w:rFonts w:cstheme="minorBidi"/>
          <w:sz w:val="24"/>
          <w:szCs w:val="24"/>
        </w:rPr>
      </w:pPr>
      <w:bookmarkStart w:id="288" w:name="_Toc15319"/>
      <w:bookmarkStart w:id="289" w:name="_Toc10269"/>
      <w:bookmarkStart w:id="290" w:name="_Toc16797"/>
      <w:bookmarkStart w:id="291" w:name="_Toc11718"/>
      <w:r>
        <w:rPr>
          <w:rFonts w:hint="eastAsia" w:cstheme="minorBidi"/>
          <w:sz w:val="24"/>
          <w:szCs w:val="24"/>
        </w:rPr>
        <w:t>10.2.3.5 合格判据</w:t>
      </w:r>
      <w:bookmarkEnd w:id="288"/>
      <w:bookmarkEnd w:id="289"/>
      <w:bookmarkEnd w:id="290"/>
      <w:bookmarkEnd w:id="291"/>
    </w:p>
    <w:p w14:paraId="665ACAC0">
      <w:pPr>
        <w:spacing w:before="160" w:line="360" w:lineRule="auto"/>
        <w:ind w:firstLine="480" w:firstLineChars="200"/>
        <w:rPr>
          <w:sz w:val="24"/>
          <w:szCs w:val="24"/>
        </w:rPr>
      </w:pPr>
      <w:bookmarkStart w:id="292" w:name="_Toc13282"/>
      <w:bookmarkStart w:id="293" w:name="_Toc1087"/>
      <w:bookmarkStart w:id="294" w:name="_Toc3877"/>
      <w:bookmarkStart w:id="295" w:name="_Toc23862"/>
      <w:r>
        <w:rPr>
          <w:rFonts w:hint="eastAsia"/>
          <w:sz w:val="24"/>
          <w:szCs w:val="24"/>
        </w:rPr>
        <w:t>取</w:t>
      </w:r>
      <w:r>
        <w:rPr>
          <w:i/>
          <w:iCs/>
          <w:sz w:val="24"/>
          <w:szCs w:val="24"/>
        </w:rPr>
        <w:t>q</w:t>
      </w:r>
      <w:r>
        <w:rPr>
          <w:sz w:val="24"/>
          <w:szCs w:val="24"/>
          <w:vertAlign w:val="subscript"/>
        </w:rPr>
        <w:t>t</w:t>
      </w:r>
      <w:r>
        <w:rPr>
          <w:rFonts w:hint="eastAsia"/>
          <w:sz w:val="24"/>
          <w:szCs w:val="24"/>
        </w:rPr>
        <w:t>≤</w:t>
      </w:r>
      <w:r>
        <w:rPr>
          <w:i/>
          <w:iCs/>
          <w:sz w:val="24"/>
          <w:szCs w:val="24"/>
        </w:rPr>
        <w:t>q</w:t>
      </w:r>
      <w:r>
        <w:rPr>
          <w:rFonts w:hint="eastAsia"/>
          <w:sz w:val="24"/>
          <w:szCs w:val="24"/>
        </w:rPr>
        <w:t>≤</w:t>
      </w:r>
      <w:r>
        <w:rPr>
          <w:i/>
          <w:iCs/>
          <w:sz w:val="24"/>
          <w:szCs w:val="24"/>
        </w:rPr>
        <w:t>q</w:t>
      </w:r>
      <w:r>
        <w:rPr>
          <w:sz w:val="24"/>
          <w:szCs w:val="24"/>
          <w:vertAlign w:val="subscript"/>
        </w:rPr>
        <w:t>max</w:t>
      </w:r>
      <w:r>
        <w:rPr>
          <w:rFonts w:hint="eastAsia"/>
          <w:sz w:val="24"/>
          <w:szCs w:val="24"/>
        </w:rPr>
        <w:t xml:space="preserve"> 流量范围内各试验流量点复现性误差的最大值作为流量计的复现性误差，流量计的复现性误差应符合 6.3 的要求。</w:t>
      </w:r>
      <w:bookmarkEnd w:id="257"/>
      <w:bookmarkEnd w:id="292"/>
      <w:bookmarkEnd w:id="293"/>
      <w:bookmarkEnd w:id="294"/>
      <w:bookmarkEnd w:id="295"/>
    </w:p>
    <w:p w14:paraId="44212807">
      <w:pPr>
        <w:pStyle w:val="2"/>
        <w:spacing w:before="160" w:after="0" w:line="360" w:lineRule="auto"/>
        <w:rPr>
          <w:b w:val="0"/>
          <w:iCs/>
          <w:color w:val="000000" w:themeColor="text1"/>
          <w:sz w:val="24"/>
          <w:szCs w:val="21"/>
          <w14:textFill>
            <w14:solidFill>
              <w14:schemeClr w14:val="tx1"/>
            </w14:solidFill>
          </w14:textFill>
        </w:rPr>
      </w:pPr>
      <w:bookmarkStart w:id="296" w:name="_Toc217914305"/>
      <w:bookmarkStart w:id="297" w:name="_Toc221090933"/>
      <w:r>
        <w:rPr>
          <w:b w:val="0"/>
          <w:iCs/>
          <w:color w:val="000000" w:themeColor="text1"/>
          <w:sz w:val="24"/>
          <w:szCs w:val="21"/>
          <w14:textFill>
            <w14:solidFill>
              <w14:schemeClr w14:val="tx1"/>
            </w14:solidFill>
          </w14:textFill>
        </w:rPr>
        <w:t>10.</w:t>
      </w:r>
      <w:r>
        <w:rPr>
          <w:rFonts w:hint="eastAsia"/>
          <w:b w:val="0"/>
          <w:iCs/>
          <w:color w:val="000000" w:themeColor="text1"/>
          <w:sz w:val="24"/>
          <w:szCs w:val="21"/>
          <w14:textFill>
            <w14:solidFill>
              <w14:schemeClr w14:val="tx1"/>
            </w14:solidFill>
          </w14:textFill>
        </w:rPr>
        <w:t xml:space="preserve">3 </w:t>
      </w:r>
      <w:r>
        <w:rPr>
          <w:b w:val="0"/>
          <w:iCs/>
          <w:color w:val="000000" w:themeColor="text1"/>
          <w:sz w:val="24"/>
          <w:szCs w:val="21"/>
          <w14:textFill>
            <w14:solidFill>
              <w14:schemeClr w14:val="tx1"/>
            </w14:solidFill>
          </w14:textFill>
        </w:rPr>
        <w:t>密封性试验</w:t>
      </w:r>
      <w:bookmarkEnd w:id="296"/>
      <w:bookmarkEnd w:id="297"/>
    </w:p>
    <w:p w14:paraId="47096D2F">
      <w:pPr>
        <w:spacing w:before="160" w:line="360" w:lineRule="auto"/>
        <w:rPr>
          <w:rFonts w:cstheme="minorBidi"/>
          <w:sz w:val="24"/>
          <w:szCs w:val="24"/>
        </w:rPr>
      </w:pPr>
      <w:bookmarkStart w:id="298" w:name="_Toc400799255"/>
      <w:r>
        <w:rPr>
          <w:rFonts w:cstheme="minorBidi"/>
          <w:sz w:val="24"/>
          <w:szCs w:val="24"/>
        </w:rPr>
        <w:t>10.</w:t>
      </w:r>
      <w:r>
        <w:rPr>
          <w:rFonts w:hint="eastAsia" w:cstheme="minorBidi"/>
          <w:sz w:val="24"/>
          <w:szCs w:val="24"/>
        </w:rPr>
        <w:t>3</w:t>
      </w:r>
      <w:r>
        <w:rPr>
          <w:rFonts w:cstheme="minorBidi"/>
          <w:sz w:val="24"/>
          <w:szCs w:val="24"/>
        </w:rPr>
        <w:t>.1试验目的</w:t>
      </w:r>
      <w:bookmarkEnd w:id="298"/>
    </w:p>
    <w:p w14:paraId="4FAE7958">
      <w:pPr>
        <w:spacing w:before="160" w:line="360" w:lineRule="auto"/>
        <w:ind w:firstLine="480" w:firstLineChars="200"/>
        <w:rPr>
          <w:sz w:val="24"/>
          <w:szCs w:val="24"/>
        </w:rPr>
      </w:pPr>
      <w:bookmarkStart w:id="299" w:name="_Toc400799256"/>
      <w:r>
        <w:rPr>
          <w:rFonts w:hint="eastAsia"/>
          <w:sz w:val="24"/>
          <w:szCs w:val="24"/>
        </w:rPr>
        <w:t>检</w:t>
      </w:r>
      <w:r>
        <w:rPr>
          <w:sz w:val="24"/>
          <w:szCs w:val="24"/>
        </w:rPr>
        <w:t>验流量计</w:t>
      </w:r>
      <w:r>
        <w:rPr>
          <w:rFonts w:hint="eastAsia"/>
          <w:sz w:val="24"/>
          <w:szCs w:val="24"/>
        </w:rPr>
        <w:t>的</w:t>
      </w:r>
      <w:r>
        <w:rPr>
          <w:sz w:val="24"/>
          <w:szCs w:val="24"/>
        </w:rPr>
        <w:t>密封性是否符合第</w:t>
      </w:r>
      <w:r>
        <w:rPr>
          <w:rFonts w:hint="eastAsia"/>
          <w:sz w:val="24"/>
          <w:szCs w:val="24"/>
        </w:rPr>
        <w:t>7</w:t>
      </w:r>
      <w:r>
        <w:rPr>
          <w:sz w:val="24"/>
          <w:szCs w:val="24"/>
        </w:rPr>
        <w:t>.</w:t>
      </w:r>
      <w:r>
        <w:rPr>
          <w:rFonts w:hint="eastAsia"/>
          <w:sz w:val="24"/>
          <w:szCs w:val="24"/>
        </w:rPr>
        <w:t>2条的</w:t>
      </w:r>
      <w:r>
        <w:rPr>
          <w:sz w:val="24"/>
          <w:szCs w:val="24"/>
        </w:rPr>
        <w:t>要求。</w:t>
      </w:r>
    </w:p>
    <w:p w14:paraId="7371F391">
      <w:pPr>
        <w:spacing w:before="160" w:line="360" w:lineRule="auto"/>
        <w:rPr>
          <w:sz w:val="24"/>
          <w:szCs w:val="22"/>
        </w:rPr>
      </w:pPr>
      <w:r>
        <w:rPr>
          <w:sz w:val="24"/>
          <w:szCs w:val="22"/>
        </w:rPr>
        <w:t>10.</w:t>
      </w:r>
      <w:r>
        <w:rPr>
          <w:rFonts w:hint="eastAsia"/>
          <w:sz w:val="24"/>
          <w:szCs w:val="22"/>
        </w:rPr>
        <w:t>3</w:t>
      </w:r>
      <w:r>
        <w:rPr>
          <w:sz w:val="24"/>
          <w:szCs w:val="22"/>
        </w:rPr>
        <w:t>.2试验条件</w:t>
      </w:r>
      <w:bookmarkEnd w:id="299"/>
    </w:p>
    <w:p w14:paraId="7599F044">
      <w:pPr>
        <w:spacing w:before="160" w:line="360" w:lineRule="auto"/>
        <w:ind w:firstLine="480" w:firstLineChars="200"/>
        <w:rPr>
          <w:sz w:val="24"/>
          <w:szCs w:val="22"/>
        </w:rPr>
      </w:pPr>
      <w:r>
        <w:rPr>
          <w:sz w:val="24"/>
          <w:szCs w:val="24"/>
        </w:rPr>
        <w:t>在额定工作条件下试验。</w:t>
      </w:r>
    </w:p>
    <w:p w14:paraId="2DA364CE">
      <w:pPr>
        <w:spacing w:before="160" w:line="360" w:lineRule="auto"/>
        <w:rPr>
          <w:sz w:val="24"/>
          <w:szCs w:val="22"/>
        </w:rPr>
      </w:pPr>
      <w:bookmarkStart w:id="300" w:name="_Toc400799257"/>
      <w:r>
        <w:rPr>
          <w:sz w:val="24"/>
          <w:szCs w:val="22"/>
        </w:rPr>
        <w:t>10.</w:t>
      </w:r>
      <w:r>
        <w:rPr>
          <w:rFonts w:hint="eastAsia"/>
          <w:sz w:val="24"/>
          <w:szCs w:val="22"/>
        </w:rPr>
        <w:t>3</w:t>
      </w:r>
      <w:r>
        <w:rPr>
          <w:sz w:val="24"/>
          <w:szCs w:val="22"/>
        </w:rPr>
        <w:t>.3</w:t>
      </w:r>
      <w:r>
        <w:rPr>
          <w:rFonts w:hint="eastAsia"/>
          <w:sz w:val="24"/>
          <w:szCs w:val="22"/>
        </w:rPr>
        <w:t xml:space="preserve"> </w:t>
      </w:r>
      <w:r>
        <w:rPr>
          <w:sz w:val="24"/>
          <w:szCs w:val="22"/>
        </w:rPr>
        <w:t>试验设备</w:t>
      </w:r>
      <w:bookmarkEnd w:id="300"/>
    </w:p>
    <w:p w14:paraId="705EEF4D">
      <w:pPr>
        <w:spacing w:before="160" w:line="360" w:lineRule="auto"/>
        <w:ind w:firstLine="480" w:firstLineChars="200"/>
        <w:rPr>
          <w:sz w:val="24"/>
          <w:szCs w:val="24"/>
        </w:rPr>
      </w:pPr>
      <w:bookmarkStart w:id="301" w:name="_Toc400799258"/>
      <w:r>
        <w:rPr>
          <w:rFonts w:hint="eastAsia" w:cs="宋体"/>
          <w:sz w:val="24"/>
          <w:szCs w:val="24"/>
        </w:rPr>
        <w:t>带压力指示的</w:t>
      </w:r>
      <w:r>
        <w:rPr>
          <w:rFonts w:hint="eastAsia"/>
          <w:sz w:val="24"/>
          <w:szCs w:val="24"/>
        </w:rPr>
        <w:t>密封性试验</w:t>
      </w:r>
      <w:r>
        <w:rPr>
          <w:rFonts w:hint="eastAsia" w:cs="宋体"/>
          <w:sz w:val="24"/>
          <w:szCs w:val="24"/>
        </w:rPr>
        <w:t>装置</w:t>
      </w:r>
      <w:r>
        <w:rPr>
          <w:rFonts w:hint="eastAsia"/>
          <w:sz w:val="24"/>
          <w:szCs w:val="24"/>
        </w:rPr>
        <w:t>。</w:t>
      </w:r>
    </w:p>
    <w:p w14:paraId="050F4D38">
      <w:pPr>
        <w:spacing w:before="160" w:line="360" w:lineRule="auto"/>
        <w:rPr>
          <w:sz w:val="24"/>
          <w:szCs w:val="24"/>
        </w:rPr>
      </w:pPr>
      <w:r>
        <w:rPr>
          <w:sz w:val="24"/>
          <w:szCs w:val="24"/>
        </w:rPr>
        <w:t>10.</w:t>
      </w:r>
      <w:r>
        <w:rPr>
          <w:rFonts w:hint="eastAsia"/>
          <w:sz w:val="24"/>
          <w:szCs w:val="24"/>
        </w:rPr>
        <w:t>3</w:t>
      </w:r>
      <w:r>
        <w:rPr>
          <w:sz w:val="24"/>
          <w:szCs w:val="24"/>
        </w:rPr>
        <w:t>.4试验方法</w:t>
      </w:r>
      <w:bookmarkEnd w:id="301"/>
    </w:p>
    <w:p w14:paraId="371214B7">
      <w:pPr>
        <w:spacing w:before="160" w:line="360" w:lineRule="auto"/>
        <w:ind w:firstLine="480" w:firstLineChars="200"/>
        <w:rPr>
          <w:sz w:val="24"/>
          <w:szCs w:val="24"/>
        </w:rPr>
      </w:pPr>
      <w:r>
        <w:rPr>
          <w:rFonts w:hint="eastAsia"/>
          <w:sz w:val="24"/>
          <w:szCs w:val="24"/>
        </w:rPr>
        <w:t>平缓地将试验压力升高至流量计最大工作压力的</w:t>
      </w:r>
      <w:r>
        <w:rPr>
          <w:sz w:val="24"/>
          <w:szCs w:val="24"/>
        </w:rPr>
        <w:t>1.</w:t>
      </w:r>
      <w:r>
        <w:rPr>
          <w:rFonts w:hint="eastAsia"/>
          <w:sz w:val="24"/>
          <w:szCs w:val="24"/>
        </w:rPr>
        <w:t xml:space="preserve">1倍，保持5 </w:t>
      </w:r>
      <w:r>
        <w:rPr>
          <w:sz w:val="24"/>
          <w:szCs w:val="24"/>
        </w:rPr>
        <w:t>min</w:t>
      </w:r>
      <w:r>
        <w:rPr>
          <w:rFonts w:hint="eastAsia"/>
          <w:sz w:val="24"/>
          <w:szCs w:val="24"/>
        </w:rPr>
        <w:t>，观察并记录有</w:t>
      </w:r>
      <w:r>
        <w:rPr>
          <w:sz w:val="24"/>
          <w:szCs w:val="24"/>
        </w:rPr>
        <w:t>无漏气</w:t>
      </w:r>
      <w:r>
        <w:rPr>
          <w:rFonts w:hint="eastAsia"/>
          <w:sz w:val="24"/>
          <w:szCs w:val="24"/>
        </w:rPr>
        <w:t>。</w:t>
      </w:r>
    </w:p>
    <w:p w14:paraId="4BB1933C">
      <w:pPr>
        <w:spacing w:before="160" w:line="360" w:lineRule="auto"/>
        <w:rPr>
          <w:sz w:val="24"/>
          <w:szCs w:val="24"/>
        </w:rPr>
      </w:pPr>
      <w:bookmarkStart w:id="302" w:name="_Toc400799259"/>
      <w:r>
        <w:rPr>
          <w:sz w:val="24"/>
          <w:szCs w:val="24"/>
        </w:rPr>
        <w:t>10.</w:t>
      </w:r>
      <w:r>
        <w:rPr>
          <w:rFonts w:hint="eastAsia"/>
          <w:sz w:val="24"/>
          <w:szCs w:val="24"/>
        </w:rPr>
        <w:t>3</w:t>
      </w:r>
      <w:r>
        <w:rPr>
          <w:sz w:val="24"/>
          <w:szCs w:val="24"/>
        </w:rPr>
        <w:t>.5合格判据</w:t>
      </w:r>
      <w:bookmarkEnd w:id="302"/>
    </w:p>
    <w:p w14:paraId="766A4E11">
      <w:pPr>
        <w:spacing w:before="160" w:line="360" w:lineRule="auto"/>
        <w:ind w:firstLine="480" w:firstLineChars="200"/>
        <w:rPr>
          <w:sz w:val="24"/>
          <w:szCs w:val="24"/>
        </w:rPr>
      </w:pPr>
      <w:bookmarkStart w:id="303" w:name="_Toc23531"/>
      <w:bookmarkStart w:id="304" w:name="_Toc457807282"/>
      <w:bookmarkStart w:id="305" w:name="_Toc185070219"/>
      <w:bookmarkStart w:id="306" w:name="_Toc501210814"/>
      <w:bookmarkStart w:id="307" w:name="_Toc457808145"/>
      <w:bookmarkStart w:id="308" w:name="_Toc457808607"/>
      <w:r>
        <w:rPr>
          <w:rFonts w:hint="eastAsia"/>
          <w:sz w:val="24"/>
          <w:szCs w:val="24"/>
        </w:rPr>
        <w:t>流量计密封性应</w:t>
      </w:r>
      <w:r>
        <w:rPr>
          <w:sz w:val="24"/>
          <w:szCs w:val="24"/>
        </w:rPr>
        <w:t>符合第</w:t>
      </w:r>
      <w:r>
        <w:rPr>
          <w:rFonts w:hint="eastAsia"/>
          <w:sz w:val="24"/>
          <w:szCs w:val="24"/>
        </w:rPr>
        <w:t>7</w:t>
      </w:r>
      <w:r>
        <w:rPr>
          <w:sz w:val="24"/>
          <w:szCs w:val="24"/>
        </w:rPr>
        <w:t>.</w:t>
      </w:r>
      <w:r>
        <w:rPr>
          <w:rFonts w:hint="eastAsia"/>
          <w:sz w:val="24"/>
          <w:szCs w:val="24"/>
        </w:rPr>
        <w:t>3</w:t>
      </w:r>
      <w:r>
        <w:rPr>
          <w:sz w:val="24"/>
          <w:szCs w:val="24"/>
        </w:rPr>
        <w:t>条要求。</w:t>
      </w:r>
    </w:p>
    <w:p w14:paraId="6741EA3E">
      <w:pPr>
        <w:pStyle w:val="2"/>
        <w:spacing w:before="160" w:after="0" w:line="360" w:lineRule="auto"/>
        <w:rPr>
          <w:b w:val="0"/>
          <w:iCs/>
          <w:color w:val="000000" w:themeColor="text1"/>
          <w:sz w:val="24"/>
          <w:szCs w:val="21"/>
          <w14:textFill>
            <w14:solidFill>
              <w14:schemeClr w14:val="tx1"/>
            </w14:solidFill>
          </w14:textFill>
        </w:rPr>
      </w:pPr>
      <w:bookmarkStart w:id="309" w:name="_Toc221090934"/>
      <w:r>
        <w:rPr>
          <w:rFonts w:hint="eastAsia"/>
          <w:b w:val="0"/>
          <w:iCs/>
          <w:color w:val="000000" w:themeColor="text1"/>
          <w:sz w:val="24"/>
          <w:szCs w:val="21"/>
          <w14:textFill>
            <w14:solidFill>
              <w14:schemeClr w14:val="tx1"/>
            </w14:solidFill>
          </w14:textFill>
        </w:rPr>
        <w:t xml:space="preserve">10.4 </w:t>
      </w:r>
      <w:r>
        <w:rPr>
          <w:b w:val="0"/>
          <w:iCs/>
          <w:color w:val="000000" w:themeColor="text1"/>
          <w:sz w:val="24"/>
          <w:szCs w:val="21"/>
          <w14:textFill>
            <w14:solidFill>
              <w14:schemeClr w14:val="tx1"/>
            </w14:solidFill>
          </w14:textFill>
        </w:rPr>
        <w:t>耐压强度</w:t>
      </w:r>
      <w:bookmarkEnd w:id="303"/>
      <w:bookmarkEnd w:id="304"/>
      <w:bookmarkEnd w:id="305"/>
      <w:bookmarkEnd w:id="306"/>
      <w:bookmarkEnd w:id="307"/>
      <w:bookmarkEnd w:id="308"/>
      <w:bookmarkEnd w:id="309"/>
    </w:p>
    <w:p w14:paraId="66C44754">
      <w:pPr>
        <w:spacing w:before="160" w:line="360" w:lineRule="auto"/>
        <w:rPr>
          <w:sz w:val="24"/>
          <w:szCs w:val="24"/>
        </w:rPr>
      </w:pPr>
      <w:r>
        <w:rPr>
          <w:rFonts w:hint="eastAsia"/>
          <w:sz w:val="24"/>
          <w:szCs w:val="24"/>
        </w:rPr>
        <w:t>10.4</w:t>
      </w:r>
      <w:r>
        <w:rPr>
          <w:sz w:val="24"/>
          <w:szCs w:val="24"/>
        </w:rPr>
        <w:t>.</w:t>
      </w:r>
      <w:r>
        <w:rPr>
          <w:rFonts w:hint="eastAsia"/>
          <w:sz w:val="24"/>
          <w:szCs w:val="24"/>
        </w:rPr>
        <w:t xml:space="preserve">1 </w:t>
      </w:r>
      <w:r>
        <w:rPr>
          <w:sz w:val="24"/>
          <w:szCs w:val="24"/>
        </w:rPr>
        <w:t>试验目的</w:t>
      </w:r>
    </w:p>
    <w:p w14:paraId="12F1568F">
      <w:pPr>
        <w:adjustRightInd w:val="0"/>
        <w:snapToGrid w:val="0"/>
        <w:spacing w:before="160" w:line="360" w:lineRule="auto"/>
        <w:ind w:firstLine="480" w:firstLineChars="200"/>
        <w:rPr>
          <w:sz w:val="24"/>
          <w:szCs w:val="24"/>
        </w:rPr>
      </w:pPr>
      <w:r>
        <w:rPr>
          <w:sz w:val="24"/>
          <w:szCs w:val="24"/>
        </w:rPr>
        <w:t>检验流量计</w:t>
      </w:r>
      <w:r>
        <w:rPr>
          <w:rFonts w:hint="eastAsia"/>
          <w:sz w:val="24"/>
          <w:szCs w:val="24"/>
        </w:rPr>
        <w:t>的</w:t>
      </w:r>
      <w:r>
        <w:rPr>
          <w:sz w:val="24"/>
          <w:szCs w:val="24"/>
        </w:rPr>
        <w:t>耐压强度是否符合第</w:t>
      </w:r>
      <w:r>
        <w:rPr>
          <w:rFonts w:hint="eastAsia"/>
          <w:sz w:val="24"/>
          <w:szCs w:val="24"/>
        </w:rPr>
        <w:t>7</w:t>
      </w:r>
      <w:r>
        <w:rPr>
          <w:sz w:val="24"/>
          <w:szCs w:val="24"/>
        </w:rPr>
        <w:t>.</w:t>
      </w:r>
      <w:r>
        <w:rPr>
          <w:rFonts w:hint="eastAsia"/>
          <w:sz w:val="24"/>
          <w:szCs w:val="24"/>
        </w:rPr>
        <w:t>3条的</w:t>
      </w:r>
      <w:r>
        <w:rPr>
          <w:sz w:val="24"/>
          <w:szCs w:val="24"/>
        </w:rPr>
        <w:t>要求。</w:t>
      </w:r>
    </w:p>
    <w:p w14:paraId="4F9254C9">
      <w:pPr>
        <w:spacing w:before="160" w:line="360" w:lineRule="auto"/>
        <w:rPr>
          <w:sz w:val="24"/>
          <w:szCs w:val="24"/>
        </w:rPr>
      </w:pPr>
      <w:r>
        <w:rPr>
          <w:rFonts w:hint="eastAsia"/>
          <w:sz w:val="24"/>
          <w:szCs w:val="24"/>
        </w:rPr>
        <w:t>10.4</w:t>
      </w:r>
      <w:r>
        <w:rPr>
          <w:sz w:val="24"/>
          <w:szCs w:val="24"/>
        </w:rPr>
        <w:t>.</w:t>
      </w:r>
      <w:r>
        <w:rPr>
          <w:rFonts w:hint="eastAsia"/>
          <w:sz w:val="24"/>
          <w:szCs w:val="24"/>
        </w:rPr>
        <w:t xml:space="preserve">2 </w:t>
      </w:r>
      <w:r>
        <w:rPr>
          <w:sz w:val="24"/>
          <w:szCs w:val="24"/>
        </w:rPr>
        <w:t>试验条件</w:t>
      </w:r>
    </w:p>
    <w:p w14:paraId="3BCB7CA2">
      <w:pPr>
        <w:adjustRightInd w:val="0"/>
        <w:snapToGrid w:val="0"/>
        <w:spacing w:before="160" w:line="360" w:lineRule="auto"/>
        <w:ind w:firstLine="480" w:firstLineChars="200"/>
        <w:rPr>
          <w:sz w:val="24"/>
          <w:szCs w:val="24"/>
        </w:rPr>
      </w:pPr>
      <w:r>
        <w:rPr>
          <w:sz w:val="24"/>
          <w:szCs w:val="24"/>
        </w:rPr>
        <w:t>在额定工作条件下试验。</w:t>
      </w:r>
    </w:p>
    <w:p w14:paraId="087935FC">
      <w:pPr>
        <w:spacing w:before="160" w:line="360" w:lineRule="auto"/>
        <w:rPr>
          <w:sz w:val="24"/>
          <w:szCs w:val="24"/>
        </w:rPr>
      </w:pPr>
      <w:r>
        <w:rPr>
          <w:rFonts w:hint="eastAsia"/>
          <w:sz w:val="24"/>
          <w:szCs w:val="24"/>
        </w:rPr>
        <w:t xml:space="preserve">10.4.3 </w:t>
      </w:r>
      <w:r>
        <w:rPr>
          <w:sz w:val="24"/>
          <w:szCs w:val="24"/>
        </w:rPr>
        <w:t>试验设备</w:t>
      </w:r>
    </w:p>
    <w:p w14:paraId="2D18C3F0">
      <w:pPr>
        <w:adjustRightInd w:val="0"/>
        <w:snapToGrid w:val="0"/>
        <w:spacing w:before="160" w:line="360" w:lineRule="auto"/>
        <w:ind w:firstLine="480" w:firstLineChars="200"/>
        <w:rPr>
          <w:sz w:val="24"/>
          <w:szCs w:val="24"/>
        </w:rPr>
      </w:pPr>
      <w:r>
        <w:rPr>
          <w:rFonts w:hint="eastAsia" w:cs="宋体"/>
          <w:sz w:val="24"/>
          <w:szCs w:val="24"/>
        </w:rPr>
        <w:t>带压力指示的</w:t>
      </w:r>
      <w:r>
        <w:rPr>
          <w:rFonts w:hint="eastAsia"/>
          <w:sz w:val="24"/>
          <w:szCs w:val="24"/>
        </w:rPr>
        <w:t>耐</w:t>
      </w:r>
      <w:r>
        <w:rPr>
          <w:rFonts w:hint="eastAsia" w:cs="宋体"/>
          <w:sz w:val="24"/>
          <w:szCs w:val="24"/>
        </w:rPr>
        <w:t>静压试验装置</w:t>
      </w:r>
      <w:r>
        <w:rPr>
          <w:rFonts w:hint="eastAsia"/>
          <w:sz w:val="24"/>
          <w:szCs w:val="24"/>
        </w:rPr>
        <w:t>。</w:t>
      </w:r>
    </w:p>
    <w:p w14:paraId="2A219B4A">
      <w:pPr>
        <w:spacing w:before="160" w:line="360" w:lineRule="auto"/>
        <w:rPr>
          <w:sz w:val="24"/>
          <w:szCs w:val="24"/>
        </w:rPr>
      </w:pPr>
      <w:r>
        <w:rPr>
          <w:rFonts w:hint="eastAsia"/>
          <w:sz w:val="24"/>
          <w:szCs w:val="24"/>
        </w:rPr>
        <w:t>10.4</w:t>
      </w:r>
      <w:r>
        <w:rPr>
          <w:sz w:val="24"/>
          <w:szCs w:val="24"/>
        </w:rPr>
        <w:t>.</w:t>
      </w:r>
      <w:r>
        <w:rPr>
          <w:rFonts w:hint="eastAsia"/>
          <w:sz w:val="24"/>
          <w:szCs w:val="24"/>
        </w:rPr>
        <w:t xml:space="preserve">4 </w:t>
      </w:r>
      <w:r>
        <w:rPr>
          <w:sz w:val="24"/>
          <w:szCs w:val="24"/>
        </w:rPr>
        <w:t>试验程序</w:t>
      </w:r>
    </w:p>
    <w:p w14:paraId="664F3C33">
      <w:pPr>
        <w:spacing w:before="160" w:line="360" w:lineRule="auto"/>
        <w:ind w:firstLine="480" w:firstLineChars="200"/>
        <w:rPr>
          <w:color w:val="FF0000"/>
          <w:sz w:val="24"/>
          <w:szCs w:val="24"/>
        </w:rPr>
      </w:pPr>
      <w:r>
        <w:rPr>
          <w:rFonts w:hint="eastAsia"/>
          <w:sz w:val="24"/>
          <w:szCs w:val="24"/>
        </w:rPr>
        <w:t>平缓地将试验压力升高至流量计公称压力的</w:t>
      </w:r>
      <w:r>
        <w:rPr>
          <w:sz w:val="24"/>
          <w:szCs w:val="24"/>
        </w:rPr>
        <w:t>1.5</w:t>
      </w:r>
      <w:r>
        <w:rPr>
          <w:rFonts w:hint="eastAsia"/>
          <w:sz w:val="24"/>
          <w:szCs w:val="24"/>
        </w:rPr>
        <w:t xml:space="preserve">倍，保持5 </w:t>
      </w:r>
      <w:r>
        <w:rPr>
          <w:sz w:val="24"/>
          <w:szCs w:val="24"/>
        </w:rPr>
        <w:t>min</w:t>
      </w:r>
      <w:r>
        <w:rPr>
          <w:rFonts w:hint="eastAsia"/>
          <w:sz w:val="24"/>
          <w:szCs w:val="24"/>
        </w:rPr>
        <w:t>，观察并记录有</w:t>
      </w:r>
      <w:r>
        <w:rPr>
          <w:sz w:val="24"/>
          <w:szCs w:val="24"/>
        </w:rPr>
        <w:t>无渗漏和机械损坏</w:t>
      </w:r>
      <w:r>
        <w:rPr>
          <w:rFonts w:hint="eastAsia"/>
          <w:sz w:val="24"/>
          <w:szCs w:val="24"/>
        </w:rPr>
        <w:t>。</w:t>
      </w:r>
    </w:p>
    <w:p w14:paraId="08C553F6">
      <w:pPr>
        <w:spacing w:before="160" w:line="360" w:lineRule="auto"/>
        <w:rPr>
          <w:sz w:val="24"/>
          <w:szCs w:val="24"/>
        </w:rPr>
      </w:pPr>
      <w:r>
        <w:rPr>
          <w:rFonts w:hint="eastAsia"/>
          <w:sz w:val="24"/>
          <w:szCs w:val="24"/>
        </w:rPr>
        <w:t>10.4</w:t>
      </w:r>
      <w:r>
        <w:rPr>
          <w:sz w:val="24"/>
          <w:szCs w:val="24"/>
        </w:rPr>
        <w:t>.</w:t>
      </w:r>
      <w:r>
        <w:rPr>
          <w:rFonts w:hint="eastAsia"/>
          <w:sz w:val="24"/>
          <w:szCs w:val="24"/>
        </w:rPr>
        <w:t xml:space="preserve">5 </w:t>
      </w:r>
      <w:r>
        <w:rPr>
          <w:sz w:val="24"/>
          <w:szCs w:val="24"/>
        </w:rPr>
        <w:t>合格判据</w:t>
      </w:r>
    </w:p>
    <w:p w14:paraId="1532B945">
      <w:pPr>
        <w:snapToGrid w:val="0"/>
        <w:spacing w:before="160" w:line="360" w:lineRule="auto"/>
        <w:ind w:firstLine="480" w:firstLineChars="200"/>
        <w:rPr>
          <w:sz w:val="24"/>
          <w:szCs w:val="24"/>
        </w:rPr>
      </w:pPr>
      <w:r>
        <w:rPr>
          <w:rFonts w:hint="eastAsia"/>
          <w:sz w:val="24"/>
          <w:szCs w:val="24"/>
        </w:rPr>
        <w:t>流量计耐压强度应符合第</w:t>
      </w:r>
      <w:r>
        <w:rPr>
          <w:sz w:val="24"/>
          <w:szCs w:val="24"/>
        </w:rPr>
        <w:t>7.3</w:t>
      </w:r>
      <w:r>
        <w:rPr>
          <w:rFonts w:hint="eastAsia"/>
          <w:sz w:val="24"/>
          <w:szCs w:val="24"/>
        </w:rPr>
        <w:t>条要求。</w:t>
      </w:r>
    </w:p>
    <w:p w14:paraId="55FA48AF">
      <w:pPr>
        <w:pStyle w:val="2"/>
        <w:spacing w:before="160" w:after="0" w:line="360" w:lineRule="auto"/>
        <w:rPr>
          <w:b w:val="0"/>
          <w:iCs/>
          <w:sz w:val="24"/>
          <w:szCs w:val="21"/>
        </w:rPr>
      </w:pPr>
      <w:bookmarkStart w:id="310" w:name="_Toc12136"/>
      <w:bookmarkStart w:id="311" w:name="_Toc24082"/>
      <w:bookmarkStart w:id="312" w:name="_Toc12473"/>
      <w:bookmarkStart w:id="313" w:name="_Toc221090935"/>
      <w:r>
        <w:rPr>
          <w:b w:val="0"/>
          <w:iCs/>
          <w:sz w:val="24"/>
          <w:szCs w:val="21"/>
        </w:rPr>
        <w:t xml:space="preserve">10.5 </w:t>
      </w:r>
      <w:r>
        <w:rPr>
          <w:rFonts w:hint="eastAsia"/>
          <w:b w:val="0"/>
          <w:iCs/>
          <w:sz w:val="24"/>
          <w:szCs w:val="21"/>
        </w:rPr>
        <w:t>欠压和断电保护功能</w:t>
      </w:r>
      <w:bookmarkEnd w:id="310"/>
      <w:bookmarkEnd w:id="311"/>
      <w:bookmarkEnd w:id="312"/>
      <w:bookmarkEnd w:id="313"/>
    </w:p>
    <w:p w14:paraId="7DC33963">
      <w:pPr>
        <w:pStyle w:val="4"/>
        <w:snapToGrid w:val="0"/>
        <w:spacing w:before="160" w:line="360" w:lineRule="auto"/>
        <w:ind w:firstLine="0"/>
        <w:rPr>
          <w:sz w:val="24"/>
          <w:szCs w:val="24"/>
        </w:rPr>
      </w:pPr>
      <w:r>
        <w:rPr>
          <w:rFonts w:hint="eastAsia"/>
          <w:sz w:val="24"/>
          <w:szCs w:val="24"/>
        </w:rPr>
        <w:t>10.5.1 工作电源欠压</w:t>
      </w:r>
    </w:p>
    <w:p w14:paraId="457D86AC">
      <w:pPr>
        <w:adjustRightInd w:val="0"/>
        <w:snapToGrid w:val="0"/>
        <w:spacing w:before="160" w:line="360" w:lineRule="auto"/>
        <w:rPr>
          <w:sz w:val="24"/>
          <w:szCs w:val="24"/>
        </w:rPr>
      </w:pPr>
      <w:r>
        <w:rPr>
          <w:sz w:val="24"/>
          <w:szCs w:val="24"/>
        </w:rPr>
        <w:t xml:space="preserve">10.5.1.1 </w:t>
      </w:r>
      <w:r>
        <w:rPr>
          <w:rFonts w:hint="eastAsia"/>
          <w:sz w:val="24"/>
          <w:szCs w:val="24"/>
        </w:rPr>
        <w:t>试验目的</w:t>
      </w:r>
    </w:p>
    <w:p w14:paraId="7BA44A20">
      <w:pPr>
        <w:adjustRightInd w:val="0"/>
        <w:snapToGrid w:val="0"/>
        <w:spacing w:before="160" w:line="360" w:lineRule="auto"/>
        <w:ind w:firstLine="480" w:firstLineChars="200"/>
        <w:rPr>
          <w:sz w:val="24"/>
          <w:szCs w:val="24"/>
        </w:rPr>
      </w:pPr>
      <w:r>
        <w:rPr>
          <w:rFonts w:hint="eastAsia"/>
          <w:sz w:val="24"/>
          <w:szCs w:val="24"/>
        </w:rPr>
        <w:t>检查流量计的工作电源欠压提示是否符合第</w:t>
      </w:r>
      <w:r>
        <w:rPr>
          <w:sz w:val="24"/>
          <w:szCs w:val="24"/>
        </w:rPr>
        <w:t>7.4.</w:t>
      </w:r>
      <w:r>
        <w:rPr>
          <w:rFonts w:hint="eastAsia"/>
          <w:sz w:val="24"/>
          <w:szCs w:val="24"/>
        </w:rPr>
        <w:t>1 条的要求。</w:t>
      </w:r>
    </w:p>
    <w:p w14:paraId="68BC9F10">
      <w:pPr>
        <w:adjustRightInd w:val="0"/>
        <w:snapToGrid w:val="0"/>
        <w:spacing w:before="160" w:line="360" w:lineRule="auto"/>
        <w:rPr>
          <w:sz w:val="24"/>
          <w:szCs w:val="24"/>
        </w:rPr>
      </w:pPr>
      <w:r>
        <w:rPr>
          <w:sz w:val="24"/>
          <w:szCs w:val="24"/>
        </w:rPr>
        <w:t xml:space="preserve">10.5.1.2 </w:t>
      </w:r>
      <w:r>
        <w:rPr>
          <w:rFonts w:hint="eastAsia"/>
          <w:sz w:val="24"/>
          <w:szCs w:val="24"/>
        </w:rPr>
        <w:t>试验条件</w:t>
      </w:r>
    </w:p>
    <w:p w14:paraId="272F2951">
      <w:pPr>
        <w:adjustRightInd w:val="0"/>
        <w:snapToGrid w:val="0"/>
        <w:spacing w:before="160" w:line="360" w:lineRule="auto"/>
        <w:ind w:firstLine="480" w:firstLineChars="200"/>
        <w:rPr>
          <w:sz w:val="24"/>
          <w:szCs w:val="24"/>
        </w:rPr>
      </w:pPr>
      <w:r>
        <w:rPr>
          <w:rFonts w:hint="eastAsia"/>
          <w:sz w:val="24"/>
          <w:szCs w:val="24"/>
        </w:rPr>
        <w:t>在额定工作条件下试验。</w:t>
      </w:r>
    </w:p>
    <w:p w14:paraId="5750CF9B">
      <w:pPr>
        <w:adjustRightInd w:val="0"/>
        <w:snapToGrid w:val="0"/>
        <w:spacing w:before="160" w:line="360" w:lineRule="auto"/>
        <w:rPr>
          <w:sz w:val="24"/>
          <w:szCs w:val="24"/>
        </w:rPr>
      </w:pPr>
      <w:r>
        <w:rPr>
          <w:sz w:val="24"/>
          <w:szCs w:val="24"/>
        </w:rPr>
        <w:t xml:space="preserve">10.5.1.3 </w:t>
      </w:r>
      <w:r>
        <w:rPr>
          <w:rFonts w:hint="eastAsia"/>
          <w:sz w:val="24"/>
          <w:szCs w:val="24"/>
        </w:rPr>
        <w:t>试验设备</w:t>
      </w:r>
    </w:p>
    <w:p w14:paraId="52395C94">
      <w:pPr>
        <w:adjustRightInd w:val="0"/>
        <w:snapToGrid w:val="0"/>
        <w:spacing w:before="160" w:line="360" w:lineRule="auto"/>
        <w:ind w:firstLine="480" w:firstLineChars="200"/>
        <w:rPr>
          <w:sz w:val="24"/>
          <w:szCs w:val="24"/>
        </w:rPr>
      </w:pPr>
      <w:r>
        <w:rPr>
          <w:rFonts w:hint="eastAsia"/>
          <w:sz w:val="24"/>
          <w:szCs w:val="24"/>
        </w:rPr>
        <w:t>稳压电源。</w:t>
      </w:r>
    </w:p>
    <w:p w14:paraId="7DA1697C">
      <w:pPr>
        <w:snapToGrid w:val="0"/>
        <w:spacing w:before="160" w:line="360" w:lineRule="auto"/>
        <w:rPr>
          <w:sz w:val="24"/>
          <w:szCs w:val="24"/>
        </w:rPr>
      </w:pPr>
      <w:r>
        <w:rPr>
          <w:sz w:val="24"/>
          <w:szCs w:val="24"/>
        </w:rPr>
        <w:t xml:space="preserve">10.5.1.4 </w:t>
      </w:r>
      <w:r>
        <w:rPr>
          <w:rFonts w:hint="eastAsia"/>
          <w:sz w:val="24"/>
          <w:szCs w:val="24"/>
        </w:rPr>
        <w:t>试验程序</w:t>
      </w:r>
    </w:p>
    <w:p w14:paraId="3458C471">
      <w:pPr>
        <w:adjustRightInd w:val="0"/>
        <w:snapToGrid w:val="0"/>
        <w:spacing w:before="160" w:line="360" w:lineRule="auto"/>
        <w:ind w:firstLine="480" w:firstLineChars="200"/>
        <w:rPr>
          <w:sz w:val="24"/>
          <w:szCs w:val="24"/>
        </w:rPr>
      </w:pPr>
      <w:r>
        <w:rPr>
          <w:rFonts w:hint="eastAsia"/>
          <w:sz w:val="24"/>
          <w:szCs w:val="24"/>
        </w:rPr>
        <w:t>流量计由稳压电源供电，将稳压电源的电压调整至流量计的正常工作电压，使流量计正常工作，然后缓慢下调稳压电源的电压至流量计设计电压下限时，检查是否有正常提示。</w:t>
      </w:r>
    </w:p>
    <w:p w14:paraId="4C74E968">
      <w:pPr>
        <w:autoSpaceDE w:val="0"/>
        <w:autoSpaceDN w:val="0"/>
        <w:adjustRightInd w:val="0"/>
        <w:snapToGrid w:val="0"/>
        <w:spacing w:before="160" w:line="360" w:lineRule="auto"/>
        <w:jc w:val="left"/>
        <w:rPr>
          <w:sz w:val="24"/>
          <w:szCs w:val="24"/>
        </w:rPr>
      </w:pPr>
      <w:r>
        <w:rPr>
          <w:sz w:val="24"/>
          <w:szCs w:val="24"/>
        </w:rPr>
        <w:t xml:space="preserve">10.5.1.5 </w:t>
      </w:r>
      <w:r>
        <w:rPr>
          <w:rFonts w:hint="eastAsia"/>
          <w:sz w:val="24"/>
          <w:szCs w:val="24"/>
        </w:rPr>
        <w:t>合格判据</w:t>
      </w:r>
    </w:p>
    <w:p w14:paraId="3C2B2A20">
      <w:pPr>
        <w:adjustRightInd w:val="0"/>
        <w:snapToGrid w:val="0"/>
        <w:spacing w:before="160" w:line="360" w:lineRule="auto"/>
        <w:ind w:firstLine="480" w:firstLineChars="200"/>
        <w:rPr>
          <w:sz w:val="24"/>
          <w:szCs w:val="24"/>
        </w:rPr>
      </w:pPr>
      <w:r>
        <w:rPr>
          <w:rFonts w:hint="eastAsia"/>
          <w:sz w:val="24"/>
          <w:szCs w:val="24"/>
        </w:rPr>
        <w:t>检查流量计的工作电源欠压提示应符合第</w:t>
      </w:r>
      <w:r>
        <w:rPr>
          <w:sz w:val="24"/>
          <w:szCs w:val="24"/>
        </w:rPr>
        <w:t>7.4.</w:t>
      </w:r>
      <w:r>
        <w:rPr>
          <w:rFonts w:hint="eastAsia"/>
          <w:sz w:val="24"/>
          <w:szCs w:val="24"/>
        </w:rPr>
        <w:t>1条的要求。</w:t>
      </w:r>
    </w:p>
    <w:p w14:paraId="5EFBE451">
      <w:pPr>
        <w:snapToGrid w:val="0"/>
        <w:spacing w:before="160" w:line="360" w:lineRule="auto"/>
        <w:rPr>
          <w:sz w:val="24"/>
          <w:szCs w:val="24"/>
        </w:rPr>
      </w:pPr>
      <w:r>
        <w:rPr>
          <w:rFonts w:hint="eastAsia"/>
          <w:sz w:val="24"/>
          <w:szCs w:val="24"/>
        </w:rPr>
        <w:t>10.5.2断电保护</w:t>
      </w:r>
    </w:p>
    <w:p w14:paraId="0072D757">
      <w:pPr>
        <w:adjustRightInd w:val="0"/>
        <w:snapToGrid w:val="0"/>
        <w:spacing w:before="160" w:line="360" w:lineRule="auto"/>
        <w:rPr>
          <w:sz w:val="24"/>
          <w:szCs w:val="24"/>
        </w:rPr>
      </w:pPr>
      <w:r>
        <w:rPr>
          <w:sz w:val="24"/>
          <w:szCs w:val="24"/>
        </w:rPr>
        <w:t xml:space="preserve">10.5.2.1 </w:t>
      </w:r>
      <w:r>
        <w:rPr>
          <w:rFonts w:hint="eastAsia"/>
          <w:sz w:val="24"/>
          <w:szCs w:val="24"/>
        </w:rPr>
        <w:t>试验目的</w:t>
      </w:r>
    </w:p>
    <w:p w14:paraId="50BBC4E6">
      <w:pPr>
        <w:adjustRightInd w:val="0"/>
        <w:snapToGrid w:val="0"/>
        <w:spacing w:before="160" w:line="360" w:lineRule="auto"/>
        <w:ind w:firstLine="480" w:firstLineChars="200"/>
        <w:rPr>
          <w:sz w:val="24"/>
          <w:szCs w:val="24"/>
        </w:rPr>
      </w:pPr>
      <w:r>
        <w:rPr>
          <w:rFonts w:hint="eastAsia"/>
          <w:sz w:val="24"/>
          <w:szCs w:val="24"/>
        </w:rPr>
        <w:t>检查流量计的断电保护功能是否符合第</w:t>
      </w:r>
      <w:r>
        <w:rPr>
          <w:rFonts w:eastAsia="黑体"/>
          <w:sz w:val="24"/>
          <w:szCs w:val="24"/>
        </w:rPr>
        <w:t>7.4.2</w:t>
      </w:r>
      <w:r>
        <w:rPr>
          <w:rFonts w:hint="eastAsia"/>
          <w:sz w:val="24"/>
          <w:szCs w:val="24"/>
        </w:rPr>
        <w:t>条的要求。</w:t>
      </w:r>
    </w:p>
    <w:p w14:paraId="4E7D9069">
      <w:pPr>
        <w:adjustRightInd w:val="0"/>
        <w:snapToGrid w:val="0"/>
        <w:spacing w:before="160" w:line="360" w:lineRule="auto"/>
        <w:rPr>
          <w:sz w:val="24"/>
          <w:szCs w:val="24"/>
        </w:rPr>
      </w:pPr>
      <w:r>
        <w:rPr>
          <w:sz w:val="24"/>
          <w:szCs w:val="24"/>
        </w:rPr>
        <w:t xml:space="preserve">10.5.2.2 </w:t>
      </w:r>
      <w:r>
        <w:rPr>
          <w:rFonts w:hint="eastAsia"/>
          <w:sz w:val="24"/>
          <w:szCs w:val="24"/>
        </w:rPr>
        <w:t>试验条件</w:t>
      </w:r>
    </w:p>
    <w:p w14:paraId="4219DDD1">
      <w:pPr>
        <w:adjustRightInd w:val="0"/>
        <w:snapToGrid w:val="0"/>
        <w:spacing w:before="160" w:line="360" w:lineRule="auto"/>
        <w:ind w:firstLine="480" w:firstLineChars="200"/>
        <w:rPr>
          <w:sz w:val="24"/>
          <w:szCs w:val="24"/>
        </w:rPr>
      </w:pPr>
      <w:r>
        <w:rPr>
          <w:rFonts w:hint="eastAsia"/>
          <w:sz w:val="24"/>
          <w:szCs w:val="24"/>
        </w:rPr>
        <w:t>在额定工作条件下试验。</w:t>
      </w:r>
    </w:p>
    <w:p w14:paraId="755F7450">
      <w:pPr>
        <w:adjustRightInd w:val="0"/>
        <w:snapToGrid w:val="0"/>
        <w:spacing w:before="160" w:line="360" w:lineRule="auto"/>
        <w:rPr>
          <w:sz w:val="24"/>
          <w:szCs w:val="24"/>
        </w:rPr>
      </w:pPr>
      <w:r>
        <w:rPr>
          <w:sz w:val="24"/>
          <w:szCs w:val="24"/>
        </w:rPr>
        <w:t xml:space="preserve">10.5.2.3 </w:t>
      </w:r>
      <w:r>
        <w:rPr>
          <w:rFonts w:hint="eastAsia"/>
          <w:sz w:val="24"/>
          <w:szCs w:val="24"/>
        </w:rPr>
        <w:t>试验设备</w:t>
      </w:r>
    </w:p>
    <w:p w14:paraId="69FE15A6">
      <w:pPr>
        <w:adjustRightInd w:val="0"/>
        <w:snapToGrid w:val="0"/>
        <w:spacing w:before="160" w:line="360" w:lineRule="auto"/>
        <w:ind w:firstLine="480" w:firstLineChars="200"/>
        <w:rPr>
          <w:sz w:val="24"/>
          <w:szCs w:val="24"/>
        </w:rPr>
      </w:pPr>
      <w:r>
        <w:rPr>
          <w:rFonts w:hint="eastAsia"/>
          <w:sz w:val="24"/>
          <w:szCs w:val="24"/>
        </w:rPr>
        <w:t>稳压电源。</w:t>
      </w:r>
    </w:p>
    <w:p w14:paraId="5391736B">
      <w:pPr>
        <w:snapToGrid w:val="0"/>
        <w:spacing w:before="160" w:line="360" w:lineRule="auto"/>
        <w:rPr>
          <w:sz w:val="24"/>
          <w:szCs w:val="24"/>
        </w:rPr>
      </w:pPr>
      <w:r>
        <w:rPr>
          <w:sz w:val="24"/>
          <w:szCs w:val="24"/>
        </w:rPr>
        <w:t xml:space="preserve">10.5.2.4 </w:t>
      </w:r>
      <w:r>
        <w:rPr>
          <w:rFonts w:hint="eastAsia"/>
          <w:sz w:val="24"/>
          <w:szCs w:val="24"/>
        </w:rPr>
        <w:t>试验程序</w:t>
      </w:r>
    </w:p>
    <w:p w14:paraId="0E05C237">
      <w:pPr>
        <w:snapToGrid w:val="0"/>
        <w:spacing w:before="160" w:line="360" w:lineRule="auto"/>
        <w:ind w:firstLine="480" w:firstLineChars="200"/>
        <w:rPr>
          <w:sz w:val="24"/>
          <w:szCs w:val="24"/>
        </w:rPr>
      </w:pPr>
      <w:r>
        <w:rPr>
          <w:rFonts w:hint="eastAsia"/>
          <w:sz w:val="24"/>
          <w:szCs w:val="24"/>
        </w:rPr>
        <w:t>流量计由稳压电源供电，将稳压电源的电压调整至正常工作电压，使流量计处于正常工作状态但不通气，记录流量计内需要保存的信息和数据。</w:t>
      </w:r>
    </w:p>
    <w:p w14:paraId="0DF87281">
      <w:pPr>
        <w:snapToGrid w:val="0"/>
        <w:spacing w:before="160" w:line="360" w:lineRule="auto"/>
        <w:ind w:firstLine="480" w:firstLineChars="200"/>
        <w:rPr>
          <w:sz w:val="24"/>
          <w:szCs w:val="24"/>
        </w:rPr>
      </w:pPr>
      <w:r>
        <w:rPr>
          <w:rFonts w:hint="eastAsia"/>
          <w:sz w:val="24"/>
          <w:szCs w:val="24"/>
        </w:rPr>
        <w:t xml:space="preserve">a) 先将稳压电源电压缓慢降至欠压设计值，0.5 h后恢复到流量计正常工作电压，检查流量计内需要保存的信息和数据与欠压前是否一致； </w:t>
      </w:r>
    </w:p>
    <w:p w14:paraId="0F4D6D06">
      <w:pPr>
        <w:snapToGrid w:val="0"/>
        <w:spacing w:before="160" w:line="360" w:lineRule="auto"/>
        <w:ind w:firstLine="480" w:firstLineChars="200"/>
        <w:rPr>
          <w:sz w:val="24"/>
          <w:szCs w:val="24"/>
        </w:rPr>
      </w:pPr>
      <w:r>
        <w:rPr>
          <w:rFonts w:hint="eastAsia"/>
          <w:sz w:val="24"/>
          <w:szCs w:val="24"/>
        </w:rPr>
        <w:t>b) 中断稳压电源供电，0.5 h后接通稳压电源到流量计正常工作电压供电，检查流量计内需要保存的信息与断电前是否一致。</w:t>
      </w:r>
    </w:p>
    <w:p w14:paraId="285C2E76">
      <w:pPr>
        <w:autoSpaceDE w:val="0"/>
        <w:autoSpaceDN w:val="0"/>
        <w:adjustRightInd w:val="0"/>
        <w:snapToGrid w:val="0"/>
        <w:spacing w:before="160" w:line="360" w:lineRule="auto"/>
        <w:jc w:val="left"/>
        <w:rPr>
          <w:sz w:val="24"/>
          <w:szCs w:val="24"/>
        </w:rPr>
      </w:pPr>
      <w:r>
        <w:rPr>
          <w:sz w:val="24"/>
          <w:szCs w:val="24"/>
        </w:rPr>
        <w:t xml:space="preserve">10.5.2.5 </w:t>
      </w:r>
      <w:r>
        <w:rPr>
          <w:rFonts w:hint="eastAsia"/>
          <w:sz w:val="24"/>
          <w:szCs w:val="24"/>
        </w:rPr>
        <w:t>合格判据</w:t>
      </w:r>
    </w:p>
    <w:p w14:paraId="736F2FF1">
      <w:pPr>
        <w:adjustRightInd w:val="0"/>
        <w:snapToGrid w:val="0"/>
        <w:spacing w:before="160" w:line="360" w:lineRule="auto"/>
        <w:ind w:firstLine="480" w:firstLineChars="200"/>
        <w:rPr>
          <w:sz w:val="24"/>
          <w:szCs w:val="24"/>
        </w:rPr>
      </w:pPr>
      <w:r>
        <w:rPr>
          <w:rFonts w:hint="eastAsia"/>
          <w:sz w:val="24"/>
          <w:szCs w:val="24"/>
        </w:rPr>
        <w:t>检查流量计的断电保护功能应符合第</w:t>
      </w:r>
      <w:r>
        <w:rPr>
          <w:rFonts w:eastAsia="黑体"/>
          <w:sz w:val="24"/>
          <w:szCs w:val="24"/>
        </w:rPr>
        <w:t>7.4</w:t>
      </w:r>
      <w:r>
        <w:rPr>
          <w:rFonts w:hint="eastAsia"/>
          <w:sz w:val="24"/>
          <w:szCs w:val="24"/>
        </w:rPr>
        <w:t>条的要求。</w:t>
      </w:r>
    </w:p>
    <w:p w14:paraId="0B8F30E8">
      <w:pPr>
        <w:pStyle w:val="2"/>
        <w:spacing w:before="160" w:after="0" w:line="360" w:lineRule="auto"/>
        <w:rPr>
          <w:b w:val="0"/>
          <w:iCs/>
          <w:color w:val="000000" w:themeColor="text1"/>
          <w:sz w:val="24"/>
          <w:szCs w:val="21"/>
          <w14:textFill>
            <w14:solidFill>
              <w14:schemeClr w14:val="tx1"/>
            </w14:solidFill>
          </w14:textFill>
        </w:rPr>
      </w:pPr>
      <w:bookmarkStart w:id="314" w:name="_Toc5780"/>
      <w:bookmarkStart w:id="315" w:name="_Toc221090936"/>
      <w:bookmarkStart w:id="316" w:name="_Toc185070221"/>
      <w:bookmarkStart w:id="317" w:name="_Toc457808609"/>
      <w:bookmarkStart w:id="318" w:name="_Toc457807284"/>
      <w:bookmarkStart w:id="319" w:name="_Toc457808147"/>
      <w:bookmarkStart w:id="320" w:name="_Toc501210816"/>
      <w:r>
        <w:rPr>
          <w:rFonts w:hint="eastAsia"/>
          <w:b w:val="0"/>
          <w:iCs/>
          <w:color w:val="000000" w:themeColor="text1"/>
          <w:sz w:val="24"/>
          <w:szCs w:val="21"/>
          <w14:textFill>
            <w14:solidFill>
              <w14:schemeClr w14:val="tx1"/>
            </w14:solidFill>
          </w14:textFill>
        </w:rPr>
        <w:t>10.6 安全</w:t>
      </w:r>
      <w:r>
        <w:rPr>
          <w:b w:val="0"/>
          <w:iCs/>
          <w:color w:val="000000" w:themeColor="text1"/>
          <w:sz w:val="24"/>
          <w:szCs w:val="21"/>
          <w14:textFill>
            <w14:solidFill>
              <w14:schemeClr w14:val="tx1"/>
            </w14:solidFill>
          </w14:textFill>
        </w:rPr>
        <w:t>性能</w:t>
      </w:r>
      <w:bookmarkEnd w:id="314"/>
      <w:bookmarkEnd w:id="315"/>
    </w:p>
    <w:p w14:paraId="0F53ED9B">
      <w:pPr>
        <w:spacing w:before="160" w:line="360" w:lineRule="auto"/>
        <w:rPr>
          <w:sz w:val="24"/>
          <w:szCs w:val="24"/>
        </w:rPr>
      </w:pPr>
      <w:r>
        <w:rPr>
          <w:rFonts w:hint="eastAsia"/>
          <w:sz w:val="24"/>
          <w:szCs w:val="24"/>
        </w:rPr>
        <w:t>10.6.1 绝缘电阻</w:t>
      </w:r>
    </w:p>
    <w:p w14:paraId="21CF0510">
      <w:pPr>
        <w:adjustRightInd w:val="0"/>
        <w:snapToGrid w:val="0"/>
        <w:spacing w:before="160" w:line="360" w:lineRule="auto"/>
        <w:rPr>
          <w:sz w:val="24"/>
          <w:szCs w:val="24"/>
        </w:rPr>
      </w:pPr>
      <w:r>
        <w:rPr>
          <w:rFonts w:hint="eastAsia"/>
          <w:sz w:val="24"/>
          <w:szCs w:val="24"/>
        </w:rPr>
        <w:t>10.6.1</w:t>
      </w:r>
      <w:r>
        <w:rPr>
          <w:sz w:val="24"/>
          <w:szCs w:val="24"/>
        </w:rPr>
        <w:t>.</w:t>
      </w:r>
      <w:r>
        <w:rPr>
          <w:rFonts w:hint="eastAsia"/>
          <w:sz w:val="24"/>
          <w:szCs w:val="24"/>
        </w:rPr>
        <w:t xml:space="preserve">1 </w:t>
      </w:r>
      <w:r>
        <w:rPr>
          <w:sz w:val="24"/>
          <w:szCs w:val="24"/>
        </w:rPr>
        <w:t>试验目的</w:t>
      </w:r>
    </w:p>
    <w:p w14:paraId="1E0201AB">
      <w:pPr>
        <w:adjustRightInd w:val="0"/>
        <w:snapToGrid w:val="0"/>
        <w:spacing w:before="160" w:line="360" w:lineRule="auto"/>
        <w:ind w:firstLine="480" w:firstLineChars="200"/>
        <w:rPr>
          <w:sz w:val="24"/>
          <w:szCs w:val="24"/>
        </w:rPr>
      </w:pPr>
      <w:r>
        <w:rPr>
          <w:sz w:val="24"/>
          <w:szCs w:val="24"/>
        </w:rPr>
        <w:t>检</w:t>
      </w:r>
      <w:r>
        <w:rPr>
          <w:rFonts w:hint="eastAsia"/>
          <w:sz w:val="24"/>
          <w:szCs w:val="24"/>
        </w:rPr>
        <w:t>验</w:t>
      </w:r>
      <w:r>
        <w:rPr>
          <w:sz w:val="24"/>
          <w:szCs w:val="24"/>
        </w:rPr>
        <w:t>流量计</w:t>
      </w:r>
      <w:r>
        <w:rPr>
          <w:rFonts w:hint="eastAsia"/>
          <w:sz w:val="24"/>
          <w:szCs w:val="24"/>
        </w:rPr>
        <w:t>各端子之间的绝缘电阻</w:t>
      </w:r>
      <w:r>
        <w:rPr>
          <w:sz w:val="24"/>
          <w:szCs w:val="24"/>
        </w:rPr>
        <w:t>是否符合第</w:t>
      </w:r>
      <w:r>
        <w:rPr>
          <w:rFonts w:hint="eastAsia" w:eastAsia="黑体"/>
          <w:sz w:val="24"/>
          <w:szCs w:val="24"/>
        </w:rPr>
        <w:t>7</w:t>
      </w:r>
      <w:r>
        <w:rPr>
          <w:rFonts w:eastAsia="黑体"/>
          <w:sz w:val="24"/>
          <w:szCs w:val="24"/>
        </w:rPr>
        <w:t>.</w:t>
      </w:r>
      <w:r>
        <w:rPr>
          <w:rFonts w:hint="eastAsia" w:eastAsia="黑体"/>
          <w:sz w:val="24"/>
          <w:szCs w:val="24"/>
        </w:rPr>
        <w:t>5</w:t>
      </w:r>
      <w:r>
        <w:rPr>
          <w:rFonts w:eastAsia="黑体"/>
          <w:sz w:val="24"/>
          <w:szCs w:val="24"/>
        </w:rPr>
        <w:t>.</w:t>
      </w:r>
      <w:r>
        <w:rPr>
          <w:rFonts w:hint="eastAsia" w:eastAsia="黑体"/>
          <w:sz w:val="24"/>
          <w:szCs w:val="24"/>
        </w:rPr>
        <w:t>1</w:t>
      </w:r>
      <w:r>
        <w:rPr>
          <w:rFonts w:hint="eastAsia"/>
          <w:sz w:val="24"/>
          <w:szCs w:val="24"/>
        </w:rPr>
        <w:t>条的</w:t>
      </w:r>
      <w:r>
        <w:rPr>
          <w:sz w:val="24"/>
          <w:szCs w:val="24"/>
        </w:rPr>
        <w:t>要求。</w:t>
      </w:r>
    </w:p>
    <w:p w14:paraId="4E06C234">
      <w:pPr>
        <w:adjustRightInd w:val="0"/>
        <w:snapToGrid w:val="0"/>
        <w:spacing w:before="160" w:line="360" w:lineRule="auto"/>
        <w:rPr>
          <w:sz w:val="24"/>
          <w:szCs w:val="24"/>
        </w:rPr>
      </w:pPr>
      <w:r>
        <w:rPr>
          <w:rFonts w:hint="eastAsia"/>
          <w:sz w:val="24"/>
          <w:szCs w:val="24"/>
        </w:rPr>
        <w:t>10.6.1</w:t>
      </w:r>
      <w:r>
        <w:rPr>
          <w:sz w:val="24"/>
          <w:szCs w:val="24"/>
        </w:rPr>
        <w:t>.</w:t>
      </w:r>
      <w:r>
        <w:rPr>
          <w:rFonts w:hint="eastAsia"/>
          <w:sz w:val="24"/>
          <w:szCs w:val="24"/>
        </w:rPr>
        <w:t xml:space="preserve">2 </w:t>
      </w:r>
      <w:r>
        <w:rPr>
          <w:sz w:val="24"/>
          <w:szCs w:val="24"/>
        </w:rPr>
        <w:t>试验条件</w:t>
      </w:r>
    </w:p>
    <w:p w14:paraId="745530DC">
      <w:pPr>
        <w:adjustRightInd w:val="0"/>
        <w:snapToGrid w:val="0"/>
        <w:spacing w:before="160" w:line="360" w:lineRule="auto"/>
        <w:ind w:firstLine="480" w:firstLineChars="200"/>
        <w:rPr>
          <w:sz w:val="24"/>
          <w:szCs w:val="24"/>
        </w:rPr>
      </w:pPr>
      <w:r>
        <w:rPr>
          <w:sz w:val="24"/>
          <w:szCs w:val="24"/>
        </w:rPr>
        <w:t>在额定工作条件下试验。</w:t>
      </w:r>
    </w:p>
    <w:p w14:paraId="03405E50">
      <w:pPr>
        <w:adjustRightInd w:val="0"/>
        <w:snapToGrid w:val="0"/>
        <w:spacing w:before="160" w:line="360" w:lineRule="auto"/>
        <w:rPr>
          <w:sz w:val="24"/>
          <w:szCs w:val="24"/>
        </w:rPr>
      </w:pPr>
      <w:r>
        <w:rPr>
          <w:rFonts w:hint="eastAsia"/>
          <w:sz w:val="24"/>
          <w:szCs w:val="24"/>
        </w:rPr>
        <w:t>10.6.1</w:t>
      </w:r>
      <w:r>
        <w:rPr>
          <w:sz w:val="24"/>
          <w:szCs w:val="24"/>
        </w:rPr>
        <w:t>.</w:t>
      </w:r>
      <w:r>
        <w:rPr>
          <w:rFonts w:hint="eastAsia"/>
          <w:sz w:val="24"/>
          <w:szCs w:val="24"/>
        </w:rPr>
        <w:t xml:space="preserve">3 </w:t>
      </w:r>
      <w:r>
        <w:rPr>
          <w:sz w:val="24"/>
          <w:szCs w:val="24"/>
        </w:rPr>
        <w:t>试验设备</w:t>
      </w:r>
    </w:p>
    <w:p w14:paraId="576ED63D">
      <w:pPr>
        <w:adjustRightInd w:val="0"/>
        <w:snapToGrid w:val="0"/>
        <w:spacing w:before="160" w:line="360" w:lineRule="auto"/>
        <w:ind w:firstLine="480" w:firstLineChars="200"/>
        <w:rPr>
          <w:sz w:val="24"/>
          <w:szCs w:val="24"/>
        </w:rPr>
      </w:pPr>
      <w:r>
        <w:rPr>
          <w:rFonts w:hint="eastAsia" w:cs="宋体"/>
          <w:sz w:val="24"/>
          <w:szCs w:val="24"/>
        </w:rPr>
        <w:t>兆欧表或</w:t>
      </w:r>
      <w:r>
        <w:rPr>
          <w:rFonts w:hint="eastAsia"/>
          <w:sz w:val="24"/>
          <w:szCs w:val="24"/>
        </w:rPr>
        <w:t>绝缘电阻测试仪。</w:t>
      </w:r>
    </w:p>
    <w:p w14:paraId="521DBE53">
      <w:pPr>
        <w:snapToGrid w:val="0"/>
        <w:spacing w:before="160" w:line="360" w:lineRule="auto"/>
        <w:rPr>
          <w:sz w:val="24"/>
          <w:szCs w:val="24"/>
        </w:rPr>
      </w:pPr>
      <w:r>
        <w:rPr>
          <w:rFonts w:hint="eastAsia"/>
          <w:sz w:val="24"/>
          <w:szCs w:val="24"/>
        </w:rPr>
        <w:t>10.6.1</w:t>
      </w:r>
      <w:r>
        <w:rPr>
          <w:sz w:val="24"/>
          <w:szCs w:val="24"/>
        </w:rPr>
        <w:t>.</w:t>
      </w:r>
      <w:r>
        <w:rPr>
          <w:rFonts w:hint="eastAsia"/>
          <w:sz w:val="24"/>
          <w:szCs w:val="24"/>
        </w:rPr>
        <w:t xml:space="preserve">4 </w:t>
      </w:r>
      <w:r>
        <w:rPr>
          <w:sz w:val="24"/>
          <w:szCs w:val="24"/>
        </w:rPr>
        <w:t>试验程序</w:t>
      </w:r>
    </w:p>
    <w:p w14:paraId="5A1B50AA">
      <w:pPr>
        <w:pStyle w:val="114"/>
        <w:snapToGrid w:val="0"/>
        <w:spacing w:before="160" w:line="360" w:lineRule="auto"/>
        <w:ind w:firstLine="480" w:firstLineChars="200"/>
        <w:outlineLvl w:val="9"/>
        <w:rPr>
          <w:rFonts w:eastAsia="宋体"/>
          <w:sz w:val="24"/>
          <w:szCs w:val="24"/>
        </w:rPr>
      </w:pPr>
      <w:r>
        <w:rPr>
          <w:rFonts w:hint="eastAsia" w:eastAsia="宋体"/>
          <w:sz w:val="24"/>
          <w:szCs w:val="24"/>
        </w:rPr>
        <w:t>按表4要求，分别对流量计的电源端子与接地端子、输入输出端子与接地端子之间进行绝缘电阻测试</w:t>
      </w:r>
      <w:r>
        <w:rPr>
          <w:rFonts w:eastAsia="宋体"/>
          <w:sz w:val="24"/>
          <w:szCs w:val="24"/>
        </w:rPr>
        <w:t>。</w:t>
      </w:r>
    </w:p>
    <w:p w14:paraId="64F273C8">
      <w:pPr>
        <w:autoSpaceDE w:val="0"/>
        <w:autoSpaceDN w:val="0"/>
        <w:adjustRightInd w:val="0"/>
        <w:snapToGrid w:val="0"/>
        <w:spacing w:before="160" w:line="360" w:lineRule="auto"/>
        <w:jc w:val="left"/>
        <w:rPr>
          <w:sz w:val="24"/>
          <w:szCs w:val="24"/>
        </w:rPr>
      </w:pPr>
      <w:r>
        <w:rPr>
          <w:rFonts w:hint="eastAsia"/>
          <w:sz w:val="24"/>
          <w:szCs w:val="24"/>
        </w:rPr>
        <w:t>10.6.1</w:t>
      </w:r>
      <w:r>
        <w:rPr>
          <w:sz w:val="24"/>
          <w:szCs w:val="24"/>
        </w:rPr>
        <w:t>.</w:t>
      </w:r>
      <w:r>
        <w:rPr>
          <w:rFonts w:hint="eastAsia"/>
          <w:sz w:val="24"/>
          <w:szCs w:val="24"/>
        </w:rPr>
        <w:t xml:space="preserve">5 </w:t>
      </w:r>
      <w:r>
        <w:rPr>
          <w:sz w:val="24"/>
          <w:szCs w:val="24"/>
        </w:rPr>
        <w:t>合格判据</w:t>
      </w:r>
    </w:p>
    <w:p w14:paraId="44509A52">
      <w:pPr>
        <w:snapToGrid w:val="0"/>
        <w:spacing w:before="160" w:line="360" w:lineRule="auto"/>
        <w:ind w:firstLine="600" w:firstLineChars="250"/>
        <w:rPr>
          <w:sz w:val="24"/>
          <w:szCs w:val="24"/>
        </w:rPr>
      </w:pPr>
      <w:r>
        <w:rPr>
          <w:sz w:val="24"/>
          <w:szCs w:val="24"/>
        </w:rPr>
        <w:t>流量计</w:t>
      </w:r>
      <w:r>
        <w:rPr>
          <w:rFonts w:hint="eastAsia"/>
          <w:sz w:val="24"/>
          <w:szCs w:val="24"/>
        </w:rPr>
        <w:t>各端子之间绝缘电阻应</w:t>
      </w:r>
      <w:r>
        <w:rPr>
          <w:sz w:val="24"/>
          <w:szCs w:val="24"/>
        </w:rPr>
        <w:t>符合第</w:t>
      </w:r>
      <w:r>
        <w:rPr>
          <w:rFonts w:hint="eastAsia" w:eastAsia="黑体"/>
          <w:sz w:val="24"/>
          <w:szCs w:val="24"/>
        </w:rPr>
        <w:t>7</w:t>
      </w:r>
      <w:r>
        <w:rPr>
          <w:rFonts w:eastAsia="黑体"/>
          <w:sz w:val="24"/>
          <w:szCs w:val="24"/>
        </w:rPr>
        <w:t>.</w:t>
      </w:r>
      <w:r>
        <w:rPr>
          <w:rFonts w:hint="eastAsia" w:eastAsia="黑体"/>
          <w:sz w:val="24"/>
          <w:szCs w:val="24"/>
        </w:rPr>
        <w:t>5</w:t>
      </w:r>
      <w:r>
        <w:rPr>
          <w:rFonts w:eastAsia="黑体"/>
          <w:sz w:val="24"/>
          <w:szCs w:val="24"/>
        </w:rPr>
        <w:t>.</w:t>
      </w:r>
      <w:r>
        <w:rPr>
          <w:rFonts w:hint="eastAsia" w:eastAsia="黑体"/>
          <w:sz w:val="24"/>
          <w:szCs w:val="24"/>
        </w:rPr>
        <w:t>1</w:t>
      </w:r>
      <w:r>
        <w:rPr>
          <w:rFonts w:hint="eastAsia"/>
          <w:sz w:val="24"/>
          <w:szCs w:val="24"/>
        </w:rPr>
        <w:t>条的</w:t>
      </w:r>
      <w:r>
        <w:rPr>
          <w:sz w:val="24"/>
          <w:szCs w:val="24"/>
        </w:rPr>
        <w:t>要求。</w:t>
      </w:r>
    </w:p>
    <w:p w14:paraId="633D0D62">
      <w:pPr>
        <w:spacing w:before="160" w:line="360" w:lineRule="auto"/>
        <w:rPr>
          <w:sz w:val="24"/>
          <w:szCs w:val="24"/>
        </w:rPr>
      </w:pPr>
      <w:r>
        <w:rPr>
          <w:rFonts w:hint="eastAsia"/>
          <w:sz w:val="24"/>
          <w:szCs w:val="24"/>
        </w:rPr>
        <w:t>10.6.2 绝缘强度</w:t>
      </w:r>
    </w:p>
    <w:p w14:paraId="38376163">
      <w:pPr>
        <w:adjustRightInd w:val="0"/>
        <w:snapToGrid w:val="0"/>
        <w:spacing w:before="160" w:line="360" w:lineRule="auto"/>
        <w:rPr>
          <w:sz w:val="24"/>
          <w:szCs w:val="24"/>
        </w:rPr>
      </w:pPr>
      <w:r>
        <w:rPr>
          <w:rFonts w:hint="eastAsia"/>
          <w:sz w:val="24"/>
          <w:szCs w:val="24"/>
        </w:rPr>
        <w:t>10.6.2</w:t>
      </w:r>
      <w:r>
        <w:rPr>
          <w:sz w:val="24"/>
          <w:szCs w:val="24"/>
        </w:rPr>
        <w:t>.</w:t>
      </w:r>
      <w:r>
        <w:rPr>
          <w:rFonts w:hint="eastAsia"/>
          <w:sz w:val="24"/>
          <w:szCs w:val="24"/>
        </w:rPr>
        <w:t xml:space="preserve">1 </w:t>
      </w:r>
      <w:r>
        <w:rPr>
          <w:sz w:val="24"/>
          <w:szCs w:val="24"/>
        </w:rPr>
        <w:t>试验目的</w:t>
      </w:r>
    </w:p>
    <w:p w14:paraId="3F9FE550">
      <w:pPr>
        <w:adjustRightInd w:val="0"/>
        <w:snapToGrid w:val="0"/>
        <w:spacing w:before="160" w:line="360" w:lineRule="auto"/>
        <w:ind w:firstLine="480" w:firstLineChars="200"/>
        <w:rPr>
          <w:sz w:val="24"/>
          <w:szCs w:val="24"/>
        </w:rPr>
      </w:pPr>
      <w:r>
        <w:rPr>
          <w:sz w:val="24"/>
          <w:szCs w:val="24"/>
        </w:rPr>
        <w:t>检</w:t>
      </w:r>
      <w:r>
        <w:rPr>
          <w:rFonts w:hint="eastAsia"/>
          <w:sz w:val="24"/>
          <w:szCs w:val="24"/>
        </w:rPr>
        <w:t>验</w:t>
      </w:r>
      <w:r>
        <w:rPr>
          <w:sz w:val="24"/>
          <w:szCs w:val="24"/>
        </w:rPr>
        <w:t>流量计</w:t>
      </w:r>
      <w:r>
        <w:rPr>
          <w:rFonts w:hint="eastAsia"/>
          <w:sz w:val="24"/>
          <w:szCs w:val="24"/>
        </w:rPr>
        <w:t>各端子之间绝缘强度</w:t>
      </w:r>
      <w:r>
        <w:rPr>
          <w:sz w:val="24"/>
          <w:szCs w:val="24"/>
        </w:rPr>
        <w:t>是否符合第</w:t>
      </w:r>
      <w:r>
        <w:rPr>
          <w:rFonts w:hint="eastAsia" w:eastAsia="黑体"/>
          <w:sz w:val="24"/>
          <w:szCs w:val="24"/>
        </w:rPr>
        <w:t>7</w:t>
      </w:r>
      <w:r>
        <w:rPr>
          <w:rFonts w:eastAsia="黑体"/>
          <w:sz w:val="24"/>
          <w:szCs w:val="24"/>
        </w:rPr>
        <w:t>.</w:t>
      </w:r>
      <w:r>
        <w:rPr>
          <w:rFonts w:hint="eastAsia" w:eastAsia="黑体"/>
          <w:sz w:val="24"/>
          <w:szCs w:val="24"/>
        </w:rPr>
        <w:t>5</w:t>
      </w:r>
      <w:r>
        <w:rPr>
          <w:rFonts w:eastAsia="黑体"/>
          <w:sz w:val="24"/>
          <w:szCs w:val="24"/>
        </w:rPr>
        <w:t>.</w:t>
      </w:r>
      <w:r>
        <w:rPr>
          <w:rFonts w:hint="eastAsia" w:eastAsia="黑体"/>
          <w:sz w:val="24"/>
          <w:szCs w:val="24"/>
        </w:rPr>
        <w:t>2</w:t>
      </w:r>
      <w:r>
        <w:rPr>
          <w:rFonts w:hint="eastAsia"/>
          <w:sz w:val="24"/>
          <w:szCs w:val="24"/>
        </w:rPr>
        <w:t>条的</w:t>
      </w:r>
      <w:r>
        <w:rPr>
          <w:sz w:val="24"/>
          <w:szCs w:val="24"/>
        </w:rPr>
        <w:t>要求。</w:t>
      </w:r>
    </w:p>
    <w:p w14:paraId="742CF970">
      <w:pPr>
        <w:adjustRightInd w:val="0"/>
        <w:snapToGrid w:val="0"/>
        <w:spacing w:before="160" w:line="360" w:lineRule="auto"/>
        <w:rPr>
          <w:sz w:val="24"/>
          <w:szCs w:val="24"/>
        </w:rPr>
      </w:pPr>
      <w:r>
        <w:rPr>
          <w:rFonts w:hint="eastAsia"/>
          <w:sz w:val="24"/>
          <w:szCs w:val="24"/>
        </w:rPr>
        <w:t>10.6.2</w:t>
      </w:r>
      <w:r>
        <w:rPr>
          <w:sz w:val="24"/>
          <w:szCs w:val="24"/>
        </w:rPr>
        <w:t>.</w:t>
      </w:r>
      <w:r>
        <w:rPr>
          <w:rFonts w:hint="eastAsia"/>
          <w:sz w:val="24"/>
          <w:szCs w:val="24"/>
        </w:rPr>
        <w:t xml:space="preserve">2 </w:t>
      </w:r>
      <w:r>
        <w:rPr>
          <w:sz w:val="24"/>
          <w:szCs w:val="24"/>
        </w:rPr>
        <w:t>试验条件</w:t>
      </w:r>
    </w:p>
    <w:p w14:paraId="7C6A338C">
      <w:pPr>
        <w:adjustRightInd w:val="0"/>
        <w:snapToGrid w:val="0"/>
        <w:spacing w:before="160" w:line="360" w:lineRule="auto"/>
        <w:ind w:firstLine="480" w:firstLineChars="200"/>
        <w:rPr>
          <w:sz w:val="24"/>
          <w:szCs w:val="24"/>
        </w:rPr>
      </w:pPr>
      <w:r>
        <w:rPr>
          <w:sz w:val="24"/>
          <w:szCs w:val="24"/>
        </w:rPr>
        <w:t>在额定工作条件下试验。</w:t>
      </w:r>
    </w:p>
    <w:p w14:paraId="1148776D">
      <w:pPr>
        <w:adjustRightInd w:val="0"/>
        <w:snapToGrid w:val="0"/>
        <w:spacing w:before="160" w:line="360" w:lineRule="auto"/>
        <w:rPr>
          <w:sz w:val="24"/>
          <w:szCs w:val="24"/>
        </w:rPr>
      </w:pPr>
      <w:r>
        <w:rPr>
          <w:rFonts w:hint="eastAsia"/>
          <w:sz w:val="24"/>
          <w:szCs w:val="24"/>
        </w:rPr>
        <w:t>10.6.2</w:t>
      </w:r>
      <w:r>
        <w:rPr>
          <w:sz w:val="24"/>
          <w:szCs w:val="24"/>
        </w:rPr>
        <w:t>.</w:t>
      </w:r>
      <w:r>
        <w:rPr>
          <w:rFonts w:hint="eastAsia"/>
          <w:sz w:val="24"/>
          <w:szCs w:val="24"/>
        </w:rPr>
        <w:t xml:space="preserve">3 </w:t>
      </w:r>
      <w:r>
        <w:rPr>
          <w:sz w:val="24"/>
          <w:szCs w:val="24"/>
        </w:rPr>
        <w:t>试验设备</w:t>
      </w:r>
    </w:p>
    <w:p w14:paraId="241A43ED">
      <w:pPr>
        <w:adjustRightInd w:val="0"/>
        <w:snapToGrid w:val="0"/>
        <w:spacing w:before="160" w:line="360" w:lineRule="auto"/>
        <w:ind w:firstLine="480" w:firstLineChars="200"/>
        <w:rPr>
          <w:sz w:val="24"/>
          <w:szCs w:val="24"/>
        </w:rPr>
      </w:pPr>
      <w:r>
        <w:rPr>
          <w:rFonts w:hint="eastAsia"/>
          <w:sz w:val="24"/>
          <w:szCs w:val="24"/>
        </w:rPr>
        <w:t>绝缘强度测试仪。</w:t>
      </w:r>
    </w:p>
    <w:p w14:paraId="1EAC9ED6">
      <w:pPr>
        <w:adjustRightInd w:val="0"/>
        <w:snapToGrid w:val="0"/>
        <w:spacing w:before="160" w:line="360" w:lineRule="auto"/>
        <w:rPr>
          <w:sz w:val="24"/>
          <w:szCs w:val="24"/>
        </w:rPr>
      </w:pPr>
      <w:r>
        <w:rPr>
          <w:rFonts w:hint="eastAsia"/>
          <w:sz w:val="24"/>
          <w:szCs w:val="24"/>
        </w:rPr>
        <w:t>10.6.2</w:t>
      </w:r>
      <w:r>
        <w:rPr>
          <w:sz w:val="24"/>
          <w:szCs w:val="24"/>
        </w:rPr>
        <w:t>.</w:t>
      </w:r>
      <w:r>
        <w:rPr>
          <w:rFonts w:hint="eastAsia"/>
          <w:sz w:val="24"/>
          <w:szCs w:val="24"/>
        </w:rPr>
        <w:t xml:space="preserve">4 </w:t>
      </w:r>
      <w:r>
        <w:rPr>
          <w:sz w:val="24"/>
          <w:szCs w:val="24"/>
        </w:rPr>
        <w:t>试验程序</w:t>
      </w:r>
    </w:p>
    <w:p w14:paraId="5F563302">
      <w:pPr>
        <w:pStyle w:val="114"/>
        <w:snapToGrid w:val="0"/>
        <w:spacing w:before="160" w:line="360" w:lineRule="auto"/>
        <w:ind w:firstLine="480" w:firstLineChars="200"/>
        <w:outlineLvl w:val="9"/>
        <w:rPr>
          <w:rFonts w:eastAsia="宋体"/>
          <w:sz w:val="24"/>
          <w:szCs w:val="24"/>
        </w:rPr>
      </w:pPr>
      <w:r>
        <w:rPr>
          <w:rFonts w:hint="eastAsia" w:eastAsia="宋体"/>
          <w:sz w:val="24"/>
          <w:szCs w:val="24"/>
        </w:rPr>
        <w:t>分别对流量计的电源端子与接地端子、输入输出端子与接地端子之间施加正弦交变试验电压，缓缓上升施加的</w:t>
      </w:r>
      <w:r>
        <w:rPr>
          <w:rFonts w:eastAsia="宋体"/>
          <w:sz w:val="24"/>
          <w:szCs w:val="24"/>
        </w:rPr>
        <w:t>试验电压有效值</w:t>
      </w:r>
      <w:r>
        <w:rPr>
          <w:rFonts w:hint="eastAsia" w:eastAsia="宋体"/>
          <w:sz w:val="24"/>
          <w:szCs w:val="24"/>
        </w:rPr>
        <w:t>至表5给出的值，持续1 min，观察有无击穿或飞弧现象</w:t>
      </w:r>
      <w:r>
        <w:rPr>
          <w:rFonts w:eastAsia="宋体"/>
          <w:sz w:val="24"/>
          <w:szCs w:val="24"/>
        </w:rPr>
        <w:t>。</w:t>
      </w:r>
    </w:p>
    <w:p w14:paraId="08EFC792">
      <w:pPr>
        <w:adjustRightInd w:val="0"/>
        <w:snapToGrid w:val="0"/>
        <w:spacing w:before="160" w:line="360" w:lineRule="auto"/>
        <w:rPr>
          <w:sz w:val="24"/>
          <w:szCs w:val="24"/>
        </w:rPr>
      </w:pPr>
      <w:r>
        <w:rPr>
          <w:rFonts w:hint="eastAsia"/>
          <w:sz w:val="24"/>
          <w:szCs w:val="24"/>
        </w:rPr>
        <w:t>10.6.2</w:t>
      </w:r>
      <w:r>
        <w:rPr>
          <w:sz w:val="24"/>
          <w:szCs w:val="24"/>
        </w:rPr>
        <w:t>.</w:t>
      </w:r>
      <w:r>
        <w:rPr>
          <w:rFonts w:hint="eastAsia"/>
          <w:sz w:val="24"/>
          <w:szCs w:val="24"/>
        </w:rPr>
        <w:t xml:space="preserve">5 </w:t>
      </w:r>
      <w:r>
        <w:rPr>
          <w:sz w:val="24"/>
          <w:szCs w:val="24"/>
        </w:rPr>
        <w:t>合格判据</w:t>
      </w:r>
    </w:p>
    <w:p w14:paraId="71C7D878">
      <w:pPr>
        <w:pStyle w:val="17"/>
        <w:snapToGrid w:val="0"/>
        <w:spacing w:before="160" w:line="360" w:lineRule="auto"/>
        <w:ind w:firstLine="480" w:firstLineChars="200"/>
        <w:rPr>
          <w:szCs w:val="24"/>
        </w:rPr>
      </w:pPr>
      <w:r>
        <w:rPr>
          <w:szCs w:val="24"/>
        </w:rPr>
        <w:t>流量计</w:t>
      </w:r>
      <w:r>
        <w:rPr>
          <w:rFonts w:hint="eastAsia"/>
          <w:szCs w:val="24"/>
        </w:rPr>
        <w:t>各端子之间绝缘强度应</w:t>
      </w:r>
      <w:r>
        <w:rPr>
          <w:szCs w:val="24"/>
        </w:rPr>
        <w:t>符合第</w:t>
      </w:r>
      <w:r>
        <w:rPr>
          <w:rFonts w:hint="eastAsia" w:eastAsia="黑体"/>
          <w:szCs w:val="24"/>
        </w:rPr>
        <w:t>7</w:t>
      </w:r>
      <w:r>
        <w:rPr>
          <w:rFonts w:eastAsia="黑体"/>
          <w:szCs w:val="24"/>
        </w:rPr>
        <w:t>.</w:t>
      </w:r>
      <w:r>
        <w:rPr>
          <w:rFonts w:hint="eastAsia" w:eastAsia="黑体"/>
          <w:szCs w:val="24"/>
        </w:rPr>
        <w:t>5</w:t>
      </w:r>
      <w:r>
        <w:rPr>
          <w:rFonts w:eastAsia="黑体"/>
          <w:szCs w:val="24"/>
        </w:rPr>
        <w:t>.</w:t>
      </w:r>
      <w:r>
        <w:rPr>
          <w:rFonts w:hint="eastAsia" w:eastAsia="黑体"/>
          <w:szCs w:val="24"/>
        </w:rPr>
        <w:t>2</w:t>
      </w:r>
      <w:r>
        <w:rPr>
          <w:rFonts w:hint="eastAsia"/>
          <w:szCs w:val="24"/>
        </w:rPr>
        <w:t>条的</w:t>
      </w:r>
      <w:r>
        <w:rPr>
          <w:szCs w:val="24"/>
        </w:rPr>
        <w:t>要求。</w:t>
      </w:r>
    </w:p>
    <w:bookmarkEnd w:id="316"/>
    <w:bookmarkEnd w:id="317"/>
    <w:bookmarkEnd w:id="318"/>
    <w:bookmarkEnd w:id="319"/>
    <w:bookmarkEnd w:id="320"/>
    <w:p w14:paraId="1AC868C9">
      <w:pPr>
        <w:pStyle w:val="2"/>
        <w:spacing w:before="160" w:after="0" w:line="360" w:lineRule="auto"/>
        <w:rPr>
          <w:b w:val="0"/>
          <w:iCs/>
          <w:color w:val="000000" w:themeColor="text1"/>
          <w:sz w:val="24"/>
          <w:szCs w:val="21"/>
          <w14:textFill>
            <w14:solidFill>
              <w14:schemeClr w14:val="tx1"/>
            </w14:solidFill>
          </w14:textFill>
        </w:rPr>
      </w:pPr>
      <w:bookmarkStart w:id="321" w:name="_Toc221090937"/>
      <w:bookmarkStart w:id="322" w:name="_Toc457808614"/>
      <w:bookmarkStart w:id="323" w:name="_Toc185070223"/>
      <w:bookmarkStart w:id="324" w:name="_Toc457808152"/>
      <w:bookmarkStart w:id="325" w:name="_Toc545"/>
      <w:bookmarkStart w:id="326" w:name="_Toc501210819"/>
      <w:r>
        <w:rPr>
          <w:rFonts w:hint="eastAsia"/>
          <w:b w:val="0"/>
          <w:iCs/>
          <w:color w:val="000000" w:themeColor="text1"/>
          <w:sz w:val="24"/>
          <w:szCs w:val="21"/>
          <w14:textFill>
            <w14:solidFill>
              <w14:schemeClr w14:val="tx1"/>
            </w14:solidFill>
          </w14:textFill>
        </w:rPr>
        <w:t>10.7 贮存环境适应性试验</w:t>
      </w:r>
      <w:bookmarkEnd w:id="321"/>
      <w:bookmarkEnd w:id="322"/>
      <w:bookmarkEnd w:id="323"/>
      <w:bookmarkEnd w:id="324"/>
      <w:bookmarkEnd w:id="325"/>
      <w:bookmarkEnd w:id="326"/>
    </w:p>
    <w:p w14:paraId="15689DCC">
      <w:pPr>
        <w:adjustRightInd w:val="0"/>
        <w:snapToGrid w:val="0"/>
        <w:spacing w:before="160" w:line="360" w:lineRule="auto"/>
        <w:rPr>
          <w:sz w:val="24"/>
          <w:szCs w:val="24"/>
        </w:rPr>
      </w:pPr>
      <w:r>
        <w:rPr>
          <w:rFonts w:hint="eastAsia"/>
          <w:sz w:val="24"/>
          <w:szCs w:val="24"/>
        </w:rPr>
        <w:t xml:space="preserve">10.7.1 </w:t>
      </w:r>
      <w:r>
        <w:rPr>
          <w:sz w:val="24"/>
          <w:szCs w:val="24"/>
        </w:rPr>
        <w:t>试验目的</w:t>
      </w:r>
    </w:p>
    <w:p w14:paraId="697A461E">
      <w:pPr>
        <w:snapToGrid w:val="0"/>
        <w:spacing w:before="160" w:line="360" w:lineRule="auto"/>
        <w:ind w:firstLine="480" w:firstLineChars="200"/>
        <w:rPr>
          <w:sz w:val="24"/>
          <w:szCs w:val="24"/>
        </w:rPr>
      </w:pPr>
      <w:r>
        <w:rPr>
          <w:sz w:val="24"/>
          <w:szCs w:val="24"/>
        </w:rPr>
        <w:t>检验流量计在</w:t>
      </w:r>
      <w:r>
        <w:rPr>
          <w:rFonts w:hint="eastAsia"/>
          <w:sz w:val="24"/>
          <w:szCs w:val="24"/>
        </w:rPr>
        <w:t>低</w:t>
      </w:r>
      <w:r>
        <w:rPr>
          <w:sz w:val="24"/>
          <w:szCs w:val="24"/>
        </w:rPr>
        <w:t>温</w:t>
      </w:r>
      <w:r>
        <w:rPr>
          <w:rFonts w:hint="eastAsia"/>
          <w:sz w:val="24"/>
          <w:szCs w:val="24"/>
        </w:rPr>
        <w:t>、高温、恒定湿热试验后其</w:t>
      </w:r>
      <w:r>
        <w:rPr>
          <w:sz w:val="24"/>
          <w:szCs w:val="24"/>
        </w:rPr>
        <w:t>性能</w:t>
      </w:r>
      <w:r>
        <w:rPr>
          <w:rFonts w:hint="eastAsia"/>
          <w:sz w:val="24"/>
          <w:szCs w:val="24"/>
        </w:rPr>
        <w:t>是否</w:t>
      </w:r>
      <w:r>
        <w:rPr>
          <w:sz w:val="24"/>
          <w:szCs w:val="24"/>
        </w:rPr>
        <w:t>符合</w:t>
      </w:r>
      <w:r>
        <w:rPr>
          <w:rFonts w:hint="eastAsia"/>
          <w:sz w:val="24"/>
          <w:szCs w:val="24"/>
        </w:rPr>
        <w:t>7</w:t>
      </w:r>
      <w:r>
        <w:rPr>
          <w:sz w:val="24"/>
          <w:szCs w:val="24"/>
        </w:rPr>
        <w:t>.</w:t>
      </w:r>
      <w:r>
        <w:rPr>
          <w:rFonts w:hint="eastAsia"/>
          <w:sz w:val="24"/>
          <w:szCs w:val="24"/>
        </w:rPr>
        <w:t>6 的</w:t>
      </w:r>
      <w:r>
        <w:rPr>
          <w:sz w:val="24"/>
          <w:szCs w:val="24"/>
        </w:rPr>
        <w:t>要求。</w:t>
      </w:r>
    </w:p>
    <w:p w14:paraId="12E0D0C8">
      <w:pPr>
        <w:adjustRightInd w:val="0"/>
        <w:snapToGrid w:val="0"/>
        <w:spacing w:before="160" w:line="360" w:lineRule="auto"/>
        <w:rPr>
          <w:sz w:val="24"/>
          <w:szCs w:val="24"/>
        </w:rPr>
      </w:pPr>
      <w:r>
        <w:rPr>
          <w:rFonts w:hint="eastAsia"/>
          <w:sz w:val="24"/>
          <w:szCs w:val="24"/>
        </w:rPr>
        <w:t xml:space="preserve">10.7.2 </w:t>
      </w:r>
      <w:r>
        <w:rPr>
          <w:sz w:val="24"/>
          <w:szCs w:val="24"/>
        </w:rPr>
        <w:t>试验条件</w:t>
      </w:r>
    </w:p>
    <w:p w14:paraId="55B64100">
      <w:pPr>
        <w:adjustRightInd w:val="0"/>
        <w:snapToGrid w:val="0"/>
        <w:spacing w:before="160" w:line="360" w:lineRule="auto"/>
        <w:ind w:firstLine="480" w:firstLineChars="200"/>
        <w:rPr>
          <w:sz w:val="24"/>
          <w:szCs w:val="24"/>
        </w:rPr>
      </w:pPr>
      <w:r>
        <w:rPr>
          <w:rFonts w:hint="eastAsia"/>
          <w:sz w:val="24"/>
          <w:szCs w:val="24"/>
        </w:rPr>
        <w:t>计量性能试验在额定条件下进行。</w:t>
      </w:r>
    </w:p>
    <w:p w14:paraId="4BE88D9E">
      <w:pPr>
        <w:adjustRightInd w:val="0"/>
        <w:snapToGrid w:val="0"/>
        <w:spacing w:before="160" w:line="360" w:lineRule="auto"/>
        <w:rPr>
          <w:sz w:val="24"/>
          <w:szCs w:val="24"/>
        </w:rPr>
      </w:pPr>
      <w:r>
        <w:rPr>
          <w:rFonts w:hint="eastAsia"/>
          <w:sz w:val="24"/>
          <w:szCs w:val="24"/>
        </w:rPr>
        <w:t xml:space="preserve">10.7.3 </w:t>
      </w:r>
      <w:r>
        <w:rPr>
          <w:sz w:val="24"/>
          <w:szCs w:val="24"/>
        </w:rPr>
        <w:t>试验设备</w:t>
      </w:r>
    </w:p>
    <w:p w14:paraId="338DC077">
      <w:pPr>
        <w:snapToGrid w:val="0"/>
        <w:spacing w:before="160" w:line="360" w:lineRule="auto"/>
        <w:ind w:firstLine="480" w:firstLineChars="200"/>
        <w:rPr>
          <w:sz w:val="24"/>
          <w:szCs w:val="24"/>
        </w:rPr>
      </w:pPr>
      <w:r>
        <w:rPr>
          <w:rFonts w:hint="eastAsia"/>
          <w:sz w:val="24"/>
          <w:szCs w:val="24"/>
        </w:rPr>
        <w:t>高低温试验箱、恒定湿热试验箱</w:t>
      </w:r>
      <w:r>
        <w:rPr>
          <w:sz w:val="24"/>
          <w:szCs w:val="24"/>
        </w:rPr>
        <w:t>。</w:t>
      </w:r>
    </w:p>
    <w:p w14:paraId="601D5571">
      <w:pPr>
        <w:adjustRightInd w:val="0"/>
        <w:snapToGrid w:val="0"/>
        <w:spacing w:before="160" w:line="360" w:lineRule="auto"/>
        <w:rPr>
          <w:sz w:val="24"/>
          <w:szCs w:val="24"/>
        </w:rPr>
      </w:pPr>
      <w:r>
        <w:rPr>
          <w:rFonts w:hint="eastAsia"/>
          <w:sz w:val="24"/>
          <w:szCs w:val="24"/>
        </w:rPr>
        <w:t xml:space="preserve">10.7.4  </w:t>
      </w:r>
      <w:r>
        <w:rPr>
          <w:sz w:val="24"/>
          <w:szCs w:val="24"/>
        </w:rPr>
        <w:t>试验程序</w:t>
      </w:r>
    </w:p>
    <w:p w14:paraId="6063C370">
      <w:pPr>
        <w:snapToGrid w:val="0"/>
        <w:spacing w:before="160" w:line="360" w:lineRule="auto"/>
        <w:ind w:firstLine="480" w:firstLineChars="200"/>
        <w:rPr>
          <w:sz w:val="24"/>
          <w:szCs w:val="24"/>
        </w:rPr>
      </w:pPr>
      <w:r>
        <w:rPr>
          <w:rFonts w:hint="eastAsia"/>
          <w:sz w:val="24"/>
          <w:szCs w:val="24"/>
        </w:rPr>
        <w:t>检查流量计功能，记录流量计存贮的数据（如仪表系数、累积流量）。</w:t>
      </w:r>
    </w:p>
    <w:p w14:paraId="6E4D9566">
      <w:pPr>
        <w:adjustRightInd w:val="0"/>
        <w:snapToGrid w:val="0"/>
        <w:spacing w:before="160" w:line="360" w:lineRule="auto"/>
        <w:rPr>
          <w:sz w:val="24"/>
          <w:szCs w:val="24"/>
        </w:rPr>
      </w:pPr>
      <w:r>
        <w:rPr>
          <w:rFonts w:hint="eastAsia"/>
          <w:sz w:val="24"/>
          <w:szCs w:val="24"/>
        </w:rPr>
        <w:t>10.7.4.1  低温试验</w:t>
      </w:r>
    </w:p>
    <w:p w14:paraId="3169519B">
      <w:pPr>
        <w:snapToGrid w:val="0"/>
        <w:spacing w:before="160" w:line="360" w:lineRule="auto"/>
        <w:ind w:firstLine="480" w:firstLineChars="200"/>
        <w:rPr>
          <w:sz w:val="24"/>
          <w:szCs w:val="24"/>
        </w:rPr>
      </w:pPr>
      <w:r>
        <w:rPr>
          <w:rFonts w:hint="eastAsia"/>
          <w:sz w:val="24"/>
          <w:szCs w:val="24"/>
        </w:rPr>
        <w:t>按 GB/T 2423.1“试验Ad”的要求。对流量计进行低温试验，试验参数见表8。</w:t>
      </w:r>
    </w:p>
    <w:p w14:paraId="306C8259">
      <w:pPr>
        <w:snapToGrid w:val="0"/>
        <w:spacing w:before="160" w:line="360" w:lineRule="auto"/>
        <w:jc w:val="center"/>
        <w:rPr>
          <w:sz w:val="24"/>
          <w:szCs w:val="24"/>
        </w:rPr>
      </w:pPr>
      <w:r>
        <w:rPr>
          <w:sz w:val="24"/>
          <w:szCs w:val="24"/>
        </w:rPr>
        <w:t>表8低温试验</w:t>
      </w:r>
    </w:p>
    <w:tbl>
      <w:tblPr>
        <w:tblStyle w:val="38"/>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0"/>
        <w:gridCol w:w="4320"/>
      </w:tblGrid>
      <w:tr w14:paraId="7C487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600" w:type="dxa"/>
            <w:vAlign w:val="center"/>
          </w:tcPr>
          <w:p w14:paraId="4DD15E68">
            <w:pPr>
              <w:snapToGrid w:val="0"/>
              <w:spacing w:before="160" w:line="360" w:lineRule="auto"/>
              <w:jc w:val="center"/>
              <w:rPr>
                <w:szCs w:val="21"/>
              </w:rPr>
            </w:pPr>
            <w:r>
              <w:rPr>
                <w:rFonts w:hint="eastAsia"/>
                <w:szCs w:val="21"/>
              </w:rPr>
              <w:t>试验温度</w:t>
            </w:r>
          </w:p>
        </w:tc>
        <w:tc>
          <w:tcPr>
            <w:tcW w:w="4320" w:type="dxa"/>
            <w:vAlign w:val="center"/>
          </w:tcPr>
          <w:p w14:paraId="741F9FF5">
            <w:pPr>
              <w:snapToGrid w:val="0"/>
              <w:spacing w:before="160" w:line="360" w:lineRule="auto"/>
              <w:jc w:val="center"/>
              <w:rPr>
                <w:szCs w:val="21"/>
              </w:rPr>
            </w:pPr>
            <w:r>
              <w:rPr>
                <w:rFonts w:hint="eastAsia"/>
                <w:szCs w:val="21"/>
              </w:rPr>
              <w:t>-</w:t>
            </w:r>
            <w:r>
              <w:rPr>
                <w:szCs w:val="21"/>
              </w:rPr>
              <w:t>25</w:t>
            </w:r>
            <w:r>
              <w:rPr>
                <w:rFonts w:hint="eastAsia"/>
                <w:szCs w:val="21"/>
              </w:rPr>
              <w:t>℃</w:t>
            </w:r>
          </w:p>
        </w:tc>
      </w:tr>
      <w:tr w14:paraId="2167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600" w:type="dxa"/>
            <w:vAlign w:val="center"/>
          </w:tcPr>
          <w:p w14:paraId="02AD7EA1">
            <w:pPr>
              <w:snapToGrid w:val="0"/>
              <w:spacing w:before="160" w:line="360" w:lineRule="auto"/>
              <w:jc w:val="center"/>
              <w:rPr>
                <w:szCs w:val="21"/>
              </w:rPr>
            </w:pPr>
            <w:r>
              <w:rPr>
                <w:rFonts w:hint="eastAsia"/>
                <w:szCs w:val="21"/>
              </w:rPr>
              <w:t>持续时间</w:t>
            </w:r>
          </w:p>
        </w:tc>
        <w:tc>
          <w:tcPr>
            <w:tcW w:w="4320" w:type="dxa"/>
            <w:vAlign w:val="center"/>
          </w:tcPr>
          <w:p w14:paraId="54DF9BC3">
            <w:pPr>
              <w:snapToGrid w:val="0"/>
              <w:spacing w:before="160" w:line="360" w:lineRule="auto"/>
              <w:jc w:val="center"/>
              <w:rPr>
                <w:szCs w:val="21"/>
              </w:rPr>
            </w:pPr>
            <w:r>
              <w:rPr>
                <w:rFonts w:hint="eastAsia"/>
                <w:szCs w:val="21"/>
              </w:rPr>
              <w:t xml:space="preserve">16 </w:t>
            </w:r>
            <w:r>
              <w:rPr>
                <w:szCs w:val="21"/>
              </w:rPr>
              <w:t>h</w:t>
            </w:r>
          </w:p>
        </w:tc>
      </w:tr>
      <w:tr w14:paraId="21B88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3600" w:type="dxa"/>
            <w:vAlign w:val="center"/>
          </w:tcPr>
          <w:p w14:paraId="16F2CF30">
            <w:pPr>
              <w:snapToGrid w:val="0"/>
              <w:spacing w:before="160" w:line="360" w:lineRule="auto"/>
              <w:jc w:val="center"/>
              <w:rPr>
                <w:szCs w:val="21"/>
              </w:rPr>
            </w:pPr>
            <w:r>
              <w:rPr>
                <w:rFonts w:hint="eastAsia"/>
                <w:szCs w:val="21"/>
              </w:rPr>
              <w:t>恢复时间</w:t>
            </w:r>
          </w:p>
        </w:tc>
        <w:tc>
          <w:tcPr>
            <w:tcW w:w="4320" w:type="dxa"/>
            <w:vAlign w:val="center"/>
          </w:tcPr>
          <w:p w14:paraId="7C033296">
            <w:pPr>
              <w:snapToGrid w:val="0"/>
              <w:spacing w:before="160" w:line="360" w:lineRule="auto"/>
              <w:jc w:val="center"/>
              <w:rPr>
                <w:szCs w:val="21"/>
              </w:rPr>
            </w:pPr>
            <w:r>
              <w:rPr>
                <w:rFonts w:hint="eastAsia"/>
                <w:szCs w:val="21"/>
              </w:rPr>
              <w:t xml:space="preserve">2 </w:t>
            </w:r>
            <w:r>
              <w:rPr>
                <w:szCs w:val="21"/>
              </w:rPr>
              <w:t>h</w:t>
            </w:r>
          </w:p>
        </w:tc>
      </w:tr>
    </w:tbl>
    <w:p w14:paraId="406B56D4">
      <w:pPr>
        <w:snapToGrid w:val="0"/>
        <w:spacing w:before="160" w:line="360" w:lineRule="auto"/>
        <w:ind w:firstLine="315" w:firstLineChars="150"/>
        <w:rPr>
          <w:rFonts w:eastAsia="仿宋"/>
          <w:szCs w:val="21"/>
        </w:rPr>
      </w:pPr>
      <w:r>
        <w:rPr>
          <w:rFonts w:hint="eastAsia" w:eastAsia="仿宋"/>
          <w:szCs w:val="21"/>
        </w:rPr>
        <w:t>注：温度变化应不超过</w:t>
      </w:r>
      <w:r>
        <w:rPr>
          <w:rFonts w:eastAsia="仿宋"/>
          <w:szCs w:val="21"/>
        </w:rPr>
        <w:t>1</w:t>
      </w:r>
      <w:r>
        <w:rPr>
          <w:rFonts w:hint="eastAsia" w:ascii="宋体" w:hAnsi="宋体" w:cs="宋体"/>
          <w:szCs w:val="21"/>
        </w:rPr>
        <w:t>℃</w:t>
      </w:r>
      <w:r>
        <w:rPr>
          <w:rFonts w:eastAsia="仿宋"/>
          <w:szCs w:val="21"/>
        </w:rPr>
        <w:t>/min，</w:t>
      </w:r>
      <w:r>
        <w:rPr>
          <w:rFonts w:hint="eastAsia" w:eastAsia="仿宋"/>
          <w:szCs w:val="21"/>
        </w:rPr>
        <w:t>对空气湿度要求在整个试验期间应避免凝结水。</w:t>
      </w:r>
    </w:p>
    <w:p w14:paraId="70EECB18">
      <w:pPr>
        <w:adjustRightInd w:val="0"/>
        <w:snapToGrid w:val="0"/>
        <w:spacing w:before="160" w:line="360" w:lineRule="auto"/>
        <w:rPr>
          <w:sz w:val="24"/>
          <w:szCs w:val="24"/>
        </w:rPr>
      </w:pPr>
      <w:r>
        <w:rPr>
          <w:rFonts w:hint="eastAsia"/>
          <w:sz w:val="24"/>
          <w:szCs w:val="24"/>
        </w:rPr>
        <w:t>10.7</w:t>
      </w:r>
      <w:r>
        <w:rPr>
          <w:sz w:val="24"/>
          <w:szCs w:val="24"/>
        </w:rPr>
        <w:t>.</w:t>
      </w:r>
      <w:r>
        <w:rPr>
          <w:rFonts w:hint="eastAsia"/>
          <w:sz w:val="24"/>
          <w:szCs w:val="24"/>
        </w:rPr>
        <w:t>4</w:t>
      </w:r>
      <w:r>
        <w:rPr>
          <w:sz w:val="24"/>
          <w:szCs w:val="24"/>
        </w:rPr>
        <w:t>.</w:t>
      </w:r>
      <w:r>
        <w:rPr>
          <w:rFonts w:hint="eastAsia"/>
          <w:sz w:val="24"/>
          <w:szCs w:val="24"/>
        </w:rPr>
        <w:t>2  高温试验</w:t>
      </w:r>
    </w:p>
    <w:p w14:paraId="13F24DE2">
      <w:pPr>
        <w:snapToGrid w:val="0"/>
        <w:spacing w:before="160" w:line="360" w:lineRule="auto"/>
        <w:ind w:firstLine="480" w:firstLineChars="200"/>
        <w:rPr>
          <w:rFonts w:eastAsia="黑体"/>
          <w:szCs w:val="21"/>
        </w:rPr>
      </w:pPr>
      <w:r>
        <w:rPr>
          <w:rFonts w:hint="eastAsia"/>
          <w:sz w:val="24"/>
        </w:rPr>
        <w:t>按 GB/T 2423.2</w:t>
      </w:r>
      <w:r>
        <w:rPr>
          <w:rFonts w:hint="eastAsia"/>
          <w:sz w:val="24"/>
          <w:szCs w:val="24"/>
        </w:rPr>
        <w:t>“试验Bd”</w:t>
      </w:r>
      <w:r>
        <w:rPr>
          <w:rFonts w:hint="eastAsia"/>
          <w:sz w:val="24"/>
        </w:rPr>
        <w:t>的要求。对流量计进行高温试验，试验参数见表9。</w:t>
      </w:r>
    </w:p>
    <w:p w14:paraId="51A29BCF">
      <w:pPr>
        <w:snapToGrid w:val="0"/>
        <w:spacing w:before="160" w:line="360" w:lineRule="auto"/>
        <w:jc w:val="center"/>
        <w:rPr>
          <w:sz w:val="24"/>
          <w:szCs w:val="24"/>
        </w:rPr>
      </w:pPr>
      <w:r>
        <w:rPr>
          <w:rFonts w:hint="eastAsia"/>
          <w:sz w:val="24"/>
          <w:szCs w:val="24"/>
        </w:rPr>
        <w:t>表9高温试验</w:t>
      </w:r>
    </w:p>
    <w:tbl>
      <w:tblPr>
        <w:tblStyle w:val="38"/>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0"/>
        <w:gridCol w:w="4320"/>
      </w:tblGrid>
      <w:tr w14:paraId="09299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600" w:type="dxa"/>
            <w:vAlign w:val="center"/>
          </w:tcPr>
          <w:p w14:paraId="664043B1">
            <w:pPr>
              <w:snapToGrid w:val="0"/>
              <w:spacing w:before="160" w:line="360" w:lineRule="auto"/>
              <w:jc w:val="center"/>
              <w:rPr>
                <w:szCs w:val="21"/>
              </w:rPr>
            </w:pPr>
            <w:r>
              <w:rPr>
                <w:rFonts w:hint="eastAsia"/>
                <w:szCs w:val="21"/>
              </w:rPr>
              <w:t>试验温度</w:t>
            </w:r>
          </w:p>
        </w:tc>
        <w:tc>
          <w:tcPr>
            <w:tcW w:w="4320" w:type="dxa"/>
            <w:vAlign w:val="center"/>
          </w:tcPr>
          <w:p w14:paraId="4A71C1EE">
            <w:pPr>
              <w:snapToGrid w:val="0"/>
              <w:spacing w:before="160" w:line="360" w:lineRule="auto"/>
              <w:jc w:val="center"/>
              <w:rPr>
                <w:szCs w:val="21"/>
              </w:rPr>
            </w:pPr>
            <w:r>
              <w:rPr>
                <w:rFonts w:hint="eastAsia"/>
                <w:szCs w:val="21"/>
              </w:rPr>
              <w:t>＋</w:t>
            </w:r>
            <w:r>
              <w:rPr>
                <w:szCs w:val="21"/>
              </w:rPr>
              <w:t>55</w:t>
            </w:r>
            <w:r>
              <w:rPr>
                <w:rFonts w:hint="eastAsia"/>
                <w:szCs w:val="21"/>
              </w:rPr>
              <w:t>℃</w:t>
            </w:r>
          </w:p>
        </w:tc>
      </w:tr>
      <w:tr w14:paraId="38D3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600" w:type="dxa"/>
            <w:vAlign w:val="center"/>
          </w:tcPr>
          <w:p w14:paraId="1CCA7C66">
            <w:pPr>
              <w:snapToGrid w:val="0"/>
              <w:spacing w:before="160" w:line="360" w:lineRule="auto"/>
              <w:jc w:val="center"/>
              <w:rPr>
                <w:szCs w:val="21"/>
              </w:rPr>
            </w:pPr>
            <w:r>
              <w:rPr>
                <w:rFonts w:hint="eastAsia"/>
                <w:szCs w:val="21"/>
              </w:rPr>
              <w:t>持续时间</w:t>
            </w:r>
          </w:p>
        </w:tc>
        <w:tc>
          <w:tcPr>
            <w:tcW w:w="4320" w:type="dxa"/>
            <w:vAlign w:val="center"/>
          </w:tcPr>
          <w:p w14:paraId="1F130C81">
            <w:pPr>
              <w:snapToGrid w:val="0"/>
              <w:spacing w:before="160" w:line="360" w:lineRule="auto"/>
              <w:jc w:val="center"/>
              <w:rPr>
                <w:szCs w:val="21"/>
              </w:rPr>
            </w:pPr>
            <w:r>
              <w:rPr>
                <w:rFonts w:hint="eastAsia"/>
                <w:szCs w:val="21"/>
              </w:rPr>
              <w:t xml:space="preserve">16 </w:t>
            </w:r>
            <w:r>
              <w:rPr>
                <w:szCs w:val="21"/>
              </w:rPr>
              <w:t>h</w:t>
            </w:r>
          </w:p>
        </w:tc>
      </w:tr>
      <w:tr w14:paraId="1B999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3600" w:type="dxa"/>
            <w:vAlign w:val="center"/>
          </w:tcPr>
          <w:p w14:paraId="231E93DD">
            <w:pPr>
              <w:snapToGrid w:val="0"/>
              <w:spacing w:before="160" w:line="360" w:lineRule="auto"/>
              <w:jc w:val="center"/>
              <w:rPr>
                <w:szCs w:val="21"/>
              </w:rPr>
            </w:pPr>
            <w:r>
              <w:rPr>
                <w:rFonts w:hint="eastAsia"/>
                <w:szCs w:val="21"/>
              </w:rPr>
              <w:t>恢复时间</w:t>
            </w:r>
          </w:p>
        </w:tc>
        <w:tc>
          <w:tcPr>
            <w:tcW w:w="4320" w:type="dxa"/>
            <w:vAlign w:val="center"/>
          </w:tcPr>
          <w:p w14:paraId="671B4100">
            <w:pPr>
              <w:snapToGrid w:val="0"/>
              <w:spacing w:before="160" w:line="360" w:lineRule="auto"/>
              <w:jc w:val="center"/>
              <w:rPr>
                <w:szCs w:val="21"/>
              </w:rPr>
            </w:pPr>
            <w:r>
              <w:rPr>
                <w:rFonts w:hint="eastAsia"/>
                <w:szCs w:val="21"/>
              </w:rPr>
              <w:t xml:space="preserve">2 </w:t>
            </w:r>
            <w:r>
              <w:rPr>
                <w:szCs w:val="21"/>
              </w:rPr>
              <w:t>h</w:t>
            </w:r>
          </w:p>
        </w:tc>
      </w:tr>
    </w:tbl>
    <w:p w14:paraId="6DDA94F3">
      <w:pPr>
        <w:snapToGrid w:val="0"/>
        <w:spacing w:before="160" w:line="360" w:lineRule="auto"/>
        <w:ind w:firstLine="315" w:firstLineChars="150"/>
        <w:rPr>
          <w:sz w:val="24"/>
          <w:szCs w:val="24"/>
        </w:rPr>
      </w:pPr>
      <w:r>
        <w:rPr>
          <w:rFonts w:hint="eastAsia" w:eastAsia="仿宋"/>
          <w:szCs w:val="21"/>
        </w:rPr>
        <w:t>注：温度变化应不超过1℃/min，对空气湿度要求在整个试验期间应避免凝结水。</w:t>
      </w:r>
    </w:p>
    <w:p w14:paraId="759125B6">
      <w:pPr>
        <w:adjustRightInd w:val="0"/>
        <w:snapToGrid w:val="0"/>
        <w:spacing w:before="160" w:line="360" w:lineRule="auto"/>
        <w:rPr>
          <w:sz w:val="24"/>
          <w:szCs w:val="24"/>
        </w:rPr>
      </w:pPr>
      <w:r>
        <w:rPr>
          <w:rFonts w:hint="eastAsia"/>
          <w:sz w:val="24"/>
          <w:szCs w:val="24"/>
        </w:rPr>
        <w:t>10.7.4</w:t>
      </w:r>
      <w:r>
        <w:rPr>
          <w:sz w:val="24"/>
          <w:szCs w:val="24"/>
        </w:rPr>
        <w:t>.</w:t>
      </w:r>
      <w:r>
        <w:rPr>
          <w:rFonts w:hint="eastAsia"/>
          <w:sz w:val="24"/>
          <w:szCs w:val="24"/>
        </w:rPr>
        <w:t>3  恒定湿热试验</w:t>
      </w:r>
    </w:p>
    <w:p w14:paraId="5C60A5A3">
      <w:pPr>
        <w:snapToGrid w:val="0"/>
        <w:spacing w:before="160" w:line="360" w:lineRule="auto"/>
        <w:ind w:firstLine="480" w:firstLineChars="200"/>
        <w:rPr>
          <w:sz w:val="24"/>
        </w:rPr>
      </w:pPr>
      <w:r>
        <w:rPr>
          <w:rFonts w:hint="eastAsia"/>
          <w:sz w:val="24"/>
        </w:rPr>
        <w:t>按 GB/T 2423.3</w:t>
      </w:r>
      <w:r>
        <w:rPr>
          <w:rFonts w:hint="eastAsia"/>
          <w:sz w:val="24"/>
          <w:szCs w:val="24"/>
        </w:rPr>
        <w:t>“试验Cab”</w:t>
      </w:r>
      <w:r>
        <w:rPr>
          <w:rFonts w:hint="eastAsia"/>
          <w:sz w:val="24"/>
        </w:rPr>
        <w:t>的要求。对流量计进行恒定湿热试验，试验参数见表10。</w:t>
      </w:r>
    </w:p>
    <w:p w14:paraId="02BF3510">
      <w:pPr>
        <w:snapToGrid w:val="0"/>
        <w:spacing w:before="160" w:line="360" w:lineRule="auto"/>
        <w:jc w:val="center"/>
        <w:rPr>
          <w:sz w:val="24"/>
          <w:szCs w:val="24"/>
        </w:rPr>
      </w:pPr>
      <w:r>
        <w:rPr>
          <w:rFonts w:hint="eastAsia"/>
          <w:sz w:val="24"/>
          <w:szCs w:val="24"/>
        </w:rPr>
        <w:t>表10 恒定湿热试验</w:t>
      </w:r>
    </w:p>
    <w:tbl>
      <w:tblPr>
        <w:tblStyle w:val="38"/>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0"/>
        <w:gridCol w:w="4320"/>
      </w:tblGrid>
      <w:tr w14:paraId="1F51D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0" w:type="dxa"/>
            <w:vAlign w:val="center"/>
          </w:tcPr>
          <w:p w14:paraId="7C6347ED">
            <w:pPr>
              <w:snapToGrid w:val="0"/>
              <w:spacing w:before="160" w:line="360" w:lineRule="auto"/>
              <w:jc w:val="center"/>
              <w:textAlignment w:val="center"/>
              <w:rPr>
                <w:szCs w:val="21"/>
              </w:rPr>
            </w:pPr>
            <w:r>
              <w:rPr>
                <w:rFonts w:hint="eastAsia"/>
                <w:szCs w:val="21"/>
              </w:rPr>
              <w:t>试验温度</w:t>
            </w:r>
          </w:p>
        </w:tc>
        <w:tc>
          <w:tcPr>
            <w:tcW w:w="4320" w:type="dxa"/>
            <w:vAlign w:val="center"/>
          </w:tcPr>
          <w:p w14:paraId="07CB5A3F">
            <w:pPr>
              <w:snapToGrid w:val="0"/>
              <w:spacing w:before="160" w:line="360" w:lineRule="auto"/>
              <w:jc w:val="center"/>
              <w:textAlignment w:val="center"/>
              <w:rPr>
                <w:szCs w:val="21"/>
              </w:rPr>
            </w:pPr>
            <w:r>
              <w:rPr>
                <w:rFonts w:hint="eastAsia"/>
                <w:szCs w:val="21"/>
              </w:rPr>
              <w:t>(40±2)℃</w:t>
            </w:r>
          </w:p>
        </w:tc>
      </w:tr>
      <w:tr w14:paraId="4E970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0" w:type="dxa"/>
            <w:vAlign w:val="center"/>
          </w:tcPr>
          <w:p w14:paraId="210F85AB">
            <w:pPr>
              <w:snapToGrid w:val="0"/>
              <w:spacing w:before="160" w:line="360" w:lineRule="auto"/>
              <w:jc w:val="center"/>
              <w:textAlignment w:val="center"/>
              <w:rPr>
                <w:szCs w:val="21"/>
              </w:rPr>
            </w:pPr>
            <w:r>
              <w:rPr>
                <w:rFonts w:hint="eastAsia"/>
                <w:szCs w:val="21"/>
              </w:rPr>
              <w:t>相对湿度</w:t>
            </w:r>
          </w:p>
        </w:tc>
        <w:tc>
          <w:tcPr>
            <w:tcW w:w="4320" w:type="dxa"/>
            <w:vAlign w:val="center"/>
          </w:tcPr>
          <w:p w14:paraId="6B87AA24">
            <w:pPr>
              <w:snapToGrid w:val="0"/>
              <w:spacing w:before="160" w:line="360" w:lineRule="auto"/>
              <w:jc w:val="center"/>
              <w:textAlignment w:val="center"/>
              <w:rPr>
                <w:szCs w:val="21"/>
              </w:rPr>
            </w:pPr>
            <w:r>
              <w:rPr>
                <w:rFonts w:hint="eastAsia"/>
                <w:szCs w:val="21"/>
              </w:rPr>
              <w:t>(93±3)%</w:t>
            </w:r>
          </w:p>
        </w:tc>
      </w:tr>
      <w:tr w14:paraId="1F697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0" w:type="dxa"/>
            <w:vAlign w:val="center"/>
          </w:tcPr>
          <w:p w14:paraId="135B59EA">
            <w:pPr>
              <w:snapToGrid w:val="0"/>
              <w:spacing w:before="160" w:line="360" w:lineRule="auto"/>
              <w:jc w:val="center"/>
              <w:textAlignment w:val="center"/>
              <w:rPr>
                <w:szCs w:val="21"/>
              </w:rPr>
            </w:pPr>
            <w:r>
              <w:rPr>
                <w:rFonts w:hint="eastAsia"/>
                <w:szCs w:val="21"/>
              </w:rPr>
              <w:t>持续时间</w:t>
            </w:r>
          </w:p>
        </w:tc>
        <w:tc>
          <w:tcPr>
            <w:tcW w:w="4320" w:type="dxa"/>
            <w:vAlign w:val="center"/>
          </w:tcPr>
          <w:p w14:paraId="32952998">
            <w:pPr>
              <w:snapToGrid w:val="0"/>
              <w:spacing w:before="160" w:line="360" w:lineRule="auto"/>
              <w:jc w:val="center"/>
              <w:textAlignment w:val="center"/>
              <w:rPr>
                <w:szCs w:val="21"/>
              </w:rPr>
            </w:pPr>
            <w:r>
              <w:rPr>
                <w:rFonts w:hint="eastAsia"/>
                <w:szCs w:val="21"/>
              </w:rPr>
              <w:t>2d</w:t>
            </w:r>
          </w:p>
        </w:tc>
      </w:tr>
      <w:tr w14:paraId="07E3E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600" w:type="dxa"/>
            <w:vAlign w:val="center"/>
          </w:tcPr>
          <w:p w14:paraId="2D5D09BA">
            <w:pPr>
              <w:snapToGrid w:val="0"/>
              <w:spacing w:before="160" w:line="360" w:lineRule="auto"/>
              <w:jc w:val="center"/>
              <w:textAlignment w:val="center"/>
              <w:rPr>
                <w:szCs w:val="21"/>
              </w:rPr>
            </w:pPr>
            <w:r>
              <w:rPr>
                <w:rFonts w:hint="eastAsia"/>
                <w:szCs w:val="21"/>
              </w:rPr>
              <w:t>恢复时间</w:t>
            </w:r>
          </w:p>
        </w:tc>
        <w:tc>
          <w:tcPr>
            <w:tcW w:w="4320" w:type="dxa"/>
            <w:vAlign w:val="center"/>
          </w:tcPr>
          <w:p w14:paraId="654AF69D">
            <w:pPr>
              <w:snapToGrid w:val="0"/>
              <w:spacing w:before="160" w:line="360" w:lineRule="auto"/>
              <w:jc w:val="center"/>
              <w:textAlignment w:val="center"/>
              <w:rPr>
                <w:szCs w:val="21"/>
              </w:rPr>
            </w:pPr>
            <w:r>
              <w:rPr>
                <w:rFonts w:hint="eastAsia"/>
                <w:szCs w:val="21"/>
              </w:rPr>
              <w:t>2</w:t>
            </w:r>
            <w:r>
              <w:rPr>
                <w:szCs w:val="21"/>
              </w:rPr>
              <w:t>h</w:t>
            </w:r>
          </w:p>
        </w:tc>
      </w:tr>
    </w:tbl>
    <w:p w14:paraId="4C45CDB0">
      <w:pPr>
        <w:adjustRightInd w:val="0"/>
        <w:snapToGrid w:val="0"/>
        <w:spacing w:before="160" w:line="360" w:lineRule="auto"/>
        <w:rPr>
          <w:sz w:val="24"/>
          <w:szCs w:val="24"/>
        </w:rPr>
      </w:pPr>
      <w:r>
        <w:rPr>
          <w:rFonts w:hint="eastAsia"/>
          <w:sz w:val="24"/>
          <w:szCs w:val="24"/>
        </w:rPr>
        <w:t>10.7.4.4  机械环境性能试验</w:t>
      </w:r>
    </w:p>
    <w:p w14:paraId="2CF0A691">
      <w:pPr>
        <w:spacing w:before="160" w:line="360" w:lineRule="auto"/>
        <w:rPr>
          <w:sz w:val="24"/>
          <w:szCs w:val="22"/>
        </w:rPr>
      </w:pPr>
      <w:r>
        <w:rPr>
          <w:rFonts w:hint="eastAsia"/>
          <w:sz w:val="24"/>
          <w:szCs w:val="22"/>
        </w:rPr>
        <w:t>（1）机械冲击测试</w:t>
      </w:r>
    </w:p>
    <w:p w14:paraId="2732C30C">
      <w:pPr>
        <w:spacing w:before="160" w:line="360" w:lineRule="auto"/>
        <w:ind w:firstLine="480" w:firstLineChars="200"/>
        <w:rPr>
          <w:sz w:val="24"/>
          <w:szCs w:val="22"/>
        </w:rPr>
      </w:pPr>
      <w:r>
        <w:rPr>
          <w:rFonts w:hint="eastAsia"/>
          <w:sz w:val="24"/>
          <w:szCs w:val="22"/>
        </w:rPr>
        <w:t>流量计以常规的运输包装件状态放置在刚性平面上，跌落高度为50mm，底面与试验面之间的夹角不应超过30°。</w:t>
      </w:r>
    </w:p>
    <w:p w14:paraId="617169F1">
      <w:pPr>
        <w:spacing w:before="160" w:line="360" w:lineRule="auto"/>
        <w:rPr>
          <w:sz w:val="24"/>
          <w:szCs w:val="22"/>
        </w:rPr>
      </w:pPr>
      <w:bookmarkStart w:id="327" w:name="_Toc400799295"/>
      <w:r>
        <w:rPr>
          <w:rFonts w:hint="eastAsia"/>
          <w:sz w:val="24"/>
          <w:szCs w:val="22"/>
        </w:rPr>
        <w:t>（2）振动试验</w:t>
      </w:r>
    </w:p>
    <w:p w14:paraId="56FA206F">
      <w:pPr>
        <w:spacing w:before="160" w:line="360" w:lineRule="auto"/>
        <w:ind w:firstLine="480" w:firstLineChars="200"/>
        <w:rPr>
          <w:sz w:val="24"/>
          <w:szCs w:val="22"/>
        </w:rPr>
      </w:pPr>
      <w:r>
        <w:rPr>
          <w:sz w:val="24"/>
          <w:szCs w:val="22"/>
        </w:rPr>
        <w:t>按GB/T2423.10“试验Fc”进行正弦波振动试验。试验参数按表1</w:t>
      </w:r>
      <w:r>
        <w:rPr>
          <w:rFonts w:hint="eastAsia"/>
          <w:sz w:val="24"/>
          <w:szCs w:val="22"/>
        </w:rPr>
        <w:t>1</w:t>
      </w:r>
      <w:r>
        <w:rPr>
          <w:sz w:val="24"/>
          <w:szCs w:val="22"/>
        </w:rPr>
        <w:t>。</w:t>
      </w:r>
      <w:bookmarkEnd w:id="327"/>
    </w:p>
    <w:p w14:paraId="54BB3304">
      <w:pPr>
        <w:snapToGrid w:val="0"/>
        <w:spacing w:before="160" w:line="360" w:lineRule="auto"/>
        <w:jc w:val="center"/>
        <w:rPr>
          <w:sz w:val="24"/>
          <w:szCs w:val="24"/>
        </w:rPr>
      </w:pPr>
      <w:r>
        <w:rPr>
          <w:rFonts w:hint="eastAsia"/>
          <w:sz w:val="24"/>
          <w:szCs w:val="24"/>
        </w:rPr>
        <w:t>表11 振动试验</w:t>
      </w:r>
    </w:p>
    <w:tbl>
      <w:tblPr>
        <w:tblStyle w:val="38"/>
        <w:tblW w:w="0" w:type="auto"/>
        <w:jc w:val="center"/>
        <w:tblLayout w:type="fixed"/>
        <w:tblCellMar>
          <w:top w:w="0" w:type="dxa"/>
          <w:left w:w="108" w:type="dxa"/>
          <w:bottom w:w="0" w:type="dxa"/>
          <w:right w:w="108" w:type="dxa"/>
        </w:tblCellMar>
      </w:tblPr>
      <w:tblGrid>
        <w:gridCol w:w="3580"/>
        <w:gridCol w:w="3581"/>
      </w:tblGrid>
      <w:tr w14:paraId="485F2644">
        <w:tblPrEx>
          <w:tblCellMar>
            <w:top w:w="0" w:type="dxa"/>
            <w:left w:w="108" w:type="dxa"/>
            <w:bottom w:w="0" w:type="dxa"/>
            <w:right w:w="108" w:type="dxa"/>
          </w:tblCellMar>
        </w:tblPrEx>
        <w:trPr>
          <w:jc w:val="center"/>
        </w:trPr>
        <w:tc>
          <w:tcPr>
            <w:tcW w:w="3580" w:type="dxa"/>
            <w:tcBorders>
              <w:top w:val="single" w:color="auto" w:sz="6" w:space="0"/>
              <w:left w:val="single" w:color="auto" w:sz="6" w:space="0"/>
              <w:bottom w:val="single" w:color="auto" w:sz="6" w:space="0"/>
              <w:right w:val="single" w:color="auto" w:sz="6" w:space="0"/>
            </w:tcBorders>
            <w:vAlign w:val="bottom"/>
          </w:tcPr>
          <w:p w14:paraId="2CA1017D">
            <w:pPr>
              <w:snapToGrid w:val="0"/>
              <w:spacing w:before="160" w:line="360" w:lineRule="auto"/>
              <w:jc w:val="center"/>
              <w:textAlignment w:val="center"/>
              <w:rPr>
                <w:szCs w:val="21"/>
              </w:rPr>
            </w:pPr>
            <w:r>
              <w:rPr>
                <w:rFonts w:hint="eastAsia"/>
                <w:szCs w:val="21"/>
              </w:rPr>
              <w:t>频率范围</w:t>
            </w:r>
          </w:p>
        </w:tc>
        <w:tc>
          <w:tcPr>
            <w:tcW w:w="3581" w:type="dxa"/>
            <w:tcBorders>
              <w:top w:val="single" w:color="auto" w:sz="6" w:space="0"/>
              <w:left w:val="single" w:color="auto" w:sz="6" w:space="0"/>
              <w:bottom w:val="single" w:color="auto" w:sz="6" w:space="0"/>
              <w:right w:val="single" w:color="auto" w:sz="6" w:space="0"/>
            </w:tcBorders>
            <w:vAlign w:val="bottom"/>
          </w:tcPr>
          <w:p w14:paraId="37C2D481">
            <w:pPr>
              <w:snapToGrid w:val="0"/>
              <w:spacing w:before="160" w:line="360" w:lineRule="auto"/>
              <w:jc w:val="center"/>
              <w:textAlignment w:val="center"/>
              <w:rPr>
                <w:szCs w:val="21"/>
              </w:rPr>
            </w:pPr>
            <w:r>
              <w:rPr>
                <w:rFonts w:hint="eastAsia"/>
                <w:szCs w:val="21"/>
              </w:rPr>
              <w:t>（1～100）Hz</w:t>
            </w:r>
          </w:p>
        </w:tc>
      </w:tr>
      <w:tr w14:paraId="3685D775">
        <w:tblPrEx>
          <w:tblCellMar>
            <w:top w:w="0" w:type="dxa"/>
            <w:left w:w="108" w:type="dxa"/>
            <w:bottom w:w="0" w:type="dxa"/>
            <w:right w:w="108" w:type="dxa"/>
          </w:tblCellMar>
        </w:tblPrEx>
        <w:trPr>
          <w:jc w:val="center"/>
        </w:trPr>
        <w:tc>
          <w:tcPr>
            <w:tcW w:w="3580" w:type="dxa"/>
            <w:tcBorders>
              <w:top w:val="single" w:color="auto" w:sz="6" w:space="0"/>
              <w:left w:val="single" w:color="auto" w:sz="6" w:space="0"/>
              <w:bottom w:val="single" w:color="auto" w:sz="6" w:space="0"/>
              <w:right w:val="single" w:color="auto" w:sz="6" w:space="0"/>
            </w:tcBorders>
            <w:vAlign w:val="bottom"/>
          </w:tcPr>
          <w:p w14:paraId="054BCA89">
            <w:pPr>
              <w:snapToGrid w:val="0"/>
              <w:spacing w:before="160" w:line="360" w:lineRule="auto"/>
              <w:jc w:val="center"/>
              <w:textAlignment w:val="center"/>
              <w:rPr>
                <w:szCs w:val="21"/>
              </w:rPr>
            </w:pPr>
            <w:r>
              <w:rPr>
                <w:rFonts w:hint="eastAsia"/>
                <w:szCs w:val="21"/>
              </w:rPr>
              <w:t>振动幅度</w:t>
            </w:r>
          </w:p>
        </w:tc>
        <w:tc>
          <w:tcPr>
            <w:tcW w:w="3581" w:type="dxa"/>
            <w:tcBorders>
              <w:top w:val="single" w:color="auto" w:sz="6" w:space="0"/>
              <w:left w:val="single" w:color="auto" w:sz="6" w:space="0"/>
              <w:bottom w:val="single" w:color="auto" w:sz="6" w:space="0"/>
              <w:right w:val="single" w:color="auto" w:sz="6" w:space="0"/>
            </w:tcBorders>
            <w:vAlign w:val="bottom"/>
          </w:tcPr>
          <w:p w14:paraId="47A5965A">
            <w:pPr>
              <w:snapToGrid w:val="0"/>
              <w:spacing w:before="160" w:line="360" w:lineRule="auto"/>
              <w:jc w:val="center"/>
              <w:textAlignment w:val="center"/>
              <w:rPr>
                <w:szCs w:val="21"/>
              </w:rPr>
            </w:pPr>
            <w:r>
              <w:rPr>
                <w:rFonts w:hint="eastAsia"/>
                <w:szCs w:val="21"/>
              </w:rPr>
              <w:t>0.75 mm</w:t>
            </w:r>
          </w:p>
        </w:tc>
      </w:tr>
      <w:tr w14:paraId="0E60A230">
        <w:tblPrEx>
          <w:tblCellMar>
            <w:top w:w="0" w:type="dxa"/>
            <w:left w:w="108" w:type="dxa"/>
            <w:bottom w:w="0" w:type="dxa"/>
            <w:right w:w="108" w:type="dxa"/>
          </w:tblCellMar>
        </w:tblPrEx>
        <w:trPr>
          <w:jc w:val="center"/>
        </w:trPr>
        <w:tc>
          <w:tcPr>
            <w:tcW w:w="3580" w:type="dxa"/>
            <w:tcBorders>
              <w:top w:val="single" w:color="auto" w:sz="6" w:space="0"/>
              <w:left w:val="single" w:color="auto" w:sz="6" w:space="0"/>
              <w:bottom w:val="single" w:color="auto" w:sz="6" w:space="0"/>
              <w:right w:val="single" w:color="auto" w:sz="6" w:space="0"/>
            </w:tcBorders>
            <w:vAlign w:val="bottom"/>
          </w:tcPr>
          <w:p w14:paraId="47A77866">
            <w:pPr>
              <w:snapToGrid w:val="0"/>
              <w:spacing w:before="160" w:line="360" w:lineRule="auto"/>
              <w:jc w:val="center"/>
              <w:textAlignment w:val="center"/>
              <w:rPr>
                <w:szCs w:val="21"/>
              </w:rPr>
            </w:pPr>
            <w:r>
              <w:rPr>
                <w:rFonts w:hint="eastAsia"/>
                <w:szCs w:val="21"/>
              </w:rPr>
              <w:t>持续时间</w:t>
            </w:r>
          </w:p>
        </w:tc>
        <w:tc>
          <w:tcPr>
            <w:tcW w:w="3581" w:type="dxa"/>
            <w:tcBorders>
              <w:top w:val="single" w:color="auto" w:sz="6" w:space="0"/>
              <w:left w:val="single" w:color="auto" w:sz="6" w:space="0"/>
              <w:bottom w:val="single" w:color="auto" w:sz="6" w:space="0"/>
              <w:right w:val="single" w:color="auto" w:sz="6" w:space="0"/>
            </w:tcBorders>
            <w:vAlign w:val="bottom"/>
          </w:tcPr>
          <w:p w14:paraId="7EC2B32C">
            <w:pPr>
              <w:snapToGrid w:val="0"/>
              <w:spacing w:before="160" w:line="360" w:lineRule="auto"/>
              <w:jc w:val="center"/>
              <w:textAlignment w:val="center"/>
              <w:rPr>
                <w:szCs w:val="21"/>
              </w:rPr>
            </w:pPr>
            <w:r>
              <w:rPr>
                <w:rFonts w:hint="eastAsia"/>
                <w:szCs w:val="21"/>
              </w:rPr>
              <w:t>每个轴向各1 h</w:t>
            </w:r>
          </w:p>
        </w:tc>
      </w:tr>
    </w:tbl>
    <w:p w14:paraId="2C3AC103">
      <w:pPr>
        <w:adjustRightInd w:val="0"/>
        <w:snapToGrid w:val="0"/>
        <w:spacing w:before="160" w:line="360" w:lineRule="auto"/>
        <w:rPr>
          <w:sz w:val="24"/>
          <w:szCs w:val="24"/>
        </w:rPr>
      </w:pPr>
      <w:r>
        <w:rPr>
          <w:rFonts w:hint="eastAsia"/>
          <w:sz w:val="24"/>
          <w:szCs w:val="24"/>
        </w:rPr>
        <w:t>10.7.4</w:t>
      </w:r>
      <w:r>
        <w:rPr>
          <w:sz w:val="24"/>
          <w:szCs w:val="24"/>
        </w:rPr>
        <w:t>.</w:t>
      </w:r>
      <w:r>
        <w:rPr>
          <w:rFonts w:hint="eastAsia"/>
          <w:sz w:val="24"/>
          <w:szCs w:val="24"/>
        </w:rPr>
        <w:t>5 功能和计量性能复测</w:t>
      </w:r>
    </w:p>
    <w:p w14:paraId="650B650E">
      <w:pPr>
        <w:spacing w:before="160" w:line="360" w:lineRule="auto"/>
        <w:ind w:firstLine="480" w:firstLineChars="200"/>
        <w:rPr>
          <w:sz w:val="24"/>
          <w:szCs w:val="24"/>
        </w:rPr>
      </w:pPr>
      <w:r>
        <w:rPr>
          <w:rFonts w:hint="eastAsia"/>
          <w:sz w:val="24"/>
          <w:szCs w:val="24"/>
        </w:rPr>
        <w:t>a）试验后检查流量计功能是否正常，检查流量计存贮的数据（如仪表系数、累积流量）是否保持不变。</w:t>
      </w:r>
    </w:p>
    <w:p w14:paraId="0130C98B">
      <w:pPr>
        <w:spacing w:before="160" w:line="360" w:lineRule="auto"/>
        <w:ind w:firstLine="480" w:firstLineChars="200"/>
        <w:rPr>
          <w:sz w:val="24"/>
          <w:szCs w:val="24"/>
        </w:rPr>
      </w:pPr>
      <w:r>
        <w:rPr>
          <w:rFonts w:hint="eastAsia"/>
          <w:sz w:val="24"/>
          <w:szCs w:val="24"/>
        </w:rPr>
        <w:t>b）按7</w:t>
      </w:r>
      <w:r>
        <w:rPr>
          <w:sz w:val="24"/>
          <w:szCs w:val="24"/>
        </w:rPr>
        <w:t>.</w:t>
      </w:r>
      <w:r>
        <w:rPr>
          <w:rFonts w:hint="eastAsia"/>
          <w:sz w:val="24"/>
          <w:szCs w:val="24"/>
        </w:rPr>
        <w:t>6的</w:t>
      </w:r>
      <w:r>
        <w:rPr>
          <w:sz w:val="24"/>
          <w:szCs w:val="24"/>
        </w:rPr>
        <w:t>要求</w:t>
      </w:r>
      <w:r>
        <w:rPr>
          <w:rFonts w:hint="eastAsia"/>
          <w:sz w:val="24"/>
          <w:szCs w:val="24"/>
        </w:rPr>
        <w:t>采用 10</w:t>
      </w:r>
      <w:r>
        <w:rPr>
          <w:sz w:val="24"/>
          <w:szCs w:val="24"/>
        </w:rPr>
        <w:t>.</w:t>
      </w:r>
      <w:r>
        <w:rPr>
          <w:rFonts w:hint="eastAsia"/>
          <w:sz w:val="24"/>
          <w:szCs w:val="24"/>
        </w:rPr>
        <w:t>2</w:t>
      </w:r>
      <w:r>
        <w:rPr>
          <w:sz w:val="24"/>
          <w:szCs w:val="24"/>
        </w:rPr>
        <w:t>.</w:t>
      </w:r>
      <w:r>
        <w:rPr>
          <w:rFonts w:hint="eastAsia"/>
          <w:sz w:val="24"/>
          <w:szCs w:val="24"/>
        </w:rPr>
        <w:t>1</w:t>
      </w:r>
      <w:r>
        <w:rPr>
          <w:sz w:val="24"/>
          <w:szCs w:val="24"/>
        </w:rPr>
        <w:t>.</w:t>
      </w:r>
      <w:r>
        <w:rPr>
          <w:rFonts w:hint="eastAsia"/>
          <w:sz w:val="24"/>
          <w:szCs w:val="24"/>
        </w:rPr>
        <w:t>4、10</w:t>
      </w:r>
      <w:r>
        <w:rPr>
          <w:sz w:val="24"/>
          <w:szCs w:val="24"/>
        </w:rPr>
        <w:t>.</w:t>
      </w:r>
      <w:r>
        <w:rPr>
          <w:rFonts w:hint="eastAsia"/>
          <w:sz w:val="24"/>
          <w:szCs w:val="24"/>
        </w:rPr>
        <w:t>2</w:t>
      </w:r>
      <w:r>
        <w:rPr>
          <w:sz w:val="24"/>
          <w:szCs w:val="24"/>
        </w:rPr>
        <w:t>.</w:t>
      </w:r>
      <w:r>
        <w:rPr>
          <w:rFonts w:hint="eastAsia"/>
          <w:sz w:val="24"/>
          <w:szCs w:val="24"/>
        </w:rPr>
        <w:t>1</w:t>
      </w:r>
      <w:r>
        <w:rPr>
          <w:sz w:val="24"/>
          <w:szCs w:val="24"/>
        </w:rPr>
        <w:t>.</w:t>
      </w:r>
      <w:r>
        <w:rPr>
          <w:rFonts w:hint="eastAsia"/>
          <w:sz w:val="24"/>
          <w:szCs w:val="24"/>
        </w:rPr>
        <w:t>5 相同的方法进行示值误差试验。</w:t>
      </w:r>
    </w:p>
    <w:p w14:paraId="47B08BD9">
      <w:pPr>
        <w:adjustRightInd w:val="0"/>
        <w:snapToGrid w:val="0"/>
        <w:spacing w:before="160" w:line="360" w:lineRule="auto"/>
        <w:rPr>
          <w:sz w:val="24"/>
          <w:szCs w:val="24"/>
        </w:rPr>
      </w:pPr>
      <w:r>
        <w:rPr>
          <w:rFonts w:hint="eastAsia"/>
          <w:sz w:val="24"/>
          <w:szCs w:val="24"/>
        </w:rPr>
        <w:t xml:space="preserve">10.7.4.6 </w:t>
      </w:r>
      <w:r>
        <w:rPr>
          <w:sz w:val="24"/>
          <w:szCs w:val="24"/>
        </w:rPr>
        <w:t>合格判据</w:t>
      </w:r>
    </w:p>
    <w:p w14:paraId="5AF1E012">
      <w:pPr>
        <w:spacing w:before="160" w:line="360" w:lineRule="auto"/>
        <w:ind w:firstLine="480" w:firstLineChars="200"/>
        <w:rPr>
          <w:sz w:val="24"/>
          <w:szCs w:val="24"/>
        </w:rPr>
      </w:pPr>
      <w:r>
        <w:rPr>
          <w:sz w:val="24"/>
          <w:szCs w:val="24"/>
        </w:rPr>
        <w:t>检验流量计在</w:t>
      </w:r>
      <w:r>
        <w:rPr>
          <w:rFonts w:hint="eastAsia"/>
          <w:sz w:val="24"/>
          <w:szCs w:val="24"/>
        </w:rPr>
        <w:t>贮存环境适应性试验后复测的</w:t>
      </w:r>
      <w:r>
        <w:rPr>
          <w:sz w:val="24"/>
          <w:szCs w:val="24"/>
        </w:rPr>
        <w:t>性能</w:t>
      </w:r>
      <w:r>
        <w:rPr>
          <w:rFonts w:hint="eastAsia"/>
          <w:sz w:val="24"/>
          <w:szCs w:val="24"/>
        </w:rPr>
        <w:t>应</w:t>
      </w:r>
      <w:r>
        <w:rPr>
          <w:sz w:val="24"/>
          <w:szCs w:val="24"/>
        </w:rPr>
        <w:t>符合</w:t>
      </w:r>
      <w:r>
        <w:rPr>
          <w:rFonts w:hint="eastAsia"/>
          <w:sz w:val="24"/>
          <w:szCs w:val="24"/>
        </w:rPr>
        <w:t>7</w:t>
      </w:r>
      <w:r>
        <w:rPr>
          <w:sz w:val="24"/>
          <w:szCs w:val="24"/>
        </w:rPr>
        <w:t>.</w:t>
      </w:r>
      <w:r>
        <w:rPr>
          <w:rFonts w:hint="eastAsia"/>
          <w:sz w:val="24"/>
          <w:szCs w:val="24"/>
        </w:rPr>
        <w:t>6的</w:t>
      </w:r>
      <w:r>
        <w:rPr>
          <w:sz w:val="24"/>
          <w:szCs w:val="24"/>
        </w:rPr>
        <w:t>要求</w:t>
      </w:r>
      <w:r>
        <w:rPr>
          <w:rFonts w:hint="eastAsia"/>
          <w:sz w:val="24"/>
          <w:szCs w:val="24"/>
        </w:rPr>
        <w:t>，且两次测试结果偏差应不超过流量计的最大允许误差绝对值</w:t>
      </w:r>
      <w:bookmarkStart w:id="328" w:name="_Toc185070224"/>
      <w:bookmarkStart w:id="329" w:name="_Toc501210820"/>
      <w:bookmarkStart w:id="330" w:name="_Toc457808615"/>
      <w:bookmarkStart w:id="331" w:name="_Toc457808153"/>
      <w:bookmarkStart w:id="332" w:name="_Toc457807289"/>
      <w:bookmarkStart w:id="333" w:name="_Toc32721"/>
      <w:r>
        <w:rPr>
          <w:rFonts w:hint="eastAsia"/>
          <w:sz w:val="24"/>
          <w:szCs w:val="24"/>
        </w:rPr>
        <w:t>。</w:t>
      </w:r>
    </w:p>
    <w:p w14:paraId="0C2DE87C">
      <w:pPr>
        <w:pStyle w:val="2"/>
        <w:spacing w:before="160" w:after="0" w:line="360" w:lineRule="auto"/>
        <w:rPr>
          <w:b w:val="0"/>
          <w:iCs/>
          <w:color w:val="000000" w:themeColor="text1"/>
          <w:sz w:val="24"/>
          <w:szCs w:val="21"/>
          <w14:textFill>
            <w14:solidFill>
              <w14:schemeClr w14:val="tx1"/>
            </w14:solidFill>
          </w14:textFill>
        </w:rPr>
      </w:pPr>
      <w:bookmarkStart w:id="334" w:name="_Toc221090938"/>
      <w:r>
        <w:rPr>
          <w:rFonts w:hint="eastAsia"/>
          <w:b w:val="0"/>
          <w:iCs/>
          <w:color w:val="000000" w:themeColor="text1"/>
          <w:sz w:val="24"/>
          <w:szCs w:val="21"/>
          <w14:textFill>
            <w14:solidFill>
              <w14:schemeClr w14:val="tx1"/>
            </w14:solidFill>
          </w14:textFill>
        </w:rPr>
        <w:t xml:space="preserve">10.8 </w:t>
      </w:r>
      <w:r>
        <w:rPr>
          <w:b w:val="0"/>
          <w:iCs/>
          <w:color w:val="000000" w:themeColor="text1"/>
          <w:sz w:val="24"/>
          <w:szCs w:val="21"/>
          <w14:textFill>
            <w14:solidFill>
              <w14:schemeClr w14:val="tx1"/>
            </w14:solidFill>
          </w14:textFill>
        </w:rPr>
        <w:t>电磁兼容</w:t>
      </w:r>
      <w:r>
        <w:rPr>
          <w:rFonts w:hint="eastAsia"/>
          <w:b w:val="0"/>
          <w:iCs/>
          <w:color w:val="000000" w:themeColor="text1"/>
          <w:sz w:val="24"/>
          <w:szCs w:val="21"/>
          <w14:textFill>
            <w14:solidFill>
              <w14:schemeClr w14:val="tx1"/>
            </w14:solidFill>
          </w14:textFill>
        </w:rPr>
        <w:t>适应性试验</w:t>
      </w:r>
      <w:bookmarkEnd w:id="328"/>
      <w:bookmarkEnd w:id="329"/>
      <w:bookmarkEnd w:id="330"/>
      <w:bookmarkEnd w:id="331"/>
      <w:bookmarkEnd w:id="332"/>
      <w:bookmarkEnd w:id="333"/>
      <w:bookmarkEnd w:id="334"/>
    </w:p>
    <w:p w14:paraId="583C9DA2">
      <w:pPr>
        <w:adjustRightInd w:val="0"/>
        <w:snapToGrid w:val="0"/>
        <w:spacing w:before="160" w:line="360" w:lineRule="auto"/>
        <w:rPr>
          <w:sz w:val="24"/>
          <w:szCs w:val="24"/>
        </w:rPr>
      </w:pPr>
      <w:r>
        <w:rPr>
          <w:rFonts w:hint="eastAsia"/>
          <w:sz w:val="24"/>
          <w:szCs w:val="24"/>
        </w:rPr>
        <w:t>10.8.1 静电放电抗扰度试验</w:t>
      </w:r>
    </w:p>
    <w:p w14:paraId="28783FB9">
      <w:pPr>
        <w:adjustRightInd w:val="0"/>
        <w:snapToGrid w:val="0"/>
        <w:spacing w:before="160" w:line="360" w:lineRule="auto"/>
        <w:rPr>
          <w:sz w:val="24"/>
          <w:szCs w:val="24"/>
        </w:rPr>
      </w:pPr>
      <w:r>
        <w:rPr>
          <w:rFonts w:hint="eastAsia"/>
          <w:sz w:val="24"/>
          <w:szCs w:val="24"/>
        </w:rPr>
        <w:t>10.8.1</w:t>
      </w:r>
      <w:r>
        <w:rPr>
          <w:sz w:val="24"/>
          <w:szCs w:val="24"/>
        </w:rPr>
        <w:t>.</w:t>
      </w:r>
      <w:r>
        <w:rPr>
          <w:rFonts w:hint="eastAsia"/>
          <w:sz w:val="24"/>
          <w:szCs w:val="24"/>
        </w:rPr>
        <w:t xml:space="preserve">1 </w:t>
      </w:r>
      <w:r>
        <w:rPr>
          <w:sz w:val="24"/>
          <w:szCs w:val="24"/>
        </w:rPr>
        <w:t>试验目的</w:t>
      </w:r>
    </w:p>
    <w:p w14:paraId="283156F4">
      <w:pPr>
        <w:adjustRightInd w:val="0"/>
        <w:snapToGrid w:val="0"/>
        <w:spacing w:line="360" w:lineRule="auto"/>
        <w:ind w:firstLine="480" w:firstLineChars="200"/>
        <w:rPr>
          <w:sz w:val="24"/>
          <w:szCs w:val="24"/>
        </w:rPr>
      </w:pPr>
      <w:r>
        <w:rPr>
          <w:sz w:val="24"/>
          <w:szCs w:val="24"/>
        </w:rPr>
        <w:t>检</w:t>
      </w:r>
      <w:r>
        <w:rPr>
          <w:rFonts w:hint="eastAsia"/>
          <w:sz w:val="24"/>
          <w:szCs w:val="24"/>
        </w:rPr>
        <w:t>验</w:t>
      </w:r>
      <w:r>
        <w:rPr>
          <w:sz w:val="24"/>
          <w:szCs w:val="24"/>
        </w:rPr>
        <w:t>流量计</w:t>
      </w:r>
      <w:r>
        <w:rPr>
          <w:rFonts w:hint="eastAsia"/>
          <w:sz w:val="24"/>
          <w:szCs w:val="24"/>
        </w:rPr>
        <w:t>在静电放电抗扰度试验后</w:t>
      </w:r>
      <w:r>
        <w:rPr>
          <w:sz w:val="24"/>
          <w:szCs w:val="24"/>
        </w:rPr>
        <w:t>是否符合第</w:t>
      </w:r>
      <w:r>
        <w:rPr>
          <w:rFonts w:hint="eastAsia"/>
          <w:sz w:val="24"/>
          <w:szCs w:val="24"/>
        </w:rPr>
        <w:t>7</w:t>
      </w:r>
      <w:r>
        <w:rPr>
          <w:sz w:val="24"/>
          <w:szCs w:val="24"/>
        </w:rPr>
        <w:t>.</w:t>
      </w:r>
      <w:r>
        <w:rPr>
          <w:rFonts w:hint="eastAsia"/>
          <w:sz w:val="24"/>
          <w:szCs w:val="24"/>
        </w:rPr>
        <w:t>8.1条的</w:t>
      </w:r>
      <w:r>
        <w:rPr>
          <w:sz w:val="24"/>
          <w:szCs w:val="24"/>
        </w:rPr>
        <w:t>要求。</w:t>
      </w:r>
    </w:p>
    <w:p w14:paraId="07E191B5">
      <w:pPr>
        <w:adjustRightInd w:val="0"/>
        <w:snapToGrid w:val="0"/>
        <w:spacing w:before="160" w:line="360" w:lineRule="auto"/>
        <w:rPr>
          <w:sz w:val="24"/>
          <w:szCs w:val="24"/>
        </w:rPr>
      </w:pPr>
      <w:r>
        <w:rPr>
          <w:rFonts w:hint="eastAsia"/>
          <w:sz w:val="24"/>
          <w:szCs w:val="24"/>
        </w:rPr>
        <w:t>10.8.1</w:t>
      </w:r>
      <w:r>
        <w:rPr>
          <w:sz w:val="24"/>
          <w:szCs w:val="24"/>
        </w:rPr>
        <w:t>.</w:t>
      </w:r>
      <w:r>
        <w:rPr>
          <w:rFonts w:hint="eastAsia"/>
          <w:sz w:val="24"/>
          <w:szCs w:val="24"/>
        </w:rPr>
        <w:t xml:space="preserve">2 </w:t>
      </w:r>
      <w:r>
        <w:rPr>
          <w:sz w:val="24"/>
          <w:szCs w:val="24"/>
        </w:rPr>
        <w:t>试验条件</w:t>
      </w:r>
    </w:p>
    <w:p w14:paraId="739F6FAB">
      <w:pPr>
        <w:adjustRightInd w:val="0"/>
        <w:snapToGrid w:val="0"/>
        <w:spacing w:line="360" w:lineRule="auto"/>
        <w:ind w:firstLine="480" w:firstLineChars="200"/>
        <w:rPr>
          <w:sz w:val="24"/>
          <w:szCs w:val="24"/>
        </w:rPr>
      </w:pPr>
      <w:r>
        <w:rPr>
          <w:sz w:val="24"/>
          <w:szCs w:val="24"/>
        </w:rPr>
        <w:t>在额定工作条件下试验。</w:t>
      </w:r>
    </w:p>
    <w:p w14:paraId="468BE5B0">
      <w:pPr>
        <w:adjustRightInd w:val="0"/>
        <w:snapToGrid w:val="0"/>
        <w:spacing w:before="160" w:line="360" w:lineRule="auto"/>
        <w:rPr>
          <w:sz w:val="24"/>
          <w:szCs w:val="24"/>
        </w:rPr>
      </w:pPr>
      <w:r>
        <w:rPr>
          <w:rFonts w:hint="eastAsia"/>
          <w:sz w:val="24"/>
          <w:szCs w:val="24"/>
        </w:rPr>
        <w:t>10.8.1</w:t>
      </w:r>
      <w:r>
        <w:rPr>
          <w:sz w:val="24"/>
          <w:szCs w:val="24"/>
        </w:rPr>
        <w:t>.</w:t>
      </w:r>
      <w:r>
        <w:rPr>
          <w:rFonts w:hint="eastAsia"/>
          <w:sz w:val="24"/>
          <w:szCs w:val="24"/>
        </w:rPr>
        <w:t xml:space="preserve">3 </w:t>
      </w:r>
      <w:r>
        <w:rPr>
          <w:sz w:val="24"/>
          <w:szCs w:val="24"/>
        </w:rPr>
        <w:t>试验设备</w:t>
      </w:r>
    </w:p>
    <w:p w14:paraId="7FF7606F">
      <w:pPr>
        <w:adjustRightInd w:val="0"/>
        <w:snapToGrid w:val="0"/>
        <w:spacing w:line="360" w:lineRule="auto"/>
        <w:ind w:firstLine="480" w:firstLineChars="200"/>
        <w:rPr>
          <w:sz w:val="24"/>
          <w:szCs w:val="24"/>
        </w:rPr>
      </w:pPr>
      <w:r>
        <w:rPr>
          <w:rFonts w:hint="eastAsia" w:cs="宋体"/>
          <w:sz w:val="24"/>
          <w:szCs w:val="24"/>
        </w:rPr>
        <w:t>静电放电抗扰度试验装置</w:t>
      </w:r>
      <w:r>
        <w:rPr>
          <w:rFonts w:hint="eastAsia"/>
          <w:sz w:val="24"/>
          <w:szCs w:val="24"/>
        </w:rPr>
        <w:t>。</w:t>
      </w:r>
    </w:p>
    <w:p w14:paraId="503B77D0">
      <w:pPr>
        <w:adjustRightInd w:val="0"/>
        <w:snapToGrid w:val="0"/>
        <w:spacing w:before="160" w:line="360" w:lineRule="auto"/>
        <w:rPr>
          <w:sz w:val="24"/>
          <w:szCs w:val="24"/>
        </w:rPr>
      </w:pPr>
      <w:r>
        <w:rPr>
          <w:rFonts w:hint="eastAsia"/>
          <w:sz w:val="24"/>
          <w:szCs w:val="24"/>
        </w:rPr>
        <w:t>10.8.1</w:t>
      </w:r>
      <w:r>
        <w:rPr>
          <w:sz w:val="24"/>
          <w:szCs w:val="24"/>
        </w:rPr>
        <w:t>.</w:t>
      </w:r>
      <w:r>
        <w:rPr>
          <w:rFonts w:hint="eastAsia"/>
          <w:sz w:val="24"/>
          <w:szCs w:val="24"/>
        </w:rPr>
        <w:t xml:space="preserve">4 </w:t>
      </w:r>
      <w:r>
        <w:rPr>
          <w:sz w:val="24"/>
          <w:szCs w:val="24"/>
        </w:rPr>
        <w:t>试验程序</w:t>
      </w:r>
    </w:p>
    <w:p w14:paraId="14703936">
      <w:pPr>
        <w:pStyle w:val="114"/>
        <w:snapToGrid w:val="0"/>
        <w:spacing w:line="360" w:lineRule="auto"/>
        <w:ind w:firstLine="480" w:firstLineChars="200"/>
        <w:outlineLvl w:val="9"/>
        <w:rPr>
          <w:rFonts w:eastAsia="宋体"/>
          <w:sz w:val="24"/>
          <w:szCs w:val="24"/>
        </w:rPr>
      </w:pPr>
      <w:r>
        <w:rPr>
          <w:rFonts w:hint="eastAsia" w:eastAsia="宋体"/>
          <w:sz w:val="24"/>
          <w:szCs w:val="24"/>
        </w:rPr>
        <w:t>按 GB/T 17626.2的要求，流量计在零流量工作状态下进行静电放电抗扰度试验</w:t>
      </w:r>
      <w:r>
        <w:rPr>
          <w:rFonts w:eastAsia="宋体"/>
          <w:sz w:val="24"/>
          <w:szCs w:val="24"/>
        </w:rPr>
        <w:t>。</w:t>
      </w:r>
      <w:r>
        <w:rPr>
          <w:rFonts w:hint="eastAsia" w:eastAsia="宋体"/>
          <w:sz w:val="24"/>
          <w:szCs w:val="24"/>
        </w:rPr>
        <w:t>试验参数见表12。</w:t>
      </w:r>
    </w:p>
    <w:p w14:paraId="304F8D82">
      <w:pPr>
        <w:snapToGrid w:val="0"/>
        <w:spacing w:before="160" w:line="360" w:lineRule="auto"/>
        <w:jc w:val="center"/>
        <w:rPr>
          <w:rFonts w:eastAsia="黑体"/>
          <w:sz w:val="24"/>
          <w:szCs w:val="24"/>
        </w:rPr>
      </w:pPr>
      <w:r>
        <w:rPr>
          <w:rFonts w:hint="eastAsia" w:eastAsia="黑体"/>
          <w:sz w:val="24"/>
          <w:szCs w:val="24"/>
        </w:rPr>
        <w:t>表12 静电放电抗扰度试验参数</w:t>
      </w:r>
    </w:p>
    <w:tbl>
      <w:tblPr>
        <w:tblStyle w:val="38"/>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3"/>
        <w:gridCol w:w="2323"/>
        <w:gridCol w:w="3097"/>
      </w:tblGrid>
      <w:tr w14:paraId="7F3C2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323" w:type="dxa"/>
            <w:vAlign w:val="center"/>
          </w:tcPr>
          <w:p w14:paraId="76F4733D">
            <w:pPr>
              <w:snapToGrid w:val="0"/>
              <w:jc w:val="center"/>
              <w:rPr>
                <w:szCs w:val="21"/>
              </w:rPr>
            </w:pPr>
            <w:r>
              <w:rPr>
                <w:rFonts w:hint="eastAsia"/>
                <w:szCs w:val="21"/>
              </w:rPr>
              <w:t>放电方式</w:t>
            </w:r>
          </w:p>
        </w:tc>
        <w:tc>
          <w:tcPr>
            <w:tcW w:w="2323" w:type="dxa"/>
            <w:vAlign w:val="center"/>
          </w:tcPr>
          <w:p w14:paraId="1AF5E226">
            <w:pPr>
              <w:pStyle w:val="85"/>
              <w:snapToGrid w:val="0"/>
              <w:ind w:firstLine="0" w:firstLineChars="0"/>
              <w:jc w:val="center"/>
              <w:rPr>
                <w:rFonts w:ascii="Times New Roman" w:hAnsi="Times New Roman" w:eastAsia="宋体"/>
                <w:szCs w:val="21"/>
              </w:rPr>
            </w:pPr>
            <w:r>
              <w:rPr>
                <w:rFonts w:hint="eastAsia" w:ascii="Times New Roman" w:hAnsi="Times New Roman" w:eastAsia="宋体"/>
                <w:szCs w:val="21"/>
              </w:rPr>
              <w:t>接触放电</w:t>
            </w:r>
          </w:p>
        </w:tc>
        <w:tc>
          <w:tcPr>
            <w:tcW w:w="3097" w:type="dxa"/>
            <w:vAlign w:val="center"/>
          </w:tcPr>
          <w:p w14:paraId="65F1905D">
            <w:pPr>
              <w:pStyle w:val="85"/>
              <w:snapToGrid w:val="0"/>
              <w:ind w:firstLine="0" w:firstLineChars="0"/>
              <w:jc w:val="center"/>
              <w:rPr>
                <w:rFonts w:ascii="Times New Roman" w:hAnsi="Times New Roman" w:eastAsia="宋体"/>
                <w:szCs w:val="21"/>
              </w:rPr>
            </w:pPr>
            <w:r>
              <w:rPr>
                <w:rFonts w:hint="eastAsia" w:ascii="Times New Roman" w:hAnsi="Times New Roman" w:eastAsia="宋体"/>
                <w:szCs w:val="21"/>
              </w:rPr>
              <w:t>空气放电</w:t>
            </w:r>
          </w:p>
        </w:tc>
      </w:tr>
      <w:tr w14:paraId="4BB1A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323" w:type="dxa"/>
            <w:vAlign w:val="center"/>
          </w:tcPr>
          <w:p w14:paraId="40D7F37A">
            <w:pPr>
              <w:snapToGrid w:val="0"/>
              <w:jc w:val="center"/>
              <w:rPr>
                <w:szCs w:val="21"/>
              </w:rPr>
            </w:pPr>
            <w:r>
              <w:rPr>
                <w:rFonts w:hint="eastAsia"/>
                <w:szCs w:val="21"/>
              </w:rPr>
              <w:t>试验等级</w:t>
            </w:r>
          </w:p>
        </w:tc>
        <w:tc>
          <w:tcPr>
            <w:tcW w:w="2323" w:type="dxa"/>
            <w:vAlign w:val="center"/>
          </w:tcPr>
          <w:p w14:paraId="37A46650">
            <w:pPr>
              <w:pStyle w:val="85"/>
              <w:snapToGrid w:val="0"/>
              <w:ind w:firstLine="0" w:firstLineChars="0"/>
              <w:jc w:val="center"/>
              <w:rPr>
                <w:rFonts w:ascii="Times New Roman" w:hAnsi="Times New Roman" w:eastAsia="宋体"/>
                <w:szCs w:val="21"/>
              </w:rPr>
            </w:pPr>
            <w:r>
              <w:rPr>
                <w:rFonts w:hint="eastAsia" w:ascii="Times New Roman" w:hAnsi="Times New Roman" w:eastAsia="宋体"/>
                <w:szCs w:val="21"/>
              </w:rPr>
              <w:t>3 级</w:t>
            </w:r>
          </w:p>
        </w:tc>
        <w:tc>
          <w:tcPr>
            <w:tcW w:w="3097" w:type="dxa"/>
            <w:vAlign w:val="center"/>
          </w:tcPr>
          <w:p w14:paraId="38F5E07B">
            <w:pPr>
              <w:snapToGrid w:val="0"/>
              <w:jc w:val="center"/>
              <w:rPr>
                <w:szCs w:val="21"/>
              </w:rPr>
            </w:pPr>
            <w:r>
              <w:rPr>
                <w:rFonts w:hint="eastAsia"/>
                <w:szCs w:val="21"/>
              </w:rPr>
              <w:t>3级</w:t>
            </w:r>
          </w:p>
        </w:tc>
      </w:tr>
      <w:tr w14:paraId="398DF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323" w:type="dxa"/>
            <w:vAlign w:val="center"/>
          </w:tcPr>
          <w:p w14:paraId="7A0269B1">
            <w:pPr>
              <w:snapToGrid w:val="0"/>
              <w:jc w:val="center"/>
              <w:rPr>
                <w:szCs w:val="21"/>
              </w:rPr>
            </w:pPr>
            <w:r>
              <w:rPr>
                <w:rFonts w:hint="eastAsia"/>
                <w:szCs w:val="21"/>
              </w:rPr>
              <w:t>试验电压</w:t>
            </w:r>
          </w:p>
        </w:tc>
        <w:tc>
          <w:tcPr>
            <w:tcW w:w="2323" w:type="dxa"/>
            <w:vAlign w:val="center"/>
          </w:tcPr>
          <w:p w14:paraId="499DB026">
            <w:pPr>
              <w:snapToGrid w:val="0"/>
              <w:jc w:val="center"/>
              <w:rPr>
                <w:szCs w:val="21"/>
              </w:rPr>
            </w:pPr>
            <w:r>
              <w:rPr>
                <w:rFonts w:hint="eastAsia"/>
                <w:szCs w:val="21"/>
              </w:rPr>
              <w:t xml:space="preserve">6 </w:t>
            </w:r>
            <w:r>
              <w:rPr>
                <w:szCs w:val="21"/>
              </w:rPr>
              <w:t>kV</w:t>
            </w:r>
          </w:p>
        </w:tc>
        <w:tc>
          <w:tcPr>
            <w:tcW w:w="3097" w:type="dxa"/>
            <w:vAlign w:val="center"/>
          </w:tcPr>
          <w:p w14:paraId="417B7D98">
            <w:pPr>
              <w:snapToGrid w:val="0"/>
              <w:jc w:val="center"/>
              <w:rPr>
                <w:szCs w:val="21"/>
              </w:rPr>
            </w:pPr>
            <w:r>
              <w:rPr>
                <w:rFonts w:hint="eastAsia"/>
                <w:szCs w:val="21"/>
              </w:rPr>
              <w:t xml:space="preserve">8 </w:t>
            </w:r>
            <w:r>
              <w:rPr>
                <w:szCs w:val="21"/>
              </w:rPr>
              <w:t>kV</w:t>
            </w:r>
          </w:p>
        </w:tc>
      </w:tr>
      <w:tr w14:paraId="75036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2323" w:type="dxa"/>
            <w:tcBorders>
              <w:bottom w:val="single" w:color="auto" w:sz="4" w:space="0"/>
            </w:tcBorders>
            <w:vAlign w:val="center"/>
          </w:tcPr>
          <w:p w14:paraId="16533396">
            <w:pPr>
              <w:pStyle w:val="85"/>
              <w:snapToGrid w:val="0"/>
              <w:ind w:firstLine="0" w:firstLineChars="0"/>
              <w:jc w:val="center"/>
              <w:rPr>
                <w:rFonts w:ascii="Times New Roman" w:hAnsi="Times New Roman" w:eastAsia="宋体"/>
                <w:szCs w:val="21"/>
              </w:rPr>
            </w:pPr>
            <w:r>
              <w:rPr>
                <w:rFonts w:hint="eastAsia" w:ascii="Times New Roman" w:hAnsi="Times New Roman" w:eastAsia="宋体"/>
                <w:szCs w:val="21"/>
              </w:rPr>
              <w:t>放电次数</w:t>
            </w:r>
          </w:p>
        </w:tc>
        <w:tc>
          <w:tcPr>
            <w:tcW w:w="2323" w:type="dxa"/>
            <w:tcBorders>
              <w:bottom w:val="single" w:color="auto" w:sz="4" w:space="0"/>
            </w:tcBorders>
            <w:vAlign w:val="center"/>
          </w:tcPr>
          <w:p w14:paraId="10EEB319">
            <w:pPr>
              <w:snapToGrid w:val="0"/>
              <w:jc w:val="center"/>
              <w:rPr>
                <w:szCs w:val="21"/>
              </w:rPr>
            </w:pPr>
            <w:r>
              <w:rPr>
                <w:szCs w:val="21"/>
              </w:rPr>
              <w:t>10</w:t>
            </w:r>
            <w:r>
              <w:rPr>
                <w:rFonts w:hint="eastAsia"/>
                <w:szCs w:val="21"/>
              </w:rPr>
              <w:t>次</w:t>
            </w:r>
          </w:p>
        </w:tc>
        <w:tc>
          <w:tcPr>
            <w:tcW w:w="3097" w:type="dxa"/>
            <w:tcBorders>
              <w:bottom w:val="single" w:color="auto" w:sz="4" w:space="0"/>
            </w:tcBorders>
            <w:vAlign w:val="center"/>
          </w:tcPr>
          <w:p w14:paraId="30598300">
            <w:pPr>
              <w:snapToGrid w:val="0"/>
              <w:jc w:val="center"/>
              <w:rPr>
                <w:szCs w:val="21"/>
              </w:rPr>
            </w:pPr>
            <w:r>
              <w:rPr>
                <w:szCs w:val="21"/>
              </w:rPr>
              <w:t>10</w:t>
            </w:r>
            <w:r>
              <w:rPr>
                <w:rFonts w:hint="eastAsia"/>
                <w:szCs w:val="21"/>
              </w:rPr>
              <w:t>次</w:t>
            </w:r>
          </w:p>
        </w:tc>
      </w:tr>
    </w:tbl>
    <w:p w14:paraId="1E2CAF61">
      <w:pPr>
        <w:snapToGrid w:val="0"/>
        <w:spacing w:line="360" w:lineRule="auto"/>
        <w:ind w:firstLine="480" w:firstLineChars="200"/>
        <w:rPr>
          <w:sz w:val="24"/>
          <w:szCs w:val="24"/>
        </w:rPr>
      </w:pPr>
      <w:r>
        <w:rPr>
          <w:rFonts w:hint="eastAsia"/>
          <w:sz w:val="24"/>
          <w:szCs w:val="24"/>
        </w:rPr>
        <w:t>观察流量计有无出现</w:t>
      </w:r>
      <w:r>
        <w:rPr>
          <w:sz w:val="24"/>
          <w:szCs w:val="24"/>
        </w:rPr>
        <w:t>功能</w:t>
      </w:r>
      <w:r>
        <w:rPr>
          <w:rFonts w:hint="eastAsia"/>
          <w:sz w:val="24"/>
          <w:szCs w:val="24"/>
        </w:rPr>
        <w:t>或者</w:t>
      </w:r>
      <w:r>
        <w:rPr>
          <w:sz w:val="24"/>
          <w:szCs w:val="24"/>
        </w:rPr>
        <w:t>性能暂时丧失</w:t>
      </w:r>
      <w:r>
        <w:rPr>
          <w:rFonts w:hint="eastAsia"/>
          <w:sz w:val="24"/>
          <w:szCs w:val="24"/>
        </w:rPr>
        <w:t>或者降低</w:t>
      </w:r>
      <w:r>
        <w:rPr>
          <w:sz w:val="24"/>
          <w:szCs w:val="24"/>
        </w:rPr>
        <w:t>，</w:t>
      </w:r>
      <w:r>
        <w:rPr>
          <w:rFonts w:hint="eastAsia"/>
          <w:sz w:val="24"/>
          <w:szCs w:val="24"/>
        </w:rPr>
        <w:t>试验停止后工作是否正常，存贮的数据是否保持不变</w:t>
      </w:r>
      <w:r>
        <w:rPr>
          <w:sz w:val="24"/>
          <w:szCs w:val="24"/>
        </w:rPr>
        <w:t>。</w:t>
      </w:r>
    </w:p>
    <w:p w14:paraId="3350CD05">
      <w:pPr>
        <w:spacing w:before="160" w:line="360" w:lineRule="auto"/>
        <w:rPr>
          <w:sz w:val="24"/>
          <w:szCs w:val="24"/>
        </w:rPr>
      </w:pPr>
      <w:r>
        <w:rPr>
          <w:sz w:val="24"/>
          <w:szCs w:val="24"/>
        </w:rPr>
        <w:t>10.8.1.5 合格判据</w:t>
      </w:r>
    </w:p>
    <w:p w14:paraId="3DD5F5CF">
      <w:pPr>
        <w:spacing w:before="160" w:line="360" w:lineRule="auto"/>
        <w:ind w:firstLine="600" w:firstLineChars="250"/>
        <w:rPr>
          <w:sz w:val="24"/>
          <w:szCs w:val="24"/>
        </w:rPr>
      </w:pPr>
      <w:r>
        <w:rPr>
          <w:sz w:val="24"/>
          <w:szCs w:val="24"/>
        </w:rPr>
        <w:t>在静电放电抗扰度试验中和试验后，流量计应符合第7.8.1条的要求。</w:t>
      </w:r>
    </w:p>
    <w:p w14:paraId="5443DA7E">
      <w:pPr>
        <w:spacing w:before="160" w:line="360" w:lineRule="auto"/>
        <w:rPr>
          <w:sz w:val="24"/>
          <w:szCs w:val="24"/>
        </w:rPr>
      </w:pPr>
      <w:r>
        <w:rPr>
          <w:sz w:val="24"/>
          <w:szCs w:val="24"/>
        </w:rPr>
        <w:t>10.8.2 电快速瞬变脉冲群抗扰度试验</w:t>
      </w:r>
    </w:p>
    <w:p w14:paraId="4A21FAE0">
      <w:pPr>
        <w:spacing w:before="160" w:line="360" w:lineRule="auto"/>
        <w:rPr>
          <w:sz w:val="24"/>
          <w:szCs w:val="24"/>
        </w:rPr>
      </w:pPr>
      <w:r>
        <w:rPr>
          <w:sz w:val="24"/>
          <w:szCs w:val="24"/>
        </w:rPr>
        <w:t>10.8.2.1 试验目的</w:t>
      </w:r>
    </w:p>
    <w:p w14:paraId="14A23AD2">
      <w:pPr>
        <w:spacing w:before="160" w:line="360" w:lineRule="auto"/>
        <w:ind w:firstLine="480" w:firstLineChars="200"/>
        <w:rPr>
          <w:sz w:val="24"/>
          <w:szCs w:val="24"/>
        </w:rPr>
      </w:pPr>
      <w:r>
        <w:rPr>
          <w:sz w:val="24"/>
          <w:szCs w:val="24"/>
        </w:rPr>
        <w:t>检验流量计在电快速瞬变脉冲群抗扰度试验后是否符合第7.8.3条的要求。</w:t>
      </w:r>
    </w:p>
    <w:p w14:paraId="2EB73CCB">
      <w:pPr>
        <w:spacing w:before="160" w:line="360" w:lineRule="auto"/>
        <w:rPr>
          <w:sz w:val="24"/>
          <w:szCs w:val="24"/>
        </w:rPr>
      </w:pPr>
      <w:r>
        <w:rPr>
          <w:sz w:val="24"/>
          <w:szCs w:val="24"/>
        </w:rPr>
        <w:t>10.8.2.2 试验条件</w:t>
      </w:r>
    </w:p>
    <w:p w14:paraId="46A3FB8E">
      <w:pPr>
        <w:spacing w:before="160" w:line="360" w:lineRule="auto"/>
        <w:ind w:firstLine="480" w:firstLineChars="200"/>
        <w:rPr>
          <w:sz w:val="24"/>
          <w:szCs w:val="24"/>
        </w:rPr>
      </w:pPr>
      <w:r>
        <w:rPr>
          <w:sz w:val="24"/>
          <w:szCs w:val="24"/>
        </w:rPr>
        <w:t>在额定工作条件下试验。</w:t>
      </w:r>
    </w:p>
    <w:p w14:paraId="1BF65F30">
      <w:pPr>
        <w:spacing w:before="160" w:line="360" w:lineRule="auto"/>
        <w:rPr>
          <w:sz w:val="24"/>
          <w:szCs w:val="24"/>
        </w:rPr>
      </w:pPr>
      <w:r>
        <w:rPr>
          <w:sz w:val="24"/>
          <w:szCs w:val="24"/>
        </w:rPr>
        <w:t>10.8.2.3 试验设备</w:t>
      </w:r>
    </w:p>
    <w:p w14:paraId="55AE7DCB">
      <w:pPr>
        <w:spacing w:before="160" w:line="360" w:lineRule="auto"/>
        <w:ind w:firstLine="480" w:firstLineChars="200"/>
        <w:rPr>
          <w:sz w:val="24"/>
          <w:szCs w:val="24"/>
        </w:rPr>
      </w:pPr>
      <w:r>
        <w:rPr>
          <w:sz w:val="24"/>
          <w:szCs w:val="24"/>
        </w:rPr>
        <w:t>电快速瞬变脉冲群抗扰度试验装置。</w:t>
      </w:r>
    </w:p>
    <w:p w14:paraId="221CA7EB">
      <w:pPr>
        <w:spacing w:before="160" w:line="360" w:lineRule="auto"/>
        <w:rPr>
          <w:sz w:val="24"/>
          <w:szCs w:val="24"/>
        </w:rPr>
      </w:pPr>
      <w:r>
        <w:rPr>
          <w:sz w:val="24"/>
          <w:szCs w:val="24"/>
        </w:rPr>
        <w:t>10.8.2.4 试验程序</w:t>
      </w:r>
    </w:p>
    <w:p w14:paraId="4062ADAD">
      <w:pPr>
        <w:pStyle w:val="114"/>
        <w:spacing w:before="160" w:line="360" w:lineRule="auto"/>
        <w:ind w:firstLine="480" w:firstLineChars="200"/>
        <w:outlineLvl w:val="9"/>
        <w:rPr>
          <w:rFonts w:eastAsia="宋体" w:cs="Times New Roman"/>
          <w:sz w:val="24"/>
          <w:szCs w:val="24"/>
        </w:rPr>
      </w:pPr>
      <w:r>
        <w:rPr>
          <w:rFonts w:eastAsia="宋体" w:cs="Times New Roman"/>
          <w:sz w:val="24"/>
          <w:szCs w:val="24"/>
        </w:rPr>
        <w:t>按 GB/T 17626.4的要求，流量计在零流量工作状态下进行电快速瞬变脉冲群抗扰度试验。试验参数见表13。</w:t>
      </w:r>
    </w:p>
    <w:p w14:paraId="24AD8E61">
      <w:pPr>
        <w:pStyle w:val="85"/>
        <w:spacing w:before="160" w:line="360" w:lineRule="auto"/>
        <w:ind w:firstLine="0" w:firstLineChars="0"/>
        <w:jc w:val="center"/>
        <w:rPr>
          <w:rFonts w:ascii="Times New Roman" w:hAnsi="Times New Roman" w:eastAsia="宋体" w:cs="Times New Roman"/>
          <w:szCs w:val="21"/>
        </w:rPr>
      </w:pPr>
      <w:r>
        <w:rPr>
          <w:rFonts w:ascii="Times New Roman" w:hAnsi="Times New Roman" w:eastAsia="宋体" w:cs="Times New Roman"/>
          <w:szCs w:val="21"/>
        </w:rPr>
        <w:t>表13 电快速瞬变脉冲群抗扰度试验参数</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5"/>
        <w:gridCol w:w="3155"/>
        <w:gridCol w:w="3178"/>
      </w:tblGrid>
      <w:tr w14:paraId="16867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085" w:type="dxa"/>
            <w:vAlign w:val="center"/>
          </w:tcPr>
          <w:p w14:paraId="313BF27C">
            <w:pPr>
              <w:autoSpaceDE w:val="0"/>
              <w:autoSpaceDN w:val="0"/>
              <w:spacing w:before="160" w:line="360" w:lineRule="auto"/>
              <w:jc w:val="center"/>
              <w:rPr>
                <w:szCs w:val="21"/>
              </w:rPr>
            </w:pPr>
            <w:r>
              <w:rPr>
                <w:szCs w:val="21"/>
              </w:rPr>
              <w:t>试验等级</w:t>
            </w:r>
          </w:p>
        </w:tc>
        <w:tc>
          <w:tcPr>
            <w:tcW w:w="6333" w:type="dxa"/>
            <w:gridSpan w:val="2"/>
            <w:vAlign w:val="center"/>
          </w:tcPr>
          <w:p w14:paraId="63D25151">
            <w:pPr>
              <w:autoSpaceDE w:val="0"/>
              <w:autoSpaceDN w:val="0"/>
              <w:spacing w:before="160" w:line="360" w:lineRule="auto"/>
              <w:jc w:val="center"/>
              <w:rPr>
                <w:szCs w:val="21"/>
              </w:rPr>
            </w:pPr>
            <w:r>
              <w:rPr>
                <w:szCs w:val="21"/>
              </w:rPr>
              <w:t>3 级</w:t>
            </w:r>
          </w:p>
        </w:tc>
      </w:tr>
      <w:tr w14:paraId="3D508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085" w:type="dxa"/>
            <w:vAlign w:val="center"/>
          </w:tcPr>
          <w:p w14:paraId="40312726">
            <w:pPr>
              <w:autoSpaceDE w:val="0"/>
              <w:autoSpaceDN w:val="0"/>
              <w:spacing w:before="160" w:line="360" w:lineRule="auto"/>
              <w:jc w:val="center"/>
              <w:rPr>
                <w:szCs w:val="21"/>
              </w:rPr>
            </w:pPr>
            <w:r>
              <w:rPr>
                <w:szCs w:val="21"/>
              </w:rPr>
              <w:t>试验线路</w:t>
            </w:r>
          </w:p>
        </w:tc>
        <w:tc>
          <w:tcPr>
            <w:tcW w:w="3155" w:type="dxa"/>
            <w:vAlign w:val="center"/>
          </w:tcPr>
          <w:p w14:paraId="38B7AB8E">
            <w:pPr>
              <w:autoSpaceDE w:val="0"/>
              <w:autoSpaceDN w:val="0"/>
              <w:spacing w:before="160" w:line="360" w:lineRule="auto"/>
              <w:jc w:val="center"/>
              <w:rPr>
                <w:szCs w:val="21"/>
              </w:rPr>
            </w:pPr>
            <w:r>
              <w:rPr>
                <w:szCs w:val="21"/>
              </w:rPr>
              <w:t>输入输出（I/O）和通讯端口（含外部连接线）</w:t>
            </w:r>
          </w:p>
        </w:tc>
        <w:tc>
          <w:tcPr>
            <w:tcW w:w="3178" w:type="dxa"/>
            <w:vAlign w:val="center"/>
          </w:tcPr>
          <w:p w14:paraId="793D3CC0">
            <w:pPr>
              <w:autoSpaceDE w:val="0"/>
              <w:autoSpaceDN w:val="0"/>
              <w:spacing w:before="160" w:line="360" w:lineRule="auto"/>
              <w:jc w:val="center"/>
              <w:rPr>
                <w:szCs w:val="21"/>
              </w:rPr>
            </w:pPr>
            <w:r>
              <w:rPr>
                <w:szCs w:val="21"/>
              </w:rPr>
              <w:t>交、直流电源端口</w:t>
            </w:r>
          </w:p>
        </w:tc>
      </w:tr>
      <w:tr w14:paraId="3530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085" w:type="dxa"/>
            <w:vAlign w:val="center"/>
          </w:tcPr>
          <w:p w14:paraId="565556E3">
            <w:pPr>
              <w:autoSpaceDE w:val="0"/>
              <w:autoSpaceDN w:val="0"/>
              <w:spacing w:before="160" w:line="360" w:lineRule="auto"/>
              <w:jc w:val="center"/>
              <w:rPr>
                <w:szCs w:val="21"/>
              </w:rPr>
            </w:pPr>
            <w:r>
              <w:rPr>
                <w:szCs w:val="21"/>
              </w:rPr>
              <w:t>试验电压</w:t>
            </w:r>
          </w:p>
        </w:tc>
        <w:tc>
          <w:tcPr>
            <w:tcW w:w="3155" w:type="dxa"/>
            <w:vAlign w:val="center"/>
          </w:tcPr>
          <w:p w14:paraId="22F32BAB">
            <w:pPr>
              <w:autoSpaceDE w:val="0"/>
              <w:autoSpaceDN w:val="0"/>
              <w:spacing w:before="160" w:line="360" w:lineRule="auto"/>
              <w:jc w:val="center"/>
              <w:rPr>
                <w:szCs w:val="21"/>
              </w:rPr>
            </w:pPr>
            <w:r>
              <w:rPr>
                <w:szCs w:val="21"/>
              </w:rPr>
              <w:t>± 1 kV</w:t>
            </w:r>
          </w:p>
        </w:tc>
        <w:tc>
          <w:tcPr>
            <w:tcW w:w="3178" w:type="dxa"/>
            <w:vAlign w:val="center"/>
          </w:tcPr>
          <w:p w14:paraId="65DEF37E">
            <w:pPr>
              <w:autoSpaceDE w:val="0"/>
              <w:autoSpaceDN w:val="0"/>
              <w:spacing w:before="160" w:line="360" w:lineRule="auto"/>
              <w:jc w:val="center"/>
              <w:rPr>
                <w:szCs w:val="21"/>
              </w:rPr>
            </w:pPr>
            <w:r>
              <w:rPr>
                <w:szCs w:val="21"/>
              </w:rPr>
              <w:t>± 2 kV</w:t>
            </w:r>
          </w:p>
        </w:tc>
      </w:tr>
      <w:tr w14:paraId="6AA63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2085" w:type="dxa"/>
            <w:vAlign w:val="center"/>
          </w:tcPr>
          <w:p w14:paraId="136FF2B2">
            <w:pPr>
              <w:autoSpaceDE w:val="0"/>
              <w:autoSpaceDN w:val="0"/>
              <w:spacing w:before="160" w:line="360" w:lineRule="auto"/>
              <w:jc w:val="center"/>
              <w:rPr>
                <w:szCs w:val="21"/>
              </w:rPr>
            </w:pPr>
            <w:r>
              <w:rPr>
                <w:szCs w:val="21"/>
              </w:rPr>
              <w:t>其他试验参数</w:t>
            </w:r>
          </w:p>
        </w:tc>
        <w:tc>
          <w:tcPr>
            <w:tcW w:w="6333" w:type="dxa"/>
            <w:gridSpan w:val="2"/>
            <w:vAlign w:val="center"/>
          </w:tcPr>
          <w:p w14:paraId="48BE4305">
            <w:pPr>
              <w:autoSpaceDE w:val="0"/>
              <w:autoSpaceDN w:val="0"/>
              <w:spacing w:before="160" w:line="360" w:lineRule="auto"/>
              <w:jc w:val="left"/>
              <w:rPr>
                <w:szCs w:val="21"/>
              </w:rPr>
            </w:pPr>
            <w:r>
              <w:rPr>
                <w:szCs w:val="21"/>
              </w:rPr>
              <w:t>上升时间：5 ns</w:t>
            </w:r>
          </w:p>
          <w:p w14:paraId="461E0509">
            <w:pPr>
              <w:autoSpaceDE w:val="0"/>
              <w:autoSpaceDN w:val="0"/>
              <w:spacing w:before="160" w:line="360" w:lineRule="auto"/>
              <w:jc w:val="left"/>
              <w:rPr>
                <w:szCs w:val="21"/>
              </w:rPr>
            </w:pPr>
            <w:r>
              <w:rPr>
                <w:szCs w:val="21"/>
              </w:rPr>
              <w:t>尖峰持续时间：50 ns</w:t>
            </w:r>
          </w:p>
          <w:p w14:paraId="08B40B88">
            <w:pPr>
              <w:autoSpaceDE w:val="0"/>
              <w:autoSpaceDN w:val="0"/>
              <w:spacing w:before="160" w:line="360" w:lineRule="auto"/>
              <w:jc w:val="left"/>
              <w:rPr>
                <w:szCs w:val="21"/>
              </w:rPr>
            </w:pPr>
            <w:r>
              <w:rPr>
                <w:szCs w:val="21"/>
              </w:rPr>
              <w:t>重复频率：5 kHz</w:t>
            </w:r>
          </w:p>
          <w:p w14:paraId="7E2B0B09">
            <w:pPr>
              <w:autoSpaceDE w:val="0"/>
              <w:autoSpaceDN w:val="0"/>
              <w:spacing w:before="160" w:line="360" w:lineRule="auto"/>
              <w:jc w:val="left"/>
              <w:rPr>
                <w:szCs w:val="21"/>
              </w:rPr>
            </w:pPr>
            <w:r>
              <w:rPr>
                <w:szCs w:val="21"/>
              </w:rPr>
              <w:t>脉冲群持续时间：15 ms</w:t>
            </w:r>
          </w:p>
          <w:p w14:paraId="54536608">
            <w:pPr>
              <w:autoSpaceDE w:val="0"/>
              <w:autoSpaceDN w:val="0"/>
              <w:spacing w:before="160" w:line="360" w:lineRule="auto"/>
              <w:jc w:val="left"/>
              <w:rPr>
                <w:szCs w:val="21"/>
              </w:rPr>
            </w:pPr>
            <w:r>
              <w:rPr>
                <w:szCs w:val="21"/>
              </w:rPr>
              <w:t>脉冲群周期：300 ms</w:t>
            </w:r>
          </w:p>
          <w:p w14:paraId="1E7E3439">
            <w:pPr>
              <w:autoSpaceDE w:val="0"/>
              <w:autoSpaceDN w:val="0"/>
              <w:spacing w:before="160" w:line="360" w:lineRule="auto"/>
              <w:jc w:val="left"/>
              <w:rPr>
                <w:szCs w:val="21"/>
              </w:rPr>
            </w:pPr>
            <w:r>
              <w:rPr>
                <w:szCs w:val="21"/>
              </w:rPr>
              <w:t>每极性试验持续时间：≥1 min</w:t>
            </w:r>
          </w:p>
        </w:tc>
      </w:tr>
      <w:tr w14:paraId="5450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418" w:type="dxa"/>
            <w:gridSpan w:val="3"/>
            <w:vAlign w:val="center"/>
          </w:tcPr>
          <w:p w14:paraId="059C32AB">
            <w:pPr>
              <w:autoSpaceDE w:val="0"/>
              <w:autoSpaceDN w:val="0"/>
              <w:spacing w:before="160" w:line="360" w:lineRule="auto"/>
              <w:rPr>
                <w:szCs w:val="21"/>
              </w:rPr>
            </w:pPr>
            <w:r>
              <w:rPr>
                <w:sz w:val="18"/>
                <w:szCs w:val="18"/>
              </w:rPr>
              <w:t>注：双指数波形瞬时电压尖峰脉冲；</w:t>
            </w:r>
          </w:p>
        </w:tc>
      </w:tr>
    </w:tbl>
    <w:p w14:paraId="2F090717">
      <w:pPr>
        <w:spacing w:before="160" w:line="360" w:lineRule="auto"/>
        <w:ind w:firstLine="480" w:firstLineChars="200"/>
        <w:rPr>
          <w:sz w:val="24"/>
          <w:szCs w:val="24"/>
        </w:rPr>
      </w:pPr>
      <w:r>
        <w:rPr>
          <w:sz w:val="24"/>
          <w:szCs w:val="24"/>
        </w:rPr>
        <w:t>观察流量计有无出现功能或者性能暂时丧失或者降低，试验停止后工作是否正常，存贮的数据是否保持不变。</w:t>
      </w:r>
    </w:p>
    <w:p w14:paraId="0861D806">
      <w:pPr>
        <w:spacing w:before="160" w:line="360" w:lineRule="auto"/>
        <w:rPr>
          <w:sz w:val="24"/>
          <w:szCs w:val="24"/>
        </w:rPr>
      </w:pPr>
      <w:r>
        <w:rPr>
          <w:sz w:val="24"/>
          <w:szCs w:val="24"/>
        </w:rPr>
        <w:t>10.8.2.5 合格判据</w:t>
      </w:r>
    </w:p>
    <w:p w14:paraId="2CA9096A">
      <w:pPr>
        <w:spacing w:before="160" w:line="360" w:lineRule="auto"/>
        <w:ind w:firstLine="600" w:firstLineChars="250"/>
        <w:rPr>
          <w:sz w:val="24"/>
          <w:szCs w:val="24"/>
        </w:rPr>
      </w:pPr>
      <w:r>
        <w:rPr>
          <w:sz w:val="24"/>
          <w:szCs w:val="24"/>
        </w:rPr>
        <w:t>在电快速瞬变脉冲群抗扰度试验中和试验后，流量计应符合第7.8.3条的要求。</w:t>
      </w:r>
    </w:p>
    <w:p w14:paraId="6BDAF9ED">
      <w:pPr>
        <w:spacing w:before="160" w:line="360" w:lineRule="auto"/>
        <w:rPr>
          <w:sz w:val="24"/>
          <w:szCs w:val="24"/>
        </w:rPr>
      </w:pPr>
      <w:r>
        <w:rPr>
          <w:sz w:val="24"/>
          <w:szCs w:val="24"/>
        </w:rPr>
        <w:t>10.8.3 浪涌（冲击）抗扰度试验</w:t>
      </w:r>
    </w:p>
    <w:p w14:paraId="4AB2F1CF">
      <w:pPr>
        <w:spacing w:before="160" w:line="360" w:lineRule="auto"/>
        <w:rPr>
          <w:sz w:val="24"/>
          <w:szCs w:val="24"/>
        </w:rPr>
      </w:pPr>
      <w:r>
        <w:rPr>
          <w:sz w:val="24"/>
          <w:szCs w:val="24"/>
        </w:rPr>
        <w:t>10.8.3.1 试验目的</w:t>
      </w:r>
    </w:p>
    <w:p w14:paraId="4DF35DA7">
      <w:pPr>
        <w:spacing w:before="160" w:line="360" w:lineRule="auto"/>
        <w:ind w:left="120" w:leftChars="57" w:firstLine="360" w:firstLineChars="150"/>
        <w:rPr>
          <w:sz w:val="24"/>
          <w:szCs w:val="24"/>
        </w:rPr>
      </w:pPr>
      <w:r>
        <w:rPr>
          <w:sz w:val="24"/>
          <w:szCs w:val="24"/>
        </w:rPr>
        <w:t>检验流量计在电源线和/或信号线上浪涌（冲击）抗扰度试验后是否符合第7.8.4条的要求。</w:t>
      </w:r>
    </w:p>
    <w:p w14:paraId="0C5CA624">
      <w:pPr>
        <w:spacing w:before="160" w:line="360" w:lineRule="auto"/>
        <w:rPr>
          <w:sz w:val="24"/>
          <w:szCs w:val="24"/>
        </w:rPr>
      </w:pPr>
      <w:r>
        <w:rPr>
          <w:sz w:val="24"/>
          <w:szCs w:val="24"/>
        </w:rPr>
        <w:t>10.8.3.2 试验条件</w:t>
      </w:r>
    </w:p>
    <w:p w14:paraId="595E57B8">
      <w:pPr>
        <w:spacing w:before="160" w:line="360" w:lineRule="auto"/>
        <w:ind w:firstLine="480" w:firstLineChars="200"/>
        <w:rPr>
          <w:sz w:val="24"/>
          <w:szCs w:val="24"/>
        </w:rPr>
      </w:pPr>
      <w:r>
        <w:rPr>
          <w:sz w:val="24"/>
          <w:szCs w:val="24"/>
        </w:rPr>
        <w:t>在额定工作条件下试验。</w:t>
      </w:r>
    </w:p>
    <w:p w14:paraId="135800DE">
      <w:pPr>
        <w:spacing w:before="160" w:line="360" w:lineRule="auto"/>
        <w:rPr>
          <w:sz w:val="24"/>
          <w:szCs w:val="24"/>
        </w:rPr>
      </w:pPr>
      <w:r>
        <w:rPr>
          <w:sz w:val="24"/>
          <w:szCs w:val="24"/>
        </w:rPr>
        <w:t>10.8.3.3 试验设备</w:t>
      </w:r>
    </w:p>
    <w:p w14:paraId="32260204">
      <w:pPr>
        <w:spacing w:before="160" w:line="360" w:lineRule="auto"/>
        <w:ind w:firstLine="480" w:firstLineChars="200"/>
        <w:rPr>
          <w:sz w:val="24"/>
          <w:szCs w:val="24"/>
        </w:rPr>
      </w:pPr>
      <w:r>
        <w:rPr>
          <w:sz w:val="24"/>
          <w:szCs w:val="24"/>
        </w:rPr>
        <w:t>浪涌（冲击）抗扰度试验装置。</w:t>
      </w:r>
    </w:p>
    <w:p w14:paraId="77282439">
      <w:pPr>
        <w:spacing w:before="160" w:line="360" w:lineRule="auto"/>
        <w:rPr>
          <w:sz w:val="24"/>
          <w:szCs w:val="24"/>
        </w:rPr>
      </w:pPr>
      <w:r>
        <w:rPr>
          <w:sz w:val="24"/>
          <w:szCs w:val="24"/>
        </w:rPr>
        <w:t>10.8.3.4 试验程序</w:t>
      </w:r>
    </w:p>
    <w:p w14:paraId="5A029791">
      <w:pPr>
        <w:pStyle w:val="114"/>
        <w:spacing w:before="160" w:line="360" w:lineRule="auto"/>
        <w:ind w:firstLine="480" w:firstLineChars="200"/>
        <w:outlineLvl w:val="9"/>
        <w:rPr>
          <w:rFonts w:eastAsia="宋体" w:cs="Times New Roman"/>
          <w:sz w:val="24"/>
          <w:szCs w:val="24"/>
        </w:rPr>
      </w:pPr>
      <w:r>
        <w:rPr>
          <w:rFonts w:eastAsia="宋体" w:cs="Times New Roman"/>
          <w:sz w:val="24"/>
          <w:szCs w:val="24"/>
        </w:rPr>
        <w:t>按 GB/T 17626.5的要求，流量计在零流量工作状态下进行电源线和/或信号线上浪涌（冲击）抗扰度试验。试验参数见表14。</w:t>
      </w:r>
    </w:p>
    <w:p w14:paraId="307D6F11">
      <w:pPr>
        <w:pStyle w:val="85"/>
        <w:spacing w:before="160" w:line="360" w:lineRule="auto"/>
        <w:ind w:firstLine="0" w:firstLineChars="0"/>
        <w:jc w:val="center"/>
        <w:rPr>
          <w:rFonts w:ascii="Times New Roman" w:hAnsi="Times New Roman" w:eastAsia="宋体" w:cs="Times New Roman"/>
          <w:szCs w:val="21"/>
        </w:rPr>
      </w:pPr>
      <w:r>
        <w:rPr>
          <w:rFonts w:ascii="Times New Roman" w:hAnsi="Times New Roman" w:eastAsia="宋体" w:cs="Times New Roman"/>
          <w:szCs w:val="21"/>
        </w:rPr>
        <w:t>表14 电源线和/或信号线上浪涌（冲击）抗扰度试验参数</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9"/>
        <w:gridCol w:w="2559"/>
        <w:gridCol w:w="2689"/>
      </w:tblGrid>
      <w:tr w14:paraId="19556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2979" w:type="dxa"/>
            <w:vAlign w:val="center"/>
          </w:tcPr>
          <w:p w14:paraId="571AAD66">
            <w:pPr>
              <w:autoSpaceDE w:val="0"/>
              <w:autoSpaceDN w:val="0"/>
              <w:spacing w:before="160" w:line="360" w:lineRule="auto"/>
              <w:rPr>
                <w:szCs w:val="21"/>
              </w:rPr>
            </w:pPr>
            <w:r>
              <w:rPr>
                <w:szCs w:val="21"/>
              </w:rPr>
              <w:t>严酷度等级</w:t>
            </w:r>
          </w:p>
        </w:tc>
        <w:tc>
          <w:tcPr>
            <w:tcW w:w="2559" w:type="dxa"/>
            <w:vAlign w:val="center"/>
          </w:tcPr>
          <w:p w14:paraId="357B142C">
            <w:pPr>
              <w:autoSpaceDE w:val="0"/>
              <w:autoSpaceDN w:val="0"/>
              <w:spacing w:before="160" w:line="360" w:lineRule="auto"/>
              <w:jc w:val="center"/>
              <w:rPr>
                <w:szCs w:val="21"/>
              </w:rPr>
            </w:pPr>
            <w:r>
              <w:rPr>
                <w:szCs w:val="21"/>
              </w:rPr>
              <w:t>2 级</w:t>
            </w:r>
          </w:p>
        </w:tc>
        <w:tc>
          <w:tcPr>
            <w:tcW w:w="2689" w:type="dxa"/>
            <w:vAlign w:val="center"/>
          </w:tcPr>
          <w:p w14:paraId="4DC1A7F6">
            <w:pPr>
              <w:autoSpaceDE w:val="0"/>
              <w:autoSpaceDN w:val="0"/>
              <w:spacing w:before="160" w:line="360" w:lineRule="auto"/>
              <w:jc w:val="center"/>
              <w:rPr>
                <w:szCs w:val="21"/>
              </w:rPr>
            </w:pPr>
            <w:r>
              <w:rPr>
                <w:szCs w:val="21"/>
              </w:rPr>
              <w:t>3 级</w:t>
            </w:r>
          </w:p>
        </w:tc>
      </w:tr>
      <w:tr w14:paraId="71BEC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2979" w:type="dxa"/>
            <w:vAlign w:val="center"/>
          </w:tcPr>
          <w:p w14:paraId="7CB390C4">
            <w:pPr>
              <w:autoSpaceDE w:val="0"/>
              <w:autoSpaceDN w:val="0"/>
              <w:spacing w:before="160" w:line="360" w:lineRule="auto"/>
              <w:rPr>
                <w:szCs w:val="21"/>
              </w:rPr>
            </w:pPr>
            <w:r>
              <w:rPr>
                <w:szCs w:val="21"/>
              </w:rPr>
              <w:t>输入输出（I/O）和通讯端口</w:t>
            </w:r>
          </w:p>
        </w:tc>
        <w:tc>
          <w:tcPr>
            <w:tcW w:w="2559" w:type="dxa"/>
            <w:vAlign w:val="center"/>
          </w:tcPr>
          <w:p w14:paraId="0FC5AB36">
            <w:pPr>
              <w:autoSpaceDE w:val="0"/>
              <w:autoSpaceDN w:val="0"/>
              <w:spacing w:before="160" w:line="360" w:lineRule="auto"/>
              <w:jc w:val="center"/>
              <w:rPr>
                <w:szCs w:val="21"/>
              </w:rPr>
            </w:pPr>
            <w:r>
              <w:rPr>
                <w:szCs w:val="21"/>
              </w:rPr>
              <w:t>线对线 ± 1kV</w:t>
            </w:r>
          </w:p>
        </w:tc>
        <w:tc>
          <w:tcPr>
            <w:tcW w:w="2689" w:type="dxa"/>
            <w:vAlign w:val="center"/>
          </w:tcPr>
          <w:p w14:paraId="2D4601C6">
            <w:pPr>
              <w:autoSpaceDE w:val="0"/>
              <w:autoSpaceDN w:val="0"/>
              <w:spacing w:before="160" w:line="360" w:lineRule="auto"/>
              <w:jc w:val="center"/>
              <w:rPr>
                <w:szCs w:val="21"/>
              </w:rPr>
            </w:pPr>
            <w:r>
              <w:rPr>
                <w:szCs w:val="21"/>
              </w:rPr>
              <w:t>线对地 ± 2kV</w:t>
            </w:r>
          </w:p>
        </w:tc>
      </w:tr>
      <w:tr w14:paraId="1FD04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2979" w:type="dxa"/>
            <w:vAlign w:val="center"/>
          </w:tcPr>
          <w:p w14:paraId="3E5FC72B">
            <w:pPr>
              <w:autoSpaceDE w:val="0"/>
              <w:autoSpaceDN w:val="0"/>
              <w:spacing w:before="160" w:line="360" w:lineRule="auto"/>
              <w:rPr>
                <w:szCs w:val="21"/>
              </w:rPr>
            </w:pPr>
            <w:r>
              <w:rPr>
                <w:szCs w:val="21"/>
              </w:rPr>
              <w:t>交、直流电源端口</w:t>
            </w:r>
          </w:p>
        </w:tc>
        <w:tc>
          <w:tcPr>
            <w:tcW w:w="2559" w:type="dxa"/>
            <w:vAlign w:val="center"/>
          </w:tcPr>
          <w:p w14:paraId="7B688E37">
            <w:pPr>
              <w:autoSpaceDE w:val="0"/>
              <w:autoSpaceDN w:val="0"/>
              <w:spacing w:before="160" w:line="360" w:lineRule="auto"/>
              <w:jc w:val="center"/>
              <w:rPr>
                <w:szCs w:val="21"/>
              </w:rPr>
            </w:pPr>
            <w:r>
              <w:rPr>
                <w:szCs w:val="21"/>
              </w:rPr>
              <w:t>线对线 ± 1kV</w:t>
            </w:r>
          </w:p>
        </w:tc>
        <w:tc>
          <w:tcPr>
            <w:tcW w:w="2689" w:type="dxa"/>
            <w:vAlign w:val="center"/>
          </w:tcPr>
          <w:p w14:paraId="7524CCC3">
            <w:pPr>
              <w:autoSpaceDE w:val="0"/>
              <w:autoSpaceDN w:val="0"/>
              <w:spacing w:before="160" w:line="360" w:lineRule="auto"/>
              <w:jc w:val="center"/>
              <w:rPr>
                <w:szCs w:val="21"/>
              </w:rPr>
            </w:pPr>
            <w:r>
              <w:rPr>
                <w:szCs w:val="21"/>
              </w:rPr>
              <w:t>线对地 ± 2kV</w:t>
            </w:r>
          </w:p>
        </w:tc>
      </w:tr>
      <w:tr w14:paraId="78379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2979" w:type="dxa"/>
            <w:vAlign w:val="center"/>
          </w:tcPr>
          <w:p w14:paraId="153BE5AE">
            <w:pPr>
              <w:autoSpaceDE w:val="0"/>
              <w:autoSpaceDN w:val="0"/>
              <w:spacing w:before="160" w:line="360" w:lineRule="auto"/>
              <w:rPr>
                <w:szCs w:val="21"/>
              </w:rPr>
            </w:pPr>
            <w:r>
              <w:rPr>
                <w:szCs w:val="21"/>
              </w:rPr>
              <w:t>试验次数</w:t>
            </w:r>
          </w:p>
        </w:tc>
        <w:tc>
          <w:tcPr>
            <w:tcW w:w="5248" w:type="dxa"/>
            <w:gridSpan w:val="2"/>
            <w:vAlign w:val="center"/>
          </w:tcPr>
          <w:p w14:paraId="35E6F451">
            <w:pPr>
              <w:autoSpaceDE w:val="0"/>
              <w:autoSpaceDN w:val="0"/>
              <w:spacing w:before="160" w:line="360" w:lineRule="auto"/>
              <w:jc w:val="left"/>
              <w:rPr>
                <w:szCs w:val="21"/>
              </w:rPr>
            </w:pPr>
            <w:r>
              <w:rPr>
                <w:szCs w:val="21"/>
              </w:rPr>
              <w:t>每一极性至少3次，对于交流主电源端口分别在电压相位0°、90°、180°和270°下进行。</w:t>
            </w:r>
          </w:p>
        </w:tc>
      </w:tr>
    </w:tbl>
    <w:p w14:paraId="06F958FC">
      <w:pPr>
        <w:spacing w:before="160" w:line="360" w:lineRule="auto"/>
        <w:ind w:firstLine="480" w:firstLineChars="200"/>
        <w:rPr>
          <w:sz w:val="24"/>
        </w:rPr>
      </w:pPr>
      <w:r>
        <w:rPr>
          <w:sz w:val="24"/>
          <w:szCs w:val="24"/>
        </w:rPr>
        <w:t>观察流量计有无出现功能或者性能暂时丧失或者降低，试验停止后工作是否正常，存贮的数据是否保持不变。</w:t>
      </w:r>
    </w:p>
    <w:p w14:paraId="26D778EA">
      <w:pPr>
        <w:spacing w:before="160" w:line="360" w:lineRule="auto"/>
        <w:rPr>
          <w:sz w:val="24"/>
          <w:szCs w:val="24"/>
        </w:rPr>
      </w:pPr>
      <w:r>
        <w:rPr>
          <w:sz w:val="24"/>
          <w:szCs w:val="24"/>
        </w:rPr>
        <w:t>10.8.3.5 合格判据</w:t>
      </w:r>
    </w:p>
    <w:p w14:paraId="334679C8">
      <w:pPr>
        <w:spacing w:before="160" w:line="360" w:lineRule="auto"/>
        <w:ind w:left="120" w:leftChars="57" w:firstLine="480" w:firstLineChars="200"/>
        <w:rPr>
          <w:sz w:val="24"/>
          <w:szCs w:val="24"/>
        </w:rPr>
      </w:pPr>
      <w:r>
        <w:rPr>
          <w:sz w:val="24"/>
          <w:szCs w:val="24"/>
        </w:rPr>
        <w:t>在</w:t>
      </w:r>
      <w:r>
        <w:rPr>
          <w:sz w:val="24"/>
        </w:rPr>
        <w:t>电源线和/或信号线上浪涌（冲击）抗扰度试验中和试验后，</w:t>
      </w:r>
      <w:r>
        <w:rPr>
          <w:sz w:val="24"/>
          <w:szCs w:val="24"/>
        </w:rPr>
        <w:t>流量计应符合第 7.8.4条的要求。</w:t>
      </w:r>
    </w:p>
    <w:p w14:paraId="31BAC027">
      <w:pPr>
        <w:spacing w:before="160" w:line="360" w:lineRule="auto"/>
        <w:rPr>
          <w:sz w:val="24"/>
          <w:szCs w:val="24"/>
        </w:rPr>
      </w:pPr>
      <w:r>
        <w:rPr>
          <w:sz w:val="24"/>
          <w:szCs w:val="24"/>
        </w:rPr>
        <w:t>10.8.4 电压暂降和短时中断抗扰度试验</w:t>
      </w:r>
    </w:p>
    <w:p w14:paraId="646A717B">
      <w:pPr>
        <w:spacing w:before="160" w:line="360" w:lineRule="auto"/>
        <w:rPr>
          <w:sz w:val="24"/>
          <w:szCs w:val="24"/>
        </w:rPr>
      </w:pPr>
      <w:r>
        <w:rPr>
          <w:sz w:val="24"/>
          <w:szCs w:val="24"/>
        </w:rPr>
        <w:t>10.8.4.1 试验目的</w:t>
      </w:r>
    </w:p>
    <w:p w14:paraId="6290694D">
      <w:pPr>
        <w:spacing w:before="160" w:line="360" w:lineRule="auto"/>
        <w:ind w:firstLine="480" w:firstLineChars="200"/>
        <w:rPr>
          <w:sz w:val="24"/>
          <w:szCs w:val="24"/>
        </w:rPr>
      </w:pPr>
      <w:r>
        <w:rPr>
          <w:sz w:val="24"/>
          <w:szCs w:val="24"/>
        </w:rPr>
        <w:t>检验流量计在电压暂降和短时中断抗扰度试验后是否符合第7.8.6条的要求。</w:t>
      </w:r>
    </w:p>
    <w:p w14:paraId="5924A535">
      <w:pPr>
        <w:spacing w:before="160" w:line="360" w:lineRule="auto"/>
        <w:rPr>
          <w:sz w:val="24"/>
          <w:szCs w:val="24"/>
        </w:rPr>
      </w:pPr>
      <w:r>
        <w:rPr>
          <w:sz w:val="24"/>
          <w:szCs w:val="24"/>
        </w:rPr>
        <w:t>10.8.4.2  试验条件</w:t>
      </w:r>
    </w:p>
    <w:p w14:paraId="6DE2D438">
      <w:pPr>
        <w:spacing w:before="160" w:line="360" w:lineRule="auto"/>
        <w:ind w:firstLine="480" w:firstLineChars="200"/>
        <w:rPr>
          <w:sz w:val="24"/>
          <w:szCs w:val="24"/>
        </w:rPr>
      </w:pPr>
      <w:r>
        <w:rPr>
          <w:sz w:val="24"/>
          <w:szCs w:val="24"/>
        </w:rPr>
        <w:t>在额定工作条件下试验。</w:t>
      </w:r>
    </w:p>
    <w:p w14:paraId="31F44CC0">
      <w:pPr>
        <w:spacing w:before="160" w:line="360" w:lineRule="auto"/>
        <w:rPr>
          <w:sz w:val="24"/>
          <w:szCs w:val="24"/>
        </w:rPr>
      </w:pPr>
      <w:r>
        <w:rPr>
          <w:sz w:val="24"/>
          <w:szCs w:val="24"/>
        </w:rPr>
        <w:t>10.8.4.3 试验设备</w:t>
      </w:r>
    </w:p>
    <w:p w14:paraId="04312484">
      <w:pPr>
        <w:spacing w:before="160" w:line="360" w:lineRule="auto"/>
        <w:ind w:firstLine="480" w:firstLineChars="200"/>
        <w:rPr>
          <w:sz w:val="24"/>
          <w:szCs w:val="24"/>
        </w:rPr>
      </w:pPr>
      <w:r>
        <w:rPr>
          <w:sz w:val="24"/>
          <w:szCs w:val="24"/>
        </w:rPr>
        <w:t>电压暂降和短时中断抗扰度试验装置。</w:t>
      </w:r>
    </w:p>
    <w:p w14:paraId="6C52895B">
      <w:pPr>
        <w:spacing w:before="160" w:line="360" w:lineRule="auto"/>
        <w:rPr>
          <w:sz w:val="24"/>
          <w:szCs w:val="24"/>
        </w:rPr>
      </w:pPr>
      <w:r>
        <w:rPr>
          <w:sz w:val="24"/>
          <w:szCs w:val="24"/>
        </w:rPr>
        <w:t>10.8.4.4 试验程序</w:t>
      </w:r>
    </w:p>
    <w:p w14:paraId="356C6B1C">
      <w:pPr>
        <w:pStyle w:val="114"/>
        <w:spacing w:before="160" w:line="360" w:lineRule="auto"/>
        <w:ind w:firstLine="480" w:firstLineChars="200"/>
        <w:outlineLvl w:val="9"/>
        <w:rPr>
          <w:rFonts w:eastAsia="宋体" w:cs="Times New Roman"/>
          <w:sz w:val="24"/>
          <w:szCs w:val="24"/>
        </w:rPr>
      </w:pPr>
      <w:r>
        <w:rPr>
          <w:rFonts w:eastAsia="宋体" w:cs="Times New Roman"/>
          <w:sz w:val="24"/>
          <w:szCs w:val="24"/>
        </w:rPr>
        <w:t>按 GB/T 17626.11的要求，流量计在零流量工作状态下进行电压暂降和短时中断抗扰度试验。试验参数见表16。</w:t>
      </w:r>
    </w:p>
    <w:p w14:paraId="1B55DF2D">
      <w:pPr>
        <w:pStyle w:val="85"/>
        <w:spacing w:before="160" w:line="360" w:lineRule="auto"/>
        <w:ind w:firstLine="0" w:firstLineChars="0"/>
        <w:jc w:val="center"/>
        <w:rPr>
          <w:rFonts w:ascii="Times New Roman" w:hAnsi="Times New Roman" w:eastAsia="宋体" w:cs="Times New Roman"/>
          <w:szCs w:val="21"/>
        </w:rPr>
      </w:pPr>
      <w:r>
        <w:rPr>
          <w:rFonts w:ascii="Times New Roman" w:hAnsi="Times New Roman" w:eastAsia="宋体" w:cs="Times New Roman"/>
          <w:szCs w:val="21"/>
        </w:rPr>
        <w:t>表15 电压暂降和短时中断抗扰度试验参数</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4"/>
        <w:gridCol w:w="6248"/>
      </w:tblGrid>
      <w:tr w14:paraId="1192E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222" w:type="dxa"/>
            <w:gridSpan w:val="2"/>
            <w:vAlign w:val="center"/>
          </w:tcPr>
          <w:p w14:paraId="485F7832">
            <w:pPr>
              <w:spacing w:before="160" w:line="360" w:lineRule="auto"/>
              <w:jc w:val="center"/>
              <w:rPr>
                <w:szCs w:val="21"/>
              </w:rPr>
            </w:pPr>
            <w:r>
              <w:rPr>
                <w:szCs w:val="21"/>
              </w:rPr>
              <w:t>电压暂降试验参数</w:t>
            </w:r>
          </w:p>
        </w:tc>
      </w:tr>
      <w:tr w14:paraId="14696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974" w:type="dxa"/>
            <w:vAlign w:val="center"/>
          </w:tcPr>
          <w:p w14:paraId="4CD4AA9F">
            <w:pPr>
              <w:spacing w:before="160" w:line="360" w:lineRule="auto"/>
              <w:jc w:val="center"/>
              <w:rPr>
                <w:szCs w:val="21"/>
              </w:rPr>
            </w:pPr>
            <w:r>
              <w:rPr>
                <w:szCs w:val="21"/>
              </w:rPr>
              <w:t>试验等级</w:t>
            </w:r>
          </w:p>
        </w:tc>
        <w:tc>
          <w:tcPr>
            <w:tcW w:w="6248" w:type="dxa"/>
            <w:vAlign w:val="center"/>
          </w:tcPr>
          <w:p w14:paraId="15A274D9">
            <w:pPr>
              <w:spacing w:before="160" w:line="360" w:lineRule="auto"/>
              <w:jc w:val="center"/>
              <w:rPr>
                <w:szCs w:val="21"/>
              </w:rPr>
            </w:pPr>
            <w:r>
              <w:rPr>
                <w:szCs w:val="21"/>
              </w:rPr>
              <w:t>0 %</w:t>
            </w:r>
          </w:p>
        </w:tc>
      </w:tr>
      <w:tr w14:paraId="25134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74" w:type="dxa"/>
            <w:vAlign w:val="center"/>
          </w:tcPr>
          <w:p w14:paraId="2BE9D323">
            <w:pPr>
              <w:spacing w:before="160" w:line="360" w:lineRule="auto"/>
              <w:jc w:val="center"/>
              <w:rPr>
                <w:szCs w:val="21"/>
              </w:rPr>
            </w:pPr>
            <w:r>
              <w:rPr>
                <w:szCs w:val="21"/>
              </w:rPr>
              <w:t>持续时间</w:t>
            </w:r>
          </w:p>
        </w:tc>
        <w:tc>
          <w:tcPr>
            <w:tcW w:w="6248" w:type="dxa"/>
            <w:vAlign w:val="center"/>
          </w:tcPr>
          <w:p w14:paraId="4455A7CD">
            <w:pPr>
              <w:spacing w:before="160" w:line="360" w:lineRule="auto"/>
              <w:jc w:val="center"/>
              <w:rPr>
                <w:szCs w:val="21"/>
              </w:rPr>
            </w:pPr>
            <w:r>
              <w:rPr>
                <w:szCs w:val="21"/>
              </w:rPr>
              <w:t>0.5个周期</w:t>
            </w:r>
          </w:p>
        </w:tc>
      </w:tr>
      <w:tr w14:paraId="3DFD2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974" w:type="dxa"/>
            <w:vAlign w:val="center"/>
          </w:tcPr>
          <w:p w14:paraId="6F54AA06">
            <w:pPr>
              <w:spacing w:before="160" w:line="360" w:lineRule="auto"/>
              <w:jc w:val="center"/>
              <w:rPr>
                <w:szCs w:val="21"/>
              </w:rPr>
            </w:pPr>
            <w:r>
              <w:rPr>
                <w:szCs w:val="21"/>
              </w:rPr>
              <w:t>试验次数</w:t>
            </w:r>
          </w:p>
        </w:tc>
        <w:tc>
          <w:tcPr>
            <w:tcW w:w="6248" w:type="dxa"/>
            <w:vAlign w:val="center"/>
          </w:tcPr>
          <w:p w14:paraId="1E0B9919">
            <w:pPr>
              <w:autoSpaceDE w:val="0"/>
              <w:autoSpaceDN w:val="0"/>
              <w:spacing w:before="160" w:line="360" w:lineRule="auto"/>
              <w:jc w:val="center"/>
              <w:rPr>
                <w:szCs w:val="21"/>
              </w:rPr>
            </w:pPr>
            <w:r>
              <w:rPr>
                <w:szCs w:val="21"/>
              </w:rPr>
              <w:t>至少10次，每次间隔时间最少 10 s</w:t>
            </w:r>
          </w:p>
        </w:tc>
      </w:tr>
      <w:tr w14:paraId="36309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222" w:type="dxa"/>
            <w:gridSpan w:val="2"/>
            <w:vAlign w:val="center"/>
          </w:tcPr>
          <w:p w14:paraId="335099FF">
            <w:pPr>
              <w:autoSpaceDE w:val="0"/>
              <w:autoSpaceDN w:val="0"/>
              <w:spacing w:before="160" w:line="360" w:lineRule="auto"/>
              <w:jc w:val="center"/>
              <w:rPr>
                <w:szCs w:val="21"/>
              </w:rPr>
            </w:pPr>
            <w:r>
              <w:rPr>
                <w:szCs w:val="21"/>
              </w:rPr>
              <w:t>短时中断试验参数</w:t>
            </w:r>
          </w:p>
        </w:tc>
      </w:tr>
      <w:tr w14:paraId="5A8D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74" w:type="dxa"/>
            <w:vAlign w:val="center"/>
          </w:tcPr>
          <w:p w14:paraId="00F8E5A3">
            <w:pPr>
              <w:spacing w:before="160" w:line="360" w:lineRule="auto"/>
              <w:jc w:val="center"/>
              <w:rPr>
                <w:szCs w:val="21"/>
              </w:rPr>
            </w:pPr>
            <w:r>
              <w:rPr>
                <w:szCs w:val="21"/>
              </w:rPr>
              <w:t>试验等级</w:t>
            </w:r>
          </w:p>
        </w:tc>
        <w:tc>
          <w:tcPr>
            <w:tcW w:w="6248" w:type="dxa"/>
            <w:vAlign w:val="center"/>
          </w:tcPr>
          <w:p w14:paraId="678E562F">
            <w:pPr>
              <w:spacing w:before="160" w:line="360" w:lineRule="auto"/>
              <w:jc w:val="center"/>
              <w:rPr>
                <w:szCs w:val="21"/>
              </w:rPr>
            </w:pPr>
            <w:r>
              <w:rPr>
                <w:szCs w:val="21"/>
              </w:rPr>
              <w:t>0 %</w:t>
            </w:r>
          </w:p>
        </w:tc>
      </w:tr>
      <w:tr w14:paraId="0ACAF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974" w:type="dxa"/>
            <w:vAlign w:val="center"/>
          </w:tcPr>
          <w:p w14:paraId="77723ABF">
            <w:pPr>
              <w:spacing w:before="160" w:line="360" w:lineRule="auto"/>
              <w:jc w:val="center"/>
              <w:rPr>
                <w:szCs w:val="21"/>
              </w:rPr>
            </w:pPr>
            <w:r>
              <w:rPr>
                <w:szCs w:val="21"/>
              </w:rPr>
              <w:t>持续时间</w:t>
            </w:r>
          </w:p>
        </w:tc>
        <w:tc>
          <w:tcPr>
            <w:tcW w:w="6248" w:type="dxa"/>
            <w:vAlign w:val="center"/>
          </w:tcPr>
          <w:p w14:paraId="7444B46F">
            <w:pPr>
              <w:spacing w:before="160" w:line="360" w:lineRule="auto"/>
              <w:jc w:val="center"/>
              <w:rPr>
                <w:szCs w:val="21"/>
              </w:rPr>
            </w:pPr>
            <w:r>
              <w:rPr>
                <w:szCs w:val="21"/>
              </w:rPr>
              <w:t>250个周期</w:t>
            </w:r>
          </w:p>
        </w:tc>
      </w:tr>
      <w:tr w14:paraId="43AFB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974" w:type="dxa"/>
            <w:vAlign w:val="center"/>
          </w:tcPr>
          <w:p w14:paraId="28000F3A">
            <w:pPr>
              <w:spacing w:before="160" w:line="360" w:lineRule="auto"/>
              <w:jc w:val="center"/>
              <w:rPr>
                <w:szCs w:val="21"/>
              </w:rPr>
            </w:pPr>
            <w:r>
              <w:rPr>
                <w:szCs w:val="21"/>
              </w:rPr>
              <w:t>试验次数</w:t>
            </w:r>
          </w:p>
        </w:tc>
        <w:tc>
          <w:tcPr>
            <w:tcW w:w="6248" w:type="dxa"/>
            <w:vAlign w:val="center"/>
          </w:tcPr>
          <w:p w14:paraId="2554DD05">
            <w:pPr>
              <w:autoSpaceDE w:val="0"/>
              <w:autoSpaceDN w:val="0"/>
              <w:spacing w:before="160" w:line="360" w:lineRule="auto"/>
              <w:jc w:val="center"/>
              <w:rPr>
                <w:szCs w:val="21"/>
              </w:rPr>
            </w:pPr>
            <w:r>
              <w:rPr>
                <w:szCs w:val="21"/>
              </w:rPr>
              <w:t>至少 10 次，每次间隔时间最少 10 s</w:t>
            </w:r>
          </w:p>
        </w:tc>
      </w:tr>
    </w:tbl>
    <w:p w14:paraId="481C57D0">
      <w:pPr>
        <w:spacing w:before="160" w:line="360" w:lineRule="auto"/>
        <w:ind w:firstLine="480" w:firstLineChars="200"/>
        <w:rPr>
          <w:sz w:val="24"/>
          <w:szCs w:val="24"/>
        </w:rPr>
      </w:pPr>
      <w:r>
        <w:rPr>
          <w:sz w:val="24"/>
          <w:szCs w:val="24"/>
        </w:rPr>
        <w:t>恢复正常通电后，检查流量计工作是否正常，存贮的数据是否保持不变。</w:t>
      </w:r>
    </w:p>
    <w:p w14:paraId="0261B024">
      <w:pPr>
        <w:spacing w:before="160" w:line="360" w:lineRule="auto"/>
        <w:rPr>
          <w:sz w:val="24"/>
          <w:szCs w:val="24"/>
        </w:rPr>
      </w:pPr>
      <w:r>
        <w:rPr>
          <w:sz w:val="24"/>
          <w:szCs w:val="24"/>
        </w:rPr>
        <w:t>10.8.4.5 合格判据</w:t>
      </w:r>
    </w:p>
    <w:p w14:paraId="78AF05EE">
      <w:pPr>
        <w:spacing w:before="160" w:line="360" w:lineRule="auto"/>
        <w:ind w:firstLine="600" w:firstLineChars="250"/>
        <w:rPr>
          <w:sz w:val="24"/>
          <w:szCs w:val="24"/>
        </w:rPr>
      </w:pPr>
      <w:r>
        <w:rPr>
          <w:sz w:val="24"/>
          <w:szCs w:val="24"/>
        </w:rPr>
        <w:t>在电压暂降和短时中断抗扰度试验后，流量计应符合第7.8.6条的要求。</w:t>
      </w:r>
    </w:p>
    <w:p w14:paraId="60A4FF73">
      <w:pPr>
        <w:pStyle w:val="2"/>
        <w:spacing w:before="160" w:after="0" w:line="360" w:lineRule="auto"/>
        <w:rPr>
          <w:b w:val="0"/>
          <w:iCs/>
          <w:color w:val="000000" w:themeColor="text1"/>
          <w:sz w:val="24"/>
          <w:szCs w:val="21"/>
          <w14:textFill>
            <w14:solidFill>
              <w14:schemeClr w14:val="tx1"/>
            </w14:solidFill>
          </w14:textFill>
        </w:rPr>
      </w:pPr>
      <w:bookmarkStart w:id="335" w:name="_Toc19466"/>
      <w:bookmarkStart w:id="336" w:name="_Toc23089"/>
      <w:bookmarkStart w:id="337" w:name="_Toc221090939"/>
      <w:bookmarkStart w:id="338" w:name="_Toc28504"/>
      <w:bookmarkStart w:id="339" w:name="_Toc185070225"/>
      <w:r>
        <w:rPr>
          <w:rFonts w:hint="eastAsia"/>
          <w:b w:val="0"/>
          <w:iCs/>
          <w:color w:val="000000" w:themeColor="text1"/>
          <w:sz w:val="24"/>
          <w:szCs w:val="21"/>
          <w14:textFill>
            <w14:solidFill>
              <w14:schemeClr w14:val="tx1"/>
            </w14:solidFill>
          </w14:textFill>
        </w:rPr>
        <w:t>10.9 流体扰动测试</w:t>
      </w:r>
      <w:bookmarkEnd w:id="335"/>
      <w:bookmarkEnd w:id="336"/>
      <w:bookmarkEnd w:id="337"/>
      <w:bookmarkEnd w:id="338"/>
    </w:p>
    <w:p w14:paraId="34E8D816">
      <w:pPr>
        <w:pStyle w:val="17"/>
        <w:spacing w:before="160" w:line="360" w:lineRule="auto"/>
        <w:ind w:firstLine="0"/>
        <w:rPr>
          <w:szCs w:val="24"/>
        </w:rPr>
      </w:pPr>
      <w:bookmarkStart w:id="340" w:name="_Toc130468551"/>
      <w:bookmarkStart w:id="341" w:name="_Toc24067"/>
      <w:bookmarkStart w:id="342" w:name="_Toc13012"/>
      <w:bookmarkStart w:id="343" w:name="_Toc4449"/>
      <w:bookmarkStart w:id="344" w:name="_Toc11729"/>
      <w:bookmarkStart w:id="345" w:name="_Toc6346"/>
      <w:bookmarkStart w:id="346" w:name="_Toc457808154"/>
      <w:bookmarkStart w:id="347" w:name="_Toc501210821"/>
      <w:bookmarkStart w:id="348" w:name="_Toc457808616"/>
      <w:bookmarkStart w:id="349" w:name="_Toc457807290"/>
      <w:r>
        <w:rPr>
          <w:rFonts w:hint="eastAsia"/>
          <w:szCs w:val="24"/>
        </w:rPr>
        <w:t>10.9</w:t>
      </w:r>
      <w:r>
        <w:rPr>
          <w:szCs w:val="24"/>
        </w:rPr>
        <w:t>.1 试验目的</w:t>
      </w:r>
      <w:bookmarkEnd w:id="340"/>
      <w:bookmarkEnd w:id="341"/>
      <w:bookmarkEnd w:id="342"/>
      <w:bookmarkEnd w:id="343"/>
      <w:bookmarkEnd w:id="344"/>
      <w:bookmarkEnd w:id="345"/>
    </w:p>
    <w:p w14:paraId="63B6A0C0">
      <w:pPr>
        <w:pStyle w:val="17"/>
        <w:spacing w:before="160" w:line="360" w:lineRule="auto"/>
        <w:ind w:firstLine="480" w:firstLineChars="200"/>
        <w:rPr>
          <w:szCs w:val="24"/>
        </w:rPr>
      </w:pPr>
      <w:bookmarkStart w:id="350" w:name="_Toc26202"/>
      <w:bookmarkStart w:id="351" w:name="_Toc130468552"/>
      <w:bookmarkStart w:id="352" w:name="_Toc19964"/>
      <w:bookmarkStart w:id="353" w:name="_Toc11253"/>
      <w:bookmarkStart w:id="354" w:name="_Toc11404"/>
      <w:bookmarkStart w:id="355" w:name="_Toc26444"/>
      <w:r>
        <w:rPr>
          <w:szCs w:val="24"/>
        </w:rPr>
        <w:t>检验流量计流体扰动试验是否符合 7.</w:t>
      </w:r>
      <w:r>
        <w:rPr>
          <w:rFonts w:hint="eastAsia"/>
          <w:szCs w:val="24"/>
        </w:rPr>
        <w:t>8</w:t>
      </w:r>
      <w:r>
        <w:rPr>
          <w:szCs w:val="24"/>
        </w:rPr>
        <w:t xml:space="preserve"> 的要求。</w:t>
      </w:r>
      <w:bookmarkEnd w:id="350"/>
      <w:bookmarkEnd w:id="351"/>
      <w:bookmarkEnd w:id="352"/>
      <w:bookmarkEnd w:id="353"/>
      <w:bookmarkEnd w:id="354"/>
      <w:bookmarkEnd w:id="355"/>
    </w:p>
    <w:p w14:paraId="7041E101">
      <w:pPr>
        <w:pStyle w:val="17"/>
        <w:spacing w:before="160" w:line="360" w:lineRule="auto"/>
        <w:ind w:firstLine="0"/>
        <w:rPr>
          <w:szCs w:val="24"/>
        </w:rPr>
      </w:pPr>
      <w:bookmarkStart w:id="356" w:name="_Toc23556"/>
      <w:bookmarkStart w:id="357" w:name="_Toc19514"/>
      <w:bookmarkStart w:id="358" w:name="_Toc29624"/>
      <w:bookmarkStart w:id="359" w:name="_Toc130468553"/>
      <w:bookmarkStart w:id="360" w:name="_Toc16482"/>
      <w:bookmarkStart w:id="361" w:name="_Toc4167"/>
      <w:r>
        <w:rPr>
          <w:rFonts w:hint="eastAsia"/>
          <w:szCs w:val="24"/>
        </w:rPr>
        <w:t>10.9</w:t>
      </w:r>
      <w:r>
        <w:rPr>
          <w:szCs w:val="24"/>
        </w:rPr>
        <w:t>.2 试验条件</w:t>
      </w:r>
      <w:bookmarkEnd w:id="356"/>
      <w:bookmarkEnd w:id="357"/>
      <w:bookmarkEnd w:id="358"/>
      <w:bookmarkEnd w:id="359"/>
      <w:bookmarkEnd w:id="360"/>
      <w:bookmarkEnd w:id="361"/>
    </w:p>
    <w:p w14:paraId="2A61DBDA">
      <w:pPr>
        <w:pStyle w:val="17"/>
        <w:spacing w:before="160" w:line="360" w:lineRule="auto"/>
        <w:ind w:firstLine="480" w:firstLineChars="200"/>
        <w:rPr>
          <w:szCs w:val="24"/>
        </w:rPr>
      </w:pPr>
      <w:bookmarkStart w:id="362" w:name="_Toc17611"/>
      <w:bookmarkStart w:id="363" w:name="_Toc10965"/>
      <w:bookmarkStart w:id="364" w:name="_Toc23249"/>
      <w:bookmarkStart w:id="365" w:name="_Toc17716"/>
      <w:bookmarkStart w:id="366" w:name="_Toc4205"/>
      <w:bookmarkStart w:id="367" w:name="_Toc130468554"/>
      <w:r>
        <w:rPr>
          <w:rFonts w:hint="eastAsia"/>
          <w:szCs w:val="24"/>
        </w:rPr>
        <w:t>在参比条件下试验，试验介质为空气或其它气体。</w:t>
      </w:r>
      <w:bookmarkEnd w:id="362"/>
      <w:bookmarkEnd w:id="363"/>
      <w:bookmarkEnd w:id="364"/>
      <w:bookmarkEnd w:id="365"/>
      <w:bookmarkEnd w:id="366"/>
      <w:bookmarkEnd w:id="367"/>
    </w:p>
    <w:p w14:paraId="073BF0AC">
      <w:pPr>
        <w:pStyle w:val="17"/>
        <w:spacing w:before="160" w:line="360" w:lineRule="auto"/>
        <w:ind w:firstLine="0"/>
        <w:rPr>
          <w:szCs w:val="24"/>
        </w:rPr>
      </w:pPr>
      <w:bookmarkStart w:id="368" w:name="_Toc5115"/>
      <w:bookmarkStart w:id="369" w:name="_Toc23422"/>
      <w:bookmarkStart w:id="370" w:name="_Toc15561"/>
      <w:bookmarkStart w:id="371" w:name="_Toc130468555"/>
      <w:bookmarkStart w:id="372" w:name="_Toc18034"/>
      <w:bookmarkStart w:id="373" w:name="_Toc14269"/>
      <w:r>
        <w:rPr>
          <w:szCs w:val="24"/>
        </w:rPr>
        <w:t>10.9</w:t>
      </w:r>
      <w:r>
        <w:rPr>
          <w:rFonts w:hint="eastAsia"/>
          <w:szCs w:val="24"/>
        </w:rPr>
        <w:t>.3 试验设备</w:t>
      </w:r>
      <w:bookmarkEnd w:id="368"/>
      <w:bookmarkEnd w:id="369"/>
      <w:bookmarkEnd w:id="370"/>
      <w:bookmarkEnd w:id="371"/>
      <w:bookmarkEnd w:id="372"/>
      <w:bookmarkEnd w:id="373"/>
    </w:p>
    <w:p w14:paraId="218CABFC">
      <w:pPr>
        <w:pStyle w:val="17"/>
        <w:snapToGrid w:val="0"/>
        <w:spacing w:before="160" w:line="360" w:lineRule="auto"/>
        <w:ind w:firstLine="480" w:firstLineChars="200"/>
      </w:pPr>
      <w:bookmarkStart w:id="374" w:name="_Toc130468556"/>
      <w:r>
        <w:rPr>
          <w:rFonts w:hint="eastAsia"/>
        </w:rPr>
        <w:t>按 10.2.1.3 的要求，在流量计上游设置相应的扰流件</w:t>
      </w:r>
      <w:bookmarkEnd w:id="374"/>
      <w:r>
        <w:rPr>
          <w:rFonts w:hint="eastAsia"/>
        </w:rPr>
        <w:t>，对于一组标准化的扰动,应确定每一种扰动的最小间距</w:t>
      </w:r>
      <w:r>
        <w:rPr>
          <w:i/>
          <w:iCs/>
        </w:rPr>
        <w:t>L</w:t>
      </w:r>
      <w:r>
        <w:rPr>
          <w:vertAlign w:val="subscript"/>
        </w:rPr>
        <w:t>min</w:t>
      </w:r>
      <w:r>
        <w:rPr>
          <w:rFonts w:hint="eastAsia"/>
        </w:rPr>
        <w:t xml:space="preserve">，是否配置流动调整器由制造商提供： </w:t>
      </w:r>
    </w:p>
    <w:p w14:paraId="2CAEB08C">
      <w:pPr>
        <w:pStyle w:val="17"/>
        <w:snapToGrid w:val="0"/>
        <w:spacing w:before="160" w:line="360" w:lineRule="auto"/>
        <w:ind w:firstLine="480" w:firstLineChars="200"/>
      </w:pPr>
      <w:r>
        <w:rPr>
          <w:rFonts w:hint="eastAsia"/>
        </w:rPr>
        <w:t>a)参比流动条件：10.2.1中的流动条件；</w:t>
      </w:r>
    </w:p>
    <w:p w14:paraId="44B7C812">
      <w:pPr>
        <w:pStyle w:val="17"/>
        <w:snapToGrid w:val="0"/>
        <w:spacing w:before="160" w:line="360" w:lineRule="auto"/>
        <w:ind w:firstLine="480" w:firstLineChars="200"/>
      </w:pPr>
      <w:r>
        <w:rPr>
          <w:rFonts w:hint="eastAsia"/>
        </w:rPr>
        <w:t>b)典型轻微流体扰动：曲率半径为1.5</w:t>
      </w:r>
      <w:r>
        <w:rPr>
          <w:rFonts w:hint="eastAsia"/>
          <w:i/>
          <w:iCs/>
        </w:rPr>
        <w:t>D</w:t>
      </w:r>
      <w:r>
        <w:rPr>
          <w:rFonts w:hint="eastAsia"/>
        </w:rPr>
        <w:t>的一个90°弯头或管径至少缩小1倍的一个渐缩管（如图2所示），也可以是GB/T 32201-2012流量计处于正常位置。测试在生产厂家提供的最小上游直管段长度的基础上增加10D下进行。对于双向测量的流量计，应两个方向进行测试；</w:t>
      </w:r>
    </w:p>
    <w:p w14:paraId="598332E1">
      <w:pPr>
        <w:pStyle w:val="17"/>
        <w:snapToGrid w:val="0"/>
        <w:spacing w:line="360" w:lineRule="auto"/>
        <w:ind w:firstLine="480" w:firstLineChars="200"/>
        <w:jc w:val="center"/>
      </w:pPr>
      <w:r>
        <w:rPr>
          <w:rFonts w:hint="eastAsia"/>
        </w:rPr>
        <w:drawing>
          <wp:inline distT="0" distB="0" distL="114300" distR="114300">
            <wp:extent cx="1700530" cy="755650"/>
            <wp:effectExtent l="0" t="0" r="6350" b="6350"/>
            <wp:docPr id="9"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7"/>
                    <pic:cNvPicPr>
                      <a:picLocks noChangeAspect="1"/>
                    </pic:cNvPicPr>
                  </pic:nvPicPr>
                  <pic:blipFill>
                    <a:blip r:embed="rId14"/>
                    <a:stretch>
                      <a:fillRect/>
                    </a:stretch>
                  </pic:blipFill>
                  <pic:spPr>
                    <a:xfrm>
                      <a:off x="0" y="0"/>
                      <a:ext cx="1700530" cy="755650"/>
                    </a:xfrm>
                    <a:prstGeom prst="rect">
                      <a:avLst/>
                    </a:prstGeom>
                    <a:noFill/>
                    <a:ln>
                      <a:noFill/>
                    </a:ln>
                  </pic:spPr>
                </pic:pic>
              </a:graphicData>
            </a:graphic>
          </wp:inline>
        </w:drawing>
      </w:r>
      <w:r>
        <w:rPr>
          <w:rFonts w:hint="eastAsia"/>
        </w:rPr>
        <w:t xml:space="preserve">                </w:t>
      </w:r>
      <w:r>
        <w:rPr>
          <w:rFonts w:hint="eastAsia"/>
        </w:rPr>
        <w:drawing>
          <wp:inline distT="0" distB="0" distL="114300" distR="114300">
            <wp:extent cx="1338580" cy="772160"/>
            <wp:effectExtent l="0" t="0" r="2540" b="5080"/>
            <wp:docPr id="10"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8"/>
                    <pic:cNvPicPr>
                      <a:picLocks noChangeAspect="1"/>
                    </pic:cNvPicPr>
                  </pic:nvPicPr>
                  <pic:blipFill>
                    <a:blip r:embed="rId15"/>
                    <a:stretch>
                      <a:fillRect/>
                    </a:stretch>
                  </pic:blipFill>
                  <pic:spPr>
                    <a:xfrm>
                      <a:off x="0" y="0"/>
                      <a:ext cx="1338580" cy="772160"/>
                    </a:xfrm>
                    <a:prstGeom prst="rect">
                      <a:avLst/>
                    </a:prstGeom>
                    <a:noFill/>
                    <a:ln>
                      <a:noFill/>
                    </a:ln>
                  </pic:spPr>
                </pic:pic>
              </a:graphicData>
            </a:graphic>
          </wp:inline>
        </w:drawing>
      </w:r>
    </w:p>
    <w:p w14:paraId="1943C180">
      <w:pPr>
        <w:pStyle w:val="17"/>
        <w:spacing w:before="160" w:line="360" w:lineRule="auto"/>
        <w:ind w:firstLine="480" w:firstLineChars="200"/>
        <w:jc w:val="center"/>
      </w:pPr>
      <w:r>
        <w:rPr>
          <w:rFonts w:hint="eastAsia"/>
        </w:rPr>
        <w:t xml:space="preserve">       半径1.5D的90°单弯头            管径至少缩小1倍的渐缩管</w:t>
      </w:r>
    </w:p>
    <w:p w14:paraId="57630438">
      <w:pPr>
        <w:pStyle w:val="17"/>
        <w:spacing w:before="160" w:line="360" w:lineRule="auto"/>
        <w:ind w:firstLine="0"/>
        <w:jc w:val="center"/>
      </w:pPr>
      <w:r>
        <w:rPr>
          <w:rFonts w:hint="eastAsia"/>
        </w:rPr>
        <w:t>图2 典型轻微流体扰动试验用扰流件示意图</w:t>
      </w:r>
    </w:p>
    <w:p w14:paraId="0CA5C571">
      <w:pPr>
        <w:pStyle w:val="17"/>
        <w:spacing w:before="160" w:line="360" w:lineRule="auto"/>
        <w:ind w:firstLine="480" w:firstLineChars="200"/>
      </w:pPr>
      <w:r>
        <w:rPr>
          <w:rFonts w:hint="eastAsia"/>
        </w:rPr>
        <w:t>c)典型严重流体扰动：曲率半径为1.5D、弯头之间无间隔件的不在同一平面的两个90°弯头且第一个弯头后增加了半月状平板，或者管径至少增大1倍渐扩管（如图3所示），流量计处于正常位置。测试在生产厂家提供的最小上游直管段长度下进行。对于双向测量的流量计，应两个方向进行测试；</w:t>
      </w:r>
    </w:p>
    <w:p w14:paraId="4E944582">
      <w:pPr>
        <w:pStyle w:val="17"/>
        <w:tabs>
          <w:tab w:val="left" w:pos="1071"/>
          <w:tab w:val="center" w:pos="4693"/>
        </w:tabs>
        <w:spacing w:before="160" w:line="360" w:lineRule="auto"/>
        <w:ind w:firstLine="480" w:firstLineChars="200"/>
        <w:jc w:val="left"/>
      </w:pPr>
      <w:r>
        <w:rPr>
          <w:rFonts w:hint="eastAsia"/>
        </w:rPr>
        <w:tab/>
      </w:r>
      <w:r>
        <w:rPr>
          <w:rFonts w:hint="eastAsia"/>
        </w:rPr>
        <w:tab/>
      </w:r>
      <w:r>
        <w:rPr>
          <w:rFonts w:hint="eastAsia"/>
        </w:rPr>
        <w:drawing>
          <wp:inline distT="0" distB="0" distL="114300" distR="114300">
            <wp:extent cx="1478915" cy="1198245"/>
            <wp:effectExtent l="0" t="0" r="14605" b="5715"/>
            <wp:docPr id="13"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9"/>
                    <pic:cNvPicPr>
                      <a:picLocks noChangeAspect="1"/>
                    </pic:cNvPicPr>
                  </pic:nvPicPr>
                  <pic:blipFill>
                    <a:blip r:embed="rId16"/>
                    <a:stretch>
                      <a:fillRect/>
                    </a:stretch>
                  </pic:blipFill>
                  <pic:spPr>
                    <a:xfrm>
                      <a:off x="0" y="0"/>
                      <a:ext cx="1478915" cy="1198245"/>
                    </a:xfrm>
                    <a:prstGeom prst="rect">
                      <a:avLst/>
                    </a:prstGeom>
                    <a:noFill/>
                    <a:ln>
                      <a:noFill/>
                    </a:ln>
                  </pic:spPr>
                </pic:pic>
              </a:graphicData>
            </a:graphic>
          </wp:inline>
        </w:drawing>
      </w:r>
      <w:r>
        <w:rPr>
          <w:rFonts w:hint="eastAsia"/>
        </w:rPr>
        <w:t xml:space="preserve">                 </w:t>
      </w:r>
      <w:r>
        <w:rPr>
          <w:rFonts w:hint="eastAsia"/>
        </w:rPr>
        <w:drawing>
          <wp:inline distT="0" distB="0" distL="114300" distR="114300">
            <wp:extent cx="1607185" cy="919480"/>
            <wp:effectExtent l="0" t="0" r="8255" b="10160"/>
            <wp:docPr id="14"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0"/>
                    <pic:cNvPicPr>
                      <a:picLocks noChangeAspect="1"/>
                    </pic:cNvPicPr>
                  </pic:nvPicPr>
                  <pic:blipFill>
                    <a:blip r:embed="rId17"/>
                    <a:stretch>
                      <a:fillRect/>
                    </a:stretch>
                  </pic:blipFill>
                  <pic:spPr>
                    <a:xfrm>
                      <a:off x="0" y="0"/>
                      <a:ext cx="1607185" cy="919480"/>
                    </a:xfrm>
                    <a:prstGeom prst="rect">
                      <a:avLst/>
                    </a:prstGeom>
                    <a:noFill/>
                    <a:ln>
                      <a:noFill/>
                    </a:ln>
                  </pic:spPr>
                </pic:pic>
              </a:graphicData>
            </a:graphic>
          </wp:inline>
        </w:drawing>
      </w:r>
    </w:p>
    <w:p w14:paraId="293B74AE">
      <w:pPr>
        <w:pStyle w:val="17"/>
        <w:spacing w:before="160" w:line="360" w:lineRule="auto"/>
        <w:ind w:firstLine="480" w:firstLineChars="200"/>
      </w:pPr>
      <w:r>
        <w:rPr>
          <w:rFonts w:hint="eastAsia"/>
        </w:rPr>
        <w:t xml:space="preserve">     半径1.5D的90°空间弯头              管径至少扩大1倍的渐扩管</w:t>
      </w:r>
    </w:p>
    <w:p w14:paraId="68F7F2A0">
      <w:pPr>
        <w:pStyle w:val="17"/>
        <w:spacing w:before="160" w:line="360" w:lineRule="auto"/>
        <w:ind w:firstLine="480" w:firstLineChars="200"/>
        <w:jc w:val="center"/>
      </w:pPr>
      <w:r>
        <w:rPr>
          <w:rFonts w:hint="eastAsia"/>
        </w:rPr>
        <w:t>图3 典型严重流体扰动试验用扰流件示意图</w:t>
      </w:r>
    </w:p>
    <w:p w14:paraId="0B23E5E8">
      <w:pPr>
        <w:pStyle w:val="17"/>
        <w:spacing w:before="160" w:line="360" w:lineRule="auto"/>
        <w:ind w:firstLine="420" w:firstLineChars="200"/>
        <w:rPr>
          <w:rFonts w:hint="eastAsia" w:ascii="仿宋" w:hAnsi="仿宋" w:eastAsia="仿宋"/>
          <w:sz w:val="21"/>
          <w:szCs w:val="21"/>
        </w:rPr>
      </w:pPr>
      <w:r>
        <w:rPr>
          <w:rFonts w:hint="eastAsia" w:ascii="仿宋" w:hAnsi="仿宋" w:eastAsia="仿宋"/>
          <w:sz w:val="21"/>
          <w:szCs w:val="21"/>
        </w:rPr>
        <w:t>注：制造商可选择适当的流动调整器，并确定安装位置，进行上述扰动测试。</w:t>
      </w:r>
    </w:p>
    <w:p w14:paraId="7B379978">
      <w:pPr>
        <w:pStyle w:val="17"/>
        <w:spacing w:before="160" w:line="360" w:lineRule="auto"/>
        <w:ind w:firstLine="0"/>
        <w:rPr>
          <w:szCs w:val="24"/>
        </w:rPr>
      </w:pPr>
      <w:bookmarkStart w:id="375" w:name="_Toc26221"/>
      <w:bookmarkStart w:id="376" w:name="_Toc26710"/>
      <w:bookmarkStart w:id="377" w:name="_Toc32137"/>
      <w:bookmarkStart w:id="378" w:name="_Toc8686"/>
      <w:bookmarkStart w:id="379" w:name="_Toc130468557"/>
      <w:bookmarkStart w:id="380" w:name="_Toc31906"/>
      <w:r>
        <w:rPr>
          <w:rFonts w:hint="eastAsia"/>
          <w:szCs w:val="24"/>
        </w:rPr>
        <w:t>10.9</w:t>
      </w:r>
      <w:r>
        <w:rPr>
          <w:szCs w:val="24"/>
        </w:rPr>
        <w:t>.4 试验程序</w:t>
      </w:r>
      <w:bookmarkEnd w:id="375"/>
      <w:bookmarkEnd w:id="376"/>
      <w:bookmarkEnd w:id="377"/>
      <w:bookmarkEnd w:id="378"/>
      <w:bookmarkEnd w:id="379"/>
      <w:bookmarkEnd w:id="380"/>
    </w:p>
    <w:p w14:paraId="1F078689">
      <w:pPr>
        <w:pStyle w:val="17"/>
        <w:spacing w:before="160" w:line="360" w:lineRule="auto"/>
        <w:ind w:firstLine="480" w:firstLineChars="200"/>
      </w:pPr>
      <w:bookmarkStart w:id="381" w:name="_Toc130468558"/>
      <w:r>
        <w:rPr>
          <w:rFonts w:hint="eastAsia"/>
        </w:rPr>
        <w:t>在</w:t>
      </w:r>
      <w:r>
        <w:t xml:space="preserve"> </w:t>
      </w:r>
      <w:r>
        <w:rPr>
          <w:i/>
          <w:iCs/>
        </w:rPr>
        <w:t>q</w:t>
      </w:r>
      <w:r>
        <w:rPr>
          <w:vertAlign w:val="subscript"/>
        </w:rPr>
        <w:t>t</w:t>
      </w:r>
      <w:r>
        <w:rPr>
          <w:rFonts w:hint="eastAsia"/>
        </w:rPr>
        <w:t>、</w:t>
      </w:r>
      <w:r>
        <w:t>0.5</w:t>
      </w:r>
      <w:r>
        <w:rPr>
          <w:i/>
        </w:rPr>
        <w:t>q</w:t>
      </w:r>
      <w:r>
        <w:rPr>
          <w:vertAlign w:val="subscript"/>
        </w:rPr>
        <w:t>max</w:t>
      </w:r>
      <w:r>
        <w:rPr>
          <w:rFonts w:hint="eastAsia"/>
        </w:rPr>
        <w:t xml:space="preserve">和 </w:t>
      </w:r>
      <w:r>
        <w:rPr>
          <w:i/>
        </w:rPr>
        <w:t>q</w:t>
      </w:r>
      <w:r>
        <w:rPr>
          <w:vertAlign w:val="subscript"/>
        </w:rPr>
        <w:t>max</w:t>
      </w:r>
      <w:r>
        <w:rPr>
          <w:rFonts w:hint="eastAsia"/>
        </w:rPr>
        <w:t>流量点进行试验，试验参照 10.2.1</w:t>
      </w:r>
      <w:r>
        <w:t>.4</w:t>
      </w:r>
      <w:r>
        <w:rPr>
          <w:rFonts w:hint="eastAsia"/>
        </w:rPr>
        <w:t>要求进行</w:t>
      </w:r>
      <w:bookmarkEnd w:id="381"/>
      <w:r>
        <w:rPr>
          <w:rFonts w:hint="eastAsia"/>
        </w:rPr>
        <w:t>。</w:t>
      </w:r>
    </w:p>
    <w:p w14:paraId="7EC0E5A5">
      <w:pPr>
        <w:pStyle w:val="17"/>
        <w:spacing w:before="160" w:line="360" w:lineRule="auto"/>
        <w:ind w:firstLine="420" w:firstLineChars="200"/>
        <w:rPr>
          <w:rFonts w:hint="eastAsia" w:ascii="仿宋" w:hAnsi="仿宋" w:eastAsia="仿宋"/>
          <w:sz w:val="21"/>
          <w:szCs w:val="21"/>
        </w:rPr>
      </w:pPr>
      <w:r>
        <w:rPr>
          <w:rFonts w:hint="eastAsia" w:ascii="仿宋" w:hAnsi="仿宋" w:eastAsia="仿宋"/>
          <w:sz w:val="21"/>
          <w:szCs w:val="21"/>
        </w:rPr>
        <w:t>注：流量计的有扰流示值误差和无扰流示值误差的试验应采用同一套标准装置。</w:t>
      </w:r>
    </w:p>
    <w:p w14:paraId="4936EDC4">
      <w:pPr>
        <w:pStyle w:val="17"/>
        <w:spacing w:before="160" w:line="360" w:lineRule="auto"/>
        <w:ind w:firstLine="0"/>
        <w:rPr>
          <w:szCs w:val="24"/>
        </w:rPr>
      </w:pPr>
      <w:bookmarkStart w:id="382" w:name="_Toc21039"/>
      <w:bookmarkStart w:id="383" w:name="_Toc3980"/>
      <w:bookmarkStart w:id="384" w:name="_Toc10171"/>
      <w:bookmarkStart w:id="385" w:name="_Toc6080"/>
      <w:bookmarkStart w:id="386" w:name="_Toc16575"/>
      <w:bookmarkStart w:id="387" w:name="_Toc130468559"/>
      <w:r>
        <w:rPr>
          <w:rFonts w:hint="eastAsia"/>
          <w:szCs w:val="24"/>
        </w:rPr>
        <w:t>10.9</w:t>
      </w:r>
      <w:r>
        <w:rPr>
          <w:szCs w:val="24"/>
        </w:rPr>
        <w:t>.5 合格判据</w:t>
      </w:r>
      <w:bookmarkEnd w:id="382"/>
      <w:bookmarkEnd w:id="383"/>
      <w:bookmarkEnd w:id="384"/>
      <w:bookmarkEnd w:id="385"/>
      <w:bookmarkEnd w:id="386"/>
      <w:bookmarkEnd w:id="387"/>
    </w:p>
    <w:p w14:paraId="5B4C57BC">
      <w:pPr>
        <w:pStyle w:val="17"/>
        <w:spacing w:before="160" w:line="360" w:lineRule="auto"/>
        <w:ind w:firstLine="480" w:firstLineChars="200"/>
        <w:rPr>
          <w:color w:val="FF0000"/>
          <w:szCs w:val="24"/>
        </w:rPr>
      </w:pPr>
      <w:bookmarkStart w:id="388" w:name="_Toc130468560"/>
      <w:r>
        <w:t>流量计流体扰动试验结果应符合 7.</w:t>
      </w:r>
      <w:r>
        <w:rPr>
          <w:rFonts w:hint="eastAsia"/>
        </w:rPr>
        <w:t>9</w:t>
      </w:r>
      <w:r>
        <w:t xml:space="preserve"> 的要求。</w:t>
      </w:r>
      <w:bookmarkEnd w:id="346"/>
      <w:bookmarkEnd w:id="347"/>
      <w:bookmarkEnd w:id="348"/>
      <w:bookmarkEnd w:id="349"/>
      <w:bookmarkEnd w:id="388"/>
    </w:p>
    <w:p w14:paraId="1ACEB7D7">
      <w:pPr>
        <w:pStyle w:val="2"/>
        <w:spacing w:before="160" w:after="0" w:line="360" w:lineRule="auto"/>
        <w:rPr>
          <w:b w:val="0"/>
          <w:iCs/>
          <w:color w:val="000000" w:themeColor="text1"/>
          <w:sz w:val="24"/>
          <w:szCs w:val="21"/>
          <w14:textFill>
            <w14:solidFill>
              <w14:schemeClr w14:val="tx1"/>
            </w14:solidFill>
          </w14:textFill>
        </w:rPr>
      </w:pPr>
      <w:bookmarkStart w:id="389" w:name="_Toc19688"/>
      <w:bookmarkStart w:id="390" w:name="_Toc221090940"/>
      <w:r>
        <w:rPr>
          <w:rFonts w:hint="eastAsia"/>
          <w:b w:val="0"/>
          <w:iCs/>
          <w:color w:val="000000" w:themeColor="text1"/>
          <w:sz w:val="24"/>
          <w:szCs w:val="21"/>
          <w14:textFill>
            <w14:solidFill>
              <w14:schemeClr w14:val="tx1"/>
            </w14:solidFill>
          </w14:textFill>
        </w:rPr>
        <w:t>10.10 软件标识管理要求的验证</w:t>
      </w:r>
      <w:bookmarkEnd w:id="339"/>
      <w:bookmarkEnd w:id="389"/>
      <w:bookmarkEnd w:id="390"/>
    </w:p>
    <w:p w14:paraId="076F8634">
      <w:pPr>
        <w:pStyle w:val="17"/>
        <w:spacing w:before="160" w:line="360" w:lineRule="auto"/>
        <w:ind w:firstLine="0"/>
        <w:rPr>
          <w:szCs w:val="24"/>
        </w:rPr>
      </w:pPr>
      <w:r>
        <w:rPr>
          <w:rFonts w:hint="eastAsia"/>
          <w:szCs w:val="24"/>
        </w:rPr>
        <w:t>10.10.1 试验目的</w:t>
      </w:r>
    </w:p>
    <w:p w14:paraId="5C7C3D39">
      <w:pPr>
        <w:adjustRightInd w:val="0"/>
        <w:snapToGrid w:val="0"/>
        <w:spacing w:before="160" w:line="360" w:lineRule="auto"/>
        <w:ind w:firstLine="480" w:firstLineChars="200"/>
        <w:rPr>
          <w:sz w:val="24"/>
          <w:szCs w:val="24"/>
        </w:rPr>
      </w:pPr>
      <w:r>
        <w:rPr>
          <w:rFonts w:hint="eastAsia"/>
          <w:sz w:val="24"/>
          <w:szCs w:val="24"/>
        </w:rPr>
        <w:t>检验流量计的软件是否符合7.10的要求。</w:t>
      </w:r>
    </w:p>
    <w:p w14:paraId="2545A6B9">
      <w:pPr>
        <w:pStyle w:val="17"/>
        <w:spacing w:before="160" w:line="360" w:lineRule="auto"/>
        <w:ind w:firstLine="0"/>
        <w:rPr>
          <w:szCs w:val="24"/>
        </w:rPr>
      </w:pPr>
      <w:r>
        <w:rPr>
          <w:rFonts w:hint="eastAsia"/>
          <w:szCs w:val="24"/>
        </w:rPr>
        <w:t>10.10.2 试验条件</w:t>
      </w:r>
    </w:p>
    <w:p w14:paraId="7C19DA13">
      <w:pPr>
        <w:adjustRightInd w:val="0"/>
        <w:snapToGrid w:val="0"/>
        <w:spacing w:before="160" w:line="360" w:lineRule="auto"/>
        <w:ind w:firstLine="480" w:firstLineChars="200"/>
        <w:rPr>
          <w:sz w:val="24"/>
          <w:szCs w:val="24"/>
        </w:rPr>
      </w:pPr>
      <w:r>
        <w:rPr>
          <w:rFonts w:hint="eastAsia"/>
          <w:sz w:val="24"/>
          <w:szCs w:val="24"/>
        </w:rPr>
        <w:t>额定工作条件，流量计正常通电。</w:t>
      </w:r>
    </w:p>
    <w:p w14:paraId="06D00710">
      <w:pPr>
        <w:pStyle w:val="17"/>
        <w:spacing w:before="160" w:line="360" w:lineRule="auto"/>
        <w:ind w:firstLine="0"/>
        <w:rPr>
          <w:szCs w:val="24"/>
        </w:rPr>
      </w:pPr>
      <w:r>
        <w:rPr>
          <w:rFonts w:hint="eastAsia"/>
          <w:szCs w:val="24"/>
        </w:rPr>
        <w:t>10.10.3 试验设备</w:t>
      </w:r>
    </w:p>
    <w:p w14:paraId="75ABA389">
      <w:pPr>
        <w:adjustRightInd w:val="0"/>
        <w:snapToGrid w:val="0"/>
        <w:spacing w:before="160" w:line="360" w:lineRule="auto"/>
        <w:ind w:firstLine="480" w:firstLineChars="200"/>
        <w:rPr>
          <w:sz w:val="24"/>
          <w:szCs w:val="24"/>
        </w:rPr>
      </w:pPr>
      <w:r>
        <w:rPr>
          <w:rFonts w:hint="eastAsia"/>
          <w:sz w:val="24"/>
          <w:szCs w:val="24"/>
        </w:rPr>
        <w:t>利用流量计上的显示屏或装有上位机管理软件的电脑。</w:t>
      </w:r>
    </w:p>
    <w:p w14:paraId="54ADBDD9">
      <w:pPr>
        <w:pStyle w:val="17"/>
        <w:spacing w:before="160" w:line="360" w:lineRule="auto"/>
        <w:ind w:firstLine="0"/>
        <w:rPr>
          <w:szCs w:val="24"/>
        </w:rPr>
      </w:pPr>
      <w:r>
        <w:rPr>
          <w:rFonts w:hint="eastAsia"/>
          <w:szCs w:val="24"/>
        </w:rPr>
        <w:t>10.10.4 试验程序</w:t>
      </w:r>
    </w:p>
    <w:p w14:paraId="28590A12">
      <w:pPr>
        <w:adjustRightInd w:val="0"/>
        <w:snapToGrid w:val="0"/>
        <w:spacing w:before="160" w:line="360" w:lineRule="auto"/>
        <w:rPr>
          <w:sz w:val="24"/>
          <w:szCs w:val="24"/>
        </w:rPr>
      </w:pPr>
      <w:r>
        <w:rPr>
          <w:rFonts w:hint="eastAsia"/>
          <w:sz w:val="24"/>
          <w:szCs w:val="24"/>
        </w:rPr>
        <w:t>10.10.4.1 对带有点阵式液晶显示屏的流量计，直接通过按键查询软件标识，也即固件版本号、固件校验码、参数版本号和参数校验码。</w:t>
      </w:r>
    </w:p>
    <w:p w14:paraId="7AE41F04">
      <w:pPr>
        <w:adjustRightInd w:val="0"/>
        <w:snapToGrid w:val="0"/>
        <w:spacing w:before="160" w:line="360" w:lineRule="auto"/>
        <w:rPr>
          <w:sz w:val="24"/>
          <w:szCs w:val="24"/>
        </w:rPr>
      </w:pPr>
      <w:r>
        <w:rPr>
          <w:rFonts w:hint="eastAsia"/>
          <w:sz w:val="24"/>
          <w:szCs w:val="24"/>
        </w:rPr>
        <w:t>10.10.4.2 对于未配备点阵式液晶显示屏的流量计，流量计可通过串口或以太网口与上位机管理软件的电脑连接，查询固件版本号、固件校验码、参数版本号和参数校验码。</w:t>
      </w:r>
    </w:p>
    <w:p w14:paraId="1C86CB6D">
      <w:pPr>
        <w:pStyle w:val="17"/>
        <w:spacing w:before="160" w:line="360" w:lineRule="auto"/>
        <w:ind w:firstLine="0"/>
        <w:rPr>
          <w:szCs w:val="24"/>
        </w:rPr>
      </w:pPr>
      <w:r>
        <w:rPr>
          <w:rFonts w:hint="eastAsia"/>
          <w:szCs w:val="24"/>
        </w:rPr>
        <w:t>10.10.5 合格判据</w:t>
      </w:r>
    </w:p>
    <w:p w14:paraId="7A36C885">
      <w:pPr>
        <w:adjustRightInd w:val="0"/>
        <w:snapToGrid w:val="0"/>
        <w:spacing w:before="160" w:line="360" w:lineRule="auto"/>
        <w:ind w:firstLine="480" w:firstLineChars="200"/>
        <w:rPr>
          <w:sz w:val="24"/>
          <w:szCs w:val="24"/>
        </w:rPr>
      </w:pPr>
      <w:r>
        <w:rPr>
          <w:rFonts w:hint="eastAsia"/>
          <w:sz w:val="24"/>
          <w:szCs w:val="24"/>
        </w:rPr>
        <w:t>流量计的固件版本号、固件校验码、参数版本号和参数校验码应符合7.11的要求。</w:t>
      </w:r>
    </w:p>
    <w:p w14:paraId="22B791CD">
      <w:pPr>
        <w:pStyle w:val="2"/>
        <w:spacing w:before="160" w:after="0" w:line="360" w:lineRule="auto"/>
        <w:rPr>
          <w:b w:val="0"/>
          <w:iCs/>
          <w:color w:val="000000" w:themeColor="text1"/>
          <w:sz w:val="24"/>
          <w:szCs w:val="21"/>
          <w14:textFill>
            <w14:solidFill>
              <w14:schemeClr w14:val="tx1"/>
            </w14:solidFill>
          </w14:textFill>
        </w:rPr>
      </w:pPr>
      <w:bookmarkStart w:id="391" w:name="_Toc221090941"/>
      <w:r>
        <w:rPr>
          <w:rFonts w:hint="eastAsia"/>
          <w:b w:val="0"/>
          <w:iCs/>
          <w:color w:val="000000" w:themeColor="text1"/>
          <w:sz w:val="24"/>
          <w:szCs w:val="21"/>
          <w14:textFill>
            <w14:solidFill>
              <w14:schemeClr w14:val="tx1"/>
            </w14:solidFill>
          </w14:textFill>
        </w:rPr>
        <w:t>10.11 计量性能复测</w:t>
      </w:r>
      <w:bookmarkEnd w:id="391"/>
    </w:p>
    <w:p w14:paraId="77612622">
      <w:pPr>
        <w:pStyle w:val="17"/>
        <w:spacing w:before="160" w:line="360" w:lineRule="auto"/>
        <w:ind w:firstLine="0"/>
        <w:rPr>
          <w:szCs w:val="24"/>
        </w:rPr>
      </w:pPr>
      <w:r>
        <w:rPr>
          <w:rFonts w:hint="eastAsia"/>
          <w:szCs w:val="24"/>
        </w:rPr>
        <w:t>10.11.1 试验目的</w:t>
      </w:r>
    </w:p>
    <w:p w14:paraId="6500DD30">
      <w:pPr>
        <w:adjustRightInd w:val="0"/>
        <w:snapToGrid w:val="0"/>
        <w:spacing w:before="160" w:line="360" w:lineRule="auto"/>
        <w:ind w:firstLine="480" w:firstLineChars="200"/>
        <w:rPr>
          <w:sz w:val="24"/>
          <w:szCs w:val="24"/>
        </w:rPr>
      </w:pPr>
      <w:r>
        <w:rPr>
          <w:rFonts w:hint="eastAsia"/>
          <w:sz w:val="24"/>
          <w:szCs w:val="24"/>
        </w:rPr>
        <w:t>检验流量计承受</w:t>
      </w:r>
      <w:r>
        <w:rPr>
          <w:sz w:val="24"/>
          <w:szCs w:val="24"/>
        </w:rPr>
        <w:t>安全性能</w:t>
      </w:r>
      <w:r>
        <w:rPr>
          <w:rFonts w:hint="eastAsia"/>
          <w:sz w:val="24"/>
          <w:szCs w:val="24"/>
        </w:rPr>
        <w:t>、贮存环境适应性、</w:t>
      </w:r>
      <w:r>
        <w:rPr>
          <w:sz w:val="24"/>
          <w:szCs w:val="24"/>
        </w:rPr>
        <w:t>电磁兼容</w:t>
      </w:r>
      <w:r>
        <w:rPr>
          <w:rFonts w:hint="eastAsia"/>
          <w:sz w:val="24"/>
          <w:szCs w:val="24"/>
        </w:rPr>
        <w:t>适应性试验后计量性能是否符合7.6的要求。</w:t>
      </w:r>
    </w:p>
    <w:p w14:paraId="6D325792">
      <w:pPr>
        <w:pStyle w:val="17"/>
        <w:spacing w:before="160" w:line="360" w:lineRule="auto"/>
        <w:ind w:firstLine="0"/>
        <w:rPr>
          <w:szCs w:val="24"/>
        </w:rPr>
      </w:pPr>
      <w:r>
        <w:rPr>
          <w:rFonts w:hint="eastAsia"/>
          <w:szCs w:val="24"/>
        </w:rPr>
        <w:t>10.11.2 试验条件</w:t>
      </w:r>
    </w:p>
    <w:p w14:paraId="3F5673C6">
      <w:pPr>
        <w:adjustRightInd w:val="0"/>
        <w:snapToGrid w:val="0"/>
        <w:spacing w:before="160" w:line="360" w:lineRule="auto"/>
        <w:ind w:firstLine="480" w:firstLineChars="200"/>
        <w:rPr>
          <w:sz w:val="24"/>
          <w:szCs w:val="24"/>
        </w:rPr>
      </w:pPr>
      <w:r>
        <w:rPr>
          <w:rFonts w:hint="eastAsia"/>
          <w:sz w:val="24"/>
          <w:szCs w:val="24"/>
        </w:rPr>
        <w:t>试验在参比条件下进行。</w:t>
      </w:r>
    </w:p>
    <w:p w14:paraId="72A456F5">
      <w:pPr>
        <w:pStyle w:val="17"/>
        <w:spacing w:before="160" w:line="360" w:lineRule="auto"/>
        <w:ind w:firstLine="0"/>
        <w:rPr>
          <w:szCs w:val="24"/>
        </w:rPr>
      </w:pPr>
      <w:r>
        <w:rPr>
          <w:rFonts w:hint="eastAsia"/>
          <w:szCs w:val="24"/>
        </w:rPr>
        <w:t>10.11.3 试验设备</w:t>
      </w:r>
    </w:p>
    <w:p w14:paraId="25A8E1A7">
      <w:pPr>
        <w:adjustRightInd w:val="0"/>
        <w:snapToGrid w:val="0"/>
        <w:spacing w:before="160" w:line="360" w:lineRule="auto"/>
        <w:ind w:firstLine="480" w:firstLineChars="200"/>
        <w:rPr>
          <w:sz w:val="24"/>
          <w:szCs w:val="24"/>
        </w:rPr>
      </w:pPr>
      <w:r>
        <w:rPr>
          <w:rFonts w:hint="eastAsia"/>
          <w:sz w:val="24"/>
          <w:szCs w:val="24"/>
        </w:rPr>
        <w:t>气体流量标准装置。</w:t>
      </w:r>
    </w:p>
    <w:p w14:paraId="5AE585D4">
      <w:pPr>
        <w:pStyle w:val="17"/>
        <w:spacing w:before="160" w:line="360" w:lineRule="auto"/>
        <w:ind w:firstLine="0"/>
        <w:rPr>
          <w:szCs w:val="24"/>
        </w:rPr>
      </w:pPr>
      <w:r>
        <w:rPr>
          <w:rFonts w:hint="eastAsia"/>
          <w:szCs w:val="24"/>
        </w:rPr>
        <w:t>10.11.4 试验程序</w:t>
      </w:r>
    </w:p>
    <w:p w14:paraId="324BFEC4">
      <w:pPr>
        <w:adjustRightInd w:val="0"/>
        <w:snapToGrid w:val="0"/>
        <w:spacing w:before="160" w:line="360" w:lineRule="auto"/>
        <w:ind w:firstLine="480" w:firstLineChars="200"/>
        <w:rPr>
          <w:sz w:val="24"/>
          <w:szCs w:val="24"/>
        </w:rPr>
      </w:pPr>
      <w:r>
        <w:rPr>
          <w:rFonts w:hint="eastAsia"/>
          <w:sz w:val="24"/>
          <w:szCs w:val="24"/>
        </w:rPr>
        <w:t>参照10.2.1.4~10.2.1.6的试验程序和数据处理复测流量计的示值误差和重复性，每个流量点测至少3次。</w:t>
      </w:r>
    </w:p>
    <w:p w14:paraId="28797C7F">
      <w:pPr>
        <w:pStyle w:val="17"/>
        <w:spacing w:before="160" w:line="360" w:lineRule="auto"/>
        <w:ind w:firstLine="0"/>
        <w:rPr>
          <w:szCs w:val="24"/>
        </w:rPr>
      </w:pPr>
      <w:r>
        <w:rPr>
          <w:rFonts w:hint="eastAsia"/>
          <w:szCs w:val="24"/>
        </w:rPr>
        <w:t>10.11.5 合格判据</w:t>
      </w:r>
    </w:p>
    <w:p w14:paraId="57A9DF10">
      <w:pPr>
        <w:adjustRightInd w:val="0"/>
        <w:snapToGrid w:val="0"/>
        <w:spacing w:before="160" w:line="360" w:lineRule="auto"/>
        <w:ind w:firstLine="480" w:firstLineChars="200"/>
        <w:rPr>
          <w:sz w:val="24"/>
          <w:szCs w:val="24"/>
        </w:rPr>
      </w:pPr>
      <w:r>
        <w:rPr>
          <w:rFonts w:hint="eastAsia"/>
          <w:sz w:val="24"/>
          <w:szCs w:val="24"/>
        </w:rPr>
        <w:t>流量计的计量性能应符合7.11的要求</w:t>
      </w:r>
      <w:r>
        <w:rPr>
          <w:sz w:val="24"/>
          <w:szCs w:val="24"/>
        </w:rPr>
        <w:t>。</w:t>
      </w:r>
    </w:p>
    <w:p w14:paraId="2ADF5B3B">
      <w:pPr>
        <w:pStyle w:val="36"/>
        <w:spacing w:line="259" w:lineRule="auto"/>
        <w:jc w:val="left"/>
        <w:rPr>
          <w:rFonts w:hint="eastAsia" w:ascii="宋体" w:hAnsi="宋体" w:cs="Times New Roman"/>
          <w:color w:val="000000" w:themeColor="text1"/>
          <w:sz w:val="24"/>
          <w:szCs w:val="24"/>
          <w14:textFill>
            <w14:solidFill>
              <w14:schemeClr w14:val="tx1"/>
            </w14:solidFill>
          </w14:textFill>
        </w:rPr>
      </w:pPr>
      <w:bookmarkStart w:id="392" w:name="_Toc221090942"/>
      <w:r>
        <w:rPr>
          <w:rFonts w:hint="eastAsia" w:ascii="Times New Roman" w:hAnsi="Times New Roman" w:cs="Times New Roman"/>
          <w:color w:val="000000" w:themeColor="text1"/>
          <w:sz w:val="24"/>
          <w:szCs w:val="24"/>
          <w14:textFill>
            <w14:solidFill>
              <w14:schemeClr w14:val="tx1"/>
            </w14:solidFill>
          </w14:textFill>
        </w:rPr>
        <w:t>11</w:t>
      </w:r>
      <w:r>
        <w:rPr>
          <w:rFonts w:hint="eastAsia" w:ascii="宋体" w:hAnsi="宋体" w:cs="Times New Roman"/>
          <w:color w:val="000000" w:themeColor="text1"/>
          <w14:textFill>
            <w14:solidFill>
              <w14:schemeClr w14:val="tx1"/>
            </w14:solidFill>
          </w14:textFill>
        </w:rPr>
        <w:t xml:space="preserve"> </w:t>
      </w:r>
      <w:r>
        <w:rPr>
          <w:rFonts w:hint="eastAsia" w:ascii="宋体" w:hAnsi="宋体" w:cs="Times New Roman"/>
          <w:color w:val="000000" w:themeColor="text1"/>
          <w:sz w:val="24"/>
          <w:szCs w:val="24"/>
          <w14:textFill>
            <w14:solidFill>
              <w14:schemeClr w14:val="tx1"/>
            </w14:solidFill>
          </w14:textFill>
        </w:rPr>
        <w:t>试验项目所用计量器具和设备</w:t>
      </w:r>
      <w:bookmarkEnd w:id="392"/>
    </w:p>
    <w:p w14:paraId="55BBA7EC">
      <w:pPr>
        <w:adjustRightInd w:val="0"/>
        <w:snapToGrid w:val="0"/>
        <w:spacing w:before="160" w:line="360" w:lineRule="auto"/>
        <w:ind w:firstLine="480" w:firstLineChars="200"/>
        <w:rPr>
          <w:sz w:val="24"/>
          <w:szCs w:val="24"/>
        </w:rPr>
      </w:pPr>
      <w:r>
        <w:rPr>
          <w:rFonts w:hint="eastAsia"/>
          <w:sz w:val="24"/>
          <w:szCs w:val="24"/>
        </w:rPr>
        <w:t>试验项目所用计量器具和设备应符合表16的要求。</w:t>
      </w:r>
    </w:p>
    <w:p w14:paraId="1B25D923">
      <w:pPr>
        <w:pStyle w:val="85"/>
        <w:spacing w:before="160" w:line="360" w:lineRule="auto"/>
        <w:ind w:firstLine="0" w:firstLineChars="0"/>
        <w:jc w:val="center"/>
        <w:rPr>
          <w:rFonts w:ascii="Times New Roman" w:hAnsi="Times New Roman" w:eastAsia="宋体" w:cs="Times New Roman"/>
          <w:szCs w:val="21"/>
        </w:rPr>
      </w:pPr>
      <w:r>
        <w:rPr>
          <w:rFonts w:hint="eastAsia" w:ascii="Times New Roman" w:hAnsi="Times New Roman" w:eastAsia="宋体" w:cs="Times New Roman"/>
          <w:szCs w:val="21"/>
        </w:rPr>
        <w:t>表16</w:t>
      </w:r>
      <w:r>
        <w:rPr>
          <w:rFonts w:hint="eastAsia" w:ascii="Times New Roman" w:hAnsi="Times New Roman" w:eastAsia="宋体" w:cs="Times New Roman"/>
          <w:sz w:val="24"/>
          <w:szCs w:val="21"/>
        </w:rPr>
        <w:t>试验项目所用计量器具和设备表</w:t>
      </w:r>
    </w:p>
    <w:tbl>
      <w:tblPr>
        <w:tblStyle w:val="39"/>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1703"/>
        <w:gridCol w:w="3406"/>
        <w:gridCol w:w="3969"/>
      </w:tblGrid>
      <w:tr w14:paraId="0267B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1607C35F">
            <w:pPr>
              <w:jc w:val="center"/>
              <w:rPr>
                <w:sz w:val="18"/>
                <w:szCs w:val="18"/>
              </w:rPr>
            </w:pPr>
            <w:r>
              <w:rPr>
                <w:sz w:val="18"/>
                <w:szCs w:val="18"/>
                <w:lang w:bidi="ar"/>
              </w:rPr>
              <w:t>序号</w:t>
            </w:r>
          </w:p>
        </w:tc>
        <w:tc>
          <w:tcPr>
            <w:tcW w:w="1703" w:type="dxa"/>
            <w:tcBorders>
              <w:top w:val="single" w:color="auto" w:sz="4" w:space="0"/>
              <w:left w:val="single" w:color="auto" w:sz="4" w:space="0"/>
              <w:bottom w:val="single" w:color="auto" w:sz="4" w:space="0"/>
              <w:right w:val="single" w:color="auto" w:sz="4" w:space="0"/>
            </w:tcBorders>
            <w:vAlign w:val="center"/>
          </w:tcPr>
          <w:p w14:paraId="42DEDB12">
            <w:pPr>
              <w:jc w:val="center"/>
              <w:rPr>
                <w:sz w:val="18"/>
                <w:szCs w:val="18"/>
              </w:rPr>
            </w:pPr>
            <w:r>
              <w:rPr>
                <w:sz w:val="18"/>
                <w:szCs w:val="18"/>
                <w:lang w:bidi="ar"/>
              </w:rPr>
              <w:t>试验参数或项目</w:t>
            </w:r>
          </w:p>
        </w:tc>
        <w:tc>
          <w:tcPr>
            <w:tcW w:w="3406" w:type="dxa"/>
            <w:tcBorders>
              <w:top w:val="single" w:color="auto" w:sz="4" w:space="0"/>
              <w:left w:val="single" w:color="auto" w:sz="4" w:space="0"/>
              <w:bottom w:val="single" w:color="auto" w:sz="4" w:space="0"/>
              <w:right w:val="single" w:color="auto" w:sz="4" w:space="0"/>
            </w:tcBorders>
            <w:vAlign w:val="center"/>
          </w:tcPr>
          <w:p w14:paraId="7A8706EB">
            <w:pPr>
              <w:jc w:val="center"/>
              <w:rPr>
                <w:sz w:val="18"/>
                <w:szCs w:val="18"/>
              </w:rPr>
            </w:pPr>
            <w:r>
              <w:rPr>
                <w:sz w:val="18"/>
                <w:szCs w:val="18"/>
                <w:lang w:bidi="ar"/>
              </w:rPr>
              <w:t>试验设备名称</w:t>
            </w:r>
          </w:p>
        </w:tc>
        <w:tc>
          <w:tcPr>
            <w:tcW w:w="3969" w:type="dxa"/>
            <w:tcBorders>
              <w:top w:val="single" w:color="auto" w:sz="4" w:space="0"/>
              <w:left w:val="single" w:color="auto" w:sz="4" w:space="0"/>
              <w:bottom w:val="single" w:color="auto" w:sz="4" w:space="0"/>
              <w:right w:val="single" w:color="auto" w:sz="4" w:space="0"/>
            </w:tcBorders>
            <w:vAlign w:val="center"/>
          </w:tcPr>
          <w:p w14:paraId="29216D38">
            <w:pPr>
              <w:jc w:val="center"/>
              <w:rPr>
                <w:sz w:val="18"/>
                <w:szCs w:val="18"/>
              </w:rPr>
            </w:pPr>
            <w:r>
              <w:rPr>
                <w:sz w:val="18"/>
                <w:szCs w:val="18"/>
                <w:lang w:bidi="ar"/>
              </w:rPr>
              <w:t>主要性能指标及要求</w:t>
            </w:r>
          </w:p>
        </w:tc>
      </w:tr>
      <w:tr w14:paraId="4D183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2" w:type="dxa"/>
            <w:vMerge w:val="restart"/>
            <w:tcBorders>
              <w:top w:val="single" w:color="auto" w:sz="4" w:space="0"/>
              <w:left w:val="single" w:color="auto" w:sz="4" w:space="0"/>
              <w:right w:val="single" w:color="auto" w:sz="4" w:space="0"/>
            </w:tcBorders>
            <w:vAlign w:val="center"/>
          </w:tcPr>
          <w:p w14:paraId="60C8E502">
            <w:pPr>
              <w:jc w:val="center"/>
              <w:rPr>
                <w:sz w:val="18"/>
                <w:szCs w:val="18"/>
              </w:rPr>
            </w:pPr>
            <w:r>
              <w:rPr>
                <w:sz w:val="18"/>
                <w:szCs w:val="18"/>
                <w:lang w:bidi="ar"/>
              </w:rPr>
              <w:t>1</w:t>
            </w:r>
          </w:p>
        </w:tc>
        <w:tc>
          <w:tcPr>
            <w:tcW w:w="1703" w:type="dxa"/>
            <w:vMerge w:val="restart"/>
            <w:tcBorders>
              <w:top w:val="single" w:color="auto" w:sz="4" w:space="0"/>
              <w:left w:val="single" w:color="auto" w:sz="4" w:space="0"/>
              <w:bottom w:val="single" w:color="auto" w:sz="4" w:space="0"/>
              <w:right w:val="single" w:color="auto" w:sz="4" w:space="0"/>
            </w:tcBorders>
            <w:vAlign w:val="center"/>
          </w:tcPr>
          <w:p w14:paraId="16066E0D">
            <w:pPr>
              <w:jc w:val="center"/>
              <w:rPr>
                <w:sz w:val="18"/>
                <w:szCs w:val="18"/>
              </w:rPr>
            </w:pPr>
            <w:r>
              <w:rPr>
                <w:rFonts w:hint="eastAsia"/>
                <w:sz w:val="18"/>
                <w:szCs w:val="18"/>
              </w:rPr>
              <w:t>流量</w:t>
            </w:r>
          </w:p>
        </w:tc>
        <w:tc>
          <w:tcPr>
            <w:tcW w:w="3406" w:type="dxa"/>
            <w:tcBorders>
              <w:top w:val="single" w:color="auto" w:sz="4" w:space="0"/>
              <w:left w:val="single" w:color="auto" w:sz="4" w:space="0"/>
              <w:bottom w:val="single" w:color="auto" w:sz="4" w:space="0"/>
              <w:right w:val="single" w:color="auto" w:sz="4" w:space="0"/>
            </w:tcBorders>
            <w:vAlign w:val="center"/>
          </w:tcPr>
          <w:p w14:paraId="0FB8978E">
            <w:pPr>
              <w:jc w:val="left"/>
              <w:rPr>
                <w:sz w:val="18"/>
                <w:szCs w:val="18"/>
              </w:rPr>
            </w:pPr>
            <w:r>
              <w:rPr>
                <w:rFonts w:hint="eastAsia" w:cs="宋体"/>
                <w:sz w:val="18"/>
                <w:szCs w:val="18"/>
              </w:rPr>
              <w:t>气体流量标准装置（如皂膜标准装置、标准表法标准装置、钟罩式标准装置和活塞式标准装置 ）</w:t>
            </w:r>
          </w:p>
        </w:tc>
        <w:tc>
          <w:tcPr>
            <w:tcW w:w="3969" w:type="dxa"/>
            <w:tcBorders>
              <w:top w:val="single" w:color="auto" w:sz="4" w:space="0"/>
              <w:left w:val="single" w:color="auto" w:sz="4" w:space="0"/>
              <w:bottom w:val="single" w:color="auto" w:sz="4" w:space="0"/>
              <w:right w:val="single" w:color="auto" w:sz="4" w:space="0"/>
            </w:tcBorders>
            <w:vAlign w:val="center"/>
          </w:tcPr>
          <w:p w14:paraId="379AEA38">
            <w:pPr>
              <w:rPr>
                <w:sz w:val="18"/>
                <w:szCs w:val="18"/>
                <w:lang w:bidi="ar"/>
              </w:rPr>
            </w:pPr>
            <w:r>
              <w:rPr>
                <w:rFonts w:hint="eastAsia" w:cs="宋体"/>
                <w:sz w:val="18"/>
                <w:szCs w:val="18"/>
              </w:rPr>
              <w:t>流量范围覆盖流量计工作范围；可克服流量计压力损失。扩展不确定度：不大于流量计最大允许误差绝对值的1/3。</w:t>
            </w:r>
          </w:p>
        </w:tc>
      </w:tr>
      <w:tr w14:paraId="32FCD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2" w:type="dxa"/>
            <w:vMerge w:val="continue"/>
            <w:tcBorders>
              <w:left w:val="single" w:color="auto" w:sz="4" w:space="0"/>
              <w:right w:val="single" w:color="auto" w:sz="4" w:space="0"/>
            </w:tcBorders>
            <w:vAlign w:val="center"/>
          </w:tcPr>
          <w:p w14:paraId="345DB407">
            <w:pPr>
              <w:jc w:val="center"/>
              <w:rPr>
                <w:sz w:val="18"/>
                <w:szCs w:val="18"/>
                <w:lang w:bidi="ar"/>
              </w:rPr>
            </w:pPr>
          </w:p>
        </w:tc>
        <w:tc>
          <w:tcPr>
            <w:tcW w:w="1703" w:type="dxa"/>
            <w:vMerge w:val="continue"/>
            <w:tcBorders>
              <w:top w:val="single" w:color="auto" w:sz="4" w:space="0"/>
              <w:left w:val="single" w:color="auto" w:sz="4" w:space="0"/>
              <w:bottom w:val="single" w:color="auto" w:sz="4" w:space="0"/>
              <w:right w:val="single" w:color="auto" w:sz="4" w:space="0"/>
            </w:tcBorders>
            <w:vAlign w:val="center"/>
          </w:tcPr>
          <w:p w14:paraId="09D03076">
            <w:pPr>
              <w:jc w:val="center"/>
              <w:rPr>
                <w:sz w:val="18"/>
                <w:szCs w:val="18"/>
                <w:lang w:bidi="ar"/>
              </w:rPr>
            </w:pPr>
          </w:p>
        </w:tc>
        <w:tc>
          <w:tcPr>
            <w:tcW w:w="3406" w:type="dxa"/>
            <w:tcBorders>
              <w:top w:val="single" w:color="auto" w:sz="4" w:space="0"/>
              <w:left w:val="single" w:color="auto" w:sz="4" w:space="0"/>
              <w:bottom w:val="single" w:color="auto" w:sz="4" w:space="0"/>
              <w:right w:val="single" w:color="auto" w:sz="4" w:space="0"/>
            </w:tcBorders>
            <w:vAlign w:val="center"/>
          </w:tcPr>
          <w:p w14:paraId="12DFD006">
            <w:pPr>
              <w:jc w:val="left"/>
              <w:rPr>
                <w:sz w:val="18"/>
                <w:szCs w:val="18"/>
                <w:lang w:bidi="ar"/>
              </w:rPr>
            </w:pPr>
            <w:r>
              <w:rPr>
                <w:rFonts w:hint="eastAsia" w:cs="宋体"/>
                <w:sz w:val="18"/>
                <w:szCs w:val="18"/>
              </w:rPr>
              <w:t>温度测量仪表</w:t>
            </w:r>
          </w:p>
        </w:tc>
        <w:tc>
          <w:tcPr>
            <w:tcW w:w="3969" w:type="dxa"/>
            <w:tcBorders>
              <w:top w:val="single" w:color="auto" w:sz="4" w:space="0"/>
              <w:left w:val="single" w:color="auto" w:sz="4" w:space="0"/>
              <w:bottom w:val="single" w:color="auto" w:sz="4" w:space="0"/>
              <w:right w:val="single" w:color="auto" w:sz="4" w:space="0"/>
            </w:tcBorders>
            <w:vAlign w:val="center"/>
          </w:tcPr>
          <w:p w14:paraId="2F3C2FA7">
            <w:pPr>
              <w:jc w:val="left"/>
              <w:rPr>
                <w:sz w:val="18"/>
                <w:szCs w:val="18"/>
                <w:lang w:bidi="ar"/>
              </w:rPr>
            </w:pPr>
            <w:r>
              <w:rPr>
                <w:rFonts w:hint="eastAsia"/>
                <w:sz w:val="18"/>
                <w:szCs w:val="18"/>
              </w:rPr>
              <w:t>扩展不确定度（</w:t>
            </w:r>
            <w:r>
              <w:rPr>
                <w:i/>
                <w:sz w:val="18"/>
                <w:szCs w:val="18"/>
              </w:rPr>
              <w:t>k</w:t>
            </w:r>
            <w:r>
              <w:rPr>
                <w:rFonts w:hint="eastAsia"/>
                <w:sz w:val="18"/>
                <w:szCs w:val="18"/>
              </w:rPr>
              <w:t>=2）应等于或优于流量计最大允许误差绝对值的</w:t>
            </w:r>
            <w:r>
              <w:rPr>
                <w:sz w:val="18"/>
                <w:szCs w:val="18"/>
              </w:rPr>
              <w:t xml:space="preserve"> </w:t>
            </w:r>
            <w:r>
              <w:rPr>
                <w:rFonts w:hint="eastAsia" w:hAnsi="宋体" w:cs="黑体"/>
                <w:kern w:val="0"/>
                <w:sz w:val="18"/>
                <w:szCs w:val="18"/>
              </w:rPr>
              <w:t>1/5</w:t>
            </w:r>
          </w:p>
        </w:tc>
      </w:tr>
      <w:tr w14:paraId="254FB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2" w:type="dxa"/>
            <w:vMerge w:val="continue"/>
            <w:tcBorders>
              <w:left w:val="single" w:color="auto" w:sz="4" w:space="0"/>
              <w:bottom w:val="single" w:color="auto" w:sz="4" w:space="0"/>
              <w:right w:val="single" w:color="auto" w:sz="4" w:space="0"/>
            </w:tcBorders>
            <w:vAlign w:val="center"/>
          </w:tcPr>
          <w:p w14:paraId="292B6109">
            <w:pPr>
              <w:jc w:val="center"/>
              <w:rPr>
                <w:sz w:val="18"/>
                <w:szCs w:val="18"/>
                <w:lang w:bidi="ar"/>
              </w:rPr>
            </w:pPr>
          </w:p>
        </w:tc>
        <w:tc>
          <w:tcPr>
            <w:tcW w:w="1703" w:type="dxa"/>
            <w:vMerge w:val="continue"/>
            <w:tcBorders>
              <w:top w:val="single" w:color="auto" w:sz="4" w:space="0"/>
              <w:left w:val="single" w:color="auto" w:sz="4" w:space="0"/>
              <w:bottom w:val="single" w:color="auto" w:sz="4" w:space="0"/>
              <w:right w:val="single" w:color="auto" w:sz="4" w:space="0"/>
            </w:tcBorders>
            <w:vAlign w:val="center"/>
          </w:tcPr>
          <w:p w14:paraId="00365C1B">
            <w:pPr>
              <w:jc w:val="center"/>
              <w:rPr>
                <w:sz w:val="18"/>
                <w:szCs w:val="18"/>
                <w:lang w:bidi="ar"/>
              </w:rPr>
            </w:pPr>
          </w:p>
        </w:tc>
        <w:tc>
          <w:tcPr>
            <w:tcW w:w="3406" w:type="dxa"/>
            <w:tcBorders>
              <w:top w:val="single" w:color="auto" w:sz="4" w:space="0"/>
              <w:left w:val="single" w:color="auto" w:sz="4" w:space="0"/>
              <w:bottom w:val="single" w:color="auto" w:sz="4" w:space="0"/>
              <w:right w:val="single" w:color="auto" w:sz="4" w:space="0"/>
            </w:tcBorders>
            <w:vAlign w:val="center"/>
          </w:tcPr>
          <w:p w14:paraId="40783660">
            <w:pPr>
              <w:jc w:val="left"/>
              <w:rPr>
                <w:sz w:val="18"/>
                <w:szCs w:val="18"/>
                <w:lang w:bidi="ar"/>
              </w:rPr>
            </w:pPr>
            <w:r>
              <w:rPr>
                <w:rFonts w:hint="eastAsia" w:cs="宋体"/>
                <w:sz w:val="18"/>
                <w:szCs w:val="18"/>
              </w:rPr>
              <w:t>压力测量仪表</w:t>
            </w:r>
          </w:p>
        </w:tc>
        <w:tc>
          <w:tcPr>
            <w:tcW w:w="3969" w:type="dxa"/>
            <w:tcBorders>
              <w:top w:val="single" w:color="auto" w:sz="4" w:space="0"/>
              <w:left w:val="single" w:color="auto" w:sz="4" w:space="0"/>
              <w:bottom w:val="single" w:color="auto" w:sz="4" w:space="0"/>
              <w:right w:val="single" w:color="auto" w:sz="4" w:space="0"/>
            </w:tcBorders>
            <w:vAlign w:val="center"/>
          </w:tcPr>
          <w:p w14:paraId="5ECACE0D">
            <w:pPr>
              <w:jc w:val="left"/>
              <w:rPr>
                <w:sz w:val="18"/>
                <w:szCs w:val="18"/>
                <w:lang w:bidi="ar"/>
              </w:rPr>
            </w:pPr>
            <w:r>
              <w:rPr>
                <w:rFonts w:hint="eastAsia"/>
                <w:sz w:val="18"/>
                <w:szCs w:val="18"/>
              </w:rPr>
              <w:t>扩展不确定度（</w:t>
            </w:r>
            <w:r>
              <w:rPr>
                <w:i/>
                <w:sz w:val="18"/>
                <w:szCs w:val="18"/>
              </w:rPr>
              <w:t>k</w:t>
            </w:r>
            <w:r>
              <w:rPr>
                <w:rFonts w:hint="eastAsia"/>
                <w:sz w:val="18"/>
                <w:szCs w:val="18"/>
              </w:rPr>
              <w:t>=2）应等于或优于流量计最大允许误差绝对值的</w:t>
            </w:r>
            <w:r>
              <w:rPr>
                <w:sz w:val="18"/>
                <w:szCs w:val="18"/>
              </w:rPr>
              <w:t xml:space="preserve"> </w:t>
            </w:r>
            <w:r>
              <w:rPr>
                <w:rFonts w:hint="eastAsia" w:hAnsi="宋体" w:cs="黑体"/>
                <w:kern w:val="0"/>
                <w:sz w:val="18"/>
                <w:szCs w:val="18"/>
              </w:rPr>
              <w:t>1/5</w:t>
            </w:r>
          </w:p>
        </w:tc>
      </w:tr>
      <w:tr w14:paraId="2A15D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7DC86134">
            <w:pPr>
              <w:jc w:val="center"/>
              <w:rPr>
                <w:color w:val="auto"/>
                <w:sz w:val="18"/>
                <w:szCs w:val="18"/>
                <w:highlight w:val="none"/>
              </w:rPr>
            </w:pPr>
            <w:r>
              <w:rPr>
                <w:color w:val="auto"/>
                <w:sz w:val="18"/>
                <w:szCs w:val="18"/>
                <w:highlight w:val="none"/>
                <w:lang w:bidi="ar"/>
              </w:rPr>
              <w:t>2</w:t>
            </w:r>
          </w:p>
        </w:tc>
        <w:tc>
          <w:tcPr>
            <w:tcW w:w="1703" w:type="dxa"/>
            <w:tcBorders>
              <w:top w:val="single" w:color="auto" w:sz="4" w:space="0"/>
              <w:left w:val="single" w:color="auto" w:sz="4" w:space="0"/>
              <w:bottom w:val="single" w:color="auto" w:sz="4" w:space="0"/>
              <w:right w:val="single" w:color="auto" w:sz="4" w:space="0"/>
            </w:tcBorders>
            <w:vAlign w:val="center"/>
          </w:tcPr>
          <w:p w14:paraId="0B45F1EB">
            <w:pPr>
              <w:jc w:val="center"/>
              <w:rPr>
                <w:color w:val="auto"/>
                <w:sz w:val="18"/>
                <w:szCs w:val="18"/>
                <w:highlight w:val="none"/>
              </w:rPr>
            </w:pPr>
            <w:r>
              <w:rPr>
                <w:color w:val="auto"/>
                <w:sz w:val="18"/>
                <w:szCs w:val="18"/>
                <w:highlight w:val="none"/>
              </w:rPr>
              <w:t>耐压强度</w:t>
            </w:r>
          </w:p>
        </w:tc>
        <w:tc>
          <w:tcPr>
            <w:tcW w:w="3406" w:type="dxa"/>
            <w:tcBorders>
              <w:top w:val="single" w:color="auto" w:sz="4" w:space="0"/>
              <w:left w:val="single" w:color="auto" w:sz="4" w:space="0"/>
              <w:bottom w:val="single" w:color="auto" w:sz="4" w:space="0"/>
              <w:right w:val="single" w:color="auto" w:sz="4" w:space="0"/>
            </w:tcBorders>
            <w:vAlign w:val="center"/>
          </w:tcPr>
          <w:p w14:paraId="155E78C0">
            <w:pPr>
              <w:widowControl/>
              <w:rPr>
                <w:color w:val="auto"/>
                <w:sz w:val="18"/>
                <w:szCs w:val="18"/>
                <w:highlight w:val="none"/>
              </w:rPr>
            </w:pPr>
            <w:r>
              <w:rPr>
                <w:color w:val="auto"/>
                <w:sz w:val="18"/>
                <w:szCs w:val="18"/>
                <w:highlight w:val="none"/>
              </w:rPr>
              <w:t>耐</w:t>
            </w:r>
            <w:r>
              <w:rPr>
                <w:rFonts w:hint="eastAsia" w:cs="宋体"/>
                <w:color w:val="auto"/>
                <w:sz w:val="18"/>
                <w:szCs w:val="18"/>
                <w:highlight w:val="none"/>
              </w:rPr>
              <w:t>静压试验装置</w:t>
            </w:r>
          </w:p>
        </w:tc>
        <w:tc>
          <w:tcPr>
            <w:tcW w:w="3969" w:type="dxa"/>
            <w:tcBorders>
              <w:top w:val="single" w:color="auto" w:sz="4" w:space="0"/>
              <w:left w:val="single" w:color="auto" w:sz="4" w:space="0"/>
              <w:bottom w:val="single" w:color="auto" w:sz="4" w:space="0"/>
              <w:right w:val="single" w:color="auto" w:sz="4" w:space="0"/>
            </w:tcBorders>
            <w:vAlign w:val="center"/>
          </w:tcPr>
          <w:p w14:paraId="644B0FF3">
            <w:pPr>
              <w:rPr>
                <w:color w:val="auto"/>
                <w:kern w:val="0"/>
                <w:sz w:val="18"/>
                <w:szCs w:val="18"/>
                <w:highlight w:val="none"/>
              </w:rPr>
            </w:pPr>
            <w:r>
              <w:rPr>
                <w:rFonts w:hint="eastAsia"/>
                <w:color w:val="auto"/>
                <w:kern w:val="0"/>
                <w:sz w:val="18"/>
                <w:szCs w:val="18"/>
                <w:highlight w:val="none"/>
              </w:rPr>
              <w:t>试验压力可达流量计1.5倍公称压力</w:t>
            </w:r>
          </w:p>
          <w:p w14:paraId="2EAFD1F1">
            <w:pPr>
              <w:rPr>
                <w:color w:val="auto"/>
                <w:sz w:val="18"/>
                <w:szCs w:val="18"/>
                <w:highlight w:val="none"/>
              </w:rPr>
            </w:pPr>
            <w:r>
              <w:rPr>
                <w:rFonts w:hint="eastAsia"/>
                <w:color w:val="auto"/>
                <w:kern w:val="0"/>
                <w:sz w:val="18"/>
                <w:szCs w:val="18"/>
                <w:highlight w:val="none"/>
              </w:rPr>
              <w:t>压力计准确度等级：</w:t>
            </w:r>
            <w:r>
              <w:rPr>
                <w:color w:val="auto"/>
                <w:sz w:val="18"/>
                <w:szCs w:val="18"/>
                <w:highlight w:val="none"/>
              </w:rPr>
              <w:t xml:space="preserve"> 1</w:t>
            </w:r>
            <w:r>
              <w:rPr>
                <w:rFonts w:hint="eastAsia"/>
                <w:color w:val="auto"/>
                <w:sz w:val="18"/>
                <w:szCs w:val="18"/>
                <w:highlight w:val="none"/>
              </w:rPr>
              <w:t>.0</w:t>
            </w:r>
            <w:r>
              <w:rPr>
                <w:color w:val="auto"/>
                <w:sz w:val="18"/>
                <w:szCs w:val="18"/>
                <w:highlight w:val="none"/>
              </w:rPr>
              <w:t>级</w:t>
            </w:r>
          </w:p>
        </w:tc>
      </w:tr>
      <w:tr w14:paraId="2B119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23D68E4A">
            <w:pPr>
              <w:jc w:val="center"/>
              <w:rPr>
                <w:color w:val="auto"/>
                <w:sz w:val="18"/>
                <w:szCs w:val="18"/>
                <w:highlight w:val="none"/>
              </w:rPr>
            </w:pPr>
            <w:r>
              <w:rPr>
                <w:color w:val="auto"/>
                <w:sz w:val="18"/>
                <w:szCs w:val="18"/>
                <w:highlight w:val="none"/>
                <w:lang w:bidi="ar"/>
              </w:rPr>
              <w:t>3</w:t>
            </w:r>
          </w:p>
        </w:tc>
        <w:tc>
          <w:tcPr>
            <w:tcW w:w="1703" w:type="dxa"/>
            <w:tcBorders>
              <w:top w:val="single" w:color="auto" w:sz="4" w:space="0"/>
              <w:left w:val="single" w:color="auto" w:sz="4" w:space="0"/>
              <w:bottom w:val="single" w:color="auto" w:sz="4" w:space="0"/>
              <w:right w:val="single" w:color="auto" w:sz="4" w:space="0"/>
            </w:tcBorders>
            <w:vAlign w:val="center"/>
          </w:tcPr>
          <w:p w14:paraId="791D67C6">
            <w:pPr>
              <w:jc w:val="center"/>
              <w:rPr>
                <w:color w:val="auto"/>
                <w:sz w:val="18"/>
                <w:szCs w:val="18"/>
                <w:highlight w:val="none"/>
              </w:rPr>
            </w:pPr>
            <w:r>
              <w:rPr>
                <w:color w:val="auto"/>
                <w:sz w:val="18"/>
                <w:szCs w:val="18"/>
                <w:highlight w:val="none"/>
              </w:rPr>
              <w:t>密封性</w:t>
            </w:r>
          </w:p>
        </w:tc>
        <w:tc>
          <w:tcPr>
            <w:tcW w:w="3406" w:type="dxa"/>
            <w:tcBorders>
              <w:top w:val="single" w:color="auto" w:sz="4" w:space="0"/>
              <w:left w:val="single" w:color="auto" w:sz="4" w:space="0"/>
              <w:bottom w:val="single" w:color="auto" w:sz="4" w:space="0"/>
              <w:right w:val="single" w:color="auto" w:sz="4" w:space="0"/>
            </w:tcBorders>
            <w:vAlign w:val="center"/>
          </w:tcPr>
          <w:p w14:paraId="78230E4A">
            <w:pPr>
              <w:rPr>
                <w:color w:val="auto"/>
                <w:sz w:val="18"/>
                <w:szCs w:val="18"/>
                <w:highlight w:val="none"/>
              </w:rPr>
            </w:pPr>
            <w:r>
              <w:rPr>
                <w:color w:val="auto"/>
                <w:sz w:val="18"/>
                <w:szCs w:val="18"/>
                <w:highlight w:val="none"/>
              </w:rPr>
              <w:t>密封性试验</w:t>
            </w:r>
            <w:r>
              <w:rPr>
                <w:rFonts w:hint="eastAsia" w:cs="宋体"/>
                <w:color w:val="auto"/>
                <w:sz w:val="18"/>
                <w:szCs w:val="18"/>
                <w:highlight w:val="none"/>
              </w:rPr>
              <w:t>装置</w:t>
            </w:r>
          </w:p>
        </w:tc>
        <w:tc>
          <w:tcPr>
            <w:tcW w:w="3969" w:type="dxa"/>
            <w:tcBorders>
              <w:top w:val="single" w:color="auto" w:sz="4" w:space="0"/>
              <w:left w:val="single" w:color="auto" w:sz="4" w:space="0"/>
              <w:bottom w:val="single" w:color="auto" w:sz="4" w:space="0"/>
              <w:right w:val="single" w:color="auto" w:sz="4" w:space="0"/>
            </w:tcBorders>
            <w:vAlign w:val="center"/>
          </w:tcPr>
          <w:p w14:paraId="73E8145B">
            <w:pPr>
              <w:rPr>
                <w:color w:val="auto"/>
                <w:kern w:val="0"/>
                <w:sz w:val="18"/>
                <w:szCs w:val="18"/>
                <w:highlight w:val="none"/>
              </w:rPr>
            </w:pPr>
            <w:r>
              <w:rPr>
                <w:rFonts w:hint="eastAsia"/>
                <w:color w:val="auto"/>
                <w:kern w:val="0"/>
                <w:sz w:val="18"/>
                <w:szCs w:val="18"/>
                <w:highlight w:val="none"/>
              </w:rPr>
              <w:t>试验压力可达流量计1.1倍最大工作压力</w:t>
            </w:r>
          </w:p>
          <w:p w14:paraId="2961E16B">
            <w:pPr>
              <w:rPr>
                <w:color w:val="auto"/>
                <w:sz w:val="18"/>
                <w:szCs w:val="18"/>
                <w:highlight w:val="none"/>
              </w:rPr>
            </w:pPr>
            <w:r>
              <w:rPr>
                <w:rFonts w:hint="eastAsia"/>
                <w:color w:val="auto"/>
                <w:kern w:val="0"/>
                <w:sz w:val="18"/>
                <w:szCs w:val="18"/>
                <w:highlight w:val="none"/>
              </w:rPr>
              <w:t>压力计准确度等级：</w:t>
            </w:r>
            <w:r>
              <w:rPr>
                <w:color w:val="auto"/>
                <w:sz w:val="18"/>
                <w:szCs w:val="18"/>
                <w:highlight w:val="none"/>
              </w:rPr>
              <w:t xml:space="preserve"> 1</w:t>
            </w:r>
            <w:r>
              <w:rPr>
                <w:rFonts w:hint="eastAsia"/>
                <w:color w:val="auto"/>
                <w:sz w:val="18"/>
                <w:szCs w:val="18"/>
                <w:highlight w:val="none"/>
              </w:rPr>
              <w:t>.0</w:t>
            </w:r>
            <w:r>
              <w:rPr>
                <w:color w:val="auto"/>
                <w:sz w:val="18"/>
                <w:szCs w:val="18"/>
                <w:highlight w:val="none"/>
              </w:rPr>
              <w:t>级</w:t>
            </w:r>
          </w:p>
        </w:tc>
      </w:tr>
      <w:tr w14:paraId="142B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5BFB33E0">
            <w:pPr>
              <w:jc w:val="center"/>
              <w:rPr>
                <w:color w:val="auto"/>
                <w:sz w:val="18"/>
                <w:szCs w:val="18"/>
                <w:highlight w:val="none"/>
              </w:rPr>
            </w:pPr>
            <w:r>
              <w:rPr>
                <w:color w:val="auto"/>
                <w:sz w:val="18"/>
                <w:szCs w:val="18"/>
                <w:highlight w:val="none"/>
                <w:lang w:bidi="ar"/>
              </w:rPr>
              <w:t>4</w:t>
            </w:r>
          </w:p>
        </w:tc>
        <w:tc>
          <w:tcPr>
            <w:tcW w:w="1703" w:type="dxa"/>
            <w:tcBorders>
              <w:top w:val="single" w:color="auto" w:sz="4" w:space="0"/>
              <w:left w:val="single" w:color="auto" w:sz="4" w:space="0"/>
              <w:bottom w:val="single" w:color="auto" w:sz="4" w:space="0"/>
              <w:right w:val="single" w:color="auto" w:sz="4" w:space="0"/>
            </w:tcBorders>
            <w:vAlign w:val="center"/>
          </w:tcPr>
          <w:p w14:paraId="4F0211FC">
            <w:pPr>
              <w:jc w:val="center"/>
              <w:rPr>
                <w:color w:val="auto"/>
                <w:sz w:val="18"/>
                <w:szCs w:val="18"/>
                <w:highlight w:val="none"/>
              </w:rPr>
            </w:pPr>
            <w:r>
              <w:rPr>
                <w:color w:val="auto"/>
                <w:sz w:val="18"/>
                <w:szCs w:val="18"/>
                <w:highlight w:val="none"/>
                <w:lang w:bidi="ar"/>
              </w:rPr>
              <w:t>绝缘电阻</w:t>
            </w:r>
          </w:p>
        </w:tc>
        <w:tc>
          <w:tcPr>
            <w:tcW w:w="3406" w:type="dxa"/>
            <w:tcBorders>
              <w:top w:val="single" w:color="auto" w:sz="4" w:space="0"/>
              <w:left w:val="single" w:color="auto" w:sz="4" w:space="0"/>
              <w:bottom w:val="single" w:color="auto" w:sz="4" w:space="0"/>
              <w:right w:val="single" w:color="auto" w:sz="4" w:space="0"/>
            </w:tcBorders>
            <w:vAlign w:val="center"/>
          </w:tcPr>
          <w:p w14:paraId="1D78C2D2">
            <w:pPr>
              <w:jc w:val="center"/>
              <w:rPr>
                <w:color w:val="auto"/>
                <w:sz w:val="18"/>
                <w:szCs w:val="18"/>
                <w:highlight w:val="none"/>
              </w:rPr>
            </w:pPr>
            <w:r>
              <w:rPr>
                <w:color w:val="auto"/>
                <w:sz w:val="18"/>
                <w:szCs w:val="18"/>
                <w:highlight w:val="none"/>
                <w:lang w:bidi="ar"/>
              </w:rPr>
              <w:t>兆欧表、绝缘电阻表、绝缘电阻测试仪</w:t>
            </w:r>
          </w:p>
        </w:tc>
        <w:tc>
          <w:tcPr>
            <w:tcW w:w="3969" w:type="dxa"/>
            <w:tcBorders>
              <w:top w:val="single" w:color="auto" w:sz="4" w:space="0"/>
              <w:left w:val="single" w:color="auto" w:sz="4" w:space="0"/>
              <w:bottom w:val="single" w:color="auto" w:sz="4" w:space="0"/>
              <w:right w:val="single" w:color="auto" w:sz="4" w:space="0"/>
            </w:tcBorders>
            <w:vAlign w:val="center"/>
          </w:tcPr>
          <w:p w14:paraId="3CD6B6B3">
            <w:pPr>
              <w:jc w:val="left"/>
              <w:rPr>
                <w:color w:val="auto"/>
                <w:sz w:val="18"/>
                <w:szCs w:val="18"/>
                <w:highlight w:val="none"/>
              </w:rPr>
            </w:pPr>
            <w:r>
              <w:rPr>
                <w:color w:val="auto"/>
                <w:sz w:val="18"/>
                <w:szCs w:val="18"/>
                <w:highlight w:val="none"/>
                <w:lang w:bidi="ar"/>
              </w:rPr>
              <w:t>不低于10级</w:t>
            </w:r>
          </w:p>
        </w:tc>
      </w:tr>
      <w:tr w14:paraId="572DC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6E23E30D">
            <w:pPr>
              <w:jc w:val="center"/>
              <w:rPr>
                <w:color w:val="auto"/>
                <w:sz w:val="18"/>
                <w:szCs w:val="18"/>
                <w:highlight w:val="none"/>
              </w:rPr>
            </w:pPr>
            <w:r>
              <w:rPr>
                <w:color w:val="auto"/>
                <w:sz w:val="18"/>
                <w:szCs w:val="18"/>
                <w:highlight w:val="none"/>
                <w:lang w:bidi="ar"/>
              </w:rPr>
              <w:t>5</w:t>
            </w:r>
          </w:p>
        </w:tc>
        <w:tc>
          <w:tcPr>
            <w:tcW w:w="1703" w:type="dxa"/>
            <w:tcBorders>
              <w:top w:val="single" w:color="auto" w:sz="4" w:space="0"/>
              <w:left w:val="single" w:color="auto" w:sz="4" w:space="0"/>
              <w:bottom w:val="single" w:color="auto" w:sz="4" w:space="0"/>
              <w:right w:val="single" w:color="auto" w:sz="4" w:space="0"/>
            </w:tcBorders>
            <w:vAlign w:val="center"/>
          </w:tcPr>
          <w:p w14:paraId="71CA6640">
            <w:pPr>
              <w:jc w:val="center"/>
              <w:rPr>
                <w:color w:val="auto"/>
                <w:sz w:val="18"/>
                <w:szCs w:val="18"/>
                <w:highlight w:val="none"/>
              </w:rPr>
            </w:pPr>
            <w:r>
              <w:rPr>
                <w:color w:val="auto"/>
                <w:sz w:val="18"/>
                <w:szCs w:val="18"/>
                <w:highlight w:val="none"/>
                <w:lang w:bidi="ar"/>
              </w:rPr>
              <w:t>绝缘强度</w:t>
            </w:r>
          </w:p>
        </w:tc>
        <w:tc>
          <w:tcPr>
            <w:tcW w:w="3406" w:type="dxa"/>
            <w:tcBorders>
              <w:top w:val="single" w:color="auto" w:sz="4" w:space="0"/>
              <w:left w:val="single" w:color="auto" w:sz="4" w:space="0"/>
              <w:bottom w:val="single" w:color="auto" w:sz="4" w:space="0"/>
              <w:right w:val="single" w:color="auto" w:sz="4" w:space="0"/>
            </w:tcBorders>
            <w:vAlign w:val="center"/>
          </w:tcPr>
          <w:p w14:paraId="7CC1A141">
            <w:pPr>
              <w:jc w:val="center"/>
              <w:rPr>
                <w:color w:val="auto"/>
                <w:sz w:val="18"/>
                <w:szCs w:val="18"/>
                <w:highlight w:val="none"/>
              </w:rPr>
            </w:pPr>
            <w:r>
              <w:rPr>
                <w:color w:val="auto"/>
                <w:sz w:val="18"/>
                <w:szCs w:val="18"/>
                <w:highlight w:val="none"/>
                <w:lang w:bidi="ar"/>
              </w:rPr>
              <w:t>耐压测试仪</w:t>
            </w:r>
          </w:p>
        </w:tc>
        <w:tc>
          <w:tcPr>
            <w:tcW w:w="3969" w:type="dxa"/>
            <w:tcBorders>
              <w:top w:val="single" w:color="auto" w:sz="4" w:space="0"/>
              <w:left w:val="single" w:color="auto" w:sz="4" w:space="0"/>
              <w:bottom w:val="single" w:color="auto" w:sz="4" w:space="0"/>
              <w:right w:val="single" w:color="auto" w:sz="4" w:space="0"/>
            </w:tcBorders>
            <w:vAlign w:val="center"/>
          </w:tcPr>
          <w:p w14:paraId="2B542C22">
            <w:pPr>
              <w:jc w:val="left"/>
              <w:rPr>
                <w:color w:val="auto"/>
                <w:sz w:val="18"/>
                <w:szCs w:val="18"/>
                <w:highlight w:val="none"/>
              </w:rPr>
            </w:pPr>
            <w:r>
              <w:rPr>
                <w:color w:val="auto"/>
                <w:sz w:val="18"/>
                <w:szCs w:val="18"/>
                <w:highlight w:val="none"/>
                <w:lang w:bidi="ar"/>
              </w:rPr>
              <w:t>不低于5级</w:t>
            </w:r>
          </w:p>
        </w:tc>
      </w:tr>
      <w:tr w14:paraId="7DEEB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136BD546">
            <w:pPr>
              <w:jc w:val="center"/>
              <w:rPr>
                <w:color w:val="auto"/>
                <w:sz w:val="18"/>
                <w:szCs w:val="18"/>
                <w:highlight w:val="none"/>
              </w:rPr>
            </w:pPr>
            <w:r>
              <w:rPr>
                <w:color w:val="auto"/>
                <w:sz w:val="18"/>
                <w:szCs w:val="18"/>
                <w:highlight w:val="none"/>
                <w:lang w:bidi="ar"/>
              </w:rPr>
              <w:t>6</w:t>
            </w:r>
          </w:p>
        </w:tc>
        <w:tc>
          <w:tcPr>
            <w:tcW w:w="1703" w:type="dxa"/>
            <w:tcBorders>
              <w:top w:val="single" w:color="auto" w:sz="4" w:space="0"/>
              <w:left w:val="single" w:color="auto" w:sz="4" w:space="0"/>
              <w:bottom w:val="single" w:color="auto" w:sz="4" w:space="0"/>
              <w:right w:val="single" w:color="auto" w:sz="4" w:space="0"/>
            </w:tcBorders>
            <w:vAlign w:val="center"/>
          </w:tcPr>
          <w:p w14:paraId="2AE1ABD5">
            <w:pPr>
              <w:jc w:val="center"/>
              <w:rPr>
                <w:color w:val="auto"/>
                <w:sz w:val="18"/>
                <w:szCs w:val="18"/>
                <w:highlight w:val="none"/>
              </w:rPr>
            </w:pPr>
            <w:r>
              <w:rPr>
                <w:rFonts w:hint="eastAsia" w:cs="宋体"/>
                <w:color w:val="auto"/>
                <w:sz w:val="18"/>
                <w:szCs w:val="18"/>
                <w:highlight w:val="none"/>
              </w:rPr>
              <w:t>贮存环境适应性</w:t>
            </w:r>
          </w:p>
        </w:tc>
        <w:tc>
          <w:tcPr>
            <w:tcW w:w="3406" w:type="dxa"/>
            <w:tcBorders>
              <w:top w:val="single" w:color="auto" w:sz="4" w:space="0"/>
              <w:left w:val="single" w:color="auto" w:sz="4" w:space="0"/>
              <w:bottom w:val="single" w:color="auto" w:sz="4" w:space="0"/>
              <w:right w:val="single" w:color="auto" w:sz="4" w:space="0"/>
            </w:tcBorders>
            <w:vAlign w:val="center"/>
          </w:tcPr>
          <w:p w14:paraId="2E89D635">
            <w:pPr>
              <w:jc w:val="left"/>
              <w:rPr>
                <w:color w:val="auto"/>
                <w:sz w:val="18"/>
                <w:szCs w:val="18"/>
                <w:highlight w:val="none"/>
              </w:rPr>
            </w:pPr>
            <w:r>
              <w:rPr>
                <w:rFonts w:hint="eastAsia" w:cs="宋体"/>
                <w:color w:val="auto"/>
                <w:sz w:val="18"/>
                <w:szCs w:val="18"/>
                <w:highlight w:val="none"/>
              </w:rPr>
              <w:t>高低温湿热试验装置</w:t>
            </w:r>
          </w:p>
        </w:tc>
        <w:tc>
          <w:tcPr>
            <w:tcW w:w="3969" w:type="dxa"/>
            <w:tcBorders>
              <w:top w:val="single" w:color="auto" w:sz="4" w:space="0"/>
              <w:left w:val="single" w:color="auto" w:sz="4" w:space="0"/>
              <w:bottom w:val="single" w:color="auto" w:sz="4" w:space="0"/>
              <w:right w:val="single" w:color="auto" w:sz="4" w:space="0"/>
            </w:tcBorders>
            <w:vAlign w:val="center"/>
          </w:tcPr>
          <w:p w14:paraId="78EB8232">
            <w:pPr>
              <w:rPr>
                <w:color w:val="auto"/>
                <w:sz w:val="18"/>
                <w:szCs w:val="18"/>
                <w:highlight w:val="none"/>
              </w:rPr>
            </w:pPr>
            <w:r>
              <w:rPr>
                <w:rFonts w:hint="eastAsia" w:cs="宋体"/>
                <w:color w:val="auto"/>
                <w:sz w:val="18"/>
                <w:szCs w:val="18"/>
                <w:highlight w:val="none"/>
              </w:rPr>
              <w:t xml:space="preserve">技术性能：符合 </w:t>
            </w:r>
            <w:r>
              <w:rPr>
                <w:color w:val="auto"/>
                <w:sz w:val="18"/>
                <w:szCs w:val="18"/>
                <w:highlight w:val="none"/>
              </w:rPr>
              <w:t xml:space="preserve">GB/T </w:t>
            </w:r>
            <w:r>
              <w:rPr>
                <w:rFonts w:hint="eastAsia"/>
                <w:color w:val="auto"/>
                <w:sz w:val="18"/>
                <w:szCs w:val="18"/>
                <w:highlight w:val="none"/>
              </w:rPr>
              <w:t>2423.1、</w:t>
            </w:r>
            <w:r>
              <w:rPr>
                <w:rFonts w:hint="eastAsia" w:cs="宋体"/>
                <w:color w:val="auto"/>
                <w:sz w:val="18"/>
                <w:szCs w:val="18"/>
                <w:highlight w:val="none"/>
              </w:rPr>
              <w:t xml:space="preserve"> </w:t>
            </w:r>
            <w:r>
              <w:rPr>
                <w:color w:val="auto"/>
                <w:sz w:val="18"/>
                <w:szCs w:val="18"/>
                <w:highlight w:val="none"/>
              </w:rPr>
              <w:t xml:space="preserve">GB/T </w:t>
            </w:r>
            <w:r>
              <w:rPr>
                <w:rFonts w:hint="eastAsia"/>
                <w:color w:val="auto"/>
                <w:sz w:val="18"/>
                <w:szCs w:val="18"/>
                <w:highlight w:val="none"/>
              </w:rPr>
              <w:t>2423.2、</w:t>
            </w:r>
            <w:r>
              <w:rPr>
                <w:rFonts w:hint="eastAsia" w:cs="宋体"/>
                <w:color w:val="auto"/>
                <w:sz w:val="18"/>
                <w:szCs w:val="18"/>
                <w:highlight w:val="none"/>
              </w:rPr>
              <w:t xml:space="preserve"> </w:t>
            </w:r>
            <w:r>
              <w:rPr>
                <w:color w:val="auto"/>
                <w:sz w:val="18"/>
                <w:szCs w:val="18"/>
                <w:highlight w:val="none"/>
              </w:rPr>
              <w:t xml:space="preserve">GB/T </w:t>
            </w:r>
            <w:r>
              <w:rPr>
                <w:rFonts w:hint="eastAsia"/>
                <w:color w:val="auto"/>
                <w:sz w:val="18"/>
                <w:szCs w:val="18"/>
                <w:highlight w:val="none"/>
              </w:rPr>
              <w:t>2423.3和 GB/T 2423.4</w:t>
            </w:r>
            <w:r>
              <w:rPr>
                <w:rFonts w:hint="eastAsia" w:cs="宋体"/>
                <w:color w:val="auto"/>
                <w:sz w:val="18"/>
                <w:szCs w:val="18"/>
                <w:highlight w:val="none"/>
              </w:rPr>
              <w:t>的要求。</w:t>
            </w:r>
          </w:p>
        </w:tc>
      </w:tr>
      <w:tr w14:paraId="08C7D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4A93DAED">
            <w:pPr>
              <w:jc w:val="center"/>
              <w:rPr>
                <w:color w:val="auto"/>
                <w:sz w:val="18"/>
                <w:szCs w:val="18"/>
                <w:highlight w:val="none"/>
                <w:lang w:bidi="ar"/>
              </w:rPr>
            </w:pPr>
            <w:r>
              <w:rPr>
                <w:rFonts w:hint="eastAsia"/>
                <w:color w:val="auto"/>
                <w:sz w:val="18"/>
                <w:szCs w:val="18"/>
                <w:highlight w:val="none"/>
                <w:lang w:bidi="ar"/>
              </w:rPr>
              <w:t>7</w:t>
            </w:r>
          </w:p>
        </w:tc>
        <w:tc>
          <w:tcPr>
            <w:tcW w:w="1703" w:type="dxa"/>
            <w:tcBorders>
              <w:top w:val="single" w:color="auto" w:sz="4" w:space="0"/>
              <w:left w:val="single" w:color="auto" w:sz="4" w:space="0"/>
              <w:bottom w:val="single" w:color="auto" w:sz="4" w:space="0"/>
              <w:right w:val="single" w:color="auto" w:sz="4" w:space="0"/>
            </w:tcBorders>
            <w:vAlign w:val="center"/>
          </w:tcPr>
          <w:p w14:paraId="2542963C">
            <w:pPr>
              <w:jc w:val="center"/>
              <w:rPr>
                <w:color w:val="auto"/>
                <w:sz w:val="18"/>
                <w:szCs w:val="18"/>
                <w:highlight w:val="none"/>
                <w:lang w:bidi="ar"/>
              </w:rPr>
            </w:pPr>
            <w:r>
              <w:rPr>
                <w:rFonts w:hint="eastAsia" w:cs="宋体"/>
                <w:color w:val="auto"/>
                <w:sz w:val="18"/>
                <w:szCs w:val="18"/>
                <w:highlight w:val="none"/>
              </w:rPr>
              <w:t>机械冲击和振动</w:t>
            </w:r>
          </w:p>
        </w:tc>
        <w:tc>
          <w:tcPr>
            <w:tcW w:w="3406" w:type="dxa"/>
            <w:tcBorders>
              <w:top w:val="single" w:color="auto" w:sz="4" w:space="0"/>
              <w:left w:val="single" w:color="auto" w:sz="4" w:space="0"/>
              <w:bottom w:val="single" w:color="auto" w:sz="4" w:space="0"/>
              <w:right w:val="single" w:color="auto" w:sz="4" w:space="0"/>
            </w:tcBorders>
            <w:vAlign w:val="center"/>
          </w:tcPr>
          <w:p w14:paraId="068A3100">
            <w:pPr>
              <w:jc w:val="left"/>
              <w:rPr>
                <w:color w:val="auto"/>
                <w:sz w:val="18"/>
                <w:szCs w:val="18"/>
                <w:highlight w:val="none"/>
                <w:lang w:bidi="ar"/>
              </w:rPr>
            </w:pPr>
            <w:r>
              <w:rPr>
                <w:rFonts w:hint="eastAsia" w:cs="宋体"/>
                <w:color w:val="auto"/>
                <w:sz w:val="18"/>
                <w:szCs w:val="18"/>
                <w:highlight w:val="none"/>
              </w:rPr>
              <w:t>机械冲击和振动试验台</w:t>
            </w:r>
          </w:p>
        </w:tc>
        <w:tc>
          <w:tcPr>
            <w:tcW w:w="3969" w:type="dxa"/>
            <w:tcBorders>
              <w:top w:val="single" w:color="auto" w:sz="4" w:space="0"/>
              <w:left w:val="single" w:color="auto" w:sz="4" w:space="0"/>
              <w:bottom w:val="single" w:color="auto" w:sz="4" w:space="0"/>
              <w:right w:val="single" w:color="auto" w:sz="4" w:space="0"/>
            </w:tcBorders>
            <w:vAlign w:val="center"/>
          </w:tcPr>
          <w:p w14:paraId="7E867F20">
            <w:pPr>
              <w:rPr>
                <w:color w:val="auto"/>
                <w:sz w:val="18"/>
                <w:szCs w:val="18"/>
                <w:highlight w:val="none"/>
                <w:lang w:bidi="ar"/>
              </w:rPr>
            </w:pPr>
            <w:r>
              <w:rPr>
                <w:rFonts w:hint="eastAsia" w:cs="宋体"/>
                <w:color w:val="auto"/>
                <w:sz w:val="18"/>
                <w:szCs w:val="18"/>
                <w:highlight w:val="none"/>
              </w:rPr>
              <w:t>技术性能：符合GB/T 2423.43、GB/T 2423.56和</w:t>
            </w:r>
            <w:r>
              <w:rPr>
                <w:rFonts w:hint="eastAsia"/>
                <w:color w:val="auto"/>
                <w:sz w:val="18"/>
                <w:szCs w:val="18"/>
                <w:highlight w:val="none"/>
              </w:rPr>
              <w:t>GB/T 2423.7</w:t>
            </w:r>
            <w:r>
              <w:rPr>
                <w:rFonts w:hint="eastAsia" w:cs="宋体"/>
                <w:color w:val="auto"/>
                <w:sz w:val="18"/>
                <w:szCs w:val="18"/>
                <w:highlight w:val="none"/>
              </w:rPr>
              <w:t>的要求。</w:t>
            </w:r>
          </w:p>
        </w:tc>
      </w:tr>
      <w:tr w14:paraId="431CD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765C0CA1">
            <w:pPr>
              <w:jc w:val="center"/>
              <w:rPr>
                <w:color w:val="auto"/>
                <w:sz w:val="18"/>
                <w:szCs w:val="18"/>
                <w:highlight w:val="none"/>
                <w:lang w:bidi="ar"/>
              </w:rPr>
            </w:pPr>
            <w:r>
              <w:rPr>
                <w:rFonts w:hint="eastAsia" w:cs="宋体"/>
                <w:color w:val="auto"/>
                <w:sz w:val="18"/>
                <w:szCs w:val="18"/>
                <w:highlight w:val="none"/>
              </w:rPr>
              <w:t>8</w:t>
            </w:r>
          </w:p>
        </w:tc>
        <w:tc>
          <w:tcPr>
            <w:tcW w:w="1703" w:type="dxa"/>
            <w:tcBorders>
              <w:top w:val="single" w:color="auto" w:sz="4" w:space="0"/>
              <w:left w:val="single" w:color="auto" w:sz="4" w:space="0"/>
              <w:bottom w:val="single" w:color="auto" w:sz="4" w:space="0"/>
              <w:right w:val="single" w:color="auto" w:sz="4" w:space="0"/>
            </w:tcBorders>
            <w:vAlign w:val="center"/>
          </w:tcPr>
          <w:p w14:paraId="445D6A55">
            <w:pPr>
              <w:autoSpaceDE w:val="0"/>
              <w:autoSpaceDN w:val="0"/>
              <w:jc w:val="center"/>
              <w:rPr>
                <w:color w:val="auto"/>
                <w:sz w:val="18"/>
                <w:szCs w:val="18"/>
                <w:highlight w:val="none"/>
                <w:lang w:bidi="ar"/>
              </w:rPr>
            </w:pPr>
            <w:r>
              <w:rPr>
                <w:rFonts w:hint="eastAsia"/>
                <w:color w:val="auto"/>
                <w:kern w:val="0"/>
                <w:sz w:val="18"/>
                <w:szCs w:val="18"/>
                <w:highlight w:val="none"/>
              </w:rPr>
              <w:t>静电放电抗扰度</w:t>
            </w:r>
          </w:p>
        </w:tc>
        <w:tc>
          <w:tcPr>
            <w:tcW w:w="3406" w:type="dxa"/>
            <w:tcBorders>
              <w:top w:val="single" w:color="auto" w:sz="4" w:space="0"/>
              <w:left w:val="single" w:color="auto" w:sz="4" w:space="0"/>
              <w:bottom w:val="single" w:color="auto" w:sz="4" w:space="0"/>
              <w:right w:val="single" w:color="auto" w:sz="4" w:space="0"/>
            </w:tcBorders>
            <w:vAlign w:val="center"/>
          </w:tcPr>
          <w:p w14:paraId="4EC523CF">
            <w:pPr>
              <w:jc w:val="left"/>
              <w:rPr>
                <w:color w:val="auto"/>
                <w:sz w:val="18"/>
                <w:szCs w:val="18"/>
                <w:highlight w:val="none"/>
                <w:lang w:bidi="ar"/>
              </w:rPr>
            </w:pPr>
            <w:r>
              <w:rPr>
                <w:rFonts w:hint="eastAsia" w:cs="宋体"/>
                <w:color w:val="auto"/>
                <w:sz w:val="18"/>
                <w:szCs w:val="18"/>
                <w:highlight w:val="none"/>
              </w:rPr>
              <w:t>静电放电抗扰度试验装置</w:t>
            </w:r>
          </w:p>
        </w:tc>
        <w:tc>
          <w:tcPr>
            <w:tcW w:w="3969" w:type="dxa"/>
            <w:tcBorders>
              <w:top w:val="single" w:color="auto" w:sz="4" w:space="0"/>
              <w:left w:val="single" w:color="auto" w:sz="4" w:space="0"/>
              <w:bottom w:val="single" w:color="auto" w:sz="4" w:space="0"/>
              <w:right w:val="single" w:color="auto" w:sz="4" w:space="0"/>
            </w:tcBorders>
            <w:vAlign w:val="center"/>
          </w:tcPr>
          <w:p w14:paraId="7BFB895F">
            <w:pPr>
              <w:rPr>
                <w:rFonts w:cs="宋体"/>
                <w:color w:val="auto"/>
                <w:sz w:val="18"/>
                <w:szCs w:val="18"/>
                <w:highlight w:val="none"/>
              </w:rPr>
            </w:pPr>
            <w:r>
              <w:rPr>
                <w:rFonts w:hint="eastAsia" w:cs="宋体"/>
                <w:color w:val="auto"/>
                <w:sz w:val="18"/>
                <w:szCs w:val="18"/>
                <w:highlight w:val="none"/>
              </w:rPr>
              <w:t xml:space="preserve">技术性能：符合 </w:t>
            </w:r>
            <w:r>
              <w:rPr>
                <w:color w:val="auto"/>
                <w:sz w:val="18"/>
                <w:szCs w:val="18"/>
                <w:highlight w:val="none"/>
              </w:rPr>
              <w:t>GB/T 17626.2</w:t>
            </w:r>
            <w:r>
              <w:rPr>
                <w:rFonts w:hint="eastAsia"/>
                <w:color w:val="auto"/>
                <w:sz w:val="18"/>
                <w:szCs w:val="18"/>
                <w:highlight w:val="none"/>
              </w:rPr>
              <w:t xml:space="preserve"> </w:t>
            </w:r>
            <w:r>
              <w:rPr>
                <w:rFonts w:hint="eastAsia" w:cs="宋体"/>
                <w:color w:val="auto"/>
                <w:sz w:val="18"/>
                <w:szCs w:val="18"/>
                <w:highlight w:val="none"/>
              </w:rPr>
              <w:t>的要求。</w:t>
            </w:r>
          </w:p>
          <w:p w14:paraId="7BD20528">
            <w:pPr>
              <w:rPr>
                <w:color w:val="auto"/>
                <w:sz w:val="18"/>
                <w:szCs w:val="18"/>
                <w:highlight w:val="none"/>
                <w:lang w:bidi="ar"/>
              </w:rPr>
            </w:pPr>
            <w:r>
              <w:rPr>
                <w:rFonts w:hint="eastAsia" w:cs="宋体"/>
                <w:color w:val="auto"/>
                <w:sz w:val="18"/>
                <w:szCs w:val="18"/>
                <w:highlight w:val="none"/>
              </w:rPr>
              <w:t>试验等级：3级</w:t>
            </w:r>
          </w:p>
        </w:tc>
      </w:tr>
      <w:tr w14:paraId="3B7DD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442EE779">
            <w:pPr>
              <w:jc w:val="center"/>
              <w:rPr>
                <w:color w:val="auto"/>
                <w:sz w:val="18"/>
                <w:szCs w:val="18"/>
                <w:highlight w:val="none"/>
              </w:rPr>
            </w:pPr>
            <w:r>
              <w:rPr>
                <w:rFonts w:hint="eastAsia" w:cs="宋体"/>
                <w:color w:val="auto"/>
                <w:sz w:val="18"/>
                <w:szCs w:val="18"/>
                <w:highlight w:val="none"/>
              </w:rPr>
              <w:t>9</w:t>
            </w:r>
          </w:p>
        </w:tc>
        <w:tc>
          <w:tcPr>
            <w:tcW w:w="1703" w:type="dxa"/>
            <w:tcBorders>
              <w:top w:val="single" w:color="auto" w:sz="4" w:space="0"/>
              <w:left w:val="single" w:color="auto" w:sz="4" w:space="0"/>
              <w:bottom w:val="single" w:color="auto" w:sz="4" w:space="0"/>
              <w:right w:val="single" w:color="auto" w:sz="4" w:space="0"/>
            </w:tcBorders>
            <w:vAlign w:val="center"/>
          </w:tcPr>
          <w:p w14:paraId="5672EF43">
            <w:pPr>
              <w:autoSpaceDE w:val="0"/>
              <w:autoSpaceDN w:val="0"/>
              <w:jc w:val="center"/>
              <w:rPr>
                <w:color w:val="auto"/>
                <w:sz w:val="18"/>
                <w:szCs w:val="18"/>
                <w:highlight w:val="none"/>
              </w:rPr>
            </w:pPr>
            <w:r>
              <w:rPr>
                <w:rFonts w:hint="eastAsia"/>
                <w:color w:val="auto"/>
                <w:kern w:val="0"/>
                <w:sz w:val="18"/>
                <w:szCs w:val="18"/>
                <w:highlight w:val="none"/>
              </w:rPr>
              <w:t>电快速瞬变脉冲群抗扰度</w:t>
            </w:r>
          </w:p>
        </w:tc>
        <w:tc>
          <w:tcPr>
            <w:tcW w:w="3406" w:type="dxa"/>
            <w:tcBorders>
              <w:top w:val="single" w:color="auto" w:sz="4" w:space="0"/>
              <w:left w:val="single" w:color="auto" w:sz="4" w:space="0"/>
              <w:bottom w:val="single" w:color="auto" w:sz="4" w:space="0"/>
              <w:right w:val="single" w:color="auto" w:sz="4" w:space="0"/>
            </w:tcBorders>
            <w:vAlign w:val="center"/>
          </w:tcPr>
          <w:p w14:paraId="1251C32C">
            <w:pPr>
              <w:jc w:val="left"/>
              <w:rPr>
                <w:color w:val="auto"/>
                <w:sz w:val="18"/>
                <w:szCs w:val="18"/>
                <w:highlight w:val="none"/>
              </w:rPr>
            </w:pPr>
            <w:r>
              <w:rPr>
                <w:rFonts w:hint="eastAsia" w:cs="宋体"/>
                <w:color w:val="auto"/>
                <w:sz w:val="18"/>
                <w:szCs w:val="18"/>
                <w:highlight w:val="none"/>
              </w:rPr>
              <w:t>电快速瞬变脉冲群抗扰度试验装置</w:t>
            </w:r>
          </w:p>
        </w:tc>
        <w:tc>
          <w:tcPr>
            <w:tcW w:w="3969" w:type="dxa"/>
            <w:tcBorders>
              <w:top w:val="single" w:color="auto" w:sz="4" w:space="0"/>
              <w:left w:val="single" w:color="auto" w:sz="4" w:space="0"/>
              <w:bottom w:val="single" w:color="auto" w:sz="4" w:space="0"/>
              <w:right w:val="single" w:color="auto" w:sz="4" w:space="0"/>
            </w:tcBorders>
            <w:vAlign w:val="center"/>
          </w:tcPr>
          <w:p w14:paraId="65B91CB0">
            <w:pPr>
              <w:rPr>
                <w:rFonts w:cs="宋体"/>
                <w:color w:val="auto"/>
                <w:sz w:val="18"/>
                <w:szCs w:val="18"/>
                <w:highlight w:val="none"/>
              </w:rPr>
            </w:pPr>
            <w:r>
              <w:rPr>
                <w:rFonts w:hint="eastAsia" w:cs="宋体"/>
                <w:color w:val="auto"/>
                <w:sz w:val="18"/>
                <w:szCs w:val="18"/>
                <w:highlight w:val="none"/>
              </w:rPr>
              <w:t xml:space="preserve">技术性能：符合 </w:t>
            </w:r>
            <w:r>
              <w:rPr>
                <w:color w:val="auto"/>
                <w:sz w:val="18"/>
                <w:szCs w:val="18"/>
                <w:highlight w:val="none"/>
              </w:rPr>
              <w:t>GB/T 17626.4</w:t>
            </w:r>
            <w:r>
              <w:rPr>
                <w:rFonts w:hint="eastAsia" w:cs="宋体"/>
                <w:color w:val="auto"/>
                <w:sz w:val="18"/>
                <w:szCs w:val="18"/>
                <w:highlight w:val="none"/>
              </w:rPr>
              <w:t>的要求；</w:t>
            </w:r>
          </w:p>
          <w:p w14:paraId="098E8480">
            <w:pPr>
              <w:rPr>
                <w:color w:val="auto"/>
                <w:sz w:val="18"/>
                <w:szCs w:val="18"/>
                <w:highlight w:val="none"/>
              </w:rPr>
            </w:pPr>
            <w:r>
              <w:rPr>
                <w:rFonts w:hint="eastAsia" w:cs="宋体"/>
                <w:color w:val="auto"/>
                <w:sz w:val="18"/>
                <w:szCs w:val="18"/>
                <w:highlight w:val="none"/>
              </w:rPr>
              <w:t>试验等级：2级。</w:t>
            </w:r>
          </w:p>
        </w:tc>
      </w:tr>
      <w:tr w14:paraId="0DA1E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6704F84A">
            <w:pPr>
              <w:jc w:val="center"/>
              <w:rPr>
                <w:color w:val="auto"/>
                <w:sz w:val="18"/>
                <w:szCs w:val="18"/>
                <w:highlight w:val="none"/>
              </w:rPr>
            </w:pPr>
            <w:r>
              <w:rPr>
                <w:rFonts w:hint="eastAsia" w:cs="宋体"/>
                <w:color w:val="auto"/>
                <w:sz w:val="18"/>
                <w:szCs w:val="18"/>
                <w:highlight w:val="none"/>
              </w:rPr>
              <w:t>10</w:t>
            </w:r>
          </w:p>
        </w:tc>
        <w:tc>
          <w:tcPr>
            <w:tcW w:w="1703" w:type="dxa"/>
            <w:tcBorders>
              <w:top w:val="single" w:color="auto" w:sz="4" w:space="0"/>
              <w:left w:val="single" w:color="auto" w:sz="4" w:space="0"/>
              <w:bottom w:val="single" w:color="auto" w:sz="4" w:space="0"/>
              <w:right w:val="single" w:color="auto" w:sz="4" w:space="0"/>
            </w:tcBorders>
            <w:vAlign w:val="center"/>
          </w:tcPr>
          <w:p w14:paraId="44B6239F">
            <w:pPr>
              <w:autoSpaceDE w:val="0"/>
              <w:autoSpaceDN w:val="0"/>
              <w:jc w:val="center"/>
              <w:rPr>
                <w:color w:val="auto"/>
                <w:sz w:val="18"/>
                <w:szCs w:val="18"/>
                <w:highlight w:val="none"/>
              </w:rPr>
            </w:pPr>
            <w:r>
              <w:rPr>
                <w:rFonts w:hint="eastAsia"/>
                <w:color w:val="auto"/>
                <w:kern w:val="0"/>
                <w:sz w:val="18"/>
                <w:szCs w:val="18"/>
                <w:highlight w:val="none"/>
              </w:rPr>
              <w:t>信号 、数据和控制线上浪涌（冲击）抗扰度</w:t>
            </w:r>
          </w:p>
        </w:tc>
        <w:tc>
          <w:tcPr>
            <w:tcW w:w="3406" w:type="dxa"/>
            <w:tcBorders>
              <w:top w:val="single" w:color="auto" w:sz="4" w:space="0"/>
              <w:left w:val="single" w:color="auto" w:sz="4" w:space="0"/>
              <w:bottom w:val="single" w:color="auto" w:sz="4" w:space="0"/>
              <w:right w:val="single" w:color="auto" w:sz="4" w:space="0"/>
            </w:tcBorders>
            <w:vAlign w:val="center"/>
          </w:tcPr>
          <w:p w14:paraId="1A816474">
            <w:pPr>
              <w:jc w:val="left"/>
              <w:rPr>
                <w:color w:val="auto"/>
                <w:sz w:val="18"/>
                <w:szCs w:val="18"/>
                <w:highlight w:val="none"/>
              </w:rPr>
            </w:pPr>
            <w:r>
              <w:rPr>
                <w:rFonts w:hint="eastAsia" w:cs="宋体"/>
                <w:color w:val="auto"/>
                <w:sz w:val="18"/>
                <w:szCs w:val="18"/>
                <w:highlight w:val="none"/>
              </w:rPr>
              <w:t>浪涌（冲击）抗扰度试验装置</w:t>
            </w:r>
          </w:p>
        </w:tc>
        <w:tc>
          <w:tcPr>
            <w:tcW w:w="3969" w:type="dxa"/>
            <w:tcBorders>
              <w:top w:val="single" w:color="auto" w:sz="4" w:space="0"/>
              <w:left w:val="single" w:color="auto" w:sz="4" w:space="0"/>
              <w:bottom w:val="single" w:color="auto" w:sz="4" w:space="0"/>
              <w:right w:val="single" w:color="auto" w:sz="4" w:space="0"/>
            </w:tcBorders>
            <w:vAlign w:val="center"/>
          </w:tcPr>
          <w:p w14:paraId="70F779E0">
            <w:pPr>
              <w:rPr>
                <w:rFonts w:cs="宋体"/>
                <w:color w:val="auto"/>
                <w:sz w:val="18"/>
                <w:szCs w:val="18"/>
                <w:highlight w:val="none"/>
              </w:rPr>
            </w:pPr>
            <w:r>
              <w:rPr>
                <w:rFonts w:hint="eastAsia" w:cs="宋体"/>
                <w:color w:val="auto"/>
                <w:sz w:val="18"/>
                <w:szCs w:val="18"/>
                <w:highlight w:val="none"/>
              </w:rPr>
              <w:t xml:space="preserve">技术性能：符合 </w:t>
            </w:r>
            <w:r>
              <w:rPr>
                <w:color w:val="auto"/>
                <w:sz w:val="18"/>
                <w:szCs w:val="18"/>
                <w:highlight w:val="none"/>
              </w:rPr>
              <w:t>GB/T 17626.5</w:t>
            </w:r>
            <w:r>
              <w:rPr>
                <w:rFonts w:hint="eastAsia" w:cs="宋体"/>
                <w:color w:val="auto"/>
                <w:sz w:val="18"/>
                <w:szCs w:val="18"/>
                <w:highlight w:val="none"/>
              </w:rPr>
              <w:t>的要求；</w:t>
            </w:r>
          </w:p>
          <w:p w14:paraId="610B6801">
            <w:pPr>
              <w:rPr>
                <w:color w:val="auto"/>
                <w:sz w:val="18"/>
                <w:szCs w:val="18"/>
                <w:highlight w:val="none"/>
              </w:rPr>
            </w:pPr>
            <w:r>
              <w:rPr>
                <w:rFonts w:hint="eastAsia" w:cs="宋体"/>
                <w:color w:val="auto"/>
                <w:sz w:val="18"/>
                <w:szCs w:val="18"/>
                <w:highlight w:val="none"/>
              </w:rPr>
              <w:t>试验等级：见7.8.3。</w:t>
            </w:r>
          </w:p>
        </w:tc>
      </w:tr>
      <w:tr w14:paraId="3685E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1672978F">
            <w:pPr>
              <w:jc w:val="center"/>
              <w:rPr>
                <w:color w:val="auto"/>
                <w:sz w:val="18"/>
                <w:szCs w:val="18"/>
                <w:highlight w:val="none"/>
              </w:rPr>
            </w:pPr>
            <w:r>
              <w:rPr>
                <w:rFonts w:hint="eastAsia" w:cs="宋体"/>
                <w:color w:val="auto"/>
                <w:sz w:val="18"/>
                <w:szCs w:val="18"/>
                <w:highlight w:val="none"/>
              </w:rPr>
              <w:t>11</w:t>
            </w:r>
          </w:p>
        </w:tc>
        <w:tc>
          <w:tcPr>
            <w:tcW w:w="1703" w:type="dxa"/>
            <w:tcBorders>
              <w:top w:val="single" w:color="auto" w:sz="4" w:space="0"/>
              <w:left w:val="single" w:color="auto" w:sz="4" w:space="0"/>
              <w:bottom w:val="single" w:color="auto" w:sz="4" w:space="0"/>
              <w:right w:val="single" w:color="auto" w:sz="4" w:space="0"/>
            </w:tcBorders>
            <w:vAlign w:val="center"/>
          </w:tcPr>
          <w:p w14:paraId="452D13A7">
            <w:pPr>
              <w:autoSpaceDE w:val="0"/>
              <w:autoSpaceDN w:val="0"/>
              <w:jc w:val="center"/>
              <w:rPr>
                <w:color w:val="auto"/>
                <w:sz w:val="18"/>
                <w:szCs w:val="18"/>
                <w:highlight w:val="none"/>
              </w:rPr>
            </w:pPr>
            <w:r>
              <w:rPr>
                <w:rFonts w:hint="eastAsia"/>
                <w:color w:val="auto"/>
                <w:kern w:val="0"/>
                <w:sz w:val="18"/>
                <w:szCs w:val="18"/>
                <w:highlight w:val="none"/>
              </w:rPr>
              <w:t>静电放电抗扰度</w:t>
            </w:r>
          </w:p>
        </w:tc>
        <w:tc>
          <w:tcPr>
            <w:tcW w:w="3406" w:type="dxa"/>
            <w:tcBorders>
              <w:top w:val="single" w:color="auto" w:sz="4" w:space="0"/>
              <w:left w:val="single" w:color="auto" w:sz="4" w:space="0"/>
              <w:bottom w:val="single" w:color="auto" w:sz="4" w:space="0"/>
              <w:right w:val="single" w:color="auto" w:sz="4" w:space="0"/>
            </w:tcBorders>
            <w:vAlign w:val="center"/>
          </w:tcPr>
          <w:p w14:paraId="6D57CB2D">
            <w:pPr>
              <w:jc w:val="left"/>
              <w:rPr>
                <w:color w:val="auto"/>
                <w:sz w:val="18"/>
                <w:szCs w:val="18"/>
                <w:highlight w:val="none"/>
              </w:rPr>
            </w:pPr>
            <w:r>
              <w:rPr>
                <w:rFonts w:hint="eastAsia" w:cs="宋体"/>
                <w:color w:val="auto"/>
                <w:sz w:val="18"/>
                <w:szCs w:val="18"/>
                <w:highlight w:val="none"/>
              </w:rPr>
              <w:t>静电放电抗扰度试验装置</w:t>
            </w:r>
          </w:p>
        </w:tc>
        <w:tc>
          <w:tcPr>
            <w:tcW w:w="3969" w:type="dxa"/>
            <w:tcBorders>
              <w:top w:val="single" w:color="auto" w:sz="4" w:space="0"/>
              <w:left w:val="single" w:color="auto" w:sz="4" w:space="0"/>
              <w:bottom w:val="single" w:color="auto" w:sz="4" w:space="0"/>
              <w:right w:val="single" w:color="auto" w:sz="4" w:space="0"/>
            </w:tcBorders>
            <w:vAlign w:val="center"/>
          </w:tcPr>
          <w:p w14:paraId="5C1A718F">
            <w:pPr>
              <w:rPr>
                <w:rFonts w:cs="宋体"/>
                <w:color w:val="auto"/>
                <w:sz w:val="18"/>
                <w:szCs w:val="18"/>
                <w:highlight w:val="none"/>
              </w:rPr>
            </w:pPr>
            <w:r>
              <w:rPr>
                <w:rFonts w:hint="eastAsia" w:cs="宋体"/>
                <w:color w:val="auto"/>
                <w:sz w:val="18"/>
                <w:szCs w:val="18"/>
                <w:highlight w:val="none"/>
              </w:rPr>
              <w:t xml:space="preserve">技术性能：符合 </w:t>
            </w:r>
            <w:r>
              <w:rPr>
                <w:color w:val="auto"/>
                <w:sz w:val="18"/>
                <w:szCs w:val="18"/>
                <w:highlight w:val="none"/>
              </w:rPr>
              <w:t>GB/T 17626.2</w:t>
            </w:r>
            <w:r>
              <w:rPr>
                <w:rFonts w:hint="eastAsia"/>
                <w:color w:val="auto"/>
                <w:sz w:val="18"/>
                <w:szCs w:val="18"/>
                <w:highlight w:val="none"/>
              </w:rPr>
              <w:t xml:space="preserve"> </w:t>
            </w:r>
            <w:r>
              <w:rPr>
                <w:rFonts w:hint="eastAsia" w:cs="宋体"/>
                <w:color w:val="auto"/>
                <w:sz w:val="18"/>
                <w:szCs w:val="18"/>
                <w:highlight w:val="none"/>
              </w:rPr>
              <w:t>的要求。</w:t>
            </w:r>
          </w:p>
          <w:p w14:paraId="7D8370A8">
            <w:pPr>
              <w:rPr>
                <w:color w:val="auto"/>
                <w:sz w:val="18"/>
                <w:szCs w:val="18"/>
                <w:highlight w:val="none"/>
              </w:rPr>
            </w:pPr>
            <w:r>
              <w:rPr>
                <w:rFonts w:hint="eastAsia" w:cs="宋体"/>
                <w:color w:val="auto"/>
                <w:sz w:val="18"/>
                <w:szCs w:val="18"/>
                <w:highlight w:val="none"/>
              </w:rPr>
              <w:t>试验等级：3级</w:t>
            </w:r>
          </w:p>
        </w:tc>
      </w:tr>
      <w:tr w14:paraId="0F744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4A9320F4">
            <w:pPr>
              <w:jc w:val="center"/>
              <w:rPr>
                <w:color w:val="auto"/>
                <w:sz w:val="18"/>
                <w:szCs w:val="18"/>
                <w:highlight w:val="none"/>
              </w:rPr>
            </w:pPr>
            <w:r>
              <w:rPr>
                <w:rFonts w:hint="eastAsia" w:cs="宋体"/>
                <w:color w:val="auto"/>
                <w:sz w:val="18"/>
                <w:szCs w:val="18"/>
                <w:highlight w:val="none"/>
              </w:rPr>
              <w:t>11</w:t>
            </w:r>
          </w:p>
        </w:tc>
        <w:tc>
          <w:tcPr>
            <w:tcW w:w="1703" w:type="dxa"/>
            <w:tcBorders>
              <w:top w:val="single" w:color="auto" w:sz="4" w:space="0"/>
              <w:left w:val="single" w:color="auto" w:sz="4" w:space="0"/>
              <w:bottom w:val="single" w:color="auto" w:sz="4" w:space="0"/>
              <w:right w:val="single" w:color="auto" w:sz="4" w:space="0"/>
            </w:tcBorders>
            <w:vAlign w:val="center"/>
          </w:tcPr>
          <w:p w14:paraId="0963FEB8">
            <w:pPr>
              <w:autoSpaceDE w:val="0"/>
              <w:autoSpaceDN w:val="0"/>
              <w:jc w:val="center"/>
              <w:rPr>
                <w:color w:val="auto"/>
                <w:sz w:val="18"/>
                <w:szCs w:val="18"/>
                <w:highlight w:val="none"/>
              </w:rPr>
            </w:pPr>
            <w:r>
              <w:rPr>
                <w:rFonts w:hint="eastAsia"/>
                <w:color w:val="auto"/>
                <w:kern w:val="0"/>
                <w:sz w:val="18"/>
                <w:szCs w:val="18"/>
                <w:highlight w:val="none"/>
              </w:rPr>
              <w:t>电快速瞬变脉冲群抗扰度</w:t>
            </w:r>
          </w:p>
        </w:tc>
        <w:tc>
          <w:tcPr>
            <w:tcW w:w="3406" w:type="dxa"/>
            <w:tcBorders>
              <w:top w:val="single" w:color="auto" w:sz="4" w:space="0"/>
              <w:left w:val="single" w:color="auto" w:sz="4" w:space="0"/>
              <w:bottom w:val="single" w:color="auto" w:sz="4" w:space="0"/>
              <w:right w:val="single" w:color="auto" w:sz="4" w:space="0"/>
            </w:tcBorders>
            <w:vAlign w:val="center"/>
          </w:tcPr>
          <w:p w14:paraId="5C2F96A8">
            <w:pPr>
              <w:jc w:val="left"/>
              <w:rPr>
                <w:color w:val="auto"/>
                <w:sz w:val="18"/>
                <w:szCs w:val="18"/>
                <w:highlight w:val="none"/>
              </w:rPr>
            </w:pPr>
            <w:r>
              <w:rPr>
                <w:rFonts w:hint="eastAsia" w:cs="宋体"/>
                <w:color w:val="auto"/>
                <w:sz w:val="18"/>
                <w:szCs w:val="18"/>
                <w:highlight w:val="none"/>
              </w:rPr>
              <w:t>电快速瞬变脉冲群抗扰度试验装置</w:t>
            </w:r>
          </w:p>
        </w:tc>
        <w:tc>
          <w:tcPr>
            <w:tcW w:w="3969" w:type="dxa"/>
            <w:tcBorders>
              <w:top w:val="single" w:color="auto" w:sz="4" w:space="0"/>
              <w:left w:val="single" w:color="auto" w:sz="4" w:space="0"/>
              <w:bottom w:val="single" w:color="auto" w:sz="4" w:space="0"/>
              <w:right w:val="single" w:color="auto" w:sz="4" w:space="0"/>
            </w:tcBorders>
            <w:vAlign w:val="center"/>
          </w:tcPr>
          <w:p w14:paraId="28B3A59E">
            <w:pPr>
              <w:rPr>
                <w:rFonts w:cs="宋体"/>
                <w:color w:val="auto"/>
                <w:sz w:val="18"/>
                <w:szCs w:val="18"/>
                <w:highlight w:val="none"/>
              </w:rPr>
            </w:pPr>
            <w:r>
              <w:rPr>
                <w:rFonts w:hint="eastAsia" w:cs="宋体"/>
                <w:color w:val="auto"/>
                <w:sz w:val="18"/>
                <w:szCs w:val="18"/>
                <w:highlight w:val="none"/>
              </w:rPr>
              <w:t xml:space="preserve">技术性能：符合 </w:t>
            </w:r>
            <w:r>
              <w:rPr>
                <w:color w:val="auto"/>
                <w:sz w:val="18"/>
                <w:szCs w:val="18"/>
                <w:highlight w:val="none"/>
              </w:rPr>
              <w:t>GB/T 17626.4</w:t>
            </w:r>
            <w:r>
              <w:rPr>
                <w:rFonts w:hint="eastAsia" w:cs="宋体"/>
                <w:color w:val="auto"/>
                <w:sz w:val="18"/>
                <w:szCs w:val="18"/>
                <w:highlight w:val="none"/>
              </w:rPr>
              <w:t>的要求；</w:t>
            </w:r>
          </w:p>
          <w:p w14:paraId="0EE5582C">
            <w:pPr>
              <w:rPr>
                <w:color w:val="auto"/>
                <w:sz w:val="18"/>
                <w:szCs w:val="18"/>
                <w:highlight w:val="none"/>
              </w:rPr>
            </w:pPr>
            <w:r>
              <w:rPr>
                <w:rFonts w:hint="eastAsia" w:cs="宋体"/>
                <w:color w:val="auto"/>
                <w:sz w:val="18"/>
                <w:szCs w:val="18"/>
                <w:highlight w:val="none"/>
              </w:rPr>
              <w:t>试验等级：2级。</w:t>
            </w:r>
          </w:p>
        </w:tc>
      </w:tr>
      <w:tr w14:paraId="5EED1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7A8EF490">
            <w:pPr>
              <w:jc w:val="center"/>
              <w:rPr>
                <w:color w:val="auto"/>
                <w:sz w:val="18"/>
                <w:szCs w:val="18"/>
                <w:highlight w:val="none"/>
              </w:rPr>
            </w:pPr>
            <w:r>
              <w:rPr>
                <w:color w:val="auto"/>
                <w:sz w:val="18"/>
                <w:szCs w:val="18"/>
                <w:highlight w:val="none"/>
                <w:lang w:bidi="ar"/>
              </w:rPr>
              <w:t>12</w:t>
            </w:r>
          </w:p>
        </w:tc>
        <w:tc>
          <w:tcPr>
            <w:tcW w:w="1703" w:type="dxa"/>
            <w:tcBorders>
              <w:top w:val="single" w:color="auto" w:sz="4" w:space="0"/>
              <w:left w:val="single" w:color="auto" w:sz="4" w:space="0"/>
              <w:bottom w:val="single" w:color="auto" w:sz="4" w:space="0"/>
              <w:right w:val="single" w:color="auto" w:sz="4" w:space="0"/>
            </w:tcBorders>
            <w:vAlign w:val="center"/>
          </w:tcPr>
          <w:p w14:paraId="59492602">
            <w:pPr>
              <w:jc w:val="center"/>
              <w:rPr>
                <w:color w:val="auto"/>
                <w:sz w:val="18"/>
                <w:szCs w:val="18"/>
                <w:highlight w:val="none"/>
              </w:rPr>
            </w:pPr>
            <w:r>
              <w:rPr>
                <w:color w:val="auto"/>
                <w:sz w:val="18"/>
                <w:szCs w:val="18"/>
                <w:highlight w:val="none"/>
                <w:lang w:bidi="ar"/>
              </w:rPr>
              <w:t>电压暂降和短时中断抗扰度</w:t>
            </w:r>
          </w:p>
        </w:tc>
        <w:tc>
          <w:tcPr>
            <w:tcW w:w="3406" w:type="dxa"/>
            <w:tcBorders>
              <w:top w:val="single" w:color="auto" w:sz="4" w:space="0"/>
              <w:left w:val="single" w:color="auto" w:sz="4" w:space="0"/>
              <w:bottom w:val="single" w:color="auto" w:sz="4" w:space="0"/>
              <w:right w:val="single" w:color="auto" w:sz="4" w:space="0"/>
            </w:tcBorders>
            <w:vAlign w:val="center"/>
          </w:tcPr>
          <w:p w14:paraId="6643F191">
            <w:pPr>
              <w:jc w:val="center"/>
              <w:rPr>
                <w:color w:val="auto"/>
                <w:sz w:val="18"/>
                <w:szCs w:val="18"/>
                <w:highlight w:val="none"/>
              </w:rPr>
            </w:pPr>
            <w:r>
              <w:rPr>
                <w:color w:val="auto"/>
                <w:sz w:val="18"/>
                <w:szCs w:val="18"/>
                <w:highlight w:val="none"/>
                <w:lang w:bidi="ar"/>
              </w:rPr>
              <w:t>电压暂降和短时中断抗扰度试验装置</w:t>
            </w:r>
          </w:p>
        </w:tc>
        <w:tc>
          <w:tcPr>
            <w:tcW w:w="3969" w:type="dxa"/>
            <w:tcBorders>
              <w:top w:val="single" w:color="auto" w:sz="4" w:space="0"/>
              <w:left w:val="single" w:color="auto" w:sz="4" w:space="0"/>
              <w:bottom w:val="single" w:color="auto" w:sz="4" w:space="0"/>
              <w:right w:val="single" w:color="auto" w:sz="4" w:space="0"/>
            </w:tcBorders>
            <w:vAlign w:val="center"/>
          </w:tcPr>
          <w:p w14:paraId="57973585">
            <w:pPr>
              <w:jc w:val="left"/>
              <w:rPr>
                <w:color w:val="auto"/>
                <w:sz w:val="18"/>
                <w:szCs w:val="18"/>
                <w:highlight w:val="none"/>
              </w:rPr>
            </w:pPr>
            <w:r>
              <w:rPr>
                <w:color w:val="auto"/>
                <w:sz w:val="18"/>
                <w:szCs w:val="18"/>
                <w:highlight w:val="none"/>
                <w:lang w:bidi="ar"/>
              </w:rPr>
              <w:t>技术性能:符合 GB/T 17626.11的要求</w:t>
            </w:r>
          </w:p>
        </w:tc>
      </w:tr>
      <w:tr w14:paraId="7D08F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14:paraId="4828C252">
            <w:pPr>
              <w:jc w:val="center"/>
              <w:rPr>
                <w:color w:val="auto"/>
                <w:sz w:val="18"/>
                <w:szCs w:val="18"/>
                <w:highlight w:val="none"/>
                <w:lang w:bidi="ar"/>
              </w:rPr>
            </w:pPr>
            <w:r>
              <w:rPr>
                <w:rFonts w:hint="eastAsia" w:cs="宋体"/>
                <w:color w:val="auto"/>
                <w:sz w:val="18"/>
                <w:szCs w:val="18"/>
                <w:highlight w:val="none"/>
              </w:rPr>
              <w:t>13</w:t>
            </w:r>
          </w:p>
        </w:tc>
        <w:tc>
          <w:tcPr>
            <w:tcW w:w="1703" w:type="dxa"/>
            <w:tcBorders>
              <w:top w:val="single" w:color="auto" w:sz="4" w:space="0"/>
              <w:left w:val="single" w:color="auto" w:sz="4" w:space="0"/>
              <w:bottom w:val="single" w:color="auto" w:sz="4" w:space="0"/>
              <w:right w:val="single" w:color="auto" w:sz="4" w:space="0"/>
            </w:tcBorders>
            <w:vAlign w:val="center"/>
          </w:tcPr>
          <w:p w14:paraId="5EB3A951">
            <w:pPr>
              <w:jc w:val="center"/>
              <w:rPr>
                <w:color w:val="auto"/>
                <w:sz w:val="18"/>
                <w:szCs w:val="18"/>
                <w:highlight w:val="none"/>
                <w:lang w:bidi="ar"/>
              </w:rPr>
            </w:pPr>
            <w:r>
              <w:rPr>
                <w:rFonts w:hint="eastAsia" w:cs="宋体"/>
                <w:color w:val="auto"/>
                <w:sz w:val="18"/>
                <w:szCs w:val="18"/>
                <w:highlight w:val="none"/>
              </w:rPr>
              <w:t>流体扰动</w:t>
            </w:r>
          </w:p>
        </w:tc>
        <w:tc>
          <w:tcPr>
            <w:tcW w:w="3406" w:type="dxa"/>
            <w:tcBorders>
              <w:top w:val="single" w:color="auto" w:sz="4" w:space="0"/>
              <w:left w:val="single" w:color="auto" w:sz="4" w:space="0"/>
              <w:bottom w:val="single" w:color="auto" w:sz="4" w:space="0"/>
              <w:right w:val="single" w:color="auto" w:sz="4" w:space="0"/>
            </w:tcBorders>
            <w:vAlign w:val="center"/>
          </w:tcPr>
          <w:p w14:paraId="2D7366FD">
            <w:pPr>
              <w:jc w:val="left"/>
              <w:rPr>
                <w:color w:val="auto"/>
                <w:sz w:val="18"/>
                <w:szCs w:val="18"/>
                <w:highlight w:val="none"/>
                <w:lang w:bidi="ar"/>
              </w:rPr>
            </w:pPr>
            <w:r>
              <w:rPr>
                <w:color w:val="auto"/>
                <w:sz w:val="18"/>
                <w:szCs w:val="18"/>
                <w:highlight w:val="none"/>
              </w:rPr>
              <w:t>试验管道用 90°</w:t>
            </w:r>
            <w:r>
              <w:rPr>
                <w:rFonts w:hint="eastAsia"/>
                <w:color w:val="auto"/>
                <w:sz w:val="18"/>
                <w:szCs w:val="18"/>
                <w:highlight w:val="none"/>
              </w:rPr>
              <w:t>空间</w:t>
            </w:r>
            <w:r>
              <w:rPr>
                <w:color w:val="auto"/>
                <w:sz w:val="18"/>
                <w:szCs w:val="18"/>
                <w:highlight w:val="none"/>
              </w:rPr>
              <w:t>弯头</w:t>
            </w:r>
            <w:r>
              <w:rPr>
                <w:rFonts w:hint="eastAsia"/>
                <w:color w:val="auto"/>
                <w:sz w:val="18"/>
                <w:szCs w:val="18"/>
                <w:highlight w:val="none"/>
              </w:rPr>
              <w:t>、渐缩管等扰流件</w:t>
            </w:r>
          </w:p>
        </w:tc>
        <w:tc>
          <w:tcPr>
            <w:tcW w:w="3969" w:type="dxa"/>
            <w:tcBorders>
              <w:top w:val="single" w:color="auto" w:sz="4" w:space="0"/>
              <w:left w:val="single" w:color="auto" w:sz="4" w:space="0"/>
              <w:bottom w:val="single" w:color="auto" w:sz="4" w:space="0"/>
              <w:right w:val="single" w:color="auto" w:sz="4" w:space="0"/>
            </w:tcBorders>
            <w:vAlign w:val="center"/>
          </w:tcPr>
          <w:p w14:paraId="3F42B43A">
            <w:pPr>
              <w:rPr>
                <w:color w:val="auto"/>
                <w:sz w:val="18"/>
                <w:szCs w:val="18"/>
                <w:highlight w:val="none"/>
                <w:lang w:bidi="ar"/>
              </w:rPr>
            </w:pPr>
            <w:r>
              <w:rPr>
                <w:rFonts w:hint="eastAsia" w:cs="宋体"/>
                <w:color w:val="auto"/>
                <w:sz w:val="18"/>
                <w:szCs w:val="18"/>
                <w:highlight w:val="none"/>
              </w:rPr>
              <w:t>见7.9和10.9</w:t>
            </w:r>
          </w:p>
        </w:tc>
      </w:tr>
    </w:tbl>
    <w:p w14:paraId="5C0703B3">
      <w:pPr>
        <w:pStyle w:val="36"/>
        <w:spacing w:line="259" w:lineRule="auto"/>
        <w:jc w:val="left"/>
        <w:rPr>
          <w:rFonts w:ascii="Times New Roman" w:hAnsi="Times New Roman" w:cs="Times New Roman"/>
          <w:color w:val="auto"/>
          <w:sz w:val="24"/>
          <w:szCs w:val="24"/>
          <w:highlight w:val="none"/>
        </w:rPr>
      </w:pPr>
      <w:bookmarkStart w:id="393" w:name="_Toc221090943"/>
      <w:r>
        <w:rPr>
          <w:rFonts w:hint="eastAsia" w:ascii="Times New Roman" w:hAnsi="Times New Roman" w:cs="Times New Roman"/>
          <w:color w:val="auto"/>
          <w:sz w:val="24"/>
          <w:szCs w:val="24"/>
          <w:highlight w:val="none"/>
        </w:rPr>
        <w:t>12</w:t>
      </w:r>
      <w:r>
        <w:rPr>
          <w:rFonts w:hint="eastAsia" w:ascii="Times New Roman" w:hAnsi="Times New Roman" w:cs="Times New Roman"/>
          <w:color w:val="auto"/>
          <w:highlight w:val="none"/>
        </w:rPr>
        <w:t xml:space="preserve"> </w:t>
      </w:r>
      <w:r>
        <w:rPr>
          <w:rFonts w:hint="eastAsia" w:ascii="Times New Roman" w:hAnsi="Times New Roman" w:cs="Times New Roman"/>
          <w:color w:val="auto"/>
          <w:sz w:val="24"/>
          <w:szCs w:val="24"/>
          <w:highlight w:val="none"/>
        </w:rPr>
        <w:t>型式评价结果的判定</w:t>
      </w:r>
      <w:bookmarkEnd w:id="393"/>
    </w:p>
    <w:p w14:paraId="1425E48A">
      <w:pPr>
        <w:pStyle w:val="2"/>
        <w:spacing w:before="160" w:after="0" w:line="360" w:lineRule="auto"/>
        <w:rPr>
          <w:b w:val="0"/>
          <w:iCs/>
          <w:color w:val="auto"/>
          <w:sz w:val="24"/>
          <w:szCs w:val="21"/>
          <w:highlight w:val="none"/>
        </w:rPr>
      </w:pPr>
      <w:bookmarkStart w:id="394" w:name="_Toc221090944"/>
      <w:r>
        <w:rPr>
          <w:rFonts w:hint="eastAsia"/>
          <w:b w:val="0"/>
          <w:iCs/>
          <w:color w:val="auto"/>
          <w:sz w:val="24"/>
          <w:szCs w:val="21"/>
          <w:highlight w:val="none"/>
        </w:rPr>
        <w:t>12.1 型式评价结果的判定原则</w:t>
      </w:r>
      <w:bookmarkEnd w:id="394"/>
    </w:p>
    <w:p w14:paraId="0CBD34F0">
      <w:pPr>
        <w:spacing w:before="160" w:line="360" w:lineRule="auto"/>
        <w:rPr>
          <w:color w:val="auto"/>
          <w:sz w:val="24"/>
          <w:szCs w:val="24"/>
          <w:highlight w:val="none"/>
        </w:rPr>
      </w:pPr>
      <w:r>
        <w:rPr>
          <w:rFonts w:hint="eastAsia"/>
          <w:color w:val="auto"/>
          <w:sz w:val="24"/>
          <w:szCs w:val="24"/>
          <w:highlight w:val="none"/>
        </w:rPr>
        <w:t>12.1.1所有的评价项目均符合型式评价大纲要求的为合格。</w:t>
      </w:r>
    </w:p>
    <w:p w14:paraId="51A49482">
      <w:pPr>
        <w:spacing w:before="160" w:line="360" w:lineRule="auto"/>
        <w:rPr>
          <w:color w:val="auto"/>
          <w:sz w:val="24"/>
          <w:szCs w:val="24"/>
          <w:highlight w:val="none"/>
        </w:rPr>
      </w:pPr>
      <w:r>
        <w:rPr>
          <w:rFonts w:hint="eastAsia"/>
          <w:color w:val="auto"/>
          <w:sz w:val="24"/>
          <w:szCs w:val="24"/>
          <w:highlight w:val="none"/>
        </w:rPr>
        <w:t>12.1.2对于单一规格产品，有一项及一项以上项目不合格，综合判断为不合格。</w:t>
      </w:r>
    </w:p>
    <w:p w14:paraId="31E21758">
      <w:pPr>
        <w:spacing w:before="160" w:line="360" w:lineRule="auto"/>
        <w:rPr>
          <w:color w:val="auto"/>
          <w:sz w:val="24"/>
          <w:szCs w:val="24"/>
          <w:highlight w:val="none"/>
        </w:rPr>
      </w:pPr>
      <w:r>
        <w:rPr>
          <w:rFonts w:hint="eastAsia"/>
          <w:color w:val="auto"/>
          <w:sz w:val="24"/>
          <w:szCs w:val="24"/>
          <w:highlight w:val="none"/>
        </w:rPr>
        <w:t>12.1.3系列产品中，有一种规格不合格，判定该系列不合格。</w:t>
      </w:r>
    </w:p>
    <w:p w14:paraId="49A655D2">
      <w:pPr>
        <w:pStyle w:val="2"/>
        <w:spacing w:before="160" w:after="0" w:line="360" w:lineRule="auto"/>
        <w:rPr>
          <w:b w:val="0"/>
          <w:iCs/>
          <w:color w:val="auto"/>
          <w:sz w:val="24"/>
          <w:szCs w:val="21"/>
          <w:highlight w:val="none"/>
        </w:rPr>
      </w:pPr>
      <w:bookmarkStart w:id="395" w:name="_Toc221090945"/>
      <w:r>
        <w:rPr>
          <w:rFonts w:hint="eastAsia"/>
          <w:b w:val="0"/>
          <w:iCs/>
          <w:color w:val="auto"/>
          <w:sz w:val="24"/>
          <w:szCs w:val="21"/>
          <w:highlight w:val="none"/>
        </w:rPr>
        <w:t>12.2 型式评价不合格的处理</w:t>
      </w:r>
      <w:bookmarkEnd w:id="395"/>
    </w:p>
    <w:p w14:paraId="0D3744BD">
      <w:pPr>
        <w:spacing w:before="160" w:line="360" w:lineRule="auto"/>
        <w:rPr>
          <w:color w:val="auto"/>
          <w:sz w:val="24"/>
          <w:szCs w:val="24"/>
          <w:highlight w:val="none"/>
        </w:rPr>
      </w:pPr>
      <w:r>
        <w:rPr>
          <w:rFonts w:hint="eastAsia"/>
          <w:color w:val="auto"/>
          <w:sz w:val="24"/>
          <w:szCs w:val="24"/>
          <w:highlight w:val="none"/>
        </w:rPr>
        <w:t>12.2.1审查技术资料出现不符合要求时，应及时通知申请单位进行修改。</w:t>
      </w:r>
    </w:p>
    <w:p w14:paraId="1C54CC45">
      <w:pPr>
        <w:spacing w:before="160" w:line="360" w:lineRule="auto"/>
        <w:rPr>
          <w:color w:val="auto"/>
          <w:sz w:val="24"/>
          <w:szCs w:val="24"/>
          <w:highlight w:val="none"/>
        </w:rPr>
      </w:pPr>
      <w:r>
        <w:rPr>
          <w:rFonts w:hint="eastAsia"/>
          <w:color w:val="auto"/>
          <w:sz w:val="24"/>
          <w:szCs w:val="24"/>
          <w:highlight w:val="none"/>
        </w:rPr>
        <w:t>12.2.2型式评价判定不合格的，在型批报告的“型式评价总结论及建议”中写明不符合项，建议不批准该型号计量器具的型式。</w:t>
      </w:r>
    </w:p>
    <w:p w14:paraId="7C2D4316">
      <w:pPr>
        <w:widowControl/>
        <w:jc w:val="left"/>
        <w:rPr>
          <w:rFonts w:eastAsia="黑体"/>
          <w:color w:val="auto"/>
          <w:sz w:val="28"/>
          <w:szCs w:val="28"/>
          <w:highlight w:val="none"/>
        </w:rPr>
      </w:pPr>
      <w:bookmarkStart w:id="396" w:name="_Toc6610"/>
      <w:bookmarkStart w:id="397" w:name="_Toc10038"/>
      <w:r>
        <w:rPr>
          <w:rFonts w:eastAsia="黑体"/>
          <w:color w:val="auto"/>
          <w:sz w:val="28"/>
          <w:szCs w:val="28"/>
          <w:highlight w:val="none"/>
        </w:rPr>
        <w:br w:type="page"/>
      </w:r>
    </w:p>
    <w:p w14:paraId="6F73A2E4">
      <w:pPr>
        <w:pStyle w:val="36"/>
        <w:spacing w:line="259" w:lineRule="auto"/>
        <w:jc w:val="left"/>
        <w:rPr>
          <w:rFonts w:ascii="Times New Roman" w:hAnsi="Times New Roman" w:cs="Times New Roman" w:eastAsiaTheme="majorEastAsia"/>
          <w:bCs w:val="0"/>
          <w:color w:val="auto"/>
          <w:highlight w:val="none"/>
        </w:rPr>
      </w:pPr>
      <w:bookmarkStart w:id="398" w:name="_Toc217914985"/>
      <w:bookmarkStart w:id="399" w:name="_Toc219130157"/>
      <w:bookmarkStart w:id="400" w:name="_Toc221090946"/>
      <w:bookmarkStart w:id="401" w:name="_Toc182827896"/>
      <w:r>
        <w:rPr>
          <w:rFonts w:hint="eastAsia" w:ascii="Times New Roman" w:hAnsi="Times New Roman" w:cs="Times New Roman"/>
          <w:bCs w:val="0"/>
          <w:color w:val="auto"/>
          <w:highlight w:val="none"/>
        </w:rPr>
        <w:t>附录</w:t>
      </w:r>
      <w:r>
        <w:rPr>
          <w:rFonts w:ascii="Times New Roman" w:hAnsi="Times New Roman" w:cs="Times New Roman"/>
          <w:bCs w:val="0"/>
          <w:color w:val="auto"/>
          <w:highlight w:val="none"/>
        </w:rPr>
        <w:t>A</w:t>
      </w:r>
      <w:bookmarkEnd w:id="398"/>
      <w:bookmarkEnd w:id="399"/>
      <w:bookmarkEnd w:id="400"/>
      <w:bookmarkEnd w:id="401"/>
    </w:p>
    <w:p w14:paraId="423D076E">
      <w:pPr>
        <w:pStyle w:val="36"/>
        <w:spacing w:line="259" w:lineRule="auto"/>
        <w:rPr>
          <w:rFonts w:ascii="Times New Roman" w:hAnsi="Times New Roman" w:eastAsia="黑体" w:cstheme="minorBidi"/>
          <w:bCs w:val="0"/>
          <w:color w:val="auto"/>
          <w:sz w:val="28"/>
          <w:szCs w:val="24"/>
          <w:highlight w:val="none"/>
        </w:rPr>
      </w:pPr>
      <w:bookmarkStart w:id="402" w:name="_Toc221090947"/>
      <w:r>
        <w:rPr>
          <w:rFonts w:hint="eastAsia" w:ascii="Times New Roman" w:hAnsi="Times New Roman" w:eastAsia="黑体" w:cstheme="minorBidi"/>
          <w:bCs w:val="0"/>
          <w:color w:val="auto"/>
          <w:sz w:val="28"/>
          <w:szCs w:val="24"/>
          <w:highlight w:val="none"/>
        </w:rPr>
        <w:t>系列流量计的型式评价</w:t>
      </w:r>
      <w:bookmarkEnd w:id="396"/>
      <w:bookmarkEnd w:id="397"/>
      <w:bookmarkEnd w:id="402"/>
    </w:p>
    <w:p w14:paraId="3A52D184">
      <w:pPr>
        <w:spacing w:before="160" w:line="360" w:lineRule="auto"/>
        <w:rPr>
          <w:color w:val="auto"/>
          <w:sz w:val="24"/>
          <w:szCs w:val="24"/>
          <w:highlight w:val="none"/>
        </w:rPr>
      </w:pPr>
      <w:bookmarkStart w:id="403" w:name="_Toc410929903"/>
      <w:r>
        <w:rPr>
          <w:rFonts w:hint="eastAsia"/>
          <w:color w:val="auto"/>
          <w:sz w:val="24"/>
          <w:szCs w:val="24"/>
          <w:highlight w:val="none"/>
        </w:rPr>
        <w:t>A.1 系列流量计</w:t>
      </w:r>
      <w:bookmarkEnd w:id="403"/>
    </w:p>
    <w:p w14:paraId="163C8488">
      <w:pPr>
        <w:spacing w:before="160" w:line="360" w:lineRule="auto"/>
        <w:ind w:firstLine="480" w:firstLineChars="200"/>
        <w:rPr>
          <w:color w:val="auto"/>
          <w:sz w:val="24"/>
          <w:szCs w:val="24"/>
          <w:highlight w:val="none"/>
        </w:rPr>
      </w:pPr>
      <w:bookmarkStart w:id="404" w:name="_Toc410929904"/>
      <w:r>
        <w:rPr>
          <w:rFonts w:hint="eastAsia" w:cs="宋体"/>
          <w:color w:val="auto"/>
          <w:sz w:val="24"/>
          <w:szCs w:val="24"/>
          <w:highlight w:val="none"/>
        </w:rPr>
        <w:t>本附录规定了型式评价机构确定一组流量计在型式评价试验时是否可以被认为是相同系列的基本原则。</w:t>
      </w:r>
    </w:p>
    <w:p w14:paraId="2AB50523">
      <w:pPr>
        <w:spacing w:before="160" w:line="360" w:lineRule="auto"/>
        <w:rPr>
          <w:color w:val="auto"/>
          <w:sz w:val="24"/>
          <w:szCs w:val="24"/>
          <w:highlight w:val="none"/>
        </w:rPr>
      </w:pPr>
      <w:r>
        <w:rPr>
          <w:rFonts w:hint="eastAsia"/>
          <w:color w:val="auto"/>
          <w:sz w:val="24"/>
          <w:szCs w:val="24"/>
          <w:highlight w:val="none"/>
        </w:rPr>
        <w:t>A.2 系列的定义</w:t>
      </w:r>
      <w:bookmarkEnd w:id="404"/>
    </w:p>
    <w:p w14:paraId="7D92DE3C">
      <w:pPr>
        <w:spacing w:before="160" w:line="360" w:lineRule="auto"/>
        <w:ind w:firstLine="480" w:firstLineChars="200"/>
        <w:rPr>
          <w:color w:val="auto"/>
          <w:sz w:val="24"/>
          <w:szCs w:val="24"/>
          <w:highlight w:val="none"/>
        </w:rPr>
      </w:pPr>
      <w:r>
        <w:rPr>
          <w:rFonts w:hint="eastAsia" w:cs="宋体"/>
          <w:color w:val="auto"/>
          <w:sz w:val="24"/>
          <w:szCs w:val="24"/>
          <w:highlight w:val="none"/>
        </w:rPr>
        <w:t>系列流量计是一组规格不同和（或）流量范围不同的流量计，这些流量计应具有以下特性：</w:t>
      </w:r>
    </w:p>
    <w:p w14:paraId="0664B1CA">
      <w:pPr>
        <w:spacing w:before="160" w:line="360" w:lineRule="auto"/>
        <w:ind w:firstLine="480" w:firstLineChars="200"/>
        <w:rPr>
          <w:color w:val="auto"/>
          <w:sz w:val="24"/>
          <w:szCs w:val="24"/>
          <w:highlight w:val="none"/>
        </w:rPr>
      </w:pPr>
      <w:r>
        <w:rPr>
          <w:rFonts w:hint="eastAsia" w:cs="宋体"/>
          <w:color w:val="auto"/>
          <w:sz w:val="24"/>
          <w:szCs w:val="24"/>
          <w:highlight w:val="none"/>
        </w:rPr>
        <w:t>——相同的制造商；</w:t>
      </w:r>
    </w:p>
    <w:p w14:paraId="60054DF3">
      <w:pPr>
        <w:spacing w:before="160" w:line="360" w:lineRule="auto"/>
        <w:ind w:firstLine="480" w:firstLineChars="200"/>
        <w:rPr>
          <w:color w:val="auto"/>
          <w:sz w:val="24"/>
          <w:szCs w:val="24"/>
          <w:highlight w:val="none"/>
        </w:rPr>
      </w:pPr>
      <w:r>
        <w:rPr>
          <w:rFonts w:hint="eastAsia" w:cs="宋体"/>
          <w:color w:val="auto"/>
          <w:sz w:val="24"/>
          <w:szCs w:val="24"/>
          <w:highlight w:val="none"/>
        </w:rPr>
        <w:t>——接触气体的部件几何相似；</w:t>
      </w:r>
    </w:p>
    <w:p w14:paraId="468C4CA0">
      <w:pPr>
        <w:spacing w:before="160" w:line="360" w:lineRule="auto"/>
        <w:ind w:firstLine="480" w:firstLineChars="200"/>
        <w:rPr>
          <w:color w:val="auto"/>
          <w:sz w:val="24"/>
          <w:szCs w:val="24"/>
          <w:highlight w:val="none"/>
        </w:rPr>
      </w:pPr>
      <w:r>
        <w:rPr>
          <w:rFonts w:hint="eastAsia" w:cs="宋体"/>
          <w:color w:val="auto"/>
          <w:sz w:val="24"/>
          <w:szCs w:val="24"/>
          <w:highlight w:val="none"/>
        </w:rPr>
        <w:t>——相同的测量原理；</w:t>
      </w:r>
    </w:p>
    <w:p w14:paraId="0F647ECE">
      <w:pPr>
        <w:spacing w:before="160" w:line="360" w:lineRule="auto"/>
        <w:ind w:firstLine="480" w:firstLineChars="200"/>
        <w:rPr>
          <w:color w:val="auto"/>
          <w:sz w:val="24"/>
          <w:szCs w:val="24"/>
          <w:highlight w:val="none"/>
        </w:rPr>
      </w:pPr>
      <w:r>
        <w:rPr>
          <w:rFonts w:hint="eastAsia" w:cs="宋体"/>
          <w:color w:val="auto"/>
          <w:sz w:val="24"/>
          <w:szCs w:val="24"/>
          <w:highlight w:val="none"/>
        </w:rPr>
        <w:t>——相同的准确度等级；</w:t>
      </w:r>
    </w:p>
    <w:p w14:paraId="1D614ECC">
      <w:pPr>
        <w:spacing w:before="160" w:line="360" w:lineRule="auto"/>
        <w:ind w:firstLine="480" w:firstLineChars="200"/>
        <w:rPr>
          <w:color w:val="auto"/>
          <w:sz w:val="24"/>
          <w:szCs w:val="24"/>
          <w:highlight w:val="none"/>
        </w:rPr>
      </w:pPr>
      <w:r>
        <w:rPr>
          <w:rFonts w:hint="eastAsia" w:cs="宋体"/>
          <w:color w:val="auto"/>
          <w:sz w:val="24"/>
          <w:szCs w:val="24"/>
          <w:highlight w:val="none"/>
        </w:rPr>
        <w:t>——具有相同功能的电子装置；</w:t>
      </w:r>
    </w:p>
    <w:p w14:paraId="3918B729">
      <w:pPr>
        <w:spacing w:before="160" w:line="360" w:lineRule="auto"/>
        <w:ind w:firstLine="480" w:firstLineChars="200"/>
        <w:rPr>
          <w:color w:val="auto"/>
          <w:sz w:val="24"/>
          <w:szCs w:val="24"/>
          <w:highlight w:val="none"/>
        </w:rPr>
      </w:pPr>
      <w:r>
        <w:rPr>
          <w:rFonts w:hint="eastAsia" w:cs="宋体"/>
          <w:color w:val="auto"/>
          <w:sz w:val="24"/>
          <w:szCs w:val="24"/>
          <w:highlight w:val="none"/>
        </w:rPr>
        <w:t>——设计和部件的组装具有相似的标准；</w:t>
      </w:r>
    </w:p>
    <w:p w14:paraId="04376B93">
      <w:pPr>
        <w:spacing w:before="160" w:line="360" w:lineRule="auto"/>
        <w:ind w:firstLine="480" w:firstLineChars="200"/>
        <w:rPr>
          <w:color w:val="auto"/>
          <w:sz w:val="24"/>
          <w:szCs w:val="24"/>
          <w:highlight w:val="none"/>
        </w:rPr>
      </w:pPr>
      <w:r>
        <w:rPr>
          <w:rFonts w:hint="eastAsia" w:cs="宋体"/>
          <w:color w:val="auto"/>
          <w:sz w:val="24"/>
          <w:szCs w:val="24"/>
          <w:highlight w:val="none"/>
        </w:rPr>
        <w:t>——关键部件具有相同的材料；</w:t>
      </w:r>
    </w:p>
    <w:p w14:paraId="5D26AB69">
      <w:pPr>
        <w:spacing w:before="160" w:line="360" w:lineRule="auto"/>
        <w:ind w:firstLine="480" w:firstLineChars="200"/>
        <w:rPr>
          <w:sz w:val="24"/>
          <w:szCs w:val="24"/>
        </w:rPr>
      </w:pPr>
      <w:r>
        <w:rPr>
          <w:rFonts w:hint="eastAsia" w:cs="宋体"/>
          <w:color w:val="auto"/>
          <w:sz w:val="24"/>
          <w:szCs w:val="24"/>
          <w:highlight w:val="none"/>
        </w:rPr>
        <w:t>——与流量计规格有关的相同的安装要求，如上游直管段</w:t>
      </w:r>
      <w:r>
        <w:rPr>
          <w:color w:val="auto"/>
          <w:sz w:val="24"/>
          <w:szCs w:val="24"/>
          <w:highlight w:val="none"/>
        </w:rPr>
        <w:t>10</w:t>
      </w:r>
      <w:r>
        <w:rPr>
          <w:i/>
          <w:iCs/>
          <w:color w:val="auto"/>
          <w:sz w:val="24"/>
          <w:szCs w:val="24"/>
          <w:highlight w:val="none"/>
        </w:rPr>
        <w:t>D</w:t>
      </w:r>
      <w:r>
        <w:rPr>
          <w:rFonts w:hint="eastAsia" w:cs="宋体"/>
          <w:color w:val="auto"/>
          <w:sz w:val="24"/>
          <w:szCs w:val="24"/>
          <w:highlight w:val="none"/>
        </w:rPr>
        <w:t>（管径）</w:t>
      </w:r>
      <w:r>
        <w:rPr>
          <w:rFonts w:hint="eastAsia" w:cs="宋体"/>
          <w:sz w:val="24"/>
          <w:szCs w:val="24"/>
        </w:rPr>
        <w:t xml:space="preserve">和下游直管段 </w:t>
      </w:r>
      <w:r>
        <w:rPr>
          <w:sz w:val="24"/>
          <w:szCs w:val="24"/>
        </w:rPr>
        <w:t xml:space="preserve">5 </w:t>
      </w:r>
      <w:r>
        <w:rPr>
          <w:i/>
          <w:iCs/>
          <w:sz w:val="24"/>
          <w:szCs w:val="24"/>
        </w:rPr>
        <w:t>D</w:t>
      </w:r>
      <w:r>
        <w:rPr>
          <w:rFonts w:hint="eastAsia" w:cs="宋体"/>
          <w:sz w:val="24"/>
          <w:szCs w:val="24"/>
        </w:rPr>
        <w:t>（管径）。</w:t>
      </w:r>
    </w:p>
    <w:p w14:paraId="2F8AC026">
      <w:pPr>
        <w:spacing w:before="160" w:line="360" w:lineRule="auto"/>
        <w:rPr>
          <w:sz w:val="24"/>
          <w:szCs w:val="24"/>
        </w:rPr>
      </w:pPr>
      <w:bookmarkStart w:id="405" w:name="_Toc410929905"/>
      <w:r>
        <w:rPr>
          <w:rFonts w:hint="eastAsia"/>
          <w:sz w:val="24"/>
          <w:szCs w:val="24"/>
        </w:rPr>
        <w:t>A.3 样机的选择</w:t>
      </w:r>
      <w:bookmarkEnd w:id="405"/>
    </w:p>
    <w:p w14:paraId="78FA45F2">
      <w:pPr>
        <w:spacing w:before="160" w:line="360" w:lineRule="auto"/>
        <w:ind w:firstLine="480" w:firstLineChars="200"/>
        <w:rPr>
          <w:sz w:val="24"/>
          <w:szCs w:val="24"/>
        </w:rPr>
      </w:pPr>
      <w:r>
        <w:rPr>
          <w:rFonts w:hint="eastAsia" w:cs="宋体"/>
          <w:sz w:val="24"/>
          <w:szCs w:val="24"/>
        </w:rPr>
        <w:t>应按下列规则考虑系列流量计试验样机的规格选择：</w:t>
      </w:r>
    </w:p>
    <w:p w14:paraId="345A5471">
      <w:pPr>
        <w:spacing w:before="160" w:line="360" w:lineRule="auto"/>
        <w:ind w:firstLine="480" w:firstLineChars="200"/>
        <w:rPr>
          <w:sz w:val="24"/>
          <w:szCs w:val="24"/>
        </w:rPr>
      </w:pPr>
      <w:r>
        <w:rPr>
          <w:rFonts w:hint="eastAsia" w:cs="宋体"/>
          <w:sz w:val="24"/>
          <w:szCs w:val="24"/>
        </w:rPr>
        <w:t>a）一般情况下，系列流量计中的最小规格应进行试验；</w:t>
      </w:r>
    </w:p>
    <w:p w14:paraId="086652E3">
      <w:pPr>
        <w:spacing w:before="160" w:line="360" w:lineRule="auto"/>
        <w:ind w:firstLine="480" w:firstLineChars="200"/>
        <w:rPr>
          <w:rFonts w:cs="宋体"/>
          <w:sz w:val="24"/>
          <w:szCs w:val="24"/>
        </w:rPr>
      </w:pPr>
      <w:r>
        <w:rPr>
          <w:rFonts w:hint="eastAsia" w:cs="宋体"/>
          <w:sz w:val="24"/>
          <w:szCs w:val="24"/>
        </w:rPr>
        <w:t>b）系列流量计中应选择具有极限工作参数的流量计进行试验，如最大的流量范围，最低工作压力等；</w:t>
      </w:r>
    </w:p>
    <w:p w14:paraId="58868E27">
      <w:pPr>
        <w:spacing w:before="160" w:line="360" w:lineRule="auto"/>
        <w:ind w:firstLine="480" w:firstLineChars="200"/>
        <w:rPr>
          <w:sz w:val="24"/>
          <w:szCs w:val="24"/>
        </w:rPr>
      </w:pPr>
      <w:r>
        <w:rPr>
          <w:rFonts w:hint="eastAsia" w:cs="宋体"/>
          <w:sz w:val="24"/>
          <w:szCs w:val="24"/>
        </w:rPr>
        <w:t>c）</w:t>
      </w:r>
      <w:r>
        <w:rPr>
          <w:rFonts w:hint="eastAsia"/>
          <w:sz w:val="24"/>
          <w:szCs w:val="24"/>
        </w:rPr>
        <w:t>如果可行，任何系列流量计中最大规格的流量计都宜进行试验。 如果最大规格的流量计不能进行试验时，则任何最大流量超过已受试最大规格流量计 2倍最大流量的流量计不应作为系列的一部分进行批准。</w:t>
      </w:r>
    </w:p>
    <w:p w14:paraId="3D085725">
      <w:pPr>
        <w:spacing w:before="160" w:line="360" w:lineRule="auto"/>
        <w:ind w:firstLine="480" w:firstLineChars="200"/>
        <w:rPr>
          <w:rFonts w:cs="宋体"/>
          <w:sz w:val="24"/>
          <w:szCs w:val="24"/>
        </w:rPr>
      </w:pPr>
      <w:r>
        <w:rPr>
          <w:rFonts w:hint="eastAsia" w:cs="宋体"/>
          <w:sz w:val="24"/>
          <w:szCs w:val="24"/>
        </w:rPr>
        <w:t>d） 冲击试验、电磁兼容适应性、</w:t>
      </w:r>
      <w:r>
        <w:rPr>
          <w:rFonts w:hint="eastAsia"/>
          <w:sz w:val="24"/>
          <w:szCs w:val="24"/>
        </w:rPr>
        <w:t>流体扰动试验</w:t>
      </w:r>
      <w:r>
        <w:rPr>
          <w:rFonts w:hint="eastAsia" w:cs="宋体"/>
          <w:sz w:val="24"/>
          <w:szCs w:val="24"/>
        </w:rPr>
        <w:t>从试验样机中选择一个具有代表性的规格进行，至少应有一个规格的样机进行除流体扰动试验外的全部项目试验。</w:t>
      </w:r>
    </w:p>
    <w:p w14:paraId="0403EC47">
      <w:pPr>
        <w:widowControl/>
        <w:jc w:val="left"/>
        <w:rPr>
          <w:b/>
          <w:bCs/>
          <w:sz w:val="32"/>
          <w:szCs w:val="32"/>
        </w:rPr>
      </w:pPr>
      <w:bookmarkStart w:id="406" w:name="_Toc217914316"/>
      <w:r>
        <w:br w:type="page"/>
      </w:r>
    </w:p>
    <w:p w14:paraId="258C1E5C">
      <w:pPr>
        <w:pStyle w:val="36"/>
        <w:spacing w:line="259" w:lineRule="auto"/>
        <w:jc w:val="left"/>
        <w:rPr>
          <w:rFonts w:ascii="Times New Roman" w:hAnsi="Times New Roman" w:cs="Times New Roman"/>
          <w:bCs w:val="0"/>
          <w:color w:val="000000"/>
        </w:rPr>
      </w:pPr>
      <w:bookmarkStart w:id="407" w:name="_Toc221090948"/>
      <w:r>
        <w:rPr>
          <w:rFonts w:hint="eastAsia" w:ascii="Times New Roman" w:hAnsi="Times New Roman" w:cs="Times New Roman"/>
          <w:bCs w:val="0"/>
          <w:color w:val="000000"/>
        </w:rPr>
        <w:t>附录B</w:t>
      </w:r>
      <w:bookmarkEnd w:id="406"/>
      <w:bookmarkEnd w:id="407"/>
    </w:p>
    <w:p w14:paraId="0B757C9A">
      <w:pPr>
        <w:pStyle w:val="36"/>
        <w:spacing w:line="259" w:lineRule="auto"/>
        <w:rPr>
          <w:rFonts w:ascii="Times New Roman" w:hAnsi="Times New Roman" w:cstheme="minorBidi"/>
          <w:bCs w:val="0"/>
          <w:szCs w:val="24"/>
        </w:rPr>
      </w:pPr>
      <w:bookmarkStart w:id="408" w:name="_Toc217914317"/>
      <w:bookmarkStart w:id="409" w:name="_Toc221090949"/>
      <w:r>
        <w:rPr>
          <w:rFonts w:ascii="Times New Roman" w:hAnsi="Times New Roman" w:cstheme="minorBidi"/>
          <w:bCs w:val="0"/>
          <w:szCs w:val="24"/>
        </w:rPr>
        <w:t>热式气体质量流量计型式评价原始记录格式（参考）</w:t>
      </w:r>
      <w:bookmarkEnd w:id="408"/>
      <w:bookmarkEnd w:id="409"/>
    </w:p>
    <w:p w14:paraId="3539D6DE">
      <w:pPr>
        <w:spacing w:before="160" w:line="360" w:lineRule="auto"/>
        <w:rPr>
          <w:sz w:val="24"/>
        </w:rPr>
      </w:pPr>
      <w:r>
        <w:rPr>
          <w:rFonts w:hint="eastAsia"/>
          <w:sz w:val="24"/>
        </w:rPr>
        <w:t>B.1 型式评价报告参考格式</w:t>
      </w:r>
    </w:p>
    <w:p w14:paraId="06F4E1F6">
      <w:pPr>
        <w:spacing w:before="160" w:line="360" w:lineRule="auto"/>
        <w:ind w:firstLine="480"/>
        <w:rPr>
          <w:sz w:val="24"/>
        </w:rPr>
      </w:pPr>
      <w:r>
        <w:rPr>
          <w:rFonts w:hint="eastAsia"/>
          <w:sz w:val="24"/>
        </w:rPr>
        <w:t>型式评价报告应包含以下主要内容。</w:t>
      </w:r>
    </w:p>
    <w:p w14:paraId="7B8D4FA3">
      <w:pPr>
        <w:spacing w:before="160" w:line="360" w:lineRule="auto"/>
        <w:rPr>
          <w:sz w:val="24"/>
        </w:rPr>
      </w:pPr>
      <w:r>
        <w:rPr>
          <w:rFonts w:hint="eastAsia"/>
          <w:sz w:val="24"/>
        </w:rPr>
        <w:t>B.1.1基本信息</w:t>
      </w:r>
    </w:p>
    <w:p w14:paraId="77352609">
      <w:pPr>
        <w:spacing w:before="160" w:line="360" w:lineRule="auto"/>
        <w:ind w:firstLine="480"/>
        <w:rPr>
          <w:sz w:val="24"/>
        </w:rPr>
      </w:pPr>
      <w:r>
        <w:rPr>
          <w:rFonts w:hint="eastAsia"/>
          <w:sz w:val="24"/>
        </w:rPr>
        <w:t>型式评价报告基本信息主要包括：</w:t>
      </w:r>
    </w:p>
    <w:p w14:paraId="4D0110FE">
      <w:pPr>
        <w:spacing w:before="160" w:line="360" w:lineRule="auto"/>
        <w:ind w:firstLine="480"/>
        <w:rPr>
          <w:sz w:val="24"/>
        </w:rPr>
      </w:pPr>
      <w:r>
        <w:rPr>
          <w:rFonts w:hint="eastAsia"/>
          <w:sz w:val="24"/>
        </w:rPr>
        <w:t>——申请和委托的基本情况；</w:t>
      </w:r>
    </w:p>
    <w:p w14:paraId="3CF5C581">
      <w:pPr>
        <w:spacing w:before="160" w:line="360" w:lineRule="auto"/>
        <w:ind w:firstLine="480"/>
        <w:rPr>
          <w:sz w:val="24"/>
        </w:rPr>
      </w:pPr>
      <w:r>
        <w:rPr>
          <w:rFonts w:hint="eastAsia"/>
          <w:sz w:val="24"/>
        </w:rPr>
        <w:t>——样机信息，如：计量器具名称及分类编码，工作原理、用途、使用场合及生产所依据的标准和编号，样机型号、规格、准确度等级/最大允许误差及编号，计量器具的测量参数，显示型式，使用环境条件，关键零部件和材料等；</w:t>
      </w:r>
    </w:p>
    <w:p w14:paraId="3BA6A88D">
      <w:pPr>
        <w:spacing w:before="160" w:line="360" w:lineRule="auto"/>
        <w:ind w:firstLine="480"/>
        <w:rPr>
          <w:sz w:val="24"/>
        </w:rPr>
      </w:pPr>
      <w:r>
        <w:rPr>
          <w:rFonts w:hint="eastAsia"/>
          <w:sz w:val="24"/>
        </w:rPr>
        <w:t>——型评依据；</w:t>
      </w:r>
    </w:p>
    <w:p w14:paraId="039CF607">
      <w:pPr>
        <w:spacing w:before="160" w:line="360" w:lineRule="auto"/>
        <w:ind w:firstLine="480"/>
        <w:rPr>
          <w:sz w:val="24"/>
        </w:rPr>
      </w:pPr>
      <w:r>
        <w:rPr>
          <w:rFonts w:hint="eastAsia"/>
          <w:sz w:val="24"/>
        </w:rPr>
        <w:t>——试验环境条件；</w:t>
      </w:r>
    </w:p>
    <w:p w14:paraId="379724FD">
      <w:pPr>
        <w:spacing w:before="160" w:line="360" w:lineRule="auto"/>
        <w:ind w:firstLine="480"/>
        <w:rPr>
          <w:sz w:val="24"/>
        </w:rPr>
      </w:pPr>
      <w:r>
        <w:rPr>
          <w:rFonts w:hint="eastAsia"/>
          <w:sz w:val="24"/>
        </w:rPr>
        <w:t>——型式评价所用的仪器设备一览表；</w:t>
      </w:r>
    </w:p>
    <w:p w14:paraId="3C72CB76">
      <w:pPr>
        <w:spacing w:before="160" w:line="360" w:lineRule="auto"/>
        <w:ind w:firstLine="480"/>
        <w:rPr>
          <w:sz w:val="24"/>
        </w:rPr>
      </w:pPr>
      <w:r>
        <w:rPr>
          <w:rFonts w:hint="eastAsia"/>
          <w:sz w:val="24"/>
        </w:rPr>
        <w:t>——型式评价项目及评价结果一览表；</w:t>
      </w:r>
    </w:p>
    <w:p w14:paraId="1AF447A2">
      <w:pPr>
        <w:spacing w:before="160" w:line="360" w:lineRule="auto"/>
        <w:ind w:firstLine="480"/>
        <w:rPr>
          <w:sz w:val="24"/>
        </w:rPr>
      </w:pPr>
      <w:r>
        <w:rPr>
          <w:rFonts w:hint="eastAsia"/>
          <w:sz w:val="24"/>
        </w:rPr>
        <w:t>——审查的技术资料及结论；</w:t>
      </w:r>
    </w:p>
    <w:p w14:paraId="286CDC8F">
      <w:pPr>
        <w:spacing w:before="160" w:line="360" w:lineRule="auto"/>
        <w:ind w:firstLine="480"/>
        <w:rPr>
          <w:sz w:val="24"/>
        </w:rPr>
      </w:pPr>
      <w:r>
        <w:rPr>
          <w:rFonts w:hint="eastAsia"/>
          <w:sz w:val="24"/>
        </w:rPr>
        <w:t>——结论及建议。</w:t>
      </w:r>
    </w:p>
    <w:p w14:paraId="73561118">
      <w:pPr>
        <w:spacing w:before="160" w:line="360" w:lineRule="auto"/>
        <w:rPr>
          <w:sz w:val="24"/>
        </w:rPr>
      </w:pPr>
      <w:r>
        <w:rPr>
          <w:rFonts w:hint="eastAsia"/>
          <w:sz w:val="24"/>
        </w:rPr>
        <w:t>B.1.2所有样机型评项目及数据汇总表</w:t>
      </w:r>
    </w:p>
    <w:tbl>
      <w:tblPr>
        <w:tblStyle w:val="38"/>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2688"/>
        <w:gridCol w:w="1621"/>
        <w:gridCol w:w="2177"/>
        <w:gridCol w:w="1007"/>
      </w:tblGrid>
      <w:tr w14:paraId="455D8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33" w:type="dxa"/>
            <w:vAlign w:val="center"/>
          </w:tcPr>
          <w:p w14:paraId="47DAB9EF">
            <w:pPr>
              <w:spacing w:line="360" w:lineRule="auto"/>
              <w:jc w:val="center"/>
              <w:rPr>
                <w:sz w:val="24"/>
              </w:rPr>
            </w:pPr>
            <w:r>
              <w:rPr>
                <w:rFonts w:hint="eastAsia"/>
                <w:sz w:val="24"/>
              </w:rPr>
              <w:t>型式评价项目</w:t>
            </w:r>
          </w:p>
        </w:tc>
        <w:tc>
          <w:tcPr>
            <w:tcW w:w="2688" w:type="dxa"/>
            <w:vAlign w:val="center"/>
          </w:tcPr>
          <w:p w14:paraId="2D1BD52D">
            <w:pPr>
              <w:spacing w:line="360" w:lineRule="auto"/>
              <w:jc w:val="center"/>
              <w:rPr>
                <w:sz w:val="24"/>
              </w:rPr>
            </w:pPr>
            <w:r>
              <w:rPr>
                <w:rFonts w:hint="eastAsia"/>
                <w:sz w:val="24"/>
              </w:rPr>
              <w:t>型式评价大纲要求</w:t>
            </w:r>
          </w:p>
        </w:tc>
        <w:tc>
          <w:tcPr>
            <w:tcW w:w="1621" w:type="dxa"/>
            <w:vAlign w:val="center"/>
          </w:tcPr>
          <w:p w14:paraId="1FCDE08A">
            <w:pPr>
              <w:spacing w:line="360" w:lineRule="auto"/>
              <w:jc w:val="center"/>
              <w:rPr>
                <w:sz w:val="24"/>
              </w:rPr>
            </w:pPr>
            <w:r>
              <w:rPr>
                <w:rFonts w:hint="eastAsia"/>
                <w:sz w:val="24"/>
              </w:rPr>
              <w:t>样机编号</w:t>
            </w:r>
          </w:p>
        </w:tc>
        <w:tc>
          <w:tcPr>
            <w:tcW w:w="2177" w:type="dxa"/>
            <w:vAlign w:val="center"/>
          </w:tcPr>
          <w:p w14:paraId="382BC2A9">
            <w:pPr>
              <w:spacing w:line="360" w:lineRule="auto"/>
              <w:jc w:val="center"/>
              <w:rPr>
                <w:sz w:val="24"/>
              </w:rPr>
            </w:pPr>
            <w:r>
              <w:rPr>
                <w:rFonts w:hint="eastAsia"/>
                <w:sz w:val="24"/>
              </w:rPr>
              <w:t>检查或测试结果</w:t>
            </w:r>
          </w:p>
        </w:tc>
        <w:tc>
          <w:tcPr>
            <w:tcW w:w="1007" w:type="dxa"/>
            <w:vAlign w:val="center"/>
          </w:tcPr>
          <w:p w14:paraId="01D78D8A">
            <w:pPr>
              <w:spacing w:line="360" w:lineRule="auto"/>
              <w:jc w:val="center"/>
              <w:rPr>
                <w:sz w:val="24"/>
              </w:rPr>
            </w:pPr>
            <w:r>
              <w:rPr>
                <w:rFonts w:hint="eastAsia"/>
                <w:sz w:val="24"/>
              </w:rPr>
              <w:t>结论</w:t>
            </w:r>
          </w:p>
        </w:tc>
      </w:tr>
      <w:tr w14:paraId="153F0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8926" w:type="dxa"/>
            <w:gridSpan w:val="5"/>
            <w:vAlign w:val="center"/>
          </w:tcPr>
          <w:p w14:paraId="300A467D">
            <w:pPr>
              <w:spacing w:line="360" w:lineRule="auto"/>
              <w:rPr>
                <w:sz w:val="24"/>
              </w:rPr>
            </w:pPr>
          </w:p>
        </w:tc>
      </w:tr>
      <w:tr w14:paraId="26AE1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433" w:type="dxa"/>
            <w:vMerge w:val="restart"/>
            <w:vAlign w:val="center"/>
          </w:tcPr>
          <w:p w14:paraId="2D1EE36A">
            <w:pPr>
              <w:spacing w:line="360" w:lineRule="auto"/>
              <w:rPr>
                <w:sz w:val="24"/>
              </w:rPr>
            </w:pPr>
          </w:p>
        </w:tc>
        <w:tc>
          <w:tcPr>
            <w:tcW w:w="2688" w:type="dxa"/>
            <w:vMerge w:val="restart"/>
            <w:vAlign w:val="center"/>
          </w:tcPr>
          <w:p w14:paraId="15072F14">
            <w:pPr>
              <w:spacing w:line="360" w:lineRule="auto"/>
              <w:rPr>
                <w:sz w:val="24"/>
              </w:rPr>
            </w:pPr>
          </w:p>
        </w:tc>
        <w:tc>
          <w:tcPr>
            <w:tcW w:w="1621" w:type="dxa"/>
            <w:vAlign w:val="center"/>
          </w:tcPr>
          <w:p w14:paraId="4FA5D660">
            <w:pPr>
              <w:spacing w:line="360" w:lineRule="auto"/>
              <w:rPr>
                <w:sz w:val="24"/>
              </w:rPr>
            </w:pPr>
          </w:p>
        </w:tc>
        <w:tc>
          <w:tcPr>
            <w:tcW w:w="2177" w:type="dxa"/>
            <w:vAlign w:val="center"/>
          </w:tcPr>
          <w:p w14:paraId="281DFEFD">
            <w:pPr>
              <w:spacing w:line="360" w:lineRule="auto"/>
              <w:rPr>
                <w:sz w:val="24"/>
              </w:rPr>
            </w:pPr>
          </w:p>
        </w:tc>
        <w:tc>
          <w:tcPr>
            <w:tcW w:w="1007" w:type="dxa"/>
            <w:vMerge w:val="restart"/>
            <w:vAlign w:val="center"/>
          </w:tcPr>
          <w:p w14:paraId="21CBE8C8">
            <w:pPr>
              <w:spacing w:line="360" w:lineRule="auto"/>
              <w:rPr>
                <w:sz w:val="24"/>
              </w:rPr>
            </w:pPr>
          </w:p>
        </w:tc>
      </w:tr>
      <w:tr w14:paraId="33BE0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7" w:hRule="atLeast"/>
          <w:jc w:val="center"/>
        </w:trPr>
        <w:tc>
          <w:tcPr>
            <w:tcW w:w="1433" w:type="dxa"/>
            <w:vMerge w:val="continue"/>
            <w:vAlign w:val="center"/>
          </w:tcPr>
          <w:p w14:paraId="7F74F4BA">
            <w:pPr>
              <w:spacing w:line="360" w:lineRule="auto"/>
              <w:rPr>
                <w:sz w:val="24"/>
              </w:rPr>
            </w:pPr>
          </w:p>
        </w:tc>
        <w:tc>
          <w:tcPr>
            <w:tcW w:w="2688" w:type="dxa"/>
            <w:vMerge w:val="continue"/>
            <w:vAlign w:val="center"/>
          </w:tcPr>
          <w:p w14:paraId="44DD9322">
            <w:pPr>
              <w:spacing w:line="360" w:lineRule="auto"/>
              <w:rPr>
                <w:sz w:val="24"/>
              </w:rPr>
            </w:pPr>
          </w:p>
        </w:tc>
        <w:tc>
          <w:tcPr>
            <w:tcW w:w="1621" w:type="dxa"/>
            <w:vAlign w:val="center"/>
          </w:tcPr>
          <w:p w14:paraId="03625A18">
            <w:pPr>
              <w:spacing w:line="360" w:lineRule="auto"/>
              <w:rPr>
                <w:sz w:val="24"/>
              </w:rPr>
            </w:pPr>
          </w:p>
        </w:tc>
        <w:tc>
          <w:tcPr>
            <w:tcW w:w="2177" w:type="dxa"/>
            <w:vAlign w:val="center"/>
          </w:tcPr>
          <w:p w14:paraId="6F26FCEB">
            <w:pPr>
              <w:spacing w:line="360" w:lineRule="auto"/>
              <w:rPr>
                <w:sz w:val="24"/>
              </w:rPr>
            </w:pPr>
          </w:p>
        </w:tc>
        <w:tc>
          <w:tcPr>
            <w:tcW w:w="1007" w:type="dxa"/>
            <w:vMerge w:val="continue"/>
            <w:vAlign w:val="center"/>
          </w:tcPr>
          <w:p w14:paraId="45C1B809">
            <w:pPr>
              <w:spacing w:line="360" w:lineRule="auto"/>
              <w:rPr>
                <w:sz w:val="24"/>
              </w:rPr>
            </w:pPr>
          </w:p>
        </w:tc>
      </w:tr>
      <w:tr w14:paraId="06564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433" w:type="dxa"/>
            <w:vMerge w:val="continue"/>
            <w:vAlign w:val="center"/>
          </w:tcPr>
          <w:p w14:paraId="1BAECF01">
            <w:pPr>
              <w:spacing w:line="360" w:lineRule="auto"/>
              <w:rPr>
                <w:sz w:val="24"/>
              </w:rPr>
            </w:pPr>
          </w:p>
        </w:tc>
        <w:tc>
          <w:tcPr>
            <w:tcW w:w="2688" w:type="dxa"/>
            <w:vMerge w:val="continue"/>
            <w:vAlign w:val="center"/>
          </w:tcPr>
          <w:p w14:paraId="1C481023">
            <w:pPr>
              <w:spacing w:line="360" w:lineRule="auto"/>
              <w:rPr>
                <w:sz w:val="24"/>
              </w:rPr>
            </w:pPr>
          </w:p>
        </w:tc>
        <w:tc>
          <w:tcPr>
            <w:tcW w:w="1621" w:type="dxa"/>
            <w:vAlign w:val="center"/>
          </w:tcPr>
          <w:p w14:paraId="139FE017">
            <w:pPr>
              <w:spacing w:line="360" w:lineRule="auto"/>
              <w:rPr>
                <w:sz w:val="24"/>
              </w:rPr>
            </w:pPr>
          </w:p>
        </w:tc>
        <w:tc>
          <w:tcPr>
            <w:tcW w:w="2177" w:type="dxa"/>
            <w:vAlign w:val="center"/>
          </w:tcPr>
          <w:p w14:paraId="77648FDE">
            <w:pPr>
              <w:spacing w:line="360" w:lineRule="auto"/>
              <w:rPr>
                <w:sz w:val="24"/>
              </w:rPr>
            </w:pPr>
          </w:p>
        </w:tc>
        <w:tc>
          <w:tcPr>
            <w:tcW w:w="1007" w:type="dxa"/>
            <w:vMerge w:val="continue"/>
            <w:vAlign w:val="center"/>
          </w:tcPr>
          <w:p w14:paraId="67F03CB8">
            <w:pPr>
              <w:spacing w:line="360" w:lineRule="auto"/>
              <w:rPr>
                <w:sz w:val="24"/>
              </w:rPr>
            </w:pPr>
          </w:p>
        </w:tc>
      </w:tr>
    </w:tbl>
    <w:p w14:paraId="38333BEF">
      <w:pPr>
        <w:spacing w:before="160" w:line="360" w:lineRule="auto"/>
        <w:rPr>
          <w:sz w:val="24"/>
        </w:rPr>
      </w:pPr>
      <w:r>
        <w:rPr>
          <w:rFonts w:hint="eastAsia"/>
          <w:sz w:val="24"/>
        </w:rPr>
        <w:t>B.1.3观察项目记录</w:t>
      </w:r>
    </w:p>
    <w:p w14:paraId="208F000A">
      <w:pPr>
        <w:spacing w:before="160" w:line="360" w:lineRule="auto"/>
        <w:rPr>
          <w:sz w:val="24"/>
        </w:rPr>
      </w:pPr>
      <w:r>
        <w:rPr>
          <w:rFonts w:hint="eastAsia"/>
          <w:sz w:val="24"/>
        </w:rPr>
        <w:t>B.1.4试验项目记录</w:t>
      </w:r>
    </w:p>
    <w:p w14:paraId="29014CA9">
      <w:pPr>
        <w:spacing w:before="160" w:line="360" w:lineRule="auto"/>
        <w:rPr>
          <w:sz w:val="24"/>
        </w:rPr>
      </w:pPr>
      <w:r>
        <w:rPr>
          <w:rFonts w:hint="eastAsia"/>
          <w:sz w:val="24"/>
        </w:rPr>
        <w:t>B.2 型式评价记录参考格式</w:t>
      </w:r>
    </w:p>
    <w:p w14:paraId="31E6BEBF">
      <w:pPr>
        <w:spacing w:before="160" w:line="360" w:lineRule="auto"/>
        <w:rPr>
          <w:sz w:val="24"/>
          <w:szCs w:val="21"/>
        </w:rPr>
      </w:pPr>
      <w:r>
        <w:rPr>
          <w:rFonts w:hint="eastAsia"/>
          <w:sz w:val="24"/>
        </w:rPr>
        <w:t>B.2.1观察项目记录</w:t>
      </w:r>
    </w:p>
    <w:p w14:paraId="7C306692">
      <w:pPr>
        <w:rPr>
          <w:szCs w:val="21"/>
        </w:rPr>
      </w:pP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951"/>
        <w:gridCol w:w="2701"/>
        <w:gridCol w:w="851"/>
        <w:gridCol w:w="851"/>
        <w:gridCol w:w="2268"/>
      </w:tblGrid>
      <w:tr w14:paraId="5E095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67DBF04A">
            <w:pPr>
              <w:jc w:val="center"/>
              <w:rPr>
                <w:szCs w:val="21"/>
              </w:rPr>
            </w:pPr>
            <w:r>
              <w:rPr>
                <w:rFonts w:hint="eastAsia"/>
                <w:szCs w:val="21"/>
              </w:rPr>
              <w:t>序号</w:t>
            </w:r>
          </w:p>
        </w:tc>
        <w:tc>
          <w:tcPr>
            <w:tcW w:w="3652" w:type="dxa"/>
            <w:gridSpan w:val="2"/>
            <w:tcBorders>
              <w:top w:val="single" w:color="auto" w:sz="4" w:space="0"/>
              <w:left w:val="single" w:color="auto" w:sz="4" w:space="0"/>
              <w:bottom w:val="single" w:color="auto" w:sz="4" w:space="0"/>
              <w:right w:val="single" w:color="auto" w:sz="4" w:space="0"/>
            </w:tcBorders>
            <w:vAlign w:val="center"/>
          </w:tcPr>
          <w:p w14:paraId="7B9E2D75">
            <w:pPr>
              <w:jc w:val="center"/>
              <w:rPr>
                <w:szCs w:val="21"/>
              </w:rPr>
            </w:pPr>
            <w:r>
              <w:rPr>
                <w:rFonts w:hint="eastAsia"/>
                <w:szCs w:val="21"/>
              </w:rPr>
              <w:t>评价项目</w:t>
            </w:r>
          </w:p>
        </w:tc>
        <w:tc>
          <w:tcPr>
            <w:tcW w:w="851" w:type="dxa"/>
            <w:tcBorders>
              <w:top w:val="single" w:color="auto" w:sz="4" w:space="0"/>
              <w:left w:val="single" w:color="auto" w:sz="4" w:space="0"/>
              <w:bottom w:val="single" w:color="auto" w:sz="4" w:space="0"/>
              <w:right w:val="single" w:color="auto" w:sz="4" w:space="0"/>
            </w:tcBorders>
            <w:vAlign w:val="center"/>
          </w:tcPr>
          <w:p w14:paraId="7E42D4E4">
            <w:pPr>
              <w:jc w:val="center"/>
              <w:rPr>
                <w:szCs w:val="21"/>
              </w:rPr>
            </w:pPr>
            <w:r>
              <w:rPr>
                <w:szCs w:val="21"/>
              </w:rPr>
              <w:t>+</w:t>
            </w:r>
          </w:p>
        </w:tc>
        <w:tc>
          <w:tcPr>
            <w:tcW w:w="851" w:type="dxa"/>
            <w:tcBorders>
              <w:top w:val="single" w:color="auto" w:sz="4" w:space="0"/>
              <w:left w:val="single" w:color="auto" w:sz="4" w:space="0"/>
              <w:bottom w:val="single" w:color="auto" w:sz="4" w:space="0"/>
              <w:right w:val="single" w:color="auto" w:sz="4" w:space="0"/>
            </w:tcBorders>
            <w:vAlign w:val="center"/>
          </w:tcPr>
          <w:p w14:paraId="64EE248A">
            <w:pPr>
              <w:jc w:val="center"/>
              <w:rPr>
                <w:rFonts w:hint="eastAsia" w:ascii="宋体" w:hAnsi="宋体"/>
                <w:szCs w:val="21"/>
              </w:rPr>
            </w:pPr>
            <w:r>
              <w:rPr>
                <w:rFonts w:hint="eastAsia" w:ascii="宋体" w:hAnsi="宋体"/>
                <w:szCs w:val="21"/>
              </w:rPr>
              <w:t>-</w:t>
            </w:r>
          </w:p>
        </w:tc>
        <w:tc>
          <w:tcPr>
            <w:tcW w:w="2268" w:type="dxa"/>
            <w:tcBorders>
              <w:top w:val="single" w:color="auto" w:sz="4" w:space="0"/>
              <w:left w:val="single" w:color="auto" w:sz="4" w:space="0"/>
              <w:bottom w:val="single" w:color="auto" w:sz="4" w:space="0"/>
              <w:right w:val="single" w:color="auto" w:sz="4" w:space="0"/>
            </w:tcBorders>
            <w:vAlign w:val="center"/>
          </w:tcPr>
          <w:p w14:paraId="1EFCA9C3">
            <w:pPr>
              <w:jc w:val="center"/>
              <w:rPr>
                <w:szCs w:val="21"/>
              </w:rPr>
            </w:pPr>
            <w:r>
              <w:rPr>
                <w:rFonts w:hint="eastAsia"/>
                <w:szCs w:val="21"/>
              </w:rPr>
              <w:t>备注</w:t>
            </w:r>
          </w:p>
        </w:tc>
      </w:tr>
      <w:tr w14:paraId="298F1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27B4F443">
            <w:pPr>
              <w:adjustRightInd w:val="0"/>
              <w:snapToGrid w:val="0"/>
              <w:jc w:val="center"/>
              <w:rPr>
                <w:szCs w:val="21"/>
              </w:rPr>
            </w:pPr>
            <w:r>
              <w:rPr>
                <w:szCs w:val="21"/>
              </w:rPr>
              <w:t>1</w:t>
            </w:r>
          </w:p>
        </w:tc>
        <w:tc>
          <w:tcPr>
            <w:tcW w:w="3652" w:type="dxa"/>
            <w:gridSpan w:val="2"/>
            <w:tcBorders>
              <w:top w:val="single" w:color="auto" w:sz="4" w:space="0"/>
              <w:left w:val="single" w:color="auto" w:sz="4" w:space="0"/>
              <w:bottom w:val="single" w:color="auto" w:sz="4" w:space="0"/>
              <w:right w:val="single" w:color="auto" w:sz="4" w:space="0"/>
            </w:tcBorders>
            <w:vAlign w:val="center"/>
          </w:tcPr>
          <w:p w14:paraId="640B74C5">
            <w:pPr>
              <w:rPr>
                <w:bCs/>
                <w:spacing w:val="10"/>
              </w:rPr>
            </w:pPr>
            <w:r>
              <w:t>5.1</w:t>
            </w:r>
            <w:r>
              <w:rPr>
                <w:rFonts w:hint="eastAsia"/>
              </w:rPr>
              <w:t>计量单位</w:t>
            </w:r>
          </w:p>
        </w:tc>
        <w:tc>
          <w:tcPr>
            <w:tcW w:w="851" w:type="dxa"/>
            <w:tcBorders>
              <w:top w:val="single" w:color="auto" w:sz="4" w:space="0"/>
              <w:left w:val="single" w:color="auto" w:sz="4" w:space="0"/>
              <w:bottom w:val="single" w:color="auto" w:sz="4" w:space="0"/>
              <w:right w:val="single" w:color="auto" w:sz="4" w:space="0"/>
            </w:tcBorders>
            <w:vAlign w:val="center"/>
          </w:tcPr>
          <w:p w14:paraId="268B9FE1">
            <w:pPr>
              <w:jc w:val="center"/>
              <w:rPr>
                <w:szCs w:val="21"/>
              </w:rPr>
            </w:pPr>
          </w:p>
        </w:tc>
        <w:tc>
          <w:tcPr>
            <w:tcW w:w="851" w:type="dxa"/>
            <w:tcBorders>
              <w:top w:val="single" w:color="auto" w:sz="4" w:space="0"/>
              <w:left w:val="single" w:color="auto" w:sz="4" w:space="0"/>
              <w:bottom w:val="single" w:color="auto" w:sz="4" w:space="0"/>
              <w:right w:val="single" w:color="auto" w:sz="4" w:space="0"/>
            </w:tcBorders>
            <w:vAlign w:val="center"/>
          </w:tcPr>
          <w:p w14:paraId="55814D4F">
            <w:pPr>
              <w:jc w:val="center"/>
              <w:rPr>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5C7FAFFB">
            <w:pPr>
              <w:jc w:val="center"/>
              <w:rPr>
                <w:szCs w:val="21"/>
              </w:rPr>
            </w:pPr>
          </w:p>
        </w:tc>
      </w:tr>
      <w:tr w14:paraId="72976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71D91ED2">
            <w:pPr>
              <w:adjustRightInd w:val="0"/>
              <w:snapToGrid w:val="0"/>
              <w:jc w:val="center"/>
              <w:rPr>
                <w:szCs w:val="21"/>
              </w:rPr>
            </w:pPr>
            <w:r>
              <w:rPr>
                <w:szCs w:val="21"/>
              </w:rPr>
              <w:t>2</w:t>
            </w:r>
          </w:p>
        </w:tc>
        <w:tc>
          <w:tcPr>
            <w:tcW w:w="3652" w:type="dxa"/>
            <w:gridSpan w:val="2"/>
            <w:tcBorders>
              <w:top w:val="single" w:color="auto" w:sz="4" w:space="0"/>
              <w:left w:val="single" w:color="auto" w:sz="4" w:space="0"/>
              <w:bottom w:val="single" w:color="auto" w:sz="4" w:space="0"/>
              <w:right w:val="single" w:color="auto" w:sz="4" w:space="0"/>
            </w:tcBorders>
            <w:vAlign w:val="center"/>
          </w:tcPr>
          <w:p w14:paraId="31804CBC">
            <w:pPr>
              <w:jc w:val="left"/>
            </w:pPr>
            <w:r>
              <w:t>5.2</w:t>
            </w:r>
            <w:r>
              <w:rPr>
                <w:rFonts w:hint="eastAsia"/>
              </w:rPr>
              <w:t>外部结构设计要求</w:t>
            </w:r>
          </w:p>
        </w:tc>
        <w:tc>
          <w:tcPr>
            <w:tcW w:w="851" w:type="dxa"/>
            <w:tcBorders>
              <w:top w:val="single" w:color="auto" w:sz="4" w:space="0"/>
              <w:left w:val="single" w:color="auto" w:sz="4" w:space="0"/>
              <w:bottom w:val="single" w:color="auto" w:sz="4" w:space="0"/>
              <w:right w:val="single" w:color="auto" w:sz="4" w:space="0"/>
            </w:tcBorders>
            <w:vAlign w:val="center"/>
          </w:tcPr>
          <w:p w14:paraId="220C983F">
            <w:pPr>
              <w:jc w:val="center"/>
              <w:rPr>
                <w:szCs w:val="21"/>
              </w:rPr>
            </w:pPr>
          </w:p>
        </w:tc>
        <w:tc>
          <w:tcPr>
            <w:tcW w:w="851" w:type="dxa"/>
            <w:tcBorders>
              <w:top w:val="single" w:color="auto" w:sz="4" w:space="0"/>
              <w:left w:val="single" w:color="auto" w:sz="4" w:space="0"/>
              <w:bottom w:val="single" w:color="auto" w:sz="4" w:space="0"/>
              <w:right w:val="single" w:color="auto" w:sz="4" w:space="0"/>
            </w:tcBorders>
            <w:vAlign w:val="center"/>
          </w:tcPr>
          <w:p w14:paraId="58397B75">
            <w:pPr>
              <w:jc w:val="center"/>
              <w:rPr>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304217CA">
            <w:pPr>
              <w:jc w:val="center"/>
              <w:rPr>
                <w:szCs w:val="21"/>
              </w:rPr>
            </w:pPr>
          </w:p>
        </w:tc>
      </w:tr>
      <w:tr w14:paraId="112A6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34D1B591">
            <w:pPr>
              <w:adjustRightInd w:val="0"/>
              <w:snapToGrid w:val="0"/>
              <w:jc w:val="center"/>
              <w:rPr>
                <w:szCs w:val="21"/>
              </w:rPr>
            </w:pPr>
            <w:r>
              <w:rPr>
                <w:szCs w:val="21"/>
              </w:rPr>
              <w:t>3</w:t>
            </w:r>
          </w:p>
        </w:tc>
        <w:tc>
          <w:tcPr>
            <w:tcW w:w="3652" w:type="dxa"/>
            <w:gridSpan w:val="2"/>
            <w:tcBorders>
              <w:top w:val="single" w:color="auto" w:sz="4" w:space="0"/>
              <w:left w:val="single" w:color="auto" w:sz="4" w:space="0"/>
              <w:bottom w:val="single" w:color="auto" w:sz="4" w:space="0"/>
              <w:right w:val="single" w:color="auto" w:sz="4" w:space="0"/>
            </w:tcBorders>
            <w:vAlign w:val="center"/>
          </w:tcPr>
          <w:p w14:paraId="6C2F43D4">
            <w:pPr>
              <w:rPr>
                <w:bCs/>
                <w:spacing w:val="10"/>
              </w:rPr>
            </w:pPr>
            <w:r>
              <w:t>5.3</w:t>
            </w:r>
            <w:r>
              <w:rPr>
                <w:rFonts w:hint="eastAsia"/>
              </w:rPr>
              <w:t>标志和标识</w:t>
            </w:r>
          </w:p>
        </w:tc>
        <w:tc>
          <w:tcPr>
            <w:tcW w:w="851" w:type="dxa"/>
            <w:tcBorders>
              <w:top w:val="single" w:color="auto" w:sz="4" w:space="0"/>
              <w:left w:val="single" w:color="auto" w:sz="4" w:space="0"/>
              <w:bottom w:val="single" w:color="auto" w:sz="4" w:space="0"/>
              <w:right w:val="single" w:color="auto" w:sz="4" w:space="0"/>
            </w:tcBorders>
            <w:vAlign w:val="center"/>
          </w:tcPr>
          <w:p w14:paraId="6C4A1925">
            <w:pPr>
              <w:jc w:val="center"/>
              <w:rPr>
                <w:szCs w:val="21"/>
              </w:rPr>
            </w:pPr>
          </w:p>
        </w:tc>
        <w:tc>
          <w:tcPr>
            <w:tcW w:w="851" w:type="dxa"/>
            <w:tcBorders>
              <w:top w:val="single" w:color="auto" w:sz="4" w:space="0"/>
              <w:left w:val="single" w:color="auto" w:sz="4" w:space="0"/>
              <w:bottom w:val="single" w:color="auto" w:sz="4" w:space="0"/>
              <w:right w:val="single" w:color="auto" w:sz="4" w:space="0"/>
            </w:tcBorders>
            <w:vAlign w:val="center"/>
          </w:tcPr>
          <w:p w14:paraId="71B38777">
            <w:pPr>
              <w:jc w:val="center"/>
              <w:rPr>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0F60D725">
            <w:pPr>
              <w:jc w:val="center"/>
              <w:rPr>
                <w:szCs w:val="21"/>
              </w:rPr>
            </w:pPr>
          </w:p>
        </w:tc>
      </w:tr>
      <w:tr w14:paraId="4D02A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224F4C75">
            <w:pPr>
              <w:adjustRightInd w:val="0"/>
              <w:snapToGrid w:val="0"/>
              <w:jc w:val="center"/>
              <w:rPr>
                <w:szCs w:val="21"/>
              </w:rPr>
            </w:pPr>
            <w:r>
              <w:rPr>
                <w:rFonts w:hint="eastAsia"/>
                <w:szCs w:val="21"/>
              </w:rPr>
              <w:t>4</w:t>
            </w:r>
          </w:p>
        </w:tc>
        <w:tc>
          <w:tcPr>
            <w:tcW w:w="3652" w:type="dxa"/>
            <w:gridSpan w:val="2"/>
            <w:tcBorders>
              <w:top w:val="single" w:color="auto" w:sz="4" w:space="0"/>
              <w:left w:val="single" w:color="auto" w:sz="4" w:space="0"/>
              <w:bottom w:val="single" w:color="auto" w:sz="4" w:space="0"/>
              <w:right w:val="single" w:color="auto" w:sz="4" w:space="0"/>
            </w:tcBorders>
            <w:vAlign w:val="center"/>
          </w:tcPr>
          <w:p w14:paraId="5734E684">
            <w:pPr>
              <w:adjustRightInd w:val="0"/>
              <w:snapToGrid w:val="0"/>
            </w:pPr>
            <w:r>
              <w:rPr>
                <w:rFonts w:hint="eastAsia"/>
                <w:szCs w:val="21"/>
              </w:rPr>
              <w:t>5.3防爆性能</w:t>
            </w:r>
          </w:p>
        </w:tc>
        <w:tc>
          <w:tcPr>
            <w:tcW w:w="851" w:type="dxa"/>
            <w:tcBorders>
              <w:top w:val="single" w:color="auto" w:sz="4" w:space="0"/>
              <w:left w:val="single" w:color="auto" w:sz="4" w:space="0"/>
              <w:bottom w:val="single" w:color="auto" w:sz="4" w:space="0"/>
              <w:right w:val="single" w:color="auto" w:sz="4" w:space="0"/>
            </w:tcBorders>
            <w:vAlign w:val="center"/>
          </w:tcPr>
          <w:p w14:paraId="237C30C5">
            <w:pPr>
              <w:jc w:val="center"/>
              <w:rPr>
                <w:szCs w:val="21"/>
              </w:rPr>
            </w:pPr>
          </w:p>
        </w:tc>
        <w:tc>
          <w:tcPr>
            <w:tcW w:w="851" w:type="dxa"/>
            <w:tcBorders>
              <w:top w:val="single" w:color="auto" w:sz="4" w:space="0"/>
              <w:left w:val="single" w:color="auto" w:sz="4" w:space="0"/>
              <w:bottom w:val="single" w:color="auto" w:sz="4" w:space="0"/>
              <w:right w:val="single" w:color="auto" w:sz="4" w:space="0"/>
            </w:tcBorders>
            <w:vAlign w:val="center"/>
          </w:tcPr>
          <w:p w14:paraId="6E67AEBC">
            <w:pPr>
              <w:jc w:val="center"/>
              <w:rPr>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1AA752D7">
            <w:pPr>
              <w:jc w:val="center"/>
              <w:rPr>
                <w:szCs w:val="21"/>
              </w:rPr>
            </w:pPr>
            <w:r>
              <w:rPr>
                <w:rFonts w:hint="eastAsia"/>
                <w:szCs w:val="21"/>
              </w:rPr>
              <w:t>用于易燃易爆介质</w:t>
            </w:r>
          </w:p>
          <w:p w14:paraId="2021D55A">
            <w:pPr>
              <w:jc w:val="center"/>
              <w:rPr>
                <w:szCs w:val="21"/>
              </w:rPr>
            </w:pPr>
            <w:r>
              <w:rPr>
                <w:rFonts w:hint="eastAsia"/>
                <w:szCs w:val="21"/>
              </w:rPr>
              <w:t>适用</w:t>
            </w:r>
          </w:p>
        </w:tc>
      </w:tr>
      <w:tr w14:paraId="5D337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7B258180">
            <w:pPr>
              <w:adjustRightInd w:val="0"/>
              <w:snapToGrid w:val="0"/>
              <w:jc w:val="center"/>
              <w:rPr>
                <w:szCs w:val="21"/>
              </w:rPr>
            </w:pPr>
            <w:r>
              <w:rPr>
                <w:rFonts w:hint="eastAsia"/>
                <w:szCs w:val="21"/>
              </w:rPr>
              <w:t>5</w:t>
            </w:r>
          </w:p>
        </w:tc>
        <w:tc>
          <w:tcPr>
            <w:tcW w:w="3652" w:type="dxa"/>
            <w:gridSpan w:val="2"/>
            <w:tcBorders>
              <w:top w:val="single" w:color="auto" w:sz="4" w:space="0"/>
              <w:left w:val="single" w:color="auto" w:sz="4" w:space="0"/>
              <w:bottom w:val="single" w:color="auto" w:sz="4" w:space="0"/>
              <w:right w:val="single" w:color="auto" w:sz="4" w:space="0"/>
            </w:tcBorders>
            <w:vAlign w:val="center"/>
          </w:tcPr>
          <w:p w14:paraId="68E6057B">
            <w:pPr>
              <w:jc w:val="left"/>
            </w:pPr>
            <w:r>
              <w:t>5.4</w:t>
            </w:r>
            <w:r>
              <w:rPr>
                <w:rFonts w:hint="eastAsia"/>
              </w:rPr>
              <w:t>保护装置和封印</w:t>
            </w:r>
          </w:p>
        </w:tc>
        <w:tc>
          <w:tcPr>
            <w:tcW w:w="851" w:type="dxa"/>
            <w:tcBorders>
              <w:top w:val="single" w:color="auto" w:sz="4" w:space="0"/>
              <w:left w:val="single" w:color="auto" w:sz="4" w:space="0"/>
              <w:bottom w:val="single" w:color="auto" w:sz="4" w:space="0"/>
              <w:right w:val="single" w:color="auto" w:sz="4" w:space="0"/>
            </w:tcBorders>
            <w:vAlign w:val="center"/>
          </w:tcPr>
          <w:p w14:paraId="5B6D34CC">
            <w:pPr>
              <w:jc w:val="center"/>
              <w:rPr>
                <w:szCs w:val="21"/>
              </w:rPr>
            </w:pPr>
          </w:p>
        </w:tc>
        <w:tc>
          <w:tcPr>
            <w:tcW w:w="851" w:type="dxa"/>
            <w:tcBorders>
              <w:top w:val="single" w:color="auto" w:sz="4" w:space="0"/>
              <w:left w:val="single" w:color="auto" w:sz="4" w:space="0"/>
              <w:bottom w:val="single" w:color="auto" w:sz="4" w:space="0"/>
              <w:right w:val="single" w:color="auto" w:sz="4" w:space="0"/>
            </w:tcBorders>
            <w:vAlign w:val="center"/>
          </w:tcPr>
          <w:p w14:paraId="078F4C48">
            <w:pPr>
              <w:jc w:val="center"/>
              <w:rPr>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1F6E154A">
            <w:pPr>
              <w:jc w:val="center"/>
              <w:rPr>
                <w:szCs w:val="21"/>
              </w:rPr>
            </w:pPr>
          </w:p>
        </w:tc>
      </w:tr>
      <w:tr w14:paraId="1D7BD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92" w:type="dxa"/>
            <w:vMerge w:val="restart"/>
            <w:tcBorders>
              <w:top w:val="single" w:color="auto" w:sz="4" w:space="0"/>
              <w:left w:val="single" w:color="auto" w:sz="4" w:space="0"/>
              <w:bottom w:val="single" w:color="auto" w:sz="4" w:space="0"/>
              <w:right w:val="single" w:color="auto" w:sz="4" w:space="0"/>
            </w:tcBorders>
            <w:vAlign w:val="center"/>
          </w:tcPr>
          <w:p w14:paraId="1A1D496A">
            <w:pPr>
              <w:jc w:val="center"/>
              <w:rPr>
                <w:szCs w:val="21"/>
              </w:rPr>
            </w:pPr>
            <w:r>
              <w:rPr>
                <w:rFonts w:hint="eastAsia"/>
                <w:szCs w:val="21"/>
              </w:rPr>
              <w:t>6</w:t>
            </w:r>
          </w:p>
        </w:tc>
        <w:tc>
          <w:tcPr>
            <w:tcW w:w="951" w:type="dxa"/>
            <w:vMerge w:val="restart"/>
            <w:tcBorders>
              <w:top w:val="single" w:color="auto" w:sz="4" w:space="0"/>
              <w:left w:val="single" w:color="auto" w:sz="4" w:space="0"/>
              <w:bottom w:val="single" w:color="auto" w:sz="4" w:space="0"/>
              <w:right w:val="single" w:color="auto" w:sz="4" w:space="0"/>
            </w:tcBorders>
            <w:vAlign w:val="center"/>
          </w:tcPr>
          <w:p w14:paraId="70962000">
            <w:r>
              <w:t>7.1</w:t>
            </w:r>
            <w:r>
              <w:rPr>
                <w:rFonts w:hint="eastAsia"/>
              </w:rPr>
              <w:t>外观与结构</w:t>
            </w:r>
          </w:p>
        </w:tc>
        <w:tc>
          <w:tcPr>
            <w:tcW w:w="2701" w:type="dxa"/>
            <w:tcBorders>
              <w:top w:val="single" w:color="auto" w:sz="4" w:space="0"/>
              <w:left w:val="single" w:color="auto" w:sz="4" w:space="0"/>
              <w:bottom w:val="single" w:color="auto" w:sz="4" w:space="0"/>
              <w:right w:val="single" w:color="auto" w:sz="4" w:space="0"/>
            </w:tcBorders>
            <w:vAlign w:val="center"/>
          </w:tcPr>
          <w:p w14:paraId="4A569E8E">
            <w:pPr>
              <w:adjustRightInd w:val="0"/>
              <w:snapToGrid w:val="0"/>
              <w:rPr>
                <w:szCs w:val="21"/>
              </w:rPr>
            </w:pPr>
            <w:r>
              <w:t>7.1.1</w:t>
            </w:r>
            <w:r>
              <w:rPr>
                <w:rFonts w:hint="eastAsia"/>
              </w:rPr>
              <w:t>外观</w:t>
            </w:r>
          </w:p>
        </w:tc>
        <w:tc>
          <w:tcPr>
            <w:tcW w:w="851" w:type="dxa"/>
            <w:tcBorders>
              <w:top w:val="single" w:color="auto" w:sz="4" w:space="0"/>
              <w:left w:val="single" w:color="auto" w:sz="4" w:space="0"/>
              <w:bottom w:val="single" w:color="auto" w:sz="4" w:space="0"/>
              <w:right w:val="single" w:color="auto" w:sz="4" w:space="0"/>
            </w:tcBorders>
            <w:vAlign w:val="center"/>
          </w:tcPr>
          <w:p w14:paraId="780D7F7B">
            <w:pPr>
              <w:jc w:val="center"/>
              <w:rPr>
                <w:szCs w:val="21"/>
              </w:rPr>
            </w:pPr>
          </w:p>
        </w:tc>
        <w:tc>
          <w:tcPr>
            <w:tcW w:w="851" w:type="dxa"/>
            <w:tcBorders>
              <w:top w:val="single" w:color="auto" w:sz="4" w:space="0"/>
              <w:left w:val="single" w:color="auto" w:sz="4" w:space="0"/>
              <w:bottom w:val="single" w:color="auto" w:sz="4" w:space="0"/>
              <w:right w:val="single" w:color="auto" w:sz="4" w:space="0"/>
            </w:tcBorders>
            <w:vAlign w:val="center"/>
          </w:tcPr>
          <w:p w14:paraId="38E07FFB">
            <w:pPr>
              <w:jc w:val="center"/>
              <w:rPr>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179A820C">
            <w:pPr>
              <w:jc w:val="center"/>
              <w:rPr>
                <w:szCs w:val="21"/>
              </w:rPr>
            </w:pPr>
          </w:p>
        </w:tc>
      </w:tr>
      <w:tr w14:paraId="0A345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192" w:type="dxa"/>
            <w:vMerge w:val="continue"/>
            <w:tcBorders>
              <w:top w:val="single" w:color="auto" w:sz="4" w:space="0"/>
              <w:left w:val="single" w:color="auto" w:sz="4" w:space="0"/>
              <w:bottom w:val="single" w:color="auto" w:sz="4" w:space="0"/>
              <w:right w:val="single" w:color="auto" w:sz="4" w:space="0"/>
            </w:tcBorders>
            <w:vAlign w:val="center"/>
          </w:tcPr>
          <w:p w14:paraId="32638C93">
            <w:pPr>
              <w:widowControl/>
              <w:jc w:val="center"/>
              <w:rPr>
                <w:szCs w:val="21"/>
              </w:rPr>
            </w:pPr>
          </w:p>
        </w:tc>
        <w:tc>
          <w:tcPr>
            <w:tcW w:w="951" w:type="dxa"/>
            <w:vMerge w:val="continue"/>
            <w:tcBorders>
              <w:top w:val="single" w:color="auto" w:sz="4" w:space="0"/>
              <w:left w:val="single" w:color="auto" w:sz="4" w:space="0"/>
              <w:bottom w:val="single" w:color="auto" w:sz="4" w:space="0"/>
              <w:right w:val="single" w:color="auto" w:sz="4" w:space="0"/>
            </w:tcBorders>
            <w:vAlign w:val="center"/>
          </w:tcPr>
          <w:p w14:paraId="3014ACD5">
            <w:pPr>
              <w:widowControl/>
              <w:jc w:val="left"/>
            </w:pPr>
          </w:p>
        </w:tc>
        <w:tc>
          <w:tcPr>
            <w:tcW w:w="2701" w:type="dxa"/>
            <w:tcBorders>
              <w:top w:val="single" w:color="auto" w:sz="4" w:space="0"/>
              <w:left w:val="single" w:color="auto" w:sz="4" w:space="0"/>
              <w:bottom w:val="single" w:color="auto" w:sz="4" w:space="0"/>
              <w:right w:val="single" w:color="auto" w:sz="4" w:space="0"/>
            </w:tcBorders>
            <w:vAlign w:val="center"/>
          </w:tcPr>
          <w:p w14:paraId="24374185">
            <w:pPr>
              <w:adjustRightInd w:val="0"/>
              <w:snapToGrid w:val="0"/>
              <w:rPr>
                <w:szCs w:val="21"/>
              </w:rPr>
            </w:pPr>
            <w:r>
              <w:t>7.1.2</w:t>
            </w:r>
            <w:r>
              <w:rPr>
                <w:rFonts w:hint="eastAsia"/>
              </w:rPr>
              <w:t>结构</w:t>
            </w:r>
          </w:p>
        </w:tc>
        <w:tc>
          <w:tcPr>
            <w:tcW w:w="851" w:type="dxa"/>
            <w:tcBorders>
              <w:top w:val="single" w:color="auto" w:sz="4" w:space="0"/>
              <w:left w:val="single" w:color="auto" w:sz="4" w:space="0"/>
              <w:bottom w:val="single" w:color="auto" w:sz="4" w:space="0"/>
              <w:right w:val="single" w:color="auto" w:sz="4" w:space="0"/>
            </w:tcBorders>
            <w:vAlign w:val="center"/>
          </w:tcPr>
          <w:p w14:paraId="76D9527F">
            <w:pPr>
              <w:jc w:val="center"/>
              <w:rPr>
                <w:szCs w:val="21"/>
              </w:rPr>
            </w:pPr>
          </w:p>
        </w:tc>
        <w:tc>
          <w:tcPr>
            <w:tcW w:w="851" w:type="dxa"/>
            <w:tcBorders>
              <w:top w:val="single" w:color="auto" w:sz="4" w:space="0"/>
              <w:left w:val="single" w:color="auto" w:sz="4" w:space="0"/>
              <w:bottom w:val="single" w:color="auto" w:sz="4" w:space="0"/>
              <w:right w:val="single" w:color="auto" w:sz="4" w:space="0"/>
            </w:tcBorders>
            <w:vAlign w:val="center"/>
          </w:tcPr>
          <w:p w14:paraId="0A3EC169">
            <w:pPr>
              <w:jc w:val="center"/>
              <w:rPr>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248E8295">
            <w:pPr>
              <w:jc w:val="center"/>
              <w:rPr>
                <w:szCs w:val="21"/>
              </w:rPr>
            </w:pPr>
          </w:p>
        </w:tc>
      </w:tr>
      <w:tr w14:paraId="53524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1457EB5E">
            <w:pPr>
              <w:widowControl/>
              <w:jc w:val="center"/>
              <w:rPr>
                <w:szCs w:val="21"/>
              </w:rPr>
            </w:pPr>
            <w:r>
              <w:rPr>
                <w:rFonts w:hint="eastAsia"/>
                <w:szCs w:val="21"/>
              </w:rPr>
              <w:t>7</w:t>
            </w:r>
          </w:p>
        </w:tc>
        <w:tc>
          <w:tcPr>
            <w:tcW w:w="3652" w:type="dxa"/>
            <w:gridSpan w:val="2"/>
            <w:tcBorders>
              <w:top w:val="single" w:color="auto" w:sz="4" w:space="0"/>
              <w:left w:val="single" w:color="auto" w:sz="4" w:space="0"/>
              <w:bottom w:val="single" w:color="auto" w:sz="4" w:space="0"/>
              <w:right w:val="single" w:color="auto" w:sz="4" w:space="0"/>
            </w:tcBorders>
            <w:vAlign w:val="center"/>
          </w:tcPr>
          <w:p w14:paraId="0BED378A">
            <w:pPr>
              <w:adjustRightInd w:val="0"/>
              <w:snapToGrid w:val="0"/>
            </w:pPr>
            <w:r>
              <w:rPr>
                <w:rFonts w:hint="eastAsia"/>
              </w:rPr>
              <w:t>7.10软件管理的要求</w:t>
            </w:r>
          </w:p>
        </w:tc>
        <w:tc>
          <w:tcPr>
            <w:tcW w:w="851" w:type="dxa"/>
            <w:tcBorders>
              <w:top w:val="single" w:color="auto" w:sz="4" w:space="0"/>
              <w:left w:val="single" w:color="auto" w:sz="4" w:space="0"/>
              <w:bottom w:val="single" w:color="auto" w:sz="4" w:space="0"/>
              <w:right w:val="single" w:color="auto" w:sz="4" w:space="0"/>
            </w:tcBorders>
            <w:vAlign w:val="center"/>
          </w:tcPr>
          <w:p w14:paraId="26785A10">
            <w:pPr>
              <w:jc w:val="center"/>
              <w:rPr>
                <w:szCs w:val="21"/>
              </w:rPr>
            </w:pPr>
          </w:p>
        </w:tc>
        <w:tc>
          <w:tcPr>
            <w:tcW w:w="851" w:type="dxa"/>
            <w:tcBorders>
              <w:top w:val="single" w:color="auto" w:sz="4" w:space="0"/>
              <w:left w:val="single" w:color="auto" w:sz="4" w:space="0"/>
              <w:bottom w:val="single" w:color="auto" w:sz="4" w:space="0"/>
              <w:right w:val="single" w:color="auto" w:sz="4" w:space="0"/>
            </w:tcBorders>
            <w:vAlign w:val="center"/>
          </w:tcPr>
          <w:p w14:paraId="7223E2BD">
            <w:pPr>
              <w:jc w:val="center"/>
              <w:rPr>
                <w:szCs w:val="21"/>
              </w:rPr>
            </w:pPr>
          </w:p>
        </w:tc>
        <w:tc>
          <w:tcPr>
            <w:tcW w:w="2268" w:type="dxa"/>
            <w:tcBorders>
              <w:top w:val="single" w:color="auto" w:sz="4" w:space="0"/>
              <w:left w:val="single" w:color="auto" w:sz="4" w:space="0"/>
              <w:bottom w:val="single" w:color="auto" w:sz="4" w:space="0"/>
              <w:right w:val="single" w:color="auto" w:sz="4" w:space="0"/>
            </w:tcBorders>
            <w:vAlign w:val="center"/>
          </w:tcPr>
          <w:p w14:paraId="65BE5F13">
            <w:pPr>
              <w:jc w:val="center"/>
              <w:rPr>
                <w:szCs w:val="21"/>
              </w:rPr>
            </w:pPr>
          </w:p>
        </w:tc>
      </w:tr>
    </w:tbl>
    <w:p w14:paraId="1600F363"/>
    <w:p w14:paraId="3D85C880">
      <w:pPr>
        <w:rPr>
          <w:rFonts w:eastAsia="仿宋"/>
          <w:szCs w:val="21"/>
        </w:rPr>
      </w:pPr>
      <w:r>
        <w:rPr>
          <w:rFonts w:hint="eastAsia" w:eastAsia="仿宋"/>
          <w:szCs w:val="21"/>
        </w:rPr>
        <w:t>注：</w:t>
      </w:r>
    </w:p>
    <w:tbl>
      <w:tblPr>
        <w:tblStyle w:val="3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972"/>
        <w:gridCol w:w="1008"/>
      </w:tblGrid>
      <w:tr w14:paraId="5177C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0" w:type="dxa"/>
            <w:tcBorders>
              <w:top w:val="single" w:color="auto" w:sz="4" w:space="0"/>
              <w:left w:val="single" w:color="auto" w:sz="4" w:space="0"/>
              <w:bottom w:val="single" w:color="auto" w:sz="4" w:space="0"/>
              <w:right w:val="single" w:color="auto" w:sz="4" w:space="0"/>
            </w:tcBorders>
            <w:vAlign w:val="center"/>
          </w:tcPr>
          <w:p w14:paraId="50699E6E">
            <w:pPr>
              <w:jc w:val="center"/>
              <w:rPr>
                <w:rFonts w:eastAsia="仿宋"/>
                <w:sz w:val="18"/>
                <w:szCs w:val="18"/>
              </w:rPr>
            </w:pPr>
            <w:r>
              <w:rPr>
                <w:rFonts w:hint="eastAsia" w:eastAsia="仿宋"/>
                <w:sz w:val="18"/>
                <w:szCs w:val="18"/>
              </w:rPr>
              <w:t>＋</w:t>
            </w:r>
          </w:p>
        </w:tc>
        <w:tc>
          <w:tcPr>
            <w:tcW w:w="972" w:type="dxa"/>
            <w:tcBorders>
              <w:top w:val="single" w:color="auto" w:sz="4" w:space="0"/>
              <w:left w:val="single" w:color="auto" w:sz="4" w:space="0"/>
              <w:bottom w:val="single" w:color="auto" w:sz="4" w:space="0"/>
              <w:right w:val="single" w:color="auto" w:sz="4" w:space="0"/>
            </w:tcBorders>
            <w:vAlign w:val="center"/>
          </w:tcPr>
          <w:p w14:paraId="7EEFCA2F">
            <w:pPr>
              <w:jc w:val="center"/>
              <w:rPr>
                <w:rFonts w:eastAsia="仿宋"/>
                <w:sz w:val="18"/>
                <w:szCs w:val="18"/>
              </w:rPr>
            </w:pPr>
            <w:r>
              <w:rPr>
                <w:rFonts w:hint="eastAsia" w:eastAsia="仿宋"/>
                <w:sz w:val="18"/>
                <w:szCs w:val="18"/>
              </w:rPr>
              <w:t>－</w:t>
            </w:r>
          </w:p>
        </w:tc>
        <w:tc>
          <w:tcPr>
            <w:tcW w:w="1008" w:type="dxa"/>
            <w:tcBorders>
              <w:top w:val="nil"/>
              <w:left w:val="single" w:color="auto" w:sz="4" w:space="0"/>
              <w:bottom w:val="nil"/>
              <w:right w:val="nil"/>
            </w:tcBorders>
            <w:vAlign w:val="center"/>
          </w:tcPr>
          <w:p w14:paraId="502C6050">
            <w:pPr>
              <w:jc w:val="center"/>
              <w:rPr>
                <w:rFonts w:eastAsia="仿宋"/>
                <w:sz w:val="18"/>
                <w:szCs w:val="18"/>
              </w:rPr>
            </w:pPr>
          </w:p>
        </w:tc>
      </w:tr>
      <w:tr w14:paraId="24289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0" w:type="dxa"/>
            <w:tcBorders>
              <w:top w:val="single" w:color="auto" w:sz="4" w:space="0"/>
              <w:left w:val="single" w:color="auto" w:sz="4" w:space="0"/>
              <w:bottom w:val="single" w:color="auto" w:sz="4" w:space="0"/>
              <w:right w:val="single" w:color="auto" w:sz="4" w:space="0"/>
            </w:tcBorders>
            <w:vAlign w:val="center"/>
          </w:tcPr>
          <w:p w14:paraId="7ACCF546">
            <w:pPr>
              <w:jc w:val="center"/>
              <w:rPr>
                <w:rFonts w:eastAsia="仿宋"/>
                <w:sz w:val="18"/>
                <w:szCs w:val="18"/>
              </w:rPr>
            </w:pPr>
            <w:r>
              <w:rPr>
                <w:rFonts w:eastAsia="仿宋"/>
                <w:sz w:val="18"/>
                <w:szCs w:val="18"/>
              </w:rPr>
              <w:t>×</w:t>
            </w:r>
          </w:p>
        </w:tc>
        <w:tc>
          <w:tcPr>
            <w:tcW w:w="972" w:type="dxa"/>
            <w:tcBorders>
              <w:top w:val="single" w:color="auto" w:sz="4" w:space="0"/>
              <w:left w:val="single" w:color="auto" w:sz="4" w:space="0"/>
              <w:bottom w:val="single" w:color="auto" w:sz="4" w:space="0"/>
              <w:right w:val="single" w:color="auto" w:sz="4" w:space="0"/>
            </w:tcBorders>
            <w:vAlign w:val="center"/>
          </w:tcPr>
          <w:p w14:paraId="23EA76B1">
            <w:pPr>
              <w:jc w:val="center"/>
              <w:rPr>
                <w:rFonts w:eastAsia="仿宋"/>
                <w:sz w:val="18"/>
                <w:szCs w:val="18"/>
              </w:rPr>
            </w:pPr>
          </w:p>
        </w:tc>
        <w:tc>
          <w:tcPr>
            <w:tcW w:w="1008" w:type="dxa"/>
            <w:tcBorders>
              <w:top w:val="nil"/>
              <w:left w:val="single" w:color="auto" w:sz="4" w:space="0"/>
              <w:bottom w:val="nil"/>
              <w:right w:val="nil"/>
            </w:tcBorders>
            <w:vAlign w:val="center"/>
          </w:tcPr>
          <w:p w14:paraId="74D82C4E">
            <w:pPr>
              <w:rPr>
                <w:rFonts w:eastAsia="仿宋"/>
                <w:sz w:val="18"/>
                <w:szCs w:val="18"/>
              </w:rPr>
            </w:pPr>
            <w:r>
              <w:rPr>
                <w:rFonts w:hint="eastAsia" w:eastAsia="仿宋"/>
                <w:sz w:val="18"/>
                <w:szCs w:val="18"/>
              </w:rPr>
              <w:t>通过</w:t>
            </w:r>
          </w:p>
        </w:tc>
      </w:tr>
      <w:tr w14:paraId="6895B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0" w:type="dxa"/>
            <w:tcBorders>
              <w:top w:val="single" w:color="auto" w:sz="4" w:space="0"/>
              <w:left w:val="single" w:color="auto" w:sz="4" w:space="0"/>
              <w:bottom w:val="single" w:color="auto" w:sz="4" w:space="0"/>
              <w:right w:val="single" w:color="auto" w:sz="4" w:space="0"/>
            </w:tcBorders>
            <w:vAlign w:val="center"/>
          </w:tcPr>
          <w:p w14:paraId="44E37929">
            <w:pPr>
              <w:jc w:val="center"/>
              <w:rPr>
                <w:rFonts w:eastAsia="仿宋"/>
                <w:sz w:val="18"/>
                <w:szCs w:val="18"/>
              </w:rPr>
            </w:pPr>
          </w:p>
        </w:tc>
        <w:tc>
          <w:tcPr>
            <w:tcW w:w="972" w:type="dxa"/>
            <w:tcBorders>
              <w:top w:val="single" w:color="auto" w:sz="4" w:space="0"/>
              <w:left w:val="single" w:color="auto" w:sz="4" w:space="0"/>
              <w:bottom w:val="single" w:color="auto" w:sz="4" w:space="0"/>
              <w:right w:val="single" w:color="auto" w:sz="4" w:space="0"/>
            </w:tcBorders>
            <w:vAlign w:val="center"/>
          </w:tcPr>
          <w:p w14:paraId="65AC020B">
            <w:pPr>
              <w:jc w:val="center"/>
              <w:rPr>
                <w:rFonts w:eastAsia="仿宋"/>
                <w:sz w:val="18"/>
                <w:szCs w:val="18"/>
              </w:rPr>
            </w:pPr>
            <w:r>
              <w:rPr>
                <w:rFonts w:eastAsia="仿宋"/>
                <w:sz w:val="18"/>
                <w:szCs w:val="18"/>
              </w:rPr>
              <w:t>×</w:t>
            </w:r>
          </w:p>
        </w:tc>
        <w:tc>
          <w:tcPr>
            <w:tcW w:w="1008" w:type="dxa"/>
            <w:tcBorders>
              <w:top w:val="nil"/>
              <w:left w:val="single" w:color="auto" w:sz="4" w:space="0"/>
              <w:bottom w:val="nil"/>
              <w:right w:val="nil"/>
            </w:tcBorders>
            <w:vAlign w:val="center"/>
          </w:tcPr>
          <w:p w14:paraId="12D74C45">
            <w:pPr>
              <w:rPr>
                <w:rFonts w:eastAsia="仿宋"/>
                <w:sz w:val="18"/>
                <w:szCs w:val="18"/>
              </w:rPr>
            </w:pPr>
            <w:r>
              <w:rPr>
                <w:rFonts w:hint="eastAsia" w:eastAsia="仿宋"/>
                <w:sz w:val="18"/>
                <w:szCs w:val="18"/>
              </w:rPr>
              <w:t>不通过</w:t>
            </w:r>
          </w:p>
        </w:tc>
      </w:tr>
    </w:tbl>
    <w:p w14:paraId="52D7B500">
      <w:pPr>
        <w:spacing w:line="500" w:lineRule="exact"/>
        <w:rPr>
          <w:sz w:val="24"/>
        </w:rPr>
      </w:pPr>
    </w:p>
    <w:p w14:paraId="38479EA9">
      <w:pPr>
        <w:spacing w:line="500" w:lineRule="exact"/>
        <w:rPr>
          <w:sz w:val="24"/>
        </w:rPr>
      </w:pPr>
    </w:p>
    <w:p w14:paraId="2E9E952F">
      <w:pPr>
        <w:spacing w:line="500" w:lineRule="exact"/>
        <w:rPr>
          <w:sz w:val="24"/>
        </w:rPr>
      </w:pPr>
    </w:p>
    <w:p w14:paraId="14CDF31C">
      <w:pPr>
        <w:spacing w:line="500" w:lineRule="exact"/>
        <w:rPr>
          <w:sz w:val="24"/>
        </w:rPr>
      </w:pPr>
    </w:p>
    <w:p w14:paraId="3BF43424">
      <w:pPr>
        <w:spacing w:line="500" w:lineRule="exact"/>
        <w:rPr>
          <w:sz w:val="24"/>
        </w:rPr>
      </w:pPr>
    </w:p>
    <w:p w14:paraId="2281210C">
      <w:pPr>
        <w:spacing w:line="500" w:lineRule="exact"/>
        <w:rPr>
          <w:sz w:val="24"/>
        </w:rPr>
      </w:pPr>
    </w:p>
    <w:p w14:paraId="4EDD8647">
      <w:pPr>
        <w:spacing w:line="500" w:lineRule="exact"/>
        <w:rPr>
          <w:sz w:val="24"/>
        </w:rPr>
      </w:pPr>
    </w:p>
    <w:p w14:paraId="23751F1F">
      <w:pPr>
        <w:spacing w:line="500" w:lineRule="exact"/>
        <w:rPr>
          <w:sz w:val="24"/>
        </w:rPr>
      </w:pPr>
    </w:p>
    <w:p w14:paraId="5F37AD1F">
      <w:pPr>
        <w:spacing w:line="500" w:lineRule="exact"/>
        <w:rPr>
          <w:sz w:val="24"/>
        </w:rPr>
      </w:pPr>
    </w:p>
    <w:p w14:paraId="75F95553">
      <w:pPr>
        <w:spacing w:line="500" w:lineRule="exact"/>
        <w:rPr>
          <w:sz w:val="24"/>
        </w:rPr>
      </w:pPr>
    </w:p>
    <w:p w14:paraId="794B53E6">
      <w:pPr>
        <w:spacing w:before="160" w:line="360" w:lineRule="auto"/>
        <w:rPr>
          <w:sz w:val="24"/>
        </w:rPr>
      </w:pPr>
      <w:r>
        <w:rPr>
          <w:rFonts w:hint="eastAsia"/>
          <w:sz w:val="24"/>
        </w:rPr>
        <w:t>B.2.2 试验项目记录</w:t>
      </w:r>
    </w:p>
    <w:p w14:paraId="59DE9D68">
      <w:pPr>
        <w:spacing w:before="160" w:line="360" w:lineRule="auto"/>
        <w:jc w:val="center"/>
        <w:rPr>
          <w:sz w:val="24"/>
          <w:szCs w:val="24"/>
        </w:rPr>
      </w:pPr>
      <w:r>
        <w:rPr>
          <w:rFonts w:hint="eastAsia"/>
          <w:sz w:val="24"/>
          <w:szCs w:val="24"/>
        </w:rPr>
        <w:t>1、示值误差、重复性试验原始记录</w:t>
      </w:r>
    </w:p>
    <w:p w14:paraId="4C498C8D">
      <w:pPr>
        <w:spacing w:before="160" w:line="360" w:lineRule="auto"/>
        <w:ind w:firstLine="735" w:firstLineChars="350"/>
        <w:jc w:val="center"/>
        <w:rPr>
          <w:szCs w:val="21"/>
        </w:rPr>
      </w:pPr>
    </w:p>
    <w:p w14:paraId="3CA1DB09">
      <w:pPr>
        <w:spacing w:before="160" w:line="360" w:lineRule="auto"/>
        <w:rPr>
          <w:szCs w:val="21"/>
        </w:rPr>
      </w:pPr>
      <w:r>
        <w:rPr>
          <w:rFonts w:hint="eastAsia"/>
          <w:szCs w:val="21"/>
        </w:rPr>
        <w:t>产品名称：</w:t>
      </w:r>
      <w:r>
        <w:rPr>
          <w:rFonts w:hint="eastAsia"/>
          <w:szCs w:val="21"/>
          <w:u w:val="single"/>
        </w:rPr>
        <w:t xml:space="preserve">                         </w:t>
      </w:r>
      <w:r>
        <w:rPr>
          <w:rFonts w:hint="eastAsia"/>
          <w:szCs w:val="21"/>
        </w:rPr>
        <w:t xml:space="preserve">  型号规格：</w:t>
      </w:r>
      <w:r>
        <w:rPr>
          <w:szCs w:val="21"/>
          <w:u w:val="single"/>
        </w:rPr>
        <w:t xml:space="preserve">                       </w:t>
      </w:r>
      <w:r>
        <w:rPr>
          <w:rFonts w:hint="eastAsia"/>
          <w:szCs w:val="21"/>
        </w:rPr>
        <w:t>制造单位：</w:t>
      </w:r>
      <w:r>
        <w:rPr>
          <w:szCs w:val="21"/>
          <w:u w:val="single"/>
        </w:rPr>
        <w:t xml:space="preserve">                     </w:t>
      </w:r>
      <w:r>
        <w:rPr>
          <w:rFonts w:hint="eastAsia"/>
          <w:szCs w:val="21"/>
        </w:rPr>
        <w:t>出厂编号：</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14:paraId="285CABA2">
      <w:pPr>
        <w:spacing w:before="160" w:line="360" w:lineRule="auto"/>
        <w:rPr>
          <w:szCs w:val="21"/>
          <w:u w:val="single"/>
        </w:rPr>
      </w:pPr>
      <w:r>
        <w:rPr>
          <w:rFonts w:hint="eastAsia"/>
          <w:szCs w:val="21"/>
        </w:rPr>
        <w:t>样品编号：</w:t>
      </w:r>
      <w:r>
        <w:rPr>
          <w:szCs w:val="21"/>
          <w:u w:val="single"/>
        </w:rPr>
        <w:t xml:space="preserve">      </w:t>
      </w:r>
      <w:r>
        <w:rPr>
          <w:rFonts w:hint="eastAsia"/>
          <w:szCs w:val="21"/>
          <w:u w:val="single"/>
        </w:rPr>
        <w:t xml:space="preserve">           </w:t>
      </w:r>
      <w:r>
        <w:rPr>
          <w:szCs w:val="21"/>
          <w:u w:val="single"/>
        </w:rPr>
        <w:t xml:space="preserve">     </w:t>
      </w:r>
      <w:r>
        <w:rPr>
          <w:szCs w:val="21"/>
        </w:rPr>
        <w:t xml:space="preserve">  </w:t>
      </w:r>
      <w:r>
        <w:rPr>
          <w:rFonts w:hint="eastAsia"/>
          <w:szCs w:val="21"/>
        </w:rPr>
        <w:t>流量范围：</w:t>
      </w:r>
      <w:r>
        <w:rPr>
          <w:szCs w:val="21"/>
          <w:u w:val="single"/>
        </w:rPr>
        <w:t xml:space="preserve">       </w:t>
      </w:r>
      <w:r>
        <w:rPr>
          <w:rFonts w:hint="eastAsia"/>
          <w:szCs w:val="21"/>
          <w:u w:val="single"/>
        </w:rPr>
        <w:t xml:space="preserve">              </w:t>
      </w:r>
      <w:r>
        <w:rPr>
          <w:szCs w:val="21"/>
          <w:u w:val="single"/>
        </w:rPr>
        <w:t xml:space="preserve">    </w:t>
      </w:r>
      <w:r>
        <w:rPr>
          <w:szCs w:val="21"/>
        </w:rPr>
        <w:t xml:space="preserve">  </w:t>
      </w:r>
      <w:r>
        <w:rPr>
          <w:rFonts w:hint="eastAsia"/>
          <w:szCs w:val="21"/>
        </w:rPr>
        <w:t>准确度等级：</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14:paraId="063124A5">
      <w:pPr>
        <w:spacing w:before="160" w:line="360" w:lineRule="auto"/>
        <w:rPr>
          <w:szCs w:val="21"/>
          <w:u w:val="single"/>
        </w:rPr>
      </w:pPr>
      <w:r>
        <w:rPr>
          <w:rFonts w:hint="eastAsia"/>
          <w:szCs w:val="21"/>
        </w:rPr>
        <w:t>大气压：</w:t>
      </w:r>
      <w:r>
        <w:rPr>
          <w:szCs w:val="21"/>
          <w:u w:val="single"/>
        </w:rPr>
        <w:t xml:space="preserve">          </w:t>
      </w:r>
      <w:r>
        <w:rPr>
          <w:szCs w:val="21"/>
        </w:rPr>
        <w:t xml:space="preserve">kPa  </w:t>
      </w:r>
      <w:r>
        <w:rPr>
          <w:rFonts w:hint="eastAsia"/>
          <w:szCs w:val="21"/>
        </w:rPr>
        <w:t>环境温度：</w:t>
      </w:r>
      <w:r>
        <w:rPr>
          <w:szCs w:val="21"/>
          <w:u w:val="single"/>
        </w:rPr>
        <w:t xml:space="preserve">        </w:t>
      </w:r>
      <w:r>
        <w:rPr>
          <w:rFonts w:hint="eastAsia"/>
          <w:szCs w:val="21"/>
        </w:rPr>
        <w:t>℃</w:t>
      </w:r>
      <w:r>
        <w:rPr>
          <w:szCs w:val="21"/>
        </w:rPr>
        <w:t xml:space="preserve"> </w:t>
      </w:r>
      <w:r>
        <w:rPr>
          <w:rFonts w:hint="eastAsia"/>
          <w:szCs w:val="21"/>
        </w:rPr>
        <w:t>相对湿度：</w:t>
      </w:r>
      <w:r>
        <w:rPr>
          <w:szCs w:val="21"/>
          <w:u w:val="single"/>
        </w:rPr>
        <w:t xml:space="preserve">            </w:t>
      </w:r>
      <w:r>
        <w:rPr>
          <w:rFonts w:hint="eastAsia"/>
          <w:szCs w:val="21"/>
        </w:rPr>
        <w:t>％</w:t>
      </w:r>
      <w:r>
        <w:rPr>
          <w:szCs w:val="21"/>
        </w:rPr>
        <w:t xml:space="preserve"> </w:t>
      </w:r>
      <w:r>
        <w:rPr>
          <w:rFonts w:hint="eastAsia"/>
          <w:szCs w:val="21"/>
        </w:rPr>
        <w:t>试验介质：</w:t>
      </w:r>
      <w:r>
        <w:rPr>
          <w:szCs w:val="21"/>
          <w:u w:val="single"/>
        </w:rPr>
        <w:t xml:space="preserve">        </w:t>
      </w:r>
      <w:r>
        <w:rPr>
          <w:rFonts w:hint="eastAsia"/>
          <w:szCs w:val="21"/>
        </w:rPr>
        <w:t>介质压力：</w:t>
      </w:r>
      <w:r>
        <w:rPr>
          <w:szCs w:val="21"/>
          <w:u w:val="single"/>
        </w:rPr>
        <w:t xml:space="preserve">        kPa</w:t>
      </w:r>
      <w:r>
        <w:rPr>
          <w:szCs w:val="21"/>
        </w:rPr>
        <w:t xml:space="preserve"> </w:t>
      </w:r>
      <w:r>
        <w:rPr>
          <w:rFonts w:hint="eastAsia"/>
          <w:szCs w:val="21"/>
        </w:rPr>
        <w:t>流动方向：</w:t>
      </w:r>
      <w:r>
        <w:rPr>
          <w:rFonts w:hint="eastAsia"/>
          <w:szCs w:val="21"/>
          <w:u w:val="single"/>
        </w:rPr>
        <w:t xml:space="preserve">         </w:t>
      </w:r>
    </w:p>
    <w:tbl>
      <w:tblPr>
        <w:tblStyle w:val="38"/>
        <w:tblW w:w="9387" w:type="dxa"/>
        <w:jc w:val="center"/>
        <w:tblLayout w:type="fixed"/>
        <w:tblCellMar>
          <w:top w:w="0" w:type="dxa"/>
          <w:left w:w="108" w:type="dxa"/>
          <w:bottom w:w="0" w:type="dxa"/>
          <w:right w:w="108" w:type="dxa"/>
        </w:tblCellMar>
      </w:tblPr>
      <w:tblGrid>
        <w:gridCol w:w="794"/>
        <w:gridCol w:w="999"/>
        <w:gridCol w:w="822"/>
        <w:gridCol w:w="841"/>
        <w:gridCol w:w="933"/>
        <w:gridCol w:w="985"/>
        <w:gridCol w:w="8"/>
        <w:gridCol w:w="953"/>
        <w:gridCol w:w="772"/>
        <w:gridCol w:w="936"/>
        <w:gridCol w:w="1344"/>
      </w:tblGrid>
      <w:tr w14:paraId="36FAEA38">
        <w:tblPrEx>
          <w:tblCellMar>
            <w:top w:w="0" w:type="dxa"/>
            <w:left w:w="108" w:type="dxa"/>
            <w:bottom w:w="0" w:type="dxa"/>
            <w:right w:w="108" w:type="dxa"/>
          </w:tblCellMar>
        </w:tblPrEx>
        <w:trPr>
          <w:trHeight w:val="370" w:hRule="atLeast"/>
          <w:jc w:val="center"/>
        </w:trPr>
        <w:tc>
          <w:tcPr>
            <w:tcW w:w="794" w:type="dxa"/>
            <w:vMerge w:val="restart"/>
            <w:tcBorders>
              <w:top w:val="single" w:color="auto" w:sz="4" w:space="0"/>
              <w:left w:val="single" w:color="auto" w:sz="4" w:space="0"/>
              <w:right w:val="single" w:color="auto" w:sz="4" w:space="0"/>
            </w:tcBorders>
            <w:vAlign w:val="center"/>
          </w:tcPr>
          <w:p w14:paraId="265789A9">
            <w:pPr>
              <w:widowControl/>
              <w:snapToGrid w:val="0"/>
              <w:jc w:val="center"/>
              <w:rPr>
                <w:rFonts w:cs="宋体"/>
                <w:kern w:val="0"/>
                <w:szCs w:val="21"/>
              </w:rPr>
            </w:pPr>
            <w:r>
              <w:rPr>
                <w:rFonts w:hint="eastAsia" w:cs="宋体"/>
                <w:kern w:val="0"/>
                <w:szCs w:val="21"/>
              </w:rPr>
              <w:t>流量点</w:t>
            </w:r>
          </w:p>
        </w:tc>
        <w:tc>
          <w:tcPr>
            <w:tcW w:w="2662" w:type="dxa"/>
            <w:gridSpan w:val="3"/>
            <w:tcBorders>
              <w:top w:val="single" w:color="auto" w:sz="4" w:space="0"/>
              <w:left w:val="nil"/>
              <w:bottom w:val="single" w:color="auto" w:sz="4" w:space="0"/>
              <w:right w:val="single" w:color="000000" w:sz="4" w:space="0"/>
            </w:tcBorders>
            <w:vAlign w:val="center"/>
          </w:tcPr>
          <w:p w14:paraId="0748E952">
            <w:pPr>
              <w:jc w:val="center"/>
              <w:rPr>
                <w:rFonts w:cs="宋体"/>
                <w:kern w:val="0"/>
                <w:szCs w:val="21"/>
              </w:rPr>
            </w:pPr>
            <w:r>
              <w:rPr>
                <w:rFonts w:hint="eastAsia" w:cs="宋体"/>
                <w:kern w:val="0"/>
                <w:szCs w:val="21"/>
              </w:rPr>
              <w:t>样机</w:t>
            </w:r>
          </w:p>
        </w:tc>
        <w:tc>
          <w:tcPr>
            <w:tcW w:w="2879" w:type="dxa"/>
            <w:gridSpan w:val="4"/>
            <w:tcBorders>
              <w:top w:val="single" w:color="auto" w:sz="4" w:space="0"/>
              <w:left w:val="single" w:color="auto" w:sz="4" w:space="0"/>
              <w:bottom w:val="single" w:color="auto" w:sz="4" w:space="0"/>
              <w:right w:val="single" w:color="000000" w:sz="4" w:space="0"/>
            </w:tcBorders>
            <w:vAlign w:val="center"/>
          </w:tcPr>
          <w:p w14:paraId="132BA8DD">
            <w:pPr>
              <w:jc w:val="center"/>
              <w:rPr>
                <w:rFonts w:cs="宋体"/>
                <w:kern w:val="0"/>
                <w:szCs w:val="21"/>
              </w:rPr>
            </w:pPr>
            <w:r>
              <w:rPr>
                <w:szCs w:val="21"/>
              </w:rPr>
              <w:t>标准装置</w:t>
            </w:r>
          </w:p>
        </w:tc>
        <w:tc>
          <w:tcPr>
            <w:tcW w:w="772" w:type="dxa"/>
            <w:vMerge w:val="restart"/>
            <w:tcBorders>
              <w:top w:val="single" w:color="auto" w:sz="4" w:space="0"/>
              <w:left w:val="single" w:color="auto" w:sz="4" w:space="0"/>
              <w:bottom w:val="single" w:color="000000" w:sz="4" w:space="0"/>
              <w:right w:val="single" w:color="auto" w:sz="4" w:space="0"/>
            </w:tcBorders>
            <w:vAlign w:val="center"/>
          </w:tcPr>
          <w:p w14:paraId="0CF9D0FF">
            <w:pPr>
              <w:widowControl/>
              <w:snapToGrid w:val="0"/>
              <w:jc w:val="center"/>
              <w:rPr>
                <w:rFonts w:cs="宋体"/>
                <w:kern w:val="0"/>
                <w:szCs w:val="21"/>
              </w:rPr>
            </w:pPr>
            <w:r>
              <w:rPr>
                <w:rFonts w:hint="eastAsia" w:cs="宋体"/>
                <w:kern w:val="0"/>
                <w:szCs w:val="21"/>
              </w:rPr>
              <w:t>示值误差</w:t>
            </w:r>
          </w:p>
          <w:p w14:paraId="66D38EA4">
            <w:pPr>
              <w:widowControl/>
              <w:snapToGrid w:val="0"/>
              <w:jc w:val="center"/>
              <w:rPr>
                <w:rFonts w:cs="宋体"/>
                <w:kern w:val="0"/>
                <w:szCs w:val="21"/>
              </w:rPr>
            </w:pPr>
            <w:r>
              <w:rPr>
                <w:rFonts w:cs="宋体"/>
                <w:kern w:val="0"/>
                <w:szCs w:val="21"/>
              </w:rPr>
              <w:t>(%)</w:t>
            </w:r>
          </w:p>
        </w:tc>
        <w:tc>
          <w:tcPr>
            <w:tcW w:w="936" w:type="dxa"/>
            <w:vMerge w:val="restart"/>
            <w:tcBorders>
              <w:top w:val="single" w:color="auto" w:sz="4" w:space="0"/>
              <w:left w:val="single" w:color="auto" w:sz="4" w:space="0"/>
              <w:bottom w:val="single" w:color="000000" w:sz="4" w:space="0"/>
              <w:right w:val="single" w:color="auto" w:sz="4" w:space="0"/>
            </w:tcBorders>
            <w:vAlign w:val="center"/>
          </w:tcPr>
          <w:p w14:paraId="5D1418C5">
            <w:pPr>
              <w:widowControl/>
              <w:snapToGrid w:val="0"/>
              <w:jc w:val="center"/>
              <w:rPr>
                <w:rFonts w:cs="宋体"/>
                <w:kern w:val="0"/>
                <w:szCs w:val="21"/>
              </w:rPr>
            </w:pPr>
            <w:r>
              <w:rPr>
                <w:rFonts w:hint="eastAsia" w:cs="宋体"/>
                <w:kern w:val="0"/>
                <w:szCs w:val="21"/>
              </w:rPr>
              <w:t>平均  示值</w:t>
            </w:r>
          </w:p>
          <w:p w14:paraId="67072CAF">
            <w:pPr>
              <w:widowControl/>
              <w:snapToGrid w:val="0"/>
              <w:jc w:val="center"/>
              <w:rPr>
                <w:rFonts w:cs="宋体"/>
                <w:kern w:val="0"/>
                <w:szCs w:val="21"/>
              </w:rPr>
            </w:pPr>
            <w:r>
              <w:rPr>
                <w:rFonts w:hint="eastAsia" w:cs="宋体"/>
                <w:kern w:val="0"/>
                <w:szCs w:val="21"/>
              </w:rPr>
              <w:t>误差</w:t>
            </w:r>
            <w:r>
              <w:rPr>
                <w:rFonts w:cs="宋体"/>
                <w:kern w:val="0"/>
                <w:szCs w:val="21"/>
              </w:rPr>
              <w:t>(%)</w:t>
            </w:r>
          </w:p>
        </w:tc>
        <w:tc>
          <w:tcPr>
            <w:tcW w:w="1344" w:type="dxa"/>
            <w:vMerge w:val="restart"/>
            <w:tcBorders>
              <w:top w:val="single" w:color="auto" w:sz="4" w:space="0"/>
              <w:left w:val="single" w:color="auto" w:sz="4" w:space="0"/>
              <w:bottom w:val="single" w:color="000000" w:sz="4" w:space="0"/>
              <w:right w:val="single" w:color="auto" w:sz="4" w:space="0"/>
            </w:tcBorders>
            <w:vAlign w:val="center"/>
          </w:tcPr>
          <w:p w14:paraId="194A1DBA">
            <w:pPr>
              <w:widowControl/>
              <w:snapToGrid w:val="0"/>
              <w:jc w:val="center"/>
              <w:rPr>
                <w:rFonts w:cs="宋体"/>
                <w:kern w:val="0"/>
                <w:szCs w:val="21"/>
              </w:rPr>
            </w:pPr>
            <w:r>
              <w:rPr>
                <w:rFonts w:hint="eastAsia" w:cs="宋体"/>
                <w:kern w:val="0"/>
                <w:szCs w:val="21"/>
              </w:rPr>
              <w:t>重复性</w:t>
            </w:r>
          </w:p>
          <w:p w14:paraId="4B632E7A">
            <w:pPr>
              <w:widowControl/>
              <w:snapToGrid w:val="0"/>
              <w:jc w:val="center"/>
              <w:rPr>
                <w:rFonts w:cs="宋体"/>
                <w:kern w:val="0"/>
                <w:szCs w:val="21"/>
              </w:rPr>
            </w:pPr>
            <w:r>
              <w:rPr>
                <w:rFonts w:cs="宋体"/>
                <w:kern w:val="0"/>
                <w:szCs w:val="21"/>
              </w:rPr>
              <w:t>(%)</w:t>
            </w:r>
          </w:p>
        </w:tc>
      </w:tr>
      <w:tr w14:paraId="7E9E0879">
        <w:tblPrEx>
          <w:tblCellMar>
            <w:top w:w="0" w:type="dxa"/>
            <w:left w:w="108" w:type="dxa"/>
            <w:bottom w:w="0" w:type="dxa"/>
            <w:right w:w="108" w:type="dxa"/>
          </w:tblCellMar>
        </w:tblPrEx>
        <w:trPr>
          <w:trHeight w:val="764" w:hRule="atLeast"/>
          <w:jc w:val="center"/>
        </w:trPr>
        <w:tc>
          <w:tcPr>
            <w:tcW w:w="794" w:type="dxa"/>
            <w:vMerge w:val="continue"/>
            <w:tcBorders>
              <w:left w:val="single" w:color="auto" w:sz="4" w:space="0"/>
              <w:bottom w:val="single" w:color="auto" w:sz="4" w:space="0"/>
              <w:right w:val="single" w:color="auto" w:sz="4" w:space="0"/>
            </w:tcBorders>
            <w:vAlign w:val="center"/>
          </w:tcPr>
          <w:p w14:paraId="52F82F66">
            <w:pPr>
              <w:widowControl/>
              <w:jc w:val="left"/>
              <w:rPr>
                <w:rFonts w:cs="宋体"/>
                <w:kern w:val="0"/>
                <w:sz w:val="22"/>
              </w:rPr>
            </w:pPr>
          </w:p>
        </w:tc>
        <w:tc>
          <w:tcPr>
            <w:tcW w:w="999" w:type="dxa"/>
            <w:tcBorders>
              <w:top w:val="nil"/>
              <w:left w:val="nil"/>
              <w:bottom w:val="single" w:color="auto" w:sz="4" w:space="0"/>
              <w:right w:val="single" w:color="auto" w:sz="4" w:space="0"/>
            </w:tcBorders>
            <w:vAlign w:val="center"/>
          </w:tcPr>
          <w:p w14:paraId="163F39B8">
            <w:pPr>
              <w:jc w:val="center"/>
              <w:rPr>
                <w:kern w:val="0"/>
                <w:szCs w:val="21"/>
              </w:rPr>
            </w:pPr>
            <w:r>
              <w:rPr>
                <w:szCs w:val="21"/>
              </w:rPr>
              <w:t>Q /L</w:t>
            </w:r>
          </w:p>
        </w:tc>
        <w:tc>
          <w:tcPr>
            <w:tcW w:w="822" w:type="dxa"/>
            <w:tcBorders>
              <w:top w:val="nil"/>
              <w:left w:val="nil"/>
              <w:bottom w:val="single" w:color="auto" w:sz="4" w:space="0"/>
              <w:right w:val="single" w:color="auto" w:sz="4" w:space="0"/>
            </w:tcBorders>
            <w:vAlign w:val="center"/>
          </w:tcPr>
          <w:p w14:paraId="1295FD45">
            <w:pPr>
              <w:ind w:left="-231" w:leftChars="-110" w:right="-202" w:rightChars="-96"/>
              <w:jc w:val="center"/>
              <w:rPr>
                <w:kern w:val="0"/>
                <w:szCs w:val="21"/>
              </w:rPr>
            </w:pPr>
            <w:r>
              <w:rPr>
                <w:szCs w:val="21"/>
              </w:rPr>
              <w:t>温度T</w:t>
            </w:r>
            <w:r>
              <w:rPr>
                <w:szCs w:val="21"/>
                <w:vertAlign w:val="subscript"/>
              </w:rPr>
              <w:t>m</w:t>
            </w:r>
          </w:p>
        </w:tc>
        <w:tc>
          <w:tcPr>
            <w:tcW w:w="841" w:type="dxa"/>
            <w:tcBorders>
              <w:top w:val="nil"/>
              <w:left w:val="nil"/>
              <w:bottom w:val="single" w:color="auto" w:sz="4" w:space="0"/>
              <w:right w:val="single" w:color="auto" w:sz="4" w:space="0"/>
            </w:tcBorders>
            <w:vAlign w:val="center"/>
          </w:tcPr>
          <w:p w14:paraId="1F22071A">
            <w:pPr>
              <w:ind w:left="-231" w:leftChars="-110" w:right="-202" w:rightChars="-96"/>
              <w:jc w:val="center"/>
              <w:rPr>
                <w:kern w:val="0"/>
                <w:szCs w:val="21"/>
              </w:rPr>
            </w:pPr>
            <w:r>
              <w:rPr>
                <w:szCs w:val="21"/>
              </w:rPr>
              <w:t>压力P</w:t>
            </w:r>
            <w:r>
              <w:rPr>
                <w:szCs w:val="21"/>
                <w:vertAlign w:val="subscript"/>
              </w:rPr>
              <w:t>m</w:t>
            </w:r>
          </w:p>
        </w:tc>
        <w:tc>
          <w:tcPr>
            <w:tcW w:w="933" w:type="dxa"/>
            <w:tcBorders>
              <w:top w:val="nil"/>
              <w:left w:val="nil"/>
              <w:bottom w:val="single" w:color="auto" w:sz="4" w:space="0"/>
              <w:right w:val="single" w:color="auto" w:sz="4" w:space="0"/>
            </w:tcBorders>
            <w:vAlign w:val="center"/>
          </w:tcPr>
          <w:p w14:paraId="77772B69">
            <w:pPr>
              <w:jc w:val="center"/>
              <w:rPr>
                <w:kern w:val="0"/>
                <w:szCs w:val="21"/>
              </w:rPr>
            </w:pPr>
            <w:r>
              <w:rPr>
                <w:szCs w:val="21"/>
              </w:rPr>
              <w:t>Q</w:t>
            </w:r>
            <w:r>
              <w:rPr>
                <w:szCs w:val="21"/>
                <w:vertAlign w:val="subscript"/>
              </w:rPr>
              <w:t>s</w:t>
            </w:r>
            <w:r>
              <w:rPr>
                <w:szCs w:val="21"/>
              </w:rPr>
              <w:t>/L</w:t>
            </w:r>
          </w:p>
        </w:tc>
        <w:tc>
          <w:tcPr>
            <w:tcW w:w="993" w:type="dxa"/>
            <w:gridSpan w:val="2"/>
            <w:tcBorders>
              <w:top w:val="nil"/>
              <w:left w:val="nil"/>
              <w:bottom w:val="single" w:color="auto" w:sz="4" w:space="0"/>
              <w:right w:val="single" w:color="auto" w:sz="4" w:space="0"/>
            </w:tcBorders>
            <w:vAlign w:val="center"/>
          </w:tcPr>
          <w:p w14:paraId="31C9597A">
            <w:pPr>
              <w:ind w:left="-231" w:leftChars="-110" w:right="-202" w:rightChars="-96"/>
              <w:jc w:val="center"/>
              <w:rPr>
                <w:kern w:val="0"/>
                <w:szCs w:val="21"/>
              </w:rPr>
            </w:pPr>
            <w:r>
              <w:rPr>
                <w:szCs w:val="21"/>
              </w:rPr>
              <w:t>温度T</w:t>
            </w:r>
            <w:r>
              <w:rPr>
                <w:szCs w:val="21"/>
                <w:vertAlign w:val="subscript"/>
              </w:rPr>
              <w:t>s</w:t>
            </w:r>
          </w:p>
        </w:tc>
        <w:tc>
          <w:tcPr>
            <w:tcW w:w="953" w:type="dxa"/>
            <w:tcBorders>
              <w:top w:val="nil"/>
              <w:left w:val="nil"/>
              <w:bottom w:val="single" w:color="auto" w:sz="4" w:space="0"/>
              <w:right w:val="single" w:color="auto" w:sz="4" w:space="0"/>
            </w:tcBorders>
            <w:vAlign w:val="center"/>
          </w:tcPr>
          <w:p w14:paraId="147A5A64">
            <w:pPr>
              <w:ind w:left="-231" w:leftChars="-110" w:right="-202" w:rightChars="-96"/>
              <w:jc w:val="center"/>
              <w:rPr>
                <w:kern w:val="0"/>
                <w:szCs w:val="21"/>
              </w:rPr>
            </w:pPr>
            <w:r>
              <w:rPr>
                <w:szCs w:val="21"/>
              </w:rPr>
              <w:t>压力P</w:t>
            </w:r>
            <w:r>
              <w:rPr>
                <w:szCs w:val="21"/>
                <w:vertAlign w:val="subscript"/>
              </w:rPr>
              <w:t>s</w:t>
            </w:r>
          </w:p>
        </w:tc>
        <w:tc>
          <w:tcPr>
            <w:tcW w:w="772" w:type="dxa"/>
            <w:vMerge w:val="continue"/>
            <w:tcBorders>
              <w:top w:val="single" w:color="auto" w:sz="4" w:space="0"/>
              <w:left w:val="single" w:color="auto" w:sz="4" w:space="0"/>
              <w:bottom w:val="single" w:color="000000" w:sz="4" w:space="0"/>
              <w:right w:val="single" w:color="auto" w:sz="4" w:space="0"/>
            </w:tcBorders>
            <w:vAlign w:val="center"/>
          </w:tcPr>
          <w:p w14:paraId="34EA633A">
            <w:pPr>
              <w:widowControl/>
              <w:jc w:val="left"/>
              <w:rPr>
                <w:rFonts w:cs="宋体"/>
                <w:kern w:val="0"/>
                <w:sz w:val="22"/>
              </w:rPr>
            </w:pPr>
          </w:p>
        </w:tc>
        <w:tc>
          <w:tcPr>
            <w:tcW w:w="936" w:type="dxa"/>
            <w:vMerge w:val="continue"/>
            <w:tcBorders>
              <w:top w:val="single" w:color="auto" w:sz="4" w:space="0"/>
              <w:left w:val="single" w:color="auto" w:sz="4" w:space="0"/>
              <w:bottom w:val="single" w:color="000000" w:sz="4" w:space="0"/>
              <w:right w:val="single" w:color="auto" w:sz="4" w:space="0"/>
            </w:tcBorders>
            <w:vAlign w:val="center"/>
          </w:tcPr>
          <w:p w14:paraId="1EED8B0E">
            <w:pPr>
              <w:widowControl/>
              <w:jc w:val="left"/>
              <w:rPr>
                <w:rFonts w:cs="宋体"/>
                <w:kern w:val="0"/>
                <w:sz w:val="22"/>
              </w:rPr>
            </w:pPr>
          </w:p>
        </w:tc>
        <w:tc>
          <w:tcPr>
            <w:tcW w:w="1344" w:type="dxa"/>
            <w:vMerge w:val="continue"/>
            <w:tcBorders>
              <w:top w:val="single" w:color="auto" w:sz="4" w:space="0"/>
              <w:left w:val="single" w:color="auto" w:sz="4" w:space="0"/>
              <w:bottom w:val="single" w:color="000000" w:sz="4" w:space="0"/>
              <w:right w:val="single" w:color="auto" w:sz="4" w:space="0"/>
            </w:tcBorders>
            <w:vAlign w:val="center"/>
          </w:tcPr>
          <w:p w14:paraId="19FC498B">
            <w:pPr>
              <w:widowControl/>
              <w:jc w:val="left"/>
              <w:rPr>
                <w:rFonts w:cs="宋体"/>
                <w:kern w:val="0"/>
                <w:sz w:val="22"/>
              </w:rPr>
            </w:pPr>
          </w:p>
        </w:tc>
      </w:tr>
      <w:tr w14:paraId="65652840">
        <w:tblPrEx>
          <w:tblCellMar>
            <w:top w:w="0" w:type="dxa"/>
            <w:left w:w="108" w:type="dxa"/>
            <w:bottom w:w="0" w:type="dxa"/>
            <w:right w:w="108" w:type="dxa"/>
          </w:tblCellMar>
        </w:tblPrEx>
        <w:trPr>
          <w:trHeight w:val="325" w:hRule="atLeast"/>
          <w:jc w:val="center"/>
        </w:trPr>
        <w:tc>
          <w:tcPr>
            <w:tcW w:w="794" w:type="dxa"/>
            <w:vMerge w:val="restart"/>
            <w:tcBorders>
              <w:top w:val="nil"/>
              <w:left w:val="single" w:color="auto" w:sz="4" w:space="0"/>
              <w:right w:val="nil"/>
            </w:tcBorders>
            <w:vAlign w:val="center"/>
          </w:tcPr>
          <w:p w14:paraId="0FB805E4">
            <w:pPr>
              <w:jc w:val="center"/>
              <w:rPr>
                <w:rFonts w:cs="宋体"/>
                <w:kern w:val="0"/>
                <w:sz w:val="22"/>
              </w:rPr>
            </w:pPr>
            <w:r>
              <w:rPr>
                <w:i/>
                <w:szCs w:val="21"/>
              </w:rPr>
              <w:t>q</w:t>
            </w:r>
            <w:r>
              <w:rPr>
                <w:i/>
                <w:szCs w:val="21"/>
                <w:vertAlign w:val="subscript"/>
              </w:rPr>
              <w:t>max</w:t>
            </w:r>
          </w:p>
        </w:tc>
        <w:tc>
          <w:tcPr>
            <w:tcW w:w="999" w:type="dxa"/>
            <w:tcBorders>
              <w:top w:val="nil"/>
              <w:left w:val="single" w:color="auto" w:sz="4" w:space="0"/>
              <w:bottom w:val="single" w:color="auto" w:sz="4" w:space="0"/>
              <w:right w:val="single" w:color="auto" w:sz="4" w:space="0"/>
            </w:tcBorders>
            <w:vAlign w:val="center"/>
          </w:tcPr>
          <w:p w14:paraId="21C6C017">
            <w:pPr>
              <w:widowControl/>
              <w:jc w:val="center"/>
              <w:rPr>
                <w:rFonts w:cs="宋体"/>
                <w:kern w:val="0"/>
                <w:sz w:val="22"/>
              </w:rPr>
            </w:pPr>
          </w:p>
        </w:tc>
        <w:tc>
          <w:tcPr>
            <w:tcW w:w="822" w:type="dxa"/>
            <w:tcBorders>
              <w:top w:val="nil"/>
              <w:left w:val="nil"/>
              <w:bottom w:val="single" w:color="auto" w:sz="4" w:space="0"/>
              <w:right w:val="single" w:color="auto" w:sz="4" w:space="0"/>
            </w:tcBorders>
            <w:vAlign w:val="center"/>
          </w:tcPr>
          <w:p w14:paraId="60C3F809">
            <w:pPr>
              <w:widowControl/>
              <w:jc w:val="center"/>
              <w:rPr>
                <w:rFonts w:cs="宋体"/>
                <w:kern w:val="0"/>
                <w:sz w:val="22"/>
              </w:rPr>
            </w:pPr>
          </w:p>
        </w:tc>
        <w:tc>
          <w:tcPr>
            <w:tcW w:w="841" w:type="dxa"/>
            <w:tcBorders>
              <w:top w:val="nil"/>
              <w:left w:val="nil"/>
              <w:bottom w:val="single" w:color="auto" w:sz="4" w:space="0"/>
              <w:right w:val="single" w:color="auto" w:sz="4" w:space="0"/>
            </w:tcBorders>
            <w:vAlign w:val="center"/>
          </w:tcPr>
          <w:p w14:paraId="590F6EA0">
            <w:pPr>
              <w:widowControl/>
              <w:jc w:val="center"/>
              <w:rPr>
                <w:rFonts w:cs="宋体"/>
                <w:kern w:val="0"/>
                <w:sz w:val="22"/>
              </w:rPr>
            </w:pPr>
          </w:p>
        </w:tc>
        <w:tc>
          <w:tcPr>
            <w:tcW w:w="933" w:type="dxa"/>
            <w:tcBorders>
              <w:top w:val="nil"/>
              <w:left w:val="nil"/>
              <w:bottom w:val="single" w:color="auto" w:sz="4" w:space="0"/>
              <w:right w:val="single" w:color="auto" w:sz="4" w:space="0"/>
            </w:tcBorders>
            <w:vAlign w:val="center"/>
          </w:tcPr>
          <w:p w14:paraId="4013C58B">
            <w:pPr>
              <w:widowControl/>
              <w:jc w:val="center"/>
              <w:rPr>
                <w:rFonts w:cs="宋体"/>
                <w:kern w:val="0"/>
                <w:sz w:val="22"/>
              </w:rPr>
            </w:pPr>
          </w:p>
        </w:tc>
        <w:tc>
          <w:tcPr>
            <w:tcW w:w="985" w:type="dxa"/>
            <w:tcBorders>
              <w:top w:val="nil"/>
              <w:left w:val="nil"/>
              <w:bottom w:val="single" w:color="auto" w:sz="4" w:space="0"/>
              <w:right w:val="single" w:color="auto" w:sz="4" w:space="0"/>
            </w:tcBorders>
            <w:vAlign w:val="center"/>
          </w:tcPr>
          <w:p w14:paraId="518E4208">
            <w:pPr>
              <w:widowControl/>
              <w:jc w:val="center"/>
              <w:rPr>
                <w:rFonts w:cs="宋体"/>
                <w:kern w:val="0"/>
                <w:sz w:val="22"/>
              </w:rPr>
            </w:pPr>
          </w:p>
        </w:tc>
        <w:tc>
          <w:tcPr>
            <w:tcW w:w="961" w:type="dxa"/>
            <w:gridSpan w:val="2"/>
            <w:tcBorders>
              <w:top w:val="nil"/>
              <w:left w:val="nil"/>
              <w:bottom w:val="single" w:color="auto" w:sz="4" w:space="0"/>
              <w:right w:val="single" w:color="auto" w:sz="4" w:space="0"/>
            </w:tcBorders>
            <w:vAlign w:val="center"/>
          </w:tcPr>
          <w:p w14:paraId="59881342">
            <w:pPr>
              <w:widowControl/>
              <w:jc w:val="center"/>
              <w:rPr>
                <w:rFonts w:cs="宋体"/>
                <w:kern w:val="0"/>
                <w:sz w:val="22"/>
              </w:rPr>
            </w:pPr>
          </w:p>
        </w:tc>
        <w:tc>
          <w:tcPr>
            <w:tcW w:w="772" w:type="dxa"/>
            <w:tcBorders>
              <w:top w:val="nil"/>
              <w:left w:val="nil"/>
              <w:bottom w:val="single" w:color="auto" w:sz="4" w:space="0"/>
              <w:right w:val="single" w:color="auto" w:sz="4" w:space="0"/>
            </w:tcBorders>
          </w:tcPr>
          <w:p w14:paraId="5457A976">
            <w:pPr>
              <w:widowControl/>
              <w:jc w:val="center"/>
              <w:rPr>
                <w:rFonts w:cs="宋体"/>
                <w:kern w:val="0"/>
                <w:sz w:val="22"/>
              </w:rPr>
            </w:pPr>
          </w:p>
        </w:tc>
        <w:tc>
          <w:tcPr>
            <w:tcW w:w="936" w:type="dxa"/>
            <w:vMerge w:val="restart"/>
            <w:tcBorders>
              <w:top w:val="nil"/>
              <w:left w:val="single" w:color="auto" w:sz="4" w:space="0"/>
              <w:bottom w:val="single" w:color="auto" w:sz="4" w:space="0"/>
              <w:right w:val="single" w:color="auto" w:sz="4" w:space="0"/>
            </w:tcBorders>
            <w:vAlign w:val="center"/>
          </w:tcPr>
          <w:p w14:paraId="420CEF94">
            <w:pPr>
              <w:widowControl/>
              <w:jc w:val="center"/>
              <w:rPr>
                <w:rFonts w:cs="宋体"/>
                <w:kern w:val="0"/>
                <w:sz w:val="22"/>
              </w:rPr>
            </w:pPr>
          </w:p>
        </w:tc>
        <w:tc>
          <w:tcPr>
            <w:tcW w:w="1344" w:type="dxa"/>
            <w:vMerge w:val="restart"/>
            <w:tcBorders>
              <w:top w:val="nil"/>
              <w:left w:val="single" w:color="auto" w:sz="4" w:space="0"/>
              <w:bottom w:val="single" w:color="auto" w:sz="4" w:space="0"/>
              <w:right w:val="single" w:color="auto" w:sz="4" w:space="0"/>
            </w:tcBorders>
            <w:vAlign w:val="center"/>
          </w:tcPr>
          <w:p w14:paraId="054FE732">
            <w:pPr>
              <w:widowControl/>
              <w:jc w:val="center"/>
              <w:rPr>
                <w:rFonts w:cs="宋体"/>
                <w:kern w:val="0"/>
                <w:sz w:val="22"/>
              </w:rPr>
            </w:pPr>
          </w:p>
        </w:tc>
      </w:tr>
      <w:tr w14:paraId="244D6386">
        <w:tblPrEx>
          <w:tblCellMar>
            <w:top w:w="0" w:type="dxa"/>
            <w:left w:w="108" w:type="dxa"/>
            <w:bottom w:w="0" w:type="dxa"/>
            <w:right w:w="108" w:type="dxa"/>
          </w:tblCellMar>
        </w:tblPrEx>
        <w:trPr>
          <w:trHeight w:val="325" w:hRule="atLeast"/>
          <w:jc w:val="center"/>
        </w:trPr>
        <w:tc>
          <w:tcPr>
            <w:tcW w:w="794" w:type="dxa"/>
            <w:vMerge w:val="continue"/>
            <w:tcBorders>
              <w:left w:val="single" w:color="auto" w:sz="4" w:space="0"/>
              <w:right w:val="nil"/>
            </w:tcBorders>
            <w:vAlign w:val="center"/>
          </w:tcPr>
          <w:p w14:paraId="74C61D34">
            <w:pPr>
              <w:widowControl/>
              <w:jc w:val="left"/>
              <w:rPr>
                <w:rFonts w:cs="宋体"/>
                <w:kern w:val="0"/>
                <w:sz w:val="22"/>
              </w:rPr>
            </w:pPr>
          </w:p>
        </w:tc>
        <w:tc>
          <w:tcPr>
            <w:tcW w:w="999" w:type="dxa"/>
            <w:tcBorders>
              <w:top w:val="nil"/>
              <w:left w:val="single" w:color="auto" w:sz="4" w:space="0"/>
              <w:bottom w:val="single" w:color="auto" w:sz="4" w:space="0"/>
              <w:right w:val="single" w:color="auto" w:sz="4" w:space="0"/>
            </w:tcBorders>
            <w:vAlign w:val="center"/>
          </w:tcPr>
          <w:p w14:paraId="6F5B3AB1">
            <w:pPr>
              <w:widowControl/>
              <w:jc w:val="center"/>
              <w:rPr>
                <w:rFonts w:cs="宋体"/>
                <w:kern w:val="0"/>
                <w:sz w:val="22"/>
              </w:rPr>
            </w:pPr>
          </w:p>
        </w:tc>
        <w:tc>
          <w:tcPr>
            <w:tcW w:w="822" w:type="dxa"/>
            <w:tcBorders>
              <w:top w:val="nil"/>
              <w:left w:val="nil"/>
              <w:bottom w:val="single" w:color="auto" w:sz="4" w:space="0"/>
              <w:right w:val="single" w:color="auto" w:sz="4" w:space="0"/>
            </w:tcBorders>
            <w:vAlign w:val="center"/>
          </w:tcPr>
          <w:p w14:paraId="19E77A3C">
            <w:pPr>
              <w:widowControl/>
              <w:jc w:val="center"/>
              <w:rPr>
                <w:rFonts w:cs="宋体"/>
                <w:kern w:val="0"/>
                <w:sz w:val="22"/>
              </w:rPr>
            </w:pPr>
          </w:p>
        </w:tc>
        <w:tc>
          <w:tcPr>
            <w:tcW w:w="841" w:type="dxa"/>
            <w:tcBorders>
              <w:top w:val="nil"/>
              <w:left w:val="nil"/>
              <w:bottom w:val="single" w:color="auto" w:sz="4" w:space="0"/>
              <w:right w:val="single" w:color="auto" w:sz="4" w:space="0"/>
            </w:tcBorders>
            <w:vAlign w:val="center"/>
          </w:tcPr>
          <w:p w14:paraId="604912DB">
            <w:pPr>
              <w:widowControl/>
              <w:jc w:val="center"/>
              <w:rPr>
                <w:rFonts w:cs="宋体"/>
                <w:kern w:val="0"/>
                <w:sz w:val="22"/>
              </w:rPr>
            </w:pPr>
          </w:p>
        </w:tc>
        <w:tc>
          <w:tcPr>
            <w:tcW w:w="933" w:type="dxa"/>
            <w:tcBorders>
              <w:top w:val="nil"/>
              <w:left w:val="nil"/>
              <w:bottom w:val="single" w:color="auto" w:sz="4" w:space="0"/>
              <w:right w:val="single" w:color="auto" w:sz="4" w:space="0"/>
            </w:tcBorders>
            <w:vAlign w:val="center"/>
          </w:tcPr>
          <w:p w14:paraId="6E654B33">
            <w:pPr>
              <w:widowControl/>
              <w:jc w:val="center"/>
              <w:rPr>
                <w:rFonts w:cs="宋体"/>
                <w:kern w:val="0"/>
                <w:sz w:val="22"/>
              </w:rPr>
            </w:pPr>
          </w:p>
        </w:tc>
        <w:tc>
          <w:tcPr>
            <w:tcW w:w="985" w:type="dxa"/>
            <w:tcBorders>
              <w:top w:val="nil"/>
              <w:left w:val="nil"/>
              <w:bottom w:val="single" w:color="auto" w:sz="4" w:space="0"/>
              <w:right w:val="single" w:color="auto" w:sz="4" w:space="0"/>
            </w:tcBorders>
            <w:vAlign w:val="center"/>
          </w:tcPr>
          <w:p w14:paraId="3F02D618">
            <w:pPr>
              <w:widowControl/>
              <w:jc w:val="center"/>
              <w:rPr>
                <w:rFonts w:cs="宋体"/>
                <w:kern w:val="0"/>
                <w:sz w:val="22"/>
              </w:rPr>
            </w:pPr>
          </w:p>
        </w:tc>
        <w:tc>
          <w:tcPr>
            <w:tcW w:w="961" w:type="dxa"/>
            <w:gridSpan w:val="2"/>
            <w:tcBorders>
              <w:top w:val="nil"/>
              <w:left w:val="nil"/>
              <w:bottom w:val="single" w:color="auto" w:sz="4" w:space="0"/>
              <w:right w:val="single" w:color="auto" w:sz="4" w:space="0"/>
            </w:tcBorders>
          </w:tcPr>
          <w:p w14:paraId="6ADC2637">
            <w:pPr>
              <w:widowControl/>
              <w:jc w:val="center"/>
              <w:rPr>
                <w:rFonts w:cs="宋体"/>
                <w:kern w:val="0"/>
                <w:sz w:val="22"/>
              </w:rPr>
            </w:pPr>
          </w:p>
        </w:tc>
        <w:tc>
          <w:tcPr>
            <w:tcW w:w="772" w:type="dxa"/>
            <w:tcBorders>
              <w:top w:val="nil"/>
              <w:left w:val="nil"/>
              <w:bottom w:val="single" w:color="auto" w:sz="4" w:space="0"/>
              <w:right w:val="single" w:color="auto" w:sz="4" w:space="0"/>
            </w:tcBorders>
          </w:tcPr>
          <w:p w14:paraId="1AB30178">
            <w:pPr>
              <w:widowControl/>
              <w:jc w:val="center"/>
              <w:rPr>
                <w:rFonts w:cs="宋体"/>
                <w:kern w:val="0"/>
                <w:sz w:val="22"/>
              </w:rPr>
            </w:pPr>
          </w:p>
        </w:tc>
        <w:tc>
          <w:tcPr>
            <w:tcW w:w="936" w:type="dxa"/>
            <w:vMerge w:val="continue"/>
            <w:tcBorders>
              <w:top w:val="nil"/>
              <w:left w:val="single" w:color="auto" w:sz="4" w:space="0"/>
              <w:bottom w:val="single" w:color="auto" w:sz="4" w:space="0"/>
              <w:right w:val="single" w:color="auto" w:sz="4" w:space="0"/>
            </w:tcBorders>
            <w:vAlign w:val="center"/>
          </w:tcPr>
          <w:p w14:paraId="604C2B3D">
            <w:pPr>
              <w:widowControl/>
              <w:jc w:val="left"/>
              <w:rPr>
                <w:rFonts w:cs="宋体"/>
                <w:kern w:val="0"/>
                <w:sz w:val="22"/>
              </w:rPr>
            </w:pPr>
          </w:p>
        </w:tc>
        <w:tc>
          <w:tcPr>
            <w:tcW w:w="1344" w:type="dxa"/>
            <w:vMerge w:val="continue"/>
            <w:tcBorders>
              <w:top w:val="nil"/>
              <w:left w:val="single" w:color="auto" w:sz="4" w:space="0"/>
              <w:bottom w:val="single" w:color="auto" w:sz="4" w:space="0"/>
              <w:right w:val="single" w:color="auto" w:sz="4" w:space="0"/>
            </w:tcBorders>
            <w:vAlign w:val="center"/>
          </w:tcPr>
          <w:p w14:paraId="6523AA69">
            <w:pPr>
              <w:widowControl/>
              <w:jc w:val="left"/>
              <w:rPr>
                <w:rFonts w:cs="宋体"/>
                <w:kern w:val="0"/>
                <w:sz w:val="22"/>
              </w:rPr>
            </w:pPr>
          </w:p>
        </w:tc>
      </w:tr>
      <w:tr w14:paraId="1931E9A2">
        <w:tblPrEx>
          <w:tblCellMar>
            <w:top w:w="0" w:type="dxa"/>
            <w:left w:w="108" w:type="dxa"/>
            <w:bottom w:w="0" w:type="dxa"/>
            <w:right w:w="108" w:type="dxa"/>
          </w:tblCellMar>
        </w:tblPrEx>
        <w:trPr>
          <w:trHeight w:val="325" w:hRule="atLeast"/>
          <w:jc w:val="center"/>
        </w:trPr>
        <w:tc>
          <w:tcPr>
            <w:tcW w:w="794" w:type="dxa"/>
            <w:vMerge w:val="continue"/>
            <w:tcBorders>
              <w:left w:val="single" w:color="auto" w:sz="4" w:space="0"/>
              <w:bottom w:val="single" w:color="auto" w:sz="4" w:space="0"/>
              <w:right w:val="nil"/>
            </w:tcBorders>
            <w:vAlign w:val="center"/>
          </w:tcPr>
          <w:p w14:paraId="47EFDC4D">
            <w:pPr>
              <w:widowControl/>
              <w:jc w:val="left"/>
              <w:rPr>
                <w:rFonts w:cs="宋体"/>
                <w:kern w:val="0"/>
                <w:sz w:val="22"/>
              </w:rPr>
            </w:pPr>
          </w:p>
        </w:tc>
        <w:tc>
          <w:tcPr>
            <w:tcW w:w="999" w:type="dxa"/>
            <w:tcBorders>
              <w:top w:val="nil"/>
              <w:left w:val="single" w:color="auto" w:sz="4" w:space="0"/>
              <w:bottom w:val="single" w:color="auto" w:sz="4" w:space="0"/>
              <w:right w:val="single" w:color="auto" w:sz="4" w:space="0"/>
            </w:tcBorders>
            <w:vAlign w:val="center"/>
          </w:tcPr>
          <w:p w14:paraId="57E360E5">
            <w:pPr>
              <w:widowControl/>
              <w:jc w:val="center"/>
              <w:rPr>
                <w:rFonts w:cs="宋体"/>
                <w:kern w:val="0"/>
                <w:sz w:val="22"/>
              </w:rPr>
            </w:pPr>
          </w:p>
        </w:tc>
        <w:tc>
          <w:tcPr>
            <w:tcW w:w="822" w:type="dxa"/>
            <w:tcBorders>
              <w:top w:val="nil"/>
              <w:left w:val="nil"/>
              <w:bottom w:val="single" w:color="auto" w:sz="4" w:space="0"/>
              <w:right w:val="single" w:color="auto" w:sz="4" w:space="0"/>
            </w:tcBorders>
            <w:vAlign w:val="center"/>
          </w:tcPr>
          <w:p w14:paraId="490912BF">
            <w:pPr>
              <w:widowControl/>
              <w:jc w:val="center"/>
              <w:rPr>
                <w:rFonts w:cs="宋体"/>
                <w:kern w:val="0"/>
                <w:sz w:val="22"/>
              </w:rPr>
            </w:pPr>
          </w:p>
        </w:tc>
        <w:tc>
          <w:tcPr>
            <w:tcW w:w="841" w:type="dxa"/>
            <w:tcBorders>
              <w:top w:val="nil"/>
              <w:left w:val="nil"/>
              <w:bottom w:val="single" w:color="auto" w:sz="4" w:space="0"/>
              <w:right w:val="single" w:color="auto" w:sz="4" w:space="0"/>
            </w:tcBorders>
            <w:vAlign w:val="center"/>
          </w:tcPr>
          <w:p w14:paraId="7C211641">
            <w:pPr>
              <w:widowControl/>
              <w:jc w:val="center"/>
              <w:rPr>
                <w:rFonts w:cs="宋体"/>
                <w:kern w:val="0"/>
                <w:sz w:val="22"/>
              </w:rPr>
            </w:pPr>
          </w:p>
        </w:tc>
        <w:tc>
          <w:tcPr>
            <w:tcW w:w="933" w:type="dxa"/>
            <w:tcBorders>
              <w:top w:val="nil"/>
              <w:left w:val="nil"/>
              <w:bottom w:val="single" w:color="auto" w:sz="4" w:space="0"/>
              <w:right w:val="single" w:color="auto" w:sz="4" w:space="0"/>
            </w:tcBorders>
            <w:vAlign w:val="center"/>
          </w:tcPr>
          <w:p w14:paraId="1C5FB8E5">
            <w:pPr>
              <w:widowControl/>
              <w:jc w:val="center"/>
              <w:rPr>
                <w:rFonts w:cs="宋体"/>
                <w:kern w:val="0"/>
                <w:sz w:val="22"/>
              </w:rPr>
            </w:pPr>
          </w:p>
        </w:tc>
        <w:tc>
          <w:tcPr>
            <w:tcW w:w="985" w:type="dxa"/>
            <w:tcBorders>
              <w:top w:val="nil"/>
              <w:left w:val="nil"/>
              <w:bottom w:val="single" w:color="auto" w:sz="4" w:space="0"/>
              <w:right w:val="single" w:color="auto" w:sz="4" w:space="0"/>
            </w:tcBorders>
            <w:vAlign w:val="center"/>
          </w:tcPr>
          <w:p w14:paraId="1F44F7A5">
            <w:pPr>
              <w:widowControl/>
              <w:jc w:val="center"/>
              <w:rPr>
                <w:rFonts w:cs="宋体"/>
                <w:kern w:val="0"/>
                <w:sz w:val="22"/>
              </w:rPr>
            </w:pPr>
          </w:p>
        </w:tc>
        <w:tc>
          <w:tcPr>
            <w:tcW w:w="961" w:type="dxa"/>
            <w:gridSpan w:val="2"/>
            <w:tcBorders>
              <w:top w:val="nil"/>
              <w:left w:val="nil"/>
              <w:bottom w:val="single" w:color="auto" w:sz="4" w:space="0"/>
              <w:right w:val="single" w:color="auto" w:sz="4" w:space="0"/>
            </w:tcBorders>
          </w:tcPr>
          <w:p w14:paraId="33DD2F3D">
            <w:pPr>
              <w:widowControl/>
              <w:jc w:val="center"/>
              <w:rPr>
                <w:rFonts w:cs="宋体"/>
                <w:kern w:val="0"/>
                <w:sz w:val="22"/>
              </w:rPr>
            </w:pPr>
          </w:p>
        </w:tc>
        <w:tc>
          <w:tcPr>
            <w:tcW w:w="772" w:type="dxa"/>
            <w:tcBorders>
              <w:top w:val="nil"/>
              <w:left w:val="nil"/>
              <w:bottom w:val="single" w:color="auto" w:sz="4" w:space="0"/>
              <w:right w:val="single" w:color="auto" w:sz="4" w:space="0"/>
            </w:tcBorders>
          </w:tcPr>
          <w:p w14:paraId="4769F6C6">
            <w:pPr>
              <w:widowControl/>
              <w:jc w:val="center"/>
              <w:rPr>
                <w:rFonts w:cs="宋体"/>
                <w:kern w:val="0"/>
                <w:sz w:val="22"/>
              </w:rPr>
            </w:pPr>
          </w:p>
        </w:tc>
        <w:tc>
          <w:tcPr>
            <w:tcW w:w="936" w:type="dxa"/>
            <w:vMerge w:val="continue"/>
            <w:tcBorders>
              <w:top w:val="nil"/>
              <w:left w:val="single" w:color="auto" w:sz="4" w:space="0"/>
              <w:bottom w:val="single" w:color="auto" w:sz="4" w:space="0"/>
              <w:right w:val="single" w:color="auto" w:sz="4" w:space="0"/>
            </w:tcBorders>
            <w:vAlign w:val="center"/>
          </w:tcPr>
          <w:p w14:paraId="472CEBF0">
            <w:pPr>
              <w:widowControl/>
              <w:jc w:val="left"/>
              <w:rPr>
                <w:rFonts w:cs="宋体"/>
                <w:kern w:val="0"/>
                <w:sz w:val="22"/>
              </w:rPr>
            </w:pPr>
          </w:p>
        </w:tc>
        <w:tc>
          <w:tcPr>
            <w:tcW w:w="1344" w:type="dxa"/>
            <w:vMerge w:val="continue"/>
            <w:tcBorders>
              <w:top w:val="nil"/>
              <w:left w:val="single" w:color="auto" w:sz="4" w:space="0"/>
              <w:bottom w:val="single" w:color="auto" w:sz="4" w:space="0"/>
              <w:right w:val="single" w:color="auto" w:sz="4" w:space="0"/>
            </w:tcBorders>
            <w:vAlign w:val="center"/>
          </w:tcPr>
          <w:p w14:paraId="21642025">
            <w:pPr>
              <w:widowControl/>
              <w:jc w:val="left"/>
              <w:rPr>
                <w:rFonts w:cs="宋体"/>
                <w:kern w:val="0"/>
                <w:sz w:val="22"/>
              </w:rPr>
            </w:pPr>
          </w:p>
        </w:tc>
      </w:tr>
      <w:tr w14:paraId="503BAAB1">
        <w:tblPrEx>
          <w:tblCellMar>
            <w:top w:w="0" w:type="dxa"/>
            <w:left w:w="108" w:type="dxa"/>
            <w:bottom w:w="0" w:type="dxa"/>
            <w:right w:w="108" w:type="dxa"/>
          </w:tblCellMar>
        </w:tblPrEx>
        <w:trPr>
          <w:trHeight w:val="325" w:hRule="atLeast"/>
          <w:jc w:val="center"/>
        </w:trPr>
        <w:tc>
          <w:tcPr>
            <w:tcW w:w="794" w:type="dxa"/>
            <w:vMerge w:val="restart"/>
            <w:tcBorders>
              <w:top w:val="nil"/>
              <w:left w:val="single" w:color="auto" w:sz="4" w:space="0"/>
              <w:right w:val="nil"/>
            </w:tcBorders>
            <w:vAlign w:val="center"/>
          </w:tcPr>
          <w:p w14:paraId="2ADCBC8D">
            <w:pPr>
              <w:jc w:val="center"/>
              <w:rPr>
                <w:szCs w:val="21"/>
              </w:rPr>
            </w:pPr>
            <w:r>
              <w:rPr>
                <w:rFonts w:hint="eastAsia"/>
                <w:szCs w:val="21"/>
              </w:rPr>
              <w:t>0</w:t>
            </w:r>
            <w:r>
              <w:rPr>
                <w:szCs w:val="21"/>
              </w:rPr>
              <w:t>.</w:t>
            </w:r>
            <w:r>
              <w:rPr>
                <w:rFonts w:hint="eastAsia"/>
                <w:szCs w:val="21"/>
              </w:rPr>
              <w:t>5</w:t>
            </w:r>
          </w:p>
          <w:p w14:paraId="713A38BF">
            <w:pPr>
              <w:jc w:val="center"/>
              <w:rPr>
                <w:rFonts w:cs="宋体"/>
                <w:kern w:val="0"/>
                <w:sz w:val="22"/>
              </w:rPr>
            </w:pPr>
            <w:r>
              <w:rPr>
                <w:i/>
                <w:szCs w:val="21"/>
              </w:rPr>
              <w:t>q</w:t>
            </w:r>
            <w:r>
              <w:rPr>
                <w:i/>
                <w:szCs w:val="21"/>
                <w:vertAlign w:val="subscript"/>
              </w:rPr>
              <w:t>ma</w:t>
            </w:r>
            <w:r>
              <w:rPr>
                <w:szCs w:val="21"/>
                <w:vertAlign w:val="subscript"/>
              </w:rPr>
              <w:t>x</w:t>
            </w:r>
          </w:p>
        </w:tc>
        <w:tc>
          <w:tcPr>
            <w:tcW w:w="999" w:type="dxa"/>
            <w:tcBorders>
              <w:top w:val="nil"/>
              <w:left w:val="single" w:color="auto" w:sz="4" w:space="0"/>
              <w:bottom w:val="single" w:color="auto" w:sz="4" w:space="0"/>
              <w:right w:val="single" w:color="auto" w:sz="4" w:space="0"/>
            </w:tcBorders>
            <w:vAlign w:val="center"/>
          </w:tcPr>
          <w:p w14:paraId="619FFB2F">
            <w:pPr>
              <w:widowControl/>
              <w:jc w:val="center"/>
              <w:rPr>
                <w:rFonts w:cs="宋体"/>
                <w:kern w:val="0"/>
                <w:sz w:val="22"/>
              </w:rPr>
            </w:pPr>
          </w:p>
        </w:tc>
        <w:tc>
          <w:tcPr>
            <w:tcW w:w="822" w:type="dxa"/>
            <w:tcBorders>
              <w:top w:val="nil"/>
              <w:left w:val="nil"/>
              <w:bottom w:val="single" w:color="auto" w:sz="4" w:space="0"/>
              <w:right w:val="single" w:color="auto" w:sz="4" w:space="0"/>
            </w:tcBorders>
            <w:vAlign w:val="center"/>
          </w:tcPr>
          <w:p w14:paraId="51742765">
            <w:pPr>
              <w:widowControl/>
              <w:jc w:val="center"/>
              <w:rPr>
                <w:rFonts w:cs="宋体"/>
                <w:kern w:val="0"/>
                <w:sz w:val="22"/>
              </w:rPr>
            </w:pPr>
          </w:p>
        </w:tc>
        <w:tc>
          <w:tcPr>
            <w:tcW w:w="841" w:type="dxa"/>
            <w:tcBorders>
              <w:top w:val="nil"/>
              <w:left w:val="nil"/>
              <w:bottom w:val="single" w:color="auto" w:sz="4" w:space="0"/>
              <w:right w:val="single" w:color="auto" w:sz="4" w:space="0"/>
            </w:tcBorders>
            <w:vAlign w:val="center"/>
          </w:tcPr>
          <w:p w14:paraId="7018280D">
            <w:pPr>
              <w:widowControl/>
              <w:jc w:val="center"/>
              <w:rPr>
                <w:rFonts w:cs="宋体"/>
                <w:kern w:val="0"/>
                <w:sz w:val="22"/>
              </w:rPr>
            </w:pPr>
          </w:p>
        </w:tc>
        <w:tc>
          <w:tcPr>
            <w:tcW w:w="933" w:type="dxa"/>
            <w:tcBorders>
              <w:top w:val="nil"/>
              <w:left w:val="nil"/>
              <w:bottom w:val="single" w:color="auto" w:sz="4" w:space="0"/>
              <w:right w:val="single" w:color="auto" w:sz="4" w:space="0"/>
            </w:tcBorders>
            <w:vAlign w:val="center"/>
          </w:tcPr>
          <w:p w14:paraId="69C57D2C">
            <w:pPr>
              <w:widowControl/>
              <w:jc w:val="center"/>
              <w:rPr>
                <w:rFonts w:cs="宋体"/>
                <w:kern w:val="0"/>
                <w:sz w:val="22"/>
              </w:rPr>
            </w:pPr>
          </w:p>
        </w:tc>
        <w:tc>
          <w:tcPr>
            <w:tcW w:w="985" w:type="dxa"/>
            <w:tcBorders>
              <w:top w:val="nil"/>
              <w:left w:val="nil"/>
              <w:bottom w:val="single" w:color="auto" w:sz="4" w:space="0"/>
              <w:right w:val="single" w:color="auto" w:sz="4" w:space="0"/>
            </w:tcBorders>
            <w:vAlign w:val="center"/>
          </w:tcPr>
          <w:p w14:paraId="585FE3F7">
            <w:pPr>
              <w:widowControl/>
              <w:jc w:val="center"/>
              <w:rPr>
                <w:rFonts w:cs="宋体"/>
                <w:kern w:val="0"/>
                <w:sz w:val="22"/>
              </w:rPr>
            </w:pPr>
          </w:p>
        </w:tc>
        <w:tc>
          <w:tcPr>
            <w:tcW w:w="961" w:type="dxa"/>
            <w:gridSpan w:val="2"/>
            <w:tcBorders>
              <w:top w:val="nil"/>
              <w:left w:val="nil"/>
              <w:bottom w:val="single" w:color="auto" w:sz="4" w:space="0"/>
              <w:right w:val="single" w:color="auto" w:sz="4" w:space="0"/>
            </w:tcBorders>
          </w:tcPr>
          <w:p w14:paraId="71B9528B">
            <w:pPr>
              <w:widowControl/>
              <w:jc w:val="center"/>
              <w:rPr>
                <w:rFonts w:cs="宋体"/>
                <w:kern w:val="0"/>
                <w:sz w:val="22"/>
              </w:rPr>
            </w:pPr>
          </w:p>
        </w:tc>
        <w:tc>
          <w:tcPr>
            <w:tcW w:w="772" w:type="dxa"/>
            <w:tcBorders>
              <w:top w:val="nil"/>
              <w:left w:val="nil"/>
              <w:bottom w:val="single" w:color="auto" w:sz="4" w:space="0"/>
              <w:right w:val="single" w:color="auto" w:sz="4" w:space="0"/>
            </w:tcBorders>
          </w:tcPr>
          <w:p w14:paraId="6DA09A33">
            <w:pPr>
              <w:widowControl/>
              <w:jc w:val="center"/>
              <w:rPr>
                <w:rFonts w:cs="宋体"/>
                <w:kern w:val="0"/>
                <w:sz w:val="22"/>
              </w:rPr>
            </w:pPr>
          </w:p>
        </w:tc>
        <w:tc>
          <w:tcPr>
            <w:tcW w:w="936" w:type="dxa"/>
            <w:vMerge w:val="restart"/>
            <w:tcBorders>
              <w:top w:val="nil"/>
              <w:left w:val="single" w:color="auto" w:sz="4" w:space="0"/>
              <w:bottom w:val="single" w:color="auto" w:sz="4" w:space="0"/>
              <w:right w:val="single" w:color="auto" w:sz="4" w:space="0"/>
            </w:tcBorders>
            <w:vAlign w:val="center"/>
          </w:tcPr>
          <w:p w14:paraId="45489289">
            <w:pPr>
              <w:widowControl/>
              <w:jc w:val="center"/>
              <w:rPr>
                <w:rFonts w:cs="宋体"/>
                <w:kern w:val="0"/>
                <w:sz w:val="22"/>
              </w:rPr>
            </w:pPr>
          </w:p>
        </w:tc>
        <w:tc>
          <w:tcPr>
            <w:tcW w:w="1344" w:type="dxa"/>
            <w:vMerge w:val="restart"/>
            <w:tcBorders>
              <w:top w:val="nil"/>
              <w:left w:val="single" w:color="auto" w:sz="4" w:space="0"/>
              <w:bottom w:val="single" w:color="auto" w:sz="4" w:space="0"/>
              <w:right w:val="single" w:color="auto" w:sz="4" w:space="0"/>
            </w:tcBorders>
            <w:vAlign w:val="center"/>
          </w:tcPr>
          <w:p w14:paraId="0C2A5CED">
            <w:pPr>
              <w:widowControl/>
              <w:jc w:val="center"/>
              <w:rPr>
                <w:rFonts w:cs="宋体"/>
                <w:kern w:val="0"/>
                <w:sz w:val="22"/>
              </w:rPr>
            </w:pPr>
          </w:p>
        </w:tc>
      </w:tr>
      <w:tr w14:paraId="059F7DEC">
        <w:tblPrEx>
          <w:tblCellMar>
            <w:top w:w="0" w:type="dxa"/>
            <w:left w:w="108" w:type="dxa"/>
            <w:bottom w:w="0" w:type="dxa"/>
            <w:right w:w="108" w:type="dxa"/>
          </w:tblCellMar>
        </w:tblPrEx>
        <w:trPr>
          <w:trHeight w:val="325" w:hRule="atLeast"/>
          <w:jc w:val="center"/>
        </w:trPr>
        <w:tc>
          <w:tcPr>
            <w:tcW w:w="794" w:type="dxa"/>
            <w:vMerge w:val="continue"/>
            <w:tcBorders>
              <w:left w:val="single" w:color="auto" w:sz="4" w:space="0"/>
              <w:right w:val="nil"/>
            </w:tcBorders>
            <w:vAlign w:val="center"/>
          </w:tcPr>
          <w:p w14:paraId="1C1023CA">
            <w:pPr>
              <w:widowControl/>
              <w:jc w:val="left"/>
              <w:rPr>
                <w:rFonts w:cs="宋体"/>
                <w:kern w:val="0"/>
                <w:sz w:val="22"/>
              </w:rPr>
            </w:pPr>
          </w:p>
        </w:tc>
        <w:tc>
          <w:tcPr>
            <w:tcW w:w="999" w:type="dxa"/>
            <w:tcBorders>
              <w:top w:val="nil"/>
              <w:left w:val="single" w:color="auto" w:sz="4" w:space="0"/>
              <w:bottom w:val="single" w:color="auto" w:sz="4" w:space="0"/>
              <w:right w:val="single" w:color="auto" w:sz="4" w:space="0"/>
            </w:tcBorders>
            <w:vAlign w:val="center"/>
          </w:tcPr>
          <w:p w14:paraId="3239CDE8">
            <w:pPr>
              <w:widowControl/>
              <w:jc w:val="center"/>
              <w:rPr>
                <w:rFonts w:cs="宋体"/>
                <w:kern w:val="0"/>
                <w:sz w:val="22"/>
              </w:rPr>
            </w:pPr>
          </w:p>
        </w:tc>
        <w:tc>
          <w:tcPr>
            <w:tcW w:w="822" w:type="dxa"/>
            <w:tcBorders>
              <w:top w:val="nil"/>
              <w:left w:val="nil"/>
              <w:bottom w:val="single" w:color="auto" w:sz="4" w:space="0"/>
              <w:right w:val="single" w:color="auto" w:sz="4" w:space="0"/>
            </w:tcBorders>
            <w:vAlign w:val="center"/>
          </w:tcPr>
          <w:p w14:paraId="6E9D08BB">
            <w:pPr>
              <w:widowControl/>
              <w:jc w:val="center"/>
              <w:rPr>
                <w:rFonts w:cs="宋体"/>
                <w:kern w:val="0"/>
                <w:sz w:val="22"/>
              </w:rPr>
            </w:pPr>
          </w:p>
        </w:tc>
        <w:tc>
          <w:tcPr>
            <w:tcW w:w="841" w:type="dxa"/>
            <w:tcBorders>
              <w:top w:val="nil"/>
              <w:left w:val="nil"/>
              <w:bottom w:val="single" w:color="auto" w:sz="4" w:space="0"/>
              <w:right w:val="single" w:color="auto" w:sz="4" w:space="0"/>
            </w:tcBorders>
            <w:vAlign w:val="center"/>
          </w:tcPr>
          <w:p w14:paraId="1964EAC4">
            <w:pPr>
              <w:widowControl/>
              <w:jc w:val="center"/>
              <w:rPr>
                <w:rFonts w:cs="宋体"/>
                <w:kern w:val="0"/>
                <w:sz w:val="22"/>
              </w:rPr>
            </w:pPr>
          </w:p>
        </w:tc>
        <w:tc>
          <w:tcPr>
            <w:tcW w:w="933" w:type="dxa"/>
            <w:tcBorders>
              <w:top w:val="nil"/>
              <w:left w:val="nil"/>
              <w:bottom w:val="single" w:color="auto" w:sz="4" w:space="0"/>
              <w:right w:val="single" w:color="auto" w:sz="4" w:space="0"/>
            </w:tcBorders>
            <w:vAlign w:val="center"/>
          </w:tcPr>
          <w:p w14:paraId="4F8F2C5B">
            <w:pPr>
              <w:widowControl/>
              <w:jc w:val="center"/>
              <w:rPr>
                <w:rFonts w:cs="宋体"/>
                <w:kern w:val="0"/>
                <w:sz w:val="22"/>
              </w:rPr>
            </w:pPr>
          </w:p>
        </w:tc>
        <w:tc>
          <w:tcPr>
            <w:tcW w:w="985" w:type="dxa"/>
            <w:tcBorders>
              <w:top w:val="nil"/>
              <w:left w:val="nil"/>
              <w:bottom w:val="single" w:color="auto" w:sz="4" w:space="0"/>
              <w:right w:val="single" w:color="auto" w:sz="4" w:space="0"/>
            </w:tcBorders>
            <w:vAlign w:val="center"/>
          </w:tcPr>
          <w:p w14:paraId="42A58004">
            <w:pPr>
              <w:widowControl/>
              <w:jc w:val="center"/>
              <w:rPr>
                <w:rFonts w:cs="宋体"/>
                <w:kern w:val="0"/>
                <w:sz w:val="22"/>
              </w:rPr>
            </w:pPr>
          </w:p>
        </w:tc>
        <w:tc>
          <w:tcPr>
            <w:tcW w:w="961" w:type="dxa"/>
            <w:gridSpan w:val="2"/>
            <w:tcBorders>
              <w:top w:val="nil"/>
              <w:left w:val="nil"/>
              <w:bottom w:val="single" w:color="auto" w:sz="4" w:space="0"/>
              <w:right w:val="single" w:color="auto" w:sz="4" w:space="0"/>
            </w:tcBorders>
          </w:tcPr>
          <w:p w14:paraId="622CF4F0">
            <w:pPr>
              <w:widowControl/>
              <w:jc w:val="center"/>
              <w:rPr>
                <w:rFonts w:cs="宋体"/>
                <w:kern w:val="0"/>
                <w:sz w:val="22"/>
              </w:rPr>
            </w:pPr>
          </w:p>
        </w:tc>
        <w:tc>
          <w:tcPr>
            <w:tcW w:w="772" w:type="dxa"/>
            <w:tcBorders>
              <w:top w:val="nil"/>
              <w:left w:val="nil"/>
              <w:bottom w:val="single" w:color="auto" w:sz="4" w:space="0"/>
              <w:right w:val="single" w:color="auto" w:sz="4" w:space="0"/>
            </w:tcBorders>
          </w:tcPr>
          <w:p w14:paraId="71BD9312">
            <w:pPr>
              <w:widowControl/>
              <w:jc w:val="center"/>
              <w:rPr>
                <w:rFonts w:cs="宋体"/>
                <w:kern w:val="0"/>
                <w:sz w:val="22"/>
              </w:rPr>
            </w:pPr>
          </w:p>
        </w:tc>
        <w:tc>
          <w:tcPr>
            <w:tcW w:w="936" w:type="dxa"/>
            <w:vMerge w:val="continue"/>
            <w:tcBorders>
              <w:top w:val="nil"/>
              <w:left w:val="single" w:color="auto" w:sz="4" w:space="0"/>
              <w:bottom w:val="single" w:color="auto" w:sz="4" w:space="0"/>
              <w:right w:val="single" w:color="auto" w:sz="4" w:space="0"/>
            </w:tcBorders>
            <w:vAlign w:val="center"/>
          </w:tcPr>
          <w:p w14:paraId="10C00B5C">
            <w:pPr>
              <w:widowControl/>
              <w:jc w:val="left"/>
              <w:rPr>
                <w:rFonts w:cs="宋体"/>
                <w:kern w:val="0"/>
                <w:sz w:val="22"/>
              </w:rPr>
            </w:pPr>
          </w:p>
        </w:tc>
        <w:tc>
          <w:tcPr>
            <w:tcW w:w="1344" w:type="dxa"/>
            <w:vMerge w:val="continue"/>
            <w:tcBorders>
              <w:top w:val="nil"/>
              <w:left w:val="single" w:color="auto" w:sz="4" w:space="0"/>
              <w:bottom w:val="single" w:color="auto" w:sz="4" w:space="0"/>
              <w:right w:val="single" w:color="auto" w:sz="4" w:space="0"/>
            </w:tcBorders>
            <w:vAlign w:val="center"/>
          </w:tcPr>
          <w:p w14:paraId="3280789A">
            <w:pPr>
              <w:widowControl/>
              <w:jc w:val="left"/>
              <w:rPr>
                <w:rFonts w:cs="宋体"/>
                <w:kern w:val="0"/>
                <w:sz w:val="22"/>
              </w:rPr>
            </w:pPr>
          </w:p>
        </w:tc>
      </w:tr>
      <w:tr w14:paraId="32FEC9F6">
        <w:tblPrEx>
          <w:tblCellMar>
            <w:top w:w="0" w:type="dxa"/>
            <w:left w:w="108" w:type="dxa"/>
            <w:bottom w:w="0" w:type="dxa"/>
            <w:right w:w="108" w:type="dxa"/>
          </w:tblCellMar>
        </w:tblPrEx>
        <w:trPr>
          <w:trHeight w:val="325" w:hRule="atLeast"/>
          <w:jc w:val="center"/>
        </w:trPr>
        <w:tc>
          <w:tcPr>
            <w:tcW w:w="794" w:type="dxa"/>
            <w:vMerge w:val="continue"/>
            <w:tcBorders>
              <w:left w:val="single" w:color="auto" w:sz="4" w:space="0"/>
              <w:bottom w:val="single" w:color="auto" w:sz="4" w:space="0"/>
              <w:right w:val="nil"/>
            </w:tcBorders>
            <w:vAlign w:val="center"/>
          </w:tcPr>
          <w:p w14:paraId="52AE6F45">
            <w:pPr>
              <w:widowControl/>
              <w:jc w:val="left"/>
              <w:rPr>
                <w:rFonts w:cs="宋体"/>
                <w:kern w:val="0"/>
                <w:sz w:val="22"/>
              </w:rPr>
            </w:pPr>
          </w:p>
        </w:tc>
        <w:tc>
          <w:tcPr>
            <w:tcW w:w="999" w:type="dxa"/>
            <w:tcBorders>
              <w:top w:val="nil"/>
              <w:left w:val="single" w:color="auto" w:sz="4" w:space="0"/>
              <w:bottom w:val="single" w:color="auto" w:sz="4" w:space="0"/>
              <w:right w:val="single" w:color="auto" w:sz="4" w:space="0"/>
            </w:tcBorders>
            <w:vAlign w:val="center"/>
          </w:tcPr>
          <w:p w14:paraId="08EF8E2D">
            <w:pPr>
              <w:widowControl/>
              <w:jc w:val="center"/>
              <w:rPr>
                <w:rFonts w:cs="宋体"/>
                <w:kern w:val="0"/>
                <w:sz w:val="22"/>
              </w:rPr>
            </w:pPr>
          </w:p>
        </w:tc>
        <w:tc>
          <w:tcPr>
            <w:tcW w:w="822" w:type="dxa"/>
            <w:tcBorders>
              <w:top w:val="nil"/>
              <w:left w:val="nil"/>
              <w:bottom w:val="single" w:color="auto" w:sz="4" w:space="0"/>
              <w:right w:val="single" w:color="auto" w:sz="4" w:space="0"/>
            </w:tcBorders>
            <w:vAlign w:val="center"/>
          </w:tcPr>
          <w:p w14:paraId="692DFB3C">
            <w:pPr>
              <w:widowControl/>
              <w:jc w:val="center"/>
              <w:rPr>
                <w:rFonts w:cs="宋体"/>
                <w:kern w:val="0"/>
                <w:sz w:val="22"/>
              </w:rPr>
            </w:pPr>
          </w:p>
        </w:tc>
        <w:tc>
          <w:tcPr>
            <w:tcW w:w="841" w:type="dxa"/>
            <w:tcBorders>
              <w:top w:val="nil"/>
              <w:left w:val="nil"/>
              <w:bottom w:val="single" w:color="auto" w:sz="4" w:space="0"/>
              <w:right w:val="single" w:color="auto" w:sz="4" w:space="0"/>
            </w:tcBorders>
            <w:vAlign w:val="center"/>
          </w:tcPr>
          <w:p w14:paraId="240C110E">
            <w:pPr>
              <w:widowControl/>
              <w:jc w:val="center"/>
              <w:rPr>
                <w:rFonts w:cs="宋体"/>
                <w:kern w:val="0"/>
                <w:sz w:val="22"/>
              </w:rPr>
            </w:pPr>
          </w:p>
        </w:tc>
        <w:tc>
          <w:tcPr>
            <w:tcW w:w="933" w:type="dxa"/>
            <w:tcBorders>
              <w:top w:val="nil"/>
              <w:left w:val="nil"/>
              <w:bottom w:val="single" w:color="auto" w:sz="4" w:space="0"/>
              <w:right w:val="single" w:color="auto" w:sz="4" w:space="0"/>
            </w:tcBorders>
            <w:vAlign w:val="center"/>
          </w:tcPr>
          <w:p w14:paraId="7DF6FAE8">
            <w:pPr>
              <w:widowControl/>
              <w:jc w:val="center"/>
              <w:rPr>
                <w:rFonts w:cs="宋体"/>
                <w:kern w:val="0"/>
                <w:sz w:val="22"/>
              </w:rPr>
            </w:pPr>
          </w:p>
        </w:tc>
        <w:tc>
          <w:tcPr>
            <w:tcW w:w="985" w:type="dxa"/>
            <w:tcBorders>
              <w:top w:val="nil"/>
              <w:left w:val="nil"/>
              <w:bottom w:val="single" w:color="auto" w:sz="4" w:space="0"/>
              <w:right w:val="single" w:color="auto" w:sz="4" w:space="0"/>
            </w:tcBorders>
            <w:vAlign w:val="center"/>
          </w:tcPr>
          <w:p w14:paraId="070498A9">
            <w:pPr>
              <w:widowControl/>
              <w:jc w:val="center"/>
              <w:rPr>
                <w:rFonts w:cs="宋体"/>
                <w:kern w:val="0"/>
                <w:sz w:val="22"/>
              </w:rPr>
            </w:pPr>
          </w:p>
        </w:tc>
        <w:tc>
          <w:tcPr>
            <w:tcW w:w="961" w:type="dxa"/>
            <w:gridSpan w:val="2"/>
            <w:tcBorders>
              <w:top w:val="nil"/>
              <w:left w:val="nil"/>
              <w:bottom w:val="single" w:color="auto" w:sz="4" w:space="0"/>
              <w:right w:val="single" w:color="auto" w:sz="4" w:space="0"/>
            </w:tcBorders>
          </w:tcPr>
          <w:p w14:paraId="566140F8">
            <w:pPr>
              <w:widowControl/>
              <w:jc w:val="center"/>
              <w:rPr>
                <w:rFonts w:cs="宋体"/>
                <w:kern w:val="0"/>
                <w:sz w:val="22"/>
              </w:rPr>
            </w:pPr>
          </w:p>
        </w:tc>
        <w:tc>
          <w:tcPr>
            <w:tcW w:w="772" w:type="dxa"/>
            <w:tcBorders>
              <w:top w:val="nil"/>
              <w:left w:val="nil"/>
              <w:bottom w:val="single" w:color="auto" w:sz="4" w:space="0"/>
              <w:right w:val="single" w:color="auto" w:sz="4" w:space="0"/>
            </w:tcBorders>
          </w:tcPr>
          <w:p w14:paraId="6C063F0F">
            <w:pPr>
              <w:widowControl/>
              <w:jc w:val="center"/>
              <w:rPr>
                <w:rFonts w:cs="宋体"/>
                <w:kern w:val="0"/>
                <w:sz w:val="22"/>
              </w:rPr>
            </w:pPr>
          </w:p>
        </w:tc>
        <w:tc>
          <w:tcPr>
            <w:tcW w:w="936" w:type="dxa"/>
            <w:vMerge w:val="continue"/>
            <w:tcBorders>
              <w:top w:val="nil"/>
              <w:left w:val="single" w:color="auto" w:sz="4" w:space="0"/>
              <w:bottom w:val="single" w:color="auto" w:sz="4" w:space="0"/>
              <w:right w:val="single" w:color="auto" w:sz="4" w:space="0"/>
            </w:tcBorders>
            <w:vAlign w:val="center"/>
          </w:tcPr>
          <w:p w14:paraId="46AE21E7">
            <w:pPr>
              <w:widowControl/>
              <w:jc w:val="left"/>
              <w:rPr>
                <w:rFonts w:cs="宋体"/>
                <w:kern w:val="0"/>
                <w:sz w:val="22"/>
              </w:rPr>
            </w:pPr>
          </w:p>
        </w:tc>
        <w:tc>
          <w:tcPr>
            <w:tcW w:w="1344" w:type="dxa"/>
            <w:vMerge w:val="continue"/>
            <w:tcBorders>
              <w:top w:val="nil"/>
              <w:left w:val="single" w:color="auto" w:sz="4" w:space="0"/>
              <w:bottom w:val="single" w:color="auto" w:sz="4" w:space="0"/>
              <w:right w:val="single" w:color="auto" w:sz="4" w:space="0"/>
            </w:tcBorders>
            <w:vAlign w:val="center"/>
          </w:tcPr>
          <w:p w14:paraId="215773B6">
            <w:pPr>
              <w:widowControl/>
              <w:jc w:val="left"/>
              <w:rPr>
                <w:rFonts w:cs="宋体"/>
                <w:kern w:val="0"/>
                <w:sz w:val="22"/>
              </w:rPr>
            </w:pPr>
          </w:p>
        </w:tc>
      </w:tr>
      <w:tr w14:paraId="29EFAAB6">
        <w:tblPrEx>
          <w:tblCellMar>
            <w:top w:w="0" w:type="dxa"/>
            <w:left w:w="108" w:type="dxa"/>
            <w:bottom w:w="0" w:type="dxa"/>
            <w:right w:w="108" w:type="dxa"/>
          </w:tblCellMar>
        </w:tblPrEx>
        <w:trPr>
          <w:trHeight w:val="325" w:hRule="atLeast"/>
          <w:jc w:val="center"/>
        </w:trPr>
        <w:tc>
          <w:tcPr>
            <w:tcW w:w="794" w:type="dxa"/>
            <w:vMerge w:val="restart"/>
            <w:tcBorders>
              <w:top w:val="nil"/>
              <w:left w:val="single" w:color="auto" w:sz="4" w:space="0"/>
              <w:right w:val="nil"/>
            </w:tcBorders>
            <w:vAlign w:val="center"/>
          </w:tcPr>
          <w:p w14:paraId="7396A8B9">
            <w:pPr>
              <w:jc w:val="center"/>
              <w:rPr>
                <w:rFonts w:cs="宋体"/>
                <w:kern w:val="0"/>
                <w:sz w:val="22"/>
              </w:rPr>
            </w:pPr>
            <w:r>
              <w:rPr>
                <w:i/>
                <w:szCs w:val="21"/>
              </w:rPr>
              <w:t>q</w:t>
            </w:r>
            <w:r>
              <w:rPr>
                <w:rFonts w:hint="eastAsia"/>
                <w:i/>
                <w:szCs w:val="21"/>
                <w:vertAlign w:val="subscript"/>
              </w:rPr>
              <w:t>t</w:t>
            </w:r>
          </w:p>
        </w:tc>
        <w:tc>
          <w:tcPr>
            <w:tcW w:w="999" w:type="dxa"/>
            <w:tcBorders>
              <w:top w:val="nil"/>
              <w:left w:val="single" w:color="auto" w:sz="4" w:space="0"/>
              <w:bottom w:val="single" w:color="auto" w:sz="4" w:space="0"/>
              <w:right w:val="single" w:color="auto" w:sz="4" w:space="0"/>
            </w:tcBorders>
            <w:vAlign w:val="center"/>
          </w:tcPr>
          <w:p w14:paraId="75D3B08C">
            <w:pPr>
              <w:widowControl/>
              <w:jc w:val="center"/>
              <w:rPr>
                <w:rFonts w:cs="宋体"/>
                <w:kern w:val="0"/>
                <w:sz w:val="22"/>
              </w:rPr>
            </w:pPr>
          </w:p>
        </w:tc>
        <w:tc>
          <w:tcPr>
            <w:tcW w:w="822" w:type="dxa"/>
            <w:tcBorders>
              <w:top w:val="nil"/>
              <w:left w:val="nil"/>
              <w:bottom w:val="single" w:color="auto" w:sz="4" w:space="0"/>
              <w:right w:val="single" w:color="auto" w:sz="4" w:space="0"/>
            </w:tcBorders>
            <w:vAlign w:val="center"/>
          </w:tcPr>
          <w:p w14:paraId="5528E810">
            <w:pPr>
              <w:widowControl/>
              <w:jc w:val="center"/>
              <w:rPr>
                <w:rFonts w:cs="宋体"/>
                <w:kern w:val="0"/>
                <w:sz w:val="22"/>
              </w:rPr>
            </w:pPr>
          </w:p>
        </w:tc>
        <w:tc>
          <w:tcPr>
            <w:tcW w:w="841" w:type="dxa"/>
            <w:tcBorders>
              <w:top w:val="nil"/>
              <w:left w:val="nil"/>
              <w:bottom w:val="single" w:color="auto" w:sz="4" w:space="0"/>
              <w:right w:val="single" w:color="auto" w:sz="4" w:space="0"/>
            </w:tcBorders>
            <w:vAlign w:val="center"/>
          </w:tcPr>
          <w:p w14:paraId="1D5B9BBC">
            <w:pPr>
              <w:widowControl/>
              <w:jc w:val="center"/>
              <w:rPr>
                <w:rFonts w:cs="宋体"/>
                <w:kern w:val="0"/>
                <w:sz w:val="22"/>
              </w:rPr>
            </w:pPr>
          </w:p>
        </w:tc>
        <w:tc>
          <w:tcPr>
            <w:tcW w:w="933" w:type="dxa"/>
            <w:tcBorders>
              <w:top w:val="nil"/>
              <w:left w:val="nil"/>
              <w:bottom w:val="single" w:color="auto" w:sz="4" w:space="0"/>
              <w:right w:val="single" w:color="auto" w:sz="4" w:space="0"/>
            </w:tcBorders>
            <w:vAlign w:val="center"/>
          </w:tcPr>
          <w:p w14:paraId="5E7240AE">
            <w:pPr>
              <w:widowControl/>
              <w:jc w:val="center"/>
              <w:rPr>
                <w:rFonts w:cs="宋体"/>
                <w:kern w:val="0"/>
                <w:sz w:val="22"/>
              </w:rPr>
            </w:pPr>
          </w:p>
        </w:tc>
        <w:tc>
          <w:tcPr>
            <w:tcW w:w="985" w:type="dxa"/>
            <w:tcBorders>
              <w:top w:val="nil"/>
              <w:left w:val="nil"/>
              <w:bottom w:val="single" w:color="auto" w:sz="4" w:space="0"/>
              <w:right w:val="single" w:color="auto" w:sz="4" w:space="0"/>
            </w:tcBorders>
            <w:vAlign w:val="center"/>
          </w:tcPr>
          <w:p w14:paraId="602834B1">
            <w:pPr>
              <w:widowControl/>
              <w:jc w:val="center"/>
              <w:rPr>
                <w:rFonts w:cs="宋体"/>
                <w:kern w:val="0"/>
                <w:sz w:val="22"/>
              </w:rPr>
            </w:pPr>
          </w:p>
        </w:tc>
        <w:tc>
          <w:tcPr>
            <w:tcW w:w="961" w:type="dxa"/>
            <w:gridSpan w:val="2"/>
            <w:tcBorders>
              <w:top w:val="nil"/>
              <w:left w:val="nil"/>
              <w:bottom w:val="single" w:color="auto" w:sz="4" w:space="0"/>
              <w:right w:val="single" w:color="auto" w:sz="4" w:space="0"/>
            </w:tcBorders>
          </w:tcPr>
          <w:p w14:paraId="017A5035">
            <w:pPr>
              <w:widowControl/>
              <w:jc w:val="center"/>
              <w:rPr>
                <w:rFonts w:cs="宋体"/>
                <w:kern w:val="0"/>
                <w:sz w:val="22"/>
              </w:rPr>
            </w:pPr>
          </w:p>
        </w:tc>
        <w:tc>
          <w:tcPr>
            <w:tcW w:w="772" w:type="dxa"/>
            <w:tcBorders>
              <w:top w:val="nil"/>
              <w:left w:val="nil"/>
              <w:bottom w:val="single" w:color="auto" w:sz="4" w:space="0"/>
              <w:right w:val="single" w:color="auto" w:sz="4" w:space="0"/>
            </w:tcBorders>
          </w:tcPr>
          <w:p w14:paraId="4C63B5EE">
            <w:pPr>
              <w:widowControl/>
              <w:jc w:val="center"/>
              <w:rPr>
                <w:rFonts w:cs="宋体"/>
                <w:kern w:val="0"/>
                <w:sz w:val="22"/>
              </w:rPr>
            </w:pPr>
          </w:p>
        </w:tc>
        <w:tc>
          <w:tcPr>
            <w:tcW w:w="936" w:type="dxa"/>
            <w:vMerge w:val="restart"/>
            <w:tcBorders>
              <w:top w:val="nil"/>
              <w:left w:val="single" w:color="auto" w:sz="4" w:space="0"/>
              <w:right w:val="single" w:color="auto" w:sz="4" w:space="0"/>
            </w:tcBorders>
            <w:vAlign w:val="center"/>
          </w:tcPr>
          <w:p w14:paraId="2847398A">
            <w:pPr>
              <w:widowControl/>
              <w:jc w:val="center"/>
              <w:rPr>
                <w:rFonts w:cs="宋体"/>
                <w:kern w:val="0"/>
                <w:sz w:val="22"/>
              </w:rPr>
            </w:pPr>
          </w:p>
        </w:tc>
        <w:tc>
          <w:tcPr>
            <w:tcW w:w="1344" w:type="dxa"/>
            <w:vMerge w:val="restart"/>
            <w:tcBorders>
              <w:top w:val="nil"/>
              <w:left w:val="single" w:color="auto" w:sz="4" w:space="0"/>
              <w:right w:val="single" w:color="auto" w:sz="4" w:space="0"/>
            </w:tcBorders>
            <w:vAlign w:val="center"/>
          </w:tcPr>
          <w:p w14:paraId="4F772C69">
            <w:pPr>
              <w:widowControl/>
              <w:jc w:val="center"/>
              <w:rPr>
                <w:rFonts w:cs="宋体"/>
                <w:kern w:val="0"/>
                <w:sz w:val="22"/>
              </w:rPr>
            </w:pPr>
          </w:p>
        </w:tc>
      </w:tr>
      <w:tr w14:paraId="7CA6338B">
        <w:tblPrEx>
          <w:tblCellMar>
            <w:top w:w="0" w:type="dxa"/>
            <w:left w:w="108" w:type="dxa"/>
            <w:bottom w:w="0" w:type="dxa"/>
            <w:right w:w="108" w:type="dxa"/>
          </w:tblCellMar>
        </w:tblPrEx>
        <w:trPr>
          <w:trHeight w:val="325" w:hRule="atLeast"/>
          <w:jc w:val="center"/>
        </w:trPr>
        <w:tc>
          <w:tcPr>
            <w:tcW w:w="794" w:type="dxa"/>
            <w:vMerge w:val="continue"/>
            <w:tcBorders>
              <w:left w:val="single" w:color="auto" w:sz="4" w:space="0"/>
              <w:right w:val="nil"/>
            </w:tcBorders>
            <w:vAlign w:val="center"/>
          </w:tcPr>
          <w:p w14:paraId="6A74D78A">
            <w:pPr>
              <w:widowControl/>
              <w:jc w:val="left"/>
              <w:rPr>
                <w:rFonts w:cs="宋体"/>
                <w:kern w:val="0"/>
                <w:sz w:val="22"/>
              </w:rPr>
            </w:pPr>
          </w:p>
        </w:tc>
        <w:tc>
          <w:tcPr>
            <w:tcW w:w="999" w:type="dxa"/>
            <w:tcBorders>
              <w:top w:val="nil"/>
              <w:left w:val="single" w:color="auto" w:sz="4" w:space="0"/>
              <w:bottom w:val="single" w:color="auto" w:sz="4" w:space="0"/>
              <w:right w:val="single" w:color="auto" w:sz="4" w:space="0"/>
            </w:tcBorders>
            <w:vAlign w:val="center"/>
          </w:tcPr>
          <w:p w14:paraId="1F7DB7A8">
            <w:pPr>
              <w:widowControl/>
              <w:jc w:val="center"/>
              <w:rPr>
                <w:rFonts w:cs="宋体"/>
                <w:kern w:val="0"/>
                <w:sz w:val="22"/>
              </w:rPr>
            </w:pPr>
          </w:p>
        </w:tc>
        <w:tc>
          <w:tcPr>
            <w:tcW w:w="822" w:type="dxa"/>
            <w:tcBorders>
              <w:top w:val="nil"/>
              <w:left w:val="nil"/>
              <w:bottom w:val="single" w:color="auto" w:sz="4" w:space="0"/>
              <w:right w:val="single" w:color="auto" w:sz="4" w:space="0"/>
            </w:tcBorders>
            <w:vAlign w:val="center"/>
          </w:tcPr>
          <w:p w14:paraId="34FB5870">
            <w:pPr>
              <w:widowControl/>
              <w:jc w:val="center"/>
              <w:rPr>
                <w:rFonts w:cs="宋体"/>
                <w:kern w:val="0"/>
                <w:sz w:val="22"/>
              </w:rPr>
            </w:pPr>
          </w:p>
        </w:tc>
        <w:tc>
          <w:tcPr>
            <w:tcW w:w="841" w:type="dxa"/>
            <w:tcBorders>
              <w:top w:val="nil"/>
              <w:left w:val="nil"/>
              <w:bottom w:val="single" w:color="auto" w:sz="4" w:space="0"/>
              <w:right w:val="single" w:color="auto" w:sz="4" w:space="0"/>
            </w:tcBorders>
            <w:vAlign w:val="center"/>
          </w:tcPr>
          <w:p w14:paraId="297C8134">
            <w:pPr>
              <w:widowControl/>
              <w:jc w:val="center"/>
              <w:rPr>
                <w:rFonts w:cs="宋体"/>
                <w:kern w:val="0"/>
                <w:sz w:val="22"/>
              </w:rPr>
            </w:pPr>
          </w:p>
        </w:tc>
        <w:tc>
          <w:tcPr>
            <w:tcW w:w="933" w:type="dxa"/>
            <w:tcBorders>
              <w:top w:val="nil"/>
              <w:left w:val="nil"/>
              <w:bottom w:val="single" w:color="auto" w:sz="4" w:space="0"/>
              <w:right w:val="single" w:color="auto" w:sz="4" w:space="0"/>
            </w:tcBorders>
            <w:vAlign w:val="center"/>
          </w:tcPr>
          <w:p w14:paraId="28756A6E">
            <w:pPr>
              <w:widowControl/>
              <w:jc w:val="center"/>
              <w:rPr>
                <w:rFonts w:cs="宋体"/>
                <w:kern w:val="0"/>
                <w:sz w:val="22"/>
              </w:rPr>
            </w:pPr>
          </w:p>
        </w:tc>
        <w:tc>
          <w:tcPr>
            <w:tcW w:w="985" w:type="dxa"/>
            <w:tcBorders>
              <w:top w:val="nil"/>
              <w:left w:val="nil"/>
              <w:bottom w:val="single" w:color="auto" w:sz="4" w:space="0"/>
              <w:right w:val="single" w:color="auto" w:sz="4" w:space="0"/>
            </w:tcBorders>
            <w:vAlign w:val="center"/>
          </w:tcPr>
          <w:p w14:paraId="3B80BCD4">
            <w:pPr>
              <w:widowControl/>
              <w:jc w:val="center"/>
              <w:rPr>
                <w:rFonts w:cs="宋体"/>
                <w:kern w:val="0"/>
                <w:sz w:val="22"/>
              </w:rPr>
            </w:pPr>
          </w:p>
        </w:tc>
        <w:tc>
          <w:tcPr>
            <w:tcW w:w="961" w:type="dxa"/>
            <w:gridSpan w:val="2"/>
            <w:tcBorders>
              <w:top w:val="nil"/>
              <w:left w:val="nil"/>
              <w:bottom w:val="single" w:color="auto" w:sz="4" w:space="0"/>
              <w:right w:val="single" w:color="auto" w:sz="4" w:space="0"/>
            </w:tcBorders>
          </w:tcPr>
          <w:p w14:paraId="54D8D3B3">
            <w:pPr>
              <w:widowControl/>
              <w:jc w:val="center"/>
              <w:rPr>
                <w:rFonts w:cs="宋体"/>
                <w:kern w:val="0"/>
                <w:sz w:val="22"/>
              </w:rPr>
            </w:pPr>
          </w:p>
        </w:tc>
        <w:tc>
          <w:tcPr>
            <w:tcW w:w="772" w:type="dxa"/>
            <w:tcBorders>
              <w:top w:val="nil"/>
              <w:left w:val="nil"/>
              <w:bottom w:val="single" w:color="auto" w:sz="4" w:space="0"/>
              <w:right w:val="single" w:color="auto" w:sz="4" w:space="0"/>
            </w:tcBorders>
          </w:tcPr>
          <w:p w14:paraId="1D3E6D32">
            <w:pPr>
              <w:widowControl/>
              <w:jc w:val="center"/>
              <w:rPr>
                <w:rFonts w:cs="宋体"/>
                <w:kern w:val="0"/>
                <w:sz w:val="22"/>
              </w:rPr>
            </w:pPr>
          </w:p>
        </w:tc>
        <w:tc>
          <w:tcPr>
            <w:tcW w:w="936" w:type="dxa"/>
            <w:vMerge w:val="continue"/>
            <w:tcBorders>
              <w:left w:val="single" w:color="auto" w:sz="4" w:space="0"/>
              <w:right w:val="single" w:color="auto" w:sz="4" w:space="0"/>
            </w:tcBorders>
            <w:vAlign w:val="center"/>
          </w:tcPr>
          <w:p w14:paraId="7EEFD19B">
            <w:pPr>
              <w:widowControl/>
              <w:jc w:val="left"/>
              <w:rPr>
                <w:rFonts w:cs="宋体"/>
                <w:kern w:val="0"/>
                <w:sz w:val="22"/>
              </w:rPr>
            </w:pPr>
          </w:p>
        </w:tc>
        <w:tc>
          <w:tcPr>
            <w:tcW w:w="1344" w:type="dxa"/>
            <w:vMerge w:val="continue"/>
            <w:tcBorders>
              <w:left w:val="single" w:color="auto" w:sz="4" w:space="0"/>
              <w:right w:val="single" w:color="auto" w:sz="4" w:space="0"/>
            </w:tcBorders>
            <w:vAlign w:val="center"/>
          </w:tcPr>
          <w:p w14:paraId="51491B39">
            <w:pPr>
              <w:widowControl/>
              <w:jc w:val="left"/>
              <w:rPr>
                <w:rFonts w:cs="宋体"/>
                <w:kern w:val="0"/>
                <w:sz w:val="22"/>
              </w:rPr>
            </w:pPr>
          </w:p>
        </w:tc>
      </w:tr>
      <w:tr w14:paraId="63CB5AE7">
        <w:tblPrEx>
          <w:tblCellMar>
            <w:top w:w="0" w:type="dxa"/>
            <w:left w:w="108" w:type="dxa"/>
            <w:bottom w:w="0" w:type="dxa"/>
            <w:right w:w="108" w:type="dxa"/>
          </w:tblCellMar>
        </w:tblPrEx>
        <w:trPr>
          <w:trHeight w:val="325" w:hRule="atLeast"/>
          <w:jc w:val="center"/>
        </w:trPr>
        <w:tc>
          <w:tcPr>
            <w:tcW w:w="794" w:type="dxa"/>
            <w:vMerge w:val="continue"/>
            <w:tcBorders>
              <w:left w:val="single" w:color="auto" w:sz="4" w:space="0"/>
              <w:bottom w:val="single" w:color="auto" w:sz="4" w:space="0"/>
              <w:right w:val="nil"/>
            </w:tcBorders>
            <w:vAlign w:val="center"/>
          </w:tcPr>
          <w:p w14:paraId="0F145389">
            <w:pPr>
              <w:widowControl/>
              <w:jc w:val="left"/>
              <w:rPr>
                <w:rFonts w:cs="宋体"/>
                <w:kern w:val="0"/>
                <w:sz w:val="22"/>
              </w:rPr>
            </w:pPr>
          </w:p>
        </w:tc>
        <w:tc>
          <w:tcPr>
            <w:tcW w:w="999" w:type="dxa"/>
            <w:tcBorders>
              <w:top w:val="nil"/>
              <w:left w:val="single" w:color="auto" w:sz="4" w:space="0"/>
              <w:bottom w:val="single" w:color="auto" w:sz="4" w:space="0"/>
              <w:right w:val="single" w:color="auto" w:sz="4" w:space="0"/>
            </w:tcBorders>
            <w:vAlign w:val="center"/>
          </w:tcPr>
          <w:p w14:paraId="19D561F3">
            <w:pPr>
              <w:widowControl/>
              <w:jc w:val="center"/>
              <w:rPr>
                <w:rFonts w:cs="宋体"/>
                <w:kern w:val="0"/>
                <w:sz w:val="22"/>
              </w:rPr>
            </w:pPr>
          </w:p>
        </w:tc>
        <w:tc>
          <w:tcPr>
            <w:tcW w:w="822" w:type="dxa"/>
            <w:tcBorders>
              <w:top w:val="nil"/>
              <w:left w:val="nil"/>
              <w:bottom w:val="single" w:color="auto" w:sz="4" w:space="0"/>
              <w:right w:val="single" w:color="auto" w:sz="4" w:space="0"/>
            </w:tcBorders>
            <w:vAlign w:val="center"/>
          </w:tcPr>
          <w:p w14:paraId="2A1B5D14">
            <w:pPr>
              <w:widowControl/>
              <w:jc w:val="center"/>
              <w:rPr>
                <w:rFonts w:cs="宋体"/>
                <w:kern w:val="0"/>
                <w:sz w:val="22"/>
              </w:rPr>
            </w:pPr>
          </w:p>
        </w:tc>
        <w:tc>
          <w:tcPr>
            <w:tcW w:w="841" w:type="dxa"/>
            <w:tcBorders>
              <w:top w:val="nil"/>
              <w:left w:val="nil"/>
              <w:bottom w:val="single" w:color="auto" w:sz="4" w:space="0"/>
              <w:right w:val="single" w:color="auto" w:sz="4" w:space="0"/>
            </w:tcBorders>
            <w:vAlign w:val="center"/>
          </w:tcPr>
          <w:p w14:paraId="76CE8BC6">
            <w:pPr>
              <w:widowControl/>
              <w:jc w:val="center"/>
              <w:rPr>
                <w:rFonts w:cs="宋体"/>
                <w:kern w:val="0"/>
                <w:sz w:val="22"/>
              </w:rPr>
            </w:pPr>
          </w:p>
        </w:tc>
        <w:tc>
          <w:tcPr>
            <w:tcW w:w="933" w:type="dxa"/>
            <w:tcBorders>
              <w:top w:val="nil"/>
              <w:left w:val="nil"/>
              <w:bottom w:val="single" w:color="auto" w:sz="4" w:space="0"/>
              <w:right w:val="single" w:color="auto" w:sz="4" w:space="0"/>
            </w:tcBorders>
            <w:vAlign w:val="center"/>
          </w:tcPr>
          <w:p w14:paraId="6CD51E04">
            <w:pPr>
              <w:widowControl/>
              <w:jc w:val="center"/>
              <w:rPr>
                <w:rFonts w:cs="宋体"/>
                <w:kern w:val="0"/>
                <w:sz w:val="22"/>
              </w:rPr>
            </w:pPr>
          </w:p>
        </w:tc>
        <w:tc>
          <w:tcPr>
            <w:tcW w:w="985" w:type="dxa"/>
            <w:tcBorders>
              <w:top w:val="nil"/>
              <w:left w:val="nil"/>
              <w:bottom w:val="single" w:color="auto" w:sz="4" w:space="0"/>
              <w:right w:val="single" w:color="auto" w:sz="4" w:space="0"/>
            </w:tcBorders>
            <w:vAlign w:val="center"/>
          </w:tcPr>
          <w:p w14:paraId="46ED7FA8">
            <w:pPr>
              <w:widowControl/>
              <w:jc w:val="center"/>
              <w:rPr>
                <w:rFonts w:cs="宋体"/>
                <w:kern w:val="0"/>
                <w:sz w:val="22"/>
              </w:rPr>
            </w:pPr>
          </w:p>
        </w:tc>
        <w:tc>
          <w:tcPr>
            <w:tcW w:w="961" w:type="dxa"/>
            <w:gridSpan w:val="2"/>
            <w:tcBorders>
              <w:top w:val="nil"/>
              <w:left w:val="nil"/>
              <w:bottom w:val="single" w:color="auto" w:sz="4" w:space="0"/>
              <w:right w:val="single" w:color="auto" w:sz="4" w:space="0"/>
            </w:tcBorders>
          </w:tcPr>
          <w:p w14:paraId="204721C8">
            <w:pPr>
              <w:widowControl/>
              <w:jc w:val="center"/>
              <w:rPr>
                <w:rFonts w:cs="宋体"/>
                <w:kern w:val="0"/>
                <w:sz w:val="22"/>
              </w:rPr>
            </w:pPr>
          </w:p>
        </w:tc>
        <w:tc>
          <w:tcPr>
            <w:tcW w:w="772" w:type="dxa"/>
            <w:tcBorders>
              <w:top w:val="nil"/>
              <w:left w:val="nil"/>
              <w:bottom w:val="single" w:color="auto" w:sz="4" w:space="0"/>
              <w:right w:val="single" w:color="auto" w:sz="4" w:space="0"/>
            </w:tcBorders>
          </w:tcPr>
          <w:p w14:paraId="63E7AFA6">
            <w:pPr>
              <w:widowControl/>
              <w:jc w:val="center"/>
              <w:rPr>
                <w:rFonts w:cs="宋体"/>
                <w:kern w:val="0"/>
                <w:sz w:val="22"/>
              </w:rPr>
            </w:pPr>
          </w:p>
        </w:tc>
        <w:tc>
          <w:tcPr>
            <w:tcW w:w="936" w:type="dxa"/>
            <w:vMerge w:val="continue"/>
            <w:tcBorders>
              <w:left w:val="single" w:color="auto" w:sz="4" w:space="0"/>
              <w:bottom w:val="single" w:color="auto" w:sz="4" w:space="0"/>
              <w:right w:val="single" w:color="auto" w:sz="4" w:space="0"/>
            </w:tcBorders>
            <w:vAlign w:val="center"/>
          </w:tcPr>
          <w:p w14:paraId="4A4A63C6">
            <w:pPr>
              <w:widowControl/>
              <w:jc w:val="left"/>
              <w:rPr>
                <w:rFonts w:cs="宋体"/>
                <w:kern w:val="0"/>
                <w:sz w:val="22"/>
              </w:rPr>
            </w:pPr>
          </w:p>
        </w:tc>
        <w:tc>
          <w:tcPr>
            <w:tcW w:w="1344" w:type="dxa"/>
            <w:vMerge w:val="continue"/>
            <w:tcBorders>
              <w:left w:val="single" w:color="auto" w:sz="4" w:space="0"/>
              <w:bottom w:val="single" w:color="auto" w:sz="4" w:space="0"/>
              <w:right w:val="single" w:color="auto" w:sz="4" w:space="0"/>
            </w:tcBorders>
            <w:vAlign w:val="center"/>
          </w:tcPr>
          <w:p w14:paraId="22E26F0F">
            <w:pPr>
              <w:widowControl/>
              <w:jc w:val="left"/>
              <w:rPr>
                <w:rFonts w:cs="宋体"/>
                <w:kern w:val="0"/>
                <w:sz w:val="22"/>
              </w:rPr>
            </w:pPr>
          </w:p>
        </w:tc>
      </w:tr>
      <w:tr w14:paraId="75251554">
        <w:tblPrEx>
          <w:tblCellMar>
            <w:top w:w="0" w:type="dxa"/>
            <w:left w:w="108" w:type="dxa"/>
            <w:bottom w:w="0" w:type="dxa"/>
            <w:right w:w="108" w:type="dxa"/>
          </w:tblCellMar>
        </w:tblPrEx>
        <w:trPr>
          <w:trHeight w:val="325" w:hRule="atLeast"/>
          <w:jc w:val="center"/>
        </w:trPr>
        <w:tc>
          <w:tcPr>
            <w:tcW w:w="794" w:type="dxa"/>
            <w:vMerge w:val="restart"/>
            <w:tcBorders>
              <w:top w:val="single" w:color="auto" w:sz="4" w:space="0"/>
              <w:left w:val="single" w:color="auto" w:sz="4" w:space="0"/>
              <w:right w:val="nil"/>
            </w:tcBorders>
            <w:vAlign w:val="center"/>
          </w:tcPr>
          <w:p w14:paraId="0B6B4290">
            <w:pPr>
              <w:jc w:val="center"/>
              <w:rPr>
                <w:rFonts w:cs="宋体"/>
                <w:kern w:val="0"/>
                <w:sz w:val="22"/>
              </w:rPr>
            </w:pPr>
            <w:r>
              <w:rPr>
                <w:i/>
                <w:szCs w:val="21"/>
              </w:rPr>
              <w:t>q</w:t>
            </w:r>
            <w:r>
              <w:rPr>
                <w:i/>
                <w:szCs w:val="21"/>
                <w:vertAlign w:val="subscript"/>
              </w:rPr>
              <w:t>min</w:t>
            </w:r>
          </w:p>
        </w:tc>
        <w:tc>
          <w:tcPr>
            <w:tcW w:w="999" w:type="dxa"/>
            <w:tcBorders>
              <w:top w:val="nil"/>
              <w:left w:val="single" w:color="auto" w:sz="4" w:space="0"/>
              <w:bottom w:val="single" w:color="auto" w:sz="4" w:space="0"/>
              <w:right w:val="single" w:color="auto" w:sz="4" w:space="0"/>
            </w:tcBorders>
            <w:vAlign w:val="center"/>
          </w:tcPr>
          <w:p w14:paraId="2CE53E58">
            <w:pPr>
              <w:widowControl/>
              <w:jc w:val="center"/>
              <w:rPr>
                <w:rFonts w:cs="宋体"/>
                <w:kern w:val="0"/>
                <w:sz w:val="22"/>
              </w:rPr>
            </w:pPr>
          </w:p>
        </w:tc>
        <w:tc>
          <w:tcPr>
            <w:tcW w:w="822" w:type="dxa"/>
            <w:tcBorders>
              <w:top w:val="nil"/>
              <w:left w:val="nil"/>
              <w:bottom w:val="single" w:color="auto" w:sz="4" w:space="0"/>
              <w:right w:val="single" w:color="auto" w:sz="4" w:space="0"/>
            </w:tcBorders>
            <w:vAlign w:val="center"/>
          </w:tcPr>
          <w:p w14:paraId="71957A00">
            <w:pPr>
              <w:widowControl/>
              <w:jc w:val="center"/>
              <w:rPr>
                <w:rFonts w:cs="宋体"/>
                <w:kern w:val="0"/>
                <w:sz w:val="22"/>
              </w:rPr>
            </w:pPr>
          </w:p>
        </w:tc>
        <w:tc>
          <w:tcPr>
            <w:tcW w:w="841" w:type="dxa"/>
            <w:tcBorders>
              <w:top w:val="nil"/>
              <w:left w:val="nil"/>
              <w:bottom w:val="single" w:color="auto" w:sz="4" w:space="0"/>
              <w:right w:val="single" w:color="auto" w:sz="4" w:space="0"/>
            </w:tcBorders>
            <w:vAlign w:val="center"/>
          </w:tcPr>
          <w:p w14:paraId="0E764F82">
            <w:pPr>
              <w:widowControl/>
              <w:jc w:val="center"/>
              <w:rPr>
                <w:rFonts w:cs="宋体"/>
                <w:kern w:val="0"/>
                <w:sz w:val="22"/>
              </w:rPr>
            </w:pPr>
          </w:p>
        </w:tc>
        <w:tc>
          <w:tcPr>
            <w:tcW w:w="933" w:type="dxa"/>
            <w:tcBorders>
              <w:top w:val="nil"/>
              <w:left w:val="nil"/>
              <w:bottom w:val="single" w:color="auto" w:sz="4" w:space="0"/>
              <w:right w:val="single" w:color="auto" w:sz="4" w:space="0"/>
            </w:tcBorders>
            <w:vAlign w:val="center"/>
          </w:tcPr>
          <w:p w14:paraId="6BD4EB4A">
            <w:pPr>
              <w:widowControl/>
              <w:jc w:val="center"/>
              <w:rPr>
                <w:rFonts w:cs="宋体"/>
                <w:kern w:val="0"/>
                <w:sz w:val="22"/>
              </w:rPr>
            </w:pPr>
          </w:p>
        </w:tc>
        <w:tc>
          <w:tcPr>
            <w:tcW w:w="985" w:type="dxa"/>
            <w:tcBorders>
              <w:top w:val="nil"/>
              <w:left w:val="nil"/>
              <w:bottom w:val="single" w:color="auto" w:sz="4" w:space="0"/>
              <w:right w:val="single" w:color="auto" w:sz="4" w:space="0"/>
            </w:tcBorders>
            <w:vAlign w:val="center"/>
          </w:tcPr>
          <w:p w14:paraId="62537782">
            <w:pPr>
              <w:widowControl/>
              <w:jc w:val="center"/>
              <w:rPr>
                <w:rFonts w:cs="宋体"/>
                <w:kern w:val="0"/>
                <w:sz w:val="22"/>
              </w:rPr>
            </w:pPr>
          </w:p>
        </w:tc>
        <w:tc>
          <w:tcPr>
            <w:tcW w:w="961" w:type="dxa"/>
            <w:gridSpan w:val="2"/>
            <w:tcBorders>
              <w:top w:val="nil"/>
              <w:left w:val="nil"/>
              <w:bottom w:val="single" w:color="auto" w:sz="4" w:space="0"/>
              <w:right w:val="single" w:color="auto" w:sz="4" w:space="0"/>
            </w:tcBorders>
          </w:tcPr>
          <w:p w14:paraId="371C995C">
            <w:pPr>
              <w:widowControl/>
              <w:jc w:val="center"/>
              <w:rPr>
                <w:rFonts w:cs="宋体"/>
                <w:kern w:val="0"/>
                <w:sz w:val="22"/>
              </w:rPr>
            </w:pPr>
          </w:p>
        </w:tc>
        <w:tc>
          <w:tcPr>
            <w:tcW w:w="772" w:type="dxa"/>
            <w:tcBorders>
              <w:top w:val="nil"/>
              <w:left w:val="nil"/>
              <w:bottom w:val="single" w:color="auto" w:sz="4" w:space="0"/>
              <w:right w:val="single" w:color="auto" w:sz="4" w:space="0"/>
            </w:tcBorders>
          </w:tcPr>
          <w:p w14:paraId="5F341DCF">
            <w:pPr>
              <w:widowControl/>
              <w:jc w:val="center"/>
              <w:rPr>
                <w:rFonts w:cs="宋体"/>
                <w:kern w:val="0"/>
                <w:sz w:val="22"/>
              </w:rPr>
            </w:pPr>
          </w:p>
        </w:tc>
        <w:tc>
          <w:tcPr>
            <w:tcW w:w="936" w:type="dxa"/>
            <w:vMerge w:val="restart"/>
            <w:tcBorders>
              <w:top w:val="single" w:color="auto" w:sz="4" w:space="0"/>
              <w:left w:val="single" w:color="auto" w:sz="4" w:space="0"/>
              <w:right w:val="single" w:color="auto" w:sz="4" w:space="0"/>
            </w:tcBorders>
            <w:vAlign w:val="center"/>
          </w:tcPr>
          <w:p w14:paraId="6D6881A9">
            <w:pPr>
              <w:widowControl/>
              <w:jc w:val="left"/>
              <w:rPr>
                <w:rFonts w:cs="宋体"/>
                <w:kern w:val="0"/>
                <w:sz w:val="22"/>
              </w:rPr>
            </w:pPr>
          </w:p>
        </w:tc>
        <w:tc>
          <w:tcPr>
            <w:tcW w:w="1344" w:type="dxa"/>
            <w:vMerge w:val="restart"/>
            <w:tcBorders>
              <w:top w:val="single" w:color="auto" w:sz="4" w:space="0"/>
              <w:left w:val="single" w:color="auto" w:sz="4" w:space="0"/>
              <w:right w:val="single" w:color="auto" w:sz="4" w:space="0"/>
            </w:tcBorders>
            <w:vAlign w:val="center"/>
          </w:tcPr>
          <w:p w14:paraId="5D432D13">
            <w:pPr>
              <w:widowControl/>
              <w:jc w:val="left"/>
              <w:rPr>
                <w:rFonts w:cs="宋体"/>
                <w:kern w:val="0"/>
                <w:sz w:val="22"/>
              </w:rPr>
            </w:pPr>
          </w:p>
        </w:tc>
      </w:tr>
      <w:tr w14:paraId="7835D8BD">
        <w:tblPrEx>
          <w:tblCellMar>
            <w:top w:w="0" w:type="dxa"/>
            <w:left w:w="108" w:type="dxa"/>
            <w:bottom w:w="0" w:type="dxa"/>
            <w:right w:w="108" w:type="dxa"/>
          </w:tblCellMar>
        </w:tblPrEx>
        <w:trPr>
          <w:trHeight w:val="325" w:hRule="atLeast"/>
          <w:jc w:val="center"/>
        </w:trPr>
        <w:tc>
          <w:tcPr>
            <w:tcW w:w="794" w:type="dxa"/>
            <w:vMerge w:val="continue"/>
            <w:tcBorders>
              <w:left w:val="single" w:color="auto" w:sz="4" w:space="0"/>
              <w:right w:val="nil"/>
            </w:tcBorders>
            <w:vAlign w:val="center"/>
          </w:tcPr>
          <w:p w14:paraId="2AB03925">
            <w:pPr>
              <w:widowControl/>
              <w:jc w:val="left"/>
              <w:rPr>
                <w:rFonts w:cs="宋体"/>
                <w:kern w:val="0"/>
                <w:sz w:val="22"/>
              </w:rPr>
            </w:pPr>
          </w:p>
        </w:tc>
        <w:tc>
          <w:tcPr>
            <w:tcW w:w="999" w:type="dxa"/>
            <w:tcBorders>
              <w:top w:val="nil"/>
              <w:left w:val="single" w:color="auto" w:sz="4" w:space="0"/>
              <w:bottom w:val="single" w:color="auto" w:sz="4" w:space="0"/>
              <w:right w:val="single" w:color="auto" w:sz="4" w:space="0"/>
            </w:tcBorders>
            <w:vAlign w:val="center"/>
          </w:tcPr>
          <w:p w14:paraId="458CFD35">
            <w:pPr>
              <w:widowControl/>
              <w:jc w:val="center"/>
              <w:rPr>
                <w:rFonts w:cs="宋体"/>
                <w:kern w:val="0"/>
                <w:sz w:val="22"/>
              </w:rPr>
            </w:pPr>
          </w:p>
        </w:tc>
        <w:tc>
          <w:tcPr>
            <w:tcW w:w="822" w:type="dxa"/>
            <w:tcBorders>
              <w:top w:val="nil"/>
              <w:left w:val="nil"/>
              <w:bottom w:val="single" w:color="auto" w:sz="4" w:space="0"/>
              <w:right w:val="single" w:color="auto" w:sz="4" w:space="0"/>
            </w:tcBorders>
            <w:vAlign w:val="center"/>
          </w:tcPr>
          <w:p w14:paraId="4CDAC002">
            <w:pPr>
              <w:widowControl/>
              <w:jc w:val="center"/>
              <w:rPr>
                <w:rFonts w:cs="宋体"/>
                <w:kern w:val="0"/>
                <w:sz w:val="22"/>
              </w:rPr>
            </w:pPr>
          </w:p>
        </w:tc>
        <w:tc>
          <w:tcPr>
            <w:tcW w:w="841" w:type="dxa"/>
            <w:tcBorders>
              <w:top w:val="nil"/>
              <w:left w:val="nil"/>
              <w:bottom w:val="single" w:color="auto" w:sz="4" w:space="0"/>
              <w:right w:val="single" w:color="auto" w:sz="4" w:space="0"/>
            </w:tcBorders>
            <w:vAlign w:val="center"/>
          </w:tcPr>
          <w:p w14:paraId="7F04D9D3">
            <w:pPr>
              <w:widowControl/>
              <w:jc w:val="center"/>
              <w:rPr>
                <w:rFonts w:cs="宋体"/>
                <w:kern w:val="0"/>
                <w:sz w:val="22"/>
              </w:rPr>
            </w:pPr>
          </w:p>
        </w:tc>
        <w:tc>
          <w:tcPr>
            <w:tcW w:w="933" w:type="dxa"/>
            <w:tcBorders>
              <w:top w:val="nil"/>
              <w:left w:val="nil"/>
              <w:bottom w:val="single" w:color="auto" w:sz="4" w:space="0"/>
              <w:right w:val="single" w:color="auto" w:sz="4" w:space="0"/>
            </w:tcBorders>
            <w:vAlign w:val="center"/>
          </w:tcPr>
          <w:p w14:paraId="78257054">
            <w:pPr>
              <w:widowControl/>
              <w:jc w:val="center"/>
              <w:rPr>
                <w:rFonts w:cs="宋体"/>
                <w:kern w:val="0"/>
                <w:sz w:val="22"/>
              </w:rPr>
            </w:pPr>
          </w:p>
        </w:tc>
        <w:tc>
          <w:tcPr>
            <w:tcW w:w="985" w:type="dxa"/>
            <w:tcBorders>
              <w:top w:val="nil"/>
              <w:left w:val="nil"/>
              <w:bottom w:val="single" w:color="auto" w:sz="4" w:space="0"/>
              <w:right w:val="single" w:color="auto" w:sz="4" w:space="0"/>
            </w:tcBorders>
            <w:vAlign w:val="center"/>
          </w:tcPr>
          <w:p w14:paraId="4F53504F">
            <w:pPr>
              <w:widowControl/>
              <w:jc w:val="center"/>
              <w:rPr>
                <w:rFonts w:cs="宋体"/>
                <w:kern w:val="0"/>
                <w:sz w:val="22"/>
              </w:rPr>
            </w:pPr>
          </w:p>
        </w:tc>
        <w:tc>
          <w:tcPr>
            <w:tcW w:w="961" w:type="dxa"/>
            <w:gridSpan w:val="2"/>
            <w:tcBorders>
              <w:top w:val="nil"/>
              <w:left w:val="nil"/>
              <w:bottom w:val="single" w:color="auto" w:sz="4" w:space="0"/>
              <w:right w:val="single" w:color="auto" w:sz="4" w:space="0"/>
            </w:tcBorders>
          </w:tcPr>
          <w:p w14:paraId="4A3CC209">
            <w:pPr>
              <w:widowControl/>
              <w:jc w:val="center"/>
              <w:rPr>
                <w:rFonts w:cs="宋体"/>
                <w:kern w:val="0"/>
                <w:sz w:val="22"/>
              </w:rPr>
            </w:pPr>
          </w:p>
        </w:tc>
        <w:tc>
          <w:tcPr>
            <w:tcW w:w="772" w:type="dxa"/>
            <w:tcBorders>
              <w:top w:val="nil"/>
              <w:left w:val="nil"/>
              <w:bottom w:val="single" w:color="auto" w:sz="4" w:space="0"/>
              <w:right w:val="single" w:color="auto" w:sz="4" w:space="0"/>
            </w:tcBorders>
          </w:tcPr>
          <w:p w14:paraId="17ECBD39">
            <w:pPr>
              <w:widowControl/>
              <w:jc w:val="center"/>
              <w:rPr>
                <w:rFonts w:cs="宋体"/>
                <w:kern w:val="0"/>
                <w:sz w:val="22"/>
              </w:rPr>
            </w:pPr>
          </w:p>
        </w:tc>
        <w:tc>
          <w:tcPr>
            <w:tcW w:w="936" w:type="dxa"/>
            <w:vMerge w:val="continue"/>
            <w:tcBorders>
              <w:left w:val="single" w:color="auto" w:sz="4" w:space="0"/>
              <w:right w:val="single" w:color="auto" w:sz="4" w:space="0"/>
            </w:tcBorders>
            <w:vAlign w:val="center"/>
          </w:tcPr>
          <w:p w14:paraId="7023E109">
            <w:pPr>
              <w:widowControl/>
              <w:jc w:val="left"/>
              <w:rPr>
                <w:rFonts w:cs="宋体"/>
                <w:kern w:val="0"/>
                <w:sz w:val="22"/>
              </w:rPr>
            </w:pPr>
          </w:p>
        </w:tc>
        <w:tc>
          <w:tcPr>
            <w:tcW w:w="1344" w:type="dxa"/>
            <w:vMerge w:val="continue"/>
            <w:tcBorders>
              <w:left w:val="single" w:color="auto" w:sz="4" w:space="0"/>
              <w:right w:val="single" w:color="auto" w:sz="4" w:space="0"/>
            </w:tcBorders>
            <w:vAlign w:val="center"/>
          </w:tcPr>
          <w:p w14:paraId="2B7D125A">
            <w:pPr>
              <w:widowControl/>
              <w:jc w:val="left"/>
              <w:rPr>
                <w:rFonts w:cs="宋体"/>
                <w:kern w:val="0"/>
                <w:sz w:val="22"/>
              </w:rPr>
            </w:pPr>
          </w:p>
        </w:tc>
      </w:tr>
      <w:tr w14:paraId="3EF13243">
        <w:tblPrEx>
          <w:tblCellMar>
            <w:top w:w="0" w:type="dxa"/>
            <w:left w:w="108" w:type="dxa"/>
            <w:bottom w:w="0" w:type="dxa"/>
            <w:right w:w="108" w:type="dxa"/>
          </w:tblCellMar>
        </w:tblPrEx>
        <w:trPr>
          <w:trHeight w:val="331" w:hRule="atLeast"/>
          <w:jc w:val="center"/>
        </w:trPr>
        <w:tc>
          <w:tcPr>
            <w:tcW w:w="794" w:type="dxa"/>
            <w:vMerge w:val="continue"/>
            <w:tcBorders>
              <w:left w:val="single" w:color="auto" w:sz="4" w:space="0"/>
              <w:bottom w:val="single" w:color="auto" w:sz="4" w:space="0"/>
              <w:right w:val="nil"/>
            </w:tcBorders>
            <w:vAlign w:val="center"/>
          </w:tcPr>
          <w:p w14:paraId="44C8C6E4">
            <w:pPr>
              <w:widowControl/>
              <w:jc w:val="left"/>
              <w:rPr>
                <w:rFonts w:cs="宋体"/>
                <w:kern w:val="0"/>
                <w:sz w:val="22"/>
              </w:rPr>
            </w:pPr>
          </w:p>
        </w:tc>
        <w:tc>
          <w:tcPr>
            <w:tcW w:w="999" w:type="dxa"/>
            <w:tcBorders>
              <w:top w:val="nil"/>
              <w:left w:val="single" w:color="auto" w:sz="4" w:space="0"/>
              <w:bottom w:val="single" w:color="auto" w:sz="4" w:space="0"/>
              <w:right w:val="single" w:color="auto" w:sz="4" w:space="0"/>
            </w:tcBorders>
            <w:vAlign w:val="center"/>
          </w:tcPr>
          <w:p w14:paraId="6582F8F6">
            <w:pPr>
              <w:widowControl/>
              <w:jc w:val="center"/>
              <w:rPr>
                <w:rFonts w:cs="宋体"/>
                <w:kern w:val="0"/>
                <w:sz w:val="22"/>
              </w:rPr>
            </w:pPr>
          </w:p>
        </w:tc>
        <w:tc>
          <w:tcPr>
            <w:tcW w:w="822" w:type="dxa"/>
            <w:tcBorders>
              <w:top w:val="nil"/>
              <w:left w:val="nil"/>
              <w:bottom w:val="single" w:color="auto" w:sz="4" w:space="0"/>
              <w:right w:val="single" w:color="auto" w:sz="4" w:space="0"/>
            </w:tcBorders>
            <w:vAlign w:val="center"/>
          </w:tcPr>
          <w:p w14:paraId="6C95D0ED">
            <w:pPr>
              <w:widowControl/>
              <w:jc w:val="center"/>
              <w:rPr>
                <w:rFonts w:cs="宋体"/>
                <w:kern w:val="0"/>
                <w:sz w:val="22"/>
              </w:rPr>
            </w:pPr>
          </w:p>
        </w:tc>
        <w:tc>
          <w:tcPr>
            <w:tcW w:w="841" w:type="dxa"/>
            <w:tcBorders>
              <w:top w:val="nil"/>
              <w:left w:val="nil"/>
              <w:bottom w:val="single" w:color="auto" w:sz="4" w:space="0"/>
              <w:right w:val="single" w:color="auto" w:sz="4" w:space="0"/>
            </w:tcBorders>
            <w:vAlign w:val="center"/>
          </w:tcPr>
          <w:p w14:paraId="4A7D12F3">
            <w:pPr>
              <w:widowControl/>
              <w:jc w:val="center"/>
              <w:rPr>
                <w:rFonts w:cs="宋体"/>
                <w:kern w:val="0"/>
                <w:sz w:val="22"/>
              </w:rPr>
            </w:pPr>
          </w:p>
        </w:tc>
        <w:tc>
          <w:tcPr>
            <w:tcW w:w="933" w:type="dxa"/>
            <w:tcBorders>
              <w:top w:val="nil"/>
              <w:left w:val="nil"/>
              <w:bottom w:val="single" w:color="auto" w:sz="4" w:space="0"/>
              <w:right w:val="single" w:color="auto" w:sz="4" w:space="0"/>
            </w:tcBorders>
            <w:vAlign w:val="center"/>
          </w:tcPr>
          <w:p w14:paraId="3B4CE20C">
            <w:pPr>
              <w:widowControl/>
              <w:jc w:val="center"/>
              <w:rPr>
                <w:rFonts w:cs="宋体"/>
                <w:kern w:val="0"/>
                <w:sz w:val="22"/>
              </w:rPr>
            </w:pPr>
          </w:p>
        </w:tc>
        <w:tc>
          <w:tcPr>
            <w:tcW w:w="985" w:type="dxa"/>
            <w:tcBorders>
              <w:top w:val="nil"/>
              <w:left w:val="nil"/>
              <w:bottom w:val="single" w:color="auto" w:sz="4" w:space="0"/>
              <w:right w:val="single" w:color="auto" w:sz="4" w:space="0"/>
            </w:tcBorders>
            <w:vAlign w:val="center"/>
          </w:tcPr>
          <w:p w14:paraId="0F88C42C">
            <w:pPr>
              <w:widowControl/>
              <w:jc w:val="center"/>
              <w:rPr>
                <w:rFonts w:cs="宋体"/>
                <w:kern w:val="0"/>
                <w:sz w:val="22"/>
              </w:rPr>
            </w:pPr>
          </w:p>
        </w:tc>
        <w:tc>
          <w:tcPr>
            <w:tcW w:w="961" w:type="dxa"/>
            <w:gridSpan w:val="2"/>
            <w:tcBorders>
              <w:top w:val="nil"/>
              <w:left w:val="nil"/>
              <w:bottom w:val="single" w:color="auto" w:sz="4" w:space="0"/>
              <w:right w:val="single" w:color="auto" w:sz="4" w:space="0"/>
            </w:tcBorders>
          </w:tcPr>
          <w:p w14:paraId="0CDA8F59">
            <w:pPr>
              <w:widowControl/>
              <w:jc w:val="center"/>
              <w:rPr>
                <w:rFonts w:cs="宋体"/>
                <w:kern w:val="0"/>
                <w:sz w:val="22"/>
              </w:rPr>
            </w:pPr>
          </w:p>
        </w:tc>
        <w:tc>
          <w:tcPr>
            <w:tcW w:w="772" w:type="dxa"/>
            <w:tcBorders>
              <w:top w:val="nil"/>
              <w:left w:val="nil"/>
              <w:bottom w:val="single" w:color="auto" w:sz="4" w:space="0"/>
              <w:right w:val="single" w:color="auto" w:sz="4" w:space="0"/>
            </w:tcBorders>
          </w:tcPr>
          <w:p w14:paraId="37BA081F">
            <w:pPr>
              <w:widowControl/>
              <w:jc w:val="center"/>
              <w:rPr>
                <w:rFonts w:cs="宋体"/>
                <w:kern w:val="0"/>
                <w:sz w:val="22"/>
              </w:rPr>
            </w:pPr>
          </w:p>
        </w:tc>
        <w:tc>
          <w:tcPr>
            <w:tcW w:w="936" w:type="dxa"/>
            <w:vMerge w:val="continue"/>
            <w:tcBorders>
              <w:left w:val="single" w:color="auto" w:sz="4" w:space="0"/>
              <w:bottom w:val="single" w:color="auto" w:sz="4" w:space="0"/>
              <w:right w:val="single" w:color="auto" w:sz="4" w:space="0"/>
            </w:tcBorders>
            <w:vAlign w:val="center"/>
          </w:tcPr>
          <w:p w14:paraId="76D66F57">
            <w:pPr>
              <w:widowControl/>
              <w:jc w:val="left"/>
              <w:rPr>
                <w:rFonts w:cs="宋体"/>
                <w:kern w:val="0"/>
                <w:sz w:val="22"/>
              </w:rPr>
            </w:pPr>
          </w:p>
        </w:tc>
        <w:tc>
          <w:tcPr>
            <w:tcW w:w="1344" w:type="dxa"/>
            <w:vMerge w:val="continue"/>
            <w:tcBorders>
              <w:left w:val="single" w:color="auto" w:sz="4" w:space="0"/>
              <w:bottom w:val="single" w:color="auto" w:sz="4" w:space="0"/>
              <w:right w:val="single" w:color="auto" w:sz="4" w:space="0"/>
            </w:tcBorders>
            <w:vAlign w:val="center"/>
          </w:tcPr>
          <w:p w14:paraId="1B7A53E5">
            <w:pPr>
              <w:widowControl/>
              <w:jc w:val="left"/>
              <w:rPr>
                <w:rFonts w:cs="宋体"/>
                <w:kern w:val="0"/>
                <w:sz w:val="22"/>
              </w:rPr>
            </w:pPr>
          </w:p>
        </w:tc>
      </w:tr>
    </w:tbl>
    <w:p w14:paraId="4622056A">
      <w:pPr>
        <w:adjustRightInd w:val="0"/>
        <w:snapToGrid w:val="0"/>
        <w:spacing w:line="300" w:lineRule="auto"/>
        <w:ind w:firstLine="210" w:firstLineChars="100"/>
        <w:rPr>
          <w:sz w:val="24"/>
          <w:szCs w:val="24"/>
        </w:rPr>
        <w:sectPr>
          <w:pgSz w:w="11906" w:h="16838"/>
          <w:pgMar w:top="1418" w:right="1418" w:bottom="1418" w:left="1418" w:header="851" w:footer="992" w:gutter="284"/>
          <w:cols w:space="720" w:num="1"/>
          <w:docGrid w:linePitch="312" w:charSpace="0"/>
        </w:sectPr>
      </w:pPr>
      <w:r>
        <w:rPr>
          <w:rFonts w:hint="eastAsia"/>
          <w:szCs w:val="21"/>
        </w:rPr>
        <w:t xml:space="preserve">试验员  </w:t>
      </w:r>
      <w:r>
        <w:rPr>
          <w:szCs w:val="21"/>
          <w:u w:val="single"/>
        </w:rPr>
        <w:t xml:space="preserve">    </w:t>
      </w:r>
      <w:r>
        <w:rPr>
          <w:rFonts w:hint="eastAsia"/>
          <w:szCs w:val="21"/>
          <w:u w:val="single"/>
        </w:rPr>
        <w:t xml:space="preserve">              　</w:t>
      </w:r>
      <w:r>
        <w:rPr>
          <w:szCs w:val="21"/>
          <w:u w:val="single"/>
        </w:rPr>
        <w:t xml:space="preserve"> </w:t>
      </w:r>
      <w:r>
        <w:rPr>
          <w:szCs w:val="21"/>
        </w:rPr>
        <w:t xml:space="preserve">  </w:t>
      </w:r>
      <w:r>
        <w:rPr>
          <w:rFonts w:hint="eastAsia"/>
          <w:szCs w:val="21"/>
        </w:rPr>
        <w:t xml:space="preserve">核验员  </w:t>
      </w:r>
      <w:r>
        <w:rPr>
          <w:szCs w:val="21"/>
          <w:u w:val="single"/>
        </w:rPr>
        <w:t xml:space="preserve">      </w:t>
      </w:r>
      <w:r>
        <w:rPr>
          <w:rFonts w:hint="eastAsia"/>
          <w:szCs w:val="21"/>
          <w:u w:val="single"/>
        </w:rPr>
        <w:t xml:space="preserve">                  </w:t>
      </w:r>
      <w:r>
        <w:rPr>
          <w:rFonts w:hint="eastAsia"/>
          <w:szCs w:val="21"/>
        </w:rPr>
        <w:t xml:space="preserve">  试验日期</w:t>
      </w:r>
      <w:r>
        <w:rPr>
          <w:szCs w:val="21"/>
        </w:rPr>
        <w:t xml:space="preserve"> </w:t>
      </w:r>
      <w:r>
        <w:rPr>
          <w:rFonts w:hint="eastAsia"/>
          <w:szCs w:val="21"/>
        </w:rPr>
        <w:t xml:space="preserve">  </w:t>
      </w:r>
      <w:r>
        <w:rPr>
          <w:szCs w:val="21"/>
          <w:u w:val="single"/>
        </w:rPr>
        <w:t xml:space="preserve">  </w:t>
      </w:r>
      <w:r>
        <w:rPr>
          <w:rFonts w:hint="eastAsia"/>
          <w:szCs w:val="21"/>
          <w:u w:val="single"/>
        </w:rPr>
        <w:t xml:space="preserve">                 </w:t>
      </w:r>
      <w:r>
        <w:rPr>
          <w:szCs w:val="21"/>
          <w:u w:val="single"/>
        </w:rPr>
        <w:t xml:space="preserve">  </w:t>
      </w:r>
    </w:p>
    <w:p w14:paraId="22367B84">
      <w:pPr>
        <w:pStyle w:val="121"/>
        <w:snapToGrid w:val="0"/>
        <w:spacing w:before="160" w:line="360" w:lineRule="auto"/>
        <w:ind w:firstLine="0" w:firstLineChars="0"/>
        <w:jc w:val="center"/>
        <w:rPr>
          <w:sz w:val="24"/>
        </w:rPr>
      </w:pPr>
      <w:r>
        <w:rPr>
          <w:rFonts w:hint="eastAsia"/>
          <w:sz w:val="24"/>
        </w:rPr>
        <w:t>2</w:t>
      </w:r>
      <w:r>
        <w:rPr>
          <w:sz w:val="24"/>
        </w:rPr>
        <w:t>、</w:t>
      </w:r>
      <w:r>
        <w:rPr>
          <w:rFonts w:hint="eastAsia"/>
          <w:sz w:val="24"/>
        </w:rPr>
        <w:t>密封性试验原始记录</w:t>
      </w:r>
    </w:p>
    <w:p w14:paraId="1F2D3FC9">
      <w:pPr>
        <w:spacing w:before="160" w:line="360" w:lineRule="auto"/>
        <w:rPr>
          <w:sz w:val="24"/>
          <w:szCs w:val="24"/>
          <w:u w:val="single"/>
        </w:rPr>
      </w:pPr>
      <w:r>
        <w:rPr>
          <w:rFonts w:hint="eastAsia"/>
          <w:sz w:val="24"/>
          <w:szCs w:val="24"/>
        </w:rPr>
        <w:t>产品名称：</w:t>
      </w:r>
      <w:r>
        <w:rPr>
          <w:rFonts w:hint="eastAsia"/>
          <w:sz w:val="24"/>
          <w:szCs w:val="24"/>
          <w:u w:val="single"/>
        </w:rPr>
        <w:t xml:space="preserve">                         </w:t>
      </w:r>
      <w:r>
        <w:rPr>
          <w:rFonts w:hint="eastAsia"/>
          <w:sz w:val="24"/>
          <w:szCs w:val="24"/>
        </w:rPr>
        <w:t>型号规格：</w:t>
      </w:r>
      <w:r>
        <w:rPr>
          <w:sz w:val="24"/>
          <w:szCs w:val="24"/>
          <w:u w:val="single"/>
        </w:rPr>
        <w:t xml:space="preserve">                       </w:t>
      </w:r>
    </w:p>
    <w:p w14:paraId="25F4CAC7">
      <w:pPr>
        <w:snapToGrid w:val="0"/>
        <w:spacing w:before="160" w:line="360" w:lineRule="auto"/>
        <w:rPr>
          <w:sz w:val="24"/>
          <w:szCs w:val="24"/>
          <w:u w:val="single"/>
        </w:rPr>
      </w:pPr>
      <w:r>
        <w:rPr>
          <w:rFonts w:hint="eastAsia"/>
          <w:sz w:val="24"/>
          <w:szCs w:val="24"/>
        </w:rPr>
        <w:t>准确度等级：</w:t>
      </w:r>
      <w:r>
        <w:rPr>
          <w:sz w:val="24"/>
          <w:szCs w:val="24"/>
          <w:u w:val="single"/>
        </w:rPr>
        <w:t xml:space="preserve">                     </w:t>
      </w:r>
      <w:r>
        <w:rPr>
          <w:rFonts w:hint="eastAsia"/>
          <w:sz w:val="24"/>
          <w:szCs w:val="24"/>
        </w:rPr>
        <w:t>制造单位：</w:t>
      </w:r>
      <w:r>
        <w:rPr>
          <w:sz w:val="24"/>
          <w:szCs w:val="24"/>
          <w:u w:val="single"/>
        </w:rPr>
        <w:t xml:space="preserve">                         </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4"/>
        <w:gridCol w:w="1983"/>
        <w:gridCol w:w="2171"/>
        <w:gridCol w:w="2984"/>
      </w:tblGrid>
      <w:tr w14:paraId="22F57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724" w:type="dxa"/>
            <w:tcBorders>
              <w:top w:val="single" w:color="auto" w:sz="4" w:space="0"/>
              <w:left w:val="single" w:color="auto" w:sz="4" w:space="0"/>
              <w:bottom w:val="single" w:color="auto" w:sz="4" w:space="0"/>
              <w:right w:val="single" w:color="auto" w:sz="4" w:space="0"/>
            </w:tcBorders>
            <w:vAlign w:val="center"/>
          </w:tcPr>
          <w:p w14:paraId="3B13F615">
            <w:pPr>
              <w:snapToGrid w:val="0"/>
              <w:jc w:val="center"/>
              <w:rPr>
                <w:szCs w:val="21"/>
              </w:rPr>
            </w:pPr>
            <w:r>
              <w:rPr>
                <w:rFonts w:hint="eastAsia"/>
                <w:szCs w:val="21"/>
              </w:rPr>
              <w:t>项目名称</w:t>
            </w:r>
          </w:p>
        </w:tc>
        <w:tc>
          <w:tcPr>
            <w:tcW w:w="1983" w:type="dxa"/>
            <w:tcBorders>
              <w:top w:val="single" w:color="auto" w:sz="4" w:space="0"/>
              <w:left w:val="single" w:color="auto" w:sz="4" w:space="0"/>
              <w:bottom w:val="single" w:color="auto" w:sz="4" w:space="0"/>
              <w:right w:val="single" w:color="auto" w:sz="4" w:space="0"/>
            </w:tcBorders>
            <w:vAlign w:val="center"/>
          </w:tcPr>
          <w:p w14:paraId="07D4498A">
            <w:pPr>
              <w:snapToGrid w:val="0"/>
              <w:jc w:val="left"/>
              <w:rPr>
                <w:szCs w:val="21"/>
              </w:rPr>
            </w:pPr>
            <w:r>
              <w:rPr>
                <w:rFonts w:hint="eastAsia"/>
                <w:szCs w:val="21"/>
              </w:rPr>
              <w:t>型式评价大纲要求</w:t>
            </w:r>
          </w:p>
        </w:tc>
        <w:tc>
          <w:tcPr>
            <w:tcW w:w="2171" w:type="dxa"/>
            <w:tcBorders>
              <w:top w:val="single" w:color="auto" w:sz="4" w:space="0"/>
              <w:left w:val="single" w:color="auto" w:sz="4" w:space="0"/>
              <w:bottom w:val="single" w:color="auto" w:sz="4" w:space="0"/>
              <w:right w:val="single" w:color="auto" w:sz="4" w:space="0"/>
            </w:tcBorders>
            <w:vAlign w:val="center"/>
          </w:tcPr>
          <w:p w14:paraId="7615F8AA">
            <w:pPr>
              <w:snapToGrid w:val="0"/>
              <w:jc w:val="center"/>
              <w:rPr>
                <w:szCs w:val="21"/>
              </w:rPr>
            </w:pPr>
            <w:r>
              <w:rPr>
                <w:rFonts w:hint="eastAsia"/>
                <w:szCs w:val="21"/>
              </w:rPr>
              <w:t>样品编号</w:t>
            </w:r>
          </w:p>
        </w:tc>
        <w:tc>
          <w:tcPr>
            <w:tcW w:w="2984" w:type="dxa"/>
            <w:tcBorders>
              <w:top w:val="single" w:color="auto" w:sz="4" w:space="0"/>
              <w:left w:val="single" w:color="auto" w:sz="4" w:space="0"/>
              <w:bottom w:val="single" w:color="auto" w:sz="4" w:space="0"/>
              <w:right w:val="single" w:color="auto" w:sz="4" w:space="0"/>
            </w:tcBorders>
            <w:vAlign w:val="center"/>
          </w:tcPr>
          <w:p w14:paraId="43F1812D">
            <w:pPr>
              <w:snapToGrid w:val="0"/>
              <w:jc w:val="center"/>
              <w:rPr>
                <w:szCs w:val="21"/>
              </w:rPr>
            </w:pPr>
            <w:r>
              <w:rPr>
                <w:rFonts w:hint="eastAsia"/>
                <w:szCs w:val="21"/>
              </w:rPr>
              <w:t>实测结果</w:t>
            </w:r>
          </w:p>
        </w:tc>
      </w:tr>
      <w:tr w14:paraId="7E6BB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724" w:type="dxa"/>
            <w:vMerge w:val="restart"/>
            <w:tcBorders>
              <w:top w:val="single" w:color="auto" w:sz="4" w:space="0"/>
              <w:left w:val="single" w:color="auto" w:sz="4" w:space="0"/>
              <w:bottom w:val="single" w:color="auto" w:sz="4" w:space="0"/>
              <w:right w:val="single" w:color="auto" w:sz="4" w:space="0"/>
            </w:tcBorders>
            <w:vAlign w:val="center"/>
          </w:tcPr>
          <w:p w14:paraId="3E32FD63">
            <w:pPr>
              <w:snapToGrid w:val="0"/>
              <w:rPr>
                <w:szCs w:val="21"/>
              </w:rPr>
            </w:pPr>
            <w:r>
              <w:rPr>
                <w:rFonts w:hint="eastAsia"/>
                <w:szCs w:val="21"/>
              </w:rPr>
              <w:t>7.2 密封性</w:t>
            </w:r>
          </w:p>
        </w:tc>
        <w:tc>
          <w:tcPr>
            <w:tcW w:w="1983" w:type="dxa"/>
            <w:vMerge w:val="restart"/>
            <w:tcBorders>
              <w:top w:val="single" w:color="auto" w:sz="4" w:space="0"/>
              <w:left w:val="single" w:color="auto" w:sz="4" w:space="0"/>
              <w:bottom w:val="single" w:color="auto" w:sz="4" w:space="0"/>
              <w:right w:val="single" w:color="auto" w:sz="4" w:space="0"/>
            </w:tcBorders>
            <w:vAlign w:val="center"/>
          </w:tcPr>
          <w:p w14:paraId="452F81E0">
            <w:pPr>
              <w:snapToGrid w:val="0"/>
              <w:ind w:firstLine="420" w:firstLineChars="200"/>
              <w:rPr>
                <w:szCs w:val="21"/>
              </w:rPr>
            </w:pPr>
            <w:r>
              <w:rPr>
                <w:rFonts w:hint="eastAsia"/>
                <w:szCs w:val="21"/>
              </w:rPr>
              <w:t>流量计应能承受试验压力为</w:t>
            </w:r>
            <w:r>
              <w:rPr>
                <w:szCs w:val="21"/>
              </w:rPr>
              <w:t xml:space="preserve"> 1</w:t>
            </w:r>
            <w:r>
              <w:rPr>
                <w:rFonts w:hint="eastAsia"/>
                <w:szCs w:val="21"/>
              </w:rPr>
              <w:t>.1</w:t>
            </w:r>
            <w:r>
              <w:rPr>
                <w:szCs w:val="21"/>
              </w:rPr>
              <w:t xml:space="preserve"> </w:t>
            </w:r>
            <w:r>
              <w:rPr>
                <w:rFonts w:hint="eastAsia"/>
                <w:szCs w:val="21"/>
              </w:rPr>
              <w:t>倍最大工作压力的密封性试验，试验期间应无漏气。</w:t>
            </w:r>
          </w:p>
          <w:p w14:paraId="4A965015">
            <w:pPr>
              <w:snapToGrid w:val="0"/>
              <w:jc w:val="left"/>
              <w:rPr>
                <w:szCs w:val="21"/>
              </w:rPr>
            </w:pPr>
            <w:r>
              <w:rPr>
                <w:rFonts w:hint="eastAsia"/>
                <w:szCs w:val="21"/>
              </w:rPr>
              <w:t>最大工作压力</w:t>
            </w:r>
          </w:p>
          <w:p w14:paraId="038B0A14">
            <w:pPr>
              <w:snapToGrid w:val="0"/>
              <w:jc w:val="left"/>
              <w:rPr>
                <w:szCs w:val="21"/>
              </w:rPr>
            </w:pPr>
            <w:r>
              <w:rPr>
                <w:szCs w:val="21"/>
                <w:u w:val="single"/>
              </w:rPr>
              <w:t xml:space="preserve">        </w:t>
            </w:r>
            <w:r>
              <w:rPr>
                <w:szCs w:val="21"/>
              </w:rPr>
              <w:t xml:space="preserve"> MPa</w:t>
            </w:r>
          </w:p>
        </w:tc>
        <w:tc>
          <w:tcPr>
            <w:tcW w:w="2171" w:type="dxa"/>
            <w:tcBorders>
              <w:top w:val="single" w:color="auto" w:sz="4" w:space="0"/>
              <w:left w:val="single" w:color="auto" w:sz="4" w:space="0"/>
              <w:bottom w:val="single" w:color="auto" w:sz="4" w:space="0"/>
              <w:right w:val="single" w:color="auto" w:sz="4" w:space="0"/>
            </w:tcBorders>
            <w:vAlign w:val="center"/>
          </w:tcPr>
          <w:p w14:paraId="080E4995">
            <w:pPr>
              <w:snapToGrid w:val="0"/>
              <w:jc w:val="center"/>
              <w:rPr>
                <w:szCs w:val="21"/>
              </w:rPr>
            </w:pPr>
          </w:p>
        </w:tc>
        <w:tc>
          <w:tcPr>
            <w:tcW w:w="2984" w:type="dxa"/>
            <w:tcBorders>
              <w:top w:val="single" w:color="auto" w:sz="4" w:space="0"/>
              <w:left w:val="single" w:color="auto" w:sz="4" w:space="0"/>
              <w:bottom w:val="single" w:color="auto" w:sz="4" w:space="0"/>
              <w:right w:val="single" w:color="auto" w:sz="4" w:space="0"/>
            </w:tcBorders>
            <w:vAlign w:val="center"/>
          </w:tcPr>
          <w:p w14:paraId="272981F7">
            <w:pPr>
              <w:tabs>
                <w:tab w:val="left" w:pos="3060"/>
              </w:tabs>
              <w:snapToGrid w:val="0"/>
              <w:jc w:val="center"/>
              <w:rPr>
                <w:szCs w:val="21"/>
              </w:rPr>
            </w:pPr>
          </w:p>
        </w:tc>
      </w:tr>
      <w:tr w14:paraId="0F706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724" w:type="dxa"/>
            <w:vMerge w:val="continue"/>
            <w:tcBorders>
              <w:top w:val="single" w:color="auto" w:sz="4" w:space="0"/>
              <w:left w:val="single" w:color="auto" w:sz="4" w:space="0"/>
              <w:bottom w:val="single" w:color="auto" w:sz="4" w:space="0"/>
              <w:right w:val="single" w:color="auto" w:sz="4" w:space="0"/>
            </w:tcBorders>
            <w:vAlign w:val="center"/>
          </w:tcPr>
          <w:p w14:paraId="05D8A51A">
            <w:pPr>
              <w:widowControl/>
              <w:snapToGrid w:val="0"/>
              <w:jc w:val="left"/>
              <w:rPr>
                <w:szCs w:val="21"/>
              </w:rPr>
            </w:pPr>
          </w:p>
        </w:tc>
        <w:tc>
          <w:tcPr>
            <w:tcW w:w="1983" w:type="dxa"/>
            <w:vMerge w:val="continue"/>
            <w:tcBorders>
              <w:top w:val="single" w:color="auto" w:sz="4" w:space="0"/>
              <w:left w:val="single" w:color="auto" w:sz="4" w:space="0"/>
              <w:bottom w:val="single" w:color="auto" w:sz="4" w:space="0"/>
              <w:right w:val="single" w:color="auto" w:sz="4" w:space="0"/>
            </w:tcBorders>
            <w:vAlign w:val="center"/>
          </w:tcPr>
          <w:p w14:paraId="634295E8">
            <w:pPr>
              <w:widowControl/>
              <w:snapToGrid w:val="0"/>
              <w:jc w:val="left"/>
              <w:rPr>
                <w:szCs w:val="21"/>
              </w:rPr>
            </w:pPr>
          </w:p>
        </w:tc>
        <w:tc>
          <w:tcPr>
            <w:tcW w:w="2171" w:type="dxa"/>
            <w:tcBorders>
              <w:top w:val="single" w:color="auto" w:sz="4" w:space="0"/>
              <w:left w:val="single" w:color="auto" w:sz="4" w:space="0"/>
              <w:bottom w:val="single" w:color="auto" w:sz="4" w:space="0"/>
              <w:right w:val="single" w:color="auto" w:sz="4" w:space="0"/>
            </w:tcBorders>
            <w:vAlign w:val="center"/>
          </w:tcPr>
          <w:p w14:paraId="0C7DDFB8">
            <w:pPr>
              <w:snapToGrid w:val="0"/>
              <w:jc w:val="center"/>
              <w:rPr>
                <w:szCs w:val="21"/>
              </w:rPr>
            </w:pPr>
          </w:p>
        </w:tc>
        <w:tc>
          <w:tcPr>
            <w:tcW w:w="2984" w:type="dxa"/>
            <w:tcBorders>
              <w:top w:val="single" w:color="auto" w:sz="4" w:space="0"/>
              <w:left w:val="single" w:color="auto" w:sz="4" w:space="0"/>
              <w:bottom w:val="single" w:color="auto" w:sz="4" w:space="0"/>
              <w:right w:val="single" w:color="auto" w:sz="4" w:space="0"/>
            </w:tcBorders>
            <w:vAlign w:val="center"/>
          </w:tcPr>
          <w:p w14:paraId="53FC41AD">
            <w:pPr>
              <w:tabs>
                <w:tab w:val="left" w:pos="3060"/>
              </w:tabs>
              <w:snapToGrid w:val="0"/>
              <w:jc w:val="center"/>
              <w:rPr>
                <w:szCs w:val="21"/>
              </w:rPr>
            </w:pPr>
          </w:p>
        </w:tc>
      </w:tr>
      <w:tr w14:paraId="405E4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724" w:type="dxa"/>
            <w:vMerge w:val="continue"/>
            <w:tcBorders>
              <w:top w:val="single" w:color="auto" w:sz="4" w:space="0"/>
              <w:left w:val="single" w:color="auto" w:sz="4" w:space="0"/>
              <w:bottom w:val="single" w:color="auto" w:sz="4" w:space="0"/>
              <w:right w:val="single" w:color="auto" w:sz="4" w:space="0"/>
            </w:tcBorders>
            <w:vAlign w:val="center"/>
          </w:tcPr>
          <w:p w14:paraId="672B7768">
            <w:pPr>
              <w:widowControl/>
              <w:snapToGrid w:val="0"/>
              <w:jc w:val="left"/>
              <w:rPr>
                <w:szCs w:val="21"/>
              </w:rPr>
            </w:pPr>
          </w:p>
        </w:tc>
        <w:tc>
          <w:tcPr>
            <w:tcW w:w="1983" w:type="dxa"/>
            <w:vMerge w:val="continue"/>
            <w:tcBorders>
              <w:top w:val="single" w:color="auto" w:sz="4" w:space="0"/>
              <w:left w:val="single" w:color="auto" w:sz="4" w:space="0"/>
              <w:bottom w:val="single" w:color="auto" w:sz="4" w:space="0"/>
              <w:right w:val="single" w:color="auto" w:sz="4" w:space="0"/>
            </w:tcBorders>
            <w:vAlign w:val="center"/>
          </w:tcPr>
          <w:p w14:paraId="0990C586">
            <w:pPr>
              <w:widowControl/>
              <w:snapToGrid w:val="0"/>
              <w:jc w:val="left"/>
              <w:rPr>
                <w:szCs w:val="21"/>
              </w:rPr>
            </w:pPr>
          </w:p>
        </w:tc>
        <w:tc>
          <w:tcPr>
            <w:tcW w:w="2171" w:type="dxa"/>
            <w:tcBorders>
              <w:top w:val="single" w:color="auto" w:sz="4" w:space="0"/>
              <w:left w:val="single" w:color="auto" w:sz="4" w:space="0"/>
              <w:bottom w:val="single" w:color="auto" w:sz="4" w:space="0"/>
              <w:right w:val="single" w:color="auto" w:sz="4" w:space="0"/>
            </w:tcBorders>
            <w:vAlign w:val="center"/>
          </w:tcPr>
          <w:p w14:paraId="11F65902">
            <w:pPr>
              <w:snapToGrid w:val="0"/>
              <w:jc w:val="center"/>
              <w:rPr>
                <w:szCs w:val="21"/>
              </w:rPr>
            </w:pPr>
          </w:p>
        </w:tc>
        <w:tc>
          <w:tcPr>
            <w:tcW w:w="2984" w:type="dxa"/>
            <w:tcBorders>
              <w:top w:val="single" w:color="auto" w:sz="4" w:space="0"/>
              <w:left w:val="single" w:color="auto" w:sz="4" w:space="0"/>
              <w:bottom w:val="single" w:color="auto" w:sz="4" w:space="0"/>
              <w:right w:val="single" w:color="auto" w:sz="4" w:space="0"/>
            </w:tcBorders>
            <w:vAlign w:val="center"/>
          </w:tcPr>
          <w:p w14:paraId="32C16576">
            <w:pPr>
              <w:tabs>
                <w:tab w:val="left" w:pos="3060"/>
              </w:tabs>
              <w:snapToGrid w:val="0"/>
              <w:jc w:val="center"/>
              <w:rPr>
                <w:szCs w:val="21"/>
              </w:rPr>
            </w:pPr>
          </w:p>
        </w:tc>
      </w:tr>
      <w:tr w14:paraId="18495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8862" w:type="dxa"/>
            <w:gridSpan w:val="4"/>
            <w:tcBorders>
              <w:top w:val="single" w:color="auto" w:sz="4" w:space="0"/>
              <w:left w:val="single" w:color="auto" w:sz="4" w:space="0"/>
              <w:bottom w:val="single" w:color="auto" w:sz="4" w:space="0"/>
              <w:right w:val="single" w:color="auto" w:sz="4" w:space="0"/>
            </w:tcBorders>
            <w:vAlign w:val="center"/>
          </w:tcPr>
          <w:p w14:paraId="7B0398F9">
            <w:pPr>
              <w:snapToGrid w:val="0"/>
              <w:spacing w:before="240" w:beforeLines="100"/>
              <w:rPr>
                <w:spacing w:val="-8"/>
                <w:szCs w:val="21"/>
              </w:rPr>
            </w:pPr>
            <w:r>
              <w:rPr>
                <w:rFonts w:hint="eastAsia"/>
                <w:spacing w:val="-8"/>
                <w:szCs w:val="21"/>
              </w:rPr>
              <w:t>环境条件：大气压：</w:t>
            </w:r>
            <w:r>
              <w:rPr>
                <w:spacing w:val="-8"/>
                <w:szCs w:val="21"/>
                <w:u w:val="single"/>
              </w:rPr>
              <w:t xml:space="preserve">        </w:t>
            </w:r>
            <w:r>
              <w:rPr>
                <w:spacing w:val="-8"/>
                <w:szCs w:val="21"/>
              </w:rPr>
              <w:t>kPa</w:t>
            </w:r>
            <w:r>
              <w:rPr>
                <w:rFonts w:hint="eastAsia"/>
                <w:spacing w:val="-8"/>
                <w:szCs w:val="21"/>
              </w:rPr>
              <w:t>；环境温度：</w:t>
            </w:r>
            <w:r>
              <w:rPr>
                <w:spacing w:val="-8"/>
                <w:szCs w:val="21"/>
                <w:u w:val="single"/>
              </w:rPr>
              <w:t xml:space="preserve">         </w:t>
            </w:r>
            <w:r>
              <w:rPr>
                <w:rFonts w:hint="eastAsia" w:ascii="宋体" w:hAnsi="宋体" w:cs="宋体"/>
                <w:spacing w:val="-8"/>
                <w:szCs w:val="21"/>
              </w:rPr>
              <w:t>℃</w:t>
            </w:r>
            <w:r>
              <w:rPr>
                <w:rFonts w:hint="eastAsia"/>
                <w:spacing w:val="-8"/>
                <w:szCs w:val="21"/>
              </w:rPr>
              <w:t>；相对湿度：</w:t>
            </w:r>
            <w:r>
              <w:rPr>
                <w:spacing w:val="-8"/>
                <w:szCs w:val="21"/>
                <w:u w:val="single"/>
              </w:rPr>
              <w:t xml:space="preserve">         </w:t>
            </w:r>
            <w:r>
              <w:rPr>
                <w:spacing w:val="-8"/>
                <w:szCs w:val="21"/>
              </w:rPr>
              <w:t>%</w:t>
            </w:r>
          </w:p>
          <w:p w14:paraId="5410819D">
            <w:pPr>
              <w:snapToGrid w:val="0"/>
              <w:spacing w:before="240" w:beforeLines="100"/>
              <w:rPr>
                <w:szCs w:val="21"/>
              </w:rPr>
            </w:pPr>
            <w:r>
              <w:rPr>
                <w:rFonts w:hint="eastAsia"/>
                <w:spacing w:val="-8"/>
                <w:szCs w:val="21"/>
              </w:rPr>
              <w:t>试验设备：</w:t>
            </w:r>
          </w:p>
        </w:tc>
      </w:tr>
    </w:tbl>
    <w:p w14:paraId="50F39CB6">
      <w:pPr>
        <w:pStyle w:val="121"/>
        <w:snapToGrid w:val="0"/>
        <w:spacing w:before="240" w:beforeLines="100"/>
        <w:ind w:firstLine="102" w:firstLineChars="49"/>
        <w:rPr>
          <w:u w:val="single"/>
        </w:rPr>
      </w:pPr>
      <w:r>
        <w:rPr>
          <w:rFonts w:hint="eastAsia"/>
          <w:szCs w:val="21"/>
        </w:rPr>
        <w:t xml:space="preserve">试验员  </w:t>
      </w:r>
      <w:r>
        <w:rPr>
          <w:szCs w:val="21"/>
          <w:u w:val="single"/>
        </w:rPr>
        <w:t xml:space="preserve">    </w:t>
      </w:r>
      <w:r>
        <w:rPr>
          <w:rFonts w:hint="eastAsia"/>
          <w:szCs w:val="21"/>
          <w:u w:val="single"/>
        </w:rPr>
        <w:t>　</w:t>
      </w:r>
      <w:r>
        <w:rPr>
          <w:szCs w:val="21"/>
          <w:u w:val="single"/>
        </w:rPr>
        <w:t xml:space="preserve">        </w:t>
      </w:r>
      <w:r>
        <w:rPr>
          <w:szCs w:val="21"/>
        </w:rPr>
        <w:t xml:space="preserve">    </w:t>
      </w:r>
      <w:r>
        <w:rPr>
          <w:rFonts w:hint="eastAsia"/>
          <w:szCs w:val="21"/>
        </w:rPr>
        <w:t xml:space="preserve"> </w:t>
      </w:r>
      <w:r>
        <w:rPr>
          <w:szCs w:val="21"/>
        </w:rPr>
        <w:t xml:space="preserve"> </w:t>
      </w:r>
      <w:r>
        <w:rPr>
          <w:rFonts w:hint="eastAsia"/>
          <w:szCs w:val="21"/>
        </w:rPr>
        <w:t>核验员</w:t>
      </w:r>
      <w:r>
        <w:rPr>
          <w:szCs w:val="21"/>
        </w:rPr>
        <w:t xml:space="preserve"> </w:t>
      </w:r>
      <w:r>
        <w:rPr>
          <w:rFonts w:hint="eastAsia"/>
          <w:szCs w:val="21"/>
        </w:rPr>
        <w:t xml:space="preserve">  </w:t>
      </w:r>
      <w:r>
        <w:rPr>
          <w:szCs w:val="21"/>
          <w:u w:val="single"/>
        </w:rPr>
        <w:t xml:space="preserve">            </w:t>
      </w:r>
      <w:r>
        <w:rPr>
          <w:rFonts w:hint="eastAsia"/>
          <w:szCs w:val="21"/>
          <w:u w:val="single"/>
        </w:rPr>
        <w:t>　</w:t>
      </w:r>
      <w:r>
        <w:rPr>
          <w:rFonts w:hint="eastAsia"/>
          <w:szCs w:val="21"/>
        </w:rPr>
        <w:t xml:space="preserve">         试验日期</w:t>
      </w:r>
      <w:r>
        <w:rPr>
          <w:szCs w:val="21"/>
        </w:rPr>
        <w:t xml:space="preserve"> </w:t>
      </w:r>
      <w:r>
        <w:rPr>
          <w:szCs w:val="21"/>
          <w:u w:val="single"/>
        </w:rPr>
        <w:t xml:space="preserve">      </w:t>
      </w:r>
      <w:r>
        <w:rPr>
          <w:rFonts w:hint="eastAsia"/>
          <w:szCs w:val="21"/>
          <w:u w:val="single"/>
        </w:rPr>
        <w:t xml:space="preserve">    </w:t>
      </w:r>
      <w:r>
        <w:rPr>
          <w:szCs w:val="21"/>
          <w:u w:val="single"/>
        </w:rPr>
        <w:t xml:space="preserve">  </w:t>
      </w:r>
    </w:p>
    <w:p w14:paraId="2CCFE5BC">
      <w:pPr>
        <w:pStyle w:val="121"/>
        <w:spacing w:line="480" w:lineRule="auto"/>
        <w:ind w:firstLine="102" w:firstLineChars="49"/>
        <w:rPr>
          <w:u w:val="single"/>
        </w:rPr>
      </w:pPr>
    </w:p>
    <w:p w14:paraId="3EAD1B30">
      <w:pPr>
        <w:pStyle w:val="121"/>
        <w:spacing w:before="160" w:line="360" w:lineRule="auto"/>
        <w:ind w:firstLine="0" w:firstLineChars="0"/>
        <w:jc w:val="center"/>
        <w:rPr>
          <w:sz w:val="24"/>
        </w:rPr>
      </w:pPr>
      <w:r>
        <w:rPr>
          <w:rFonts w:hint="eastAsia"/>
          <w:sz w:val="24"/>
        </w:rPr>
        <w:t>3</w:t>
      </w:r>
      <w:r>
        <w:rPr>
          <w:sz w:val="24"/>
        </w:rPr>
        <w:t>、</w:t>
      </w:r>
      <w:r>
        <w:rPr>
          <w:rFonts w:hint="eastAsia"/>
          <w:sz w:val="24"/>
        </w:rPr>
        <w:t>耐压强度试验原始记录</w:t>
      </w:r>
    </w:p>
    <w:p w14:paraId="11F8DBA1">
      <w:pPr>
        <w:spacing w:before="160" w:line="360" w:lineRule="auto"/>
        <w:rPr>
          <w:sz w:val="24"/>
          <w:szCs w:val="24"/>
          <w:u w:val="single"/>
        </w:rPr>
      </w:pPr>
      <w:r>
        <w:rPr>
          <w:rFonts w:hint="eastAsia"/>
          <w:sz w:val="24"/>
          <w:szCs w:val="24"/>
        </w:rPr>
        <w:t>产品名称：</w:t>
      </w:r>
      <w:r>
        <w:rPr>
          <w:rFonts w:hint="eastAsia"/>
          <w:sz w:val="24"/>
          <w:szCs w:val="24"/>
          <w:u w:val="single"/>
        </w:rPr>
        <w:t xml:space="preserve">                         </w:t>
      </w:r>
      <w:r>
        <w:rPr>
          <w:rFonts w:hint="eastAsia"/>
          <w:sz w:val="24"/>
          <w:szCs w:val="24"/>
        </w:rPr>
        <w:t>型号规格：</w:t>
      </w:r>
      <w:r>
        <w:rPr>
          <w:sz w:val="24"/>
          <w:szCs w:val="24"/>
          <w:u w:val="single"/>
        </w:rPr>
        <w:t xml:space="preserve">                       </w:t>
      </w:r>
    </w:p>
    <w:p w14:paraId="130E6524">
      <w:pPr>
        <w:spacing w:before="160" w:line="360" w:lineRule="auto"/>
        <w:rPr>
          <w:sz w:val="24"/>
          <w:szCs w:val="24"/>
          <w:u w:val="single"/>
        </w:rPr>
      </w:pPr>
      <w:r>
        <w:rPr>
          <w:rFonts w:hint="eastAsia"/>
          <w:sz w:val="24"/>
          <w:szCs w:val="24"/>
        </w:rPr>
        <w:t>准确度等级：</w:t>
      </w:r>
      <w:r>
        <w:rPr>
          <w:sz w:val="24"/>
          <w:szCs w:val="24"/>
          <w:u w:val="single"/>
        </w:rPr>
        <w:t xml:space="preserve">                     </w:t>
      </w:r>
      <w:r>
        <w:rPr>
          <w:rFonts w:hint="eastAsia"/>
          <w:sz w:val="24"/>
          <w:szCs w:val="24"/>
        </w:rPr>
        <w:t>制造单位：</w:t>
      </w:r>
      <w:r>
        <w:rPr>
          <w:sz w:val="24"/>
          <w:szCs w:val="24"/>
          <w:u w:val="single"/>
        </w:rPr>
        <w:t xml:space="preserve">                       </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8"/>
        <w:gridCol w:w="3020"/>
        <w:gridCol w:w="1701"/>
        <w:gridCol w:w="2417"/>
      </w:tblGrid>
      <w:tr w14:paraId="40D28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658" w:type="dxa"/>
            <w:tcBorders>
              <w:top w:val="single" w:color="auto" w:sz="4" w:space="0"/>
              <w:left w:val="single" w:color="auto" w:sz="4" w:space="0"/>
              <w:bottom w:val="single" w:color="auto" w:sz="4" w:space="0"/>
              <w:right w:val="single" w:color="auto" w:sz="4" w:space="0"/>
            </w:tcBorders>
            <w:vAlign w:val="center"/>
          </w:tcPr>
          <w:p w14:paraId="2A4ACBA7">
            <w:pPr>
              <w:snapToGrid w:val="0"/>
              <w:jc w:val="center"/>
              <w:rPr>
                <w:szCs w:val="21"/>
              </w:rPr>
            </w:pPr>
            <w:r>
              <w:rPr>
                <w:rFonts w:hint="eastAsia"/>
                <w:szCs w:val="21"/>
              </w:rPr>
              <w:t>项目名称</w:t>
            </w:r>
          </w:p>
        </w:tc>
        <w:tc>
          <w:tcPr>
            <w:tcW w:w="3020" w:type="dxa"/>
            <w:tcBorders>
              <w:top w:val="single" w:color="auto" w:sz="4" w:space="0"/>
              <w:left w:val="single" w:color="auto" w:sz="4" w:space="0"/>
              <w:bottom w:val="single" w:color="auto" w:sz="4" w:space="0"/>
              <w:right w:val="single" w:color="auto" w:sz="4" w:space="0"/>
            </w:tcBorders>
            <w:vAlign w:val="center"/>
          </w:tcPr>
          <w:p w14:paraId="12739AA4">
            <w:pPr>
              <w:snapToGrid w:val="0"/>
              <w:jc w:val="center"/>
              <w:rPr>
                <w:szCs w:val="21"/>
              </w:rPr>
            </w:pPr>
            <w:r>
              <w:rPr>
                <w:rFonts w:hint="eastAsia"/>
                <w:szCs w:val="21"/>
              </w:rPr>
              <w:t>型式评价大纲要求</w:t>
            </w:r>
          </w:p>
        </w:tc>
        <w:tc>
          <w:tcPr>
            <w:tcW w:w="1701" w:type="dxa"/>
            <w:tcBorders>
              <w:top w:val="single" w:color="auto" w:sz="4" w:space="0"/>
              <w:left w:val="single" w:color="auto" w:sz="4" w:space="0"/>
              <w:bottom w:val="single" w:color="auto" w:sz="4" w:space="0"/>
              <w:right w:val="single" w:color="auto" w:sz="4" w:space="0"/>
            </w:tcBorders>
            <w:vAlign w:val="center"/>
          </w:tcPr>
          <w:p w14:paraId="7800384D">
            <w:pPr>
              <w:snapToGrid w:val="0"/>
              <w:jc w:val="center"/>
              <w:rPr>
                <w:szCs w:val="21"/>
              </w:rPr>
            </w:pPr>
            <w:r>
              <w:rPr>
                <w:rFonts w:hint="eastAsia"/>
                <w:szCs w:val="21"/>
              </w:rPr>
              <w:t>样品编号</w:t>
            </w:r>
          </w:p>
        </w:tc>
        <w:tc>
          <w:tcPr>
            <w:tcW w:w="2417" w:type="dxa"/>
            <w:tcBorders>
              <w:top w:val="single" w:color="auto" w:sz="4" w:space="0"/>
              <w:left w:val="single" w:color="auto" w:sz="4" w:space="0"/>
              <w:bottom w:val="single" w:color="auto" w:sz="4" w:space="0"/>
              <w:right w:val="single" w:color="auto" w:sz="4" w:space="0"/>
            </w:tcBorders>
            <w:vAlign w:val="center"/>
          </w:tcPr>
          <w:p w14:paraId="3B7CE10D">
            <w:pPr>
              <w:snapToGrid w:val="0"/>
              <w:jc w:val="center"/>
              <w:rPr>
                <w:szCs w:val="21"/>
              </w:rPr>
            </w:pPr>
            <w:r>
              <w:rPr>
                <w:rFonts w:hint="eastAsia"/>
                <w:szCs w:val="21"/>
              </w:rPr>
              <w:t>实测结果</w:t>
            </w:r>
          </w:p>
        </w:tc>
      </w:tr>
      <w:tr w14:paraId="2A8F7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658" w:type="dxa"/>
            <w:vMerge w:val="restart"/>
            <w:tcBorders>
              <w:top w:val="single" w:color="auto" w:sz="4" w:space="0"/>
              <w:left w:val="single" w:color="auto" w:sz="4" w:space="0"/>
              <w:bottom w:val="single" w:color="auto" w:sz="4" w:space="0"/>
              <w:right w:val="single" w:color="auto" w:sz="4" w:space="0"/>
            </w:tcBorders>
            <w:vAlign w:val="center"/>
          </w:tcPr>
          <w:p w14:paraId="685026D8">
            <w:pPr>
              <w:snapToGrid w:val="0"/>
              <w:rPr>
                <w:szCs w:val="21"/>
              </w:rPr>
            </w:pPr>
            <w:r>
              <w:rPr>
                <w:rFonts w:hint="eastAsia"/>
                <w:szCs w:val="21"/>
              </w:rPr>
              <w:t>7.3 耐压强度</w:t>
            </w:r>
          </w:p>
        </w:tc>
        <w:tc>
          <w:tcPr>
            <w:tcW w:w="3020" w:type="dxa"/>
            <w:vMerge w:val="restart"/>
            <w:tcBorders>
              <w:top w:val="single" w:color="auto" w:sz="4" w:space="0"/>
              <w:left w:val="single" w:color="auto" w:sz="4" w:space="0"/>
              <w:bottom w:val="single" w:color="auto" w:sz="4" w:space="0"/>
              <w:right w:val="single" w:color="auto" w:sz="4" w:space="0"/>
            </w:tcBorders>
            <w:vAlign w:val="center"/>
          </w:tcPr>
          <w:p w14:paraId="65EF1B70">
            <w:pPr>
              <w:snapToGrid w:val="0"/>
              <w:ind w:firstLine="420" w:firstLineChars="200"/>
              <w:jc w:val="left"/>
              <w:rPr>
                <w:szCs w:val="21"/>
              </w:rPr>
            </w:pPr>
            <w:r>
              <w:rPr>
                <w:rFonts w:hint="eastAsia"/>
                <w:szCs w:val="21"/>
              </w:rPr>
              <w:t>流量计表体应能承受试验压力为</w:t>
            </w:r>
            <w:r>
              <w:rPr>
                <w:szCs w:val="21"/>
              </w:rPr>
              <w:t>1.5</w:t>
            </w:r>
            <w:r>
              <w:rPr>
                <w:rFonts w:hint="eastAsia"/>
                <w:szCs w:val="21"/>
              </w:rPr>
              <w:t>倍公称压力下的耐压试验，试验期间应无泄漏或损坏。</w:t>
            </w:r>
          </w:p>
          <w:p w14:paraId="20FC71E7">
            <w:pPr>
              <w:snapToGrid w:val="0"/>
              <w:jc w:val="left"/>
              <w:rPr>
                <w:szCs w:val="21"/>
              </w:rPr>
            </w:pPr>
            <w:r>
              <w:rPr>
                <w:rFonts w:hint="eastAsia"/>
                <w:szCs w:val="21"/>
              </w:rPr>
              <w:t>公称压力</w:t>
            </w:r>
            <w:r>
              <w:rPr>
                <w:szCs w:val="21"/>
                <w:u w:val="single"/>
              </w:rPr>
              <w:t xml:space="preserve">     </w:t>
            </w:r>
            <w:r>
              <w:rPr>
                <w:szCs w:val="21"/>
              </w:rPr>
              <w:t>MPa</w:t>
            </w:r>
          </w:p>
        </w:tc>
        <w:tc>
          <w:tcPr>
            <w:tcW w:w="1701" w:type="dxa"/>
            <w:tcBorders>
              <w:top w:val="single" w:color="auto" w:sz="4" w:space="0"/>
              <w:left w:val="single" w:color="auto" w:sz="4" w:space="0"/>
              <w:bottom w:val="single" w:color="auto" w:sz="4" w:space="0"/>
              <w:right w:val="single" w:color="auto" w:sz="4" w:space="0"/>
            </w:tcBorders>
            <w:vAlign w:val="center"/>
          </w:tcPr>
          <w:p w14:paraId="0FAA7912">
            <w:pPr>
              <w:snapToGrid w:val="0"/>
              <w:jc w:val="center"/>
              <w:rPr>
                <w:szCs w:val="21"/>
              </w:rPr>
            </w:pPr>
          </w:p>
        </w:tc>
        <w:tc>
          <w:tcPr>
            <w:tcW w:w="2417" w:type="dxa"/>
            <w:tcBorders>
              <w:top w:val="single" w:color="auto" w:sz="4" w:space="0"/>
              <w:left w:val="single" w:color="auto" w:sz="4" w:space="0"/>
              <w:bottom w:val="single" w:color="auto" w:sz="4" w:space="0"/>
              <w:right w:val="single" w:color="auto" w:sz="4" w:space="0"/>
            </w:tcBorders>
            <w:vAlign w:val="center"/>
          </w:tcPr>
          <w:p w14:paraId="19F36C53">
            <w:pPr>
              <w:tabs>
                <w:tab w:val="left" w:pos="3060"/>
              </w:tabs>
              <w:snapToGrid w:val="0"/>
              <w:jc w:val="center"/>
              <w:rPr>
                <w:szCs w:val="21"/>
              </w:rPr>
            </w:pPr>
          </w:p>
        </w:tc>
      </w:tr>
      <w:tr w14:paraId="77578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58" w:type="dxa"/>
            <w:vMerge w:val="continue"/>
            <w:tcBorders>
              <w:top w:val="single" w:color="auto" w:sz="4" w:space="0"/>
              <w:left w:val="single" w:color="auto" w:sz="4" w:space="0"/>
              <w:bottom w:val="single" w:color="auto" w:sz="4" w:space="0"/>
              <w:right w:val="single" w:color="auto" w:sz="4" w:space="0"/>
            </w:tcBorders>
            <w:vAlign w:val="center"/>
          </w:tcPr>
          <w:p w14:paraId="5D9E83C2">
            <w:pPr>
              <w:widowControl/>
              <w:snapToGrid w:val="0"/>
              <w:jc w:val="left"/>
              <w:rPr>
                <w:szCs w:val="21"/>
              </w:rPr>
            </w:pPr>
          </w:p>
        </w:tc>
        <w:tc>
          <w:tcPr>
            <w:tcW w:w="3020" w:type="dxa"/>
            <w:vMerge w:val="continue"/>
            <w:tcBorders>
              <w:top w:val="single" w:color="auto" w:sz="4" w:space="0"/>
              <w:left w:val="single" w:color="auto" w:sz="4" w:space="0"/>
              <w:bottom w:val="single" w:color="auto" w:sz="4" w:space="0"/>
              <w:right w:val="single" w:color="auto" w:sz="4" w:space="0"/>
            </w:tcBorders>
            <w:vAlign w:val="center"/>
          </w:tcPr>
          <w:p w14:paraId="25318185">
            <w:pPr>
              <w:widowControl/>
              <w:snapToGrid w:val="0"/>
              <w:jc w:val="left"/>
              <w:rPr>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77428F33">
            <w:pPr>
              <w:snapToGrid w:val="0"/>
              <w:jc w:val="center"/>
              <w:rPr>
                <w:szCs w:val="21"/>
              </w:rPr>
            </w:pPr>
          </w:p>
        </w:tc>
        <w:tc>
          <w:tcPr>
            <w:tcW w:w="2417" w:type="dxa"/>
            <w:tcBorders>
              <w:top w:val="single" w:color="auto" w:sz="4" w:space="0"/>
              <w:left w:val="single" w:color="auto" w:sz="4" w:space="0"/>
              <w:bottom w:val="single" w:color="auto" w:sz="4" w:space="0"/>
              <w:right w:val="single" w:color="auto" w:sz="4" w:space="0"/>
            </w:tcBorders>
            <w:vAlign w:val="center"/>
          </w:tcPr>
          <w:p w14:paraId="4F7C8718">
            <w:pPr>
              <w:tabs>
                <w:tab w:val="left" w:pos="3060"/>
              </w:tabs>
              <w:snapToGrid w:val="0"/>
              <w:jc w:val="center"/>
              <w:rPr>
                <w:szCs w:val="21"/>
              </w:rPr>
            </w:pPr>
          </w:p>
        </w:tc>
      </w:tr>
      <w:tr w14:paraId="7D1AD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658" w:type="dxa"/>
            <w:vMerge w:val="continue"/>
            <w:tcBorders>
              <w:top w:val="single" w:color="auto" w:sz="4" w:space="0"/>
              <w:left w:val="single" w:color="auto" w:sz="4" w:space="0"/>
              <w:bottom w:val="single" w:color="auto" w:sz="4" w:space="0"/>
              <w:right w:val="single" w:color="auto" w:sz="4" w:space="0"/>
            </w:tcBorders>
            <w:vAlign w:val="center"/>
          </w:tcPr>
          <w:p w14:paraId="7524C9D7">
            <w:pPr>
              <w:widowControl/>
              <w:snapToGrid w:val="0"/>
              <w:jc w:val="left"/>
              <w:rPr>
                <w:szCs w:val="21"/>
              </w:rPr>
            </w:pPr>
          </w:p>
        </w:tc>
        <w:tc>
          <w:tcPr>
            <w:tcW w:w="3020" w:type="dxa"/>
            <w:vMerge w:val="continue"/>
            <w:tcBorders>
              <w:top w:val="single" w:color="auto" w:sz="4" w:space="0"/>
              <w:left w:val="single" w:color="auto" w:sz="4" w:space="0"/>
              <w:bottom w:val="single" w:color="auto" w:sz="4" w:space="0"/>
              <w:right w:val="single" w:color="auto" w:sz="4" w:space="0"/>
            </w:tcBorders>
            <w:vAlign w:val="center"/>
          </w:tcPr>
          <w:p w14:paraId="1F602722">
            <w:pPr>
              <w:widowControl/>
              <w:snapToGrid w:val="0"/>
              <w:jc w:val="left"/>
              <w:rPr>
                <w:szCs w:val="21"/>
              </w:rPr>
            </w:pPr>
          </w:p>
        </w:tc>
        <w:tc>
          <w:tcPr>
            <w:tcW w:w="1701" w:type="dxa"/>
            <w:tcBorders>
              <w:top w:val="single" w:color="auto" w:sz="4" w:space="0"/>
              <w:left w:val="single" w:color="auto" w:sz="4" w:space="0"/>
              <w:bottom w:val="single" w:color="auto" w:sz="4" w:space="0"/>
              <w:right w:val="single" w:color="auto" w:sz="4" w:space="0"/>
            </w:tcBorders>
            <w:vAlign w:val="center"/>
          </w:tcPr>
          <w:p w14:paraId="46C9F7BA">
            <w:pPr>
              <w:snapToGrid w:val="0"/>
              <w:jc w:val="center"/>
              <w:rPr>
                <w:szCs w:val="21"/>
              </w:rPr>
            </w:pPr>
          </w:p>
        </w:tc>
        <w:tc>
          <w:tcPr>
            <w:tcW w:w="2417" w:type="dxa"/>
            <w:tcBorders>
              <w:top w:val="single" w:color="auto" w:sz="4" w:space="0"/>
              <w:left w:val="single" w:color="auto" w:sz="4" w:space="0"/>
              <w:bottom w:val="single" w:color="auto" w:sz="4" w:space="0"/>
              <w:right w:val="single" w:color="auto" w:sz="4" w:space="0"/>
            </w:tcBorders>
            <w:vAlign w:val="center"/>
          </w:tcPr>
          <w:p w14:paraId="4D317323">
            <w:pPr>
              <w:tabs>
                <w:tab w:val="left" w:pos="3060"/>
              </w:tabs>
              <w:snapToGrid w:val="0"/>
              <w:jc w:val="center"/>
              <w:rPr>
                <w:szCs w:val="21"/>
              </w:rPr>
            </w:pPr>
          </w:p>
        </w:tc>
      </w:tr>
      <w:tr w14:paraId="347C4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8796" w:type="dxa"/>
            <w:gridSpan w:val="4"/>
            <w:tcBorders>
              <w:top w:val="single" w:color="auto" w:sz="4" w:space="0"/>
              <w:left w:val="single" w:color="auto" w:sz="4" w:space="0"/>
              <w:bottom w:val="single" w:color="auto" w:sz="4" w:space="0"/>
              <w:right w:val="single" w:color="auto" w:sz="4" w:space="0"/>
            </w:tcBorders>
            <w:vAlign w:val="center"/>
          </w:tcPr>
          <w:p w14:paraId="0944702D">
            <w:pPr>
              <w:snapToGrid w:val="0"/>
              <w:spacing w:before="240" w:beforeLines="100"/>
              <w:rPr>
                <w:spacing w:val="-8"/>
                <w:szCs w:val="21"/>
              </w:rPr>
            </w:pPr>
            <w:r>
              <w:rPr>
                <w:rFonts w:hint="eastAsia"/>
                <w:spacing w:val="-8"/>
                <w:szCs w:val="21"/>
              </w:rPr>
              <w:t>环境条件：大气压：</w:t>
            </w:r>
            <w:r>
              <w:rPr>
                <w:spacing w:val="-8"/>
                <w:szCs w:val="21"/>
                <w:u w:val="single"/>
              </w:rPr>
              <w:t xml:space="preserve">        </w:t>
            </w:r>
            <w:r>
              <w:rPr>
                <w:spacing w:val="-8"/>
                <w:szCs w:val="21"/>
              </w:rPr>
              <w:t>kPa</w:t>
            </w:r>
            <w:r>
              <w:rPr>
                <w:rFonts w:hint="eastAsia"/>
                <w:spacing w:val="-8"/>
                <w:szCs w:val="21"/>
              </w:rPr>
              <w:t>；环境温度：</w:t>
            </w:r>
            <w:r>
              <w:rPr>
                <w:spacing w:val="-8"/>
                <w:szCs w:val="21"/>
                <w:u w:val="single"/>
              </w:rPr>
              <w:t xml:space="preserve">         </w:t>
            </w:r>
            <w:r>
              <w:rPr>
                <w:rFonts w:hint="eastAsia" w:ascii="宋体" w:hAnsi="宋体" w:cs="宋体"/>
                <w:spacing w:val="-8"/>
                <w:szCs w:val="21"/>
              </w:rPr>
              <w:t>℃</w:t>
            </w:r>
            <w:r>
              <w:rPr>
                <w:rFonts w:hint="eastAsia"/>
                <w:spacing w:val="-8"/>
                <w:szCs w:val="21"/>
              </w:rPr>
              <w:t>；相对湿度：</w:t>
            </w:r>
            <w:r>
              <w:rPr>
                <w:spacing w:val="-8"/>
                <w:szCs w:val="21"/>
                <w:u w:val="single"/>
              </w:rPr>
              <w:t xml:space="preserve">         </w:t>
            </w:r>
            <w:r>
              <w:rPr>
                <w:spacing w:val="-8"/>
                <w:szCs w:val="21"/>
              </w:rPr>
              <w:t>%</w:t>
            </w:r>
          </w:p>
          <w:p w14:paraId="21903635">
            <w:pPr>
              <w:snapToGrid w:val="0"/>
              <w:spacing w:before="240" w:beforeLines="100"/>
              <w:rPr>
                <w:szCs w:val="21"/>
              </w:rPr>
            </w:pPr>
            <w:r>
              <w:rPr>
                <w:rFonts w:hint="eastAsia"/>
                <w:spacing w:val="-8"/>
                <w:szCs w:val="21"/>
              </w:rPr>
              <w:t>试验设备：</w:t>
            </w:r>
          </w:p>
        </w:tc>
      </w:tr>
    </w:tbl>
    <w:p w14:paraId="1F3564CE">
      <w:pPr>
        <w:snapToGrid w:val="0"/>
        <w:spacing w:before="240" w:beforeLines="100"/>
        <w:ind w:firstLine="102" w:firstLineChars="49"/>
        <w:rPr>
          <w:szCs w:val="21"/>
        </w:rPr>
      </w:pPr>
      <w:r>
        <w:rPr>
          <w:rFonts w:hint="eastAsia"/>
          <w:szCs w:val="21"/>
        </w:rPr>
        <w:t xml:space="preserve">试验员  </w:t>
      </w:r>
      <w:r>
        <w:rPr>
          <w:szCs w:val="21"/>
          <w:u w:val="single"/>
        </w:rPr>
        <w:t xml:space="preserve">    </w:t>
      </w:r>
      <w:r>
        <w:rPr>
          <w:rFonts w:hint="eastAsia"/>
          <w:szCs w:val="21"/>
          <w:u w:val="single"/>
        </w:rPr>
        <w:t>　</w:t>
      </w:r>
      <w:r>
        <w:rPr>
          <w:szCs w:val="21"/>
          <w:u w:val="single"/>
        </w:rPr>
        <w:t xml:space="preserve">        </w:t>
      </w:r>
      <w:r>
        <w:rPr>
          <w:szCs w:val="21"/>
        </w:rPr>
        <w:t xml:space="preserve">    </w:t>
      </w:r>
      <w:r>
        <w:rPr>
          <w:rFonts w:hint="eastAsia"/>
          <w:szCs w:val="21"/>
        </w:rPr>
        <w:t xml:space="preserve"> </w:t>
      </w:r>
      <w:r>
        <w:rPr>
          <w:szCs w:val="21"/>
        </w:rPr>
        <w:t xml:space="preserve"> </w:t>
      </w:r>
      <w:r>
        <w:rPr>
          <w:rFonts w:hint="eastAsia"/>
          <w:szCs w:val="21"/>
        </w:rPr>
        <w:t>核验员</w:t>
      </w:r>
      <w:r>
        <w:rPr>
          <w:szCs w:val="21"/>
        </w:rPr>
        <w:t xml:space="preserve"> </w:t>
      </w:r>
      <w:r>
        <w:rPr>
          <w:rFonts w:hint="eastAsia"/>
          <w:szCs w:val="21"/>
        </w:rPr>
        <w:t xml:space="preserve">  </w:t>
      </w:r>
      <w:r>
        <w:rPr>
          <w:szCs w:val="21"/>
          <w:u w:val="single"/>
        </w:rPr>
        <w:t xml:space="preserve">            </w:t>
      </w:r>
      <w:r>
        <w:rPr>
          <w:rFonts w:hint="eastAsia"/>
          <w:szCs w:val="21"/>
          <w:u w:val="single"/>
        </w:rPr>
        <w:t>　</w:t>
      </w:r>
      <w:r>
        <w:rPr>
          <w:rFonts w:hint="eastAsia"/>
          <w:szCs w:val="21"/>
        </w:rPr>
        <w:t xml:space="preserve">         试验日期</w:t>
      </w:r>
      <w:r>
        <w:rPr>
          <w:szCs w:val="21"/>
        </w:rPr>
        <w:t xml:space="preserve"> </w:t>
      </w:r>
      <w:r>
        <w:rPr>
          <w:szCs w:val="21"/>
          <w:u w:val="single"/>
        </w:rPr>
        <w:t xml:space="preserve">      </w:t>
      </w:r>
      <w:r>
        <w:rPr>
          <w:rFonts w:hint="eastAsia"/>
          <w:szCs w:val="21"/>
          <w:u w:val="single"/>
        </w:rPr>
        <w:t xml:space="preserve">    </w:t>
      </w:r>
      <w:r>
        <w:rPr>
          <w:szCs w:val="21"/>
          <w:u w:val="single"/>
        </w:rPr>
        <w:t xml:space="preserve">  </w:t>
      </w:r>
    </w:p>
    <w:p w14:paraId="5E68F3DF">
      <w:pPr>
        <w:pStyle w:val="121"/>
        <w:snapToGrid w:val="0"/>
        <w:ind w:firstLine="0" w:firstLineChars="0"/>
        <w:jc w:val="center"/>
        <w:rPr>
          <w:szCs w:val="21"/>
        </w:rPr>
      </w:pPr>
    </w:p>
    <w:p w14:paraId="7B60A553">
      <w:pPr>
        <w:pStyle w:val="121"/>
        <w:snapToGrid w:val="0"/>
        <w:spacing w:before="160" w:line="360" w:lineRule="auto"/>
        <w:ind w:firstLine="0" w:firstLineChars="0"/>
        <w:jc w:val="center"/>
        <w:rPr>
          <w:sz w:val="24"/>
        </w:rPr>
      </w:pPr>
    </w:p>
    <w:p w14:paraId="45B34FE5">
      <w:pPr>
        <w:pStyle w:val="121"/>
        <w:spacing w:before="160" w:line="360" w:lineRule="auto"/>
        <w:ind w:firstLine="0" w:firstLineChars="0"/>
        <w:jc w:val="center"/>
        <w:rPr>
          <w:sz w:val="24"/>
        </w:rPr>
      </w:pPr>
      <w:r>
        <w:rPr>
          <w:rFonts w:hint="eastAsia"/>
          <w:sz w:val="24"/>
        </w:rPr>
        <w:t>4</w:t>
      </w:r>
      <w:r>
        <w:rPr>
          <w:sz w:val="24"/>
        </w:rPr>
        <w:t>、</w:t>
      </w:r>
      <w:r>
        <w:rPr>
          <w:rFonts w:hint="eastAsia"/>
          <w:sz w:val="24"/>
        </w:rPr>
        <w:t>辅助功能试验原始记录</w:t>
      </w:r>
    </w:p>
    <w:p w14:paraId="0B0CF004">
      <w:pPr>
        <w:spacing w:before="160" w:line="360" w:lineRule="auto"/>
        <w:rPr>
          <w:sz w:val="24"/>
          <w:szCs w:val="24"/>
          <w:u w:val="single"/>
        </w:rPr>
      </w:pPr>
      <w:r>
        <w:rPr>
          <w:rFonts w:hint="eastAsia"/>
          <w:sz w:val="24"/>
          <w:szCs w:val="24"/>
        </w:rPr>
        <w:t>产品名称：</w:t>
      </w:r>
      <w:r>
        <w:rPr>
          <w:rFonts w:hint="eastAsia"/>
          <w:sz w:val="24"/>
          <w:szCs w:val="24"/>
          <w:u w:val="single"/>
        </w:rPr>
        <w:t xml:space="preserve">                         </w:t>
      </w:r>
      <w:r>
        <w:rPr>
          <w:rFonts w:hint="eastAsia"/>
          <w:sz w:val="24"/>
          <w:szCs w:val="24"/>
        </w:rPr>
        <w:t>型号规格：</w:t>
      </w:r>
      <w:r>
        <w:rPr>
          <w:sz w:val="24"/>
          <w:szCs w:val="24"/>
          <w:u w:val="single"/>
        </w:rPr>
        <w:t xml:space="preserve">                       </w:t>
      </w:r>
    </w:p>
    <w:p w14:paraId="0A608B8B">
      <w:pPr>
        <w:snapToGrid w:val="0"/>
        <w:spacing w:before="160" w:line="360" w:lineRule="auto"/>
        <w:rPr>
          <w:sz w:val="24"/>
          <w:szCs w:val="24"/>
          <w:u w:val="single"/>
        </w:rPr>
      </w:pPr>
      <w:r>
        <w:rPr>
          <w:rFonts w:hint="eastAsia"/>
          <w:sz w:val="24"/>
          <w:szCs w:val="24"/>
        </w:rPr>
        <w:t>准确度等级：</w:t>
      </w:r>
      <w:r>
        <w:rPr>
          <w:sz w:val="24"/>
          <w:szCs w:val="24"/>
          <w:u w:val="single"/>
        </w:rPr>
        <w:t xml:space="preserve">                     </w:t>
      </w:r>
      <w:r>
        <w:rPr>
          <w:rFonts w:hint="eastAsia"/>
          <w:sz w:val="24"/>
          <w:szCs w:val="24"/>
        </w:rPr>
        <w:t>制造单位：</w:t>
      </w:r>
      <w:r>
        <w:rPr>
          <w:sz w:val="24"/>
          <w:szCs w:val="24"/>
          <w:u w:val="single"/>
        </w:rPr>
        <w:t xml:space="preserve">                         </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0"/>
        <w:gridCol w:w="3750"/>
        <w:gridCol w:w="1419"/>
        <w:gridCol w:w="2373"/>
      </w:tblGrid>
      <w:tr w14:paraId="52175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11" w:type="pct"/>
            <w:tcBorders>
              <w:top w:val="single" w:color="auto" w:sz="4" w:space="0"/>
              <w:left w:val="single" w:color="auto" w:sz="4" w:space="0"/>
              <w:bottom w:val="single" w:color="auto" w:sz="4" w:space="0"/>
              <w:right w:val="single" w:color="auto" w:sz="4" w:space="0"/>
            </w:tcBorders>
            <w:vAlign w:val="center"/>
          </w:tcPr>
          <w:p w14:paraId="34D60EEA">
            <w:pPr>
              <w:snapToGrid w:val="0"/>
              <w:jc w:val="center"/>
              <w:rPr>
                <w:szCs w:val="21"/>
              </w:rPr>
            </w:pPr>
            <w:r>
              <w:rPr>
                <w:rFonts w:hint="eastAsia"/>
                <w:szCs w:val="21"/>
              </w:rPr>
              <w:t>项目名称</w:t>
            </w:r>
          </w:p>
        </w:tc>
        <w:tc>
          <w:tcPr>
            <w:tcW w:w="2083" w:type="pct"/>
            <w:tcBorders>
              <w:top w:val="single" w:color="auto" w:sz="4" w:space="0"/>
              <w:left w:val="single" w:color="auto" w:sz="4" w:space="0"/>
              <w:bottom w:val="single" w:color="auto" w:sz="4" w:space="0"/>
              <w:right w:val="single" w:color="auto" w:sz="4" w:space="0"/>
            </w:tcBorders>
            <w:vAlign w:val="center"/>
          </w:tcPr>
          <w:p w14:paraId="1307026C">
            <w:pPr>
              <w:snapToGrid w:val="0"/>
              <w:jc w:val="center"/>
              <w:rPr>
                <w:szCs w:val="21"/>
              </w:rPr>
            </w:pPr>
            <w:r>
              <w:rPr>
                <w:rFonts w:hint="eastAsia"/>
                <w:szCs w:val="21"/>
              </w:rPr>
              <w:t>型式评价大纲要求</w:t>
            </w:r>
          </w:p>
        </w:tc>
        <w:tc>
          <w:tcPr>
            <w:tcW w:w="788" w:type="pct"/>
            <w:tcBorders>
              <w:top w:val="single" w:color="auto" w:sz="4" w:space="0"/>
              <w:left w:val="single" w:color="auto" w:sz="4" w:space="0"/>
              <w:bottom w:val="single" w:color="auto" w:sz="4" w:space="0"/>
              <w:right w:val="single" w:color="auto" w:sz="4" w:space="0"/>
            </w:tcBorders>
            <w:vAlign w:val="center"/>
          </w:tcPr>
          <w:p w14:paraId="0EF4B3CB">
            <w:pPr>
              <w:snapToGrid w:val="0"/>
              <w:jc w:val="center"/>
              <w:rPr>
                <w:szCs w:val="21"/>
              </w:rPr>
            </w:pPr>
            <w:r>
              <w:rPr>
                <w:rFonts w:hint="eastAsia"/>
                <w:szCs w:val="21"/>
              </w:rPr>
              <w:t>样品编号</w:t>
            </w:r>
          </w:p>
        </w:tc>
        <w:tc>
          <w:tcPr>
            <w:tcW w:w="1318" w:type="pct"/>
            <w:tcBorders>
              <w:top w:val="single" w:color="auto" w:sz="4" w:space="0"/>
              <w:left w:val="single" w:color="auto" w:sz="4" w:space="0"/>
              <w:bottom w:val="single" w:color="auto" w:sz="4" w:space="0"/>
              <w:right w:val="single" w:color="auto" w:sz="4" w:space="0"/>
            </w:tcBorders>
            <w:vAlign w:val="center"/>
          </w:tcPr>
          <w:p w14:paraId="5CA21BF5">
            <w:pPr>
              <w:snapToGrid w:val="0"/>
              <w:jc w:val="center"/>
              <w:rPr>
                <w:szCs w:val="21"/>
              </w:rPr>
            </w:pPr>
            <w:r>
              <w:rPr>
                <w:rFonts w:hint="eastAsia"/>
                <w:szCs w:val="21"/>
              </w:rPr>
              <w:t>实测结果</w:t>
            </w:r>
          </w:p>
        </w:tc>
      </w:tr>
      <w:tr w14:paraId="0F255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11" w:type="pct"/>
            <w:vMerge w:val="restart"/>
            <w:tcBorders>
              <w:top w:val="single" w:color="auto" w:sz="4" w:space="0"/>
              <w:left w:val="single" w:color="auto" w:sz="4" w:space="0"/>
              <w:bottom w:val="single" w:color="auto" w:sz="4" w:space="0"/>
              <w:right w:val="single" w:color="auto" w:sz="4" w:space="0"/>
            </w:tcBorders>
            <w:vAlign w:val="center"/>
          </w:tcPr>
          <w:p w14:paraId="6534F99B">
            <w:pPr>
              <w:snapToGrid w:val="0"/>
              <w:rPr>
                <w:szCs w:val="21"/>
              </w:rPr>
            </w:pPr>
            <w:r>
              <w:rPr>
                <w:rFonts w:hint="eastAsia"/>
                <w:szCs w:val="21"/>
              </w:rPr>
              <w:t>7.4 辅助功能要求</w:t>
            </w:r>
          </w:p>
        </w:tc>
        <w:tc>
          <w:tcPr>
            <w:tcW w:w="2083" w:type="pct"/>
            <w:vMerge w:val="restart"/>
            <w:tcBorders>
              <w:top w:val="single" w:color="auto" w:sz="4" w:space="0"/>
              <w:left w:val="single" w:color="auto" w:sz="4" w:space="0"/>
              <w:bottom w:val="single" w:color="auto" w:sz="4" w:space="0"/>
              <w:right w:val="single" w:color="auto" w:sz="4" w:space="0"/>
            </w:tcBorders>
            <w:vAlign w:val="center"/>
          </w:tcPr>
          <w:p w14:paraId="3C5896EF">
            <w:pPr>
              <w:snapToGrid w:val="0"/>
              <w:rPr>
                <w:szCs w:val="21"/>
              </w:rPr>
            </w:pPr>
            <w:r>
              <w:rPr>
                <w:rFonts w:hint="eastAsia"/>
                <w:szCs w:val="21"/>
              </w:rPr>
              <w:t>7.4.1 工作电源欠压</w:t>
            </w:r>
          </w:p>
          <w:p w14:paraId="2DA330AF">
            <w:pPr>
              <w:pStyle w:val="85"/>
              <w:snapToGrid w:val="0"/>
              <w:ind w:firstLine="420"/>
              <w:rPr>
                <w:szCs w:val="21"/>
              </w:rPr>
            </w:pPr>
            <w:r>
              <w:rPr>
                <w:rFonts w:hint="eastAsia" w:ascii="Times New Roman" w:hAnsi="Times New Roman" w:eastAsia="宋体"/>
                <w:szCs w:val="21"/>
              </w:rPr>
              <w:t>采用电池供电的</w:t>
            </w:r>
            <w:r>
              <w:rPr>
                <w:rFonts w:ascii="Times New Roman" w:hAnsi="Times New Roman" w:eastAsia="宋体"/>
                <w:szCs w:val="21"/>
              </w:rPr>
              <w:t>流量计</w:t>
            </w:r>
            <w:r>
              <w:rPr>
                <w:rFonts w:hint="eastAsia" w:ascii="Times New Roman" w:hAnsi="Times New Roman" w:eastAsia="宋体"/>
                <w:szCs w:val="21"/>
              </w:rPr>
              <w:t>，当</w:t>
            </w:r>
            <w:r>
              <w:rPr>
                <w:rFonts w:ascii="Times New Roman" w:hAnsi="Times New Roman" w:eastAsia="宋体"/>
                <w:szCs w:val="21"/>
              </w:rPr>
              <w:t>电池电压降至</w:t>
            </w:r>
            <w:r>
              <w:rPr>
                <w:rFonts w:hint="eastAsia" w:ascii="Times New Roman" w:hAnsi="Times New Roman" w:eastAsia="宋体"/>
                <w:szCs w:val="21"/>
              </w:rPr>
              <w:t>低</w:t>
            </w:r>
            <w:r>
              <w:rPr>
                <w:rFonts w:ascii="Times New Roman" w:hAnsi="Times New Roman" w:eastAsia="宋体"/>
                <w:szCs w:val="21"/>
              </w:rPr>
              <w:t>电压</w:t>
            </w:r>
            <w:r>
              <w:rPr>
                <w:rFonts w:hint="eastAsia" w:ascii="Times New Roman" w:hAnsi="Times New Roman" w:eastAsia="宋体"/>
                <w:szCs w:val="21"/>
              </w:rPr>
              <w:t>设定</w:t>
            </w:r>
            <w:r>
              <w:rPr>
                <w:rFonts w:ascii="Times New Roman" w:hAnsi="Times New Roman" w:eastAsia="宋体"/>
                <w:szCs w:val="21"/>
              </w:rPr>
              <w:t>值时，应有明确的</w:t>
            </w:r>
            <w:r>
              <w:rPr>
                <w:rFonts w:hint="eastAsia" w:ascii="Times New Roman" w:hAnsi="Times New Roman" w:eastAsia="宋体"/>
                <w:szCs w:val="21"/>
              </w:rPr>
              <w:t>文字、符号或声光</w:t>
            </w:r>
            <w:r>
              <w:rPr>
                <w:rFonts w:ascii="Times New Roman" w:hAnsi="Times New Roman" w:eastAsia="宋体"/>
                <w:szCs w:val="21"/>
              </w:rPr>
              <w:t>提示</w:t>
            </w:r>
            <w:r>
              <w:rPr>
                <w:rFonts w:hint="eastAsia" w:ascii="Times New Roman" w:hAnsi="Times New Roman" w:eastAsia="宋体"/>
                <w:szCs w:val="21"/>
              </w:rPr>
              <w:t>。</w:t>
            </w:r>
          </w:p>
        </w:tc>
        <w:tc>
          <w:tcPr>
            <w:tcW w:w="788" w:type="pct"/>
            <w:tcBorders>
              <w:top w:val="single" w:color="auto" w:sz="4" w:space="0"/>
              <w:left w:val="single" w:color="auto" w:sz="4" w:space="0"/>
              <w:bottom w:val="single" w:color="auto" w:sz="4" w:space="0"/>
              <w:right w:val="single" w:color="auto" w:sz="4" w:space="0"/>
            </w:tcBorders>
            <w:vAlign w:val="center"/>
          </w:tcPr>
          <w:p w14:paraId="688F6597">
            <w:pPr>
              <w:snapToGrid w:val="0"/>
              <w:jc w:val="center"/>
              <w:rPr>
                <w:szCs w:val="21"/>
              </w:rPr>
            </w:pPr>
          </w:p>
        </w:tc>
        <w:tc>
          <w:tcPr>
            <w:tcW w:w="1318" w:type="pct"/>
            <w:tcBorders>
              <w:top w:val="single" w:color="auto" w:sz="4" w:space="0"/>
              <w:left w:val="single" w:color="auto" w:sz="4" w:space="0"/>
              <w:bottom w:val="single" w:color="auto" w:sz="4" w:space="0"/>
              <w:right w:val="single" w:color="auto" w:sz="4" w:space="0"/>
            </w:tcBorders>
            <w:vAlign w:val="center"/>
          </w:tcPr>
          <w:p w14:paraId="60393EA6">
            <w:pPr>
              <w:tabs>
                <w:tab w:val="left" w:pos="3060"/>
              </w:tabs>
              <w:snapToGrid w:val="0"/>
              <w:jc w:val="center"/>
              <w:rPr>
                <w:szCs w:val="21"/>
              </w:rPr>
            </w:pPr>
          </w:p>
        </w:tc>
      </w:tr>
      <w:tr w14:paraId="33E4D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75EEBF9">
            <w:pPr>
              <w:widowControl/>
              <w:snapToGrid w:val="0"/>
              <w:jc w:val="left"/>
              <w:rPr>
                <w:szCs w:val="21"/>
              </w:rPr>
            </w:pPr>
          </w:p>
        </w:tc>
        <w:tc>
          <w:tcPr>
            <w:tcW w:w="2083" w:type="pct"/>
            <w:vMerge w:val="continue"/>
            <w:tcBorders>
              <w:top w:val="single" w:color="auto" w:sz="4" w:space="0"/>
              <w:left w:val="single" w:color="auto" w:sz="4" w:space="0"/>
              <w:bottom w:val="single" w:color="auto" w:sz="4" w:space="0"/>
              <w:right w:val="single" w:color="auto" w:sz="4" w:space="0"/>
            </w:tcBorders>
            <w:vAlign w:val="center"/>
          </w:tcPr>
          <w:p w14:paraId="7F8F6960">
            <w:pPr>
              <w:widowControl/>
              <w:snapToGrid w:val="0"/>
              <w:jc w:val="left"/>
              <w:rPr>
                <w:szCs w:val="21"/>
              </w:rPr>
            </w:pPr>
          </w:p>
        </w:tc>
        <w:tc>
          <w:tcPr>
            <w:tcW w:w="788" w:type="pct"/>
            <w:tcBorders>
              <w:top w:val="single" w:color="auto" w:sz="4" w:space="0"/>
              <w:left w:val="single" w:color="auto" w:sz="4" w:space="0"/>
              <w:bottom w:val="single" w:color="auto" w:sz="4" w:space="0"/>
              <w:right w:val="single" w:color="auto" w:sz="4" w:space="0"/>
            </w:tcBorders>
            <w:vAlign w:val="center"/>
          </w:tcPr>
          <w:p w14:paraId="3BCA7160">
            <w:pPr>
              <w:snapToGrid w:val="0"/>
              <w:jc w:val="center"/>
              <w:rPr>
                <w:szCs w:val="21"/>
              </w:rPr>
            </w:pPr>
          </w:p>
        </w:tc>
        <w:tc>
          <w:tcPr>
            <w:tcW w:w="1318" w:type="pct"/>
            <w:tcBorders>
              <w:top w:val="single" w:color="auto" w:sz="4" w:space="0"/>
              <w:left w:val="single" w:color="auto" w:sz="4" w:space="0"/>
              <w:bottom w:val="single" w:color="auto" w:sz="4" w:space="0"/>
              <w:right w:val="single" w:color="auto" w:sz="4" w:space="0"/>
            </w:tcBorders>
            <w:vAlign w:val="center"/>
          </w:tcPr>
          <w:p w14:paraId="606C401F">
            <w:pPr>
              <w:tabs>
                <w:tab w:val="left" w:pos="3060"/>
              </w:tabs>
              <w:snapToGrid w:val="0"/>
              <w:jc w:val="center"/>
              <w:rPr>
                <w:szCs w:val="21"/>
              </w:rPr>
            </w:pPr>
          </w:p>
        </w:tc>
      </w:tr>
      <w:tr w14:paraId="27FDE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C9A968D">
            <w:pPr>
              <w:widowControl/>
              <w:snapToGrid w:val="0"/>
              <w:jc w:val="left"/>
              <w:rPr>
                <w:szCs w:val="21"/>
              </w:rPr>
            </w:pPr>
          </w:p>
        </w:tc>
        <w:tc>
          <w:tcPr>
            <w:tcW w:w="2083" w:type="pct"/>
            <w:vMerge w:val="continue"/>
            <w:tcBorders>
              <w:top w:val="single" w:color="auto" w:sz="4" w:space="0"/>
              <w:left w:val="single" w:color="auto" w:sz="4" w:space="0"/>
              <w:bottom w:val="single" w:color="auto" w:sz="4" w:space="0"/>
              <w:right w:val="single" w:color="auto" w:sz="4" w:space="0"/>
            </w:tcBorders>
            <w:vAlign w:val="center"/>
          </w:tcPr>
          <w:p w14:paraId="018E8A39">
            <w:pPr>
              <w:widowControl/>
              <w:snapToGrid w:val="0"/>
              <w:jc w:val="left"/>
              <w:rPr>
                <w:szCs w:val="21"/>
              </w:rPr>
            </w:pPr>
          </w:p>
        </w:tc>
        <w:tc>
          <w:tcPr>
            <w:tcW w:w="788" w:type="pct"/>
            <w:tcBorders>
              <w:top w:val="single" w:color="auto" w:sz="4" w:space="0"/>
              <w:left w:val="single" w:color="auto" w:sz="4" w:space="0"/>
              <w:bottom w:val="single" w:color="auto" w:sz="4" w:space="0"/>
              <w:right w:val="single" w:color="auto" w:sz="4" w:space="0"/>
            </w:tcBorders>
            <w:vAlign w:val="center"/>
          </w:tcPr>
          <w:p w14:paraId="54596EDE">
            <w:pPr>
              <w:snapToGrid w:val="0"/>
              <w:jc w:val="center"/>
              <w:rPr>
                <w:szCs w:val="21"/>
              </w:rPr>
            </w:pPr>
          </w:p>
        </w:tc>
        <w:tc>
          <w:tcPr>
            <w:tcW w:w="1318" w:type="pct"/>
            <w:tcBorders>
              <w:top w:val="single" w:color="auto" w:sz="4" w:space="0"/>
              <w:left w:val="single" w:color="auto" w:sz="4" w:space="0"/>
              <w:bottom w:val="single" w:color="auto" w:sz="4" w:space="0"/>
              <w:right w:val="single" w:color="auto" w:sz="4" w:space="0"/>
            </w:tcBorders>
            <w:vAlign w:val="center"/>
          </w:tcPr>
          <w:p w14:paraId="05FF2367">
            <w:pPr>
              <w:tabs>
                <w:tab w:val="left" w:pos="3060"/>
              </w:tabs>
              <w:snapToGrid w:val="0"/>
              <w:jc w:val="center"/>
              <w:rPr>
                <w:szCs w:val="21"/>
              </w:rPr>
            </w:pPr>
          </w:p>
        </w:tc>
      </w:tr>
      <w:tr w14:paraId="298C1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7"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1F30879">
            <w:pPr>
              <w:widowControl/>
              <w:snapToGrid w:val="0"/>
              <w:jc w:val="left"/>
              <w:rPr>
                <w:szCs w:val="21"/>
              </w:rPr>
            </w:pPr>
          </w:p>
        </w:tc>
        <w:tc>
          <w:tcPr>
            <w:tcW w:w="2083" w:type="pct"/>
            <w:vMerge w:val="restart"/>
            <w:tcBorders>
              <w:top w:val="single" w:color="auto" w:sz="4" w:space="0"/>
              <w:left w:val="single" w:color="auto" w:sz="4" w:space="0"/>
              <w:bottom w:val="single" w:color="auto" w:sz="4" w:space="0"/>
              <w:right w:val="single" w:color="auto" w:sz="4" w:space="0"/>
            </w:tcBorders>
            <w:vAlign w:val="center"/>
          </w:tcPr>
          <w:p w14:paraId="7398EBA9">
            <w:pPr>
              <w:snapToGrid w:val="0"/>
              <w:rPr>
                <w:szCs w:val="21"/>
              </w:rPr>
            </w:pPr>
            <w:r>
              <w:rPr>
                <w:rFonts w:hint="eastAsia"/>
                <w:szCs w:val="21"/>
              </w:rPr>
              <w:t>7.4.2 断电保护</w:t>
            </w:r>
          </w:p>
          <w:p w14:paraId="4C95AD34">
            <w:pPr>
              <w:snapToGrid w:val="0"/>
              <w:ind w:firstLine="420" w:firstLineChars="200"/>
              <w:rPr>
                <w:szCs w:val="21"/>
              </w:rPr>
            </w:pPr>
            <w:r>
              <w:rPr>
                <w:rFonts w:hint="eastAsia"/>
                <w:szCs w:val="21"/>
              </w:rPr>
              <w:t>当电源电压降至欠压设计值或电源中断时，应保证流量计保存的信息和数据不丢失。</w:t>
            </w:r>
          </w:p>
        </w:tc>
        <w:tc>
          <w:tcPr>
            <w:tcW w:w="788" w:type="pct"/>
            <w:tcBorders>
              <w:top w:val="single" w:color="auto" w:sz="4" w:space="0"/>
              <w:left w:val="single" w:color="auto" w:sz="4" w:space="0"/>
              <w:bottom w:val="single" w:color="auto" w:sz="4" w:space="0"/>
              <w:right w:val="single" w:color="auto" w:sz="4" w:space="0"/>
            </w:tcBorders>
            <w:vAlign w:val="center"/>
          </w:tcPr>
          <w:p w14:paraId="252272A4">
            <w:pPr>
              <w:snapToGrid w:val="0"/>
              <w:jc w:val="center"/>
              <w:rPr>
                <w:szCs w:val="21"/>
              </w:rPr>
            </w:pPr>
          </w:p>
        </w:tc>
        <w:tc>
          <w:tcPr>
            <w:tcW w:w="1318" w:type="pct"/>
            <w:tcBorders>
              <w:top w:val="single" w:color="auto" w:sz="4" w:space="0"/>
              <w:left w:val="single" w:color="auto" w:sz="4" w:space="0"/>
              <w:bottom w:val="single" w:color="auto" w:sz="4" w:space="0"/>
              <w:right w:val="single" w:color="auto" w:sz="4" w:space="0"/>
            </w:tcBorders>
            <w:vAlign w:val="center"/>
          </w:tcPr>
          <w:p w14:paraId="3594D3BF">
            <w:pPr>
              <w:tabs>
                <w:tab w:val="left" w:pos="3060"/>
              </w:tabs>
              <w:snapToGrid w:val="0"/>
              <w:jc w:val="center"/>
              <w:rPr>
                <w:szCs w:val="21"/>
              </w:rPr>
            </w:pPr>
          </w:p>
        </w:tc>
      </w:tr>
      <w:tr w14:paraId="6447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F166A3D">
            <w:pPr>
              <w:widowControl/>
              <w:snapToGrid w:val="0"/>
              <w:jc w:val="left"/>
              <w:rPr>
                <w:szCs w:val="21"/>
              </w:rPr>
            </w:pPr>
          </w:p>
        </w:tc>
        <w:tc>
          <w:tcPr>
            <w:tcW w:w="2083" w:type="pct"/>
            <w:vMerge w:val="continue"/>
            <w:tcBorders>
              <w:top w:val="single" w:color="auto" w:sz="4" w:space="0"/>
              <w:left w:val="single" w:color="auto" w:sz="4" w:space="0"/>
              <w:bottom w:val="single" w:color="auto" w:sz="4" w:space="0"/>
              <w:right w:val="single" w:color="auto" w:sz="4" w:space="0"/>
            </w:tcBorders>
            <w:vAlign w:val="center"/>
          </w:tcPr>
          <w:p w14:paraId="19F6AEC2">
            <w:pPr>
              <w:widowControl/>
              <w:snapToGrid w:val="0"/>
              <w:jc w:val="left"/>
              <w:rPr>
                <w:szCs w:val="21"/>
              </w:rPr>
            </w:pPr>
          </w:p>
        </w:tc>
        <w:tc>
          <w:tcPr>
            <w:tcW w:w="788" w:type="pct"/>
            <w:tcBorders>
              <w:top w:val="single" w:color="auto" w:sz="4" w:space="0"/>
              <w:left w:val="single" w:color="auto" w:sz="4" w:space="0"/>
              <w:bottom w:val="single" w:color="auto" w:sz="4" w:space="0"/>
              <w:right w:val="single" w:color="auto" w:sz="4" w:space="0"/>
            </w:tcBorders>
            <w:vAlign w:val="center"/>
          </w:tcPr>
          <w:p w14:paraId="279B010D">
            <w:pPr>
              <w:snapToGrid w:val="0"/>
              <w:jc w:val="center"/>
              <w:rPr>
                <w:szCs w:val="21"/>
              </w:rPr>
            </w:pPr>
          </w:p>
        </w:tc>
        <w:tc>
          <w:tcPr>
            <w:tcW w:w="1318" w:type="pct"/>
            <w:tcBorders>
              <w:top w:val="single" w:color="auto" w:sz="4" w:space="0"/>
              <w:left w:val="single" w:color="auto" w:sz="4" w:space="0"/>
              <w:bottom w:val="single" w:color="auto" w:sz="4" w:space="0"/>
              <w:right w:val="single" w:color="auto" w:sz="4" w:space="0"/>
            </w:tcBorders>
            <w:vAlign w:val="center"/>
          </w:tcPr>
          <w:p w14:paraId="00840886">
            <w:pPr>
              <w:tabs>
                <w:tab w:val="left" w:pos="3060"/>
              </w:tabs>
              <w:snapToGrid w:val="0"/>
              <w:jc w:val="center"/>
              <w:rPr>
                <w:szCs w:val="21"/>
              </w:rPr>
            </w:pPr>
          </w:p>
        </w:tc>
      </w:tr>
      <w:tr w14:paraId="642FE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B6C1528">
            <w:pPr>
              <w:widowControl/>
              <w:snapToGrid w:val="0"/>
              <w:jc w:val="left"/>
              <w:rPr>
                <w:szCs w:val="21"/>
              </w:rPr>
            </w:pPr>
          </w:p>
        </w:tc>
        <w:tc>
          <w:tcPr>
            <w:tcW w:w="2083" w:type="pct"/>
            <w:vMerge w:val="continue"/>
            <w:tcBorders>
              <w:top w:val="single" w:color="auto" w:sz="4" w:space="0"/>
              <w:left w:val="single" w:color="auto" w:sz="4" w:space="0"/>
              <w:bottom w:val="single" w:color="auto" w:sz="4" w:space="0"/>
              <w:right w:val="single" w:color="auto" w:sz="4" w:space="0"/>
            </w:tcBorders>
            <w:vAlign w:val="center"/>
          </w:tcPr>
          <w:p w14:paraId="6C746D74">
            <w:pPr>
              <w:widowControl/>
              <w:snapToGrid w:val="0"/>
              <w:jc w:val="left"/>
              <w:rPr>
                <w:szCs w:val="21"/>
              </w:rPr>
            </w:pPr>
          </w:p>
        </w:tc>
        <w:tc>
          <w:tcPr>
            <w:tcW w:w="788" w:type="pct"/>
            <w:tcBorders>
              <w:top w:val="single" w:color="auto" w:sz="4" w:space="0"/>
              <w:left w:val="single" w:color="auto" w:sz="4" w:space="0"/>
              <w:bottom w:val="single" w:color="auto" w:sz="4" w:space="0"/>
              <w:right w:val="single" w:color="auto" w:sz="4" w:space="0"/>
            </w:tcBorders>
            <w:vAlign w:val="center"/>
          </w:tcPr>
          <w:p w14:paraId="4997F7BF">
            <w:pPr>
              <w:snapToGrid w:val="0"/>
              <w:jc w:val="center"/>
              <w:rPr>
                <w:szCs w:val="21"/>
              </w:rPr>
            </w:pPr>
          </w:p>
        </w:tc>
        <w:tc>
          <w:tcPr>
            <w:tcW w:w="1318" w:type="pct"/>
            <w:tcBorders>
              <w:top w:val="single" w:color="auto" w:sz="4" w:space="0"/>
              <w:left w:val="single" w:color="auto" w:sz="4" w:space="0"/>
              <w:bottom w:val="single" w:color="auto" w:sz="4" w:space="0"/>
              <w:right w:val="single" w:color="auto" w:sz="4" w:space="0"/>
            </w:tcBorders>
            <w:vAlign w:val="center"/>
          </w:tcPr>
          <w:p w14:paraId="660836EC">
            <w:pPr>
              <w:tabs>
                <w:tab w:val="left" w:pos="3060"/>
              </w:tabs>
              <w:snapToGrid w:val="0"/>
              <w:jc w:val="center"/>
              <w:rPr>
                <w:szCs w:val="21"/>
              </w:rPr>
            </w:pPr>
          </w:p>
        </w:tc>
      </w:tr>
      <w:tr w14:paraId="3CE89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1C01447B">
            <w:pPr>
              <w:snapToGrid w:val="0"/>
              <w:spacing w:before="240" w:beforeLines="100"/>
              <w:rPr>
                <w:spacing w:val="-8"/>
                <w:szCs w:val="21"/>
              </w:rPr>
            </w:pPr>
            <w:r>
              <w:rPr>
                <w:rFonts w:hint="eastAsia"/>
                <w:spacing w:val="-8"/>
                <w:szCs w:val="21"/>
              </w:rPr>
              <w:t>环境条件：大气压：</w:t>
            </w:r>
            <w:r>
              <w:rPr>
                <w:spacing w:val="-8"/>
                <w:szCs w:val="21"/>
                <w:u w:val="single"/>
              </w:rPr>
              <w:t xml:space="preserve">        </w:t>
            </w:r>
            <w:r>
              <w:rPr>
                <w:spacing w:val="-8"/>
                <w:szCs w:val="21"/>
              </w:rPr>
              <w:t>kPa</w:t>
            </w:r>
            <w:r>
              <w:rPr>
                <w:rFonts w:hint="eastAsia"/>
                <w:spacing w:val="-8"/>
                <w:szCs w:val="21"/>
              </w:rPr>
              <w:t>；环境温度：</w:t>
            </w:r>
            <w:r>
              <w:rPr>
                <w:spacing w:val="-8"/>
                <w:szCs w:val="21"/>
                <w:u w:val="single"/>
              </w:rPr>
              <w:t xml:space="preserve">         </w:t>
            </w:r>
            <w:r>
              <w:rPr>
                <w:rFonts w:hint="eastAsia" w:ascii="宋体" w:hAnsi="宋体" w:cs="宋体"/>
                <w:spacing w:val="-8"/>
                <w:szCs w:val="21"/>
              </w:rPr>
              <w:t>℃</w:t>
            </w:r>
            <w:r>
              <w:rPr>
                <w:rFonts w:hint="eastAsia"/>
                <w:spacing w:val="-8"/>
                <w:szCs w:val="21"/>
              </w:rPr>
              <w:t>；相对湿度：</w:t>
            </w:r>
            <w:r>
              <w:rPr>
                <w:spacing w:val="-8"/>
                <w:szCs w:val="21"/>
                <w:u w:val="single"/>
              </w:rPr>
              <w:t xml:space="preserve">         </w:t>
            </w:r>
            <w:r>
              <w:rPr>
                <w:spacing w:val="-8"/>
                <w:szCs w:val="21"/>
              </w:rPr>
              <w:t>%</w:t>
            </w:r>
          </w:p>
          <w:p w14:paraId="77ACD808">
            <w:pPr>
              <w:snapToGrid w:val="0"/>
              <w:spacing w:before="240" w:beforeLines="100"/>
              <w:rPr>
                <w:szCs w:val="21"/>
              </w:rPr>
            </w:pPr>
            <w:r>
              <w:rPr>
                <w:rFonts w:hint="eastAsia"/>
                <w:spacing w:val="-8"/>
                <w:szCs w:val="21"/>
              </w:rPr>
              <w:t>试验设备：</w:t>
            </w:r>
          </w:p>
        </w:tc>
      </w:tr>
    </w:tbl>
    <w:p w14:paraId="411C4F68">
      <w:pPr>
        <w:pStyle w:val="121"/>
        <w:snapToGrid w:val="0"/>
        <w:spacing w:before="240" w:beforeLines="100"/>
        <w:ind w:firstLine="0" w:firstLineChars="0"/>
        <w:rPr>
          <w:szCs w:val="21"/>
        </w:rPr>
      </w:pPr>
      <w:r>
        <w:rPr>
          <w:rFonts w:hint="eastAsia"/>
          <w:szCs w:val="21"/>
        </w:rPr>
        <w:t xml:space="preserve">试验员  </w:t>
      </w:r>
      <w:r>
        <w:rPr>
          <w:szCs w:val="21"/>
          <w:u w:val="single"/>
        </w:rPr>
        <w:t xml:space="preserve">    </w:t>
      </w:r>
      <w:r>
        <w:rPr>
          <w:rFonts w:hint="eastAsia"/>
          <w:szCs w:val="21"/>
          <w:u w:val="single"/>
        </w:rPr>
        <w:t>　</w:t>
      </w:r>
      <w:r>
        <w:rPr>
          <w:szCs w:val="21"/>
          <w:u w:val="single"/>
        </w:rPr>
        <w:t xml:space="preserve">        </w:t>
      </w:r>
      <w:r>
        <w:rPr>
          <w:szCs w:val="21"/>
        </w:rPr>
        <w:t xml:space="preserve">    </w:t>
      </w:r>
      <w:r>
        <w:rPr>
          <w:rFonts w:hint="eastAsia"/>
          <w:szCs w:val="21"/>
        </w:rPr>
        <w:t xml:space="preserve"> </w:t>
      </w:r>
      <w:r>
        <w:rPr>
          <w:szCs w:val="21"/>
        </w:rPr>
        <w:t xml:space="preserve"> </w:t>
      </w:r>
      <w:r>
        <w:rPr>
          <w:rFonts w:hint="eastAsia"/>
          <w:szCs w:val="21"/>
        </w:rPr>
        <w:t>核验员</w:t>
      </w:r>
      <w:r>
        <w:rPr>
          <w:szCs w:val="21"/>
        </w:rPr>
        <w:t xml:space="preserve"> </w:t>
      </w:r>
      <w:r>
        <w:rPr>
          <w:rFonts w:hint="eastAsia"/>
          <w:szCs w:val="21"/>
        </w:rPr>
        <w:t xml:space="preserve">  </w:t>
      </w:r>
      <w:r>
        <w:rPr>
          <w:szCs w:val="21"/>
          <w:u w:val="single"/>
        </w:rPr>
        <w:t xml:space="preserve">            </w:t>
      </w:r>
      <w:r>
        <w:rPr>
          <w:rFonts w:hint="eastAsia"/>
          <w:szCs w:val="21"/>
          <w:u w:val="single"/>
        </w:rPr>
        <w:t>　</w:t>
      </w:r>
      <w:r>
        <w:rPr>
          <w:rFonts w:hint="eastAsia"/>
          <w:szCs w:val="21"/>
        </w:rPr>
        <w:t xml:space="preserve">         试验日期</w:t>
      </w:r>
      <w:r>
        <w:rPr>
          <w:szCs w:val="21"/>
        </w:rPr>
        <w:t xml:space="preserve"> </w:t>
      </w:r>
      <w:r>
        <w:rPr>
          <w:szCs w:val="21"/>
          <w:u w:val="single"/>
        </w:rPr>
        <w:t xml:space="preserve">      </w:t>
      </w:r>
      <w:r>
        <w:rPr>
          <w:rFonts w:hint="eastAsia"/>
          <w:szCs w:val="21"/>
          <w:u w:val="single"/>
        </w:rPr>
        <w:t xml:space="preserve">     </w:t>
      </w:r>
      <w:r>
        <w:rPr>
          <w:szCs w:val="21"/>
          <w:u w:val="single"/>
        </w:rPr>
        <w:t xml:space="preserve">  </w:t>
      </w:r>
    </w:p>
    <w:p w14:paraId="761F2756">
      <w:pPr>
        <w:pStyle w:val="121"/>
        <w:spacing w:before="160" w:line="360" w:lineRule="auto"/>
        <w:ind w:firstLine="0" w:firstLineChars="0"/>
        <w:jc w:val="center"/>
        <w:rPr>
          <w:sz w:val="24"/>
        </w:rPr>
      </w:pPr>
      <w:r>
        <w:rPr>
          <w:rFonts w:hint="eastAsia"/>
          <w:sz w:val="24"/>
        </w:rPr>
        <w:t>5、</w:t>
      </w:r>
      <w:r>
        <w:rPr>
          <w:sz w:val="24"/>
        </w:rPr>
        <w:t xml:space="preserve"> </w:t>
      </w:r>
      <w:r>
        <w:rPr>
          <w:rFonts w:hint="eastAsia"/>
          <w:sz w:val="24"/>
        </w:rPr>
        <w:t>安全性能试验原始记录</w:t>
      </w:r>
    </w:p>
    <w:p w14:paraId="2435174A">
      <w:pPr>
        <w:spacing w:before="160" w:line="360" w:lineRule="auto"/>
        <w:rPr>
          <w:sz w:val="24"/>
          <w:szCs w:val="24"/>
          <w:u w:val="single"/>
        </w:rPr>
      </w:pPr>
      <w:r>
        <w:rPr>
          <w:rFonts w:hint="eastAsia"/>
          <w:sz w:val="24"/>
          <w:szCs w:val="24"/>
        </w:rPr>
        <w:t>产品名称：</w:t>
      </w:r>
      <w:r>
        <w:rPr>
          <w:rFonts w:hint="eastAsia"/>
          <w:sz w:val="24"/>
          <w:szCs w:val="24"/>
          <w:u w:val="single"/>
        </w:rPr>
        <w:t xml:space="preserve">                         </w:t>
      </w:r>
      <w:r>
        <w:rPr>
          <w:rFonts w:hint="eastAsia"/>
          <w:sz w:val="24"/>
          <w:szCs w:val="24"/>
        </w:rPr>
        <w:t>型号规格：</w:t>
      </w:r>
      <w:r>
        <w:rPr>
          <w:sz w:val="24"/>
          <w:szCs w:val="24"/>
          <w:u w:val="single"/>
        </w:rPr>
        <w:t xml:space="preserve">                       </w:t>
      </w:r>
    </w:p>
    <w:p w14:paraId="23CB2DE7">
      <w:pPr>
        <w:spacing w:before="160" w:line="360" w:lineRule="auto"/>
        <w:rPr>
          <w:sz w:val="24"/>
          <w:szCs w:val="24"/>
          <w:u w:val="single"/>
        </w:rPr>
      </w:pPr>
      <w:r>
        <w:rPr>
          <w:rFonts w:hint="eastAsia"/>
          <w:sz w:val="24"/>
          <w:szCs w:val="24"/>
        </w:rPr>
        <w:t>准确度等级：</w:t>
      </w:r>
      <w:r>
        <w:rPr>
          <w:sz w:val="24"/>
          <w:szCs w:val="24"/>
          <w:u w:val="single"/>
        </w:rPr>
        <w:t xml:space="preserve">                     </w:t>
      </w:r>
      <w:r>
        <w:rPr>
          <w:rFonts w:hint="eastAsia"/>
          <w:sz w:val="24"/>
          <w:szCs w:val="24"/>
        </w:rPr>
        <w:t>制造单位：</w:t>
      </w:r>
      <w:r>
        <w:rPr>
          <w:sz w:val="24"/>
          <w:szCs w:val="24"/>
          <w:u w:val="single"/>
        </w:rPr>
        <w:t xml:space="preserve">                         </w:t>
      </w:r>
    </w:p>
    <w:tbl>
      <w:tblPr>
        <w:tblStyle w:val="38"/>
        <w:tblW w:w="8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8"/>
        <w:gridCol w:w="4574"/>
        <w:gridCol w:w="1418"/>
        <w:gridCol w:w="1146"/>
      </w:tblGrid>
      <w:tr w14:paraId="2DEEE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658" w:type="dxa"/>
            <w:tcBorders>
              <w:top w:val="single" w:color="auto" w:sz="4" w:space="0"/>
              <w:left w:val="single" w:color="auto" w:sz="4" w:space="0"/>
              <w:bottom w:val="single" w:color="auto" w:sz="4" w:space="0"/>
              <w:right w:val="single" w:color="auto" w:sz="4" w:space="0"/>
            </w:tcBorders>
            <w:vAlign w:val="center"/>
          </w:tcPr>
          <w:p w14:paraId="44ACBD5A">
            <w:pPr>
              <w:snapToGrid w:val="0"/>
              <w:jc w:val="center"/>
              <w:rPr>
                <w:szCs w:val="21"/>
              </w:rPr>
            </w:pPr>
            <w:r>
              <w:rPr>
                <w:rFonts w:hint="eastAsia"/>
                <w:szCs w:val="21"/>
              </w:rPr>
              <w:t>项目名称</w:t>
            </w:r>
          </w:p>
        </w:tc>
        <w:tc>
          <w:tcPr>
            <w:tcW w:w="4574" w:type="dxa"/>
            <w:tcBorders>
              <w:top w:val="single" w:color="auto" w:sz="4" w:space="0"/>
              <w:left w:val="single" w:color="auto" w:sz="4" w:space="0"/>
              <w:bottom w:val="single" w:color="auto" w:sz="4" w:space="0"/>
              <w:right w:val="single" w:color="auto" w:sz="4" w:space="0"/>
            </w:tcBorders>
            <w:vAlign w:val="center"/>
          </w:tcPr>
          <w:p w14:paraId="31E8F5A5">
            <w:pPr>
              <w:snapToGrid w:val="0"/>
              <w:jc w:val="center"/>
              <w:rPr>
                <w:szCs w:val="21"/>
              </w:rPr>
            </w:pPr>
            <w:r>
              <w:rPr>
                <w:rFonts w:hint="eastAsia"/>
                <w:szCs w:val="21"/>
              </w:rPr>
              <w:t>型式评价大纲要求</w:t>
            </w:r>
          </w:p>
        </w:tc>
        <w:tc>
          <w:tcPr>
            <w:tcW w:w="1418" w:type="dxa"/>
            <w:tcBorders>
              <w:top w:val="single" w:color="auto" w:sz="4" w:space="0"/>
              <w:left w:val="single" w:color="auto" w:sz="4" w:space="0"/>
              <w:bottom w:val="single" w:color="auto" w:sz="4" w:space="0"/>
              <w:right w:val="single" w:color="auto" w:sz="4" w:space="0"/>
            </w:tcBorders>
            <w:vAlign w:val="center"/>
          </w:tcPr>
          <w:p w14:paraId="51248D83">
            <w:pPr>
              <w:snapToGrid w:val="0"/>
              <w:jc w:val="center"/>
              <w:rPr>
                <w:szCs w:val="21"/>
              </w:rPr>
            </w:pPr>
            <w:r>
              <w:rPr>
                <w:rFonts w:hint="eastAsia"/>
                <w:szCs w:val="21"/>
              </w:rPr>
              <w:t>样品编号</w:t>
            </w:r>
          </w:p>
        </w:tc>
        <w:tc>
          <w:tcPr>
            <w:tcW w:w="1146" w:type="dxa"/>
            <w:tcBorders>
              <w:top w:val="single" w:color="auto" w:sz="4" w:space="0"/>
              <w:left w:val="single" w:color="auto" w:sz="4" w:space="0"/>
              <w:bottom w:val="single" w:color="auto" w:sz="4" w:space="0"/>
              <w:right w:val="single" w:color="auto" w:sz="4" w:space="0"/>
            </w:tcBorders>
            <w:vAlign w:val="center"/>
          </w:tcPr>
          <w:p w14:paraId="0255BAE0">
            <w:pPr>
              <w:snapToGrid w:val="0"/>
              <w:jc w:val="center"/>
              <w:rPr>
                <w:szCs w:val="21"/>
              </w:rPr>
            </w:pPr>
            <w:r>
              <w:rPr>
                <w:rFonts w:hint="eastAsia"/>
                <w:szCs w:val="21"/>
              </w:rPr>
              <w:t>实测结果</w:t>
            </w:r>
          </w:p>
        </w:tc>
      </w:tr>
      <w:tr w14:paraId="7CCC4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658" w:type="dxa"/>
            <w:vMerge w:val="restart"/>
            <w:tcBorders>
              <w:top w:val="single" w:color="auto" w:sz="4" w:space="0"/>
              <w:left w:val="single" w:color="auto" w:sz="4" w:space="0"/>
              <w:bottom w:val="single" w:color="auto" w:sz="4" w:space="0"/>
              <w:right w:val="single" w:color="auto" w:sz="4" w:space="0"/>
            </w:tcBorders>
            <w:vAlign w:val="center"/>
          </w:tcPr>
          <w:p w14:paraId="410DFFD7">
            <w:pPr>
              <w:snapToGrid w:val="0"/>
              <w:rPr>
                <w:szCs w:val="21"/>
              </w:rPr>
            </w:pPr>
            <w:r>
              <w:rPr>
                <w:rFonts w:hint="eastAsia"/>
                <w:szCs w:val="21"/>
              </w:rPr>
              <w:t>7.5安全性能</w:t>
            </w:r>
          </w:p>
        </w:tc>
        <w:tc>
          <w:tcPr>
            <w:tcW w:w="4574" w:type="dxa"/>
            <w:vMerge w:val="restart"/>
            <w:tcBorders>
              <w:top w:val="single" w:color="auto" w:sz="4" w:space="0"/>
              <w:left w:val="single" w:color="auto" w:sz="4" w:space="0"/>
              <w:bottom w:val="single" w:color="auto" w:sz="4" w:space="0"/>
              <w:right w:val="single" w:color="auto" w:sz="4" w:space="0"/>
            </w:tcBorders>
            <w:vAlign w:val="center"/>
          </w:tcPr>
          <w:p w14:paraId="511CBA30">
            <w:pPr>
              <w:jc w:val="left"/>
              <w:rPr>
                <w:szCs w:val="21"/>
              </w:rPr>
            </w:pPr>
            <w:r>
              <w:rPr>
                <w:rFonts w:hint="eastAsia"/>
                <w:szCs w:val="21"/>
              </w:rPr>
              <w:t>7.5.1 绝缘电阻</w:t>
            </w:r>
          </w:p>
          <w:p w14:paraId="561FB088">
            <w:pPr>
              <w:ind w:firstLine="420" w:firstLineChars="200"/>
              <w:rPr>
                <w:szCs w:val="21"/>
              </w:rPr>
            </w:pPr>
            <w:r>
              <w:rPr>
                <w:rFonts w:hint="eastAsia"/>
                <w:szCs w:val="21"/>
              </w:rPr>
              <w:t>在一般大气条件下，流量计的电源端子与接地端子、输入输出端子与接地端子之间在表</w:t>
            </w:r>
            <w:r>
              <w:rPr>
                <w:szCs w:val="21"/>
              </w:rPr>
              <w:t>5</w:t>
            </w:r>
            <w:r>
              <w:rPr>
                <w:rFonts w:hint="eastAsia"/>
                <w:szCs w:val="21"/>
              </w:rPr>
              <w:t>规定的试验电压下其绝缘电阻应不低于</w:t>
            </w:r>
            <w:r>
              <w:rPr>
                <w:szCs w:val="21"/>
              </w:rPr>
              <w:t xml:space="preserve"> 20 MΩ</w:t>
            </w:r>
            <w:r>
              <w:rPr>
                <w:rFonts w:hint="eastAsia"/>
                <w:szCs w:val="21"/>
              </w:rPr>
              <w:t>。</w:t>
            </w:r>
          </w:p>
        </w:tc>
        <w:tc>
          <w:tcPr>
            <w:tcW w:w="1418" w:type="dxa"/>
            <w:tcBorders>
              <w:top w:val="single" w:color="auto" w:sz="4" w:space="0"/>
              <w:left w:val="single" w:color="auto" w:sz="4" w:space="0"/>
              <w:bottom w:val="single" w:color="auto" w:sz="4" w:space="0"/>
              <w:right w:val="single" w:color="auto" w:sz="4" w:space="0"/>
            </w:tcBorders>
            <w:vAlign w:val="center"/>
          </w:tcPr>
          <w:p w14:paraId="18C43D3B">
            <w:pPr>
              <w:snapToGrid w:val="0"/>
              <w:jc w:val="center"/>
              <w:rPr>
                <w:szCs w:val="21"/>
              </w:rPr>
            </w:pPr>
          </w:p>
        </w:tc>
        <w:tc>
          <w:tcPr>
            <w:tcW w:w="1146" w:type="dxa"/>
            <w:tcBorders>
              <w:top w:val="single" w:color="auto" w:sz="4" w:space="0"/>
              <w:left w:val="single" w:color="auto" w:sz="4" w:space="0"/>
              <w:bottom w:val="single" w:color="auto" w:sz="4" w:space="0"/>
              <w:right w:val="single" w:color="auto" w:sz="4" w:space="0"/>
            </w:tcBorders>
            <w:vAlign w:val="center"/>
          </w:tcPr>
          <w:p w14:paraId="3B6DC285">
            <w:pPr>
              <w:tabs>
                <w:tab w:val="left" w:pos="3060"/>
              </w:tabs>
              <w:snapToGrid w:val="0"/>
              <w:jc w:val="center"/>
              <w:rPr>
                <w:szCs w:val="21"/>
              </w:rPr>
            </w:pPr>
          </w:p>
        </w:tc>
      </w:tr>
      <w:tr w14:paraId="00980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658" w:type="dxa"/>
            <w:vMerge w:val="continue"/>
            <w:tcBorders>
              <w:top w:val="single" w:color="auto" w:sz="4" w:space="0"/>
              <w:left w:val="single" w:color="auto" w:sz="4" w:space="0"/>
              <w:bottom w:val="single" w:color="auto" w:sz="4" w:space="0"/>
              <w:right w:val="single" w:color="auto" w:sz="4" w:space="0"/>
            </w:tcBorders>
            <w:vAlign w:val="center"/>
          </w:tcPr>
          <w:p w14:paraId="44437C7F">
            <w:pPr>
              <w:widowControl/>
              <w:snapToGrid w:val="0"/>
              <w:jc w:val="left"/>
              <w:rPr>
                <w:szCs w:val="21"/>
              </w:rPr>
            </w:pPr>
          </w:p>
        </w:tc>
        <w:tc>
          <w:tcPr>
            <w:tcW w:w="4574" w:type="dxa"/>
            <w:vMerge w:val="continue"/>
            <w:tcBorders>
              <w:top w:val="single" w:color="auto" w:sz="4" w:space="0"/>
              <w:left w:val="single" w:color="auto" w:sz="4" w:space="0"/>
              <w:bottom w:val="single" w:color="auto" w:sz="4" w:space="0"/>
              <w:right w:val="single" w:color="auto" w:sz="4" w:space="0"/>
            </w:tcBorders>
            <w:vAlign w:val="center"/>
          </w:tcPr>
          <w:p w14:paraId="6C0BDEB0">
            <w:pPr>
              <w:widowControl/>
              <w:snapToGrid w:val="0"/>
              <w:jc w:val="left"/>
              <w:rPr>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1E6AFBE1">
            <w:pPr>
              <w:snapToGrid w:val="0"/>
              <w:jc w:val="center"/>
              <w:rPr>
                <w:szCs w:val="21"/>
              </w:rPr>
            </w:pPr>
          </w:p>
        </w:tc>
        <w:tc>
          <w:tcPr>
            <w:tcW w:w="1146" w:type="dxa"/>
            <w:tcBorders>
              <w:top w:val="single" w:color="auto" w:sz="4" w:space="0"/>
              <w:left w:val="single" w:color="auto" w:sz="4" w:space="0"/>
              <w:bottom w:val="single" w:color="auto" w:sz="4" w:space="0"/>
              <w:right w:val="single" w:color="auto" w:sz="4" w:space="0"/>
            </w:tcBorders>
            <w:vAlign w:val="center"/>
          </w:tcPr>
          <w:p w14:paraId="094D969F">
            <w:pPr>
              <w:tabs>
                <w:tab w:val="left" w:pos="3060"/>
              </w:tabs>
              <w:snapToGrid w:val="0"/>
              <w:jc w:val="center"/>
              <w:rPr>
                <w:szCs w:val="21"/>
              </w:rPr>
            </w:pPr>
          </w:p>
        </w:tc>
      </w:tr>
      <w:tr w14:paraId="68780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658" w:type="dxa"/>
            <w:vMerge w:val="continue"/>
            <w:tcBorders>
              <w:top w:val="single" w:color="auto" w:sz="4" w:space="0"/>
              <w:left w:val="single" w:color="auto" w:sz="4" w:space="0"/>
              <w:bottom w:val="single" w:color="auto" w:sz="4" w:space="0"/>
              <w:right w:val="single" w:color="auto" w:sz="4" w:space="0"/>
            </w:tcBorders>
            <w:vAlign w:val="center"/>
          </w:tcPr>
          <w:p w14:paraId="6372624E">
            <w:pPr>
              <w:widowControl/>
              <w:snapToGrid w:val="0"/>
              <w:jc w:val="left"/>
              <w:rPr>
                <w:szCs w:val="21"/>
              </w:rPr>
            </w:pPr>
          </w:p>
        </w:tc>
        <w:tc>
          <w:tcPr>
            <w:tcW w:w="4574" w:type="dxa"/>
            <w:vMerge w:val="continue"/>
            <w:tcBorders>
              <w:top w:val="single" w:color="auto" w:sz="4" w:space="0"/>
              <w:left w:val="single" w:color="auto" w:sz="4" w:space="0"/>
              <w:bottom w:val="single" w:color="auto" w:sz="4" w:space="0"/>
              <w:right w:val="single" w:color="auto" w:sz="4" w:space="0"/>
            </w:tcBorders>
            <w:vAlign w:val="center"/>
          </w:tcPr>
          <w:p w14:paraId="36322CF2">
            <w:pPr>
              <w:widowControl/>
              <w:snapToGrid w:val="0"/>
              <w:jc w:val="left"/>
              <w:rPr>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3DF3005A">
            <w:pPr>
              <w:snapToGrid w:val="0"/>
              <w:jc w:val="center"/>
              <w:rPr>
                <w:szCs w:val="21"/>
              </w:rPr>
            </w:pPr>
          </w:p>
        </w:tc>
        <w:tc>
          <w:tcPr>
            <w:tcW w:w="1146" w:type="dxa"/>
            <w:tcBorders>
              <w:top w:val="single" w:color="auto" w:sz="4" w:space="0"/>
              <w:left w:val="single" w:color="auto" w:sz="4" w:space="0"/>
              <w:bottom w:val="single" w:color="auto" w:sz="4" w:space="0"/>
              <w:right w:val="single" w:color="auto" w:sz="4" w:space="0"/>
            </w:tcBorders>
            <w:vAlign w:val="center"/>
          </w:tcPr>
          <w:p w14:paraId="2E615EA1">
            <w:pPr>
              <w:tabs>
                <w:tab w:val="left" w:pos="3060"/>
              </w:tabs>
              <w:snapToGrid w:val="0"/>
              <w:jc w:val="center"/>
              <w:rPr>
                <w:szCs w:val="21"/>
              </w:rPr>
            </w:pPr>
          </w:p>
        </w:tc>
      </w:tr>
      <w:tr w14:paraId="0003E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658" w:type="dxa"/>
            <w:vMerge w:val="continue"/>
            <w:tcBorders>
              <w:top w:val="single" w:color="auto" w:sz="4" w:space="0"/>
              <w:left w:val="single" w:color="auto" w:sz="4" w:space="0"/>
              <w:bottom w:val="single" w:color="auto" w:sz="4" w:space="0"/>
              <w:right w:val="single" w:color="auto" w:sz="4" w:space="0"/>
            </w:tcBorders>
            <w:vAlign w:val="center"/>
          </w:tcPr>
          <w:p w14:paraId="60104FA1">
            <w:pPr>
              <w:widowControl/>
              <w:snapToGrid w:val="0"/>
              <w:jc w:val="left"/>
              <w:rPr>
                <w:szCs w:val="21"/>
              </w:rPr>
            </w:pPr>
          </w:p>
        </w:tc>
        <w:tc>
          <w:tcPr>
            <w:tcW w:w="4574" w:type="dxa"/>
            <w:vMerge w:val="restart"/>
            <w:tcBorders>
              <w:top w:val="single" w:color="auto" w:sz="4" w:space="0"/>
              <w:left w:val="single" w:color="auto" w:sz="4" w:space="0"/>
              <w:bottom w:val="single" w:color="auto" w:sz="4" w:space="0"/>
              <w:right w:val="single" w:color="auto" w:sz="4" w:space="0"/>
            </w:tcBorders>
            <w:vAlign w:val="center"/>
          </w:tcPr>
          <w:p w14:paraId="6CCBCA2C">
            <w:pPr>
              <w:snapToGrid w:val="0"/>
              <w:jc w:val="left"/>
              <w:rPr>
                <w:szCs w:val="21"/>
              </w:rPr>
            </w:pPr>
            <w:r>
              <w:rPr>
                <w:rFonts w:hint="eastAsia"/>
                <w:szCs w:val="21"/>
              </w:rPr>
              <w:t>7.5.2 绝缘强度</w:t>
            </w:r>
          </w:p>
          <w:p w14:paraId="6117EF65">
            <w:pPr>
              <w:snapToGrid w:val="0"/>
              <w:ind w:firstLine="420" w:firstLineChars="200"/>
              <w:rPr>
                <w:szCs w:val="21"/>
              </w:rPr>
            </w:pPr>
            <w:r>
              <w:rPr>
                <w:rFonts w:hint="eastAsia"/>
                <w:szCs w:val="21"/>
              </w:rPr>
              <w:t>在一般大气条件下，流量计的电源端子与接地端子、输入输出端子与接地端子之间应能承受表</w:t>
            </w:r>
            <w:r>
              <w:rPr>
                <w:szCs w:val="21"/>
              </w:rPr>
              <w:t xml:space="preserve">6 </w:t>
            </w:r>
            <w:r>
              <w:rPr>
                <w:rFonts w:hint="eastAsia"/>
                <w:szCs w:val="21"/>
              </w:rPr>
              <w:t>规定的正弦波交流电压电气强度试验，不发生击穿或飞弧现象。</w:t>
            </w:r>
          </w:p>
        </w:tc>
        <w:tc>
          <w:tcPr>
            <w:tcW w:w="1418" w:type="dxa"/>
            <w:tcBorders>
              <w:top w:val="single" w:color="auto" w:sz="4" w:space="0"/>
              <w:left w:val="single" w:color="auto" w:sz="4" w:space="0"/>
              <w:bottom w:val="single" w:color="auto" w:sz="4" w:space="0"/>
              <w:right w:val="single" w:color="auto" w:sz="4" w:space="0"/>
            </w:tcBorders>
            <w:vAlign w:val="center"/>
          </w:tcPr>
          <w:p w14:paraId="6E47E7CE">
            <w:pPr>
              <w:snapToGrid w:val="0"/>
              <w:jc w:val="center"/>
              <w:rPr>
                <w:szCs w:val="21"/>
              </w:rPr>
            </w:pPr>
          </w:p>
        </w:tc>
        <w:tc>
          <w:tcPr>
            <w:tcW w:w="1146" w:type="dxa"/>
            <w:tcBorders>
              <w:top w:val="single" w:color="auto" w:sz="4" w:space="0"/>
              <w:left w:val="single" w:color="auto" w:sz="4" w:space="0"/>
              <w:bottom w:val="single" w:color="auto" w:sz="4" w:space="0"/>
              <w:right w:val="single" w:color="auto" w:sz="4" w:space="0"/>
            </w:tcBorders>
            <w:vAlign w:val="center"/>
          </w:tcPr>
          <w:p w14:paraId="5794BC2D">
            <w:pPr>
              <w:tabs>
                <w:tab w:val="left" w:pos="3060"/>
              </w:tabs>
              <w:snapToGrid w:val="0"/>
              <w:jc w:val="center"/>
              <w:rPr>
                <w:szCs w:val="21"/>
              </w:rPr>
            </w:pPr>
          </w:p>
        </w:tc>
      </w:tr>
      <w:tr w14:paraId="25434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658" w:type="dxa"/>
            <w:vMerge w:val="continue"/>
            <w:tcBorders>
              <w:top w:val="single" w:color="auto" w:sz="4" w:space="0"/>
              <w:left w:val="single" w:color="auto" w:sz="4" w:space="0"/>
              <w:bottom w:val="single" w:color="auto" w:sz="4" w:space="0"/>
              <w:right w:val="single" w:color="auto" w:sz="4" w:space="0"/>
            </w:tcBorders>
            <w:vAlign w:val="center"/>
          </w:tcPr>
          <w:p w14:paraId="3169CAB2">
            <w:pPr>
              <w:widowControl/>
              <w:snapToGrid w:val="0"/>
              <w:jc w:val="left"/>
              <w:rPr>
                <w:szCs w:val="21"/>
              </w:rPr>
            </w:pPr>
          </w:p>
        </w:tc>
        <w:tc>
          <w:tcPr>
            <w:tcW w:w="4574" w:type="dxa"/>
            <w:vMerge w:val="continue"/>
            <w:tcBorders>
              <w:top w:val="single" w:color="auto" w:sz="4" w:space="0"/>
              <w:left w:val="single" w:color="auto" w:sz="4" w:space="0"/>
              <w:bottom w:val="single" w:color="auto" w:sz="4" w:space="0"/>
              <w:right w:val="single" w:color="auto" w:sz="4" w:space="0"/>
            </w:tcBorders>
            <w:vAlign w:val="center"/>
          </w:tcPr>
          <w:p w14:paraId="4291DC11">
            <w:pPr>
              <w:widowControl/>
              <w:snapToGrid w:val="0"/>
              <w:jc w:val="left"/>
              <w:rPr>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70B451D3">
            <w:pPr>
              <w:snapToGrid w:val="0"/>
              <w:jc w:val="center"/>
              <w:rPr>
                <w:szCs w:val="21"/>
              </w:rPr>
            </w:pPr>
          </w:p>
        </w:tc>
        <w:tc>
          <w:tcPr>
            <w:tcW w:w="1146" w:type="dxa"/>
            <w:tcBorders>
              <w:top w:val="single" w:color="auto" w:sz="4" w:space="0"/>
              <w:left w:val="single" w:color="auto" w:sz="4" w:space="0"/>
              <w:bottom w:val="single" w:color="auto" w:sz="4" w:space="0"/>
              <w:right w:val="single" w:color="auto" w:sz="4" w:space="0"/>
            </w:tcBorders>
            <w:vAlign w:val="center"/>
          </w:tcPr>
          <w:p w14:paraId="50B4057C">
            <w:pPr>
              <w:tabs>
                <w:tab w:val="left" w:pos="3060"/>
              </w:tabs>
              <w:snapToGrid w:val="0"/>
              <w:jc w:val="center"/>
              <w:rPr>
                <w:szCs w:val="21"/>
              </w:rPr>
            </w:pPr>
          </w:p>
        </w:tc>
      </w:tr>
      <w:tr w14:paraId="36B9D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658" w:type="dxa"/>
            <w:vMerge w:val="continue"/>
            <w:tcBorders>
              <w:top w:val="single" w:color="auto" w:sz="4" w:space="0"/>
              <w:left w:val="single" w:color="auto" w:sz="4" w:space="0"/>
              <w:bottom w:val="single" w:color="auto" w:sz="4" w:space="0"/>
              <w:right w:val="single" w:color="auto" w:sz="4" w:space="0"/>
            </w:tcBorders>
            <w:vAlign w:val="center"/>
          </w:tcPr>
          <w:p w14:paraId="21FC21DC">
            <w:pPr>
              <w:widowControl/>
              <w:snapToGrid w:val="0"/>
              <w:jc w:val="left"/>
              <w:rPr>
                <w:szCs w:val="21"/>
              </w:rPr>
            </w:pPr>
          </w:p>
        </w:tc>
        <w:tc>
          <w:tcPr>
            <w:tcW w:w="4574" w:type="dxa"/>
            <w:vMerge w:val="continue"/>
            <w:tcBorders>
              <w:top w:val="single" w:color="auto" w:sz="4" w:space="0"/>
              <w:left w:val="single" w:color="auto" w:sz="4" w:space="0"/>
              <w:bottom w:val="single" w:color="auto" w:sz="4" w:space="0"/>
              <w:right w:val="single" w:color="auto" w:sz="4" w:space="0"/>
            </w:tcBorders>
            <w:vAlign w:val="center"/>
          </w:tcPr>
          <w:p w14:paraId="60ABC16C">
            <w:pPr>
              <w:widowControl/>
              <w:snapToGrid w:val="0"/>
              <w:jc w:val="left"/>
              <w:rPr>
                <w:szCs w:val="21"/>
              </w:rPr>
            </w:pPr>
          </w:p>
        </w:tc>
        <w:tc>
          <w:tcPr>
            <w:tcW w:w="1418" w:type="dxa"/>
            <w:tcBorders>
              <w:top w:val="single" w:color="auto" w:sz="4" w:space="0"/>
              <w:left w:val="single" w:color="auto" w:sz="4" w:space="0"/>
              <w:bottom w:val="single" w:color="auto" w:sz="4" w:space="0"/>
              <w:right w:val="single" w:color="auto" w:sz="4" w:space="0"/>
            </w:tcBorders>
            <w:vAlign w:val="center"/>
          </w:tcPr>
          <w:p w14:paraId="38283788">
            <w:pPr>
              <w:snapToGrid w:val="0"/>
              <w:jc w:val="center"/>
              <w:rPr>
                <w:szCs w:val="21"/>
              </w:rPr>
            </w:pPr>
          </w:p>
        </w:tc>
        <w:tc>
          <w:tcPr>
            <w:tcW w:w="1146" w:type="dxa"/>
            <w:tcBorders>
              <w:top w:val="single" w:color="auto" w:sz="4" w:space="0"/>
              <w:left w:val="single" w:color="auto" w:sz="4" w:space="0"/>
              <w:bottom w:val="single" w:color="auto" w:sz="4" w:space="0"/>
              <w:right w:val="single" w:color="auto" w:sz="4" w:space="0"/>
            </w:tcBorders>
            <w:vAlign w:val="center"/>
          </w:tcPr>
          <w:p w14:paraId="79E73A70">
            <w:pPr>
              <w:tabs>
                <w:tab w:val="left" w:pos="3060"/>
              </w:tabs>
              <w:snapToGrid w:val="0"/>
              <w:jc w:val="center"/>
              <w:rPr>
                <w:szCs w:val="21"/>
              </w:rPr>
            </w:pPr>
          </w:p>
        </w:tc>
      </w:tr>
      <w:tr w14:paraId="4C06E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796" w:type="dxa"/>
            <w:gridSpan w:val="4"/>
            <w:tcBorders>
              <w:top w:val="single" w:color="auto" w:sz="4" w:space="0"/>
              <w:left w:val="single" w:color="auto" w:sz="4" w:space="0"/>
              <w:bottom w:val="single" w:color="auto" w:sz="4" w:space="0"/>
              <w:right w:val="single" w:color="auto" w:sz="4" w:space="0"/>
            </w:tcBorders>
            <w:vAlign w:val="center"/>
          </w:tcPr>
          <w:p w14:paraId="12D2D15E">
            <w:pPr>
              <w:snapToGrid w:val="0"/>
              <w:spacing w:before="240" w:beforeLines="100"/>
              <w:rPr>
                <w:spacing w:val="-8"/>
                <w:szCs w:val="21"/>
              </w:rPr>
            </w:pPr>
            <w:r>
              <w:rPr>
                <w:rFonts w:hint="eastAsia"/>
                <w:spacing w:val="-8"/>
                <w:szCs w:val="21"/>
              </w:rPr>
              <w:t>环境条件：大气压：</w:t>
            </w:r>
            <w:r>
              <w:rPr>
                <w:spacing w:val="-8"/>
                <w:szCs w:val="21"/>
                <w:u w:val="single"/>
              </w:rPr>
              <w:t xml:space="preserve">        </w:t>
            </w:r>
            <w:r>
              <w:rPr>
                <w:spacing w:val="-8"/>
                <w:szCs w:val="21"/>
              </w:rPr>
              <w:t>kPa</w:t>
            </w:r>
            <w:r>
              <w:rPr>
                <w:rFonts w:hint="eastAsia"/>
                <w:spacing w:val="-8"/>
                <w:szCs w:val="21"/>
              </w:rPr>
              <w:t>；环境温度：</w:t>
            </w:r>
            <w:r>
              <w:rPr>
                <w:spacing w:val="-8"/>
                <w:szCs w:val="21"/>
                <w:u w:val="single"/>
              </w:rPr>
              <w:t xml:space="preserve">         </w:t>
            </w:r>
            <w:r>
              <w:rPr>
                <w:rFonts w:hint="eastAsia" w:ascii="宋体" w:hAnsi="宋体" w:cs="宋体"/>
                <w:spacing w:val="-8"/>
                <w:szCs w:val="21"/>
              </w:rPr>
              <w:t>℃</w:t>
            </w:r>
            <w:r>
              <w:rPr>
                <w:rFonts w:hint="eastAsia"/>
                <w:spacing w:val="-8"/>
                <w:szCs w:val="21"/>
              </w:rPr>
              <w:t>；相对湿度：</w:t>
            </w:r>
            <w:r>
              <w:rPr>
                <w:spacing w:val="-8"/>
                <w:szCs w:val="21"/>
                <w:u w:val="single"/>
              </w:rPr>
              <w:t xml:space="preserve">         </w:t>
            </w:r>
            <w:r>
              <w:rPr>
                <w:spacing w:val="-8"/>
                <w:szCs w:val="21"/>
              </w:rPr>
              <w:t>%</w:t>
            </w:r>
          </w:p>
          <w:p w14:paraId="3CB6CDED">
            <w:pPr>
              <w:snapToGrid w:val="0"/>
              <w:spacing w:before="240" w:beforeLines="100"/>
              <w:rPr>
                <w:szCs w:val="21"/>
              </w:rPr>
            </w:pPr>
            <w:r>
              <w:rPr>
                <w:rFonts w:hint="eastAsia"/>
                <w:spacing w:val="-8"/>
                <w:szCs w:val="21"/>
              </w:rPr>
              <w:t>试验设备：</w:t>
            </w:r>
          </w:p>
        </w:tc>
      </w:tr>
    </w:tbl>
    <w:p w14:paraId="3F08B47F">
      <w:pPr>
        <w:pStyle w:val="121"/>
        <w:snapToGrid w:val="0"/>
        <w:spacing w:before="240" w:beforeLines="100"/>
        <w:ind w:firstLine="0" w:firstLineChars="0"/>
        <w:rPr>
          <w:szCs w:val="21"/>
        </w:rPr>
      </w:pPr>
      <w:r>
        <w:rPr>
          <w:rFonts w:hint="eastAsia"/>
          <w:szCs w:val="21"/>
        </w:rPr>
        <w:t xml:space="preserve">试验员  </w:t>
      </w:r>
      <w:r>
        <w:rPr>
          <w:szCs w:val="21"/>
          <w:u w:val="single"/>
        </w:rPr>
        <w:t xml:space="preserve">    </w:t>
      </w:r>
      <w:r>
        <w:rPr>
          <w:rFonts w:hint="eastAsia"/>
          <w:szCs w:val="21"/>
          <w:u w:val="single"/>
        </w:rPr>
        <w:t>　</w:t>
      </w:r>
      <w:r>
        <w:rPr>
          <w:szCs w:val="21"/>
          <w:u w:val="single"/>
        </w:rPr>
        <w:t xml:space="preserve">        </w:t>
      </w:r>
      <w:r>
        <w:rPr>
          <w:szCs w:val="21"/>
        </w:rPr>
        <w:t xml:space="preserve">    </w:t>
      </w:r>
      <w:r>
        <w:rPr>
          <w:rFonts w:hint="eastAsia"/>
          <w:szCs w:val="21"/>
        </w:rPr>
        <w:t xml:space="preserve"> </w:t>
      </w:r>
      <w:r>
        <w:rPr>
          <w:szCs w:val="21"/>
        </w:rPr>
        <w:t xml:space="preserve"> </w:t>
      </w:r>
      <w:r>
        <w:rPr>
          <w:rFonts w:hint="eastAsia"/>
          <w:szCs w:val="21"/>
        </w:rPr>
        <w:t>核验员</w:t>
      </w:r>
      <w:r>
        <w:rPr>
          <w:szCs w:val="21"/>
        </w:rPr>
        <w:t xml:space="preserve"> </w:t>
      </w:r>
      <w:r>
        <w:rPr>
          <w:rFonts w:hint="eastAsia"/>
          <w:szCs w:val="21"/>
        </w:rPr>
        <w:t xml:space="preserve">  </w:t>
      </w:r>
      <w:r>
        <w:rPr>
          <w:szCs w:val="21"/>
          <w:u w:val="single"/>
        </w:rPr>
        <w:t xml:space="preserve">            </w:t>
      </w:r>
      <w:r>
        <w:rPr>
          <w:rFonts w:hint="eastAsia"/>
          <w:szCs w:val="21"/>
          <w:u w:val="single"/>
        </w:rPr>
        <w:t>　</w:t>
      </w:r>
      <w:r>
        <w:rPr>
          <w:rFonts w:hint="eastAsia"/>
          <w:szCs w:val="21"/>
        </w:rPr>
        <w:t xml:space="preserve">         试验日期</w:t>
      </w:r>
      <w:r>
        <w:rPr>
          <w:szCs w:val="21"/>
        </w:rPr>
        <w:t xml:space="preserve"> </w:t>
      </w:r>
      <w:r>
        <w:rPr>
          <w:szCs w:val="21"/>
          <w:u w:val="single"/>
        </w:rPr>
        <w:t xml:space="preserve">      </w:t>
      </w:r>
      <w:r>
        <w:rPr>
          <w:rFonts w:hint="eastAsia"/>
          <w:szCs w:val="21"/>
          <w:u w:val="single"/>
        </w:rPr>
        <w:t xml:space="preserve">     </w:t>
      </w:r>
      <w:r>
        <w:rPr>
          <w:szCs w:val="21"/>
          <w:u w:val="single"/>
        </w:rPr>
        <w:t xml:space="preserve">  </w:t>
      </w:r>
    </w:p>
    <w:p w14:paraId="4C013BC9">
      <w:pPr>
        <w:widowControl/>
        <w:spacing w:before="160" w:line="360" w:lineRule="auto"/>
        <w:jc w:val="center"/>
        <w:rPr>
          <w:sz w:val="24"/>
          <w:szCs w:val="24"/>
        </w:rPr>
      </w:pPr>
      <w:r>
        <w:br w:type="page"/>
      </w:r>
      <w:r>
        <w:rPr>
          <w:rFonts w:hint="eastAsia"/>
          <w:sz w:val="24"/>
          <w:szCs w:val="24"/>
        </w:rPr>
        <w:t>6、</w:t>
      </w:r>
      <w:r>
        <w:rPr>
          <w:sz w:val="24"/>
          <w:szCs w:val="24"/>
        </w:rPr>
        <w:t xml:space="preserve"> </w:t>
      </w:r>
      <w:r>
        <w:rPr>
          <w:rFonts w:hint="eastAsia"/>
          <w:sz w:val="24"/>
          <w:szCs w:val="24"/>
        </w:rPr>
        <w:t>贮存环境适应性试验原始记录</w:t>
      </w:r>
    </w:p>
    <w:p w14:paraId="665F6B14">
      <w:pPr>
        <w:spacing w:before="160" w:line="360" w:lineRule="auto"/>
        <w:rPr>
          <w:sz w:val="24"/>
          <w:szCs w:val="24"/>
          <w:u w:val="single"/>
        </w:rPr>
      </w:pPr>
      <w:r>
        <w:rPr>
          <w:rFonts w:hint="eastAsia"/>
          <w:sz w:val="24"/>
          <w:szCs w:val="24"/>
        </w:rPr>
        <w:t>产品名称：</w:t>
      </w:r>
      <w:r>
        <w:rPr>
          <w:rFonts w:hint="eastAsia"/>
          <w:sz w:val="24"/>
          <w:szCs w:val="24"/>
          <w:u w:val="single"/>
        </w:rPr>
        <w:t xml:space="preserve">                         </w:t>
      </w:r>
      <w:r>
        <w:rPr>
          <w:rFonts w:hint="eastAsia"/>
          <w:sz w:val="24"/>
          <w:szCs w:val="24"/>
        </w:rPr>
        <w:t>型号规格：</w:t>
      </w:r>
      <w:r>
        <w:rPr>
          <w:sz w:val="24"/>
          <w:szCs w:val="24"/>
          <w:u w:val="single"/>
        </w:rPr>
        <w:t xml:space="preserve">                       </w:t>
      </w:r>
    </w:p>
    <w:p w14:paraId="759BCF08">
      <w:pPr>
        <w:spacing w:before="160" w:line="360" w:lineRule="auto"/>
        <w:rPr>
          <w:sz w:val="24"/>
          <w:szCs w:val="24"/>
          <w:u w:val="single"/>
        </w:rPr>
      </w:pPr>
      <w:r>
        <w:rPr>
          <w:rFonts w:hint="eastAsia"/>
          <w:sz w:val="24"/>
          <w:szCs w:val="24"/>
        </w:rPr>
        <w:t>准确度等级：</w:t>
      </w:r>
      <w:r>
        <w:rPr>
          <w:sz w:val="24"/>
          <w:szCs w:val="24"/>
          <w:u w:val="single"/>
        </w:rPr>
        <w:t xml:space="preserve">                     </w:t>
      </w:r>
      <w:r>
        <w:rPr>
          <w:rFonts w:hint="eastAsia"/>
          <w:sz w:val="24"/>
          <w:szCs w:val="24"/>
        </w:rPr>
        <w:t>制造单位：</w:t>
      </w:r>
      <w:r>
        <w:rPr>
          <w:sz w:val="24"/>
          <w:szCs w:val="24"/>
          <w:u w:val="single"/>
        </w:rPr>
        <w:t xml:space="preserve">                         </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8"/>
        <w:gridCol w:w="3020"/>
        <w:gridCol w:w="1374"/>
        <w:gridCol w:w="2744"/>
      </w:tblGrid>
      <w:tr w14:paraId="0F959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658" w:type="dxa"/>
            <w:tcBorders>
              <w:top w:val="single" w:color="auto" w:sz="4" w:space="0"/>
              <w:left w:val="single" w:color="auto" w:sz="4" w:space="0"/>
              <w:bottom w:val="single" w:color="auto" w:sz="4" w:space="0"/>
              <w:right w:val="single" w:color="auto" w:sz="4" w:space="0"/>
            </w:tcBorders>
            <w:vAlign w:val="center"/>
          </w:tcPr>
          <w:p w14:paraId="75624DE7">
            <w:pPr>
              <w:jc w:val="center"/>
              <w:rPr>
                <w:szCs w:val="21"/>
              </w:rPr>
            </w:pPr>
            <w:r>
              <w:rPr>
                <w:rFonts w:hint="eastAsia"/>
                <w:szCs w:val="21"/>
              </w:rPr>
              <w:t>项目名称</w:t>
            </w:r>
          </w:p>
        </w:tc>
        <w:tc>
          <w:tcPr>
            <w:tcW w:w="3020" w:type="dxa"/>
            <w:tcBorders>
              <w:top w:val="single" w:color="auto" w:sz="4" w:space="0"/>
              <w:left w:val="single" w:color="auto" w:sz="4" w:space="0"/>
              <w:bottom w:val="single" w:color="auto" w:sz="4" w:space="0"/>
              <w:right w:val="single" w:color="auto" w:sz="4" w:space="0"/>
            </w:tcBorders>
            <w:vAlign w:val="center"/>
          </w:tcPr>
          <w:p w14:paraId="57539B9D">
            <w:pPr>
              <w:jc w:val="center"/>
              <w:rPr>
                <w:szCs w:val="21"/>
              </w:rPr>
            </w:pPr>
            <w:r>
              <w:rPr>
                <w:rFonts w:hint="eastAsia"/>
                <w:szCs w:val="21"/>
              </w:rPr>
              <w:t>型式评价大纲要求</w:t>
            </w:r>
          </w:p>
        </w:tc>
        <w:tc>
          <w:tcPr>
            <w:tcW w:w="1374" w:type="dxa"/>
            <w:tcBorders>
              <w:top w:val="single" w:color="auto" w:sz="4" w:space="0"/>
              <w:left w:val="single" w:color="auto" w:sz="4" w:space="0"/>
              <w:bottom w:val="single" w:color="auto" w:sz="4" w:space="0"/>
              <w:right w:val="single" w:color="auto" w:sz="4" w:space="0"/>
            </w:tcBorders>
            <w:vAlign w:val="center"/>
          </w:tcPr>
          <w:p w14:paraId="3D85CA40">
            <w:pPr>
              <w:jc w:val="center"/>
              <w:rPr>
                <w:szCs w:val="21"/>
              </w:rPr>
            </w:pPr>
            <w:r>
              <w:rPr>
                <w:rFonts w:hint="eastAsia"/>
                <w:szCs w:val="21"/>
              </w:rPr>
              <w:t>样品编号</w:t>
            </w:r>
          </w:p>
        </w:tc>
        <w:tc>
          <w:tcPr>
            <w:tcW w:w="2744" w:type="dxa"/>
            <w:tcBorders>
              <w:top w:val="single" w:color="auto" w:sz="4" w:space="0"/>
              <w:left w:val="single" w:color="auto" w:sz="4" w:space="0"/>
              <w:bottom w:val="single" w:color="auto" w:sz="4" w:space="0"/>
              <w:right w:val="single" w:color="auto" w:sz="4" w:space="0"/>
            </w:tcBorders>
            <w:vAlign w:val="center"/>
          </w:tcPr>
          <w:p w14:paraId="50ACC886">
            <w:pPr>
              <w:jc w:val="center"/>
              <w:rPr>
                <w:szCs w:val="21"/>
              </w:rPr>
            </w:pPr>
            <w:r>
              <w:rPr>
                <w:rFonts w:hint="eastAsia"/>
                <w:szCs w:val="21"/>
              </w:rPr>
              <w:t>实测结果</w:t>
            </w:r>
          </w:p>
        </w:tc>
      </w:tr>
      <w:tr w14:paraId="378A1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1" w:hRule="atLeast"/>
          <w:jc w:val="center"/>
        </w:trPr>
        <w:tc>
          <w:tcPr>
            <w:tcW w:w="1658" w:type="dxa"/>
            <w:vMerge w:val="restart"/>
            <w:tcBorders>
              <w:top w:val="single" w:color="auto" w:sz="4" w:space="0"/>
              <w:left w:val="single" w:color="auto" w:sz="4" w:space="0"/>
              <w:bottom w:val="single" w:color="auto" w:sz="4" w:space="0"/>
              <w:right w:val="single" w:color="auto" w:sz="4" w:space="0"/>
            </w:tcBorders>
            <w:vAlign w:val="center"/>
          </w:tcPr>
          <w:p w14:paraId="79BEF259">
            <w:pPr>
              <w:rPr>
                <w:szCs w:val="21"/>
              </w:rPr>
            </w:pPr>
            <w:r>
              <w:rPr>
                <w:rFonts w:hint="eastAsia"/>
                <w:szCs w:val="21"/>
              </w:rPr>
              <w:t>7.6贮存环境适应性</w:t>
            </w:r>
          </w:p>
          <w:p w14:paraId="2D642676">
            <w:pPr>
              <w:rPr>
                <w:szCs w:val="21"/>
              </w:rPr>
            </w:pPr>
            <w:r>
              <w:rPr>
                <w:rFonts w:hint="eastAsia"/>
                <w:szCs w:val="21"/>
              </w:rPr>
              <w:t>7.7机械性能</w:t>
            </w:r>
          </w:p>
        </w:tc>
        <w:tc>
          <w:tcPr>
            <w:tcW w:w="3020" w:type="dxa"/>
            <w:vMerge w:val="restart"/>
            <w:tcBorders>
              <w:top w:val="single" w:color="auto" w:sz="4" w:space="0"/>
              <w:left w:val="single" w:color="auto" w:sz="4" w:space="0"/>
              <w:bottom w:val="single" w:color="auto" w:sz="4" w:space="0"/>
              <w:right w:val="single" w:color="auto" w:sz="4" w:space="0"/>
            </w:tcBorders>
            <w:vAlign w:val="center"/>
          </w:tcPr>
          <w:p w14:paraId="76244685">
            <w:pPr>
              <w:snapToGrid w:val="0"/>
              <w:spacing w:line="300" w:lineRule="auto"/>
              <w:ind w:firstLine="420" w:firstLineChars="200"/>
              <w:rPr>
                <w:szCs w:val="21"/>
              </w:rPr>
            </w:pPr>
            <w:r>
              <w:rPr>
                <w:rFonts w:hint="eastAsia"/>
                <w:szCs w:val="21"/>
              </w:rPr>
              <w:t>流量计在包装条件应能承受下列规定条件的贮存环境试验，试验后流量计的外观和功能应符合要求。复测0.2</w:t>
            </w:r>
            <w:r>
              <w:rPr>
                <w:i/>
                <w:szCs w:val="21"/>
              </w:rPr>
              <w:t>q</w:t>
            </w:r>
            <w:r>
              <w:rPr>
                <w:szCs w:val="21"/>
                <w:vertAlign w:val="subscript"/>
              </w:rPr>
              <w:t>max</w:t>
            </w:r>
            <w:r>
              <w:rPr>
                <w:rFonts w:hint="eastAsia"/>
                <w:szCs w:val="21"/>
              </w:rPr>
              <w:t>流量点的示值误差，其结果应不超过流量计的最大允许误差。</w:t>
            </w:r>
          </w:p>
          <w:p w14:paraId="68B24B5C">
            <w:pPr>
              <w:snapToGrid w:val="0"/>
              <w:spacing w:line="300" w:lineRule="auto"/>
              <w:rPr>
                <w:szCs w:val="21"/>
              </w:rPr>
            </w:pPr>
            <w:r>
              <w:rPr>
                <w:rFonts w:hint="eastAsia"/>
                <w:szCs w:val="21"/>
              </w:rPr>
              <w:t>7.6.1 低温</w:t>
            </w:r>
          </w:p>
          <w:p w14:paraId="1B01E9C2">
            <w:pPr>
              <w:snapToGrid w:val="0"/>
              <w:spacing w:line="300" w:lineRule="auto"/>
              <w:ind w:firstLine="420" w:firstLineChars="200"/>
              <w:rPr>
                <w:szCs w:val="21"/>
              </w:rPr>
            </w:pPr>
            <w:r>
              <w:rPr>
                <w:rFonts w:hint="eastAsia"/>
                <w:szCs w:val="21"/>
              </w:rPr>
              <w:t>按</w:t>
            </w:r>
            <w:r>
              <w:rPr>
                <w:szCs w:val="21"/>
              </w:rPr>
              <w:t>GB/T 2423.1</w:t>
            </w:r>
            <w:r>
              <w:rPr>
                <w:rFonts w:hint="eastAsia"/>
                <w:szCs w:val="21"/>
              </w:rPr>
              <w:t>的相关要求进行。低温－</w:t>
            </w:r>
            <w:r>
              <w:rPr>
                <w:szCs w:val="21"/>
              </w:rPr>
              <w:t>25</w:t>
            </w:r>
            <w:r>
              <w:rPr>
                <w:rFonts w:hint="eastAsia" w:ascii="宋体" w:hAnsi="宋体" w:cs="宋体"/>
                <w:szCs w:val="21"/>
              </w:rPr>
              <w:t>℃</w:t>
            </w:r>
            <w:r>
              <w:rPr>
                <w:rFonts w:hint="eastAsia"/>
                <w:szCs w:val="21"/>
              </w:rPr>
              <w:t>，持续</w:t>
            </w:r>
            <w:r>
              <w:rPr>
                <w:szCs w:val="21"/>
              </w:rPr>
              <w:t>16h</w:t>
            </w:r>
            <w:r>
              <w:rPr>
                <w:rFonts w:hint="eastAsia"/>
                <w:szCs w:val="21"/>
              </w:rPr>
              <w:t>。</w:t>
            </w:r>
          </w:p>
          <w:p w14:paraId="33716915">
            <w:pPr>
              <w:snapToGrid w:val="0"/>
              <w:spacing w:line="300" w:lineRule="auto"/>
              <w:rPr>
                <w:szCs w:val="21"/>
              </w:rPr>
            </w:pPr>
            <w:r>
              <w:rPr>
                <w:szCs w:val="21"/>
              </w:rPr>
              <w:t>7.6.</w:t>
            </w:r>
            <w:r>
              <w:rPr>
                <w:rFonts w:hint="eastAsia"/>
                <w:szCs w:val="21"/>
              </w:rPr>
              <w:t>2 高温</w:t>
            </w:r>
          </w:p>
          <w:p w14:paraId="20D9078C">
            <w:pPr>
              <w:snapToGrid w:val="0"/>
              <w:spacing w:line="300" w:lineRule="auto"/>
              <w:ind w:firstLine="420" w:firstLineChars="200"/>
              <w:rPr>
                <w:szCs w:val="21"/>
              </w:rPr>
            </w:pPr>
            <w:r>
              <w:rPr>
                <w:rFonts w:hint="eastAsia"/>
                <w:szCs w:val="21"/>
              </w:rPr>
              <w:t>按</w:t>
            </w:r>
            <w:r>
              <w:rPr>
                <w:szCs w:val="21"/>
              </w:rPr>
              <w:t>GB/T 2423.2</w:t>
            </w:r>
            <w:r>
              <w:rPr>
                <w:rFonts w:hint="eastAsia"/>
                <w:szCs w:val="21"/>
              </w:rPr>
              <w:t>的相关要求进行。高温＋</w:t>
            </w:r>
            <w:r>
              <w:rPr>
                <w:szCs w:val="21"/>
              </w:rPr>
              <w:t>55</w:t>
            </w:r>
            <w:r>
              <w:rPr>
                <w:rFonts w:hint="eastAsia" w:ascii="宋体" w:hAnsi="宋体" w:cs="宋体"/>
                <w:szCs w:val="21"/>
              </w:rPr>
              <w:t>℃</w:t>
            </w:r>
            <w:r>
              <w:rPr>
                <w:rFonts w:hint="eastAsia"/>
                <w:szCs w:val="21"/>
              </w:rPr>
              <w:t>，持续</w:t>
            </w:r>
            <w:r>
              <w:rPr>
                <w:szCs w:val="21"/>
              </w:rPr>
              <w:t>16h</w:t>
            </w:r>
            <w:r>
              <w:rPr>
                <w:rFonts w:hint="eastAsia"/>
                <w:szCs w:val="21"/>
              </w:rPr>
              <w:t>。</w:t>
            </w:r>
          </w:p>
          <w:p w14:paraId="41035330">
            <w:pPr>
              <w:snapToGrid w:val="0"/>
              <w:spacing w:line="300" w:lineRule="auto"/>
              <w:rPr>
                <w:szCs w:val="21"/>
              </w:rPr>
            </w:pPr>
            <w:r>
              <w:rPr>
                <w:szCs w:val="21"/>
              </w:rPr>
              <w:t>7.6.</w:t>
            </w:r>
            <w:r>
              <w:rPr>
                <w:rFonts w:hint="eastAsia"/>
                <w:szCs w:val="21"/>
              </w:rPr>
              <w:t>3 恒定湿热</w:t>
            </w:r>
          </w:p>
          <w:p w14:paraId="379B1D4C">
            <w:pPr>
              <w:snapToGrid w:val="0"/>
              <w:spacing w:line="300" w:lineRule="auto"/>
              <w:ind w:firstLine="420" w:firstLineChars="200"/>
              <w:rPr>
                <w:szCs w:val="21"/>
              </w:rPr>
            </w:pPr>
            <w:r>
              <w:rPr>
                <w:rFonts w:hint="eastAsia"/>
                <w:szCs w:val="21"/>
              </w:rPr>
              <w:t>按</w:t>
            </w:r>
            <w:r>
              <w:rPr>
                <w:szCs w:val="21"/>
              </w:rPr>
              <w:t>GB/T 2423.3</w:t>
            </w:r>
            <w:r>
              <w:rPr>
                <w:rFonts w:hint="eastAsia"/>
                <w:szCs w:val="21"/>
              </w:rPr>
              <w:t>的相关要求进行。温度</w:t>
            </w:r>
            <w:r>
              <w:rPr>
                <w:szCs w:val="21"/>
              </w:rPr>
              <w:t>(40</w:t>
            </w:r>
            <w:r>
              <w:rPr>
                <w:rFonts w:hint="eastAsia"/>
                <w:szCs w:val="21"/>
              </w:rPr>
              <w:t>±</w:t>
            </w:r>
            <w:r>
              <w:rPr>
                <w:szCs w:val="21"/>
              </w:rPr>
              <w:t>2)</w:t>
            </w:r>
            <w:r>
              <w:rPr>
                <w:rFonts w:hint="eastAsia" w:ascii="宋体" w:hAnsi="宋体" w:cs="宋体"/>
                <w:szCs w:val="21"/>
              </w:rPr>
              <w:t>℃</w:t>
            </w:r>
            <w:r>
              <w:rPr>
                <w:rFonts w:hint="eastAsia"/>
                <w:szCs w:val="21"/>
              </w:rPr>
              <w:t>、相对湿度</w:t>
            </w:r>
            <w:r>
              <w:rPr>
                <w:szCs w:val="21"/>
              </w:rPr>
              <w:t>(93</w:t>
            </w:r>
            <w:r>
              <w:rPr>
                <w:rFonts w:hint="eastAsia"/>
                <w:szCs w:val="21"/>
              </w:rPr>
              <w:t>±</w:t>
            </w:r>
            <w:r>
              <w:rPr>
                <w:szCs w:val="21"/>
              </w:rPr>
              <w:t>3)%</w:t>
            </w:r>
            <w:r>
              <w:rPr>
                <w:rFonts w:hint="eastAsia"/>
                <w:szCs w:val="21"/>
              </w:rPr>
              <w:t>，持续时间</w:t>
            </w:r>
            <w:r>
              <w:rPr>
                <w:szCs w:val="21"/>
              </w:rPr>
              <w:t>2d</w:t>
            </w:r>
            <w:r>
              <w:rPr>
                <w:rFonts w:hint="eastAsia"/>
                <w:szCs w:val="21"/>
              </w:rPr>
              <w:t>。</w:t>
            </w:r>
          </w:p>
          <w:p w14:paraId="54BFC3AD">
            <w:pPr>
              <w:snapToGrid w:val="0"/>
              <w:spacing w:line="300" w:lineRule="auto"/>
              <w:rPr>
                <w:szCs w:val="21"/>
              </w:rPr>
            </w:pPr>
            <w:r>
              <w:rPr>
                <w:rFonts w:hint="eastAsia"/>
                <w:szCs w:val="21"/>
              </w:rPr>
              <w:t>7.7.1 冲击</w:t>
            </w:r>
          </w:p>
          <w:p w14:paraId="5BC2A03C">
            <w:pPr>
              <w:snapToGrid w:val="0"/>
              <w:spacing w:line="300" w:lineRule="auto"/>
              <w:ind w:firstLine="420" w:firstLineChars="200"/>
              <w:rPr>
                <w:szCs w:val="21"/>
              </w:rPr>
            </w:pPr>
            <w:r>
              <w:rPr>
                <w:rFonts w:hint="eastAsia"/>
                <w:szCs w:val="21"/>
              </w:rPr>
              <w:t>按照GB/T 2423.43、GB/T 2423.56和GB/T 2423.7要求进行。</w:t>
            </w:r>
          </w:p>
          <w:p w14:paraId="5489F636">
            <w:pPr>
              <w:snapToGrid w:val="0"/>
              <w:spacing w:line="300" w:lineRule="auto"/>
              <w:rPr>
                <w:szCs w:val="21"/>
              </w:rPr>
            </w:pPr>
            <w:r>
              <w:rPr>
                <w:rFonts w:hint="eastAsia"/>
                <w:szCs w:val="21"/>
              </w:rPr>
              <w:t>7.7.2 振动</w:t>
            </w:r>
          </w:p>
          <w:p w14:paraId="4BB75C58">
            <w:pPr>
              <w:snapToGrid w:val="0"/>
              <w:spacing w:line="300" w:lineRule="auto"/>
              <w:ind w:firstLine="420" w:firstLineChars="200"/>
              <w:rPr>
                <w:szCs w:val="21"/>
              </w:rPr>
            </w:pPr>
            <w:r>
              <w:rPr>
                <w:rFonts w:hint="eastAsia"/>
                <w:szCs w:val="21"/>
              </w:rPr>
              <w:t>按GB/T 2423.10“试验Fc”相关要求进行。</w:t>
            </w:r>
          </w:p>
        </w:tc>
        <w:tc>
          <w:tcPr>
            <w:tcW w:w="1374" w:type="dxa"/>
            <w:tcBorders>
              <w:top w:val="single" w:color="auto" w:sz="4" w:space="0"/>
              <w:left w:val="single" w:color="auto" w:sz="4" w:space="0"/>
              <w:bottom w:val="single" w:color="auto" w:sz="4" w:space="0"/>
              <w:right w:val="single" w:color="auto" w:sz="4" w:space="0"/>
            </w:tcBorders>
            <w:vAlign w:val="center"/>
          </w:tcPr>
          <w:p w14:paraId="545E76EE">
            <w:pPr>
              <w:jc w:val="center"/>
              <w:rPr>
                <w:szCs w:val="21"/>
              </w:rPr>
            </w:pPr>
          </w:p>
        </w:tc>
        <w:tc>
          <w:tcPr>
            <w:tcW w:w="2744" w:type="dxa"/>
            <w:tcBorders>
              <w:top w:val="single" w:color="auto" w:sz="4" w:space="0"/>
              <w:left w:val="single" w:color="auto" w:sz="4" w:space="0"/>
              <w:bottom w:val="single" w:color="auto" w:sz="4" w:space="0"/>
              <w:right w:val="single" w:color="auto" w:sz="4" w:space="0"/>
            </w:tcBorders>
            <w:vAlign w:val="center"/>
          </w:tcPr>
          <w:p w14:paraId="470575EE">
            <w:pPr>
              <w:tabs>
                <w:tab w:val="left" w:pos="3060"/>
              </w:tabs>
              <w:rPr>
                <w:szCs w:val="21"/>
              </w:rPr>
            </w:pPr>
          </w:p>
        </w:tc>
      </w:tr>
      <w:tr w14:paraId="6078B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1" w:hRule="atLeast"/>
          <w:jc w:val="center"/>
        </w:trPr>
        <w:tc>
          <w:tcPr>
            <w:tcW w:w="1658" w:type="dxa"/>
            <w:vMerge w:val="continue"/>
            <w:tcBorders>
              <w:top w:val="single" w:color="auto" w:sz="4" w:space="0"/>
              <w:left w:val="single" w:color="auto" w:sz="4" w:space="0"/>
              <w:bottom w:val="single" w:color="auto" w:sz="4" w:space="0"/>
              <w:right w:val="single" w:color="auto" w:sz="4" w:space="0"/>
            </w:tcBorders>
            <w:vAlign w:val="center"/>
          </w:tcPr>
          <w:p w14:paraId="4724F3AF">
            <w:pPr>
              <w:widowControl/>
              <w:jc w:val="left"/>
              <w:rPr>
                <w:szCs w:val="21"/>
              </w:rPr>
            </w:pPr>
          </w:p>
        </w:tc>
        <w:tc>
          <w:tcPr>
            <w:tcW w:w="3020" w:type="dxa"/>
            <w:vMerge w:val="continue"/>
            <w:tcBorders>
              <w:top w:val="single" w:color="auto" w:sz="4" w:space="0"/>
              <w:left w:val="single" w:color="auto" w:sz="4" w:space="0"/>
              <w:bottom w:val="single" w:color="auto" w:sz="4" w:space="0"/>
              <w:right w:val="single" w:color="auto" w:sz="4" w:space="0"/>
            </w:tcBorders>
            <w:vAlign w:val="center"/>
          </w:tcPr>
          <w:p w14:paraId="6FA5643A">
            <w:pPr>
              <w:widowControl/>
              <w:jc w:val="left"/>
              <w:rPr>
                <w:szCs w:val="21"/>
              </w:rPr>
            </w:pPr>
          </w:p>
        </w:tc>
        <w:tc>
          <w:tcPr>
            <w:tcW w:w="1374" w:type="dxa"/>
            <w:tcBorders>
              <w:top w:val="single" w:color="auto" w:sz="4" w:space="0"/>
              <w:left w:val="single" w:color="auto" w:sz="4" w:space="0"/>
              <w:bottom w:val="single" w:color="auto" w:sz="4" w:space="0"/>
              <w:right w:val="single" w:color="auto" w:sz="4" w:space="0"/>
            </w:tcBorders>
            <w:vAlign w:val="center"/>
          </w:tcPr>
          <w:p w14:paraId="3702F53D">
            <w:pPr>
              <w:jc w:val="center"/>
              <w:rPr>
                <w:szCs w:val="21"/>
              </w:rPr>
            </w:pPr>
          </w:p>
        </w:tc>
        <w:tc>
          <w:tcPr>
            <w:tcW w:w="2744" w:type="dxa"/>
            <w:tcBorders>
              <w:top w:val="single" w:color="auto" w:sz="4" w:space="0"/>
              <w:left w:val="single" w:color="auto" w:sz="4" w:space="0"/>
              <w:bottom w:val="single" w:color="auto" w:sz="4" w:space="0"/>
              <w:right w:val="single" w:color="auto" w:sz="4" w:space="0"/>
            </w:tcBorders>
            <w:vAlign w:val="center"/>
          </w:tcPr>
          <w:p w14:paraId="0786FBDB">
            <w:pPr>
              <w:tabs>
                <w:tab w:val="left" w:pos="3060"/>
              </w:tabs>
              <w:rPr>
                <w:szCs w:val="21"/>
              </w:rPr>
            </w:pPr>
          </w:p>
        </w:tc>
      </w:tr>
      <w:tr w14:paraId="60CA6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1" w:hRule="atLeast"/>
          <w:jc w:val="center"/>
        </w:trPr>
        <w:tc>
          <w:tcPr>
            <w:tcW w:w="1658" w:type="dxa"/>
            <w:vMerge w:val="continue"/>
            <w:tcBorders>
              <w:top w:val="single" w:color="auto" w:sz="4" w:space="0"/>
              <w:left w:val="single" w:color="auto" w:sz="4" w:space="0"/>
              <w:bottom w:val="single" w:color="auto" w:sz="4" w:space="0"/>
              <w:right w:val="single" w:color="auto" w:sz="4" w:space="0"/>
            </w:tcBorders>
            <w:vAlign w:val="center"/>
          </w:tcPr>
          <w:p w14:paraId="12886478">
            <w:pPr>
              <w:widowControl/>
              <w:jc w:val="left"/>
              <w:rPr>
                <w:szCs w:val="21"/>
              </w:rPr>
            </w:pPr>
          </w:p>
        </w:tc>
        <w:tc>
          <w:tcPr>
            <w:tcW w:w="3020" w:type="dxa"/>
            <w:vMerge w:val="continue"/>
            <w:tcBorders>
              <w:top w:val="single" w:color="auto" w:sz="4" w:space="0"/>
              <w:left w:val="single" w:color="auto" w:sz="4" w:space="0"/>
              <w:bottom w:val="single" w:color="auto" w:sz="4" w:space="0"/>
              <w:right w:val="single" w:color="auto" w:sz="4" w:space="0"/>
            </w:tcBorders>
            <w:vAlign w:val="center"/>
          </w:tcPr>
          <w:p w14:paraId="15830E16">
            <w:pPr>
              <w:widowControl/>
              <w:jc w:val="left"/>
              <w:rPr>
                <w:szCs w:val="21"/>
              </w:rPr>
            </w:pPr>
          </w:p>
        </w:tc>
        <w:tc>
          <w:tcPr>
            <w:tcW w:w="1374" w:type="dxa"/>
            <w:tcBorders>
              <w:top w:val="single" w:color="auto" w:sz="4" w:space="0"/>
              <w:left w:val="single" w:color="auto" w:sz="4" w:space="0"/>
              <w:bottom w:val="single" w:color="auto" w:sz="4" w:space="0"/>
              <w:right w:val="single" w:color="auto" w:sz="4" w:space="0"/>
            </w:tcBorders>
            <w:vAlign w:val="center"/>
          </w:tcPr>
          <w:p w14:paraId="5FC02833">
            <w:pPr>
              <w:jc w:val="center"/>
              <w:rPr>
                <w:szCs w:val="21"/>
              </w:rPr>
            </w:pPr>
          </w:p>
        </w:tc>
        <w:tc>
          <w:tcPr>
            <w:tcW w:w="2744" w:type="dxa"/>
            <w:tcBorders>
              <w:top w:val="single" w:color="auto" w:sz="4" w:space="0"/>
              <w:left w:val="single" w:color="auto" w:sz="4" w:space="0"/>
              <w:bottom w:val="single" w:color="auto" w:sz="4" w:space="0"/>
              <w:right w:val="single" w:color="auto" w:sz="4" w:space="0"/>
            </w:tcBorders>
            <w:vAlign w:val="center"/>
          </w:tcPr>
          <w:p w14:paraId="69D30DEF">
            <w:pPr>
              <w:tabs>
                <w:tab w:val="left" w:pos="3060"/>
              </w:tabs>
              <w:rPr>
                <w:szCs w:val="21"/>
              </w:rPr>
            </w:pPr>
          </w:p>
        </w:tc>
      </w:tr>
      <w:tr w14:paraId="10A24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8796" w:type="dxa"/>
            <w:gridSpan w:val="4"/>
            <w:tcBorders>
              <w:top w:val="single" w:color="auto" w:sz="4" w:space="0"/>
              <w:left w:val="single" w:color="auto" w:sz="4" w:space="0"/>
              <w:bottom w:val="single" w:color="auto" w:sz="4" w:space="0"/>
              <w:right w:val="single" w:color="auto" w:sz="4" w:space="0"/>
            </w:tcBorders>
            <w:vAlign w:val="center"/>
          </w:tcPr>
          <w:p w14:paraId="5021B9A3">
            <w:pPr>
              <w:spacing w:line="480" w:lineRule="auto"/>
              <w:rPr>
                <w:spacing w:val="-8"/>
                <w:szCs w:val="21"/>
              </w:rPr>
            </w:pPr>
          </w:p>
          <w:p w14:paraId="38DB6FEB">
            <w:pPr>
              <w:snapToGrid w:val="0"/>
              <w:spacing w:before="240" w:beforeLines="100"/>
              <w:rPr>
                <w:spacing w:val="-8"/>
                <w:szCs w:val="21"/>
              </w:rPr>
            </w:pPr>
            <w:r>
              <w:rPr>
                <w:rFonts w:hint="eastAsia"/>
                <w:spacing w:val="-8"/>
                <w:szCs w:val="21"/>
              </w:rPr>
              <w:t>环境条件：大气压：</w:t>
            </w:r>
            <w:r>
              <w:rPr>
                <w:spacing w:val="-8"/>
                <w:szCs w:val="21"/>
                <w:u w:val="single"/>
              </w:rPr>
              <w:t xml:space="preserve">        </w:t>
            </w:r>
            <w:r>
              <w:rPr>
                <w:spacing w:val="-8"/>
                <w:szCs w:val="21"/>
              </w:rPr>
              <w:t>kPa</w:t>
            </w:r>
            <w:r>
              <w:rPr>
                <w:rFonts w:hint="eastAsia"/>
                <w:spacing w:val="-8"/>
                <w:szCs w:val="21"/>
              </w:rPr>
              <w:t>；环境温度：</w:t>
            </w:r>
            <w:r>
              <w:rPr>
                <w:spacing w:val="-8"/>
                <w:szCs w:val="21"/>
                <w:u w:val="single"/>
              </w:rPr>
              <w:t xml:space="preserve">         </w:t>
            </w:r>
            <w:r>
              <w:rPr>
                <w:rFonts w:hint="eastAsia" w:ascii="宋体" w:hAnsi="宋体" w:cs="宋体"/>
                <w:spacing w:val="-8"/>
                <w:szCs w:val="21"/>
              </w:rPr>
              <w:t>℃</w:t>
            </w:r>
            <w:r>
              <w:rPr>
                <w:rFonts w:hint="eastAsia"/>
                <w:spacing w:val="-8"/>
                <w:szCs w:val="21"/>
              </w:rPr>
              <w:t>；相对湿度：</w:t>
            </w:r>
            <w:r>
              <w:rPr>
                <w:spacing w:val="-8"/>
                <w:szCs w:val="21"/>
                <w:u w:val="single"/>
              </w:rPr>
              <w:t xml:space="preserve">         </w:t>
            </w:r>
            <w:r>
              <w:rPr>
                <w:spacing w:val="-8"/>
                <w:szCs w:val="21"/>
              </w:rPr>
              <w:t>%</w:t>
            </w:r>
          </w:p>
          <w:p w14:paraId="55614BB5">
            <w:pPr>
              <w:snapToGrid w:val="0"/>
              <w:spacing w:before="240" w:beforeLines="100"/>
              <w:rPr>
                <w:szCs w:val="21"/>
              </w:rPr>
            </w:pPr>
            <w:r>
              <w:rPr>
                <w:rFonts w:hint="eastAsia"/>
                <w:spacing w:val="-8"/>
                <w:szCs w:val="21"/>
              </w:rPr>
              <w:t>试验设备：</w:t>
            </w:r>
          </w:p>
        </w:tc>
      </w:tr>
    </w:tbl>
    <w:p w14:paraId="3CA0D707">
      <w:pPr>
        <w:snapToGrid w:val="0"/>
        <w:spacing w:before="240" w:beforeLines="100"/>
        <w:rPr>
          <w:szCs w:val="21"/>
        </w:rPr>
      </w:pPr>
      <w:r>
        <w:rPr>
          <w:rFonts w:hint="eastAsia"/>
          <w:szCs w:val="21"/>
        </w:rPr>
        <w:t xml:space="preserve">试验员  </w:t>
      </w:r>
      <w:r>
        <w:rPr>
          <w:szCs w:val="21"/>
          <w:u w:val="single"/>
        </w:rPr>
        <w:t xml:space="preserve">    </w:t>
      </w:r>
      <w:r>
        <w:rPr>
          <w:rFonts w:hint="eastAsia"/>
          <w:szCs w:val="21"/>
          <w:u w:val="single"/>
        </w:rPr>
        <w:t>　</w:t>
      </w:r>
      <w:r>
        <w:rPr>
          <w:szCs w:val="21"/>
          <w:u w:val="single"/>
        </w:rPr>
        <w:t xml:space="preserve">        </w:t>
      </w:r>
      <w:r>
        <w:rPr>
          <w:szCs w:val="21"/>
        </w:rPr>
        <w:t xml:space="preserve">    </w:t>
      </w:r>
      <w:r>
        <w:rPr>
          <w:rFonts w:hint="eastAsia"/>
          <w:szCs w:val="21"/>
        </w:rPr>
        <w:t xml:space="preserve"> </w:t>
      </w:r>
      <w:r>
        <w:rPr>
          <w:szCs w:val="21"/>
        </w:rPr>
        <w:t xml:space="preserve"> </w:t>
      </w:r>
      <w:r>
        <w:rPr>
          <w:rFonts w:hint="eastAsia"/>
          <w:szCs w:val="21"/>
        </w:rPr>
        <w:t>核验员</w:t>
      </w:r>
      <w:r>
        <w:rPr>
          <w:szCs w:val="21"/>
        </w:rPr>
        <w:t xml:space="preserve"> </w:t>
      </w:r>
      <w:r>
        <w:rPr>
          <w:rFonts w:hint="eastAsia"/>
          <w:szCs w:val="21"/>
        </w:rPr>
        <w:t xml:space="preserve">  </w:t>
      </w:r>
      <w:r>
        <w:rPr>
          <w:szCs w:val="21"/>
          <w:u w:val="single"/>
        </w:rPr>
        <w:t xml:space="preserve">            </w:t>
      </w:r>
      <w:r>
        <w:rPr>
          <w:rFonts w:hint="eastAsia"/>
          <w:szCs w:val="21"/>
          <w:u w:val="single"/>
        </w:rPr>
        <w:t>　</w:t>
      </w:r>
      <w:r>
        <w:rPr>
          <w:rFonts w:hint="eastAsia"/>
          <w:szCs w:val="21"/>
        </w:rPr>
        <w:t xml:space="preserve">         试验日期</w:t>
      </w:r>
      <w:r>
        <w:rPr>
          <w:szCs w:val="21"/>
        </w:rPr>
        <w:t xml:space="preserve"> </w:t>
      </w:r>
      <w:r>
        <w:rPr>
          <w:szCs w:val="21"/>
          <w:u w:val="single"/>
        </w:rPr>
        <w:t xml:space="preserve">      </w:t>
      </w:r>
      <w:r>
        <w:rPr>
          <w:rFonts w:hint="eastAsia"/>
          <w:szCs w:val="21"/>
          <w:u w:val="single"/>
        </w:rPr>
        <w:t xml:space="preserve">     </w:t>
      </w:r>
      <w:r>
        <w:rPr>
          <w:szCs w:val="21"/>
          <w:u w:val="single"/>
        </w:rPr>
        <w:t xml:space="preserve">  </w:t>
      </w:r>
    </w:p>
    <w:p w14:paraId="0165EE5B">
      <w:pPr>
        <w:widowControl/>
        <w:spacing w:before="160" w:line="360" w:lineRule="auto"/>
        <w:jc w:val="center"/>
        <w:rPr>
          <w:sz w:val="24"/>
          <w:szCs w:val="24"/>
        </w:rPr>
      </w:pPr>
      <w:r>
        <w:rPr>
          <w:szCs w:val="21"/>
        </w:rPr>
        <w:br w:type="page"/>
      </w:r>
      <w:r>
        <w:rPr>
          <w:rFonts w:hint="eastAsia"/>
          <w:sz w:val="24"/>
          <w:szCs w:val="24"/>
        </w:rPr>
        <w:t>7、</w:t>
      </w:r>
      <w:r>
        <w:rPr>
          <w:sz w:val="24"/>
          <w:szCs w:val="24"/>
        </w:rPr>
        <w:t xml:space="preserve"> </w:t>
      </w:r>
      <w:r>
        <w:rPr>
          <w:rFonts w:hint="eastAsia"/>
          <w:sz w:val="24"/>
          <w:szCs w:val="24"/>
        </w:rPr>
        <w:t>电磁兼容适应性试验原始记录</w:t>
      </w:r>
    </w:p>
    <w:p w14:paraId="3E75BF1F">
      <w:pPr>
        <w:spacing w:before="160" w:line="360" w:lineRule="auto"/>
        <w:rPr>
          <w:sz w:val="24"/>
          <w:szCs w:val="24"/>
          <w:u w:val="single"/>
        </w:rPr>
      </w:pPr>
      <w:r>
        <w:rPr>
          <w:rFonts w:hint="eastAsia"/>
          <w:sz w:val="24"/>
          <w:szCs w:val="24"/>
        </w:rPr>
        <w:t>产品名称：</w:t>
      </w:r>
      <w:r>
        <w:rPr>
          <w:rFonts w:hint="eastAsia"/>
          <w:sz w:val="24"/>
          <w:szCs w:val="24"/>
          <w:u w:val="single"/>
        </w:rPr>
        <w:t xml:space="preserve">                         </w:t>
      </w:r>
      <w:r>
        <w:rPr>
          <w:rFonts w:hint="eastAsia"/>
          <w:sz w:val="24"/>
          <w:szCs w:val="24"/>
        </w:rPr>
        <w:t>型号规格：</w:t>
      </w:r>
      <w:r>
        <w:rPr>
          <w:sz w:val="24"/>
          <w:szCs w:val="24"/>
          <w:u w:val="single"/>
        </w:rPr>
        <w:t xml:space="preserve">                       </w:t>
      </w:r>
    </w:p>
    <w:p w14:paraId="4631EC98">
      <w:pPr>
        <w:spacing w:before="160" w:line="360" w:lineRule="auto"/>
        <w:rPr>
          <w:sz w:val="24"/>
          <w:szCs w:val="24"/>
          <w:u w:val="single"/>
        </w:rPr>
      </w:pPr>
      <w:r>
        <w:rPr>
          <w:rFonts w:hint="eastAsia"/>
          <w:sz w:val="24"/>
          <w:szCs w:val="24"/>
        </w:rPr>
        <w:t>准确度等级：</w:t>
      </w:r>
      <w:r>
        <w:rPr>
          <w:sz w:val="24"/>
          <w:szCs w:val="24"/>
          <w:u w:val="single"/>
        </w:rPr>
        <w:t xml:space="preserve">                     </w:t>
      </w:r>
      <w:r>
        <w:rPr>
          <w:rFonts w:hint="eastAsia"/>
          <w:sz w:val="24"/>
          <w:szCs w:val="24"/>
        </w:rPr>
        <w:t>制造单位：</w:t>
      </w:r>
      <w:r>
        <w:rPr>
          <w:sz w:val="24"/>
          <w:szCs w:val="24"/>
          <w:u w:val="single"/>
        </w:rPr>
        <w:t xml:space="preserve">                         </w:t>
      </w:r>
    </w:p>
    <w:tbl>
      <w:tblPr>
        <w:tblStyle w:val="38"/>
        <w:tblW w:w="8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4531"/>
        <w:gridCol w:w="1134"/>
        <w:gridCol w:w="1713"/>
      </w:tblGrid>
      <w:tr w14:paraId="514EA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14:paraId="044E4A7B">
            <w:pPr>
              <w:jc w:val="center"/>
              <w:rPr>
                <w:szCs w:val="21"/>
              </w:rPr>
            </w:pPr>
            <w:r>
              <w:rPr>
                <w:rFonts w:hint="eastAsia"/>
                <w:szCs w:val="21"/>
              </w:rPr>
              <w:t>项目名称</w:t>
            </w:r>
          </w:p>
        </w:tc>
        <w:tc>
          <w:tcPr>
            <w:tcW w:w="4531" w:type="dxa"/>
            <w:tcBorders>
              <w:top w:val="single" w:color="auto" w:sz="4" w:space="0"/>
              <w:left w:val="single" w:color="auto" w:sz="4" w:space="0"/>
              <w:bottom w:val="single" w:color="auto" w:sz="4" w:space="0"/>
              <w:right w:val="single" w:color="auto" w:sz="4" w:space="0"/>
            </w:tcBorders>
            <w:vAlign w:val="center"/>
          </w:tcPr>
          <w:p w14:paraId="4A8BFA32">
            <w:pPr>
              <w:jc w:val="center"/>
              <w:rPr>
                <w:szCs w:val="21"/>
              </w:rPr>
            </w:pPr>
            <w:r>
              <w:rPr>
                <w:rFonts w:hint="eastAsia"/>
                <w:szCs w:val="21"/>
              </w:rPr>
              <w:t>型式评价大纲要求</w:t>
            </w:r>
          </w:p>
        </w:tc>
        <w:tc>
          <w:tcPr>
            <w:tcW w:w="1134" w:type="dxa"/>
            <w:tcBorders>
              <w:top w:val="single" w:color="auto" w:sz="4" w:space="0"/>
              <w:left w:val="single" w:color="auto" w:sz="4" w:space="0"/>
              <w:bottom w:val="single" w:color="auto" w:sz="4" w:space="0"/>
              <w:right w:val="single" w:color="auto" w:sz="4" w:space="0"/>
            </w:tcBorders>
            <w:vAlign w:val="center"/>
          </w:tcPr>
          <w:p w14:paraId="770A1BC4">
            <w:pPr>
              <w:jc w:val="center"/>
              <w:rPr>
                <w:szCs w:val="21"/>
              </w:rPr>
            </w:pPr>
            <w:r>
              <w:rPr>
                <w:rFonts w:hint="eastAsia"/>
                <w:szCs w:val="21"/>
              </w:rPr>
              <w:t>样品编号</w:t>
            </w:r>
          </w:p>
        </w:tc>
        <w:tc>
          <w:tcPr>
            <w:tcW w:w="1713" w:type="dxa"/>
            <w:tcBorders>
              <w:top w:val="single" w:color="auto" w:sz="4" w:space="0"/>
              <w:left w:val="single" w:color="auto" w:sz="4" w:space="0"/>
              <w:bottom w:val="single" w:color="auto" w:sz="4" w:space="0"/>
              <w:right w:val="single" w:color="auto" w:sz="4" w:space="0"/>
            </w:tcBorders>
            <w:vAlign w:val="center"/>
          </w:tcPr>
          <w:p w14:paraId="59D8129B">
            <w:pPr>
              <w:jc w:val="center"/>
              <w:rPr>
                <w:szCs w:val="21"/>
              </w:rPr>
            </w:pPr>
            <w:r>
              <w:rPr>
                <w:rFonts w:hint="eastAsia"/>
                <w:szCs w:val="21"/>
              </w:rPr>
              <w:t>实测结果</w:t>
            </w:r>
          </w:p>
        </w:tc>
      </w:tr>
      <w:tr w14:paraId="474D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5" w:hRule="atLeast"/>
          <w:jc w:val="center"/>
        </w:trPr>
        <w:tc>
          <w:tcPr>
            <w:tcW w:w="1418" w:type="dxa"/>
            <w:vMerge w:val="restart"/>
            <w:tcBorders>
              <w:top w:val="single" w:color="auto" w:sz="4" w:space="0"/>
              <w:left w:val="single" w:color="auto" w:sz="4" w:space="0"/>
              <w:bottom w:val="single" w:color="auto" w:sz="4" w:space="0"/>
              <w:right w:val="single" w:color="auto" w:sz="4" w:space="0"/>
            </w:tcBorders>
            <w:vAlign w:val="center"/>
          </w:tcPr>
          <w:p w14:paraId="52604F18">
            <w:pPr>
              <w:rPr>
                <w:szCs w:val="21"/>
              </w:rPr>
            </w:pPr>
            <w:r>
              <w:rPr>
                <w:rFonts w:hint="eastAsia"/>
                <w:szCs w:val="21"/>
              </w:rPr>
              <w:t>7.8电磁兼容适应性</w:t>
            </w:r>
          </w:p>
          <w:p w14:paraId="53C72867">
            <w:pPr>
              <w:rPr>
                <w:szCs w:val="21"/>
              </w:rPr>
            </w:pPr>
            <w:r>
              <w:rPr>
                <w:rFonts w:hint="eastAsia"/>
                <w:szCs w:val="21"/>
              </w:rPr>
              <w:t>7.9电源环境适用性</w:t>
            </w:r>
          </w:p>
        </w:tc>
        <w:tc>
          <w:tcPr>
            <w:tcW w:w="4531" w:type="dxa"/>
            <w:vMerge w:val="restart"/>
            <w:tcBorders>
              <w:top w:val="single" w:color="auto" w:sz="4" w:space="0"/>
              <w:left w:val="single" w:color="auto" w:sz="4" w:space="0"/>
              <w:bottom w:val="single" w:color="auto" w:sz="4" w:space="0"/>
              <w:right w:val="single" w:color="auto" w:sz="4" w:space="0"/>
            </w:tcBorders>
            <w:vAlign w:val="center"/>
          </w:tcPr>
          <w:p w14:paraId="1A65EBB6">
            <w:pPr>
              <w:spacing w:line="300" w:lineRule="auto"/>
              <w:ind w:firstLine="420" w:firstLineChars="200"/>
              <w:jc w:val="left"/>
              <w:rPr>
                <w:szCs w:val="21"/>
              </w:rPr>
            </w:pPr>
            <w:r>
              <w:rPr>
                <w:rFonts w:hint="eastAsia"/>
                <w:szCs w:val="21"/>
              </w:rPr>
              <w:t>电源供电的流量计应进行电磁兼容适应性试验。试验期间流量计允许出现功能和性能暂时丧失，但试验结束后相应功能和性能应能自行恢复；流量计应正常工作，存贮的数据保持不变，外观和功能应符合要求。</w:t>
            </w:r>
          </w:p>
          <w:p w14:paraId="531054FF">
            <w:pPr>
              <w:spacing w:line="300" w:lineRule="auto"/>
              <w:ind w:firstLine="420" w:firstLineChars="200"/>
              <w:jc w:val="left"/>
              <w:rPr>
                <w:szCs w:val="21"/>
              </w:rPr>
            </w:pPr>
            <w:r>
              <w:rPr>
                <w:rFonts w:hint="eastAsia"/>
                <w:szCs w:val="21"/>
              </w:rPr>
              <w:t>7</w:t>
            </w:r>
            <w:r>
              <w:rPr>
                <w:szCs w:val="21"/>
              </w:rPr>
              <w:t>.</w:t>
            </w:r>
            <w:r>
              <w:rPr>
                <w:rFonts w:hint="eastAsia"/>
                <w:szCs w:val="21"/>
              </w:rPr>
              <w:t>8</w:t>
            </w:r>
            <w:r>
              <w:rPr>
                <w:szCs w:val="21"/>
              </w:rPr>
              <w:t>.</w:t>
            </w:r>
            <w:r>
              <w:rPr>
                <w:rFonts w:hint="eastAsia"/>
                <w:szCs w:val="21"/>
              </w:rPr>
              <w:t>1 静电放电抗扰度</w:t>
            </w:r>
          </w:p>
          <w:p w14:paraId="34999719">
            <w:pPr>
              <w:spacing w:line="300" w:lineRule="auto"/>
              <w:ind w:firstLine="420" w:firstLineChars="200"/>
              <w:jc w:val="left"/>
              <w:rPr>
                <w:szCs w:val="21"/>
              </w:rPr>
            </w:pPr>
            <w:r>
              <w:rPr>
                <w:rFonts w:hint="eastAsia"/>
                <w:szCs w:val="21"/>
              </w:rPr>
              <w:t>按 GB/T 17626.2的相关要求进行，试验等级3级。</w:t>
            </w:r>
          </w:p>
          <w:p w14:paraId="03467978">
            <w:pPr>
              <w:spacing w:line="300" w:lineRule="auto"/>
              <w:ind w:firstLine="420" w:firstLineChars="200"/>
              <w:jc w:val="left"/>
              <w:rPr>
                <w:szCs w:val="21"/>
              </w:rPr>
            </w:pPr>
            <w:r>
              <w:rPr>
                <w:rFonts w:hint="eastAsia"/>
                <w:szCs w:val="21"/>
              </w:rPr>
              <w:t>7</w:t>
            </w:r>
            <w:r>
              <w:rPr>
                <w:szCs w:val="21"/>
              </w:rPr>
              <w:t>.</w:t>
            </w:r>
            <w:r>
              <w:rPr>
                <w:rFonts w:hint="eastAsia"/>
                <w:szCs w:val="21"/>
              </w:rPr>
              <w:t>8</w:t>
            </w:r>
            <w:r>
              <w:rPr>
                <w:szCs w:val="21"/>
              </w:rPr>
              <w:t>.</w:t>
            </w:r>
            <w:r>
              <w:rPr>
                <w:rFonts w:hint="eastAsia"/>
                <w:szCs w:val="21"/>
              </w:rPr>
              <w:t>2 电快速瞬变脉冲群抗扰度</w:t>
            </w:r>
          </w:p>
          <w:p w14:paraId="41AEACD6">
            <w:pPr>
              <w:spacing w:line="300" w:lineRule="auto"/>
              <w:ind w:firstLine="420" w:firstLineChars="200"/>
              <w:jc w:val="left"/>
              <w:rPr>
                <w:szCs w:val="21"/>
              </w:rPr>
            </w:pPr>
            <w:r>
              <w:rPr>
                <w:rFonts w:hint="eastAsia"/>
                <w:szCs w:val="21"/>
              </w:rPr>
              <w:t>对具有交流和直流外电源供电的流量计，按GB/T 17626.4的相关要求进行，试验等级2级。</w:t>
            </w:r>
          </w:p>
          <w:p w14:paraId="65296915">
            <w:pPr>
              <w:spacing w:line="300" w:lineRule="auto"/>
              <w:ind w:firstLine="420" w:firstLineChars="200"/>
              <w:jc w:val="left"/>
              <w:rPr>
                <w:szCs w:val="21"/>
              </w:rPr>
            </w:pPr>
            <w:r>
              <w:rPr>
                <w:rFonts w:hint="eastAsia"/>
                <w:szCs w:val="21"/>
              </w:rPr>
              <w:t>7</w:t>
            </w:r>
            <w:r>
              <w:rPr>
                <w:szCs w:val="21"/>
              </w:rPr>
              <w:t>.</w:t>
            </w:r>
            <w:r>
              <w:rPr>
                <w:rFonts w:hint="eastAsia"/>
                <w:szCs w:val="21"/>
              </w:rPr>
              <w:t>8</w:t>
            </w:r>
            <w:r>
              <w:rPr>
                <w:szCs w:val="21"/>
              </w:rPr>
              <w:t>.</w:t>
            </w:r>
            <w:r>
              <w:rPr>
                <w:rFonts w:hint="eastAsia"/>
                <w:szCs w:val="21"/>
              </w:rPr>
              <w:t>3信号、数据和控制线上浪涌（冲击）抗扰度</w:t>
            </w:r>
          </w:p>
          <w:p w14:paraId="00B12539">
            <w:pPr>
              <w:spacing w:line="300" w:lineRule="auto"/>
              <w:ind w:firstLine="420" w:firstLineChars="200"/>
              <w:jc w:val="left"/>
              <w:rPr>
                <w:szCs w:val="21"/>
              </w:rPr>
            </w:pPr>
            <w:r>
              <w:rPr>
                <w:rFonts w:hint="eastAsia"/>
                <w:szCs w:val="21"/>
              </w:rPr>
              <w:t>具有对外信号、数据和控制线接口的流量计，按GB/T 17626.5的相关要求进行，试验等级见7.7.5。</w:t>
            </w:r>
          </w:p>
          <w:p w14:paraId="26ED9FF9">
            <w:pPr>
              <w:spacing w:line="300" w:lineRule="auto"/>
              <w:ind w:firstLine="420" w:firstLineChars="200"/>
              <w:jc w:val="left"/>
              <w:rPr>
                <w:szCs w:val="21"/>
              </w:rPr>
            </w:pPr>
            <w:r>
              <w:rPr>
                <w:rFonts w:hint="eastAsia"/>
                <w:szCs w:val="21"/>
              </w:rPr>
              <w:t>7.8.4交流电压暂降和短时中断抗扰度</w:t>
            </w:r>
          </w:p>
          <w:p w14:paraId="051EEA01">
            <w:pPr>
              <w:spacing w:line="300" w:lineRule="auto"/>
              <w:ind w:firstLine="420" w:firstLineChars="200"/>
              <w:jc w:val="left"/>
              <w:rPr>
                <w:szCs w:val="21"/>
              </w:rPr>
            </w:pPr>
            <w:r>
              <w:rPr>
                <w:rFonts w:hint="eastAsia"/>
                <w:szCs w:val="21"/>
              </w:rPr>
              <w:t>对具有交流外电源供电的流量计，按GB/T 17626.11的相关要求进行，试验方法和步骤见GB/T 32201-2015表B.7.2。</w:t>
            </w:r>
          </w:p>
          <w:p w14:paraId="0E03DF7A">
            <w:pPr>
              <w:spacing w:line="300" w:lineRule="auto"/>
              <w:ind w:firstLine="420" w:firstLineChars="200"/>
              <w:jc w:val="left"/>
              <w:rPr>
                <w:szCs w:val="21"/>
              </w:rPr>
            </w:pPr>
            <w:r>
              <w:rPr>
                <w:rFonts w:hint="eastAsia"/>
                <w:szCs w:val="21"/>
              </w:rPr>
              <w:t>7</w:t>
            </w:r>
            <w:r>
              <w:rPr>
                <w:szCs w:val="21"/>
              </w:rPr>
              <w:t>.</w:t>
            </w:r>
            <w:r>
              <w:rPr>
                <w:rFonts w:hint="eastAsia"/>
                <w:szCs w:val="21"/>
              </w:rPr>
              <w:t>8.5 直流电源的电压暂停、短时中断和电压变化抗扰度</w:t>
            </w:r>
          </w:p>
          <w:p w14:paraId="45A10281">
            <w:pPr>
              <w:spacing w:line="300" w:lineRule="auto"/>
              <w:ind w:firstLine="420" w:firstLineChars="200"/>
              <w:jc w:val="left"/>
              <w:rPr>
                <w:szCs w:val="21"/>
              </w:rPr>
            </w:pPr>
            <w:r>
              <w:rPr>
                <w:rFonts w:hint="eastAsia"/>
                <w:szCs w:val="21"/>
              </w:rPr>
              <w:t>对外电源供电的流量计，按GB/T 17626.29的相关要求进行，试验参数符合GB/T 32201-2015表B.2。</w:t>
            </w:r>
          </w:p>
          <w:p w14:paraId="462AB099">
            <w:pPr>
              <w:spacing w:line="300" w:lineRule="auto"/>
              <w:jc w:val="left"/>
              <w:rPr>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EC5A7AF">
            <w:pPr>
              <w:spacing w:line="300" w:lineRule="auto"/>
              <w:jc w:val="center"/>
              <w:rPr>
                <w:szCs w:val="21"/>
              </w:rPr>
            </w:pPr>
          </w:p>
        </w:tc>
        <w:tc>
          <w:tcPr>
            <w:tcW w:w="1713" w:type="dxa"/>
            <w:tcBorders>
              <w:top w:val="single" w:color="auto" w:sz="4" w:space="0"/>
              <w:left w:val="single" w:color="auto" w:sz="4" w:space="0"/>
              <w:bottom w:val="single" w:color="auto" w:sz="4" w:space="0"/>
              <w:right w:val="single" w:color="auto" w:sz="4" w:space="0"/>
            </w:tcBorders>
            <w:vAlign w:val="center"/>
          </w:tcPr>
          <w:p w14:paraId="2FBED711">
            <w:pPr>
              <w:spacing w:line="300" w:lineRule="auto"/>
              <w:jc w:val="left"/>
              <w:rPr>
                <w:szCs w:val="21"/>
              </w:rPr>
            </w:pPr>
          </w:p>
        </w:tc>
      </w:tr>
      <w:tr w14:paraId="64A15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5" w:hRule="atLeast"/>
          <w:jc w:val="center"/>
        </w:trPr>
        <w:tc>
          <w:tcPr>
            <w:tcW w:w="1418" w:type="dxa"/>
            <w:vMerge w:val="continue"/>
            <w:tcBorders>
              <w:top w:val="single" w:color="auto" w:sz="4" w:space="0"/>
              <w:left w:val="single" w:color="auto" w:sz="4" w:space="0"/>
              <w:bottom w:val="single" w:color="auto" w:sz="4" w:space="0"/>
              <w:right w:val="single" w:color="auto" w:sz="4" w:space="0"/>
            </w:tcBorders>
            <w:vAlign w:val="center"/>
          </w:tcPr>
          <w:p w14:paraId="00C06622">
            <w:pPr>
              <w:widowControl/>
              <w:jc w:val="left"/>
              <w:rPr>
                <w:szCs w:val="21"/>
              </w:rPr>
            </w:pPr>
          </w:p>
        </w:tc>
        <w:tc>
          <w:tcPr>
            <w:tcW w:w="4531" w:type="dxa"/>
            <w:vMerge w:val="continue"/>
            <w:tcBorders>
              <w:top w:val="single" w:color="auto" w:sz="4" w:space="0"/>
              <w:left w:val="single" w:color="auto" w:sz="4" w:space="0"/>
              <w:bottom w:val="single" w:color="auto" w:sz="4" w:space="0"/>
              <w:right w:val="single" w:color="auto" w:sz="4" w:space="0"/>
            </w:tcBorders>
            <w:vAlign w:val="center"/>
          </w:tcPr>
          <w:p w14:paraId="701AD661">
            <w:pPr>
              <w:widowControl/>
              <w:jc w:val="left"/>
              <w:rPr>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09F31A3">
            <w:pPr>
              <w:spacing w:line="300" w:lineRule="auto"/>
              <w:jc w:val="center"/>
              <w:rPr>
                <w:szCs w:val="21"/>
              </w:rPr>
            </w:pPr>
          </w:p>
        </w:tc>
        <w:tc>
          <w:tcPr>
            <w:tcW w:w="1713" w:type="dxa"/>
            <w:tcBorders>
              <w:top w:val="single" w:color="auto" w:sz="4" w:space="0"/>
              <w:left w:val="single" w:color="auto" w:sz="4" w:space="0"/>
              <w:bottom w:val="single" w:color="auto" w:sz="4" w:space="0"/>
              <w:right w:val="single" w:color="auto" w:sz="4" w:space="0"/>
            </w:tcBorders>
            <w:vAlign w:val="center"/>
          </w:tcPr>
          <w:p w14:paraId="06401CE6">
            <w:pPr>
              <w:spacing w:line="300" w:lineRule="auto"/>
              <w:jc w:val="left"/>
              <w:rPr>
                <w:szCs w:val="21"/>
              </w:rPr>
            </w:pPr>
          </w:p>
        </w:tc>
      </w:tr>
      <w:tr w14:paraId="2736E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5" w:hRule="atLeast"/>
          <w:jc w:val="center"/>
        </w:trPr>
        <w:tc>
          <w:tcPr>
            <w:tcW w:w="1418" w:type="dxa"/>
            <w:vMerge w:val="continue"/>
            <w:tcBorders>
              <w:top w:val="single" w:color="auto" w:sz="4" w:space="0"/>
              <w:left w:val="single" w:color="auto" w:sz="4" w:space="0"/>
              <w:bottom w:val="single" w:color="auto" w:sz="4" w:space="0"/>
              <w:right w:val="single" w:color="auto" w:sz="4" w:space="0"/>
            </w:tcBorders>
            <w:vAlign w:val="center"/>
          </w:tcPr>
          <w:p w14:paraId="1DD970F7">
            <w:pPr>
              <w:widowControl/>
              <w:jc w:val="left"/>
              <w:rPr>
                <w:szCs w:val="21"/>
              </w:rPr>
            </w:pPr>
          </w:p>
        </w:tc>
        <w:tc>
          <w:tcPr>
            <w:tcW w:w="4531" w:type="dxa"/>
            <w:vMerge w:val="continue"/>
            <w:tcBorders>
              <w:top w:val="single" w:color="auto" w:sz="4" w:space="0"/>
              <w:left w:val="single" w:color="auto" w:sz="4" w:space="0"/>
              <w:bottom w:val="single" w:color="auto" w:sz="4" w:space="0"/>
              <w:right w:val="single" w:color="auto" w:sz="4" w:space="0"/>
            </w:tcBorders>
            <w:vAlign w:val="center"/>
          </w:tcPr>
          <w:p w14:paraId="39CF87CD">
            <w:pPr>
              <w:widowControl/>
              <w:jc w:val="left"/>
              <w:rPr>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99995AB">
            <w:pPr>
              <w:spacing w:line="300" w:lineRule="auto"/>
              <w:jc w:val="center"/>
              <w:rPr>
                <w:szCs w:val="21"/>
              </w:rPr>
            </w:pPr>
          </w:p>
        </w:tc>
        <w:tc>
          <w:tcPr>
            <w:tcW w:w="1713" w:type="dxa"/>
            <w:tcBorders>
              <w:top w:val="single" w:color="auto" w:sz="4" w:space="0"/>
              <w:left w:val="single" w:color="auto" w:sz="4" w:space="0"/>
              <w:bottom w:val="single" w:color="auto" w:sz="4" w:space="0"/>
              <w:right w:val="single" w:color="auto" w:sz="4" w:space="0"/>
            </w:tcBorders>
            <w:vAlign w:val="center"/>
          </w:tcPr>
          <w:p w14:paraId="440FA4ED">
            <w:pPr>
              <w:spacing w:line="300" w:lineRule="auto"/>
              <w:jc w:val="left"/>
              <w:rPr>
                <w:szCs w:val="21"/>
              </w:rPr>
            </w:pPr>
          </w:p>
        </w:tc>
      </w:tr>
      <w:tr w14:paraId="53BAA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8796" w:type="dxa"/>
            <w:gridSpan w:val="4"/>
            <w:tcBorders>
              <w:top w:val="single" w:color="auto" w:sz="4" w:space="0"/>
              <w:left w:val="single" w:color="auto" w:sz="4" w:space="0"/>
              <w:bottom w:val="single" w:color="auto" w:sz="4" w:space="0"/>
              <w:right w:val="single" w:color="auto" w:sz="4" w:space="0"/>
            </w:tcBorders>
            <w:vAlign w:val="center"/>
          </w:tcPr>
          <w:p w14:paraId="019BD97C">
            <w:pPr>
              <w:snapToGrid w:val="0"/>
              <w:spacing w:before="240" w:beforeLines="100"/>
              <w:rPr>
                <w:spacing w:val="-8"/>
                <w:szCs w:val="21"/>
              </w:rPr>
            </w:pPr>
            <w:r>
              <w:rPr>
                <w:rFonts w:hint="eastAsia"/>
                <w:spacing w:val="-8"/>
                <w:szCs w:val="21"/>
              </w:rPr>
              <w:t>环境条件：大气压：</w:t>
            </w:r>
            <w:r>
              <w:rPr>
                <w:spacing w:val="-8"/>
                <w:szCs w:val="21"/>
                <w:u w:val="single"/>
              </w:rPr>
              <w:t xml:space="preserve">        </w:t>
            </w:r>
            <w:r>
              <w:rPr>
                <w:spacing w:val="-8"/>
                <w:szCs w:val="21"/>
              </w:rPr>
              <w:t>kPa</w:t>
            </w:r>
            <w:r>
              <w:rPr>
                <w:rFonts w:hint="eastAsia"/>
                <w:spacing w:val="-8"/>
                <w:szCs w:val="21"/>
              </w:rPr>
              <w:t>；环境温度：</w:t>
            </w:r>
            <w:r>
              <w:rPr>
                <w:spacing w:val="-8"/>
                <w:szCs w:val="21"/>
                <w:u w:val="single"/>
              </w:rPr>
              <w:t xml:space="preserve">         </w:t>
            </w:r>
            <w:r>
              <w:rPr>
                <w:rFonts w:hint="eastAsia" w:ascii="宋体" w:hAnsi="宋体" w:cs="宋体"/>
                <w:spacing w:val="-8"/>
                <w:szCs w:val="21"/>
              </w:rPr>
              <w:t>℃</w:t>
            </w:r>
            <w:r>
              <w:rPr>
                <w:rFonts w:hint="eastAsia"/>
                <w:spacing w:val="-8"/>
                <w:szCs w:val="21"/>
              </w:rPr>
              <w:t>；相对湿度：</w:t>
            </w:r>
            <w:r>
              <w:rPr>
                <w:spacing w:val="-8"/>
                <w:szCs w:val="21"/>
                <w:u w:val="single"/>
              </w:rPr>
              <w:t xml:space="preserve">         </w:t>
            </w:r>
            <w:r>
              <w:rPr>
                <w:spacing w:val="-8"/>
                <w:szCs w:val="21"/>
              </w:rPr>
              <w:t>%；</w:t>
            </w:r>
          </w:p>
          <w:p w14:paraId="52F31D5F">
            <w:pPr>
              <w:snapToGrid w:val="0"/>
              <w:spacing w:before="240" w:beforeLines="100"/>
              <w:rPr>
                <w:szCs w:val="21"/>
              </w:rPr>
            </w:pPr>
            <w:r>
              <w:rPr>
                <w:rFonts w:hint="eastAsia"/>
                <w:spacing w:val="-8"/>
                <w:szCs w:val="21"/>
              </w:rPr>
              <w:t>试验设备：</w:t>
            </w:r>
          </w:p>
        </w:tc>
      </w:tr>
    </w:tbl>
    <w:p w14:paraId="3BEFE0C5">
      <w:pPr>
        <w:pStyle w:val="121"/>
        <w:snapToGrid w:val="0"/>
        <w:spacing w:before="240" w:beforeLines="100"/>
        <w:ind w:firstLine="0" w:firstLineChars="0"/>
        <w:rPr>
          <w:szCs w:val="21"/>
        </w:rPr>
      </w:pPr>
      <w:r>
        <w:rPr>
          <w:rFonts w:hint="eastAsia"/>
          <w:szCs w:val="21"/>
        </w:rPr>
        <w:t xml:space="preserve">试验员  </w:t>
      </w:r>
      <w:r>
        <w:rPr>
          <w:szCs w:val="21"/>
          <w:u w:val="single"/>
        </w:rPr>
        <w:t xml:space="preserve">    </w:t>
      </w:r>
      <w:r>
        <w:rPr>
          <w:rFonts w:hint="eastAsia"/>
          <w:szCs w:val="21"/>
          <w:u w:val="single"/>
        </w:rPr>
        <w:t>　</w:t>
      </w:r>
      <w:r>
        <w:rPr>
          <w:szCs w:val="21"/>
          <w:u w:val="single"/>
        </w:rPr>
        <w:t xml:space="preserve">        </w:t>
      </w:r>
      <w:r>
        <w:rPr>
          <w:szCs w:val="21"/>
        </w:rPr>
        <w:t xml:space="preserve">    </w:t>
      </w:r>
      <w:r>
        <w:rPr>
          <w:rFonts w:hint="eastAsia"/>
          <w:szCs w:val="21"/>
        </w:rPr>
        <w:t xml:space="preserve">  </w:t>
      </w:r>
      <w:r>
        <w:rPr>
          <w:szCs w:val="21"/>
        </w:rPr>
        <w:t xml:space="preserve"> </w:t>
      </w:r>
      <w:r>
        <w:rPr>
          <w:rFonts w:hint="eastAsia"/>
          <w:szCs w:val="21"/>
        </w:rPr>
        <w:t>核验员</w:t>
      </w:r>
      <w:r>
        <w:rPr>
          <w:szCs w:val="21"/>
        </w:rPr>
        <w:t xml:space="preserve"> </w:t>
      </w:r>
      <w:r>
        <w:rPr>
          <w:rFonts w:hint="eastAsia"/>
          <w:szCs w:val="21"/>
        </w:rPr>
        <w:t xml:space="preserve">  </w:t>
      </w:r>
      <w:r>
        <w:rPr>
          <w:szCs w:val="21"/>
          <w:u w:val="single"/>
        </w:rPr>
        <w:t xml:space="preserve">            </w:t>
      </w:r>
      <w:r>
        <w:rPr>
          <w:rFonts w:hint="eastAsia"/>
          <w:szCs w:val="21"/>
          <w:u w:val="single"/>
        </w:rPr>
        <w:t>　</w:t>
      </w:r>
      <w:r>
        <w:rPr>
          <w:rFonts w:hint="eastAsia"/>
          <w:szCs w:val="21"/>
        </w:rPr>
        <w:t xml:space="preserve">        试验日期</w:t>
      </w:r>
      <w:r>
        <w:rPr>
          <w:szCs w:val="21"/>
        </w:rPr>
        <w:t xml:space="preserve"> </w:t>
      </w:r>
      <w:r>
        <w:rPr>
          <w:szCs w:val="21"/>
          <w:u w:val="single"/>
        </w:rPr>
        <w:t xml:space="preserve">      </w:t>
      </w:r>
      <w:r>
        <w:rPr>
          <w:rFonts w:hint="eastAsia"/>
          <w:szCs w:val="21"/>
          <w:u w:val="single"/>
        </w:rPr>
        <w:t xml:space="preserve">     </w:t>
      </w:r>
      <w:r>
        <w:rPr>
          <w:szCs w:val="21"/>
          <w:u w:val="single"/>
        </w:rPr>
        <w:t xml:space="preserve">  </w:t>
      </w:r>
    </w:p>
    <w:p w14:paraId="7C8EAB06">
      <w:pPr>
        <w:pStyle w:val="121"/>
        <w:spacing w:line="480" w:lineRule="auto"/>
        <w:ind w:firstLine="0" w:firstLineChars="0"/>
        <w:jc w:val="center"/>
        <w:rPr>
          <w:szCs w:val="21"/>
        </w:rPr>
      </w:pPr>
    </w:p>
    <w:p w14:paraId="0843EDA2">
      <w:pPr>
        <w:snapToGrid w:val="0"/>
        <w:spacing w:before="240" w:beforeLines="100"/>
        <w:ind w:firstLine="735" w:firstLineChars="350"/>
        <w:jc w:val="center"/>
        <w:rPr>
          <w:szCs w:val="21"/>
        </w:rPr>
        <w:sectPr>
          <w:pgSz w:w="11906" w:h="16838"/>
          <w:pgMar w:top="1418" w:right="1418" w:bottom="1418" w:left="1418" w:header="851" w:footer="992" w:gutter="284"/>
          <w:cols w:space="720" w:num="1"/>
          <w:docGrid w:linePitch="312" w:charSpace="0"/>
        </w:sectPr>
      </w:pPr>
    </w:p>
    <w:p w14:paraId="31001B6C">
      <w:pPr>
        <w:spacing w:before="160" w:line="360" w:lineRule="auto"/>
        <w:ind w:firstLine="840" w:firstLineChars="350"/>
        <w:jc w:val="center"/>
        <w:rPr>
          <w:sz w:val="24"/>
          <w:szCs w:val="24"/>
        </w:rPr>
      </w:pPr>
      <w:r>
        <w:rPr>
          <w:rFonts w:hint="eastAsia"/>
          <w:sz w:val="24"/>
          <w:szCs w:val="24"/>
        </w:rPr>
        <w:t>9、流体扰动试验原始记录</w:t>
      </w:r>
    </w:p>
    <w:p w14:paraId="6C28C138">
      <w:pPr>
        <w:spacing w:before="160" w:line="360" w:lineRule="auto"/>
        <w:rPr>
          <w:sz w:val="24"/>
          <w:szCs w:val="24"/>
          <w:u w:val="single"/>
        </w:rPr>
      </w:pPr>
      <w:bookmarkStart w:id="410" w:name="_Toc457808622"/>
      <w:bookmarkEnd w:id="410"/>
      <w:bookmarkStart w:id="411" w:name="_Toc457807299"/>
      <w:bookmarkEnd w:id="411"/>
      <w:bookmarkStart w:id="412" w:name="_Toc501210825"/>
      <w:bookmarkEnd w:id="412"/>
      <w:bookmarkStart w:id="413" w:name="_Toc457808160"/>
      <w:bookmarkEnd w:id="413"/>
      <w:r>
        <w:rPr>
          <w:rFonts w:hint="eastAsia"/>
          <w:sz w:val="24"/>
          <w:szCs w:val="24"/>
        </w:rPr>
        <w:t>产品名称：</w:t>
      </w:r>
      <w:r>
        <w:rPr>
          <w:rFonts w:hint="eastAsia"/>
          <w:sz w:val="24"/>
          <w:szCs w:val="24"/>
          <w:u w:val="single"/>
        </w:rPr>
        <w:t xml:space="preserve">               </w:t>
      </w:r>
      <w:r>
        <w:rPr>
          <w:rFonts w:hint="eastAsia"/>
          <w:sz w:val="24"/>
          <w:szCs w:val="24"/>
        </w:rPr>
        <w:t>型号规格：</w:t>
      </w:r>
      <w:r>
        <w:rPr>
          <w:sz w:val="24"/>
          <w:szCs w:val="24"/>
          <w:u w:val="single"/>
        </w:rPr>
        <w:t xml:space="preserve">                  </w:t>
      </w:r>
      <w:r>
        <w:rPr>
          <w:sz w:val="24"/>
          <w:szCs w:val="32"/>
        </w:rPr>
        <w:t>流动方向</w:t>
      </w:r>
      <w:r>
        <w:rPr>
          <w:rFonts w:hint="eastAsia"/>
          <w:sz w:val="24"/>
          <w:szCs w:val="32"/>
        </w:rPr>
        <w:t>：</w:t>
      </w:r>
      <w:r>
        <w:rPr>
          <w:sz w:val="24"/>
          <w:szCs w:val="32"/>
          <w:u w:val="single"/>
        </w:rPr>
        <w:t xml:space="preserve">       </w:t>
      </w:r>
      <w:r>
        <w:rPr>
          <w:rFonts w:hint="eastAsia"/>
          <w:sz w:val="24"/>
          <w:szCs w:val="32"/>
          <w:u w:val="single"/>
        </w:rPr>
        <w:t xml:space="preserve"> </w:t>
      </w:r>
      <w:r>
        <w:rPr>
          <w:sz w:val="24"/>
          <w:szCs w:val="32"/>
          <w:u w:val="single"/>
        </w:rPr>
        <w:t xml:space="preserve">  </w:t>
      </w:r>
    </w:p>
    <w:p w14:paraId="72896A04">
      <w:pPr>
        <w:spacing w:before="160" w:line="360" w:lineRule="auto"/>
        <w:rPr>
          <w:sz w:val="24"/>
          <w:szCs w:val="24"/>
        </w:rPr>
      </w:pPr>
      <w:r>
        <w:rPr>
          <w:rFonts w:hint="eastAsia"/>
          <w:sz w:val="24"/>
          <w:szCs w:val="24"/>
        </w:rPr>
        <w:t>准确度等级：</w:t>
      </w:r>
      <w:r>
        <w:rPr>
          <w:sz w:val="24"/>
          <w:szCs w:val="24"/>
          <w:u w:val="single"/>
        </w:rPr>
        <w:t xml:space="preserve">          </w:t>
      </w:r>
      <w:r>
        <w:rPr>
          <w:sz w:val="24"/>
          <w:szCs w:val="24"/>
        </w:rPr>
        <w:t xml:space="preserve"> </w:t>
      </w:r>
      <w:r>
        <w:rPr>
          <w:rFonts w:hint="eastAsia"/>
          <w:sz w:val="24"/>
          <w:szCs w:val="24"/>
        </w:rPr>
        <w:t xml:space="preserve">  制造单位：</w:t>
      </w:r>
      <w:r>
        <w:rPr>
          <w:sz w:val="24"/>
          <w:szCs w:val="24"/>
          <w:u w:val="single"/>
        </w:rPr>
        <w:t xml:space="preserve">                </w:t>
      </w:r>
      <w:r>
        <w:rPr>
          <w:rFonts w:hint="eastAsia"/>
          <w:sz w:val="24"/>
          <w:szCs w:val="24"/>
        </w:rPr>
        <w:t xml:space="preserve">  样品编号：</w:t>
      </w:r>
      <w:r>
        <w:rPr>
          <w:rFonts w:hint="eastAsia"/>
          <w:sz w:val="24"/>
          <w:szCs w:val="24"/>
          <w:u w:val="single"/>
        </w:rPr>
        <w:t xml:space="preserve">               </w:t>
      </w:r>
    </w:p>
    <w:tbl>
      <w:tblPr>
        <w:tblStyle w:val="38"/>
        <w:tblW w:w="9318" w:type="dxa"/>
        <w:jc w:val="center"/>
        <w:tblLayout w:type="fixed"/>
        <w:tblCellMar>
          <w:top w:w="0" w:type="dxa"/>
          <w:left w:w="108" w:type="dxa"/>
          <w:bottom w:w="0" w:type="dxa"/>
          <w:right w:w="108" w:type="dxa"/>
        </w:tblCellMar>
      </w:tblPr>
      <w:tblGrid>
        <w:gridCol w:w="1400"/>
        <w:gridCol w:w="1134"/>
        <w:gridCol w:w="1276"/>
        <w:gridCol w:w="1134"/>
        <w:gridCol w:w="927"/>
        <w:gridCol w:w="1096"/>
        <w:gridCol w:w="1096"/>
        <w:gridCol w:w="1255"/>
      </w:tblGrid>
      <w:tr w14:paraId="40071429">
        <w:tblPrEx>
          <w:tblCellMar>
            <w:top w:w="0" w:type="dxa"/>
            <w:left w:w="108" w:type="dxa"/>
            <w:bottom w:w="0" w:type="dxa"/>
            <w:right w:w="108" w:type="dxa"/>
          </w:tblCellMar>
        </w:tblPrEx>
        <w:trPr>
          <w:trHeight w:val="1050" w:hRule="atLeast"/>
          <w:jc w:val="center"/>
        </w:trPr>
        <w:tc>
          <w:tcPr>
            <w:tcW w:w="1400" w:type="dxa"/>
            <w:tcBorders>
              <w:top w:val="single" w:color="auto" w:sz="4" w:space="0"/>
              <w:left w:val="single" w:color="auto" w:sz="4" w:space="0"/>
              <w:right w:val="single" w:color="auto" w:sz="4" w:space="0"/>
            </w:tcBorders>
            <w:vAlign w:val="center"/>
          </w:tcPr>
          <w:p w14:paraId="1CB51238">
            <w:pPr>
              <w:spacing w:line="260" w:lineRule="exact"/>
              <w:jc w:val="center"/>
              <w:rPr>
                <w:szCs w:val="21"/>
              </w:rPr>
            </w:pPr>
            <w:r>
              <w:rPr>
                <w:rFonts w:hint="eastAsia"/>
                <w:szCs w:val="21"/>
              </w:rPr>
              <w:t>型式评价</w:t>
            </w:r>
          </w:p>
          <w:p w14:paraId="69889E12">
            <w:pPr>
              <w:spacing w:line="260" w:lineRule="exact"/>
              <w:jc w:val="center"/>
              <w:rPr>
                <w:kern w:val="0"/>
                <w:szCs w:val="21"/>
              </w:rPr>
            </w:pPr>
            <w:r>
              <w:rPr>
                <w:rFonts w:hint="eastAsia"/>
                <w:szCs w:val="21"/>
              </w:rPr>
              <w:t>大纲要求</w:t>
            </w:r>
          </w:p>
        </w:tc>
        <w:tc>
          <w:tcPr>
            <w:tcW w:w="1134" w:type="dxa"/>
            <w:tcBorders>
              <w:top w:val="single" w:color="auto" w:sz="4" w:space="0"/>
              <w:left w:val="single" w:color="auto" w:sz="4" w:space="0"/>
              <w:right w:val="single" w:color="auto" w:sz="4" w:space="0"/>
            </w:tcBorders>
            <w:noWrap/>
            <w:vAlign w:val="center"/>
          </w:tcPr>
          <w:p w14:paraId="39250D6E">
            <w:pPr>
              <w:widowControl/>
              <w:spacing w:line="260" w:lineRule="exact"/>
              <w:ind w:left="-92" w:leftChars="-44" w:right="-143" w:rightChars="-68"/>
              <w:jc w:val="center"/>
              <w:rPr>
                <w:kern w:val="0"/>
                <w:szCs w:val="21"/>
              </w:rPr>
            </w:pPr>
            <w:r>
              <w:rPr>
                <w:kern w:val="0"/>
                <w:szCs w:val="21"/>
              </w:rPr>
              <w:t>试验流量</w:t>
            </w:r>
          </w:p>
          <w:p w14:paraId="5D80F639">
            <w:pPr>
              <w:spacing w:line="260" w:lineRule="exact"/>
              <w:jc w:val="center"/>
              <w:rPr>
                <w:kern w:val="0"/>
                <w:szCs w:val="21"/>
              </w:rPr>
            </w:pPr>
            <w:r>
              <w:rPr>
                <w:rFonts w:hint="eastAsia"/>
                <w:kern w:val="0"/>
                <w:szCs w:val="21"/>
              </w:rPr>
              <w:t>（</w:t>
            </w:r>
            <w:r>
              <w:rPr>
                <w:kern w:val="0"/>
                <w:szCs w:val="21"/>
              </w:rPr>
              <w:t>m</w:t>
            </w:r>
            <w:r>
              <w:rPr>
                <w:kern w:val="0"/>
                <w:szCs w:val="21"/>
                <w:vertAlign w:val="superscript"/>
              </w:rPr>
              <w:t>3</w:t>
            </w:r>
            <w:r>
              <w:rPr>
                <w:kern w:val="0"/>
                <w:szCs w:val="21"/>
              </w:rPr>
              <w:t>/h</w:t>
            </w:r>
            <w:r>
              <w:rPr>
                <w:rFonts w:hint="eastAsia"/>
                <w:kern w:val="0"/>
                <w:szCs w:val="21"/>
              </w:rPr>
              <w:t>）</w:t>
            </w:r>
          </w:p>
        </w:tc>
        <w:tc>
          <w:tcPr>
            <w:tcW w:w="1276" w:type="dxa"/>
            <w:tcBorders>
              <w:top w:val="single" w:color="auto" w:sz="4" w:space="0"/>
              <w:left w:val="nil"/>
              <w:bottom w:val="single" w:color="auto" w:sz="4" w:space="0"/>
              <w:right w:val="single" w:color="auto" w:sz="4" w:space="0"/>
            </w:tcBorders>
            <w:noWrap/>
            <w:vAlign w:val="center"/>
          </w:tcPr>
          <w:p w14:paraId="3772CA90">
            <w:pPr>
              <w:widowControl/>
              <w:spacing w:line="260" w:lineRule="exact"/>
              <w:jc w:val="center"/>
              <w:rPr>
                <w:kern w:val="0"/>
                <w:szCs w:val="21"/>
              </w:rPr>
            </w:pPr>
            <w:r>
              <w:rPr>
                <w:kern w:val="0"/>
                <w:szCs w:val="21"/>
              </w:rPr>
              <w:t>流量计</w:t>
            </w:r>
          </w:p>
          <w:p w14:paraId="49D1D8B1">
            <w:pPr>
              <w:widowControl/>
              <w:spacing w:line="260" w:lineRule="exact"/>
              <w:jc w:val="center"/>
              <w:rPr>
                <w:kern w:val="0"/>
                <w:szCs w:val="21"/>
              </w:rPr>
            </w:pPr>
            <w:r>
              <w:rPr>
                <w:kern w:val="0"/>
                <w:szCs w:val="21"/>
              </w:rPr>
              <w:t>示值</w:t>
            </w:r>
            <w:r>
              <w:rPr>
                <w:rFonts w:hint="eastAsia"/>
                <w:kern w:val="0"/>
                <w:szCs w:val="21"/>
              </w:rPr>
              <w:t>（</w:t>
            </w:r>
            <w:r>
              <w:rPr>
                <w:kern w:val="0"/>
                <w:szCs w:val="21"/>
              </w:rPr>
              <w:t>m</w:t>
            </w:r>
            <w:r>
              <w:rPr>
                <w:kern w:val="0"/>
                <w:szCs w:val="21"/>
                <w:vertAlign w:val="superscript"/>
              </w:rPr>
              <w:t>3</w:t>
            </w:r>
            <w:r>
              <w:rPr>
                <w:rFonts w:hint="eastAsia"/>
                <w:kern w:val="0"/>
                <w:szCs w:val="21"/>
              </w:rPr>
              <w:t>）</w:t>
            </w:r>
          </w:p>
        </w:tc>
        <w:tc>
          <w:tcPr>
            <w:tcW w:w="1134" w:type="dxa"/>
            <w:tcBorders>
              <w:top w:val="single" w:color="auto" w:sz="4" w:space="0"/>
              <w:left w:val="nil"/>
              <w:right w:val="single" w:color="auto" w:sz="4" w:space="0"/>
            </w:tcBorders>
            <w:vAlign w:val="center"/>
          </w:tcPr>
          <w:p w14:paraId="1272EB1A">
            <w:pPr>
              <w:widowControl/>
              <w:spacing w:line="260" w:lineRule="exact"/>
              <w:jc w:val="center"/>
              <w:rPr>
                <w:kern w:val="0"/>
                <w:szCs w:val="21"/>
              </w:rPr>
            </w:pPr>
            <w:r>
              <w:rPr>
                <w:kern w:val="0"/>
                <w:szCs w:val="21"/>
              </w:rPr>
              <w:t>标准</w:t>
            </w:r>
            <w:r>
              <w:rPr>
                <w:rFonts w:hint="eastAsia"/>
                <w:kern w:val="0"/>
                <w:szCs w:val="21"/>
              </w:rPr>
              <w:t>装置</w:t>
            </w:r>
          </w:p>
          <w:p w14:paraId="5DB1EE07">
            <w:pPr>
              <w:widowControl/>
              <w:spacing w:line="260" w:lineRule="exact"/>
              <w:jc w:val="center"/>
              <w:rPr>
                <w:kern w:val="0"/>
                <w:szCs w:val="21"/>
              </w:rPr>
            </w:pPr>
            <w:r>
              <w:rPr>
                <w:rFonts w:hint="eastAsia"/>
                <w:kern w:val="0"/>
                <w:szCs w:val="21"/>
              </w:rPr>
              <w:t>示</w:t>
            </w:r>
            <w:r>
              <w:rPr>
                <w:kern w:val="0"/>
                <w:szCs w:val="21"/>
              </w:rPr>
              <w:t>值</w:t>
            </w:r>
            <w:r>
              <w:rPr>
                <w:rFonts w:hint="eastAsia"/>
                <w:kern w:val="0"/>
                <w:szCs w:val="21"/>
              </w:rPr>
              <w:t>（</w:t>
            </w:r>
            <w:r>
              <w:rPr>
                <w:kern w:val="0"/>
                <w:szCs w:val="21"/>
              </w:rPr>
              <w:t>m</w:t>
            </w:r>
            <w:r>
              <w:rPr>
                <w:kern w:val="0"/>
                <w:szCs w:val="21"/>
                <w:vertAlign w:val="superscript"/>
              </w:rPr>
              <w:t>3</w:t>
            </w:r>
            <w:r>
              <w:rPr>
                <w:rFonts w:hint="eastAsia"/>
                <w:kern w:val="0"/>
                <w:szCs w:val="21"/>
              </w:rPr>
              <w:t>）</w:t>
            </w:r>
          </w:p>
        </w:tc>
        <w:tc>
          <w:tcPr>
            <w:tcW w:w="927" w:type="dxa"/>
            <w:tcBorders>
              <w:top w:val="single" w:color="auto" w:sz="4" w:space="0"/>
              <w:left w:val="nil"/>
              <w:right w:val="single" w:color="auto" w:sz="4" w:space="0"/>
            </w:tcBorders>
            <w:noWrap/>
            <w:vAlign w:val="center"/>
          </w:tcPr>
          <w:p w14:paraId="0E057B7B">
            <w:pPr>
              <w:widowControl/>
              <w:spacing w:line="260" w:lineRule="exact"/>
              <w:ind w:left="-231" w:leftChars="-110" w:right="-202" w:rightChars="-96"/>
              <w:jc w:val="center"/>
              <w:rPr>
                <w:rFonts w:cs="宋体"/>
                <w:kern w:val="0"/>
                <w:szCs w:val="21"/>
              </w:rPr>
            </w:pPr>
            <w:r>
              <w:rPr>
                <w:rFonts w:hint="eastAsia" w:cs="宋体"/>
                <w:kern w:val="0"/>
                <w:szCs w:val="21"/>
              </w:rPr>
              <w:t>示值误差</w:t>
            </w:r>
          </w:p>
          <w:p w14:paraId="035ED79B">
            <w:pPr>
              <w:spacing w:line="260" w:lineRule="exact"/>
              <w:jc w:val="center"/>
              <w:rPr>
                <w:rFonts w:cs="宋体"/>
                <w:kern w:val="0"/>
                <w:szCs w:val="21"/>
              </w:rPr>
            </w:pPr>
            <w:r>
              <w:rPr>
                <w:rFonts w:hint="eastAsia"/>
                <w:kern w:val="0"/>
                <w:szCs w:val="21"/>
              </w:rPr>
              <w:t>（</w:t>
            </w:r>
            <w:r>
              <w:rPr>
                <w:kern w:val="0"/>
                <w:szCs w:val="21"/>
              </w:rPr>
              <w:t>%</w:t>
            </w:r>
            <w:r>
              <w:rPr>
                <w:rFonts w:hint="eastAsia"/>
                <w:kern w:val="0"/>
                <w:szCs w:val="21"/>
              </w:rPr>
              <w:t>）</w:t>
            </w:r>
          </w:p>
        </w:tc>
        <w:tc>
          <w:tcPr>
            <w:tcW w:w="1096" w:type="dxa"/>
            <w:tcBorders>
              <w:top w:val="single" w:color="auto" w:sz="4" w:space="0"/>
              <w:left w:val="nil"/>
              <w:right w:val="single" w:color="auto" w:sz="4" w:space="0"/>
            </w:tcBorders>
            <w:noWrap/>
            <w:vAlign w:val="center"/>
          </w:tcPr>
          <w:p w14:paraId="68821871">
            <w:pPr>
              <w:widowControl/>
              <w:spacing w:line="260" w:lineRule="exact"/>
              <w:ind w:left="-191" w:leftChars="-91" w:right="-223" w:rightChars="-106"/>
              <w:jc w:val="center"/>
              <w:rPr>
                <w:rFonts w:cs="宋体"/>
                <w:kern w:val="0"/>
                <w:szCs w:val="21"/>
              </w:rPr>
            </w:pPr>
            <w:r>
              <w:rPr>
                <w:rFonts w:hint="eastAsia" w:cs="宋体"/>
                <w:kern w:val="0"/>
                <w:szCs w:val="21"/>
              </w:rPr>
              <w:t>平均误差</w:t>
            </w:r>
          </w:p>
          <w:p w14:paraId="61F09DA9">
            <w:pPr>
              <w:widowControl/>
              <w:spacing w:line="260" w:lineRule="exact"/>
              <w:ind w:left="-191" w:leftChars="-91" w:right="-223" w:rightChars="-106"/>
              <w:jc w:val="center"/>
              <w:rPr>
                <w:rFonts w:cs="宋体"/>
                <w:kern w:val="0"/>
                <w:szCs w:val="21"/>
              </w:rPr>
            </w:pPr>
            <w:r>
              <w:rPr>
                <w:rFonts w:hint="eastAsia"/>
                <w:kern w:val="0"/>
                <w:szCs w:val="21"/>
              </w:rPr>
              <w:t>（</w:t>
            </w:r>
            <w:r>
              <w:rPr>
                <w:kern w:val="0"/>
                <w:szCs w:val="21"/>
              </w:rPr>
              <w:t>%</w:t>
            </w:r>
            <w:r>
              <w:rPr>
                <w:rFonts w:hint="eastAsia"/>
                <w:kern w:val="0"/>
                <w:szCs w:val="21"/>
              </w:rPr>
              <w:t>）</w:t>
            </w:r>
          </w:p>
        </w:tc>
        <w:tc>
          <w:tcPr>
            <w:tcW w:w="1096" w:type="dxa"/>
            <w:tcBorders>
              <w:top w:val="single" w:color="auto" w:sz="4" w:space="0"/>
              <w:left w:val="nil"/>
              <w:right w:val="single" w:color="auto" w:sz="4" w:space="0"/>
            </w:tcBorders>
            <w:vAlign w:val="center"/>
          </w:tcPr>
          <w:p w14:paraId="66DD4AD6">
            <w:pPr>
              <w:widowControl/>
              <w:spacing w:line="260" w:lineRule="exact"/>
              <w:ind w:left="-191" w:leftChars="-91" w:right="-223" w:rightChars="-106"/>
              <w:jc w:val="center"/>
              <w:rPr>
                <w:rFonts w:cs="宋体"/>
                <w:kern w:val="0"/>
                <w:szCs w:val="21"/>
              </w:rPr>
            </w:pPr>
            <w:r>
              <w:rPr>
                <w:rFonts w:hint="eastAsia" w:cs="宋体"/>
                <w:kern w:val="0"/>
                <w:szCs w:val="21"/>
              </w:rPr>
              <w:t>无扰流误差</w:t>
            </w:r>
          </w:p>
          <w:p w14:paraId="528CE9E7">
            <w:pPr>
              <w:spacing w:line="260" w:lineRule="exact"/>
              <w:jc w:val="center"/>
              <w:rPr>
                <w:rFonts w:cs="宋体"/>
                <w:kern w:val="0"/>
                <w:szCs w:val="21"/>
              </w:rPr>
            </w:pPr>
            <w:r>
              <w:rPr>
                <w:rFonts w:hint="eastAsia"/>
                <w:kern w:val="0"/>
                <w:szCs w:val="21"/>
              </w:rPr>
              <w:t>（</w:t>
            </w:r>
            <w:r>
              <w:rPr>
                <w:kern w:val="0"/>
                <w:szCs w:val="21"/>
              </w:rPr>
              <w:t>%</w:t>
            </w:r>
            <w:r>
              <w:rPr>
                <w:rFonts w:hint="eastAsia"/>
                <w:kern w:val="0"/>
                <w:szCs w:val="21"/>
              </w:rPr>
              <w:t>）</w:t>
            </w:r>
          </w:p>
        </w:tc>
        <w:tc>
          <w:tcPr>
            <w:tcW w:w="1255" w:type="dxa"/>
            <w:tcBorders>
              <w:top w:val="single" w:color="auto" w:sz="4" w:space="0"/>
              <w:left w:val="nil"/>
              <w:right w:val="single" w:color="auto" w:sz="4" w:space="0"/>
            </w:tcBorders>
            <w:vAlign w:val="center"/>
          </w:tcPr>
          <w:p w14:paraId="02F62DEB">
            <w:pPr>
              <w:spacing w:line="260" w:lineRule="exact"/>
              <w:jc w:val="center"/>
              <w:rPr>
                <w:rFonts w:cs="宋体"/>
                <w:kern w:val="0"/>
                <w:szCs w:val="21"/>
              </w:rPr>
            </w:pPr>
            <w:r>
              <w:rPr>
                <w:rFonts w:hint="eastAsia" w:cs="宋体"/>
                <w:kern w:val="0"/>
                <w:szCs w:val="21"/>
              </w:rPr>
              <w:t>误差变化的绝对值</w:t>
            </w:r>
          </w:p>
          <w:p w14:paraId="394C5289">
            <w:pPr>
              <w:spacing w:line="260" w:lineRule="exact"/>
              <w:jc w:val="center"/>
              <w:rPr>
                <w:rFonts w:cs="宋体"/>
                <w:kern w:val="0"/>
                <w:szCs w:val="21"/>
              </w:rPr>
            </w:pPr>
            <w:r>
              <w:rPr>
                <w:rFonts w:cs="宋体"/>
                <w:kern w:val="0"/>
                <w:szCs w:val="21"/>
              </w:rPr>
              <w:t>（%）</w:t>
            </w:r>
          </w:p>
        </w:tc>
      </w:tr>
      <w:tr w14:paraId="63E1D30D">
        <w:tblPrEx>
          <w:tblCellMar>
            <w:top w:w="0" w:type="dxa"/>
            <w:left w:w="108" w:type="dxa"/>
            <w:bottom w:w="0" w:type="dxa"/>
            <w:right w:w="108" w:type="dxa"/>
          </w:tblCellMar>
        </w:tblPrEx>
        <w:trPr>
          <w:trHeight w:val="572" w:hRule="atLeast"/>
          <w:jc w:val="center"/>
        </w:trPr>
        <w:tc>
          <w:tcPr>
            <w:tcW w:w="1400" w:type="dxa"/>
            <w:vMerge w:val="restart"/>
            <w:tcBorders>
              <w:top w:val="single" w:color="auto" w:sz="4" w:space="0"/>
              <w:left w:val="single" w:color="auto" w:sz="4" w:space="0"/>
              <w:right w:val="nil"/>
            </w:tcBorders>
            <w:vAlign w:val="center"/>
          </w:tcPr>
          <w:p w14:paraId="6A9D30D3">
            <w:pPr>
              <w:pStyle w:val="17"/>
              <w:snapToGrid w:val="0"/>
              <w:spacing w:line="300" w:lineRule="auto"/>
              <w:ind w:firstLine="0"/>
              <w:outlineLvl w:val="1"/>
              <w:rPr>
                <w:i/>
                <w:kern w:val="0"/>
                <w:sz w:val="21"/>
                <w:szCs w:val="21"/>
                <w:vertAlign w:val="subscript"/>
              </w:rPr>
            </w:pPr>
            <w:bookmarkStart w:id="414" w:name="_Toc130468565"/>
            <w:bookmarkStart w:id="415" w:name="_Toc31992"/>
            <w:bookmarkStart w:id="416" w:name="_Toc28140"/>
            <w:bookmarkStart w:id="417" w:name="_Toc17248"/>
            <w:bookmarkStart w:id="418" w:name="_Toc20930"/>
            <w:bookmarkStart w:id="419" w:name="_Toc10360"/>
            <w:bookmarkStart w:id="420" w:name="_Toc221090950"/>
            <w:r>
              <w:rPr>
                <w:sz w:val="21"/>
                <w:szCs w:val="21"/>
              </w:rPr>
              <w:t>大纲</w:t>
            </w:r>
            <w:r>
              <w:rPr>
                <w:rFonts w:hint="eastAsia"/>
                <w:sz w:val="21"/>
                <w:szCs w:val="21"/>
              </w:rPr>
              <w:t>7.</w:t>
            </w:r>
            <w:r>
              <w:rPr>
                <w:rFonts w:hint="eastAsia"/>
                <w:sz w:val="21"/>
                <w:szCs w:val="21"/>
                <w:lang w:val="en-US" w:eastAsia="zh-CN"/>
              </w:rPr>
              <w:t>9</w:t>
            </w:r>
            <w:r>
              <w:rPr>
                <w:rFonts w:hint="eastAsia"/>
                <w:sz w:val="21"/>
                <w:szCs w:val="21"/>
              </w:rPr>
              <w:t>：</w:t>
            </w:r>
            <w:r>
              <w:rPr>
                <w:sz w:val="21"/>
                <w:szCs w:val="21"/>
              </w:rPr>
              <w:t>按 10.</w:t>
            </w:r>
            <w:r>
              <w:rPr>
                <w:rFonts w:hint="eastAsia"/>
                <w:sz w:val="21"/>
                <w:szCs w:val="21"/>
                <w:lang w:val="en-US" w:eastAsia="zh-CN"/>
              </w:rPr>
              <w:t>9</w:t>
            </w:r>
            <w:r>
              <w:rPr>
                <w:sz w:val="21"/>
                <w:szCs w:val="21"/>
              </w:rPr>
              <w:t>.3 的方法，配备流体扰动试验管道并在</w:t>
            </w:r>
            <w:r>
              <w:rPr>
                <w:i/>
                <w:sz w:val="21"/>
                <w:szCs w:val="21"/>
              </w:rPr>
              <w:t>q</w:t>
            </w:r>
            <w:r>
              <w:rPr>
                <w:sz w:val="21"/>
                <w:szCs w:val="21"/>
                <w:vertAlign w:val="subscript"/>
              </w:rPr>
              <w:t>max、</w:t>
            </w:r>
            <w:r>
              <w:rPr>
                <w:sz w:val="21"/>
                <w:szCs w:val="21"/>
              </w:rPr>
              <w:t>0.</w:t>
            </w:r>
            <w:r>
              <w:rPr>
                <w:rFonts w:hint="eastAsia"/>
                <w:sz w:val="21"/>
                <w:szCs w:val="21"/>
              </w:rPr>
              <w:t>5</w:t>
            </w:r>
            <w:r>
              <w:rPr>
                <w:i/>
                <w:sz w:val="21"/>
                <w:szCs w:val="21"/>
              </w:rPr>
              <w:t>q</w:t>
            </w:r>
            <w:r>
              <w:rPr>
                <w:sz w:val="21"/>
                <w:szCs w:val="21"/>
                <w:vertAlign w:val="subscript"/>
              </w:rPr>
              <w:t>max、</w:t>
            </w:r>
            <w:r>
              <w:rPr>
                <w:sz w:val="21"/>
                <w:szCs w:val="21"/>
              </w:rPr>
              <w:t>和</w:t>
            </w:r>
            <w:r>
              <w:rPr>
                <w:rFonts w:hint="eastAsia"/>
                <w:i/>
                <w:iCs/>
                <w:sz w:val="21"/>
                <w:szCs w:val="21"/>
              </w:rPr>
              <w:t>q</w:t>
            </w:r>
            <w:r>
              <w:rPr>
                <w:rFonts w:hint="eastAsia"/>
                <w:sz w:val="21"/>
                <w:szCs w:val="21"/>
                <w:vertAlign w:val="subscript"/>
              </w:rPr>
              <w:t>t</w:t>
            </w:r>
            <w:r>
              <w:rPr>
                <w:sz w:val="21"/>
                <w:szCs w:val="21"/>
              </w:rPr>
              <w:t>流量点进行试验，由流体扰动引起的平均误差变化不应超过最大允许误差的 1/3。</w:t>
            </w:r>
            <w:bookmarkEnd w:id="414"/>
            <w:bookmarkEnd w:id="415"/>
            <w:bookmarkEnd w:id="416"/>
            <w:bookmarkEnd w:id="417"/>
            <w:bookmarkEnd w:id="418"/>
            <w:bookmarkEnd w:id="419"/>
            <w:bookmarkEnd w:id="420"/>
          </w:p>
        </w:tc>
        <w:tc>
          <w:tcPr>
            <w:tcW w:w="1134" w:type="dxa"/>
            <w:vMerge w:val="restart"/>
            <w:tcBorders>
              <w:top w:val="single" w:color="auto" w:sz="4" w:space="0"/>
              <w:left w:val="single" w:color="auto" w:sz="4" w:space="0"/>
              <w:right w:val="nil"/>
            </w:tcBorders>
            <w:noWrap/>
            <w:vAlign w:val="center"/>
          </w:tcPr>
          <w:p w14:paraId="2B66F6E1">
            <w:pPr>
              <w:jc w:val="center"/>
              <w:rPr>
                <w:iCs/>
                <w:kern w:val="0"/>
                <w:szCs w:val="21"/>
              </w:rPr>
            </w:pPr>
            <w:r>
              <w:rPr>
                <w:i/>
                <w:kern w:val="0"/>
                <w:szCs w:val="21"/>
              </w:rPr>
              <w:t>q</w:t>
            </w:r>
            <w:r>
              <w:rPr>
                <w:kern w:val="0"/>
                <w:szCs w:val="21"/>
                <w:vertAlign w:val="subscript"/>
              </w:rPr>
              <w:t>max</w:t>
            </w:r>
          </w:p>
        </w:tc>
        <w:tc>
          <w:tcPr>
            <w:tcW w:w="1276" w:type="dxa"/>
            <w:tcBorders>
              <w:top w:val="single" w:color="auto" w:sz="4" w:space="0"/>
              <w:left w:val="single" w:color="auto" w:sz="4" w:space="0"/>
              <w:bottom w:val="single" w:color="auto" w:sz="4" w:space="0"/>
              <w:right w:val="single" w:color="auto" w:sz="4" w:space="0"/>
            </w:tcBorders>
            <w:noWrap/>
            <w:vAlign w:val="center"/>
          </w:tcPr>
          <w:p w14:paraId="2819E29E">
            <w:pPr>
              <w:widowControl/>
              <w:jc w:val="center"/>
              <w:rPr>
                <w:kern w:val="0"/>
                <w:szCs w:val="21"/>
              </w:rPr>
            </w:pPr>
          </w:p>
        </w:tc>
        <w:tc>
          <w:tcPr>
            <w:tcW w:w="1134" w:type="dxa"/>
            <w:tcBorders>
              <w:top w:val="single" w:color="auto" w:sz="4" w:space="0"/>
              <w:left w:val="nil"/>
              <w:bottom w:val="single" w:color="auto" w:sz="4" w:space="0"/>
              <w:right w:val="single" w:color="auto" w:sz="4" w:space="0"/>
            </w:tcBorders>
            <w:noWrap/>
            <w:vAlign w:val="center"/>
          </w:tcPr>
          <w:p w14:paraId="041788D1">
            <w:pPr>
              <w:jc w:val="center"/>
              <w:rPr>
                <w:szCs w:val="21"/>
              </w:rPr>
            </w:pPr>
          </w:p>
        </w:tc>
        <w:tc>
          <w:tcPr>
            <w:tcW w:w="927" w:type="dxa"/>
            <w:tcBorders>
              <w:top w:val="single" w:color="auto" w:sz="4" w:space="0"/>
              <w:left w:val="nil"/>
              <w:bottom w:val="single" w:color="auto" w:sz="4" w:space="0"/>
              <w:right w:val="single" w:color="auto" w:sz="4" w:space="0"/>
            </w:tcBorders>
            <w:noWrap/>
            <w:vAlign w:val="center"/>
          </w:tcPr>
          <w:p w14:paraId="15E85CFF">
            <w:pPr>
              <w:jc w:val="center"/>
              <w:rPr>
                <w:szCs w:val="21"/>
              </w:rPr>
            </w:pPr>
          </w:p>
        </w:tc>
        <w:tc>
          <w:tcPr>
            <w:tcW w:w="1096" w:type="dxa"/>
            <w:vMerge w:val="restart"/>
            <w:tcBorders>
              <w:top w:val="single" w:color="auto" w:sz="4" w:space="0"/>
              <w:left w:val="single" w:color="auto" w:sz="4" w:space="0"/>
              <w:bottom w:val="single" w:color="000000" w:sz="4" w:space="0"/>
              <w:right w:val="single" w:color="auto" w:sz="4" w:space="0"/>
            </w:tcBorders>
            <w:noWrap/>
            <w:vAlign w:val="center"/>
          </w:tcPr>
          <w:p w14:paraId="0E44566A">
            <w:pPr>
              <w:widowControl/>
              <w:jc w:val="center"/>
              <w:rPr>
                <w:kern w:val="0"/>
                <w:szCs w:val="21"/>
              </w:rPr>
            </w:pPr>
          </w:p>
        </w:tc>
        <w:tc>
          <w:tcPr>
            <w:tcW w:w="1096" w:type="dxa"/>
            <w:vMerge w:val="restart"/>
            <w:tcBorders>
              <w:top w:val="single" w:color="auto" w:sz="4" w:space="0"/>
              <w:left w:val="single" w:color="auto" w:sz="4" w:space="0"/>
              <w:bottom w:val="single" w:color="000000" w:sz="4" w:space="0"/>
              <w:right w:val="single" w:color="auto" w:sz="4" w:space="0"/>
            </w:tcBorders>
            <w:vAlign w:val="center"/>
          </w:tcPr>
          <w:p w14:paraId="6EB3E7B0">
            <w:pPr>
              <w:widowControl/>
              <w:jc w:val="center"/>
              <w:rPr>
                <w:kern w:val="0"/>
                <w:szCs w:val="21"/>
              </w:rPr>
            </w:pPr>
          </w:p>
        </w:tc>
        <w:tc>
          <w:tcPr>
            <w:tcW w:w="1255" w:type="dxa"/>
            <w:vMerge w:val="restart"/>
            <w:tcBorders>
              <w:top w:val="single" w:color="auto" w:sz="4" w:space="0"/>
              <w:left w:val="single" w:color="auto" w:sz="4" w:space="0"/>
              <w:right w:val="single" w:color="auto" w:sz="4" w:space="0"/>
            </w:tcBorders>
            <w:vAlign w:val="center"/>
          </w:tcPr>
          <w:p w14:paraId="06CC3A36">
            <w:pPr>
              <w:widowControl/>
              <w:jc w:val="center"/>
              <w:rPr>
                <w:rFonts w:cs="宋体"/>
                <w:kern w:val="0"/>
                <w:szCs w:val="21"/>
              </w:rPr>
            </w:pPr>
          </w:p>
        </w:tc>
      </w:tr>
      <w:tr w14:paraId="32198997">
        <w:tblPrEx>
          <w:tblCellMar>
            <w:top w:w="0" w:type="dxa"/>
            <w:left w:w="108" w:type="dxa"/>
            <w:bottom w:w="0" w:type="dxa"/>
            <w:right w:w="108" w:type="dxa"/>
          </w:tblCellMar>
        </w:tblPrEx>
        <w:trPr>
          <w:trHeight w:val="552" w:hRule="atLeast"/>
          <w:jc w:val="center"/>
        </w:trPr>
        <w:tc>
          <w:tcPr>
            <w:tcW w:w="1400" w:type="dxa"/>
            <w:vMerge w:val="continue"/>
            <w:tcBorders>
              <w:left w:val="single" w:color="auto" w:sz="4" w:space="0"/>
              <w:right w:val="nil"/>
            </w:tcBorders>
            <w:vAlign w:val="center"/>
          </w:tcPr>
          <w:p w14:paraId="696A84B8">
            <w:pPr>
              <w:jc w:val="center"/>
              <w:rPr>
                <w:kern w:val="0"/>
                <w:szCs w:val="21"/>
              </w:rPr>
            </w:pPr>
          </w:p>
        </w:tc>
        <w:tc>
          <w:tcPr>
            <w:tcW w:w="1134" w:type="dxa"/>
            <w:vMerge w:val="continue"/>
            <w:tcBorders>
              <w:left w:val="single" w:color="auto" w:sz="4" w:space="0"/>
              <w:right w:val="nil"/>
            </w:tcBorders>
            <w:noWrap/>
            <w:vAlign w:val="center"/>
          </w:tcPr>
          <w:p w14:paraId="36726F5F">
            <w:pPr>
              <w:jc w:val="center"/>
              <w:rPr>
                <w:kern w:val="0"/>
                <w:szCs w:val="21"/>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5F2751E6">
            <w:pPr>
              <w:widowControl/>
              <w:jc w:val="center"/>
              <w:rPr>
                <w:kern w:val="0"/>
                <w:szCs w:val="21"/>
              </w:rPr>
            </w:pPr>
          </w:p>
        </w:tc>
        <w:tc>
          <w:tcPr>
            <w:tcW w:w="1134" w:type="dxa"/>
            <w:tcBorders>
              <w:top w:val="nil"/>
              <w:left w:val="nil"/>
              <w:bottom w:val="single" w:color="auto" w:sz="4" w:space="0"/>
              <w:right w:val="single" w:color="auto" w:sz="4" w:space="0"/>
            </w:tcBorders>
            <w:noWrap/>
            <w:vAlign w:val="center"/>
          </w:tcPr>
          <w:p w14:paraId="027DBBDA">
            <w:pPr>
              <w:jc w:val="center"/>
              <w:rPr>
                <w:szCs w:val="21"/>
              </w:rPr>
            </w:pPr>
          </w:p>
        </w:tc>
        <w:tc>
          <w:tcPr>
            <w:tcW w:w="927" w:type="dxa"/>
            <w:tcBorders>
              <w:top w:val="nil"/>
              <w:left w:val="nil"/>
              <w:bottom w:val="single" w:color="auto" w:sz="4" w:space="0"/>
              <w:right w:val="single" w:color="auto" w:sz="4" w:space="0"/>
            </w:tcBorders>
            <w:noWrap/>
            <w:vAlign w:val="center"/>
          </w:tcPr>
          <w:p w14:paraId="2C9C3EC3">
            <w:pPr>
              <w:jc w:val="center"/>
              <w:rPr>
                <w:szCs w:val="21"/>
              </w:rPr>
            </w:pPr>
          </w:p>
        </w:tc>
        <w:tc>
          <w:tcPr>
            <w:tcW w:w="1096" w:type="dxa"/>
            <w:vMerge w:val="continue"/>
            <w:tcBorders>
              <w:top w:val="nil"/>
              <w:left w:val="single" w:color="auto" w:sz="4" w:space="0"/>
              <w:bottom w:val="single" w:color="000000" w:sz="4" w:space="0"/>
              <w:right w:val="single" w:color="auto" w:sz="4" w:space="0"/>
            </w:tcBorders>
            <w:vAlign w:val="center"/>
          </w:tcPr>
          <w:p w14:paraId="01208AE6">
            <w:pPr>
              <w:widowControl/>
              <w:jc w:val="center"/>
              <w:rPr>
                <w:kern w:val="0"/>
                <w:szCs w:val="21"/>
              </w:rPr>
            </w:pPr>
          </w:p>
        </w:tc>
        <w:tc>
          <w:tcPr>
            <w:tcW w:w="1096" w:type="dxa"/>
            <w:vMerge w:val="continue"/>
            <w:tcBorders>
              <w:top w:val="nil"/>
              <w:left w:val="single" w:color="auto" w:sz="4" w:space="0"/>
              <w:bottom w:val="single" w:color="000000" w:sz="4" w:space="0"/>
              <w:right w:val="single" w:color="auto" w:sz="4" w:space="0"/>
            </w:tcBorders>
            <w:vAlign w:val="center"/>
          </w:tcPr>
          <w:p w14:paraId="587D4BAE">
            <w:pPr>
              <w:widowControl/>
              <w:jc w:val="center"/>
              <w:rPr>
                <w:kern w:val="0"/>
                <w:szCs w:val="21"/>
              </w:rPr>
            </w:pPr>
          </w:p>
        </w:tc>
        <w:tc>
          <w:tcPr>
            <w:tcW w:w="1255" w:type="dxa"/>
            <w:vMerge w:val="continue"/>
            <w:tcBorders>
              <w:left w:val="single" w:color="auto" w:sz="4" w:space="0"/>
              <w:right w:val="single" w:color="auto" w:sz="4" w:space="0"/>
            </w:tcBorders>
            <w:vAlign w:val="center"/>
          </w:tcPr>
          <w:p w14:paraId="59CD3FE8">
            <w:pPr>
              <w:widowControl/>
              <w:jc w:val="center"/>
              <w:rPr>
                <w:rFonts w:cs="宋体"/>
                <w:kern w:val="0"/>
                <w:szCs w:val="21"/>
              </w:rPr>
            </w:pPr>
          </w:p>
        </w:tc>
      </w:tr>
      <w:tr w14:paraId="67D70A88">
        <w:tblPrEx>
          <w:tblCellMar>
            <w:top w:w="0" w:type="dxa"/>
            <w:left w:w="108" w:type="dxa"/>
            <w:bottom w:w="0" w:type="dxa"/>
            <w:right w:w="108" w:type="dxa"/>
          </w:tblCellMar>
        </w:tblPrEx>
        <w:trPr>
          <w:trHeight w:val="546" w:hRule="atLeast"/>
          <w:jc w:val="center"/>
        </w:trPr>
        <w:tc>
          <w:tcPr>
            <w:tcW w:w="1400" w:type="dxa"/>
            <w:vMerge w:val="continue"/>
            <w:tcBorders>
              <w:left w:val="single" w:color="auto" w:sz="4" w:space="0"/>
              <w:right w:val="single" w:color="auto" w:sz="4" w:space="0"/>
            </w:tcBorders>
          </w:tcPr>
          <w:p w14:paraId="18C02553">
            <w:pPr>
              <w:widowControl/>
              <w:jc w:val="center"/>
              <w:rPr>
                <w:kern w:val="0"/>
                <w:szCs w:val="21"/>
              </w:rPr>
            </w:pPr>
          </w:p>
        </w:tc>
        <w:tc>
          <w:tcPr>
            <w:tcW w:w="1134" w:type="dxa"/>
            <w:vMerge w:val="continue"/>
            <w:tcBorders>
              <w:left w:val="single" w:color="auto" w:sz="4" w:space="0"/>
              <w:bottom w:val="single" w:color="auto" w:sz="4" w:space="0"/>
              <w:right w:val="single" w:color="auto" w:sz="4" w:space="0"/>
            </w:tcBorders>
            <w:noWrap/>
            <w:vAlign w:val="center"/>
          </w:tcPr>
          <w:p w14:paraId="1E648EDC">
            <w:pPr>
              <w:widowControl/>
              <w:jc w:val="center"/>
              <w:rPr>
                <w:kern w:val="0"/>
                <w:szCs w:val="21"/>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12C9601F">
            <w:pPr>
              <w:widowControl/>
              <w:jc w:val="center"/>
              <w:rPr>
                <w:kern w:val="0"/>
                <w:szCs w:val="21"/>
              </w:rPr>
            </w:pPr>
          </w:p>
        </w:tc>
        <w:tc>
          <w:tcPr>
            <w:tcW w:w="1134" w:type="dxa"/>
            <w:tcBorders>
              <w:top w:val="nil"/>
              <w:left w:val="nil"/>
              <w:bottom w:val="single" w:color="auto" w:sz="4" w:space="0"/>
              <w:right w:val="single" w:color="auto" w:sz="4" w:space="0"/>
            </w:tcBorders>
            <w:noWrap/>
            <w:vAlign w:val="center"/>
          </w:tcPr>
          <w:p w14:paraId="527942B4">
            <w:pPr>
              <w:jc w:val="center"/>
              <w:rPr>
                <w:szCs w:val="21"/>
              </w:rPr>
            </w:pPr>
          </w:p>
        </w:tc>
        <w:tc>
          <w:tcPr>
            <w:tcW w:w="927" w:type="dxa"/>
            <w:tcBorders>
              <w:top w:val="nil"/>
              <w:left w:val="nil"/>
              <w:bottom w:val="single" w:color="auto" w:sz="4" w:space="0"/>
              <w:right w:val="single" w:color="auto" w:sz="4" w:space="0"/>
            </w:tcBorders>
            <w:noWrap/>
            <w:vAlign w:val="center"/>
          </w:tcPr>
          <w:p w14:paraId="1100CB23">
            <w:pPr>
              <w:jc w:val="center"/>
              <w:rPr>
                <w:szCs w:val="21"/>
              </w:rPr>
            </w:pPr>
          </w:p>
        </w:tc>
        <w:tc>
          <w:tcPr>
            <w:tcW w:w="1096" w:type="dxa"/>
            <w:vMerge w:val="continue"/>
            <w:tcBorders>
              <w:top w:val="nil"/>
              <w:left w:val="single" w:color="auto" w:sz="4" w:space="0"/>
              <w:bottom w:val="single" w:color="000000" w:sz="4" w:space="0"/>
              <w:right w:val="single" w:color="auto" w:sz="4" w:space="0"/>
            </w:tcBorders>
            <w:vAlign w:val="center"/>
          </w:tcPr>
          <w:p w14:paraId="667DA5B9">
            <w:pPr>
              <w:widowControl/>
              <w:jc w:val="center"/>
              <w:rPr>
                <w:kern w:val="0"/>
                <w:szCs w:val="21"/>
              </w:rPr>
            </w:pPr>
          </w:p>
        </w:tc>
        <w:tc>
          <w:tcPr>
            <w:tcW w:w="1096" w:type="dxa"/>
            <w:vMerge w:val="continue"/>
            <w:tcBorders>
              <w:top w:val="nil"/>
              <w:left w:val="single" w:color="auto" w:sz="4" w:space="0"/>
              <w:bottom w:val="single" w:color="000000" w:sz="4" w:space="0"/>
              <w:right w:val="single" w:color="auto" w:sz="4" w:space="0"/>
            </w:tcBorders>
            <w:vAlign w:val="center"/>
          </w:tcPr>
          <w:p w14:paraId="7D4BAA42">
            <w:pPr>
              <w:widowControl/>
              <w:jc w:val="center"/>
              <w:rPr>
                <w:kern w:val="0"/>
                <w:szCs w:val="21"/>
              </w:rPr>
            </w:pPr>
          </w:p>
        </w:tc>
        <w:tc>
          <w:tcPr>
            <w:tcW w:w="1255" w:type="dxa"/>
            <w:vMerge w:val="continue"/>
            <w:tcBorders>
              <w:left w:val="single" w:color="auto" w:sz="4" w:space="0"/>
              <w:bottom w:val="single" w:color="000000" w:sz="4" w:space="0"/>
              <w:right w:val="single" w:color="auto" w:sz="4" w:space="0"/>
            </w:tcBorders>
            <w:vAlign w:val="center"/>
          </w:tcPr>
          <w:p w14:paraId="5ACF9013">
            <w:pPr>
              <w:widowControl/>
              <w:jc w:val="center"/>
              <w:rPr>
                <w:rFonts w:cs="宋体"/>
                <w:kern w:val="0"/>
                <w:szCs w:val="21"/>
              </w:rPr>
            </w:pPr>
          </w:p>
        </w:tc>
      </w:tr>
      <w:tr w14:paraId="17B08CE5">
        <w:tblPrEx>
          <w:tblCellMar>
            <w:top w:w="0" w:type="dxa"/>
            <w:left w:w="108" w:type="dxa"/>
            <w:bottom w:w="0" w:type="dxa"/>
            <w:right w:w="108" w:type="dxa"/>
          </w:tblCellMar>
        </w:tblPrEx>
        <w:trPr>
          <w:trHeight w:val="568" w:hRule="atLeast"/>
          <w:jc w:val="center"/>
        </w:trPr>
        <w:tc>
          <w:tcPr>
            <w:tcW w:w="1400" w:type="dxa"/>
            <w:vMerge w:val="continue"/>
            <w:tcBorders>
              <w:left w:val="single" w:color="auto" w:sz="4" w:space="0"/>
              <w:right w:val="single" w:color="auto" w:sz="4" w:space="0"/>
            </w:tcBorders>
          </w:tcPr>
          <w:p w14:paraId="3FBBF73F">
            <w:pPr>
              <w:jc w:val="center"/>
              <w:rPr>
                <w:i/>
                <w:kern w:val="0"/>
                <w:szCs w:val="21"/>
              </w:rPr>
            </w:pPr>
          </w:p>
        </w:tc>
        <w:tc>
          <w:tcPr>
            <w:tcW w:w="1134" w:type="dxa"/>
            <w:vMerge w:val="restart"/>
            <w:tcBorders>
              <w:top w:val="single" w:color="auto" w:sz="4" w:space="0"/>
              <w:left w:val="single" w:color="auto" w:sz="4" w:space="0"/>
              <w:right w:val="nil"/>
            </w:tcBorders>
            <w:noWrap/>
            <w:vAlign w:val="center"/>
          </w:tcPr>
          <w:p w14:paraId="2908FEAF">
            <w:pPr>
              <w:jc w:val="center"/>
              <w:rPr>
                <w:i/>
                <w:kern w:val="0"/>
                <w:szCs w:val="21"/>
                <w:vertAlign w:val="subscript"/>
              </w:rPr>
            </w:pPr>
            <w:r>
              <w:rPr>
                <w:rFonts w:hint="eastAsia"/>
                <w:kern w:val="0"/>
                <w:szCs w:val="21"/>
              </w:rPr>
              <w:t>0.5</w:t>
            </w:r>
            <w:r>
              <w:rPr>
                <w:i/>
                <w:kern w:val="0"/>
                <w:szCs w:val="21"/>
              </w:rPr>
              <w:t>q</w:t>
            </w:r>
            <w:r>
              <w:rPr>
                <w:kern w:val="0"/>
                <w:szCs w:val="21"/>
                <w:vertAlign w:val="subscript"/>
              </w:rPr>
              <w:t>max</w:t>
            </w:r>
          </w:p>
        </w:tc>
        <w:tc>
          <w:tcPr>
            <w:tcW w:w="1276" w:type="dxa"/>
            <w:tcBorders>
              <w:top w:val="single" w:color="auto" w:sz="4" w:space="0"/>
              <w:left w:val="single" w:color="auto" w:sz="4" w:space="0"/>
              <w:bottom w:val="single" w:color="auto" w:sz="4" w:space="0"/>
              <w:right w:val="single" w:color="auto" w:sz="4" w:space="0"/>
            </w:tcBorders>
            <w:noWrap/>
            <w:vAlign w:val="center"/>
          </w:tcPr>
          <w:p w14:paraId="591F4E66">
            <w:pPr>
              <w:widowControl/>
              <w:jc w:val="center"/>
              <w:rPr>
                <w:kern w:val="0"/>
                <w:szCs w:val="21"/>
              </w:rPr>
            </w:pPr>
          </w:p>
        </w:tc>
        <w:tc>
          <w:tcPr>
            <w:tcW w:w="1134" w:type="dxa"/>
            <w:tcBorders>
              <w:top w:val="single" w:color="auto" w:sz="4" w:space="0"/>
              <w:left w:val="nil"/>
              <w:bottom w:val="single" w:color="auto" w:sz="4" w:space="0"/>
              <w:right w:val="single" w:color="auto" w:sz="4" w:space="0"/>
            </w:tcBorders>
            <w:noWrap/>
            <w:vAlign w:val="center"/>
          </w:tcPr>
          <w:p w14:paraId="210F7C31">
            <w:pPr>
              <w:jc w:val="center"/>
              <w:rPr>
                <w:szCs w:val="21"/>
              </w:rPr>
            </w:pPr>
          </w:p>
        </w:tc>
        <w:tc>
          <w:tcPr>
            <w:tcW w:w="927" w:type="dxa"/>
            <w:tcBorders>
              <w:top w:val="single" w:color="auto" w:sz="4" w:space="0"/>
              <w:left w:val="nil"/>
              <w:bottom w:val="single" w:color="auto" w:sz="4" w:space="0"/>
              <w:right w:val="single" w:color="auto" w:sz="4" w:space="0"/>
            </w:tcBorders>
            <w:noWrap/>
            <w:vAlign w:val="center"/>
          </w:tcPr>
          <w:p w14:paraId="6A1C352C">
            <w:pPr>
              <w:jc w:val="center"/>
              <w:rPr>
                <w:szCs w:val="21"/>
              </w:rPr>
            </w:pPr>
          </w:p>
        </w:tc>
        <w:tc>
          <w:tcPr>
            <w:tcW w:w="1096" w:type="dxa"/>
            <w:vMerge w:val="restart"/>
            <w:tcBorders>
              <w:top w:val="single" w:color="auto" w:sz="4" w:space="0"/>
              <w:left w:val="single" w:color="auto" w:sz="4" w:space="0"/>
              <w:bottom w:val="single" w:color="000000" w:sz="4" w:space="0"/>
              <w:right w:val="single" w:color="auto" w:sz="4" w:space="0"/>
            </w:tcBorders>
            <w:noWrap/>
            <w:vAlign w:val="center"/>
          </w:tcPr>
          <w:p w14:paraId="5730BCDD">
            <w:pPr>
              <w:widowControl/>
              <w:jc w:val="center"/>
              <w:rPr>
                <w:kern w:val="0"/>
                <w:szCs w:val="21"/>
              </w:rPr>
            </w:pPr>
          </w:p>
        </w:tc>
        <w:tc>
          <w:tcPr>
            <w:tcW w:w="1096" w:type="dxa"/>
            <w:vMerge w:val="restart"/>
            <w:tcBorders>
              <w:top w:val="single" w:color="auto" w:sz="4" w:space="0"/>
              <w:left w:val="single" w:color="auto" w:sz="4" w:space="0"/>
              <w:bottom w:val="single" w:color="000000" w:sz="4" w:space="0"/>
              <w:right w:val="single" w:color="auto" w:sz="4" w:space="0"/>
            </w:tcBorders>
            <w:vAlign w:val="center"/>
          </w:tcPr>
          <w:p w14:paraId="03CA4900">
            <w:pPr>
              <w:widowControl/>
              <w:jc w:val="center"/>
              <w:rPr>
                <w:kern w:val="0"/>
                <w:szCs w:val="21"/>
              </w:rPr>
            </w:pPr>
          </w:p>
        </w:tc>
        <w:tc>
          <w:tcPr>
            <w:tcW w:w="1255" w:type="dxa"/>
            <w:vMerge w:val="restart"/>
            <w:tcBorders>
              <w:top w:val="single" w:color="auto" w:sz="4" w:space="0"/>
              <w:left w:val="single" w:color="auto" w:sz="4" w:space="0"/>
              <w:right w:val="single" w:color="auto" w:sz="4" w:space="0"/>
            </w:tcBorders>
            <w:shd w:val="clear" w:color="auto" w:fill="FFFFFF"/>
            <w:vAlign w:val="center"/>
          </w:tcPr>
          <w:p w14:paraId="025F28E5">
            <w:pPr>
              <w:widowControl/>
              <w:jc w:val="center"/>
              <w:rPr>
                <w:rFonts w:cs="宋体"/>
                <w:kern w:val="0"/>
                <w:szCs w:val="21"/>
              </w:rPr>
            </w:pPr>
          </w:p>
        </w:tc>
      </w:tr>
      <w:tr w14:paraId="1BE61126">
        <w:tblPrEx>
          <w:tblCellMar>
            <w:top w:w="0" w:type="dxa"/>
            <w:left w:w="108" w:type="dxa"/>
            <w:bottom w:w="0" w:type="dxa"/>
            <w:right w:w="108" w:type="dxa"/>
          </w:tblCellMar>
        </w:tblPrEx>
        <w:trPr>
          <w:trHeight w:val="644" w:hRule="atLeast"/>
          <w:jc w:val="center"/>
        </w:trPr>
        <w:tc>
          <w:tcPr>
            <w:tcW w:w="1400" w:type="dxa"/>
            <w:vMerge w:val="continue"/>
            <w:tcBorders>
              <w:left w:val="single" w:color="auto" w:sz="4" w:space="0"/>
              <w:right w:val="single" w:color="auto" w:sz="4" w:space="0"/>
            </w:tcBorders>
          </w:tcPr>
          <w:p w14:paraId="6B19ED68">
            <w:pPr>
              <w:jc w:val="center"/>
              <w:rPr>
                <w:kern w:val="0"/>
                <w:szCs w:val="21"/>
              </w:rPr>
            </w:pPr>
          </w:p>
        </w:tc>
        <w:tc>
          <w:tcPr>
            <w:tcW w:w="1134" w:type="dxa"/>
            <w:vMerge w:val="continue"/>
            <w:tcBorders>
              <w:left w:val="single" w:color="auto" w:sz="4" w:space="0"/>
              <w:right w:val="nil"/>
            </w:tcBorders>
            <w:noWrap/>
            <w:vAlign w:val="center"/>
          </w:tcPr>
          <w:p w14:paraId="5CB592CF">
            <w:pPr>
              <w:jc w:val="center"/>
              <w:rPr>
                <w:kern w:val="0"/>
                <w:szCs w:val="21"/>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3CCDFBEC">
            <w:pPr>
              <w:widowControl/>
              <w:jc w:val="center"/>
              <w:rPr>
                <w:kern w:val="0"/>
                <w:szCs w:val="21"/>
              </w:rPr>
            </w:pPr>
          </w:p>
        </w:tc>
        <w:tc>
          <w:tcPr>
            <w:tcW w:w="1134" w:type="dxa"/>
            <w:tcBorders>
              <w:top w:val="nil"/>
              <w:left w:val="nil"/>
              <w:bottom w:val="single" w:color="auto" w:sz="4" w:space="0"/>
              <w:right w:val="single" w:color="auto" w:sz="4" w:space="0"/>
            </w:tcBorders>
            <w:noWrap/>
            <w:vAlign w:val="center"/>
          </w:tcPr>
          <w:p w14:paraId="454655B7">
            <w:pPr>
              <w:jc w:val="center"/>
              <w:rPr>
                <w:szCs w:val="21"/>
              </w:rPr>
            </w:pPr>
          </w:p>
        </w:tc>
        <w:tc>
          <w:tcPr>
            <w:tcW w:w="927" w:type="dxa"/>
            <w:tcBorders>
              <w:top w:val="nil"/>
              <w:left w:val="nil"/>
              <w:bottom w:val="single" w:color="auto" w:sz="4" w:space="0"/>
              <w:right w:val="single" w:color="auto" w:sz="4" w:space="0"/>
            </w:tcBorders>
            <w:noWrap/>
            <w:vAlign w:val="center"/>
          </w:tcPr>
          <w:p w14:paraId="3653242C">
            <w:pPr>
              <w:jc w:val="center"/>
              <w:rPr>
                <w:szCs w:val="21"/>
              </w:rPr>
            </w:pPr>
          </w:p>
        </w:tc>
        <w:tc>
          <w:tcPr>
            <w:tcW w:w="1096" w:type="dxa"/>
            <w:vMerge w:val="continue"/>
            <w:tcBorders>
              <w:top w:val="nil"/>
              <w:left w:val="single" w:color="auto" w:sz="4" w:space="0"/>
              <w:bottom w:val="single" w:color="000000" w:sz="4" w:space="0"/>
              <w:right w:val="single" w:color="auto" w:sz="4" w:space="0"/>
            </w:tcBorders>
            <w:vAlign w:val="center"/>
          </w:tcPr>
          <w:p w14:paraId="2E9F8BE5">
            <w:pPr>
              <w:widowControl/>
              <w:jc w:val="center"/>
              <w:rPr>
                <w:kern w:val="0"/>
                <w:szCs w:val="21"/>
              </w:rPr>
            </w:pPr>
          </w:p>
        </w:tc>
        <w:tc>
          <w:tcPr>
            <w:tcW w:w="1096" w:type="dxa"/>
            <w:vMerge w:val="continue"/>
            <w:tcBorders>
              <w:top w:val="nil"/>
              <w:left w:val="single" w:color="auto" w:sz="4" w:space="0"/>
              <w:bottom w:val="single" w:color="000000" w:sz="4" w:space="0"/>
              <w:right w:val="single" w:color="auto" w:sz="4" w:space="0"/>
            </w:tcBorders>
            <w:vAlign w:val="center"/>
          </w:tcPr>
          <w:p w14:paraId="39C696D9">
            <w:pPr>
              <w:widowControl/>
              <w:jc w:val="center"/>
              <w:rPr>
                <w:kern w:val="0"/>
                <w:szCs w:val="21"/>
              </w:rPr>
            </w:pPr>
          </w:p>
        </w:tc>
        <w:tc>
          <w:tcPr>
            <w:tcW w:w="1255" w:type="dxa"/>
            <w:vMerge w:val="continue"/>
            <w:tcBorders>
              <w:left w:val="single" w:color="auto" w:sz="4" w:space="0"/>
              <w:right w:val="single" w:color="auto" w:sz="4" w:space="0"/>
            </w:tcBorders>
            <w:shd w:val="clear" w:color="auto" w:fill="FFFFFF"/>
            <w:vAlign w:val="center"/>
          </w:tcPr>
          <w:p w14:paraId="1295E7B0">
            <w:pPr>
              <w:widowControl/>
              <w:jc w:val="center"/>
              <w:rPr>
                <w:rFonts w:cs="宋体"/>
                <w:kern w:val="0"/>
                <w:szCs w:val="21"/>
              </w:rPr>
            </w:pPr>
          </w:p>
        </w:tc>
      </w:tr>
      <w:tr w14:paraId="3FCF04A8">
        <w:tblPrEx>
          <w:tblCellMar>
            <w:top w:w="0" w:type="dxa"/>
            <w:left w:w="108" w:type="dxa"/>
            <w:bottom w:w="0" w:type="dxa"/>
            <w:right w:w="108" w:type="dxa"/>
          </w:tblCellMar>
        </w:tblPrEx>
        <w:trPr>
          <w:trHeight w:val="668" w:hRule="atLeast"/>
          <w:jc w:val="center"/>
        </w:trPr>
        <w:tc>
          <w:tcPr>
            <w:tcW w:w="1400" w:type="dxa"/>
            <w:vMerge w:val="continue"/>
            <w:tcBorders>
              <w:left w:val="single" w:color="auto" w:sz="4" w:space="0"/>
              <w:right w:val="single" w:color="auto" w:sz="4" w:space="0"/>
            </w:tcBorders>
          </w:tcPr>
          <w:p w14:paraId="642C99D9">
            <w:pPr>
              <w:widowControl/>
              <w:rPr>
                <w:kern w:val="0"/>
                <w:szCs w:val="21"/>
              </w:rPr>
            </w:pPr>
          </w:p>
        </w:tc>
        <w:tc>
          <w:tcPr>
            <w:tcW w:w="1134" w:type="dxa"/>
            <w:vMerge w:val="continue"/>
            <w:tcBorders>
              <w:left w:val="single" w:color="auto" w:sz="4" w:space="0"/>
              <w:bottom w:val="single" w:color="auto" w:sz="4" w:space="0"/>
              <w:right w:val="single" w:color="auto" w:sz="4" w:space="0"/>
            </w:tcBorders>
            <w:noWrap/>
            <w:vAlign w:val="center"/>
          </w:tcPr>
          <w:p w14:paraId="1E16F8C5">
            <w:pPr>
              <w:widowControl/>
              <w:jc w:val="center"/>
              <w:rPr>
                <w:kern w:val="0"/>
                <w:szCs w:val="21"/>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7252565C">
            <w:pPr>
              <w:widowControl/>
              <w:jc w:val="center"/>
              <w:rPr>
                <w:kern w:val="0"/>
                <w:szCs w:val="21"/>
              </w:rPr>
            </w:pPr>
          </w:p>
        </w:tc>
        <w:tc>
          <w:tcPr>
            <w:tcW w:w="1134" w:type="dxa"/>
            <w:tcBorders>
              <w:top w:val="nil"/>
              <w:left w:val="nil"/>
              <w:bottom w:val="single" w:color="auto" w:sz="4" w:space="0"/>
              <w:right w:val="single" w:color="auto" w:sz="4" w:space="0"/>
            </w:tcBorders>
            <w:noWrap/>
            <w:vAlign w:val="center"/>
          </w:tcPr>
          <w:p w14:paraId="5BC7FB7C">
            <w:pPr>
              <w:jc w:val="center"/>
              <w:rPr>
                <w:szCs w:val="21"/>
              </w:rPr>
            </w:pPr>
          </w:p>
        </w:tc>
        <w:tc>
          <w:tcPr>
            <w:tcW w:w="927" w:type="dxa"/>
            <w:tcBorders>
              <w:top w:val="nil"/>
              <w:left w:val="nil"/>
              <w:bottom w:val="single" w:color="auto" w:sz="4" w:space="0"/>
              <w:right w:val="single" w:color="auto" w:sz="4" w:space="0"/>
            </w:tcBorders>
            <w:noWrap/>
            <w:vAlign w:val="center"/>
          </w:tcPr>
          <w:p w14:paraId="2207ABD3">
            <w:pPr>
              <w:jc w:val="center"/>
              <w:rPr>
                <w:szCs w:val="21"/>
              </w:rPr>
            </w:pPr>
          </w:p>
        </w:tc>
        <w:tc>
          <w:tcPr>
            <w:tcW w:w="1096" w:type="dxa"/>
            <w:vMerge w:val="continue"/>
            <w:tcBorders>
              <w:top w:val="nil"/>
              <w:left w:val="single" w:color="auto" w:sz="4" w:space="0"/>
              <w:bottom w:val="single" w:color="auto" w:sz="4" w:space="0"/>
              <w:right w:val="single" w:color="auto" w:sz="4" w:space="0"/>
            </w:tcBorders>
            <w:vAlign w:val="center"/>
          </w:tcPr>
          <w:p w14:paraId="1B578716">
            <w:pPr>
              <w:widowControl/>
              <w:jc w:val="center"/>
              <w:rPr>
                <w:kern w:val="0"/>
                <w:szCs w:val="21"/>
              </w:rPr>
            </w:pPr>
          </w:p>
        </w:tc>
        <w:tc>
          <w:tcPr>
            <w:tcW w:w="1096" w:type="dxa"/>
            <w:vMerge w:val="continue"/>
            <w:tcBorders>
              <w:top w:val="nil"/>
              <w:left w:val="single" w:color="auto" w:sz="4" w:space="0"/>
              <w:bottom w:val="single" w:color="auto" w:sz="4" w:space="0"/>
              <w:right w:val="single" w:color="auto" w:sz="4" w:space="0"/>
            </w:tcBorders>
            <w:vAlign w:val="center"/>
          </w:tcPr>
          <w:p w14:paraId="07E60AC5">
            <w:pPr>
              <w:widowControl/>
              <w:jc w:val="center"/>
              <w:rPr>
                <w:kern w:val="0"/>
                <w:szCs w:val="21"/>
              </w:rPr>
            </w:pPr>
          </w:p>
        </w:tc>
        <w:tc>
          <w:tcPr>
            <w:tcW w:w="1255" w:type="dxa"/>
            <w:vMerge w:val="continue"/>
            <w:tcBorders>
              <w:left w:val="single" w:color="auto" w:sz="4" w:space="0"/>
              <w:bottom w:val="single" w:color="auto" w:sz="4" w:space="0"/>
              <w:right w:val="single" w:color="auto" w:sz="4" w:space="0"/>
            </w:tcBorders>
            <w:shd w:val="clear" w:color="auto" w:fill="FFFFFF"/>
            <w:vAlign w:val="center"/>
          </w:tcPr>
          <w:p w14:paraId="1F37EEC0">
            <w:pPr>
              <w:widowControl/>
              <w:jc w:val="center"/>
              <w:rPr>
                <w:rFonts w:cs="宋体"/>
                <w:kern w:val="0"/>
                <w:szCs w:val="21"/>
              </w:rPr>
            </w:pPr>
          </w:p>
        </w:tc>
      </w:tr>
      <w:tr w14:paraId="60C003F6">
        <w:tblPrEx>
          <w:tblCellMar>
            <w:top w:w="0" w:type="dxa"/>
            <w:left w:w="108" w:type="dxa"/>
            <w:bottom w:w="0" w:type="dxa"/>
            <w:right w:w="108" w:type="dxa"/>
          </w:tblCellMar>
        </w:tblPrEx>
        <w:trPr>
          <w:trHeight w:val="639" w:hRule="atLeast"/>
          <w:jc w:val="center"/>
        </w:trPr>
        <w:tc>
          <w:tcPr>
            <w:tcW w:w="1400" w:type="dxa"/>
            <w:vMerge w:val="continue"/>
            <w:tcBorders>
              <w:left w:val="single" w:color="auto" w:sz="4" w:space="0"/>
              <w:right w:val="single" w:color="auto" w:sz="4" w:space="0"/>
            </w:tcBorders>
          </w:tcPr>
          <w:p w14:paraId="03F270C2">
            <w:pPr>
              <w:widowControl/>
              <w:rPr>
                <w:kern w:val="0"/>
                <w:szCs w:val="21"/>
              </w:rPr>
            </w:pPr>
          </w:p>
        </w:tc>
        <w:tc>
          <w:tcPr>
            <w:tcW w:w="1134" w:type="dxa"/>
            <w:vMerge w:val="restart"/>
            <w:tcBorders>
              <w:left w:val="single" w:color="auto" w:sz="4" w:space="0"/>
              <w:right w:val="single" w:color="auto" w:sz="4" w:space="0"/>
            </w:tcBorders>
            <w:noWrap/>
            <w:vAlign w:val="center"/>
          </w:tcPr>
          <w:p w14:paraId="06DC8025">
            <w:pPr>
              <w:widowControl/>
              <w:jc w:val="center"/>
              <w:rPr>
                <w:iCs/>
                <w:kern w:val="0"/>
                <w:szCs w:val="21"/>
              </w:rPr>
            </w:pPr>
            <w:r>
              <w:rPr>
                <w:rFonts w:hint="eastAsia"/>
                <w:i/>
                <w:iCs/>
                <w:szCs w:val="21"/>
              </w:rPr>
              <w:t>q</w:t>
            </w:r>
            <w:r>
              <w:rPr>
                <w:rFonts w:hint="eastAsia"/>
                <w:szCs w:val="21"/>
                <w:vertAlign w:val="subscript"/>
              </w:rPr>
              <w:t>t</w:t>
            </w:r>
          </w:p>
        </w:tc>
        <w:tc>
          <w:tcPr>
            <w:tcW w:w="1276" w:type="dxa"/>
            <w:tcBorders>
              <w:top w:val="single" w:color="auto" w:sz="4" w:space="0"/>
              <w:left w:val="single" w:color="auto" w:sz="4" w:space="0"/>
              <w:bottom w:val="single" w:color="auto" w:sz="4" w:space="0"/>
              <w:right w:val="single" w:color="auto" w:sz="4" w:space="0"/>
            </w:tcBorders>
            <w:noWrap/>
            <w:vAlign w:val="center"/>
          </w:tcPr>
          <w:p w14:paraId="542CD1B9">
            <w:pPr>
              <w:widowControl/>
              <w:jc w:val="center"/>
              <w:rPr>
                <w:kern w:val="0"/>
                <w:szCs w:val="21"/>
              </w:rPr>
            </w:pPr>
          </w:p>
        </w:tc>
        <w:tc>
          <w:tcPr>
            <w:tcW w:w="1134" w:type="dxa"/>
            <w:tcBorders>
              <w:top w:val="nil"/>
              <w:left w:val="nil"/>
              <w:bottom w:val="single" w:color="auto" w:sz="4" w:space="0"/>
              <w:right w:val="single" w:color="auto" w:sz="4" w:space="0"/>
            </w:tcBorders>
            <w:noWrap/>
            <w:vAlign w:val="center"/>
          </w:tcPr>
          <w:p w14:paraId="56768E95">
            <w:pPr>
              <w:jc w:val="center"/>
              <w:rPr>
                <w:szCs w:val="21"/>
              </w:rPr>
            </w:pPr>
          </w:p>
        </w:tc>
        <w:tc>
          <w:tcPr>
            <w:tcW w:w="927" w:type="dxa"/>
            <w:tcBorders>
              <w:top w:val="nil"/>
              <w:left w:val="nil"/>
              <w:bottom w:val="single" w:color="auto" w:sz="4" w:space="0"/>
              <w:right w:val="single" w:color="auto" w:sz="4" w:space="0"/>
            </w:tcBorders>
            <w:noWrap/>
            <w:vAlign w:val="center"/>
          </w:tcPr>
          <w:p w14:paraId="1D48C4F2">
            <w:pPr>
              <w:jc w:val="center"/>
              <w:rPr>
                <w:szCs w:val="21"/>
              </w:rPr>
            </w:pPr>
          </w:p>
        </w:tc>
        <w:tc>
          <w:tcPr>
            <w:tcW w:w="1096" w:type="dxa"/>
            <w:vMerge w:val="restart"/>
            <w:tcBorders>
              <w:top w:val="nil"/>
              <w:left w:val="single" w:color="auto" w:sz="4" w:space="0"/>
              <w:right w:val="single" w:color="auto" w:sz="4" w:space="0"/>
            </w:tcBorders>
            <w:vAlign w:val="center"/>
          </w:tcPr>
          <w:p w14:paraId="0BB83116">
            <w:pPr>
              <w:widowControl/>
              <w:jc w:val="center"/>
              <w:rPr>
                <w:kern w:val="0"/>
                <w:szCs w:val="21"/>
              </w:rPr>
            </w:pPr>
          </w:p>
        </w:tc>
        <w:tc>
          <w:tcPr>
            <w:tcW w:w="1096" w:type="dxa"/>
            <w:vMerge w:val="restart"/>
            <w:tcBorders>
              <w:top w:val="nil"/>
              <w:left w:val="single" w:color="auto" w:sz="4" w:space="0"/>
              <w:right w:val="single" w:color="auto" w:sz="4" w:space="0"/>
            </w:tcBorders>
            <w:vAlign w:val="center"/>
          </w:tcPr>
          <w:p w14:paraId="343FE32C">
            <w:pPr>
              <w:widowControl/>
              <w:jc w:val="center"/>
              <w:rPr>
                <w:kern w:val="0"/>
                <w:szCs w:val="21"/>
              </w:rPr>
            </w:pPr>
          </w:p>
        </w:tc>
        <w:tc>
          <w:tcPr>
            <w:tcW w:w="1255" w:type="dxa"/>
            <w:vMerge w:val="restart"/>
            <w:tcBorders>
              <w:top w:val="single" w:color="auto" w:sz="4" w:space="0"/>
              <w:left w:val="single" w:color="auto" w:sz="4" w:space="0"/>
              <w:right w:val="single" w:color="auto" w:sz="4" w:space="0"/>
            </w:tcBorders>
            <w:shd w:val="clear" w:color="auto" w:fill="FFFFFF"/>
            <w:vAlign w:val="center"/>
          </w:tcPr>
          <w:p w14:paraId="11FAE215">
            <w:pPr>
              <w:widowControl/>
              <w:jc w:val="center"/>
              <w:rPr>
                <w:rFonts w:cs="宋体"/>
                <w:kern w:val="0"/>
                <w:szCs w:val="21"/>
              </w:rPr>
            </w:pPr>
          </w:p>
        </w:tc>
      </w:tr>
      <w:tr w14:paraId="31C7C7D4">
        <w:tblPrEx>
          <w:tblCellMar>
            <w:top w:w="0" w:type="dxa"/>
            <w:left w:w="108" w:type="dxa"/>
            <w:bottom w:w="0" w:type="dxa"/>
            <w:right w:w="108" w:type="dxa"/>
          </w:tblCellMar>
        </w:tblPrEx>
        <w:trPr>
          <w:trHeight w:val="608" w:hRule="atLeast"/>
          <w:jc w:val="center"/>
        </w:trPr>
        <w:tc>
          <w:tcPr>
            <w:tcW w:w="1400" w:type="dxa"/>
            <w:vMerge w:val="continue"/>
            <w:tcBorders>
              <w:left w:val="single" w:color="auto" w:sz="4" w:space="0"/>
              <w:right w:val="single" w:color="auto" w:sz="4" w:space="0"/>
            </w:tcBorders>
          </w:tcPr>
          <w:p w14:paraId="4164E762">
            <w:pPr>
              <w:widowControl/>
              <w:rPr>
                <w:kern w:val="0"/>
                <w:szCs w:val="21"/>
              </w:rPr>
            </w:pPr>
          </w:p>
        </w:tc>
        <w:tc>
          <w:tcPr>
            <w:tcW w:w="1134" w:type="dxa"/>
            <w:vMerge w:val="continue"/>
            <w:tcBorders>
              <w:left w:val="single" w:color="auto" w:sz="4" w:space="0"/>
              <w:right w:val="single" w:color="auto" w:sz="4" w:space="0"/>
            </w:tcBorders>
            <w:noWrap/>
            <w:vAlign w:val="center"/>
          </w:tcPr>
          <w:p w14:paraId="570D6D79">
            <w:pPr>
              <w:widowControl/>
              <w:jc w:val="center"/>
              <w:rPr>
                <w:kern w:val="0"/>
                <w:szCs w:val="21"/>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392D90C0">
            <w:pPr>
              <w:widowControl/>
              <w:jc w:val="center"/>
              <w:rPr>
                <w:kern w:val="0"/>
                <w:szCs w:val="21"/>
              </w:rPr>
            </w:pPr>
          </w:p>
        </w:tc>
        <w:tc>
          <w:tcPr>
            <w:tcW w:w="1134" w:type="dxa"/>
            <w:tcBorders>
              <w:top w:val="nil"/>
              <w:left w:val="nil"/>
              <w:bottom w:val="single" w:color="auto" w:sz="4" w:space="0"/>
              <w:right w:val="single" w:color="auto" w:sz="4" w:space="0"/>
            </w:tcBorders>
            <w:noWrap/>
            <w:vAlign w:val="center"/>
          </w:tcPr>
          <w:p w14:paraId="2416EEC4">
            <w:pPr>
              <w:jc w:val="center"/>
              <w:rPr>
                <w:szCs w:val="21"/>
              </w:rPr>
            </w:pPr>
          </w:p>
        </w:tc>
        <w:tc>
          <w:tcPr>
            <w:tcW w:w="927" w:type="dxa"/>
            <w:tcBorders>
              <w:top w:val="nil"/>
              <w:left w:val="nil"/>
              <w:bottom w:val="single" w:color="auto" w:sz="4" w:space="0"/>
              <w:right w:val="single" w:color="auto" w:sz="4" w:space="0"/>
            </w:tcBorders>
            <w:noWrap/>
            <w:vAlign w:val="center"/>
          </w:tcPr>
          <w:p w14:paraId="1ED2A6F4">
            <w:pPr>
              <w:jc w:val="center"/>
              <w:rPr>
                <w:szCs w:val="21"/>
              </w:rPr>
            </w:pPr>
          </w:p>
        </w:tc>
        <w:tc>
          <w:tcPr>
            <w:tcW w:w="1096" w:type="dxa"/>
            <w:vMerge w:val="continue"/>
            <w:tcBorders>
              <w:left w:val="single" w:color="auto" w:sz="4" w:space="0"/>
              <w:right w:val="single" w:color="auto" w:sz="4" w:space="0"/>
            </w:tcBorders>
            <w:vAlign w:val="center"/>
          </w:tcPr>
          <w:p w14:paraId="125B98A3">
            <w:pPr>
              <w:widowControl/>
              <w:jc w:val="center"/>
              <w:rPr>
                <w:kern w:val="0"/>
                <w:szCs w:val="21"/>
              </w:rPr>
            </w:pPr>
          </w:p>
        </w:tc>
        <w:tc>
          <w:tcPr>
            <w:tcW w:w="1096" w:type="dxa"/>
            <w:vMerge w:val="continue"/>
            <w:tcBorders>
              <w:left w:val="single" w:color="auto" w:sz="4" w:space="0"/>
              <w:right w:val="single" w:color="auto" w:sz="4" w:space="0"/>
            </w:tcBorders>
            <w:vAlign w:val="center"/>
          </w:tcPr>
          <w:p w14:paraId="5EFB6F51">
            <w:pPr>
              <w:widowControl/>
              <w:jc w:val="center"/>
              <w:rPr>
                <w:kern w:val="0"/>
                <w:szCs w:val="21"/>
              </w:rPr>
            </w:pPr>
          </w:p>
        </w:tc>
        <w:tc>
          <w:tcPr>
            <w:tcW w:w="1255" w:type="dxa"/>
            <w:vMerge w:val="continue"/>
            <w:tcBorders>
              <w:left w:val="single" w:color="auto" w:sz="4" w:space="0"/>
              <w:right w:val="single" w:color="auto" w:sz="4" w:space="0"/>
            </w:tcBorders>
            <w:shd w:val="clear" w:color="auto" w:fill="FFFFFF"/>
            <w:vAlign w:val="center"/>
          </w:tcPr>
          <w:p w14:paraId="6EEA68EA">
            <w:pPr>
              <w:widowControl/>
              <w:jc w:val="center"/>
              <w:rPr>
                <w:rFonts w:cs="宋体"/>
                <w:kern w:val="0"/>
                <w:szCs w:val="21"/>
              </w:rPr>
            </w:pPr>
          </w:p>
        </w:tc>
      </w:tr>
      <w:tr w14:paraId="3778768E">
        <w:tblPrEx>
          <w:tblCellMar>
            <w:top w:w="0" w:type="dxa"/>
            <w:left w:w="108" w:type="dxa"/>
            <w:bottom w:w="0" w:type="dxa"/>
            <w:right w:w="108" w:type="dxa"/>
          </w:tblCellMar>
        </w:tblPrEx>
        <w:trPr>
          <w:trHeight w:val="657" w:hRule="atLeast"/>
          <w:jc w:val="center"/>
        </w:trPr>
        <w:tc>
          <w:tcPr>
            <w:tcW w:w="1400" w:type="dxa"/>
            <w:vMerge w:val="continue"/>
            <w:tcBorders>
              <w:left w:val="single" w:color="auto" w:sz="4" w:space="0"/>
              <w:bottom w:val="single" w:color="auto" w:sz="4" w:space="0"/>
              <w:right w:val="single" w:color="auto" w:sz="4" w:space="0"/>
            </w:tcBorders>
          </w:tcPr>
          <w:p w14:paraId="5849DC5E">
            <w:pPr>
              <w:widowControl/>
              <w:rPr>
                <w:kern w:val="0"/>
                <w:szCs w:val="21"/>
              </w:rPr>
            </w:pPr>
          </w:p>
        </w:tc>
        <w:tc>
          <w:tcPr>
            <w:tcW w:w="1134" w:type="dxa"/>
            <w:vMerge w:val="continue"/>
            <w:tcBorders>
              <w:left w:val="single" w:color="auto" w:sz="4" w:space="0"/>
              <w:bottom w:val="single" w:color="auto" w:sz="4" w:space="0"/>
              <w:right w:val="single" w:color="auto" w:sz="4" w:space="0"/>
            </w:tcBorders>
            <w:noWrap/>
            <w:vAlign w:val="center"/>
          </w:tcPr>
          <w:p w14:paraId="2497DF83">
            <w:pPr>
              <w:widowControl/>
              <w:jc w:val="center"/>
              <w:rPr>
                <w:kern w:val="0"/>
                <w:szCs w:val="21"/>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71666480">
            <w:pPr>
              <w:widowControl/>
              <w:jc w:val="center"/>
              <w:rPr>
                <w:kern w:val="0"/>
                <w:szCs w:val="21"/>
              </w:rPr>
            </w:pPr>
          </w:p>
        </w:tc>
        <w:tc>
          <w:tcPr>
            <w:tcW w:w="1134" w:type="dxa"/>
            <w:tcBorders>
              <w:top w:val="nil"/>
              <w:left w:val="nil"/>
              <w:bottom w:val="single" w:color="auto" w:sz="4" w:space="0"/>
              <w:right w:val="single" w:color="auto" w:sz="4" w:space="0"/>
            </w:tcBorders>
            <w:noWrap/>
            <w:vAlign w:val="center"/>
          </w:tcPr>
          <w:p w14:paraId="002A8062">
            <w:pPr>
              <w:jc w:val="center"/>
              <w:rPr>
                <w:szCs w:val="21"/>
              </w:rPr>
            </w:pPr>
          </w:p>
        </w:tc>
        <w:tc>
          <w:tcPr>
            <w:tcW w:w="927" w:type="dxa"/>
            <w:tcBorders>
              <w:top w:val="nil"/>
              <w:left w:val="nil"/>
              <w:bottom w:val="single" w:color="auto" w:sz="4" w:space="0"/>
              <w:right w:val="single" w:color="auto" w:sz="4" w:space="0"/>
            </w:tcBorders>
            <w:noWrap/>
            <w:vAlign w:val="center"/>
          </w:tcPr>
          <w:p w14:paraId="798BE912">
            <w:pPr>
              <w:jc w:val="center"/>
              <w:rPr>
                <w:szCs w:val="21"/>
              </w:rPr>
            </w:pPr>
          </w:p>
        </w:tc>
        <w:tc>
          <w:tcPr>
            <w:tcW w:w="1096" w:type="dxa"/>
            <w:vMerge w:val="continue"/>
            <w:tcBorders>
              <w:left w:val="single" w:color="auto" w:sz="4" w:space="0"/>
              <w:bottom w:val="single" w:color="auto" w:sz="4" w:space="0"/>
              <w:right w:val="single" w:color="auto" w:sz="4" w:space="0"/>
            </w:tcBorders>
            <w:vAlign w:val="center"/>
          </w:tcPr>
          <w:p w14:paraId="07793D99">
            <w:pPr>
              <w:widowControl/>
              <w:jc w:val="center"/>
              <w:rPr>
                <w:kern w:val="0"/>
                <w:szCs w:val="21"/>
              </w:rPr>
            </w:pPr>
          </w:p>
        </w:tc>
        <w:tc>
          <w:tcPr>
            <w:tcW w:w="1096" w:type="dxa"/>
            <w:vMerge w:val="continue"/>
            <w:tcBorders>
              <w:left w:val="single" w:color="auto" w:sz="4" w:space="0"/>
              <w:bottom w:val="single" w:color="auto" w:sz="4" w:space="0"/>
              <w:right w:val="single" w:color="auto" w:sz="4" w:space="0"/>
            </w:tcBorders>
            <w:vAlign w:val="center"/>
          </w:tcPr>
          <w:p w14:paraId="513CC137">
            <w:pPr>
              <w:widowControl/>
              <w:jc w:val="center"/>
              <w:rPr>
                <w:kern w:val="0"/>
                <w:szCs w:val="21"/>
              </w:rPr>
            </w:pPr>
          </w:p>
        </w:tc>
        <w:tc>
          <w:tcPr>
            <w:tcW w:w="1255" w:type="dxa"/>
            <w:vMerge w:val="continue"/>
            <w:tcBorders>
              <w:left w:val="single" w:color="auto" w:sz="4" w:space="0"/>
              <w:right w:val="single" w:color="auto" w:sz="4" w:space="0"/>
            </w:tcBorders>
            <w:shd w:val="clear" w:color="auto" w:fill="FFFFFF"/>
            <w:vAlign w:val="center"/>
          </w:tcPr>
          <w:p w14:paraId="22CD4262">
            <w:pPr>
              <w:widowControl/>
              <w:rPr>
                <w:rFonts w:cs="宋体"/>
                <w:kern w:val="0"/>
                <w:szCs w:val="21"/>
              </w:rPr>
            </w:pPr>
          </w:p>
        </w:tc>
      </w:tr>
      <w:tr w14:paraId="3129617C">
        <w:tblPrEx>
          <w:tblCellMar>
            <w:top w:w="0" w:type="dxa"/>
            <w:left w:w="108" w:type="dxa"/>
            <w:bottom w:w="0" w:type="dxa"/>
            <w:right w:w="108" w:type="dxa"/>
          </w:tblCellMar>
        </w:tblPrEx>
        <w:trPr>
          <w:trHeight w:val="1709" w:hRule="atLeast"/>
          <w:jc w:val="center"/>
        </w:trPr>
        <w:tc>
          <w:tcPr>
            <w:tcW w:w="9318" w:type="dxa"/>
            <w:gridSpan w:val="8"/>
            <w:tcBorders>
              <w:top w:val="single" w:color="auto" w:sz="4" w:space="0"/>
              <w:left w:val="single" w:color="auto" w:sz="4" w:space="0"/>
              <w:bottom w:val="single" w:color="auto" w:sz="4" w:space="0"/>
              <w:right w:val="single" w:color="auto" w:sz="4" w:space="0"/>
            </w:tcBorders>
            <w:vAlign w:val="center"/>
          </w:tcPr>
          <w:p w14:paraId="2368EDF8">
            <w:pPr>
              <w:snapToGrid w:val="0"/>
              <w:spacing w:before="312" w:beforeLines="100"/>
              <w:jc w:val="left"/>
              <w:rPr>
                <w:spacing w:val="-8"/>
                <w:szCs w:val="21"/>
              </w:rPr>
            </w:pPr>
            <w:r>
              <w:rPr>
                <w:kern w:val="0"/>
                <w:szCs w:val="21"/>
              </w:rPr>
              <w:t>流体扰动：</w:t>
            </w:r>
            <w:r>
              <w:rPr>
                <w:rFonts w:hint="eastAsia" w:cs="宋体"/>
                <w:kern w:val="0"/>
                <w:szCs w:val="21"/>
              </w:rPr>
              <w:t>误差变化的绝对值</w:t>
            </w:r>
            <w:r>
              <w:rPr>
                <w:rFonts w:hint="eastAsia"/>
                <w:spacing w:val="-8"/>
                <w:szCs w:val="21"/>
                <w:u w:val="single"/>
              </w:rPr>
              <w:t xml:space="preserve">           </w:t>
            </w:r>
            <w:r>
              <w:rPr>
                <w:rFonts w:cs="宋体"/>
                <w:kern w:val="0"/>
                <w:szCs w:val="21"/>
              </w:rPr>
              <w:t>%</w:t>
            </w:r>
            <w:r>
              <w:rPr>
                <w:rFonts w:hint="eastAsia"/>
                <w:spacing w:val="-8"/>
                <w:szCs w:val="21"/>
              </w:rPr>
              <w:t>， 试验结论：</w:t>
            </w:r>
            <w:r>
              <w:rPr>
                <w:rFonts w:hint="eastAsia"/>
                <w:spacing w:val="-8"/>
                <w:szCs w:val="21"/>
                <w:u w:val="single"/>
              </w:rPr>
              <w:t xml:space="preserve">                    </w:t>
            </w:r>
            <w:r>
              <w:rPr>
                <w:rFonts w:hint="eastAsia"/>
                <w:spacing w:val="-8"/>
                <w:szCs w:val="21"/>
              </w:rPr>
              <w:t>；</w:t>
            </w:r>
          </w:p>
          <w:p w14:paraId="0B7E0868">
            <w:pPr>
              <w:snapToGrid w:val="0"/>
              <w:spacing w:before="312" w:beforeLines="100"/>
              <w:rPr>
                <w:spacing w:val="-8"/>
                <w:szCs w:val="21"/>
              </w:rPr>
            </w:pPr>
            <w:r>
              <w:rPr>
                <w:rFonts w:hint="eastAsia"/>
                <w:spacing w:val="-8"/>
                <w:szCs w:val="21"/>
              </w:rPr>
              <w:t>环境条件：大气压：</w:t>
            </w:r>
            <w:r>
              <w:rPr>
                <w:rFonts w:hint="eastAsia"/>
                <w:spacing w:val="-8"/>
                <w:szCs w:val="21"/>
                <w:u w:val="single"/>
              </w:rPr>
              <w:t xml:space="preserve">    </w:t>
            </w:r>
            <w:r>
              <w:rPr>
                <w:spacing w:val="-8"/>
                <w:szCs w:val="21"/>
              </w:rPr>
              <w:t>kPa</w:t>
            </w:r>
            <w:r>
              <w:rPr>
                <w:rFonts w:hint="eastAsia"/>
                <w:spacing w:val="-8"/>
                <w:szCs w:val="21"/>
              </w:rPr>
              <w:t>；环境温度：</w:t>
            </w:r>
            <w:r>
              <w:rPr>
                <w:rFonts w:hint="eastAsia"/>
                <w:spacing w:val="-8"/>
                <w:szCs w:val="21"/>
                <w:u w:val="single"/>
              </w:rPr>
              <w:t xml:space="preserve">       </w:t>
            </w:r>
            <w:r>
              <w:rPr>
                <w:rFonts w:hint="eastAsia"/>
                <w:spacing w:val="-8"/>
                <w:szCs w:val="21"/>
              </w:rPr>
              <w:t>℃；  滞止容器温度：</w:t>
            </w:r>
            <w:r>
              <w:rPr>
                <w:rFonts w:hint="eastAsia"/>
                <w:spacing w:val="-8"/>
                <w:szCs w:val="21"/>
                <w:u w:val="single"/>
              </w:rPr>
              <w:t xml:space="preserve">        </w:t>
            </w:r>
            <w:r>
              <w:rPr>
                <w:rFonts w:hint="eastAsia"/>
                <w:spacing w:val="-8"/>
                <w:szCs w:val="21"/>
              </w:rPr>
              <w:t>℃  相对湿度：</w:t>
            </w:r>
            <w:r>
              <w:rPr>
                <w:rFonts w:hint="eastAsia"/>
                <w:spacing w:val="-8"/>
                <w:szCs w:val="21"/>
                <w:u w:val="single"/>
              </w:rPr>
              <w:t xml:space="preserve">         </w:t>
            </w:r>
            <w:r>
              <w:rPr>
                <w:spacing w:val="-8"/>
                <w:szCs w:val="21"/>
              </w:rPr>
              <w:t>%；</w:t>
            </w:r>
          </w:p>
          <w:p w14:paraId="7D1531EE">
            <w:pPr>
              <w:snapToGrid w:val="0"/>
              <w:spacing w:before="312" w:beforeLines="100"/>
              <w:rPr>
                <w:rFonts w:cs="宋体"/>
                <w:kern w:val="0"/>
                <w:szCs w:val="21"/>
              </w:rPr>
            </w:pPr>
            <w:r>
              <w:rPr>
                <w:rFonts w:hint="eastAsia"/>
                <w:spacing w:val="-8"/>
                <w:szCs w:val="21"/>
              </w:rPr>
              <w:t>试验设备：</w:t>
            </w:r>
          </w:p>
        </w:tc>
      </w:tr>
    </w:tbl>
    <w:p w14:paraId="1B8DACCA">
      <w:pPr>
        <w:pStyle w:val="121"/>
        <w:snapToGrid w:val="0"/>
        <w:spacing w:before="312" w:beforeLines="100"/>
        <w:ind w:firstLine="205" w:firstLineChars="98"/>
        <w:rPr>
          <w:szCs w:val="21"/>
        </w:rPr>
      </w:pPr>
      <w:r>
        <w:rPr>
          <w:rFonts w:hint="eastAsia"/>
          <w:szCs w:val="21"/>
        </w:rPr>
        <w:t xml:space="preserve">试验员  </w:t>
      </w:r>
      <w:r>
        <w:rPr>
          <w:szCs w:val="21"/>
          <w:u w:val="single"/>
        </w:rPr>
        <w:t xml:space="preserve">    </w:t>
      </w:r>
      <w:r>
        <w:rPr>
          <w:rFonts w:hint="eastAsia"/>
          <w:szCs w:val="21"/>
          <w:u w:val="single"/>
        </w:rPr>
        <w:t>　</w:t>
      </w:r>
      <w:r>
        <w:rPr>
          <w:szCs w:val="21"/>
          <w:u w:val="single"/>
        </w:rPr>
        <w:t xml:space="preserve">       </w:t>
      </w:r>
      <w:r>
        <w:rPr>
          <w:szCs w:val="21"/>
        </w:rPr>
        <w:t xml:space="preserve">  </w:t>
      </w:r>
      <w:r>
        <w:rPr>
          <w:rFonts w:hint="eastAsia"/>
          <w:szCs w:val="21"/>
        </w:rPr>
        <w:t xml:space="preserve"> </w:t>
      </w:r>
      <w:r>
        <w:rPr>
          <w:szCs w:val="21"/>
        </w:rPr>
        <w:t xml:space="preserve"> </w:t>
      </w:r>
      <w:r>
        <w:rPr>
          <w:rFonts w:hint="eastAsia"/>
          <w:szCs w:val="21"/>
        </w:rPr>
        <w:t>核验员</w:t>
      </w:r>
      <w:r>
        <w:rPr>
          <w:szCs w:val="21"/>
        </w:rPr>
        <w:t xml:space="preserve"> </w:t>
      </w:r>
      <w:r>
        <w:rPr>
          <w:rFonts w:hint="eastAsia"/>
          <w:szCs w:val="21"/>
        </w:rPr>
        <w:t xml:space="preserve">  </w:t>
      </w:r>
      <w:r>
        <w:rPr>
          <w:szCs w:val="21"/>
          <w:u w:val="single"/>
        </w:rPr>
        <w:t xml:space="preserve">            </w:t>
      </w:r>
      <w:r>
        <w:rPr>
          <w:rFonts w:hint="eastAsia"/>
          <w:szCs w:val="21"/>
          <w:u w:val="single"/>
        </w:rPr>
        <w:t>　</w:t>
      </w:r>
      <w:r>
        <w:rPr>
          <w:rFonts w:hint="eastAsia"/>
          <w:szCs w:val="21"/>
        </w:rPr>
        <w:t xml:space="preserve">     试验日期</w:t>
      </w:r>
      <w:r>
        <w:rPr>
          <w:szCs w:val="21"/>
        </w:rPr>
        <w:t xml:space="preserve"> </w:t>
      </w:r>
      <w:r>
        <w:rPr>
          <w:szCs w:val="21"/>
          <w:u w:val="single"/>
        </w:rPr>
        <w:t xml:space="preserve">      </w:t>
      </w:r>
      <w:r>
        <w:rPr>
          <w:rFonts w:hint="eastAsia"/>
          <w:szCs w:val="21"/>
          <w:u w:val="single"/>
        </w:rPr>
        <w:t xml:space="preserve">     </w:t>
      </w:r>
      <w:r>
        <w:rPr>
          <w:szCs w:val="21"/>
          <w:u w:val="single"/>
        </w:rPr>
        <w:t xml:space="preserve">  </w:t>
      </w:r>
    </w:p>
    <w:p w14:paraId="252A7396">
      <w:pPr>
        <w:rPr>
          <w:b/>
          <w:bCs/>
          <w:sz w:val="32"/>
          <w:szCs w:val="32"/>
        </w:rPr>
      </w:pPr>
      <w:r>
        <w:br w:type="page"/>
      </w:r>
    </w:p>
    <w:p w14:paraId="68A10FCA">
      <w:pPr>
        <w:pStyle w:val="36"/>
        <w:spacing w:line="259" w:lineRule="auto"/>
        <w:jc w:val="left"/>
        <w:rPr>
          <w:rFonts w:ascii="Times New Roman" w:hAnsi="Times New Roman" w:cs="Times New Roman"/>
          <w:bCs w:val="0"/>
          <w:color w:val="000000"/>
        </w:rPr>
      </w:pPr>
      <w:bookmarkStart w:id="421" w:name="_Toc217914318"/>
      <w:bookmarkStart w:id="422" w:name="_Toc221090951"/>
      <w:bookmarkStart w:id="423" w:name="_Toc194863367"/>
      <w:bookmarkStart w:id="424" w:name="_Toc112224938"/>
      <w:r>
        <w:rPr>
          <w:rFonts w:hint="eastAsia" w:ascii="Times New Roman" w:hAnsi="Times New Roman" w:cs="Times New Roman"/>
          <w:bCs w:val="0"/>
          <w:color w:val="000000"/>
        </w:rPr>
        <w:t>附录C</w:t>
      </w:r>
      <w:bookmarkEnd w:id="421"/>
      <w:bookmarkEnd w:id="422"/>
      <w:r>
        <w:rPr>
          <w:rFonts w:hint="eastAsia" w:ascii="Times New Roman" w:hAnsi="Times New Roman" w:cs="Times New Roman"/>
          <w:bCs w:val="0"/>
          <w:color w:val="000000"/>
        </w:rPr>
        <w:t xml:space="preserve">  </w:t>
      </w:r>
    </w:p>
    <w:p w14:paraId="05E7B179">
      <w:pPr>
        <w:pStyle w:val="36"/>
        <w:spacing w:line="259" w:lineRule="auto"/>
        <w:rPr>
          <w:rFonts w:ascii="Times New Roman" w:hAnsi="Times New Roman" w:cstheme="minorBidi"/>
          <w:bCs w:val="0"/>
          <w:szCs w:val="24"/>
        </w:rPr>
      </w:pPr>
      <w:bookmarkStart w:id="425" w:name="_Toc217914319"/>
      <w:bookmarkStart w:id="426" w:name="_Toc221090952"/>
      <w:r>
        <w:rPr>
          <w:rFonts w:hint="eastAsia" w:ascii="Times New Roman" w:hAnsi="Times New Roman" w:cstheme="minorBidi"/>
          <w:bCs w:val="0"/>
          <w:szCs w:val="24"/>
        </w:rPr>
        <w:t>流量计应用软件的管理要求</w:t>
      </w:r>
      <w:bookmarkEnd w:id="423"/>
      <w:bookmarkEnd w:id="424"/>
      <w:bookmarkEnd w:id="425"/>
      <w:bookmarkEnd w:id="426"/>
    </w:p>
    <w:p w14:paraId="24901074">
      <w:pPr>
        <w:spacing w:before="160" w:line="360" w:lineRule="auto"/>
        <w:rPr>
          <w:sz w:val="24"/>
          <w:szCs w:val="22"/>
        </w:rPr>
      </w:pPr>
      <w:r>
        <w:rPr>
          <w:sz w:val="24"/>
          <w:szCs w:val="22"/>
        </w:rPr>
        <w:t>C.1 软件</w:t>
      </w:r>
      <w:bookmarkStart w:id="427" w:name="_Hlk153651503"/>
      <w:r>
        <w:rPr>
          <w:sz w:val="24"/>
          <w:szCs w:val="22"/>
        </w:rPr>
        <w:t>标识要求</w:t>
      </w:r>
      <w:bookmarkEnd w:id="427"/>
    </w:p>
    <w:p w14:paraId="45D3ED09">
      <w:pPr>
        <w:spacing w:before="160" w:line="360" w:lineRule="auto"/>
        <w:ind w:firstLine="480"/>
        <w:rPr>
          <w:sz w:val="24"/>
          <w:szCs w:val="22"/>
        </w:rPr>
      </w:pPr>
      <w:r>
        <w:rPr>
          <w:sz w:val="24"/>
          <w:szCs w:val="22"/>
        </w:rPr>
        <w:t>软件标识应能永久地保存在流量计上，</w:t>
      </w:r>
      <w:bookmarkStart w:id="428" w:name="_Hlk178675273"/>
      <w:r>
        <w:rPr>
          <w:sz w:val="24"/>
          <w:szCs w:val="22"/>
        </w:rPr>
        <w:t>软件标识</w:t>
      </w:r>
      <w:bookmarkEnd w:id="428"/>
      <w:r>
        <w:rPr>
          <w:sz w:val="24"/>
          <w:szCs w:val="22"/>
        </w:rPr>
        <w:t>应至少以下列方式之一显示：</w:t>
      </w:r>
    </w:p>
    <w:p w14:paraId="6E394344">
      <w:pPr>
        <w:spacing w:before="160" w:line="360" w:lineRule="auto"/>
        <w:ind w:firstLine="480"/>
        <w:rPr>
          <w:sz w:val="24"/>
          <w:szCs w:val="22"/>
        </w:rPr>
      </w:pPr>
      <w:r>
        <w:rPr>
          <w:sz w:val="24"/>
          <w:szCs w:val="22"/>
        </w:rPr>
        <w:t>a) 通过指令可显示；</w:t>
      </w:r>
    </w:p>
    <w:p w14:paraId="25D66F1B">
      <w:pPr>
        <w:spacing w:before="160" w:line="360" w:lineRule="auto"/>
        <w:ind w:firstLine="480"/>
        <w:rPr>
          <w:sz w:val="24"/>
          <w:szCs w:val="22"/>
        </w:rPr>
      </w:pPr>
      <w:r>
        <w:rPr>
          <w:sz w:val="24"/>
          <w:szCs w:val="22"/>
        </w:rPr>
        <w:t>b) 运行时不影响测量前提下，通过某种操作可显示；</w:t>
      </w:r>
    </w:p>
    <w:p w14:paraId="2E712BC3">
      <w:pPr>
        <w:spacing w:before="160" w:line="360" w:lineRule="auto"/>
        <w:ind w:firstLine="480"/>
        <w:rPr>
          <w:sz w:val="24"/>
          <w:szCs w:val="22"/>
        </w:rPr>
      </w:pPr>
      <w:r>
        <w:rPr>
          <w:sz w:val="24"/>
          <w:szCs w:val="22"/>
        </w:rPr>
        <w:t>c) 流量计在上电开机时或重启时可显示；</w:t>
      </w:r>
    </w:p>
    <w:p w14:paraId="46A8A038">
      <w:pPr>
        <w:spacing w:before="160" w:line="360" w:lineRule="auto"/>
        <w:ind w:firstLine="480"/>
        <w:rPr>
          <w:sz w:val="24"/>
          <w:szCs w:val="22"/>
        </w:rPr>
      </w:pPr>
      <w:r>
        <w:rPr>
          <w:sz w:val="24"/>
          <w:szCs w:val="22"/>
        </w:rPr>
        <w:t>或者软件标识印刷在铭牌上。</w:t>
      </w:r>
    </w:p>
    <w:p w14:paraId="4E177004">
      <w:pPr>
        <w:spacing w:before="160" w:line="360" w:lineRule="auto"/>
        <w:rPr>
          <w:sz w:val="24"/>
          <w:szCs w:val="22"/>
        </w:rPr>
      </w:pPr>
      <w:bookmarkStart w:id="429" w:name="_Toc151812645"/>
      <w:bookmarkStart w:id="430" w:name="_Toc151983649"/>
      <w:bookmarkStart w:id="431" w:name="_Toc151897788"/>
      <w:r>
        <w:rPr>
          <w:sz w:val="24"/>
          <w:szCs w:val="22"/>
        </w:rPr>
        <w:t>C.2  法制相关软件的范围</w:t>
      </w:r>
      <w:bookmarkEnd w:id="429"/>
      <w:bookmarkEnd w:id="430"/>
      <w:bookmarkEnd w:id="431"/>
    </w:p>
    <w:p w14:paraId="743123F7">
      <w:pPr>
        <w:spacing w:before="160" w:line="360" w:lineRule="auto"/>
        <w:rPr>
          <w:sz w:val="24"/>
          <w:szCs w:val="22"/>
        </w:rPr>
      </w:pPr>
      <w:r>
        <w:rPr>
          <w:sz w:val="24"/>
          <w:szCs w:val="22"/>
        </w:rPr>
        <w:t>C.2.1 模块</w:t>
      </w:r>
    </w:p>
    <w:p w14:paraId="1C3DA4C2">
      <w:pPr>
        <w:spacing w:before="160" w:line="360" w:lineRule="auto"/>
        <w:ind w:firstLine="420"/>
        <w:rPr>
          <w:sz w:val="24"/>
          <w:szCs w:val="22"/>
        </w:rPr>
      </w:pPr>
      <w:r>
        <w:rPr>
          <w:sz w:val="24"/>
          <w:szCs w:val="22"/>
        </w:rPr>
        <w:t>实现法制计量相关功能或包含法制计量相关数据域的所有软件模块（程序、子程序、进程、对象等）。</w:t>
      </w:r>
    </w:p>
    <w:p w14:paraId="03E65ADB">
      <w:pPr>
        <w:spacing w:before="160" w:line="360" w:lineRule="auto"/>
        <w:rPr>
          <w:sz w:val="24"/>
          <w:szCs w:val="22"/>
        </w:rPr>
      </w:pPr>
      <w:r>
        <w:rPr>
          <w:sz w:val="24"/>
          <w:szCs w:val="22"/>
        </w:rPr>
        <w:t>C.2.2  功能和数据域</w:t>
      </w:r>
    </w:p>
    <w:p w14:paraId="373835C3">
      <w:pPr>
        <w:spacing w:before="160" w:line="360" w:lineRule="auto"/>
        <w:ind w:firstLine="420"/>
        <w:rPr>
          <w:sz w:val="24"/>
          <w:szCs w:val="22"/>
        </w:rPr>
      </w:pPr>
      <w:r>
        <w:rPr>
          <w:sz w:val="24"/>
          <w:szCs w:val="22"/>
        </w:rPr>
        <w:t>制造商应对软件所有法制计量相关功能和数据域声明，以判断软件分离的正确性。法制计量相关软件部分至少应涵盖如下功能：</w:t>
      </w:r>
    </w:p>
    <w:p w14:paraId="02734825">
      <w:pPr>
        <w:pStyle w:val="121"/>
        <w:numPr>
          <w:ilvl w:val="0"/>
          <w:numId w:val="11"/>
        </w:numPr>
        <w:spacing w:before="160" w:line="360" w:lineRule="auto"/>
        <w:ind w:firstLineChars="0"/>
        <w:rPr>
          <w:sz w:val="24"/>
          <w:szCs w:val="28"/>
        </w:rPr>
      </w:pPr>
      <w:r>
        <w:rPr>
          <w:sz w:val="24"/>
          <w:szCs w:val="28"/>
        </w:rPr>
        <w:t>累积流量的算法；</w:t>
      </w:r>
    </w:p>
    <w:p w14:paraId="1BA35FCD">
      <w:pPr>
        <w:pStyle w:val="121"/>
        <w:numPr>
          <w:ilvl w:val="0"/>
          <w:numId w:val="11"/>
        </w:numPr>
        <w:spacing w:before="160" w:line="360" w:lineRule="auto"/>
        <w:ind w:firstLineChars="0"/>
        <w:rPr>
          <w:sz w:val="24"/>
          <w:szCs w:val="28"/>
        </w:rPr>
      </w:pPr>
      <w:r>
        <w:rPr>
          <w:sz w:val="24"/>
          <w:szCs w:val="28"/>
        </w:rPr>
        <w:t>日历时钟维持和设置；</w:t>
      </w:r>
    </w:p>
    <w:p w14:paraId="659F0354">
      <w:pPr>
        <w:pStyle w:val="121"/>
        <w:numPr>
          <w:ilvl w:val="0"/>
          <w:numId w:val="11"/>
        </w:numPr>
        <w:spacing w:before="160" w:line="360" w:lineRule="auto"/>
        <w:ind w:firstLineChars="0"/>
        <w:rPr>
          <w:sz w:val="24"/>
          <w:szCs w:val="28"/>
        </w:rPr>
      </w:pPr>
      <w:r>
        <w:rPr>
          <w:sz w:val="24"/>
          <w:szCs w:val="28"/>
        </w:rPr>
        <w:t>升级（非法制管理软件部分）、校时、修改设备专有参数的事件记录；</w:t>
      </w:r>
    </w:p>
    <w:p w14:paraId="204FA5C7">
      <w:pPr>
        <w:pStyle w:val="121"/>
        <w:numPr>
          <w:ilvl w:val="0"/>
          <w:numId w:val="11"/>
        </w:numPr>
        <w:spacing w:before="160" w:line="360" w:lineRule="auto"/>
        <w:ind w:firstLineChars="0"/>
        <w:rPr>
          <w:sz w:val="24"/>
          <w:szCs w:val="28"/>
        </w:rPr>
      </w:pPr>
      <w:r>
        <w:rPr>
          <w:sz w:val="24"/>
          <w:szCs w:val="28"/>
        </w:rPr>
        <w:t>法制相关软件与非法制相关软件的软件接口（适用时）；</w:t>
      </w:r>
    </w:p>
    <w:p w14:paraId="2A978B3A">
      <w:pPr>
        <w:pStyle w:val="121"/>
        <w:numPr>
          <w:ilvl w:val="0"/>
          <w:numId w:val="11"/>
        </w:numPr>
        <w:spacing w:before="160" w:line="360" w:lineRule="auto"/>
        <w:ind w:firstLineChars="0"/>
        <w:rPr>
          <w:sz w:val="24"/>
          <w:szCs w:val="28"/>
        </w:rPr>
      </w:pPr>
      <w:r>
        <w:rPr>
          <w:sz w:val="24"/>
          <w:szCs w:val="28"/>
        </w:rPr>
        <w:t>法制相关内容的显示。</w:t>
      </w:r>
    </w:p>
    <w:p w14:paraId="12C4F1EF">
      <w:pPr>
        <w:spacing w:before="160" w:line="360" w:lineRule="auto"/>
        <w:rPr>
          <w:sz w:val="24"/>
          <w:szCs w:val="22"/>
        </w:rPr>
      </w:pPr>
      <w:r>
        <w:rPr>
          <w:sz w:val="24"/>
          <w:szCs w:val="22"/>
        </w:rPr>
        <w:t xml:space="preserve">C.3 </w:t>
      </w:r>
      <w:bookmarkStart w:id="432" w:name="_Hlk153651475"/>
      <w:r>
        <w:rPr>
          <w:sz w:val="24"/>
          <w:szCs w:val="22"/>
        </w:rPr>
        <w:t>软件标识组成和验证</w:t>
      </w:r>
    </w:p>
    <w:p w14:paraId="28822AB4">
      <w:pPr>
        <w:spacing w:before="160" w:line="360" w:lineRule="auto"/>
        <w:ind w:firstLine="424" w:firstLineChars="177"/>
        <w:rPr>
          <w:sz w:val="24"/>
          <w:szCs w:val="22"/>
        </w:rPr>
      </w:pPr>
      <w:r>
        <w:rPr>
          <w:sz w:val="24"/>
          <w:szCs w:val="22"/>
        </w:rPr>
        <w:t>软件标识可以有多个部分组成。软件标识应能准确区分P型（指不采用操作系统的单片机系统）和U型（指采用操作系统的单片机系统）应用软件，应包含该软件的完整名称或者不会混淆的简称、流量计的分类编码、能够反映当前软件的版本、日期、序号及相关信息。软件标识的生成应考虑整体可执行代码（P型）或安装文件（U型）的CRC校验。</w:t>
      </w:r>
    </w:p>
    <w:p w14:paraId="24ACFCCE">
      <w:pPr>
        <w:spacing w:before="160" w:line="360" w:lineRule="auto"/>
        <w:ind w:left="480"/>
        <w:rPr>
          <w:rFonts w:eastAsia="仿宋"/>
          <w:sz w:val="24"/>
          <w:szCs w:val="24"/>
        </w:rPr>
      </w:pPr>
      <w:r>
        <w:rPr>
          <w:rFonts w:eastAsia="仿宋"/>
          <w:sz w:val="24"/>
          <w:szCs w:val="24"/>
        </w:rPr>
        <w:t>软件标识参考示例：P/U XXXX YYMM GXXX</w:t>
      </w:r>
    </w:p>
    <w:p w14:paraId="1B6B3445">
      <w:pPr>
        <w:spacing w:before="160" w:line="360" w:lineRule="auto"/>
        <w:ind w:firstLine="547" w:firstLineChars="228"/>
        <w:rPr>
          <w:rFonts w:eastAsia="仿宋"/>
          <w:sz w:val="24"/>
          <w:szCs w:val="24"/>
        </w:rPr>
      </w:pPr>
      <w:r>
        <w:rPr>
          <w:rFonts w:eastAsia="仿宋"/>
          <w:sz w:val="24"/>
          <w:szCs w:val="24"/>
        </w:rPr>
        <w:t>首位是大写字母P或者U；后接4位CRC16校验值(16进制)；后接软件发布日期，YY代表年份，MM代表月份；最后接制造商补充信息码。</w:t>
      </w:r>
    </w:p>
    <w:p w14:paraId="7AC0EED7">
      <w:pPr>
        <w:spacing w:before="160" w:line="360" w:lineRule="auto"/>
        <w:ind w:firstLine="547" w:firstLineChars="228"/>
        <w:rPr>
          <w:rFonts w:eastAsia="仿宋"/>
          <w:sz w:val="24"/>
          <w:szCs w:val="24"/>
        </w:rPr>
      </w:pPr>
      <w:r>
        <w:rPr>
          <w:rFonts w:eastAsia="仿宋"/>
          <w:sz w:val="24"/>
          <w:szCs w:val="24"/>
        </w:rPr>
        <w:t>CRC校验码应为程序代码的实时生成，当程序代码修改时CRC检验码应跟随改变。</w:t>
      </w:r>
    </w:p>
    <w:p w14:paraId="56979BA6">
      <w:pPr>
        <w:spacing w:before="160" w:line="360" w:lineRule="auto"/>
        <w:ind w:firstLine="424" w:firstLineChars="177"/>
        <w:rPr>
          <w:sz w:val="24"/>
          <w:szCs w:val="22"/>
        </w:rPr>
      </w:pPr>
      <w:r>
        <w:rPr>
          <w:sz w:val="24"/>
          <w:szCs w:val="22"/>
        </w:rPr>
        <w:t>验证方法：修改源代码，软件标识应及时发生变化。</w:t>
      </w:r>
    </w:p>
    <w:bookmarkEnd w:id="432"/>
    <w:p w14:paraId="113B1EBA">
      <w:pPr>
        <w:spacing w:before="160" w:line="360" w:lineRule="auto"/>
        <w:rPr>
          <w:sz w:val="24"/>
          <w:szCs w:val="22"/>
        </w:rPr>
      </w:pPr>
      <w:r>
        <w:rPr>
          <w:sz w:val="24"/>
          <w:szCs w:val="22"/>
        </w:rPr>
        <w:t>C.4  软件保护包括适用的物理封印、电子加密方法，未经授权不能操作，或操作后应留下明显的痕迹。</w:t>
      </w:r>
    </w:p>
    <w:p w14:paraId="24167CDF">
      <w:pPr>
        <w:spacing w:before="160" w:line="360" w:lineRule="auto"/>
        <w:rPr>
          <w:sz w:val="24"/>
          <w:szCs w:val="24"/>
        </w:rPr>
      </w:pPr>
      <w:r>
        <w:rPr>
          <w:sz w:val="24"/>
          <w:szCs w:val="22"/>
        </w:rPr>
        <w:t>C.5  应用软件如不能实现法制计量软件分离，则整体作为法制相关软件部分，经型式批准后不允许改变。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9B118B9-93D9-4DFD-8042-166B2508108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embedRegular r:id="rId2" w:fontKey="{BA66DDB4-BFE6-4C8A-9BF0-E27C7553FCC1}"/>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3" w:fontKey="{1CFE0832-FFD4-441A-B86D-C6E26C0CBF40}"/>
  </w:font>
  <w:font w:name="等线 Light">
    <w:panose1 w:val="02010600030101010101"/>
    <w:charset w:val="86"/>
    <w:family w:val="auto"/>
    <w:pitch w:val="default"/>
    <w:sig w:usb0="A00002BF" w:usb1="38CF7CFA" w:usb2="00000016" w:usb3="00000000" w:csb0="0004000F" w:csb1="00000000"/>
    <w:embedRegular r:id="rId4" w:fontKey="{3C6DE8ED-5E5A-4B1F-BE50-943D6924411B}"/>
  </w:font>
  <w:font w:name="华文中宋">
    <w:panose1 w:val="02010600040101010101"/>
    <w:charset w:val="86"/>
    <w:family w:val="auto"/>
    <w:pitch w:val="default"/>
    <w:sig w:usb0="00000287" w:usb1="080F0000" w:usb2="00000000" w:usb3="00000000" w:csb0="0004009F" w:csb1="DFD70000"/>
    <w:embedRegular r:id="rId5" w:fontKey="{DBE6839C-99BE-40C2-BBA9-E9F9B209FD72}"/>
  </w:font>
  <w:font w:name="方正小标宋简体">
    <w:panose1 w:val="02000000000000000000"/>
    <w:charset w:val="86"/>
    <w:family w:val="auto"/>
    <w:pitch w:val="default"/>
    <w:sig w:usb0="A00002BF" w:usb1="184F6CFA" w:usb2="00000012" w:usb3="00000000" w:csb0="00040001" w:csb1="00000000"/>
    <w:embedRegular r:id="rId6" w:fontKey="{4BB73493-561F-40F8-A69D-DEB0833C0CC5}"/>
  </w:font>
  <w:font w:name="Cambria">
    <w:panose1 w:val="02040503050406030204"/>
    <w:charset w:val="00"/>
    <w:family w:val="roman"/>
    <w:pitch w:val="default"/>
    <w:sig w:usb0="E00006FF" w:usb1="420024FF" w:usb2="02000000" w:usb3="00000000" w:csb0="2000019F" w:csb1="00000000"/>
    <w:embedRegular r:id="rId7" w:fontKey="{EFA1286E-DA3A-411F-81F5-A90BE2BD9481}"/>
  </w:font>
  <w:font w:name="仿宋">
    <w:panose1 w:val="02010609060101010101"/>
    <w:charset w:val="86"/>
    <w:family w:val="modern"/>
    <w:pitch w:val="default"/>
    <w:sig w:usb0="800002BF" w:usb1="38CF7CFA" w:usb2="00000016" w:usb3="00000000" w:csb0="00040001" w:csb1="00000000"/>
    <w:embedRegular r:id="rId8" w:fontKey="{45588CCF-33CA-4C19-9AC9-BC6EE309C5A5}"/>
  </w:font>
  <w:font w:name="Cambria Math">
    <w:panose1 w:val="02040503050406030204"/>
    <w:charset w:val="00"/>
    <w:family w:val="roman"/>
    <w:pitch w:val="default"/>
    <w:sig w:usb0="E00006FF" w:usb1="420024FF" w:usb2="02000000" w:usb3="00000000" w:csb0="2000019F" w:csb1="00000000"/>
    <w:embedRegular r:id="rId9" w:fontKey="{A0D7D874-E803-486B-AF12-CD946C78ACFB}"/>
  </w:font>
  <w:font w:name="WPSEMBED2">
    <w:panose1 w:val="02000000000000000000"/>
    <w:charset w:val="86"/>
    <w:family w:val="auto"/>
    <w:pitch w:val="default"/>
    <w:sig w:usb0="A00002BF" w:usb1="184F6CFA" w:usb2="00000012" w:usb3="00000000" w:csb0="00040001"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D67B9">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D5515">
    <w:pPr>
      <w:pStyle w:val="25"/>
      <w:framePr w:wrap="around" w:vAnchor="text" w:hAnchor="margin" w:xAlign="right" w:y="1"/>
      <w:rPr>
        <w:rStyle w:val="42"/>
      </w:rPr>
    </w:pPr>
    <w:r>
      <w:fldChar w:fldCharType="begin"/>
    </w:r>
    <w:r>
      <w:rPr>
        <w:rStyle w:val="42"/>
      </w:rPr>
      <w:instrText xml:space="preserve">PAGE  </w:instrText>
    </w:r>
    <w:r>
      <w:fldChar w:fldCharType="end"/>
    </w:r>
  </w:p>
  <w:p w14:paraId="6485E842">
    <w:pPr>
      <w:pStyle w:val="2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0F141">
    <w:pPr>
      <w:pStyle w:val="25"/>
      <w:framePr w:wrap="around" w:vAnchor="text" w:hAnchor="margin" w:xAlign="right" w:y="1"/>
      <w:rPr>
        <w:rStyle w:val="42"/>
      </w:rPr>
    </w:pPr>
    <w:r>
      <w:fldChar w:fldCharType="begin"/>
    </w:r>
    <w:r>
      <w:rPr>
        <w:rStyle w:val="42"/>
      </w:rPr>
      <w:instrText xml:space="preserve">PAGE  </w:instrText>
    </w:r>
    <w:r>
      <w:fldChar w:fldCharType="separate"/>
    </w:r>
    <w:r>
      <w:rPr>
        <w:rStyle w:val="42"/>
      </w:rPr>
      <w:t>7</w:t>
    </w:r>
    <w:r>
      <w:fldChar w:fldCharType="end"/>
    </w:r>
  </w:p>
  <w:p w14:paraId="53A42979">
    <w:pPr>
      <w:pStyle w:val="25"/>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A80C0">
    <w:pPr>
      <w:pStyle w:val="26"/>
      <w:rPr>
        <w:rFonts w:eastAsia="方正小标宋简体" w:cs="Times New Roman"/>
        <w:sz w:val="21"/>
        <w:szCs w:val="21"/>
      </w:rPr>
    </w:pPr>
    <w:r>
      <w:rPr>
        <w:rFonts w:eastAsia="方正小标宋简体" w:cs="Times New Roman"/>
        <w:sz w:val="21"/>
        <w:szCs w:val="21"/>
      </w:rPr>
      <w:t>JJF XXXX-202X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pacing w:val="0"/>
        <w:w w:val="100"/>
        <w:kern w:val="21"/>
        <w:sz w:val="21"/>
      </w:rPr>
    </w:lvl>
    <w:lvl w:ilvl="2" w:tentative="0">
      <w:start w:val="1"/>
      <w:numFmt w:val="decimal"/>
      <w:pStyle w:val="109"/>
      <w:suff w:val="nothing"/>
      <w:lvlText w:val="%13.%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
    <w:nsid w:val="0EE76A0D"/>
    <w:multiLevelType w:val="multilevel"/>
    <w:tmpl w:val="0EE76A0D"/>
    <w:lvl w:ilvl="0" w:tentative="0">
      <w:start w:val="1"/>
      <w:numFmt w:val="lowerLetter"/>
      <w:lvlText w:val="%1）"/>
      <w:lvlJc w:val="left"/>
      <w:pPr>
        <w:ind w:left="866" w:hanging="440"/>
      </w:pPr>
      <w:rPr>
        <w:rFonts w:hint="eastAsia"/>
        <w:sz w:val="24"/>
        <w:szCs w:val="22"/>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
    <w:nsid w:val="23F92FE6"/>
    <w:multiLevelType w:val="multilevel"/>
    <w:tmpl w:val="23F92FE6"/>
    <w:lvl w:ilvl="0" w:tentative="0">
      <w:start w:val="1"/>
      <w:numFmt w:val="decimal"/>
      <w:pStyle w:val="8"/>
      <w:lvlText w:val="A.%1"/>
      <w:lvlJc w:val="left"/>
      <w:pPr>
        <w:tabs>
          <w:tab w:val="left" w:pos="360"/>
        </w:tabs>
        <w:ind w:left="0" w:firstLine="0"/>
      </w:pPr>
      <w:rPr>
        <w:rFonts w:hint="eastAsia" w:ascii="宋体" w:hAnsi="宋体" w:eastAsia="宋体"/>
        <w:sz w:val="24"/>
      </w:rPr>
    </w:lvl>
    <w:lvl w:ilvl="1" w:tentative="0">
      <w:start w:val="1"/>
      <w:numFmt w:val="lowerLetter"/>
      <w:lvlText w:val="%2)"/>
      <w:lvlJc w:val="left"/>
      <w:pPr>
        <w:tabs>
          <w:tab w:val="left" w:pos="840"/>
        </w:tabs>
        <w:ind w:left="840" w:hanging="420"/>
      </w:pPr>
    </w:lvl>
    <w:lvl w:ilvl="2" w:tentative="0">
      <w:start w:val="1"/>
      <w:numFmt w:val="lowerLetter"/>
      <w:lvlText w:val="%3)"/>
      <w:lvlJc w:val="left"/>
      <w:pPr>
        <w:tabs>
          <w:tab w:val="left" w:pos="840"/>
        </w:tabs>
        <w:ind w:left="840" w:hanging="420"/>
      </w:pPr>
      <w:rPr>
        <w:sz w:val="24"/>
      </w:rPr>
    </w:lvl>
    <w:lvl w:ilvl="3" w:tentative="0">
      <w:start w:val="1"/>
      <w:numFmt w:val="decimal"/>
      <w:lvlText w:val="%4."/>
      <w:lvlJc w:val="left"/>
      <w:pPr>
        <w:tabs>
          <w:tab w:val="left" w:pos="1680"/>
        </w:tabs>
        <w:ind w:left="1680" w:hanging="42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6B52BA6"/>
    <w:multiLevelType w:val="multilevel"/>
    <w:tmpl w:val="26B52BA6"/>
    <w:lvl w:ilvl="0" w:tentative="0">
      <w:start w:val="1"/>
      <w:numFmt w:val="decimal"/>
      <w:pStyle w:val="10"/>
      <w:lvlText w:val="A.4.%1"/>
      <w:lvlJc w:val="center"/>
      <w:pPr>
        <w:tabs>
          <w:tab w:val="left" w:pos="1008"/>
        </w:tabs>
        <w:ind w:left="0" w:firstLine="288"/>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46806F7D"/>
    <w:multiLevelType w:val="multilevel"/>
    <w:tmpl w:val="46806F7D"/>
    <w:lvl w:ilvl="0" w:tentative="0">
      <w:start w:val="1"/>
      <w:numFmt w:val="none"/>
      <w:pStyle w:val="117"/>
      <w:lvlText w:val="图"/>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780"/>
        </w:tabs>
        <w:ind w:left="780" w:hanging="360"/>
      </w:pPr>
      <w:rPr>
        <w:rFonts w:hint="eastAsia" w:ascii="Times New Roman" w:eastAsia="黑体"/>
        <w:color w:val="auto"/>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4A8C2DA2"/>
    <w:multiLevelType w:val="singleLevel"/>
    <w:tmpl w:val="4A8C2DA2"/>
    <w:lvl w:ilvl="0" w:tentative="0">
      <w:start w:val="1"/>
      <w:numFmt w:val="decimal"/>
      <w:pStyle w:val="9"/>
      <w:lvlText w:val="A.6.1.%1"/>
      <w:lvlJc w:val="left"/>
      <w:pPr>
        <w:tabs>
          <w:tab w:val="left" w:pos="1440"/>
        </w:tabs>
        <w:ind w:left="425" w:hanging="425"/>
      </w:pPr>
    </w:lvl>
  </w:abstractNum>
  <w:abstractNum w:abstractNumId="6">
    <w:nsid w:val="53731ADA"/>
    <w:multiLevelType w:val="singleLevel"/>
    <w:tmpl w:val="53731ADA"/>
    <w:lvl w:ilvl="0" w:tentative="0">
      <w:start w:val="1"/>
      <w:numFmt w:val="japaneseCounting"/>
      <w:pStyle w:val="118"/>
      <w:lvlText w:val="（%1）"/>
      <w:lvlJc w:val="left"/>
      <w:pPr>
        <w:tabs>
          <w:tab w:val="left" w:pos="855"/>
        </w:tabs>
        <w:ind w:left="855" w:hanging="855"/>
      </w:pPr>
    </w:lvl>
  </w:abstractNum>
  <w:abstractNum w:abstractNumId="7">
    <w:nsid w:val="646260FA"/>
    <w:multiLevelType w:val="multilevel"/>
    <w:tmpl w:val="646260FA"/>
    <w:lvl w:ilvl="0" w:tentative="0">
      <w:start w:val="1"/>
      <w:numFmt w:val="decimal"/>
      <w:pStyle w:val="103"/>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8">
    <w:nsid w:val="657D3FBC"/>
    <w:multiLevelType w:val="multilevel"/>
    <w:tmpl w:val="657D3FBC"/>
    <w:lvl w:ilvl="0" w:tentative="0">
      <w:start w:val="1"/>
      <w:numFmt w:val="upperLetter"/>
      <w:pStyle w:val="98"/>
      <w:suff w:val="space"/>
      <w:lvlText w:val="附　录　%1"/>
      <w:lvlJc w:val="center"/>
      <w:pPr>
        <w:ind w:left="0" w:firstLine="288"/>
      </w:pPr>
      <w:rPr>
        <w:rFonts w:hint="eastAsia" w:ascii="黑体" w:hAnsi="Times New Roman" w:eastAsia="黑体"/>
        <w:b w:val="0"/>
        <w:i w:val="0"/>
        <w:sz w:val="21"/>
      </w:rPr>
    </w:lvl>
    <w:lvl w:ilvl="1" w:tentative="0">
      <w:start w:val="1"/>
      <w:numFmt w:val="decimal"/>
      <w:pStyle w:val="104"/>
      <w:suff w:val="nothing"/>
      <w:lvlText w:val="%1.%2　"/>
      <w:lvlJc w:val="left"/>
      <w:pPr>
        <w:ind w:left="0" w:firstLine="0"/>
      </w:pPr>
      <w:rPr>
        <w:rFonts w:hint="eastAsia" w:ascii="黑体" w:hAnsi="Times New Roman" w:eastAsia="黑体"/>
        <w:b w:val="0"/>
        <w:i w:val="0"/>
        <w:spacing w:val="0"/>
        <w:w w:val="100"/>
        <w:kern w:val="21"/>
        <w:sz w:val="21"/>
      </w:rPr>
    </w:lvl>
    <w:lvl w:ilvl="2" w:tentative="0">
      <w:start w:val="1"/>
      <w:numFmt w:val="decimal"/>
      <w:pStyle w:val="105"/>
      <w:suff w:val="nothing"/>
      <w:lvlText w:val="%1.%2.%3　"/>
      <w:lvlJc w:val="left"/>
      <w:pPr>
        <w:ind w:left="735" w:firstLine="0"/>
      </w:pPr>
      <w:rPr>
        <w:rFonts w:hint="eastAsia" w:ascii="黑体" w:hAnsi="Times New Roman" w:eastAsia="黑体"/>
        <w:b w:val="0"/>
        <w:i w:val="0"/>
        <w:sz w:val="24"/>
        <w:szCs w:val="24"/>
      </w:rPr>
    </w:lvl>
    <w:lvl w:ilvl="3" w:tentative="0">
      <w:start w:val="1"/>
      <w:numFmt w:val="decimal"/>
      <w:pStyle w:val="99"/>
      <w:suff w:val="nothing"/>
      <w:lvlText w:val="%1.%2.%3.%4　"/>
      <w:lvlJc w:val="left"/>
      <w:pPr>
        <w:ind w:left="0" w:firstLine="0"/>
      </w:pPr>
      <w:rPr>
        <w:rFonts w:hint="eastAsia" w:ascii="黑体" w:hAnsi="Times New Roman" w:eastAsia="黑体"/>
        <w:b w:val="0"/>
        <w:i w:val="0"/>
        <w:sz w:val="21"/>
      </w:rPr>
    </w:lvl>
    <w:lvl w:ilvl="4" w:tentative="0">
      <w:start w:val="1"/>
      <w:numFmt w:val="decimal"/>
      <w:pStyle w:val="112"/>
      <w:suff w:val="nothing"/>
      <w:lvlText w:val="%1.%2.%3.%4.%5　"/>
      <w:lvlJc w:val="left"/>
      <w:pPr>
        <w:ind w:left="0" w:firstLine="0"/>
      </w:pPr>
      <w:rPr>
        <w:rFonts w:hint="eastAsia" w:ascii="黑体" w:hAnsi="Times New Roman" w:eastAsia="黑体"/>
        <w:b w:val="0"/>
        <w:i w:val="0"/>
        <w:sz w:val="21"/>
      </w:rPr>
    </w:lvl>
    <w:lvl w:ilvl="5" w:tentative="0">
      <w:start w:val="1"/>
      <w:numFmt w:val="decimal"/>
      <w:pStyle w:val="106"/>
      <w:suff w:val="nothing"/>
      <w:lvlText w:val="%1.%2.%3.%4.%5.%6　"/>
      <w:lvlJc w:val="left"/>
      <w:pPr>
        <w:ind w:left="2700" w:firstLine="0"/>
      </w:pPr>
      <w:rPr>
        <w:rFonts w:hint="eastAsia" w:ascii="黑体" w:hAnsi="Times New Roman" w:eastAsia="黑体"/>
        <w:b w:val="0"/>
        <w:i w:val="0"/>
        <w:sz w:val="21"/>
      </w:rPr>
    </w:lvl>
    <w:lvl w:ilvl="6" w:tentative="0">
      <w:start w:val="1"/>
      <w:numFmt w:val="decimal"/>
      <w:pStyle w:val="11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6CEA2025"/>
    <w:multiLevelType w:val="multilevel"/>
    <w:tmpl w:val="6CEA2025"/>
    <w:lvl w:ilvl="0" w:tentative="0">
      <w:start w:val="1"/>
      <w:numFmt w:val="none"/>
      <w:pStyle w:val="35"/>
      <w:suff w:val="nothing"/>
      <w:lvlText w:val="%1"/>
      <w:lvlJc w:val="left"/>
      <w:pPr>
        <w:ind w:left="0" w:firstLine="0"/>
      </w:pPr>
      <w:rPr>
        <w:rFonts w:hint="default" w:ascii="Times New Roman" w:hAnsi="Times New Roman" w:cs="Times New Roman"/>
        <w:b/>
        <w:i w:val="0"/>
        <w:sz w:val="21"/>
      </w:rPr>
    </w:lvl>
    <w:lvl w:ilvl="1" w:tentative="0">
      <w:start w:val="1"/>
      <w:numFmt w:val="decimal"/>
      <w:lvlRestart w:val="0"/>
      <w:pStyle w:val="15"/>
      <w:suff w:val="space"/>
      <w:lvlText w:val="%2"/>
      <w:lvlJc w:val="left"/>
      <w:pPr>
        <w:ind w:left="0" w:firstLine="0"/>
      </w:pPr>
      <w:rPr>
        <w:rFonts w:hint="eastAsia" w:ascii="黑体" w:hAnsi="Times New Roman" w:eastAsia="黑体"/>
        <w:b w:val="0"/>
        <w:i w:val="0"/>
        <w:sz w:val="28"/>
      </w:rPr>
    </w:lvl>
    <w:lvl w:ilvl="2" w:tentative="0">
      <w:start w:val="1"/>
      <w:numFmt w:val="decimal"/>
      <w:pStyle w:val="102"/>
      <w:suff w:val="nothing"/>
      <w:lvlText w:val="%1%2.%3　"/>
      <w:lvlJc w:val="left"/>
      <w:pPr>
        <w:ind w:left="0" w:firstLine="0"/>
      </w:pPr>
      <w:rPr>
        <w:rFonts w:hint="eastAsia" w:ascii="宋体" w:hAnsi="Times New Roman" w:eastAsia="宋体"/>
        <w:b w:val="0"/>
        <w:i w:val="0"/>
        <w:sz w:val="24"/>
      </w:rPr>
    </w:lvl>
    <w:lvl w:ilvl="3" w:tentative="0">
      <w:start w:val="1"/>
      <w:numFmt w:val="decimal"/>
      <w:pStyle w:val="87"/>
      <w:suff w:val="nothing"/>
      <w:lvlText w:val="%1%2.%3.%4　"/>
      <w:lvlJc w:val="left"/>
      <w:pPr>
        <w:ind w:left="0" w:firstLine="0"/>
      </w:pPr>
      <w:rPr>
        <w:rFonts w:hint="eastAsia" w:ascii="宋体" w:hAnsi="Times New Roman" w:eastAsia="宋体"/>
        <w:b w:val="0"/>
        <w:i w:val="0"/>
        <w:sz w:val="24"/>
      </w:rPr>
    </w:lvl>
    <w:lvl w:ilvl="4" w:tentative="0">
      <w:start w:val="1"/>
      <w:numFmt w:val="decimal"/>
      <w:suff w:val="nothing"/>
      <w:lvlText w:val="%1%2.%3.%4.%5　"/>
      <w:lvlJc w:val="left"/>
      <w:pPr>
        <w:ind w:left="360" w:firstLine="0"/>
      </w:pPr>
      <w:rPr>
        <w:rFonts w:hint="eastAsia" w:ascii="宋体" w:hAnsi="Times New Roman" w:eastAsia="宋体"/>
        <w:b w:val="0"/>
        <w:i w:val="0"/>
        <w:sz w:val="24"/>
      </w:rPr>
    </w:lvl>
    <w:lvl w:ilvl="5" w:tentative="0">
      <w:start w:val="1"/>
      <w:numFmt w:val="decimal"/>
      <w:pStyle w:val="108"/>
      <w:suff w:val="nothing"/>
      <w:lvlText w:val="%1%2.%3.%4.%5.%6　"/>
      <w:lvlJc w:val="left"/>
      <w:pPr>
        <w:ind w:left="0" w:firstLine="0"/>
      </w:pPr>
      <w:rPr>
        <w:rFonts w:hint="eastAsia" w:ascii="黑体" w:hAnsi="Times New Roman" w:eastAsia="黑体"/>
        <w:b w:val="0"/>
        <w:i w:val="0"/>
        <w:sz w:val="21"/>
      </w:rPr>
    </w:lvl>
    <w:lvl w:ilvl="6" w:tentative="0">
      <w:start w:val="1"/>
      <w:numFmt w:val="decimal"/>
      <w:pStyle w:val="10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10">
    <w:nsid w:val="7E0B4C0A"/>
    <w:multiLevelType w:val="multilevel"/>
    <w:tmpl w:val="7E0B4C0A"/>
    <w:lvl w:ilvl="0" w:tentative="0">
      <w:start w:val="1"/>
      <w:numFmt w:val="decimal"/>
      <w:pStyle w:val="11"/>
      <w:lvlText w:val="A.2.%1"/>
      <w:lvlJc w:val="left"/>
      <w:pPr>
        <w:tabs>
          <w:tab w:val="left" w:pos="720"/>
        </w:tabs>
        <w:ind w:left="567" w:hanging="567"/>
      </w:pPr>
      <w:rPr>
        <w:rFonts w:hint="eastAsia" w:ascii="宋体" w:hAnsi="宋体" w:eastAsia="宋体"/>
        <w:sz w:val="24"/>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ZhNDQ1Y2M0N2M2ZDlmMWI2MDVjODU3NGIwYzExYTIifQ=="/>
  </w:docVars>
  <w:rsids>
    <w:rsidRoot w:val="00172A27"/>
    <w:rsid w:val="000527C6"/>
    <w:rsid w:val="000722C8"/>
    <w:rsid w:val="000D39C4"/>
    <w:rsid w:val="000F6CC1"/>
    <w:rsid w:val="001531F3"/>
    <w:rsid w:val="00162402"/>
    <w:rsid w:val="0017062B"/>
    <w:rsid w:val="00172A27"/>
    <w:rsid w:val="001D23CE"/>
    <w:rsid w:val="001E122A"/>
    <w:rsid w:val="002464DA"/>
    <w:rsid w:val="002B4765"/>
    <w:rsid w:val="00394156"/>
    <w:rsid w:val="003C3A34"/>
    <w:rsid w:val="004556E7"/>
    <w:rsid w:val="004A0ABA"/>
    <w:rsid w:val="005917FF"/>
    <w:rsid w:val="006B258A"/>
    <w:rsid w:val="006B31C3"/>
    <w:rsid w:val="00710315"/>
    <w:rsid w:val="007547FE"/>
    <w:rsid w:val="00763C45"/>
    <w:rsid w:val="00781E82"/>
    <w:rsid w:val="00781FB4"/>
    <w:rsid w:val="007C581C"/>
    <w:rsid w:val="00933D4E"/>
    <w:rsid w:val="00940E3D"/>
    <w:rsid w:val="009C00E9"/>
    <w:rsid w:val="009D5026"/>
    <w:rsid w:val="00A50DB0"/>
    <w:rsid w:val="00A836AF"/>
    <w:rsid w:val="00A97989"/>
    <w:rsid w:val="00AF255A"/>
    <w:rsid w:val="00C642AC"/>
    <w:rsid w:val="00C90C08"/>
    <w:rsid w:val="00C979B2"/>
    <w:rsid w:val="00CC337C"/>
    <w:rsid w:val="00D06547"/>
    <w:rsid w:val="00D70C6C"/>
    <w:rsid w:val="00DE26FB"/>
    <w:rsid w:val="00DE2971"/>
    <w:rsid w:val="00DE530E"/>
    <w:rsid w:val="00E07FFC"/>
    <w:rsid w:val="00E6379D"/>
    <w:rsid w:val="00E6403A"/>
    <w:rsid w:val="00EB1C84"/>
    <w:rsid w:val="00EE7569"/>
    <w:rsid w:val="00F13FF6"/>
    <w:rsid w:val="00F26FCD"/>
    <w:rsid w:val="00FB4DA2"/>
    <w:rsid w:val="01436B2A"/>
    <w:rsid w:val="01521C8D"/>
    <w:rsid w:val="01F80A87"/>
    <w:rsid w:val="02522044"/>
    <w:rsid w:val="025E4059"/>
    <w:rsid w:val="027A5940"/>
    <w:rsid w:val="036139F6"/>
    <w:rsid w:val="036F5E48"/>
    <w:rsid w:val="03942A31"/>
    <w:rsid w:val="045439B3"/>
    <w:rsid w:val="05797830"/>
    <w:rsid w:val="05A625A8"/>
    <w:rsid w:val="05C3315A"/>
    <w:rsid w:val="05EA4B8A"/>
    <w:rsid w:val="060C68AF"/>
    <w:rsid w:val="06DA69AD"/>
    <w:rsid w:val="06E67100"/>
    <w:rsid w:val="0732424B"/>
    <w:rsid w:val="07726BE5"/>
    <w:rsid w:val="07794418"/>
    <w:rsid w:val="08B651EC"/>
    <w:rsid w:val="08C6368D"/>
    <w:rsid w:val="0953523D"/>
    <w:rsid w:val="096A6D80"/>
    <w:rsid w:val="09AB63DF"/>
    <w:rsid w:val="09E35B78"/>
    <w:rsid w:val="09F204B1"/>
    <w:rsid w:val="0A4F2E9A"/>
    <w:rsid w:val="0A5D1DCF"/>
    <w:rsid w:val="0A8530D4"/>
    <w:rsid w:val="0AF10769"/>
    <w:rsid w:val="0C474AE5"/>
    <w:rsid w:val="0D556D8D"/>
    <w:rsid w:val="0D6F25A2"/>
    <w:rsid w:val="0DD00751"/>
    <w:rsid w:val="0EA007A2"/>
    <w:rsid w:val="0F865924"/>
    <w:rsid w:val="10A047C3"/>
    <w:rsid w:val="10B14C22"/>
    <w:rsid w:val="10D97CD5"/>
    <w:rsid w:val="11541732"/>
    <w:rsid w:val="118538E2"/>
    <w:rsid w:val="11D72467"/>
    <w:rsid w:val="12582E7C"/>
    <w:rsid w:val="12791770"/>
    <w:rsid w:val="12F86B39"/>
    <w:rsid w:val="13BF1404"/>
    <w:rsid w:val="14C173FE"/>
    <w:rsid w:val="14E05AD6"/>
    <w:rsid w:val="14F41582"/>
    <w:rsid w:val="166C5454"/>
    <w:rsid w:val="175B1444"/>
    <w:rsid w:val="18107953"/>
    <w:rsid w:val="181D494B"/>
    <w:rsid w:val="1890511D"/>
    <w:rsid w:val="18E224B7"/>
    <w:rsid w:val="18F338FE"/>
    <w:rsid w:val="192B3098"/>
    <w:rsid w:val="19793E03"/>
    <w:rsid w:val="1AB377E9"/>
    <w:rsid w:val="1ADA2FC8"/>
    <w:rsid w:val="1AE41750"/>
    <w:rsid w:val="1AE43B4E"/>
    <w:rsid w:val="1AEE25CF"/>
    <w:rsid w:val="1B3F5CE6"/>
    <w:rsid w:val="1B5A1A13"/>
    <w:rsid w:val="1BC85FA4"/>
    <w:rsid w:val="1BE65FD0"/>
    <w:rsid w:val="1C0E2F29"/>
    <w:rsid w:val="1C4D7DB5"/>
    <w:rsid w:val="1C5432D4"/>
    <w:rsid w:val="1C84143D"/>
    <w:rsid w:val="1DAA3396"/>
    <w:rsid w:val="1E2C0B70"/>
    <w:rsid w:val="1E50563C"/>
    <w:rsid w:val="1F745799"/>
    <w:rsid w:val="1F7F7C9A"/>
    <w:rsid w:val="1FDE2C12"/>
    <w:rsid w:val="20237CF5"/>
    <w:rsid w:val="204A64FA"/>
    <w:rsid w:val="2086400C"/>
    <w:rsid w:val="20B174A2"/>
    <w:rsid w:val="211B07CF"/>
    <w:rsid w:val="211F7986"/>
    <w:rsid w:val="21313216"/>
    <w:rsid w:val="21421393"/>
    <w:rsid w:val="2153128C"/>
    <w:rsid w:val="22A53EBB"/>
    <w:rsid w:val="22DB78DD"/>
    <w:rsid w:val="23541AF4"/>
    <w:rsid w:val="239D4B92"/>
    <w:rsid w:val="23A45F21"/>
    <w:rsid w:val="240E5F29"/>
    <w:rsid w:val="241D144D"/>
    <w:rsid w:val="24F829C8"/>
    <w:rsid w:val="24FE7EC9"/>
    <w:rsid w:val="250C6474"/>
    <w:rsid w:val="258D6706"/>
    <w:rsid w:val="25E235FF"/>
    <w:rsid w:val="261C4494"/>
    <w:rsid w:val="264E003E"/>
    <w:rsid w:val="265A42A9"/>
    <w:rsid w:val="267728FE"/>
    <w:rsid w:val="26773DC1"/>
    <w:rsid w:val="27934C2A"/>
    <w:rsid w:val="27A110F5"/>
    <w:rsid w:val="28012B37"/>
    <w:rsid w:val="298C1E85"/>
    <w:rsid w:val="2A842608"/>
    <w:rsid w:val="2AEA05DB"/>
    <w:rsid w:val="2AF320D4"/>
    <w:rsid w:val="2AF459E0"/>
    <w:rsid w:val="2AFC6642"/>
    <w:rsid w:val="2C6B5358"/>
    <w:rsid w:val="2CAF72E3"/>
    <w:rsid w:val="2D095047"/>
    <w:rsid w:val="2DCF003E"/>
    <w:rsid w:val="2E123126"/>
    <w:rsid w:val="2E647C32"/>
    <w:rsid w:val="2EB84E21"/>
    <w:rsid w:val="30890978"/>
    <w:rsid w:val="314B4FB7"/>
    <w:rsid w:val="322F1D18"/>
    <w:rsid w:val="32484000"/>
    <w:rsid w:val="329E4165"/>
    <w:rsid w:val="334868C9"/>
    <w:rsid w:val="33E5680D"/>
    <w:rsid w:val="340547BA"/>
    <w:rsid w:val="348E47AF"/>
    <w:rsid w:val="34BA1A48"/>
    <w:rsid w:val="35FA0BDD"/>
    <w:rsid w:val="36104FF7"/>
    <w:rsid w:val="362F3A74"/>
    <w:rsid w:val="36637EBD"/>
    <w:rsid w:val="378A4CDF"/>
    <w:rsid w:val="37BB5E2D"/>
    <w:rsid w:val="38C8225A"/>
    <w:rsid w:val="38CA0B65"/>
    <w:rsid w:val="390A2872"/>
    <w:rsid w:val="39BC591B"/>
    <w:rsid w:val="39C46EC5"/>
    <w:rsid w:val="39FA28E7"/>
    <w:rsid w:val="3A125E82"/>
    <w:rsid w:val="3A5F274A"/>
    <w:rsid w:val="3B133C60"/>
    <w:rsid w:val="3B4B659B"/>
    <w:rsid w:val="3B5F50F7"/>
    <w:rsid w:val="3C051506"/>
    <w:rsid w:val="3C5A6F04"/>
    <w:rsid w:val="3CFE449C"/>
    <w:rsid w:val="3D841332"/>
    <w:rsid w:val="3DEE62BF"/>
    <w:rsid w:val="3E4610DE"/>
    <w:rsid w:val="3E725142"/>
    <w:rsid w:val="3E98414E"/>
    <w:rsid w:val="3F583780"/>
    <w:rsid w:val="3FBE7F13"/>
    <w:rsid w:val="40175FA1"/>
    <w:rsid w:val="41056899"/>
    <w:rsid w:val="41BD0482"/>
    <w:rsid w:val="42A83CBD"/>
    <w:rsid w:val="434019E2"/>
    <w:rsid w:val="43413334"/>
    <w:rsid w:val="443609BF"/>
    <w:rsid w:val="445A530E"/>
    <w:rsid w:val="445B2F0D"/>
    <w:rsid w:val="457B0D80"/>
    <w:rsid w:val="45B1505C"/>
    <w:rsid w:val="4678706D"/>
    <w:rsid w:val="46DF6973"/>
    <w:rsid w:val="473212EC"/>
    <w:rsid w:val="473552F5"/>
    <w:rsid w:val="473E02B7"/>
    <w:rsid w:val="47A3636C"/>
    <w:rsid w:val="48210086"/>
    <w:rsid w:val="48627FD5"/>
    <w:rsid w:val="486D77DF"/>
    <w:rsid w:val="493059DD"/>
    <w:rsid w:val="49A10689"/>
    <w:rsid w:val="4A270828"/>
    <w:rsid w:val="4AF64A04"/>
    <w:rsid w:val="4AFB201B"/>
    <w:rsid w:val="4BDA6C27"/>
    <w:rsid w:val="4C53173A"/>
    <w:rsid w:val="4D275349"/>
    <w:rsid w:val="4D69470F"/>
    <w:rsid w:val="4E1512C0"/>
    <w:rsid w:val="4E9B79D7"/>
    <w:rsid w:val="4EA4573C"/>
    <w:rsid w:val="4F8F441C"/>
    <w:rsid w:val="4FD712A8"/>
    <w:rsid w:val="50743E4F"/>
    <w:rsid w:val="507F724A"/>
    <w:rsid w:val="509E1819"/>
    <w:rsid w:val="50B057F0"/>
    <w:rsid w:val="51944BC6"/>
    <w:rsid w:val="52097713"/>
    <w:rsid w:val="52C0677E"/>
    <w:rsid w:val="530028C4"/>
    <w:rsid w:val="534408A2"/>
    <w:rsid w:val="53B8319F"/>
    <w:rsid w:val="53C3529E"/>
    <w:rsid w:val="542E16B3"/>
    <w:rsid w:val="550578A0"/>
    <w:rsid w:val="555A3408"/>
    <w:rsid w:val="55C40E60"/>
    <w:rsid w:val="56016AFE"/>
    <w:rsid w:val="561A1EEF"/>
    <w:rsid w:val="567E15AC"/>
    <w:rsid w:val="56951575"/>
    <w:rsid w:val="56FE536D"/>
    <w:rsid w:val="57C00874"/>
    <w:rsid w:val="585A4825"/>
    <w:rsid w:val="58C779E0"/>
    <w:rsid w:val="591744C4"/>
    <w:rsid w:val="59253085"/>
    <w:rsid w:val="596D0588"/>
    <w:rsid w:val="5AB3646E"/>
    <w:rsid w:val="5B6D0D13"/>
    <w:rsid w:val="5BA54009"/>
    <w:rsid w:val="5C064498"/>
    <w:rsid w:val="5DF47E0F"/>
    <w:rsid w:val="5EAC1B52"/>
    <w:rsid w:val="602B103B"/>
    <w:rsid w:val="605C4EFD"/>
    <w:rsid w:val="607E3B9E"/>
    <w:rsid w:val="610C5AE7"/>
    <w:rsid w:val="610E4061"/>
    <w:rsid w:val="61215C6A"/>
    <w:rsid w:val="61646714"/>
    <w:rsid w:val="622639C9"/>
    <w:rsid w:val="62562501"/>
    <w:rsid w:val="62F45876"/>
    <w:rsid w:val="62F76DB1"/>
    <w:rsid w:val="631B3702"/>
    <w:rsid w:val="631F6D97"/>
    <w:rsid w:val="634F29FC"/>
    <w:rsid w:val="639860B9"/>
    <w:rsid w:val="63C90AB0"/>
    <w:rsid w:val="649A0721"/>
    <w:rsid w:val="64FD6C64"/>
    <w:rsid w:val="65290311"/>
    <w:rsid w:val="65384140"/>
    <w:rsid w:val="65AE5156"/>
    <w:rsid w:val="65DA6FA5"/>
    <w:rsid w:val="668138C4"/>
    <w:rsid w:val="66CF3ABA"/>
    <w:rsid w:val="671B0C1C"/>
    <w:rsid w:val="672506F4"/>
    <w:rsid w:val="67530DBD"/>
    <w:rsid w:val="678B055D"/>
    <w:rsid w:val="679445D1"/>
    <w:rsid w:val="67C27CF0"/>
    <w:rsid w:val="68AA6CC8"/>
    <w:rsid w:val="69270753"/>
    <w:rsid w:val="69A254FE"/>
    <w:rsid w:val="6A4A0F92"/>
    <w:rsid w:val="6A975464"/>
    <w:rsid w:val="6ADA35A3"/>
    <w:rsid w:val="6B0F6F70"/>
    <w:rsid w:val="6BA047ED"/>
    <w:rsid w:val="6C3F7B62"/>
    <w:rsid w:val="6C7443CC"/>
    <w:rsid w:val="6C785421"/>
    <w:rsid w:val="6D325918"/>
    <w:rsid w:val="6D5E0131"/>
    <w:rsid w:val="6DDC3A61"/>
    <w:rsid w:val="6DEC1F6B"/>
    <w:rsid w:val="6E1B45FE"/>
    <w:rsid w:val="6E6935BC"/>
    <w:rsid w:val="6EA6036C"/>
    <w:rsid w:val="6EBC36EB"/>
    <w:rsid w:val="6EFC213F"/>
    <w:rsid w:val="6F4B2CC1"/>
    <w:rsid w:val="6F642127"/>
    <w:rsid w:val="7019691C"/>
    <w:rsid w:val="704B4A6F"/>
    <w:rsid w:val="708F6BDE"/>
    <w:rsid w:val="70BC18E3"/>
    <w:rsid w:val="71752277"/>
    <w:rsid w:val="71E33685"/>
    <w:rsid w:val="72E43211"/>
    <w:rsid w:val="74D412DD"/>
    <w:rsid w:val="74E57755"/>
    <w:rsid w:val="75530B22"/>
    <w:rsid w:val="757A60AE"/>
    <w:rsid w:val="758F436B"/>
    <w:rsid w:val="75EF084A"/>
    <w:rsid w:val="7631384B"/>
    <w:rsid w:val="77A10319"/>
    <w:rsid w:val="78291A37"/>
    <w:rsid w:val="79202AC9"/>
    <w:rsid w:val="793622EC"/>
    <w:rsid w:val="79951901"/>
    <w:rsid w:val="79A035BD"/>
    <w:rsid w:val="79D34101"/>
    <w:rsid w:val="7A0C7A35"/>
    <w:rsid w:val="7A3E0998"/>
    <w:rsid w:val="7ABA409D"/>
    <w:rsid w:val="7B103006"/>
    <w:rsid w:val="7B272834"/>
    <w:rsid w:val="7BDD1E8F"/>
    <w:rsid w:val="7BE61DA8"/>
    <w:rsid w:val="7BE75B20"/>
    <w:rsid w:val="7C885555"/>
    <w:rsid w:val="7C976A59"/>
    <w:rsid w:val="7E002EC9"/>
    <w:rsid w:val="7EA30424"/>
    <w:rsid w:val="7EC65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39" w:semiHidden="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0" w:semiHidden="0" w:name="Normal Indent"/>
    <w:lsdException w:qFormat="1"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7"/>
    <w:qFormat/>
    <w:uiPriority w:val="0"/>
    <w:pPr>
      <w:keepNext/>
      <w:keepLines/>
      <w:spacing w:before="340" w:after="330" w:line="576" w:lineRule="auto"/>
      <w:outlineLvl w:val="0"/>
    </w:pPr>
    <w:rPr>
      <w:b/>
      <w:kern w:val="44"/>
      <w:sz w:val="44"/>
    </w:rPr>
  </w:style>
  <w:style w:type="paragraph" w:styleId="3">
    <w:name w:val="heading 2"/>
    <w:basedOn w:val="1"/>
    <w:next w:val="4"/>
    <w:link w:val="48"/>
    <w:qFormat/>
    <w:uiPriority w:val="0"/>
    <w:pPr>
      <w:keepNext/>
      <w:ind w:firstLine="1470"/>
      <w:outlineLvl w:val="1"/>
    </w:pPr>
    <w:rPr>
      <w:rFonts w:ascii="黑体" w:hAnsi="宋体" w:eastAsia="黑体" w:cs="宋体"/>
      <w:sz w:val="28"/>
    </w:rPr>
  </w:style>
  <w:style w:type="paragraph" w:styleId="5">
    <w:name w:val="heading 3"/>
    <w:basedOn w:val="1"/>
    <w:next w:val="4"/>
    <w:link w:val="49"/>
    <w:qFormat/>
    <w:uiPriority w:val="0"/>
    <w:pPr>
      <w:keepNext/>
      <w:outlineLvl w:val="2"/>
    </w:pPr>
    <w:rPr>
      <w:spacing w:val="20"/>
      <w:sz w:val="28"/>
    </w:rPr>
  </w:style>
  <w:style w:type="paragraph" w:styleId="6">
    <w:name w:val="heading 4"/>
    <w:basedOn w:val="1"/>
    <w:next w:val="1"/>
    <w:link w:val="50"/>
    <w:qFormat/>
    <w:uiPriority w:val="0"/>
    <w:pPr>
      <w:keepNext/>
      <w:widowControl/>
      <w:jc w:val="left"/>
      <w:outlineLvl w:val="3"/>
    </w:pPr>
    <w:rPr>
      <w:rFonts w:ascii="宋体" w:cs="宋体"/>
      <w:kern w:val="0"/>
      <w:sz w:val="24"/>
    </w:rPr>
  </w:style>
  <w:style w:type="paragraph" w:styleId="7">
    <w:name w:val="heading 5"/>
    <w:basedOn w:val="1"/>
    <w:next w:val="1"/>
    <w:link w:val="51"/>
    <w:qFormat/>
    <w:uiPriority w:val="0"/>
    <w:pPr>
      <w:keepNext/>
      <w:widowControl/>
      <w:jc w:val="left"/>
      <w:outlineLvl w:val="4"/>
    </w:pPr>
    <w:rPr>
      <w:rFonts w:ascii="宋体" w:cs="宋体"/>
      <w:kern w:val="0"/>
      <w:sz w:val="24"/>
    </w:rPr>
  </w:style>
  <w:style w:type="paragraph" w:styleId="8">
    <w:name w:val="heading 6"/>
    <w:basedOn w:val="1"/>
    <w:next w:val="1"/>
    <w:link w:val="52"/>
    <w:qFormat/>
    <w:uiPriority w:val="0"/>
    <w:pPr>
      <w:keepNext/>
      <w:widowControl/>
      <w:numPr>
        <w:ilvl w:val="0"/>
        <w:numId w:val="1"/>
      </w:numPr>
      <w:jc w:val="center"/>
      <w:outlineLvl w:val="5"/>
    </w:pPr>
    <w:rPr>
      <w:rFonts w:ascii="宋体" w:cs="宋体"/>
      <w:color w:val="000000"/>
      <w:kern w:val="0"/>
      <w:sz w:val="24"/>
    </w:rPr>
  </w:style>
  <w:style w:type="paragraph" w:styleId="9">
    <w:name w:val="heading 7"/>
    <w:basedOn w:val="1"/>
    <w:next w:val="1"/>
    <w:link w:val="53"/>
    <w:qFormat/>
    <w:uiPriority w:val="0"/>
    <w:pPr>
      <w:keepNext/>
      <w:widowControl/>
      <w:numPr>
        <w:ilvl w:val="0"/>
        <w:numId w:val="2"/>
      </w:numPr>
      <w:jc w:val="left"/>
      <w:outlineLvl w:val="6"/>
    </w:pPr>
    <w:rPr>
      <w:rFonts w:ascii="宋体"/>
      <w:kern w:val="0"/>
      <w:sz w:val="24"/>
    </w:rPr>
  </w:style>
  <w:style w:type="paragraph" w:styleId="10">
    <w:name w:val="heading 8"/>
    <w:basedOn w:val="1"/>
    <w:next w:val="1"/>
    <w:link w:val="54"/>
    <w:qFormat/>
    <w:uiPriority w:val="0"/>
    <w:pPr>
      <w:keepNext/>
      <w:widowControl/>
      <w:numPr>
        <w:ilvl w:val="0"/>
        <w:numId w:val="3"/>
      </w:numPr>
      <w:jc w:val="left"/>
      <w:outlineLvl w:val="7"/>
    </w:pPr>
    <w:rPr>
      <w:rFonts w:ascii="宋体"/>
      <w:kern w:val="0"/>
      <w:sz w:val="24"/>
    </w:rPr>
  </w:style>
  <w:style w:type="paragraph" w:styleId="11">
    <w:name w:val="heading 9"/>
    <w:basedOn w:val="1"/>
    <w:next w:val="1"/>
    <w:link w:val="55"/>
    <w:qFormat/>
    <w:uiPriority w:val="0"/>
    <w:pPr>
      <w:keepNext/>
      <w:widowControl/>
      <w:numPr>
        <w:ilvl w:val="0"/>
        <w:numId w:val="4"/>
      </w:numPr>
      <w:jc w:val="left"/>
      <w:outlineLvl w:val="8"/>
    </w:pPr>
    <w:rPr>
      <w:rFonts w:ascii="宋体"/>
      <w:kern w:val="0"/>
      <w:sz w:val="24"/>
    </w:rPr>
  </w:style>
  <w:style w:type="character" w:default="1" w:styleId="40">
    <w:name w:val="Default Paragraph Font"/>
    <w:semiHidden/>
    <w:unhideWhenUsed/>
    <w:uiPriority w:val="1"/>
  </w:style>
  <w:style w:type="table" w:default="1" w:styleId="38">
    <w:name w:val="Normal Table"/>
    <w:semiHidden/>
    <w:unhideWhenUsed/>
    <w:uiPriority w:val="99"/>
    <w:tblPr>
      <w:tblCellMar>
        <w:top w:w="0" w:type="dxa"/>
        <w:left w:w="108" w:type="dxa"/>
        <w:bottom w:w="0" w:type="dxa"/>
        <w:right w:w="108" w:type="dxa"/>
      </w:tblCellMar>
    </w:tblPr>
  </w:style>
  <w:style w:type="paragraph" w:styleId="4">
    <w:name w:val="Normal Indent"/>
    <w:basedOn w:val="1"/>
    <w:unhideWhenUsed/>
    <w:qFormat/>
    <w:uiPriority w:val="0"/>
    <w:pPr>
      <w:ind w:firstLine="420"/>
    </w:pPr>
  </w:style>
  <w:style w:type="paragraph" w:styleId="12">
    <w:name w:val="toc 7"/>
    <w:basedOn w:val="1"/>
    <w:next w:val="1"/>
    <w:semiHidden/>
    <w:qFormat/>
    <w:uiPriority w:val="0"/>
    <w:pPr>
      <w:ind w:left="1260"/>
      <w:jc w:val="left"/>
    </w:pPr>
    <w:rPr>
      <w:rFonts w:ascii="Calibri" w:hAnsi="Calibri" w:cs="Calibri"/>
      <w:sz w:val="18"/>
      <w:szCs w:val="18"/>
    </w:rPr>
  </w:style>
  <w:style w:type="paragraph" w:styleId="13">
    <w:name w:val="Document Map"/>
    <w:basedOn w:val="1"/>
    <w:link w:val="90"/>
    <w:qFormat/>
    <w:uiPriority w:val="0"/>
    <w:rPr>
      <w:rFonts w:ascii="宋体" w:cstheme="minorBidi"/>
      <w:sz w:val="18"/>
      <w:szCs w:val="18"/>
    </w:rPr>
  </w:style>
  <w:style w:type="paragraph" w:styleId="14">
    <w:name w:val="annotation text"/>
    <w:basedOn w:val="1"/>
    <w:link w:val="58"/>
    <w:unhideWhenUsed/>
    <w:qFormat/>
    <w:uiPriority w:val="0"/>
    <w:pPr>
      <w:jc w:val="left"/>
    </w:pPr>
    <w:rPr>
      <w:rFonts w:cstheme="minorBidi"/>
      <w:szCs w:val="24"/>
    </w:rPr>
  </w:style>
  <w:style w:type="paragraph" w:styleId="15">
    <w:name w:val="Body Text 3"/>
    <w:basedOn w:val="1"/>
    <w:link w:val="72"/>
    <w:unhideWhenUsed/>
    <w:qFormat/>
    <w:uiPriority w:val="0"/>
    <w:pPr>
      <w:numPr>
        <w:ilvl w:val="1"/>
        <w:numId w:val="5"/>
      </w:numPr>
      <w:jc w:val="left"/>
    </w:pPr>
    <w:rPr>
      <w:rFonts w:cstheme="minorBidi"/>
      <w:szCs w:val="22"/>
    </w:rPr>
  </w:style>
  <w:style w:type="paragraph" w:styleId="16">
    <w:name w:val="Body Text"/>
    <w:basedOn w:val="1"/>
    <w:link w:val="64"/>
    <w:unhideWhenUsed/>
    <w:qFormat/>
    <w:uiPriority w:val="0"/>
    <w:pPr>
      <w:spacing w:after="120"/>
    </w:pPr>
    <w:rPr>
      <w:rFonts w:cstheme="minorBidi"/>
      <w:szCs w:val="22"/>
    </w:rPr>
  </w:style>
  <w:style w:type="paragraph" w:styleId="17">
    <w:name w:val="Body Text Indent"/>
    <w:basedOn w:val="1"/>
    <w:link w:val="66"/>
    <w:unhideWhenUsed/>
    <w:qFormat/>
    <w:uiPriority w:val="0"/>
    <w:pPr>
      <w:ind w:firstLine="540"/>
    </w:pPr>
    <w:rPr>
      <w:rFonts w:cstheme="minorBidi"/>
      <w:sz w:val="24"/>
      <w:szCs w:val="22"/>
    </w:rPr>
  </w:style>
  <w:style w:type="paragraph" w:styleId="18">
    <w:name w:val="toc 5"/>
    <w:basedOn w:val="1"/>
    <w:next w:val="1"/>
    <w:qFormat/>
    <w:uiPriority w:val="39"/>
    <w:pPr>
      <w:ind w:left="840"/>
      <w:jc w:val="left"/>
    </w:pPr>
    <w:rPr>
      <w:rFonts w:ascii="Calibri" w:hAnsi="Calibri" w:cs="Calibri"/>
      <w:sz w:val="18"/>
      <w:szCs w:val="18"/>
    </w:rPr>
  </w:style>
  <w:style w:type="paragraph" w:styleId="19">
    <w:name w:val="toc 3"/>
    <w:basedOn w:val="1"/>
    <w:next w:val="1"/>
    <w:semiHidden/>
    <w:qFormat/>
    <w:uiPriority w:val="0"/>
    <w:pPr>
      <w:ind w:left="420"/>
      <w:jc w:val="left"/>
    </w:pPr>
    <w:rPr>
      <w:rFonts w:ascii="Calibri" w:hAnsi="Calibri" w:cs="Calibri"/>
      <w:i/>
      <w:iCs/>
      <w:sz w:val="20"/>
    </w:rPr>
  </w:style>
  <w:style w:type="paragraph" w:styleId="20">
    <w:name w:val="Plain Text"/>
    <w:basedOn w:val="1"/>
    <w:link w:val="78"/>
    <w:unhideWhenUsed/>
    <w:qFormat/>
    <w:uiPriority w:val="0"/>
    <w:rPr>
      <w:rFonts w:ascii="宋体" w:hAnsi="Courier New" w:cstheme="minorBidi"/>
      <w:szCs w:val="22"/>
    </w:rPr>
  </w:style>
  <w:style w:type="paragraph" w:styleId="21">
    <w:name w:val="toc 8"/>
    <w:basedOn w:val="1"/>
    <w:next w:val="1"/>
    <w:semiHidden/>
    <w:qFormat/>
    <w:uiPriority w:val="0"/>
    <w:pPr>
      <w:ind w:left="1470"/>
      <w:jc w:val="left"/>
    </w:pPr>
    <w:rPr>
      <w:rFonts w:ascii="Calibri" w:hAnsi="Calibri" w:cs="Calibri"/>
      <w:sz w:val="18"/>
      <w:szCs w:val="18"/>
    </w:rPr>
  </w:style>
  <w:style w:type="paragraph" w:styleId="22">
    <w:name w:val="Date"/>
    <w:basedOn w:val="1"/>
    <w:next w:val="1"/>
    <w:link w:val="68"/>
    <w:unhideWhenUsed/>
    <w:qFormat/>
    <w:uiPriority w:val="0"/>
    <w:rPr>
      <w:rFonts w:ascii="宋体" w:cstheme="minorBidi"/>
      <w:sz w:val="24"/>
      <w:szCs w:val="22"/>
    </w:rPr>
  </w:style>
  <w:style w:type="paragraph" w:styleId="23">
    <w:name w:val="Body Text Indent 2"/>
    <w:basedOn w:val="1"/>
    <w:link w:val="74"/>
    <w:unhideWhenUsed/>
    <w:qFormat/>
    <w:uiPriority w:val="0"/>
    <w:pPr>
      <w:tabs>
        <w:tab w:val="left" w:pos="3885"/>
      </w:tabs>
      <w:ind w:firstLine="480"/>
    </w:pPr>
    <w:rPr>
      <w:rFonts w:cstheme="minorBidi"/>
      <w:sz w:val="24"/>
      <w:szCs w:val="22"/>
    </w:rPr>
  </w:style>
  <w:style w:type="paragraph" w:styleId="24">
    <w:name w:val="Balloon Text"/>
    <w:basedOn w:val="1"/>
    <w:link w:val="82"/>
    <w:unhideWhenUsed/>
    <w:qFormat/>
    <w:uiPriority w:val="99"/>
    <w:rPr>
      <w:rFonts w:cstheme="minorBidi"/>
      <w:sz w:val="18"/>
      <w:szCs w:val="18"/>
    </w:rPr>
  </w:style>
  <w:style w:type="paragraph" w:styleId="25">
    <w:name w:val="footer"/>
    <w:basedOn w:val="1"/>
    <w:link w:val="62"/>
    <w:unhideWhenUsed/>
    <w:qFormat/>
    <w:uiPriority w:val="99"/>
    <w:pPr>
      <w:tabs>
        <w:tab w:val="center" w:pos="4153"/>
        <w:tab w:val="right" w:pos="8306"/>
      </w:tabs>
      <w:snapToGrid w:val="0"/>
      <w:jc w:val="left"/>
    </w:pPr>
    <w:rPr>
      <w:rFonts w:cstheme="minorBidi"/>
      <w:sz w:val="18"/>
      <w:szCs w:val="18"/>
    </w:rPr>
  </w:style>
  <w:style w:type="paragraph" w:styleId="26">
    <w:name w:val="header"/>
    <w:basedOn w:val="1"/>
    <w:link w:val="60"/>
    <w:unhideWhenUsed/>
    <w:qFormat/>
    <w:uiPriority w:val="99"/>
    <w:pPr>
      <w:pBdr>
        <w:bottom w:val="single" w:color="auto" w:sz="6" w:space="1"/>
      </w:pBdr>
      <w:tabs>
        <w:tab w:val="center" w:pos="4153"/>
        <w:tab w:val="right" w:pos="8306"/>
      </w:tabs>
      <w:snapToGrid w:val="0"/>
      <w:jc w:val="center"/>
    </w:pPr>
    <w:rPr>
      <w:rFonts w:cstheme="minorBidi"/>
      <w:sz w:val="18"/>
      <w:szCs w:val="18"/>
    </w:rPr>
  </w:style>
  <w:style w:type="paragraph" w:styleId="27">
    <w:name w:val="toc 1"/>
    <w:basedOn w:val="1"/>
    <w:next w:val="1"/>
    <w:unhideWhenUsed/>
    <w:qFormat/>
    <w:uiPriority w:val="39"/>
    <w:pPr>
      <w:spacing w:before="120" w:after="120"/>
      <w:jc w:val="left"/>
    </w:pPr>
    <w:rPr>
      <w:rFonts w:ascii="Calibri" w:hAnsi="Calibri" w:cs="Calibri"/>
      <w:b/>
      <w:bCs/>
      <w:caps/>
      <w:sz w:val="20"/>
    </w:rPr>
  </w:style>
  <w:style w:type="paragraph" w:styleId="28">
    <w:name w:val="toc 4"/>
    <w:basedOn w:val="1"/>
    <w:next w:val="1"/>
    <w:semiHidden/>
    <w:qFormat/>
    <w:uiPriority w:val="0"/>
    <w:pPr>
      <w:ind w:left="630"/>
      <w:jc w:val="left"/>
    </w:pPr>
    <w:rPr>
      <w:rFonts w:ascii="Calibri" w:hAnsi="Calibri" w:cs="Calibri"/>
      <w:sz w:val="18"/>
      <w:szCs w:val="18"/>
    </w:rPr>
  </w:style>
  <w:style w:type="paragraph" w:styleId="29">
    <w:name w:val="footnote text"/>
    <w:basedOn w:val="1"/>
    <w:link w:val="56"/>
    <w:unhideWhenUsed/>
    <w:qFormat/>
    <w:uiPriority w:val="0"/>
    <w:pPr>
      <w:snapToGrid w:val="0"/>
      <w:jc w:val="left"/>
    </w:pPr>
    <w:rPr>
      <w:rFonts w:cstheme="minorBidi"/>
      <w:sz w:val="18"/>
      <w:szCs w:val="18"/>
    </w:rPr>
  </w:style>
  <w:style w:type="paragraph" w:styleId="30">
    <w:name w:val="toc 6"/>
    <w:basedOn w:val="1"/>
    <w:next w:val="1"/>
    <w:semiHidden/>
    <w:qFormat/>
    <w:uiPriority w:val="0"/>
    <w:pPr>
      <w:ind w:left="1050"/>
      <w:jc w:val="left"/>
    </w:pPr>
    <w:rPr>
      <w:rFonts w:ascii="Calibri" w:hAnsi="Calibri" w:cs="Calibri"/>
      <w:sz w:val="18"/>
      <w:szCs w:val="18"/>
    </w:rPr>
  </w:style>
  <w:style w:type="paragraph" w:styleId="31">
    <w:name w:val="Body Text Indent 3"/>
    <w:basedOn w:val="1"/>
    <w:link w:val="76"/>
    <w:unhideWhenUsed/>
    <w:qFormat/>
    <w:uiPriority w:val="0"/>
    <w:pPr>
      <w:spacing w:after="120"/>
      <w:ind w:left="420" w:leftChars="200"/>
    </w:pPr>
    <w:rPr>
      <w:rFonts w:cstheme="minorBidi"/>
      <w:sz w:val="16"/>
      <w:szCs w:val="16"/>
    </w:rPr>
  </w:style>
  <w:style w:type="paragraph" w:styleId="32">
    <w:name w:val="table of figures"/>
    <w:basedOn w:val="1"/>
    <w:next w:val="1"/>
    <w:semiHidden/>
    <w:qFormat/>
    <w:uiPriority w:val="0"/>
    <w:pPr>
      <w:ind w:left="420" w:hanging="420"/>
      <w:jc w:val="left"/>
    </w:pPr>
    <w:rPr>
      <w:smallCaps/>
      <w:sz w:val="20"/>
    </w:rPr>
  </w:style>
  <w:style w:type="paragraph" w:styleId="33">
    <w:name w:val="toc 2"/>
    <w:basedOn w:val="1"/>
    <w:next w:val="1"/>
    <w:qFormat/>
    <w:uiPriority w:val="39"/>
    <w:pPr>
      <w:ind w:left="210"/>
      <w:jc w:val="left"/>
    </w:pPr>
    <w:rPr>
      <w:rFonts w:ascii="Calibri" w:hAnsi="Calibri" w:cs="Calibri"/>
      <w:smallCaps/>
      <w:sz w:val="20"/>
    </w:rPr>
  </w:style>
  <w:style w:type="paragraph" w:styleId="34">
    <w:name w:val="toc 9"/>
    <w:basedOn w:val="1"/>
    <w:next w:val="1"/>
    <w:semiHidden/>
    <w:qFormat/>
    <w:uiPriority w:val="0"/>
    <w:pPr>
      <w:ind w:left="1680"/>
      <w:jc w:val="left"/>
    </w:pPr>
    <w:rPr>
      <w:rFonts w:ascii="Calibri" w:hAnsi="Calibri" w:cs="Calibri"/>
      <w:sz w:val="18"/>
      <w:szCs w:val="18"/>
    </w:rPr>
  </w:style>
  <w:style w:type="paragraph" w:styleId="35">
    <w:name w:val="Body Text 2"/>
    <w:basedOn w:val="1"/>
    <w:link w:val="70"/>
    <w:unhideWhenUsed/>
    <w:qFormat/>
    <w:uiPriority w:val="0"/>
    <w:pPr>
      <w:numPr>
        <w:ilvl w:val="0"/>
        <w:numId w:val="5"/>
      </w:numPr>
      <w:spacing w:after="120" w:line="480" w:lineRule="auto"/>
    </w:pPr>
    <w:rPr>
      <w:rFonts w:cstheme="minorBidi"/>
      <w:szCs w:val="24"/>
    </w:rPr>
  </w:style>
  <w:style w:type="paragraph" w:styleId="36">
    <w:name w:val="Title"/>
    <w:basedOn w:val="1"/>
    <w:link w:val="129"/>
    <w:qFormat/>
    <w:uiPriority w:val="0"/>
    <w:pPr>
      <w:spacing w:before="240" w:after="60"/>
      <w:jc w:val="center"/>
      <w:outlineLvl w:val="0"/>
    </w:pPr>
    <w:rPr>
      <w:rFonts w:ascii="Arial" w:hAnsi="Arial" w:cs="Arial"/>
      <w:b/>
      <w:bCs/>
      <w:sz w:val="32"/>
      <w:szCs w:val="32"/>
    </w:rPr>
  </w:style>
  <w:style w:type="paragraph" w:styleId="37">
    <w:name w:val="annotation subject"/>
    <w:basedOn w:val="14"/>
    <w:next w:val="14"/>
    <w:link w:val="80"/>
    <w:unhideWhenUsed/>
    <w:qFormat/>
    <w:uiPriority w:val="0"/>
    <w:rPr>
      <w:b/>
      <w:bCs/>
    </w:rPr>
  </w:style>
  <w:style w:type="table" w:styleId="39">
    <w:name w:val="Table Grid"/>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uiPriority w:val="22"/>
    <w:rPr>
      <w:b/>
      <w:bCs/>
    </w:rPr>
  </w:style>
  <w:style w:type="character" w:styleId="42">
    <w:name w:val="page number"/>
    <w:basedOn w:val="40"/>
    <w:qFormat/>
    <w:uiPriority w:val="0"/>
  </w:style>
  <w:style w:type="character" w:styleId="43">
    <w:name w:val="Hyperlink"/>
    <w:qFormat/>
    <w:uiPriority w:val="99"/>
    <w:rPr>
      <w:color w:val="0000FF"/>
      <w:u w:val="single"/>
    </w:rPr>
  </w:style>
  <w:style w:type="character" w:styleId="44">
    <w:name w:val="annotation reference"/>
    <w:unhideWhenUsed/>
    <w:qFormat/>
    <w:uiPriority w:val="0"/>
    <w:rPr>
      <w:sz w:val="21"/>
      <w:szCs w:val="21"/>
    </w:rPr>
  </w:style>
  <w:style w:type="character" w:styleId="45">
    <w:name w:val="footnote reference"/>
    <w:semiHidden/>
    <w:qFormat/>
    <w:uiPriority w:val="0"/>
    <w:rPr>
      <w:vertAlign w:val="superscript"/>
    </w:rPr>
  </w:style>
  <w:style w:type="paragraph" w:customStyle="1" w:styleId="46">
    <w:name w:val="样式1"/>
    <w:basedOn w:val="1"/>
    <w:qFormat/>
    <w:uiPriority w:val="0"/>
    <w:rPr>
      <w:sz w:val="28"/>
      <w:szCs w:val="28"/>
    </w:rPr>
  </w:style>
  <w:style w:type="character" w:customStyle="1" w:styleId="47">
    <w:name w:val="标题 1 字符"/>
    <w:basedOn w:val="40"/>
    <w:link w:val="2"/>
    <w:qFormat/>
    <w:uiPriority w:val="0"/>
    <w:rPr>
      <w:rFonts w:cs="Times New Roman"/>
      <w:b/>
      <w:kern w:val="44"/>
      <w:sz w:val="44"/>
      <w:szCs w:val="20"/>
    </w:rPr>
  </w:style>
  <w:style w:type="character" w:customStyle="1" w:styleId="48">
    <w:name w:val="标题 2 字符"/>
    <w:basedOn w:val="40"/>
    <w:link w:val="3"/>
    <w:qFormat/>
    <w:uiPriority w:val="0"/>
    <w:rPr>
      <w:rFonts w:ascii="黑体" w:hAnsi="宋体" w:eastAsia="黑体" w:cs="宋体"/>
      <w:sz w:val="28"/>
      <w:szCs w:val="20"/>
    </w:rPr>
  </w:style>
  <w:style w:type="character" w:customStyle="1" w:styleId="49">
    <w:name w:val="标题 3 字符"/>
    <w:basedOn w:val="40"/>
    <w:link w:val="5"/>
    <w:qFormat/>
    <w:uiPriority w:val="0"/>
    <w:rPr>
      <w:rFonts w:cs="Times New Roman"/>
      <w:spacing w:val="20"/>
      <w:sz w:val="28"/>
      <w:szCs w:val="20"/>
    </w:rPr>
  </w:style>
  <w:style w:type="character" w:customStyle="1" w:styleId="50">
    <w:name w:val="标题 4 字符"/>
    <w:basedOn w:val="40"/>
    <w:link w:val="6"/>
    <w:qFormat/>
    <w:uiPriority w:val="0"/>
    <w:rPr>
      <w:rFonts w:ascii="宋体" w:cs="宋体"/>
      <w:kern w:val="0"/>
      <w:sz w:val="24"/>
      <w:szCs w:val="20"/>
    </w:rPr>
  </w:style>
  <w:style w:type="character" w:customStyle="1" w:styleId="51">
    <w:name w:val="标题 5 字符"/>
    <w:basedOn w:val="40"/>
    <w:link w:val="7"/>
    <w:qFormat/>
    <w:uiPriority w:val="0"/>
    <w:rPr>
      <w:rFonts w:ascii="宋体" w:cs="宋体"/>
      <w:kern w:val="0"/>
      <w:sz w:val="24"/>
      <w:szCs w:val="20"/>
    </w:rPr>
  </w:style>
  <w:style w:type="character" w:customStyle="1" w:styleId="52">
    <w:name w:val="标题 6 字符"/>
    <w:basedOn w:val="40"/>
    <w:link w:val="8"/>
    <w:qFormat/>
    <w:uiPriority w:val="0"/>
    <w:rPr>
      <w:rFonts w:ascii="宋体" w:cs="宋体"/>
      <w:color w:val="000000"/>
      <w:kern w:val="0"/>
      <w:sz w:val="24"/>
      <w:szCs w:val="20"/>
    </w:rPr>
  </w:style>
  <w:style w:type="character" w:customStyle="1" w:styleId="53">
    <w:name w:val="标题 7 字符"/>
    <w:basedOn w:val="40"/>
    <w:link w:val="9"/>
    <w:qFormat/>
    <w:uiPriority w:val="0"/>
    <w:rPr>
      <w:rFonts w:ascii="宋体" w:cs="Times New Roman"/>
      <w:kern w:val="0"/>
      <w:sz w:val="24"/>
      <w:szCs w:val="20"/>
    </w:rPr>
  </w:style>
  <w:style w:type="character" w:customStyle="1" w:styleId="54">
    <w:name w:val="标题 8 字符"/>
    <w:basedOn w:val="40"/>
    <w:link w:val="10"/>
    <w:qFormat/>
    <w:uiPriority w:val="0"/>
    <w:rPr>
      <w:rFonts w:ascii="宋体" w:cs="Times New Roman"/>
      <w:kern w:val="0"/>
      <w:sz w:val="24"/>
      <w:szCs w:val="20"/>
    </w:rPr>
  </w:style>
  <w:style w:type="character" w:customStyle="1" w:styleId="55">
    <w:name w:val="标题 9 字符"/>
    <w:basedOn w:val="40"/>
    <w:link w:val="11"/>
    <w:qFormat/>
    <w:uiPriority w:val="0"/>
    <w:rPr>
      <w:rFonts w:ascii="宋体" w:cs="Times New Roman"/>
      <w:kern w:val="0"/>
      <w:sz w:val="24"/>
      <w:szCs w:val="20"/>
    </w:rPr>
  </w:style>
  <w:style w:type="character" w:customStyle="1" w:styleId="56">
    <w:name w:val="脚注文本 字符"/>
    <w:link w:val="29"/>
    <w:qFormat/>
    <w:uiPriority w:val="0"/>
    <w:rPr>
      <w:sz w:val="18"/>
      <w:szCs w:val="18"/>
    </w:rPr>
  </w:style>
  <w:style w:type="character" w:customStyle="1" w:styleId="57">
    <w:name w:val="脚注文本 字符1"/>
    <w:basedOn w:val="40"/>
    <w:semiHidden/>
    <w:qFormat/>
    <w:uiPriority w:val="99"/>
    <w:rPr>
      <w:rFonts w:cs="Times New Roman"/>
      <w:sz w:val="18"/>
      <w:szCs w:val="18"/>
    </w:rPr>
  </w:style>
  <w:style w:type="character" w:customStyle="1" w:styleId="58">
    <w:name w:val="批注文字 字符"/>
    <w:link w:val="14"/>
    <w:qFormat/>
    <w:uiPriority w:val="0"/>
    <w:rPr>
      <w:szCs w:val="24"/>
    </w:rPr>
  </w:style>
  <w:style w:type="character" w:customStyle="1" w:styleId="59">
    <w:name w:val="批注文字 字符1"/>
    <w:basedOn w:val="40"/>
    <w:semiHidden/>
    <w:qFormat/>
    <w:uiPriority w:val="99"/>
    <w:rPr>
      <w:rFonts w:cs="Times New Roman"/>
      <w:szCs w:val="20"/>
    </w:rPr>
  </w:style>
  <w:style w:type="character" w:customStyle="1" w:styleId="60">
    <w:name w:val="页眉 字符"/>
    <w:link w:val="26"/>
    <w:qFormat/>
    <w:uiPriority w:val="99"/>
    <w:rPr>
      <w:sz w:val="18"/>
      <w:szCs w:val="18"/>
    </w:rPr>
  </w:style>
  <w:style w:type="character" w:customStyle="1" w:styleId="61">
    <w:name w:val="页眉 字符1"/>
    <w:basedOn w:val="40"/>
    <w:semiHidden/>
    <w:qFormat/>
    <w:uiPriority w:val="99"/>
    <w:rPr>
      <w:rFonts w:cs="Times New Roman"/>
      <w:sz w:val="18"/>
      <w:szCs w:val="18"/>
    </w:rPr>
  </w:style>
  <w:style w:type="character" w:customStyle="1" w:styleId="62">
    <w:name w:val="页脚 字符"/>
    <w:link w:val="25"/>
    <w:qFormat/>
    <w:uiPriority w:val="99"/>
    <w:rPr>
      <w:sz w:val="18"/>
      <w:szCs w:val="18"/>
    </w:rPr>
  </w:style>
  <w:style w:type="character" w:customStyle="1" w:styleId="63">
    <w:name w:val="页脚 字符1"/>
    <w:basedOn w:val="40"/>
    <w:semiHidden/>
    <w:qFormat/>
    <w:uiPriority w:val="99"/>
    <w:rPr>
      <w:rFonts w:cs="Times New Roman"/>
      <w:sz w:val="18"/>
      <w:szCs w:val="18"/>
    </w:rPr>
  </w:style>
  <w:style w:type="character" w:customStyle="1" w:styleId="64">
    <w:name w:val="正文文本 字符"/>
    <w:link w:val="16"/>
    <w:qFormat/>
    <w:uiPriority w:val="0"/>
  </w:style>
  <w:style w:type="character" w:customStyle="1" w:styleId="65">
    <w:name w:val="正文文本 字符1"/>
    <w:basedOn w:val="40"/>
    <w:semiHidden/>
    <w:qFormat/>
    <w:uiPriority w:val="99"/>
    <w:rPr>
      <w:rFonts w:cs="Times New Roman"/>
      <w:szCs w:val="20"/>
    </w:rPr>
  </w:style>
  <w:style w:type="character" w:customStyle="1" w:styleId="66">
    <w:name w:val="正文文本缩进 字符"/>
    <w:link w:val="17"/>
    <w:qFormat/>
    <w:uiPriority w:val="0"/>
    <w:rPr>
      <w:sz w:val="24"/>
    </w:rPr>
  </w:style>
  <w:style w:type="character" w:customStyle="1" w:styleId="67">
    <w:name w:val="正文文本缩进 字符1"/>
    <w:basedOn w:val="40"/>
    <w:semiHidden/>
    <w:qFormat/>
    <w:uiPriority w:val="99"/>
    <w:rPr>
      <w:rFonts w:cs="Times New Roman"/>
      <w:szCs w:val="20"/>
    </w:rPr>
  </w:style>
  <w:style w:type="character" w:customStyle="1" w:styleId="68">
    <w:name w:val="日期 字符"/>
    <w:link w:val="22"/>
    <w:qFormat/>
    <w:uiPriority w:val="0"/>
    <w:rPr>
      <w:rFonts w:ascii="宋体"/>
      <w:sz w:val="24"/>
    </w:rPr>
  </w:style>
  <w:style w:type="character" w:customStyle="1" w:styleId="69">
    <w:name w:val="日期 字符1"/>
    <w:basedOn w:val="40"/>
    <w:semiHidden/>
    <w:qFormat/>
    <w:uiPriority w:val="99"/>
    <w:rPr>
      <w:rFonts w:cs="Times New Roman"/>
      <w:szCs w:val="20"/>
    </w:rPr>
  </w:style>
  <w:style w:type="character" w:customStyle="1" w:styleId="70">
    <w:name w:val="正文文本 2 字符"/>
    <w:link w:val="35"/>
    <w:qFormat/>
    <w:uiPriority w:val="0"/>
    <w:rPr>
      <w:szCs w:val="24"/>
    </w:rPr>
  </w:style>
  <w:style w:type="character" w:customStyle="1" w:styleId="71">
    <w:name w:val="正文文本 2 字符1"/>
    <w:basedOn w:val="40"/>
    <w:semiHidden/>
    <w:qFormat/>
    <w:uiPriority w:val="99"/>
    <w:rPr>
      <w:rFonts w:cs="Times New Roman"/>
      <w:szCs w:val="20"/>
    </w:rPr>
  </w:style>
  <w:style w:type="character" w:customStyle="1" w:styleId="72">
    <w:name w:val="正文文本 3 字符"/>
    <w:link w:val="15"/>
    <w:qFormat/>
    <w:uiPriority w:val="0"/>
  </w:style>
  <w:style w:type="character" w:customStyle="1" w:styleId="73">
    <w:name w:val="正文文本 3 字符1"/>
    <w:basedOn w:val="40"/>
    <w:semiHidden/>
    <w:qFormat/>
    <w:uiPriority w:val="99"/>
    <w:rPr>
      <w:rFonts w:cs="Times New Roman"/>
      <w:sz w:val="16"/>
      <w:szCs w:val="16"/>
    </w:rPr>
  </w:style>
  <w:style w:type="character" w:customStyle="1" w:styleId="74">
    <w:name w:val="正文文本缩进 2 字符"/>
    <w:link w:val="23"/>
    <w:qFormat/>
    <w:uiPriority w:val="0"/>
    <w:rPr>
      <w:sz w:val="24"/>
    </w:rPr>
  </w:style>
  <w:style w:type="character" w:customStyle="1" w:styleId="75">
    <w:name w:val="正文文本缩进 2 字符1"/>
    <w:basedOn w:val="40"/>
    <w:semiHidden/>
    <w:qFormat/>
    <w:uiPriority w:val="99"/>
    <w:rPr>
      <w:rFonts w:cs="Times New Roman"/>
      <w:szCs w:val="20"/>
    </w:rPr>
  </w:style>
  <w:style w:type="character" w:customStyle="1" w:styleId="76">
    <w:name w:val="正文文本缩进 3 字符"/>
    <w:link w:val="31"/>
    <w:qFormat/>
    <w:uiPriority w:val="0"/>
    <w:rPr>
      <w:sz w:val="16"/>
      <w:szCs w:val="16"/>
    </w:rPr>
  </w:style>
  <w:style w:type="character" w:customStyle="1" w:styleId="77">
    <w:name w:val="正文文本缩进 3 字符1"/>
    <w:basedOn w:val="40"/>
    <w:semiHidden/>
    <w:qFormat/>
    <w:uiPriority w:val="99"/>
    <w:rPr>
      <w:rFonts w:cs="Times New Roman"/>
      <w:sz w:val="16"/>
      <w:szCs w:val="16"/>
    </w:rPr>
  </w:style>
  <w:style w:type="character" w:customStyle="1" w:styleId="78">
    <w:name w:val="纯文本 字符1"/>
    <w:link w:val="20"/>
    <w:qFormat/>
    <w:uiPriority w:val="0"/>
    <w:rPr>
      <w:rFonts w:ascii="宋体" w:hAnsi="Courier New"/>
    </w:rPr>
  </w:style>
  <w:style w:type="character" w:customStyle="1" w:styleId="79">
    <w:name w:val="纯文本 字符"/>
    <w:basedOn w:val="40"/>
    <w:qFormat/>
    <w:uiPriority w:val="99"/>
    <w:rPr>
      <w:rFonts w:hAnsi="Courier New" w:cs="Courier New" w:asciiTheme="minorEastAsia" w:eastAsiaTheme="minorEastAsia"/>
      <w:szCs w:val="20"/>
    </w:rPr>
  </w:style>
  <w:style w:type="character" w:customStyle="1" w:styleId="80">
    <w:name w:val="批注主题 字符"/>
    <w:link w:val="37"/>
    <w:qFormat/>
    <w:uiPriority w:val="0"/>
    <w:rPr>
      <w:b/>
      <w:bCs/>
      <w:szCs w:val="24"/>
    </w:rPr>
  </w:style>
  <w:style w:type="character" w:customStyle="1" w:styleId="81">
    <w:name w:val="批注主题 字符1"/>
    <w:basedOn w:val="59"/>
    <w:semiHidden/>
    <w:qFormat/>
    <w:uiPriority w:val="99"/>
    <w:rPr>
      <w:rFonts w:cs="Times New Roman"/>
      <w:b/>
      <w:bCs/>
      <w:szCs w:val="20"/>
    </w:rPr>
  </w:style>
  <w:style w:type="character" w:customStyle="1" w:styleId="82">
    <w:name w:val="批注框文本 字符"/>
    <w:link w:val="24"/>
    <w:qFormat/>
    <w:uiPriority w:val="99"/>
    <w:rPr>
      <w:sz w:val="18"/>
      <w:szCs w:val="18"/>
    </w:rPr>
  </w:style>
  <w:style w:type="character" w:customStyle="1" w:styleId="83">
    <w:name w:val="批注框文本 字符1"/>
    <w:basedOn w:val="40"/>
    <w:semiHidden/>
    <w:qFormat/>
    <w:uiPriority w:val="99"/>
    <w:rPr>
      <w:rFonts w:cs="Times New Roman"/>
      <w:sz w:val="18"/>
      <w:szCs w:val="18"/>
    </w:rPr>
  </w:style>
  <w:style w:type="character" w:customStyle="1" w:styleId="84">
    <w:name w:val="段 Char"/>
    <w:link w:val="85"/>
    <w:qFormat/>
    <w:locked/>
    <w:uiPriority w:val="0"/>
    <w:rPr>
      <w:rFonts w:ascii="宋体" w:hAnsi="宋体" w:eastAsia="Times New Roman"/>
    </w:rPr>
  </w:style>
  <w:style w:type="paragraph" w:customStyle="1" w:styleId="85">
    <w:name w:val="段"/>
    <w:link w:val="84"/>
    <w:qFormat/>
    <w:uiPriority w:val="0"/>
    <w:pPr>
      <w:autoSpaceDE w:val="0"/>
      <w:autoSpaceDN w:val="0"/>
      <w:ind w:firstLine="200" w:firstLineChars="200"/>
      <w:jc w:val="both"/>
    </w:pPr>
    <w:rPr>
      <w:rFonts w:ascii="宋体" w:hAnsi="宋体" w:eastAsia="Times New Roman" w:cstheme="minorBidi"/>
      <w:kern w:val="2"/>
      <w:sz w:val="21"/>
      <w:szCs w:val="22"/>
      <w:lang w:val="en-US" w:eastAsia="zh-CN" w:bidi="ar-SA"/>
    </w:rPr>
  </w:style>
  <w:style w:type="character" w:customStyle="1" w:styleId="86">
    <w:name w:val="章标题 Char"/>
    <w:link w:val="87"/>
    <w:qFormat/>
    <w:uiPriority w:val="0"/>
    <w:rPr>
      <w:rFonts w:ascii="黑体" w:eastAsia="黑体"/>
    </w:rPr>
  </w:style>
  <w:style w:type="paragraph" w:customStyle="1" w:styleId="87">
    <w:name w:val="章标题"/>
    <w:next w:val="1"/>
    <w:link w:val="86"/>
    <w:qFormat/>
    <w:uiPriority w:val="0"/>
    <w:pPr>
      <w:numPr>
        <w:ilvl w:val="3"/>
        <w:numId w:val="5"/>
      </w:numPr>
      <w:spacing w:beforeLines="50" w:afterLines="50"/>
      <w:jc w:val="both"/>
      <w:outlineLvl w:val="1"/>
    </w:pPr>
    <w:rPr>
      <w:rFonts w:ascii="黑体" w:hAnsi="Times New Roman" w:eastAsia="黑体" w:cstheme="minorBidi"/>
      <w:kern w:val="2"/>
      <w:sz w:val="21"/>
      <w:szCs w:val="22"/>
      <w:lang w:val="en-US" w:eastAsia="zh-CN" w:bidi="ar-SA"/>
    </w:rPr>
  </w:style>
  <w:style w:type="character" w:customStyle="1" w:styleId="88">
    <w:name w:val="highlight1"/>
    <w:qFormat/>
    <w:uiPriority w:val="0"/>
    <w:rPr>
      <w:shd w:val="clear" w:color="auto" w:fill="D6EBF9"/>
    </w:rPr>
  </w:style>
  <w:style w:type="character" w:customStyle="1" w:styleId="89">
    <w:name w:val="样式 附录一级条标题 + 四号1 Char"/>
    <w:qFormat/>
    <w:uiPriority w:val="0"/>
    <w:rPr>
      <w:rFonts w:hint="eastAsia" w:ascii="黑体" w:eastAsia="黑体"/>
      <w:kern w:val="21"/>
      <w:sz w:val="21"/>
      <w:lang w:val="en-US" w:eastAsia="zh-CN" w:bidi="ar-SA"/>
    </w:rPr>
  </w:style>
  <w:style w:type="character" w:customStyle="1" w:styleId="90">
    <w:name w:val="文档结构图 字符"/>
    <w:link w:val="13"/>
    <w:qFormat/>
    <w:uiPriority w:val="0"/>
    <w:rPr>
      <w:rFonts w:ascii="宋体"/>
      <w:sz w:val="18"/>
      <w:szCs w:val="18"/>
    </w:rPr>
  </w:style>
  <w:style w:type="character" w:customStyle="1" w:styleId="91">
    <w:name w:val="文档结构图 字符1"/>
    <w:basedOn w:val="40"/>
    <w:semiHidden/>
    <w:qFormat/>
    <w:uiPriority w:val="99"/>
    <w:rPr>
      <w:rFonts w:ascii="Microsoft YaHei UI" w:eastAsia="Microsoft YaHei UI" w:cs="Times New Roman"/>
      <w:sz w:val="18"/>
      <w:szCs w:val="18"/>
    </w:rPr>
  </w:style>
  <w:style w:type="paragraph" w:customStyle="1" w:styleId="92">
    <w:name w:val="条文脚注"/>
    <w:basedOn w:val="29"/>
    <w:qFormat/>
    <w:uiPriority w:val="0"/>
    <w:pPr>
      <w:ind w:left="780" w:leftChars="200" w:hanging="360" w:hangingChars="200"/>
      <w:jc w:val="both"/>
    </w:pPr>
    <w:rPr>
      <w:rFonts w:ascii="宋体"/>
    </w:rPr>
  </w:style>
  <w:style w:type="paragraph" w:customStyle="1" w:styleId="93">
    <w:name w:val="二级条标题"/>
    <w:basedOn w:val="94"/>
    <w:next w:val="1"/>
    <w:qFormat/>
    <w:uiPriority w:val="0"/>
    <w:pPr>
      <w:ind w:left="0"/>
      <w:outlineLvl w:val="3"/>
    </w:pPr>
  </w:style>
  <w:style w:type="paragraph" w:customStyle="1" w:styleId="94">
    <w:name w:val="一级条标题"/>
    <w:basedOn w:val="87"/>
    <w:next w:val="1"/>
    <w:qFormat/>
    <w:uiPriority w:val="0"/>
    <w:pPr>
      <w:numPr>
        <w:ilvl w:val="0"/>
        <w:numId w:val="0"/>
      </w:numPr>
      <w:spacing w:beforeLines="0" w:afterLines="0"/>
      <w:ind w:left="360"/>
      <w:outlineLvl w:val="2"/>
    </w:pPr>
  </w:style>
  <w:style w:type="paragraph" w:customStyle="1" w:styleId="95">
    <w:name w:val="Char Char1 Char Char Char Char Char Char Char"/>
    <w:basedOn w:val="1"/>
    <w:qFormat/>
    <w:uiPriority w:val="0"/>
    <w:pPr>
      <w:widowControl/>
      <w:spacing w:after="160" w:line="240" w:lineRule="exact"/>
      <w:jc w:val="left"/>
    </w:pPr>
    <w:rPr>
      <w:rFonts w:ascii="Tahoma" w:hAnsi="Tahoma" w:eastAsia="Times New Roman" w:cs="Tahoma"/>
      <w:kern w:val="0"/>
      <w:sz w:val="20"/>
      <w:lang w:eastAsia="en-US"/>
    </w:rPr>
  </w:style>
  <w:style w:type="paragraph" w:customStyle="1" w:styleId="96">
    <w:name w:val="三级条标题"/>
    <w:basedOn w:val="93"/>
    <w:next w:val="1"/>
    <w:qFormat/>
    <w:uiPriority w:val="0"/>
    <w:pPr>
      <w:numPr>
        <w:ilvl w:val="2"/>
      </w:numPr>
      <w:outlineLvl w:val="4"/>
    </w:pPr>
  </w:style>
  <w:style w:type="paragraph" w:customStyle="1" w:styleId="97">
    <w:name w:val="tgt1"/>
    <w:basedOn w:val="1"/>
    <w:qFormat/>
    <w:uiPriority w:val="0"/>
    <w:pPr>
      <w:widowControl/>
      <w:spacing w:after="150"/>
      <w:jc w:val="left"/>
    </w:pPr>
    <w:rPr>
      <w:rFonts w:ascii="宋体" w:hAnsi="宋体" w:cs="宋体"/>
      <w:kern w:val="0"/>
      <w:sz w:val="24"/>
      <w:szCs w:val="24"/>
    </w:rPr>
  </w:style>
  <w:style w:type="paragraph" w:customStyle="1" w:styleId="98">
    <w:name w:val="附录一级条标题"/>
    <w:basedOn w:val="99"/>
    <w:next w:val="85"/>
    <w:qFormat/>
    <w:uiPriority w:val="0"/>
    <w:pPr>
      <w:numPr>
        <w:ilvl w:val="0"/>
      </w:numPr>
      <w:autoSpaceDN w:val="0"/>
      <w:spacing w:beforeLines="0" w:afterLines="0"/>
      <w:ind w:left="735" w:firstLine="0"/>
      <w:outlineLvl w:val="2"/>
    </w:pPr>
  </w:style>
  <w:style w:type="paragraph" w:customStyle="1" w:styleId="99">
    <w:name w:val="附录章标题"/>
    <w:next w:val="85"/>
    <w:qFormat/>
    <w:uiPriority w:val="0"/>
    <w:pPr>
      <w:numPr>
        <w:ilvl w:val="3"/>
        <w:numId w:val="6"/>
      </w:numPr>
      <w:wordWrap w:val="0"/>
      <w:overflowPunct w:val="0"/>
      <w:autoSpaceDE w:val="0"/>
      <w:spacing w:beforeLines="50" w:afterLines="50"/>
      <w:jc w:val="both"/>
      <w:outlineLvl w:val="1"/>
    </w:pPr>
    <w:rPr>
      <w:rFonts w:ascii="黑体" w:hAnsi="Times New Roman" w:eastAsia="黑体" w:cs="Times New Roman"/>
      <w:kern w:val="21"/>
      <w:sz w:val="21"/>
      <w:lang w:val="en-US" w:eastAsia="zh-CN" w:bidi="ar-SA"/>
    </w:rPr>
  </w:style>
  <w:style w:type="paragraph" w:customStyle="1" w:styleId="100">
    <w:name w:val="五级条标题"/>
    <w:basedOn w:val="101"/>
    <w:next w:val="1"/>
    <w:qFormat/>
    <w:uiPriority w:val="0"/>
    <w:pPr>
      <w:numPr>
        <w:ilvl w:val="4"/>
      </w:numPr>
      <w:outlineLvl w:val="6"/>
    </w:pPr>
  </w:style>
  <w:style w:type="paragraph" w:customStyle="1" w:styleId="101">
    <w:name w:val="四级条标题"/>
    <w:basedOn w:val="96"/>
    <w:next w:val="1"/>
    <w:qFormat/>
    <w:uiPriority w:val="0"/>
    <w:pPr>
      <w:numPr>
        <w:ilvl w:val="3"/>
      </w:numPr>
      <w:outlineLvl w:val="5"/>
    </w:pPr>
  </w:style>
  <w:style w:type="paragraph" w:customStyle="1" w:styleId="102">
    <w:name w:val="前言、引言标题"/>
    <w:next w:val="1"/>
    <w:qFormat/>
    <w:uiPriority w:val="0"/>
    <w:pPr>
      <w:numPr>
        <w:ilvl w:val="2"/>
        <w:numId w:val="5"/>
      </w:numPr>
      <w:shd w:val="clear" w:color="auto" w:fill="FFFFFF"/>
      <w:spacing w:before="640" w:after="560"/>
      <w:jc w:val="center"/>
      <w:outlineLvl w:val="0"/>
    </w:pPr>
    <w:rPr>
      <w:rFonts w:ascii="黑体" w:hAnsi="Times New Roman" w:eastAsia="黑体" w:cs="Times New Roman"/>
      <w:sz w:val="32"/>
      <w:lang w:val="en-US" w:eastAsia="zh-CN" w:bidi="ar-SA"/>
    </w:rPr>
  </w:style>
  <w:style w:type="paragraph" w:customStyle="1" w:styleId="103">
    <w:name w:val="字母编号列项（一级）"/>
    <w:qFormat/>
    <w:uiPriority w:val="0"/>
    <w:pPr>
      <w:numPr>
        <w:ilvl w:val="0"/>
        <w:numId w:val="7"/>
      </w:numPr>
      <w:ind w:left="840" w:leftChars="200" w:hanging="420" w:hangingChars="200"/>
      <w:jc w:val="both"/>
    </w:pPr>
    <w:rPr>
      <w:rFonts w:ascii="宋体" w:hAnsi="Times New Roman" w:eastAsia="宋体" w:cs="Times New Roman"/>
      <w:sz w:val="21"/>
      <w:lang w:val="en-US" w:eastAsia="zh-CN" w:bidi="ar-SA"/>
    </w:rPr>
  </w:style>
  <w:style w:type="paragraph" w:customStyle="1" w:styleId="104">
    <w:name w:val="附录二级条标题"/>
    <w:basedOn w:val="98"/>
    <w:next w:val="85"/>
    <w:qFormat/>
    <w:uiPriority w:val="0"/>
    <w:pPr>
      <w:numPr>
        <w:ilvl w:val="1"/>
      </w:numPr>
      <w:outlineLvl w:val="3"/>
    </w:pPr>
  </w:style>
  <w:style w:type="paragraph" w:customStyle="1" w:styleId="105">
    <w:name w:val="附录三级条标题"/>
    <w:basedOn w:val="104"/>
    <w:next w:val="85"/>
    <w:qFormat/>
    <w:uiPriority w:val="0"/>
    <w:pPr>
      <w:numPr>
        <w:ilvl w:val="2"/>
      </w:numPr>
      <w:ind w:left="0"/>
      <w:outlineLvl w:val="4"/>
    </w:pPr>
  </w:style>
  <w:style w:type="paragraph" w:customStyle="1" w:styleId="106">
    <w:name w:val="正文表标题"/>
    <w:next w:val="85"/>
    <w:qFormat/>
    <w:uiPriority w:val="0"/>
    <w:pPr>
      <w:numPr>
        <w:ilvl w:val="5"/>
        <w:numId w:val="6"/>
      </w:numPr>
      <w:jc w:val="center"/>
    </w:pPr>
    <w:rPr>
      <w:rFonts w:ascii="黑体" w:hAnsi="Times New Roman" w:eastAsia="黑体" w:cs="Times New Roman"/>
      <w:sz w:val="21"/>
      <w:lang w:val="en-US" w:eastAsia="zh-CN" w:bidi="ar-SA"/>
    </w:rPr>
  </w:style>
  <w:style w:type="paragraph" w:customStyle="1" w:styleId="107">
    <w:name w:val="附录标识"/>
    <w:basedOn w:val="102"/>
    <w:qFormat/>
    <w:uiPriority w:val="0"/>
    <w:pPr>
      <w:numPr>
        <w:ilvl w:val="6"/>
      </w:numPr>
      <w:tabs>
        <w:tab w:val="left" w:pos="6405"/>
      </w:tabs>
      <w:spacing w:after="200"/>
      <w:ind w:firstLine="288"/>
    </w:pPr>
    <w:rPr>
      <w:rFonts w:ascii="宋体"/>
      <w:sz w:val="28"/>
    </w:rPr>
  </w:style>
  <w:style w:type="paragraph" w:customStyle="1" w:styleId="108">
    <w:name w:val="注："/>
    <w:next w:val="85"/>
    <w:qFormat/>
    <w:uiPriority w:val="0"/>
    <w:pPr>
      <w:widowControl w:val="0"/>
      <w:numPr>
        <w:ilvl w:val="5"/>
        <w:numId w:val="5"/>
      </w:numPr>
      <w:tabs>
        <w:tab w:val="left" w:pos="1140"/>
      </w:tabs>
      <w:autoSpaceDE w:val="0"/>
      <w:autoSpaceDN w:val="0"/>
      <w:ind w:left="840" w:hanging="420"/>
      <w:jc w:val="both"/>
    </w:pPr>
    <w:rPr>
      <w:rFonts w:ascii="宋体" w:hAnsi="Times New Roman" w:eastAsia="宋体" w:cs="Times New Roman"/>
      <w:sz w:val="18"/>
      <w:lang w:val="en-US" w:eastAsia="zh-CN" w:bidi="ar-SA"/>
    </w:rPr>
  </w:style>
  <w:style w:type="paragraph" w:customStyle="1" w:styleId="109">
    <w:name w:val="附录表标题"/>
    <w:next w:val="85"/>
    <w:qFormat/>
    <w:uiPriority w:val="0"/>
    <w:pPr>
      <w:numPr>
        <w:ilvl w:val="2"/>
        <w:numId w:val="8"/>
      </w:numPr>
      <w:jc w:val="center"/>
    </w:pPr>
    <w:rPr>
      <w:rFonts w:ascii="黑体" w:hAnsi="Times New Roman" w:eastAsia="黑体" w:cs="Times New Roman"/>
      <w:kern w:val="21"/>
      <w:sz w:val="21"/>
      <w:lang w:val="en-US" w:eastAsia="zh-CN" w:bidi="ar-SA"/>
    </w:rPr>
  </w:style>
  <w:style w:type="paragraph" w:customStyle="1" w:styleId="110">
    <w:name w:val="附录四级条标题"/>
    <w:basedOn w:val="105"/>
    <w:next w:val="85"/>
    <w:qFormat/>
    <w:uiPriority w:val="0"/>
    <w:pPr>
      <w:numPr>
        <w:ilvl w:val="0"/>
        <w:numId w:val="0"/>
      </w:numPr>
      <w:outlineLvl w:val="5"/>
    </w:pPr>
  </w:style>
  <w:style w:type="paragraph" w:customStyle="1" w:styleId="111">
    <w:name w:val="一级无标题条"/>
    <w:basedOn w:val="1"/>
    <w:qFormat/>
    <w:uiPriority w:val="0"/>
    <w:pPr>
      <w:numPr>
        <w:ilvl w:val="6"/>
        <w:numId w:val="6"/>
      </w:numPr>
    </w:pPr>
    <w:rPr>
      <w:szCs w:val="24"/>
    </w:rPr>
  </w:style>
  <w:style w:type="paragraph" w:customStyle="1" w:styleId="112">
    <w:name w:val="附录五级条标题"/>
    <w:basedOn w:val="110"/>
    <w:next w:val="85"/>
    <w:qFormat/>
    <w:uiPriority w:val="0"/>
    <w:pPr>
      <w:numPr>
        <w:ilvl w:val="4"/>
        <w:numId w:val="6"/>
      </w:numPr>
      <w:outlineLvl w:val="6"/>
    </w:pPr>
  </w:style>
  <w:style w:type="paragraph" w:customStyle="1" w:styleId="113">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14">
    <w:name w:val="三级条标题 Char"/>
    <w:basedOn w:val="93"/>
    <w:next w:val="85"/>
    <w:qFormat/>
    <w:uiPriority w:val="0"/>
    <w:pPr>
      <w:jc w:val="left"/>
      <w:outlineLvl w:val="4"/>
    </w:pPr>
    <w:rPr>
      <w:rFonts w:ascii="Times New Roman"/>
    </w:rPr>
  </w:style>
  <w:style w:type="paragraph" w:customStyle="1" w:styleId="115">
    <w:name w:val="实施日期"/>
    <w:basedOn w:val="1"/>
    <w:qFormat/>
    <w:uiPriority w:val="0"/>
    <w:pPr>
      <w:framePr w:w="4000" w:h="473" w:vSpace="180" w:wrap="around" w:vAnchor="margin" w:hAnchor="margin" w:xAlign="right" w:y="13511" w:anchorLock="1"/>
      <w:widowControl/>
      <w:jc w:val="right"/>
    </w:pPr>
    <w:rPr>
      <w:rFonts w:eastAsia="黑体"/>
      <w:kern w:val="0"/>
      <w:sz w:val="28"/>
    </w:rPr>
  </w:style>
  <w:style w:type="paragraph" w:customStyle="1" w:styleId="116">
    <w:name w:val="图表脚注"/>
    <w:next w:val="85"/>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17">
    <w:name w:val="附录图标题"/>
    <w:next w:val="85"/>
    <w:qFormat/>
    <w:uiPriority w:val="0"/>
    <w:pPr>
      <w:numPr>
        <w:ilvl w:val="0"/>
        <w:numId w:val="9"/>
      </w:numPr>
      <w:jc w:val="center"/>
    </w:pPr>
    <w:rPr>
      <w:rFonts w:ascii="黑体" w:hAnsi="Times New Roman" w:eastAsia="黑体" w:cs="Times New Roman"/>
      <w:sz w:val="21"/>
      <w:lang w:val="en-US" w:eastAsia="zh-CN" w:bidi="ar-SA"/>
    </w:rPr>
  </w:style>
  <w:style w:type="paragraph" w:customStyle="1" w:styleId="118">
    <w:name w:val="正文图标题"/>
    <w:next w:val="85"/>
    <w:qFormat/>
    <w:uiPriority w:val="0"/>
    <w:pPr>
      <w:numPr>
        <w:ilvl w:val="0"/>
        <w:numId w:val="10"/>
      </w:numPr>
      <w:jc w:val="center"/>
    </w:pPr>
    <w:rPr>
      <w:rFonts w:ascii="黑体" w:hAnsi="Times New Roman" w:eastAsia="黑体" w:cs="Times New Roman"/>
      <w:sz w:val="21"/>
      <w:lang w:val="en-US" w:eastAsia="zh-CN" w:bidi="ar-SA"/>
    </w:rPr>
  </w:style>
  <w:style w:type="paragraph" w:customStyle="1" w:styleId="119">
    <w:name w:val="编号列项（三级）"/>
    <w:qFormat/>
    <w:uiPriority w:val="0"/>
    <w:pPr>
      <w:ind w:left="800" w:leftChars="600" w:hanging="200" w:hangingChars="200"/>
    </w:pPr>
    <w:rPr>
      <w:rFonts w:ascii="宋体" w:hAnsi="Times New Roman" w:eastAsia="宋体" w:cs="Times New Roman"/>
      <w:sz w:val="21"/>
      <w:lang w:val="en-US" w:eastAsia="zh-CN" w:bidi="ar-SA"/>
    </w:rPr>
  </w:style>
  <w:style w:type="paragraph" w:customStyle="1" w:styleId="120">
    <w:name w:val="图体，表题，五号，宋体"/>
    <w:basedOn w:val="1"/>
    <w:qFormat/>
    <w:uiPriority w:val="0"/>
    <w:pPr>
      <w:spacing w:line="232" w:lineRule="atLeast"/>
      <w:ind w:left="396"/>
      <w:jc w:val="center"/>
    </w:pPr>
    <w:rPr>
      <w:rFonts w:ascii="黑体" w:eastAsia="黑体" w:cs="宋体"/>
      <w:kern w:val="0"/>
    </w:rPr>
  </w:style>
  <w:style w:type="paragraph" w:styleId="121">
    <w:name w:val="List Paragraph"/>
    <w:basedOn w:val="1"/>
    <w:qFormat/>
    <w:uiPriority w:val="34"/>
    <w:pPr>
      <w:ind w:firstLine="420" w:firstLineChars="200"/>
    </w:pPr>
    <w:rPr>
      <w:szCs w:val="24"/>
    </w:rPr>
  </w:style>
  <w:style w:type="table" w:customStyle="1" w:styleId="122">
    <w:name w:val="网格型2"/>
    <w:basedOn w:val="3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3">
    <w:name w:val="列项——（一级）"/>
    <w:basedOn w:val="1"/>
    <w:qFormat/>
    <w:uiPriority w:val="0"/>
    <w:rPr>
      <w:rFonts w:ascii="宋体" w:hAnsi="宋体" w:cs="宋体"/>
      <w:kern w:val="0"/>
      <w:szCs w:val="21"/>
    </w:rPr>
  </w:style>
  <w:style w:type="character" w:customStyle="1" w:styleId="124">
    <w:name w:val="text_b_eob"/>
    <w:basedOn w:val="40"/>
    <w:qFormat/>
    <w:uiPriority w:val="0"/>
  </w:style>
  <w:style w:type="paragraph" w:customStyle="1" w:styleId="125">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127">
    <w:name w:val="修订1"/>
    <w:hidden/>
    <w:unhideWhenUsed/>
    <w:qFormat/>
    <w:uiPriority w:val="99"/>
    <w:rPr>
      <w:rFonts w:ascii="Times New Roman" w:hAnsi="Times New Roman" w:eastAsia="宋体" w:cs="Times New Roman"/>
      <w:kern w:val="2"/>
      <w:sz w:val="21"/>
      <w:lang w:val="en-US" w:eastAsia="zh-CN" w:bidi="ar-SA"/>
    </w:rPr>
  </w:style>
  <w:style w:type="paragraph" w:customStyle="1" w:styleId="128">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character" w:customStyle="1" w:styleId="129">
    <w:name w:val="标题 字符"/>
    <w:basedOn w:val="40"/>
    <w:link w:val="36"/>
    <w:qFormat/>
    <w:uiPriority w:val="0"/>
    <w:rPr>
      <w:rFonts w:ascii="Arial" w:hAnsi="Arial" w:cs="Arial"/>
      <w:b/>
      <w:bCs/>
      <w:kern w:val="2"/>
      <w:sz w:val="32"/>
      <w:szCs w:val="32"/>
    </w:rPr>
  </w:style>
  <w:style w:type="character" w:customStyle="1" w:styleId="130">
    <w:name w:val="fontstyle01"/>
    <w:basedOn w:val="40"/>
    <w:qFormat/>
    <w:uiPriority w:val="0"/>
    <w:rPr>
      <w:rFonts w:hint="eastAsia" w:ascii="黑体" w:hAnsi="黑体" w:eastAsia="黑体"/>
      <w:color w:val="000000"/>
      <w:sz w:val="24"/>
      <w:szCs w:val="24"/>
    </w:rPr>
  </w:style>
  <w:style w:type="paragraph" w:customStyle="1" w:styleId="131">
    <w:name w:val="Revision"/>
    <w:hidden/>
    <w:unhideWhenUsed/>
    <w:qFormat/>
    <w:uiPriority w:val="99"/>
    <w:rPr>
      <w:rFonts w:ascii="Times New Roman" w:hAnsi="Times New Roman" w:eastAsia="宋体" w:cs="Times New Roman"/>
      <w:kern w:val="2"/>
      <w:sz w:val="21"/>
      <w:lang w:val="en-US" w:eastAsia="zh-CN" w:bidi="ar-SA"/>
    </w:rPr>
  </w:style>
  <w:style w:type="paragraph" w:customStyle="1" w:styleId="132">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wmf"/><Relationship Id="rId12" Type="http://schemas.openxmlformats.org/officeDocument/2006/relationships/oleObject" Target="embeddings/oleObject3.bin"/><Relationship Id="rId11" Type="http://schemas.openxmlformats.org/officeDocument/2006/relationships/image" Target="media/image2.wmf"/><Relationship Id="rId10" Type="http://schemas.openxmlformats.org/officeDocument/2006/relationships/oleObject" Target="embeddings/oleObject2.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596559-BD15-4966-B764-9E39694F1912}">
  <ds:schemaRefs/>
</ds:datastoreItem>
</file>

<file path=docProps/app.xml><?xml version="1.0" encoding="utf-8"?>
<Properties xmlns="http://schemas.openxmlformats.org/officeDocument/2006/extended-properties" xmlns:vt="http://schemas.openxmlformats.org/officeDocument/2006/docPropsVTypes">
  <Template>Normal</Template>
  <Pages>52</Pages>
  <Words>3859</Words>
  <Characters>4634</Characters>
  <Lines>1534</Lines>
  <Paragraphs>1719</Paragraphs>
  <TotalTime>87</TotalTime>
  <ScaleCrop>false</ScaleCrop>
  <LinksUpToDate>false</LinksUpToDate>
  <CharactersWithSpaces>5011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2024-12-16T09:34:00Z</dcterms:created>
  <dc:creator>WANG Z</dc:creator>
  <cp:lastModifiedBy>Answerfy</cp:lastModifiedBy>
  <dcterms:modified xsi:type="dcterms:W3CDTF">2026-02-04T06:24:28Z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400E277186B1463DBF3CB45497DB08F7_13</vt:lpwstr>
  </property>
  <property fmtid="{D5CDD505-2E9C-101B-9397-08002B2CF9AE}" pid="4" name="KSOTemplateDocerSaveRecord">
    <vt:lpwstr>eyJoZGlkIjoiYzZkNzQ4ZWFiZmQ4NTRhOWRkZTk3YTMwMjlmMmZhYmUiLCJ1c2VySWQiOiI0OTc2NTg3In0=</vt:lpwstr>
  </property>
</Properties>
</file>