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AE16C" w14:textId="77777777" w:rsidR="004E531A" w:rsidRDefault="00000000">
      <w:pPr>
        <w:spacing w:before="120" w:after="240"/>
        <w:contextualSpacing/>
        <w:jc w:val="center"/>
        <w:rPr>
          <w:rFonts w:eastAsia="黑体"/>
          <w:sz w:val="36"/>
          <w:szCs w:val="36"/>
        </w:rPr>
      </w:pPr>
      <w:r>
        <w:rPr>
          <w:rFonts w:eastAsia="黑体"/>
          <w:sz w:val="36"/>
          <w:szCs w:val="36"/>
        </w:rPr>
        <w:t>放射治疗用电离室剂量计医用电子束水吸收剂量</w:t>
      </w:r>
    </w:p>
    <w:p w14:paraId="1870A2F4" w14:textId="77777777" w:rsidR="004E531A" w:rsidRDefault="00000000">
      <w:pPr>
        <w:spacing w:before="120" w:after="240"/>
        <w:contextualSpacing/>
        <w:jc w:val="center"/>
        <w:rPr>
          <w:rFonts w:eastAsia="黑体"/>
          <w:sz w:val="36"/>
          <w:szCs w:val="36"/>
        </w:rPr>
      </w:pPr>
      <w:r>
        <w:rPr>
          <w:rFonts w:eastAsia="黑体"/>
          <w:sz w:val="36"/>
          <w:szCs w:val="36"/>
        </w:rPr>
        <w:t>校准规范编制说明</w:t>
      </w:r>
    </w:p>
    <w:p w14:paraId="315B9872" w14:textId="77777777" w:rsidR="004E531A" w:rsidRDefault="00000000">
      <w:pPr>
        <w:pStyle w:val="1"/>
        <w:spacing w:before="0" w:after="0" w:line="360" w:lineRule="auto"/>
        <w:rPr>
          <w:rFonts w:eastAsia="黑体"/>
          <w:b w:val="0"/>
          <w:sz w:val="30"/>
          <w:szCs w:val="30"/>
        </w:rPr>
      </w:pPr>
      <w:r>
        <w:rPr>
          <w:rFonts w:eastAsia="黑体"/>
          <w:b w:val="0"/>
          <w:sz w:val="30"/>
          <w:szCs w:val="30"/>
        </w:rPr>
        <w:t xml:space="preserve">1  </w:t>
      </w:r>
      <w:r>
        <w:rPr>
          <w:rFonts w:eastAsia="黑体"/>
          <w:b w:val="0"/>
          <w:sz w:val="30"/>
          <w:szCs w:val="30"/>
        </w:rPr>
        <w:t>任务来源</w:t>
      </w:r>
      <w:r>
        <w:rPr>
          <w:rFonts w:eastAsia="黑体"/>
          <w:b w:val="0"/>
          <w:sz w:val="30"/>
          <w:szCs w:val="30"/>
        </w:rPr>
        <w:t xml:space="preserve"> </w:t>
      </w:r>
    </w:p>
    <w:p w14:paraId="33D268AF" w14:textId="77777777" w:rsidR="004E531A" w:rsidRDefault="00000000">
      <w:pPr>
        <w:spacing w:line="360" w:lineRule="auto"/>
        <w:ind w:firstLineChars="200" w:firstLine="480"/>
        <w:rPr>
          <w:sz w:val="24"/>
        </w:rPr>
      </w:pPr>
      <w:r>
        <w:rPr>
          <w:sz w:val="24"/>
        </w:rPr>
        <w:t>中国计量科学研究院向全国电离辐射计量技术委员会提出申请，申请</w:t>
      </w:r>
      <w:r>
        <w:rPr>
          <w:rFonts w:hint="eastAsia"/>
          <w:sz w:val="24"/>
        </w:rPr>
        <w:t>制定</w:t>
      </w:r>
      <w:r>
        <w:rPr>
          <w:sz w:val="24"/>
        </w:rPr>
        <w:t>《放射治疗用电离室剂量计医用电子束水吸收剂量校准规范》。根据国家</w:t>
      </w:r>
      <w:r>
        <w:rPr>
          <w:rFonts w:ascii="Cambria" w:hAnsi="Cambria" w:hint="eastAsia"/>
          <w:sz w:val="24"/>
        </w:rPr>
        <w:t>市场监管</w:t>
      </w:r>
      <w:r>
        <w:rPr>
          <w:sz w:val="24"/>
        </w:rPr>
        <w:t>总局</w:t>
      </w:r>
      <w:r>
        <w:rPr>
          <w:sz w:val="24"/>
        </w:rPr>
        <w:t>202</w:t>
      </w:r>
      <w:r>
        <w:rPr>
          <w:rFonts w:hint="eastAsia"/>
          <w:sz w:val="24"/>
        </w:rPr>
        <w:t>5</w:t>
      </w:r>
      <w:r>
        <w:rPr>
          <w:sz w:val="24"/>
        </w:rPr>
        <w:t>年国家计量技术法规计划立项《</w:t>
      </w:r>
      <w:r>
        <w:rPr>
          <w:rFonts w:ascii="Cambria" w:hAnsi="Cambria" w:hint="eastAsia"/>
          <w:sz w:val="24"/>
        </w:rPr>
        <w:t>市场监管总局办公厅关于印发</w:t>
      </w:r>
      <w:r>
        <w:rPr>
          <w:rFonts w:ascii="Cambria" w:hAnsi="Cambria" w:hint="eastAsia"/>
          <w:sz w:val="24"/>
        </w:rPr>
        <w:t xml:space="preserve">2025 </w:t>
      </w:r>
      <w:r>
        <w:rPr>
          <w:rFonts w:ascii="Cambria" w:hAnsi="Cambria" w:hint="eastAsia"/>
          <w:sz w:val="24"/>
        </w:rPr>
        <w:t>年国家计量技术规范制定、修订及宣贯计划的通知</w:t>
      </w:r>
      <w:r>
        <w:rPr>
          <w:sz w:val="24"/>
        </w:rPr>
        <w:t>》的通知（市监计量发</w:t>
      </w:r>
      <w:r>
        <w:rPr>
          <w:sz w:val="24"/>
        </w:rPr>
        <w:t>[202</w:t>
      </w:r>
      <w:r>
        <w:rPr>
          <w:rFonts w:hint="eastAsia"/>
          <w:sz w:val="24"/>
        </w:rPr>
        <w:t>5</w:t>
      </w:r>
      <w:r>
        <w:rPr>
          <w:sz w:val="24"/>
        </w:rPr>
        <w:t>]</w:t>
      </w:r>
      <w:r>
        <w:rPr>
          <w:rFonts w:hint="eastAsia"/>
          <w:sz w:val="24"/>
        </w:rPr>
        <w:t>46</w:t>
      </w:r>
      <w:r>
        <w:rPr>
          <w:sz w:val="24"/>
        </w:rPr>
        <w:t>号）。《放射治疗用电离室剂量计医用电子束水吸收剂量校准规范》主要起草单位有</w:t>
      </w:r>
      <w:r>
        <w:rPr>
          <w:rFonts w:ascii="Cambria" w:hAnsi="Cambria" w:hint="eastAsia"/>
          <w:sz w:val="24"/>
        </w:rPr>
        <w:t>中国计量科学研究院、北京市计量检测科学研究院、浙江省质量科学研究院和山东省计量科学研究院</w:t>
      </w:r>
      <w:r>
        <w:rPr>
          <w:sz w:val="24"/>
        </w:rPr>
        <w:t>，归口单位为全国电离辐射计量技术委员会。</w:t>
      </w:r>
    </w:p>
    <w:p w14:paraId="58C5FE52" w14:textId="77777777" w:rsidR="004E531A" w:rsidRDefault="00000000">
      <w:pPr>
        <w:pStyle w:val="1"/>
        <w:spacing w:before="0" w:after="0" w:line="360" w:lineRule="auto"/>
        <w:rPr>
          <w:rFonts w:eastAsia="黑体"/>
          <w:b w:val="0"/>
          <w:sz w:val="30"/>
          <w:szCs w:val="30"/>
        </w:rPr>
      </w:pPr>
      <w:r>
        <w:rPr>
          <w:rFonts w:eastAsia="黑体"/>
          <w:b w:val="0"/>
          <w:sz w:val="30"/>
          <w:szCs w:val="30"/>
        </w:rPr>
        <w:t xml:space="preserve">2  </w:t>
      </w:r>
      <w:r>
        <w:rPr>
          <w:rFonts w:eastAsia="黑体"/>
          <w:b w:val="0"/>
          <w:sz w:val="30"/>
          <w:szCs w:val="30"/>
        </w:rPr>
        <w:t>必要性</w:t>
      </w:r>
    </w:p>
    <w:p w14:paraId="0D85E34E" w14:textId="77777777" w:rsidR="004E531A" w:rsidRDefault="00000000">
      <w:pPr>
        <w:spacing w:line="360" w:lineRule="auto"/>
        <w:ind w:firstLineChars="200" w:firstLine="480"/>
        <w:rPr>
          <w:sz w:val="24"/>
        </w:rPr>
      </w:pPr>
      <w:r>
        <w:rPr>
          <w:sz w:val="24"/>
        </w:rPr>
        <w:t>随着放射治疗技术的不断发展，医用电子束在治疗表浅肿瘤方面发挥着不可替代的作用。根据国际电离辐射单位委员会（</w:t>
      </w:r>
      <w:r>
        <w:rPr>
          <w:sz w:val="24"/>
        </w:rPr>
        <w:t>ICRU</w:t>
      </w:r>
      <w:r>
        <w:rPr>
          <w:sz w:val="24"/>
        </w:rPr>
        <w:t>）的建议，水吸收剂量是放射治疗的处方剂量。目前，我国已建立了基于水量热法的</w:t>
      </w:r>
      <w:r>
        <w:rPr>
          <w:sz w:val="24"/>
        </w:rPr>
        <w:t>Co-60 γ</w:t>
      </w:r>
      <w:r>
        <w:rPr>
          <w:sz w:val="24"/>
        </w:rPr>
        <w:t>射线和高能光子束水吸收剂量基准装置，并通过治疗水平电离室剂量计进行量值传递。然而，针对医用电子束的水吸收剂量校准，我国尚缺乏专门的国家计量技术规范。</w:t>
      </w:r>
    </w:p>
    <w:p w14:paraId="34603DA3" w14:textId="77777777" w:rsidR="004E531A" w:rsidRDefault="00000000">
      <w:pPr>
        <w:spacing w:line="360" w:lineRule="auto"/>
        <w:ind w:firstLineChars="200" w:firstLine="480"/>
        <w:rPr>
          <w:sz w:val="24"/>
        </w:rPr>
      </w:pPr>
      <w:r>
        <w:rPr>
          <w:sz w:val="24"/>
        </w:rPr>
        <w:t>现行相关规程如</w:t>
      </w:r>
      <w:r>
        <w:rPr>
          <w:sz w:val="24"/>
        </w:rPr>
        <w:t>JJG 589</w:t>
      </w:r>
      <w:r>
        <w:rPr>
          <w:sz w:val="24"/>
        </w:rPr>
        <w:t>《医用电子加速器辐射源检定规程》虽涉及电子束，但其主要关注辐射源的整体性能，而非电离室剂量计这一关键计量器具的校准。国际通行做法，如国际原子能机构（</w:t>
      </w:r>
      <w:r>
        <w:rPr>
          <w:sz w:val="24"/>
        </w:rPr>
        <w:t>IAEA</w:t>
      </w:r>
      <w:r>
        <w:rPr>
          <w:sz w:val="24"/>
        </w:rPr>
        <w:t>）发布的</w:t>
      </w:r>
      <w:r>
        <w:rPr>
          <w:sz w:val="24"/>
        </w:rPr>
        <w:t>TRS-398</w:t>
      </w:r>
      <w:r>
        <w:rPr>
          <w:sz w:val="24"/>
        </w:rPr>
        <w:t>号技术报告《外照射放射治疗束吸收剂量测定：基于水吸收剂量标准的剂量测定国际实施规程》，已明确给出了基于水吸收剂量校准因子的电子束剂量测定方法，并成为全球放疗剂量学的主流。因此，制定一部与国际接轨、专门针对医用电子束的电离室剂量计水吸收剂量校准规范，对于统一和规范我国电子束放疗的剂量量值，确保放疗质量，降低患者治疗风险，具有十分重要的现实意义。</w:t>
      </w:r>
    </w:p>
    <w:p w14:paraId="11CC7BFE" w14:textId="77777777" w:rsidR="004E531A" w:rsidRDefault="00000000">
      <w:pPr>
        <w:spacing w:line="360" w:lineRule="auto"/>
        <w:ind w:firstLineChars="200" w:firstLine="480"/>
        <w:rPr>
          <w:sz w:val="24"/>
        </w:rPr>
      </w:pPr>
      <w:r>
        <w:rPr>
          <w:sz w:val="24"/>
        </w:rPr>
        <w:t>本规范的制定，将填补我国在电子束剂量计校准领域的空白，建立从国家基准到临床治疗水平的电子束水吸收剂量量值传递链条，满足日益增长的精确放疗需求，保障放疗患者得到安全、有效、精准的治疗。</w:t>
      </w:r>
    </w:p>
    <w:p w14:paraId="4BE60319" w14:textId="77777777" w:rsidR="004E531A" w:rsidRDefault="00000000">
      <w:pPr>
        <w:pStyle w:val="1"/>
        <w:spacing w:before="0" w:after="0" w:line="360" w:lineRule="auto"/>
        <w:rPr>
          <w:rFonts w:eastAsia="黑体"/>
          <w:b w:val="0"/>
          <w:sz w:val="30"/>
          <w:szCs w:val="30"/>
        </w:rPr>
      </w:pPr>
      <w:r>
        <w:rPr>
          <w:rFonts w:eastAsia="黑体" w:hint="eastAsia"/>
          <w:b w:val="0"/>
          <w:sz w:val="30"/>
          <w:szCs w:val="30"/>
        </w:rPr>
        <w:lastRenderedPageBreak/>
        <w:t>3</w:t>
      </w:r>
      <w:r>
        <w:rPr>
          <w:rFonts w:eastAsia="黑体"/>
          <w:b w:val="0"/>
          <w:sz w:val="30"/>
          <w:szCs w:val="30"/>
        </w:rPr>
        <w:t xml:space="preserve">  </w:t>
      </w:r>
      <w:r>
        <w:rPr>
          <w:rFonts w:eastAsia="黑体"/>
          <w:b w:val="0"/>
          <w:sz w:val="30"/>
          <w:szCs w:val="30"/>
        </w:rPr>
        <w:t>编制过程</w:t>
      </w:r>
      <w:r>
        <w:rPr>
          <w:rFonts w:eastAsia="黑体"/>
          <w:b w:val="0"/>
          <w:sz w:val="30"/>
          <w:szCs w:val="30"/>
        </w:rPr>
        <w:t xml:space="preserve"> </w:t>
      </w:r>
    </w:p>
    <w:p w14:paraId="0430A4D1" w14:textId="77777777" w:rsidR="004E531A" w:rsidRDefault="00000000">
      <w:pPr>
        <w:spacing w:line="360" w:lineRule="auto"/>
        <w:ind w:firstLineChars="200" w:firstLine="480"/>
        <w:rPr>
          <w:sz w:val="24"/>
        </w:rPr>
      </w:pPr>
      <w:r>
        <w:rPr>
          <w:sz w:val="24"/>
        </w:rPr>
        <w:t>本规范由中国计量科学研究院牵头，联合北京市计量检测科学研究院、浙江省质量科学研究院、山东省计量科学研究院等单位共同起草。自</w:t>
      </w:r>
      <w:r>
        <w:rPr>
          <w:sz w:val="24"/>
        </w:rPr>
        <w:t>202</w:t>
      </w:r>
      <w:r>
        <w:rPr>
          <w:rFonts w:hint="eastAsia"/>
          <w:sz w:val="24"/>
        </w:rPr>
        <w:t>5</w:t>
      </w:r>
      <w:r>
        <w:rPr>
          <w:sz w:val="24"/>
        </w:rPr>
        <w:t>年起，本规范起草小组开始查阅收集国内外相关资料，系统研究了</w:t>
      </w:r>
      <w:r>
        <w:rPr>
          <w:sz w:val="24"/>
        </w:rPr>
        <w:t>IAEA TRS-398</w:t>
      </w:r>
      <w:r>
        <w:rPr>
          <w:sz w:val="24"/>
        </w:rPr>
        <w:t>、</w:t>
      </w:r>
      <w:r>
        <w:rPr>
          <w:sz w:val="24"/>
        </w:rPr>
        <w:t>AAPM TG-51</w:t>
      </w:r>
      <w:r>
        <w:rPr>
          <w:sz w:val="24"/>
        </w:rPr>
        <w:t>等国际指南和国内相关标准、规程，明确了规范的技术路线和主要内容。</w:t>
      </w:r>
    </w:p>
    <w:p w14:paraId="1FC2FCAC" w14:textId="2F93E316" w:rsidR="004E531A" w:rsidRDefault="00000000">
      <w:pPr>
        <w:spacing w:line="360" w:lineRule="auto"/>
        <w:ind w:firstLineChars="200" w:firstLine="480"/>
        <w:rPr>
          <w:sz w:val="24"/>
        </w:rPr>
      </w:pPr>
      <w:r>
        <w:rPr>
          <w:sz w:val="24"/>
        </w:rPr>
        <w:t>起草小组在前期研究基础上，结合国内现有计量技术能力和临床实际需求，形成了规范初稿。初稿充分考虑了医用电子束的特点，如能量范围、剂量率、射束质量参数（</w:t>
      </w:r>
      <w:r>
        <w:rPr>
          <w:i/>
          <w:iCs/>
          <w:sz w:val="24"/>
        </w:rPr>
        <w:t>R</w:t>
      </w:r>
      <w:r>
        <w:rPr>
          <w:sz w:val="24"/>
          <w:vertAlign w:val="subscript"/>
        </w:rPr>
        <w:t>50</w:t>
      </w:r>
      <w:r>
        <w:rPr>
          <w:sz w:val="24"/>
        </w:rPr>
        <w:t>）等，并参考了</w:t>
      </w:r>
      <w:r>
        <w:rPr>
          <w:sz w:val="24"/>
        </w:rPr>
        <w:t>JJF 1743</w:t>
      </w:r>
      <w:r>
        <w:rPr>
          <w:sz w:val="24"/>
        </w:rPr>
        <w:t>《放射治疗用电离室剂量计水吸收剂量校准规范》在光子束</w:t>
      </w:r>
      <w:r w:rsidR="009A6E1C">
        <w:rPr>
          <w:rFonts w:hint="eastAsia"/>
          <w:sz w:val="24"/>
        </w:rPr>
        <w:t>校准</w:t>
      </w:r>
      <w:r>
        <w:rPr>
          <w:sz w:val="24"/>
        </w:rPr>
        <w:t>方面的成功经验。</w:t>
      </w:r>
    </w:p>
    <w:p w14:paraId="4BD92880" w14:textId="77777777" w:rsidR="004E531A" w:rsidRDefault="00000000">
      <w:pPr>
        <w:spacing w:line="360" w:lineRule="auto"/>
        <w:ind w:firstLineChars="200" w:firstLine="480"/>
        <w:rPr>
          <w:sz w:val="24"/>
        </w:rPr>
      </w:pPr>
      <w:r>
        <w:rPr>
          <w:sz w:val="24"/>
        </w:rPr>
        <w:t>在编制期间，起草小组多次召开研讨会，就规范的适用范围、校准方法（如替代法）、关键修正因子（如极化效应、离子复合效应、能量响应）、不确定度评定等关键技术问题进行了深入讨论和论证，并达成了共识。</w:t>
      </w:r>
      <w:r>
        <w:rPr>
          <w:sz w:val="24"/>
        </w:rPr>
        <w:t>202</w:t>
      </w:r>
      <w:r>
        <w:rPr>
          <w:rFonts w:hint="eastAsia"/>
          <w:sz w:val="24"/>
        </w:rPr>
        <w:t>6</w:t>
      </w:r>
      <w:r>
        <w:rPr>
          <w:sz w:val="24"/>
        </w:rPr>
        <w:t>年</w:t>
      </w:r>
      <w:r>
        <w:rPr>
          <w:rFonts w:hint="eastAsia"/>
          <w:sz w:val="24"/>
        </w:rPr>
        <w:t>3</w:t>
      </w:r>
      <w:r>
        <w:rPr>
          <w:sz w:val="24"/>
        </w:rPr>
        <w:t>月，起草小组完成了本规范的征求意见稿，向全国电离辐射计量技术委员会全体委员及专家广泛征求意见。</w:t>
      </w:r>
    </w:p>
    <w:p w14:paraId="25A1C71B" w14:textId="77777777" w:rsidR="004E531A" w:rsidRDefault="004E531A">
      <w:pPr>
        <w:spacing w:line="360" w:lineRule="auto"/>
        <w:ind w:firstLineChars="200" w:firstLine="480"/>
        <w:rPr>
          <w:sz w:val="24"/>
        </w:rPr>
      </w:pPr>
    </w:p>
    <w:p w14:paraId="21E8EF63" w14:textId="77777777" w:rsidR="004E531A" w:rsidRDefault="00000000">
      <w:pPr>
        <w:pStyle w:val="1"/>
        <w:spacing w:before="0" w:after="0" w:line="360" w:lineRule="auto"/>
        <w:rPr>
          <w:rFonts w:eastAsia="黑体"/>
          <w:b w:val="0"/>
          <w:sz w:val="30"/>
          <w:szCs w:val="30"/>
        </w:rPr>
      </w:pPr>
      <w:r>
        <w:rPr>
          <w:rFonts w:eastAsia="黑体" w:hint="eastAsia"/>
          <w:b w:val="0"/>
          <w:sz w:val="30"/>
          <w:szCs w:val="30"/>
        </w:rPr>
        <w:t>4</w:t>
      </w:r>
      <w:r>
        <w:rPr>
          <w:rFonts w:eastAsia="黑体"/>
          <w:b w:val="0"/>
          <w:sz w:val="30"/>
          <w:szCs w:val="30"/>
        </w:rPr>
        <w:t xml:space="preserve">  </w:t>
      </w:r>
      <w:r>
        <w:rPr>
          <w:rFonts w:eastAsia="黑体"/>
          <w:b w:val="0"/>
          <w:sz w:val="30"/>
          <w:szCs w:val="30"/>
        </w:rPr>
        <w:t>规范名称和适用范围</w:t>
      </w:r>
    </w:p>
    <w:p w14:paraId="68BACDB7" w14:textId="77777777" w:rsidR="004E531A" w:rsidRDefault="00000000">
      <w:pPr>
        <w:pStyle w:val="2"/>
        <w:spacing w:before="0" w:after="0" w:line="300" w:lineRule="auto"/>
        <w:rPr>
          <w:rFonts w:ascii="Times New Roman" w:eastAsia="黑体" w:hAnsi="Times New Roman" w:cs="Times New Roman"/>
          <w:b w:val="0"/>
          <w:sz w:val="28"/>
          <w:szCs w:val="28"/>
        </w:rPr>
      </w:pPr>
      <w:r>
        <w:rPr>
          <w:rFonts w:ascii="Times New Roman" w:eastAsia="黑体" w:hAnsi="Times New Roman" w:cs="Times New Roman" w:hint="eastAsia"/>
          <w:b w:val="0"/>
          <w:sz w:val="28"/>
          <w:szCs w:val="28"/>
        </w:rPr>
        <w:t>4</w:t>
      </w:r>
      <w:r>
        <w:rPr>
          <w:rFonts w:ascii="Times New Roman" w:eastAsia="黑体" w:hAnsi="Times New Roman" w:cs="Times New Roman"/>
          <w:b w:val="0"/>
          <w:sz w:val="28"/>
          <w:szCs w:val="28"/>
        </w:rPr>
        <w:t xml:space="preserve">.1  </w:t>
      </w:r>
      <w:r>
        <w:rPr>
          <w:rFonts w:ascii="Times New Roman" w:eastAsia="黑体" w:hAnsi="Times New Roman" w:cs="Times New Roman"/>
          <w:b w:val="0"/>
          <w:sz w:val="28"/>
          <w:szCs w:val="28"/>
        </w:rPr>
        <w:t>规范名称</w:t>
      </w:r>
    </w:p>
    <w:p w14:paraId="22DF491C" w14:textId="77777777" w:rsidR="004E531A" w:rsidRDefault="00000000">
      <w:pPr>
        <w:spacing w:line="360" w:lineRule="auto"/>
        <w:ind w:firstLineChars="200" w:firstLine="480"/>
        <w:rPr>
          <w:sz w:val="24"/>
        </w:rPr>
      </w:pPr>
      <w:r>
        <w:rPr>
          <w:rFonts w:ascii="Segoe UI" w:eastAsia="Segoe UI" w:hAnsi="Segoe UI" w:cs="Segoe UI"/>
          <w:color w:val="0F1115"/>
          <w:sz w:val="24"/>
          <w:shd w:val="clear" w:color="auto" w:fill="FFFFFF"/>
        </w:rPr>
        <w:t>本规范名称为《放射治疗用电离室剂量计医用电子束水吸收剂量校准规范》。名称准确反映了本规范的校准对象（电离室剂量计）、应用领域（放射治疗）和校准量（医用电子束水吸收剂量）。</w:t>
      </w:r>
    </w:p>
    <w:p w14:paraId="6780FEAE" w14:textId="77777777" w:rsidR="004E531A" w:rsidRDefault="00000000">
      <w:pPr>
        <w:pStyle w:val="2"/>
        <w:spacing w:before="0" w:after="0" w:line="300" w:lineRule="auto"/>
        <w:rPr>
          <w:rFonts w:ascii="Times New Roman" w:eastAsia="黑体" w:hAnsi="Times New Roman" w:cs="Times New Roman"/>
          <w:b w:val="0"/>
          <w:sz w:val="28"/>
          <w:szCs w:val="28"/>
        </w:rPr>
      </w:pPr>
      <w:r>
        <w:rPr>
          <w:rFonts w:ascii="Times New Roman" w:eastAsia="黑体" w:hAnsi="Times New Roman" w:cs="Times New Roman" w:hint="eastAsia"/>
          <w:b w:val="0"/>
          <w:sz w:val="28"/>
          <w:szCs w:val="28"/>
        </w:rPr>
        <w:t>4</w:t>
      </w:r>
      <w:r>
        <w:rPr>
          <w:rFonts w:ascii="Times New Roman" w:eastAsia="黑体" w:hAnsi="Times New Roman" w:cs="Times New Roman"/>
          <w:b w:val="0"/>
          <w:sz w:val="28"/>
          <w:szCs w:val="28"/>
        </w:rPr>
        <w:t xml:space="preserve">.2  </w:t>
      </w:r>
      <w:r>
        <w:rPr>
          <w:rFonts w:ascii="Times New Roman" w:eastAsia="黑体" w:hAnsi="Times New Roman" w:cs="Times New Roman"/>
          <w:b w:val="0"/>
          <w:sz w:val="28"/>
          <w:szCs w:val="28"/>
        </w:rPr>
        <w:t>适用范围</w:t>
      </w:r>
    </w:p>
    <w:p w14:paraId="081C9391" w14:textId="77777777" w:rsidR="004E531A" w:rsidRDefault="00000000">
      <w:pPr>
        <w:spacing w:line="360" w:lineRule="auto"/>
        <w:ind w:firstLineChars="200" w:firstLine="480"/>
        <w:rPr>
          <w:sz w:val="24"/>
        </w:rPr>
      </w:pPr>
      <w:r>
        <w:rPr>
          <w:color w:val="000000"/>
          <w:sz w:val="24"/>
        </w:rPr>
        <w:t>本规范适用于测量医用电子束水吸收剂量的放射治疗用电离室剂量计的校准。在适用范围中，明确了医用电子束的能量范围为（</w:t>
      </w:r>
      <w:r>
        <w:rPr>
          <w:color w:val="000000"/>
          <w:sz w:val="24"/>
        </w:rPr>
        <w:t>4</w:t>
      </w:r>
      <w:r>
        <w:rPr>
          <w:color w:val="000000"/>
          <w:sz w:val="24"/>
        </w:rPr>
        <w:t>～</w:t>
      </w:r>
      <w:r>
        <w:rPr>
          <w:color w:val="000000"/>
          <w:sz w:val="24"/>
        </w:rPr>
        <w:t>22</w:t>
      </w:r>
      <w:r>
        <w:rPr>
          <w:color w:val="000000"/>
          <w:sz w:val="24"/>
        </w:rPr>
        <w:t>）</w:t>
      </w:r>
      <w:r>
        <w:rPr>
          <w:color w:val="000000"/>
          <w:sz w:val="24"/>
        </w:rPr>
        <w:t>MeV</w:t>
      </w:r>
      <w:r>
        <w:rPr>
          <w:color w:val="000000"/>
          <w:sz w:val="24"/>
        </w:rPr>
        <w:t>，剂量率范围为（</w:t>
      </w:r>
      <w:r>
        <w:rPr>
          <w:color w:val="000000"/>
          <w:sz w:val="24"/>
        </w:rPr>
        <w:t>0.01</w:t>
      </w:r>
      <w:r>
        <w:rPr>
          <w:color w:val="000000"/>
          <w:sz w:val="24"/>
        </w:rPr>
        <w:t>～</w:t>
      </w:r>
      <w:r>
        <w:rPr>
          <w:color w:val="000000"/>
          <w:sz w:val="24"/>
        </w:rPr>
        <w:t>10</w:t>
      </w:r>
      <w:r>
        <w:rPr>
          <w:color w:val="000000"/>
          <w:sz w:val="24"/>
        </w:rPr>
        <w:t>）</w:t>
      </w:r>
      <w:r>
        <w:rPr>
          <w:color w:val="000000"/>
          <w:sz w:val="24"/>
        </w:rPr>
        <w:t>Gy/min</w:t>
      </w:r>
      <w:r>
        <w:rPr>
          <w:color w:val="000000"/>
          <w:sz w:val="24"/>
        </w:rPr>
        <w:t>。此范围覆盖了当前临床常用的大部分电子束治疗能量和剂量率水平，确保了规范的实用性。</w:t>
      </w:r>
    </w:p>
    <w:p w14:paraId="15A1A473" w14:textId="77777777" w:rsidR="004E531A" w:rsidRDefault="00000000">
      <w:pPr>
        <w:pStyle w:val="1"/>
        <w:spacing w:before="0" w:after="0" w:line="360" w:lineRule="auto"/>
        <w:rPr>
          <w:rFonts w:eastAsia="黑体"/>
          <w:b w:val="0"/>
          <w:sz w:val="30"/>
          <w:szCs w:val="30"/>
        </w:rPr>
      </w:pPr>
      <w:r>
        <w:rPr>
          <w:rFonts w:eastAsia="黑体" w:hint="eastAsia"/>
          <w:b w:val="0"/>
          <w:sz w:val="30"/>
          <w:szCs w:val="30"/>
        </w:rPr>
        <w:t>5</w:t>
      </w:r>
      <w:r>
        <w:rPr>
          <w:rFonts w:eastAsia="黑体"/>
          <w:b w:val="0"/>
          <w:sz w:val="30"/>
          <w:szCs w:val="30"/>
        </w:rPr>
        <w:t xml:space="preserve">  </w:t>
      </w:r>
      <w:r>
        <w:rPr>
          <w:rFonts w:eastAsia="黑体"/>
          <w:b w:val="0"/>
          <w:sz w:val="30"/>
          <w:szCs w:val="30"/>
        </w:rPr>
        <w:t>编写依据</w:t>
      </w:r>
    </w:p>
    <w:p w14:paraId="56F79C92" w14:textId="77777777" w:rsidR="004E531A" w:rsidRDefault="00000000">
      <w:pPr>
        <w:spacing w:line="360" w:lineRule="auto"/>
        <w:ind w:firstLineChars="200" w:firstLine="480"/>
        <w:rPr>
          <w:sz w:val="24"/>
        </w:rPr>
      </w:pPr>
      <w:r>
        <w:rPr>
          <w:sz w:val="24"/>
        </w:rPr>
        <w:t>本规范主要编写依据如下：</w:t>
      </w:r>
    </w:p>
    <w:p w14:paraId="218F73B4" w14:textId="77777777" w:rsidR="004E531A" w:rsidRDefault="00000000">
      <w:pPr>
        <w:numPr>
          <w:ilvl w:val="0"/>
          <w:numId w:val="3"/>
        </w:numPr>
        <w:spacing w:line="360" w:lineRule="auto"/>
        <w:ind w:left="1134" w:hanging="567"/>
        <w:rPr>
          <w:sz w:val="24"/>
        </w:rPr>
      </w:pPr>
      <w:r>
        <w:rPr>
          <w:sz w:val="24"/>
        </w:rPr>
        <w:t>JJF 1001-1998</w:t>
      </w:r>
      <w:r>
        <w:rPr>
          <w:sz w:val="24"/>
        </w:rPr>
        <w:t>《通用计量术语及定义》；</w:t>
      </w:r>
    </w:p>
    <w:p w14:paraId="30BC789B" w14:textId="77777777" w:rsidR="004E531A" w:rsidRDefault="00000000">
      <w:pPr>
        <w:numPr>
          <w:ilvl w:val="0"/>
          <w:numId w:val="3"/>
        </w:numPr>
        <w:spacing w:line="360" w:lineRule="auto"/>
        <w:ind w:left="1134" w:hanging="567"/>
        <w:rPr>
          <w:sz w:val="24"/>
        </w:rPr>
      </w:pPr>
      <w:r>
        <w:rPr>
          <w:sz w:val="24"/>
        </w:rPr>
        <w:lastRenderedPageBreak/>
        <w:t>JJF 1035-2006</w:t>
      </w:r>
      <w:r>
        <w:rPr>
          <w:sz w:val="24"/>
        </w:rPr>
        <w:t>《电离辐射计量术语及定义》；</w:t>
      </w:r>
    </w:p>
    <w:p w14:paraId="3304183E" w14:textId="77777777" w:rsidR="004E531A" w:rsidRDefault="00000000">
      <w:pPr>
        <w:numPr>
          <w:ilvl w:val="0"/>
          <w:numId w:val="3"/>
        </w:numPr>
        <w:spacing w:line="360" w:lineRule="auto"/>
        <w:ind w:left="1134" w:hanging="567"/>
        <w:rPr>
          <w:sz w:val="24"/>
        </w:rPr>
      </w:pPr>
      <w:r>
        <w:rPr>
          <w:sz w:val="24"/>
        </w:rPr>
        <w:t>JJF 1071-2010</w:t>
      </w:r>
      <w:r>
        <w:rPr>
          <w:sz w:val="24"/>
        </w:rPr>
        <w:t>《国家计量校准规范编写规则》；</w:t>
      </w:r>
    </w:p>
    <w:p w14:paraId="692E7A35" w14:textId="77777777" w:rsidR="004E531A" w:rsidRDefault="00000000">
      <w:pPr>
        <w:numPr>
          <w:ilvl w:val="0"/>
          <w:numId w:val="3"/>
        </w:numPr>
        <w:spacing w:line="360" w:lineRule="auto"/>
        <w:ind w:left="1134" w:hanging="567"/>
        <w:rPr>
          <w:sz w:val="24"/>
        </w:rPr>
      </w:pPr>
      <w:r>
        <w:rPr>
          <w:sz w:val="24"/>
        </w:rPr>
        <w:t>JJG589</w:t>
      </w:r>
      <w:r>
        <w:rPr>
          <w:rFonts w:hint="eastAsia"/>
          <w:sz w:val="24"/>
        </w:rPr>
        <w:t xml:space="preserve"> </w:t>
      </w:r>
      <w:r>
        <w:rPr>
          <w:sz w:val="24"/>
        </w:rPr>
        <w:t>《医用电子加速器辐射源检定规程》</w:t>
      </w:r>
    </w:p>
    <w:p w14:paraId="7B3AB469" w14:textId="77777777" w:rsidR="004E531A" w:rsidRDefault="00000000">
      <w:pPr>
        <w:numPr>
          <w:ilvl w:val="0"/>
          <w:numId w:val="3"/>
        </w:numPr>
        <w:spacing w:line="360" w:lineRule="auto"/>
        <w:ind w:left="1134" w:hanging="567"/>
        <w:rPr>
          <w:sz w:val="24"/>
        </w:rPr>
      </w:pPr>
      <w:r>
        <w:rPr>
          <w:sz w:val="24"/>
        </w:rPr>
        <w:t>JJF1743</w:t>
      </w:r>
      <w:r>
        <w:rPr>
          <w:rFonts w:hint="eastAsia"/>
          <w:sz w:val="24"/>
        </w:rPr>
        <w:t xml:space="preserve"> </w:t>
      </w:r>
      <w:r>
        <w:rPr>
          <w:sz w:val="24"/>
        </w:rPr>
        <w:t>《放射治疗用电离室剂量计水吸收剂量校准规范》</w:t>
      </w:r>
    </w:p>
    <w:p w14:paraId="217FA2FD" w14:textId="77777777" w:rsidR="004E531A" w:rsidRDefault="00000000">
      <w:pPr>
        <w:numPr>
          <w:ilvl w:val="0"/>
          <w:numId w:val="3"/>
        </w:numPr>
        <w:spacing w:line="360" w:lineRule="auto"/>
        <w:ind w:left="1134" w:hanging="567"/>
        <w:rPr>
          <w:sz w:val="24"/>
        </w:rPr>
      </w:pPr>
      <w:r>
        <w:rPr>
          <w:sz w:val="24"/>
        </w:rPr>
        <w:t>IAEA TRS-398</w:t>
      </w:r>
      <w:r>
        <w:rPr>
          <w:sz w:val="24"/>
        </w:rPr>
        <w:t>《外照射放射治疗束吸收剂量测定：基于水吸收剂量标准的剂量测定国际实施规程（</w:t>
      </w:r>
      <w:r>
        <w:rPr>
          <w:sz w:val="24"/>
        </w:rPr>
        <w:t>Absorbed Dose Determination in External Beam Radiotherapy: An International Code of Practice for Dosimetry Based on Standards of Absorbed Dose to Water</w:t>
      </w:r>
      <w:r>
        <w:rPr>
          <w:sz w:val="24"/>
        </w:rPr>
        <w:t>）》</w:t>
      </w:r>
    </w:p>
    <w:p w14:paraId="75AF06D7" w14:textId="77777777" w:rsidR="004E531A" w:rsidRDefault="00000000">
      <w:pPr>
        <w:pStyle w:val="1"/>
        <w:spacing w:before="0" w:after="0" w:line="300" w:lineRule="auto"/>
        <w:rPr>
          <w:rFonts w:eastAsia="黑体"/>
          <w:b w:val="0"/>
          <w:bCs w:val="0"/>
          <w:sz w:val="30"/>
          <w:szCs w:val="30"/>
        </w:rPr>
      </w:pPr>
      <w:r>
        <w:rPr>
          <w:rFonts w:eastAsia="黑体" w:hint="eastAsia"/>
          <w:b w:val="0"/>
          <w:sz w:val="28"/>
          <w:szCs w:val="28"/>
        </w:rPr>
        <w:t>6</w:t>
      </w:r>
      <w:r>
        <w:rPr>
          <w:rFonts w:eastAsia="Arial Unicode MS"/>
          <w:b w:val="0"/>
          <w:bCs w:val="0"/>
          <w:sz w:val="30"/>
          <w:szCs w:val="30"/>
        </w:rPr>
        <w:t xml:space="preserve">  </w:t>
      </w:r>
      <w:r>
        <w:rPr>
          <w:rFonts w:eastAsia="黑体" w:hint="eastAsia"/>
          <w:b w:val="0"/>
          <w:bCs w:val="0"/>
          <w:sz w:val="30"/>
          <w:szCs w:val="30"/>
        </w:rPr>
        <w:t>技术关键</w:t>
      </w:r>
      <w:r>
        <w:rPr>
          <w:rFonts w:eastAsia="黑体"/>
          <w:b w:val="0"/>
          <w:bCs w:val="0"/>
          <w:sz w:val="30"/>
          <w:szCs w:val="30"/>
        </w:rPr>
        <w:t xml:space="preserve"> </w:t>
      </w:r>
    </w:p>
    <w:p w14:paraId="44CFC2BA" w14:textId="22BFAC07" w:rsidR="004E531A" w:rsidRDefault="00000000">
      <w:pPr>
        <w:tabs>
          <w:tab w:val="left" w:pos="630"/>
        </w:tabs>
        <w:spacing w:line="360" w:lineRule="auto"/>
        <w:ind w:firstLineChars="200" w:firstLine="480"/>
        <w:jc w:val="left"/>
        <w:rPr>
          <w:sz w:val="24"/>
        </w:rPr>
      </w:pPr>
      <w:r>
        <w:rPr>
          <w:sz w:val="24"/>
        </w:rPr>
        <w:t>本规范的核心是建立医用电子束水吸收剂量校准因子（</w:t>
      </w:r>
      <w:r w:rsidRPr="009A6E1C">
        <w:rPr>
          <w:i/>
          <w:iCs/>
          <w:sz w:val="24"/>
        </w:rPr>
        <w:t>N</w:t>
      </w:r>
      <w:r w:rsidRPr="009A6E1C">
        <w:rPr>
          <w:i/>
          <w:iCs/>
          <w:sz w:val="24"/>
          <w:vertAlign w:val="subscript"/>
        </w:rPr>
        <w:t>D</w:t>
      </w:r>
      <w:r w:rsidRPr="009A6E1C">
        <w:rPr>
          <w:sz w:val="24"/>
          <w:vertAlign w:val="subscript"/>
        </w:rPr>
        <w:t>,w</w:t>
      </w:r>
      <w:r w:rsidR="009A6E1C" w:rsidRPr="009A6E1C">
        <w:rPr>
          <w:rFonts w:hint="eastAsia"/>
          <w:sz w:val="24"/>
          <w:vertAlign w:val="subscript"/>
        </w:rPr>
        <w:t>,7.5</w:t>
      </w:r>
      <w:r>
        <w:rPr>
          <w:sz w:val="24"/>
        </w:rPr>
        <w:t>）的测量方法。技术关键主要体现在以下几个方面：</w:t>
      </w:r>
    </w:p>
    <w:p w14:paraId="36EECAC3" w14:textId="77777777" w:rsidR="004E531A" w:rsidRDefault="00000000">
      <w:pPr>
        <w:pStyle w:val="2"/>
        <w:spacing w:before="0" w:after="0" w:line="300" w:lineRule="auto"/>
        <w:rPr>
          <w:rFonts w:ascii="Times New Roman" w:eastAsia="黑体" w:hAnsi="Times New Roman" w:cs="Times New Roman"/>
          <w:b w:val="0"/>
          <w:sz w:val="28"/>
          <w:szCs w:val="28"/>
        </w:rPr>
      </w:pPr>
      <w:r>
        <w:rPr>
          <w:rFonts w:ascii="Times New Roman" w:eastAsia="黑体" w:hAnsi="Times New Roman" w:cs="Times New Roman" w:hint="eastAsia"/>
          <w:b w:val="0"/>
          <w:sz w:val="28"/>
          <w:szCs w:val="28"/>
        </w:rPr>
        <w:t>6</w:t>
      </w:r>
      <w:r>
        <w:rPr>
          <w:rFonts w:ascii="Times New Roman" w:eastAsia="黑体" w:hAnsi="Times New Roman" w:cs="Times New Roman"/>
          <w:b w:val="0"/>
          <w:sz w:val="28"/>
          <w:szCs w:val="28"/>
        </w:rPr>
        <w:t xml:space="preserve">.1 </w:t>
      </w:r>
      <w:r>
        <w:rPr>
          <w:rFonts w:ascii="Times New Roman" w:eastAsia="黑体" w:hAnsi="Times New Roman" w:cs="Times New Roman"/>
          <w:b w:val="0"/>
          <w:sz w:val="28"/>
          <w:szCs w:val="28"/>
        </w:rPr>
        <w:t>参考辐射场的建立</w:t>
      </w:r>
    </w:p>
    <w:p w14:paraId="33B6148D" w14:textId="57E6CCBB" w:rsidR="004E531A" w:rsidRDefault="00000000">
      <w:pPr>
        <w:tabs>
          <w:tab w:val="left" w:pos="630"/>
        </w:tabs>
        <w:spacing w:line="360" w:lineRule="auto"/>
        <w:ind w:firstLineChars="200" w:firstLine="480"/>
        <w:jc w:val="left"/>
        <w:rPr>
          <w:sz w:val="24"/>
        </w:rPr>
      </w:pPr>
      <w:r>
        <w:rPr>
          <w:sz w:val="24"/>
        </w:rPr>
        <w:t>规范明确以医用电子束的射线质参数</w:t>
      </w:r>
      <w:r w:rsidRPr="009A6E1C">
        <w:rPr>
          <w:i/>
          <w:iCs/>
          <w:sz w:val="24"/>
        </w:rPr>
        <w:t>R</w:t>
      </w:r>
      <w:r w:rsidRPr="009A6E1C">
        <w:rPr>
          <w:sz w:val="24"/>
          <w:vertAlign w:val="subscript"/>
        </w:rPr>
        <w:t>50</w:t>
      </w:r>
      <w:r>
        <w:rPr>
          <w:sz w:val="24"/>
        </w:rPr>
        <w:t>（水中半值层深度）来定义参考辐射。校准可在</w:t>
      </w:r>
      <w:r w:rsidR="009A6E1C" w:rsidRPr="009A6E1C">
        <w:rPr>
          <w:i/>
          <w:iCs/>
          <w:sz w:val="24"/>
        </w:rPr>
        <w:t>R</w:t>
      </w:r>
      <w:r w:rsidR="009A6E1C" w:rsidRPr="009A6E1C">
        <w:rPr>
          <w:sz w:val="24"/>
          <w:vertAlign w:val="subscript"/>
        </w:rPr>
        <w:t>50</w:t>
      </w:r>
      <w:r>
        <w:rPr>
          <w:sz w:val="24"/>
        </w:rPr>
        <w:t>为</w:t>
      </w:r>
      <w:r>
        <w:rPr>
          <w:sz w:val="24"/>
        </w:rPr>
        <w:t>7.5 cm</w:t>
      </w:r>
      <w:r>
        <w:rPr>
          <w:sz w:val="24"/>
        </w:rPr>
        <w:t>的单一参考辐射中进行，或通过测量</w:t>
      </w:r>
      <w:r w:rsidR="009A6E1C" w:rsidRPr="009A6E1C">
        <w:rPr>
          <w:i/>
          <w:iCs/>
          <w:sz w:val="24"/>
        </w:rPr>
        <w:t>R</w:t>
      </w:r>
      <w:r w:rsidR="009A6E1C" w:rsidRPr="009A6E1C">
        <w:rPr>
          <w:sz w:val="24"/>
          <w:vertAlign w:val="subscript"/>
        </w:rPr>
        <w:t>50</w:t>
      </w:r>
      <w:r>
        <w:rPr>
          <w:sz w:val="24"/>
        </w:rPr>
        <w:t>大于和小于</w:t>
      </w:r>
      <w:r>
        <w:rPr>
          <w:sz w:val="24"/>
        </w:rPr>
        <w:t>7.5 cm</w:t>
      </w:r>
      <w:r>
        <w:rPr>
          <w:sz w:val="24"/>
        </w:rPr>
        <w:t>的两个辐射场后内插得到校准因子。这要求校准实验室具备准确测量和设定电子束</w:t>
      </w:r>
      <w:r w:rsidR="009A6E1C" w:rsidRPr="009A6E1C">
        <w:rPr>
          <w:i/>
          <w:iCs/>
          <w:sz w:val="24"/>
        </w:rPr>
        <w:t>R</w:t>
      </w:r>
      <w:r w:rsidR="009A6E1C" w:rsidRPr="009A6E1C">
        <w:rPr>
          <w:sz w:val="24"/>
          <w:vertAlign w:val="subscript"/>
        </w:rPr>
        <w:t>50</w:t>
      </w:r>
      <w:r>
        <w:rPr>
          <w:sz w:val="24"/>
        </w:rPr>
        <w:t>的能力。</w:t>
      </w:r>
    </w:p>
    <w:p w14:paraId="7DA6B870" w14:textId="77777777" w:rsidR="004E531A" w:rsidRDefault="00000000">
      <w:pPr>
        <w:pStyle w:val="2"/>
        <w:spacing w:before="0" w:after="0" w:line="300" w:lineRule="auto"/>
        <w:rPr>
          <w:rFonts w:ascii="Times New Roman" w:eastAsia="黑体" w:hAnsi="Times New Roman" w:cs="Times New Roman"/>
          <w:b w:val="0"/>
          <w:sz w:val="28"/>
          <w:szCs w:val="28"/>
        </w:rPr>
      </w:pPr>
      <w:r>
        <w:rPr>
          <w:rFonts w:ascii="Times New Roman" w:eastAsia="黑体" w:hAnsi="Times New Roman" w:cs="Times New Roman" w:hint="eastAsia"/>
          <w:b w:val="0"/>
          <w:sz w:val="28"/>
          <w:szCs w:val="28"/>
        </w:rPr>
        <w:t xml:space="preserve">6.2 </w:t>
      </w:r>
      <w:r>
        <w:rPr>
          <w:rFonts w:ascii="Times New Roman" w:eastAsia="黑体" w:hAnsi="Times New Roman" w:cs="Times New Roman"/>
          <w:b w:val="0"/>
          <w:sz w:val="28"/>
          <w:szCs w:val="28"/>
        </w:rPr>
        <w:t>电离室测量修正</w:t>
      </w:r>
    </w:p>
    <w:p w14:paraId="3E443725" w14:textId="3F28CD9C" w:rsidR="004E531A" w:rsidRDefault="00000000">
      <w:pPr>
        <w:tabs>
          <w:tab w:val="left" w:pos="630"/>
        </w:tabs>
        <w:spacing w:line="360" w:lineRule="auto"/>
        <w:ind w:firstLineChars="200" w:firstLine="480"/>
        <w:jc w:val="left"/>
        <w:rPr>
          <w:sz w:val="24"/>
        </w:rPr>
      </w:pPr>
      <w:r>
        <w:rPr>
          <w:sz w:val="24"/>
        </w:rPr>
        <w:t>针对电子束脉冲辐射的特性，规范详细给出了电离室测量值的修正方法，包括温度气压修正（</w:t>
      </w:r>
      <w:proofErr w:type="spellStart"/>
      <w:r w:rsidRPr="009A6E1C">
        <w:rPr>
          <w:i/>
          <w:iCs/>
          <w:sz w:val="24"/>
        </w:rPr>
        <w:t>k</w:t>
      </w:r>
      <w:r w:rsidRPr="009A6E1C">
        <w:rPr>
          <w:sz w:val="24"/>
          <w:vertAlign w:val="subscript"/>
        </w:rPr>
        <w:t>TP</w:t>
      </w:r>
      <w:proofErr w:type="spellEnd"/>
      <w:r>
        <w:rPr>
          <w:sz w:val="24"/>
        </w:rPr>
        <w:t>）、极化效应修正（</w:t>
      </w:r>
      <w:proofErr w:type="spellStart"/>
      <w:r w:rsidR="009A6E1C" w:rsidRPr="009A6E1C">
        <w:rPr>
          <w:i/>
          <w:iCs/>
          <w:sz w:val="24"/>
        </w:rPr>
        <w:t>k</w:t>
      </w:r>
      <w:r w:rsidR="009A6E1C">
        <w:rPr>
          <w:rFonts w:hint="eastAsia"/>
          <w:sz w:val="24"/>
          <w:vertAlign w:val="subscript"/>
        </w:rPr>
        <w:t>pol</w:t>
      </w:r>
      <w:proofErr w:type="spellEnd"/>
      <w:r>
        <w:rPr>
          <w:sz w:val="24"/>
        </w:rPr>
        <w:t>）和离子复合效应修正（</w:t>
      </w:r>
      <w:proofErr w:type="spellStart"/>
      <w:r w:rsidR="009A6E1C" w:rsidRPr="009A6E1C">
        <w:rPr>
          <w:i/>
          <w:iCs/>
          <w:sz w:val="24"/>
        </w:rPr>
        <w:t>k</w:t>
      </w:r>
      <w:r w:rsidR="009A6E1C">
        <w:rPr>
          <w:rFonts w:hint="eastAsia"/>
          <w:sz w:val="24"/>
          <w:vertAlign w:val="subscript"/>
        </w:rPr>
        <w:t>s</w:t>
      </w:r>
      <w:proofErr w:type="spellEnd"/>
      <w:r>
        <w:rPr>
          <w:sz w:val="24"/>
        </w:rPr>
        <w:t>）。其中，极化效应和离子复合效应是电子束校准中的关键修正项，直接影响校准结果的准确性。规范附录中提供了详细的计算方法和系数，以保证修正的正确实施。</w:t>
      </w:r>
    </w:p>
    <w:p w14:paraId="25F95D30" w14:textId="77777777" w:rsidR="004E531A" w:rsidRDefault="00000000">
      <w:pPr>
        <w:pStyle w:val="2"/>
        <w:spacing w:before="0" w:after="0" w:line="300" w:lineRule="auto"/>
        <w:rPr>
          <w:rFonts w:ascii="Times New Roman" w:eastAsia="黑体" w:hAnsi="Times New Roman" w:cs="Times New Roman"/>
          <w:b w:val="0"/>
          <w:sz w:val="28"/>
          <w:szCs w:val="28"/>
        </w:rPr>
      </w:pPr>
      <w:r>
        <w:rPr>
          <w:rFonts w:ascii="Times New Roman" w:eastAsia="黑体" w:hAnsi="Times New Roman" w:cs="Times New Roman" w:hint="eastAsia"/>
          <w:b w:val="0"/>
          <w:sz w:val="28"/>
          <w:szCs w:val="28"/>
        </w:rPr>
        <w:t xml:space="preserve">6.3 </w:t>
      </w:r>
      <w:r>
        <w:rPr>
          <w:rFonts w:ascii="Times New Roman" w:eastAsia="黑体" w:hAnsi="Times New Roman" w:cs="Times New Roman"/>
          <w:b w:val="0"/>
          <w:sz w:val="28"/>
          <w:szCs w:val="28"/>
        </w:rPr>
        <w:t>能量响应修正</w:t>
      </w:r>
    </w:p>
    <w:p w14:paraId="0F8B1435" w14:textId="4198890A" w:rsidR="004E531A" w:rsidRDefault="00000000">
      <w:pPr>
        <w:tabs>
          <w:tab w:val="left" w:pos="630"/>
        </w:tabs>
        <w:spacing w:line="360" w:lineRule="auto"/>
        <w:ind w:firstLineChars="200" w:firstLine="480"/>
        <w:jc w:val="left"/>
        <w:rPr>
          <w:sz w:val="24"/>
        </w:rPr>
      </w:pPr>
      <w:r>
        <w:rPr>
          <w:sz w:val="24"/>
        </w:rPr>
        <w:t>对于非参考射线质（即</w:t>
      </w:r>
      <w:r w:rsidR="009A6E1C" w:rsidRPr="009A6E1C">
        <w:rPr>
          <w:i/>
          <w:iCs/>
          <w:sz w:val="24"/>
        </w:rPr>
        <w:t>R</w:t>
      </w:r>
      <w:r w:rsidR="009A6E1C" w:rsidRPr="009A6E1C">
        <w:rPr>
          <w:sz w:val="24"/>
          <w:vertAlign w:val="subscript"/>
        </w:rPr>
        <w:t>50</w:t>
      </w:r>
      <w:r>
        <w:rPr>
          <w:sz w:val="24"/>
        </w:rPr>
        <w:t>不等于</w:t>
      </w:r>
      <w:r>
        <w:rPr>
          <w:sz w:val="24"/>
        </w:rPr>
        <w:t>7.5 cm</w:t>
      </w:r>
      <w:r>
        <w:rPr>
          <w:sz w:val="24"/>
        </w:rPr>
        <w:t>）的电子束，规范在附录</w:t>
      </w:r>
      <w:r>
        <w:rPr>
          <w:sz w:val="24"/>
        </w:rPr>
        <w:t>D</w:t>
      </w:r>
      <w:r>
        <w:rPr>
          <w:sz w:val="24"/>
        </w:rPr>
        <w:t>中提供了典型电离室的能量响应修正因子（</w:t>
      </w:r>
      <w:r w:rsidRPr="00A155FE">
        <w:rPr>
          <w:i/>
          <w:iCs/>
          <w:sz w:val="24"/>
        </w:rPr>
        <w:t>k</w:t>
      </w:r>
      <w:r w:rsidRPr="00A155FE">
        <w:rPr>
          <w:i/>
          <w:iCs/>
          <w:sz w:val="24"/>
          <w:vertAlign w:val="subscript"/>
        </w:rPr>
        <w:t>Q</w:t>
      </w:r>
      <w:r w:rsidRPr="00A155FE">
        <w:rPr>
          <w:sz w:val="24"/>
          <w:vertAlign w:val="subscript"/>
        </w:rPr>
        <w:t>,7.5</w:t>
      </w:r>
      <w:r>
        <w:rPr>
          <w:sz w:val="24"/>
        </w:rPr>
        <w:t>）表。用户可根据其使用的电离室型号和实际射束的</w:t>
      </w:r>
      <w:r w:rsidR="00A155FE" w:rsidRPr="009A6E1C">
        <w:rPr>
          <w:i/>
          <w:iCs/>
          <w:sz w:val="24"/>
        </w:rPr>
        <w:t>R</w:t>
      </w:r>
      <w:r w:rsidR="00A155FE" w:rsidRPr="009A6E1C">
        <w:rPr>
          <w:sz w:val="24"/>
          <w:vertAlign w:val="subscript"/>
        </w:rPr>
        <w:t>50</w:t>
      </w:r>
      <w:r>
        <w:rPr>
          <w:sz w:val="24"/>
        </w:rPr>
        <w:t>值查表或通过内插得到修正因子，从而将测量结果溯源至</w:t>
      </w:r>
      <w:r w:rsidR="00A155FE" w:rsidRPr="009A6E1C">
        <w:rPr>
          <w:i/>
          <w:iCs/>
          <w:sz w:val="24"/>
        </w:rPr>
        <w:t>R</w:t>
      </w:r>
      <w:r w:rsidR="00A155FE" w:rsidRPr="009A6E1C">
        <w:rPr>
          <w:sz w:val="24"/>
          <w:vertAlign w:val="subscript"/>
        </w:rPr>
        <w:t>50</w:t>
      </w:r>
      <w:r>
        <w:rPr>
          <w:sz w:val="24"/>
        </w:rPr>
        <w:t>为</w:t>
      </w:r>
      <w:r>
        <w:rPr>
          <w:sz w:val="24"/>
        </w:rPr>
        <w:t>7.5 cm</w:t>
      </w:r>
      <w:r>
        <w:rPr>
          <w:sz w:val="24"/>
        </w:rPr>
        <w:t>的参考射线质校准因子，实现不同能量电子束的准确测量。</w:t>
      </w:r>
    </w:p>
    <w:p w14:paraId="191A5DF4" w14:textId="77777777" w:rsidR="004E531A" w:rsidRDefault="00000000">
      <w:pPr>
        <w:pStyle w:val="2"/>
        <w:spacing w:before="0" w:after="0" w:line="300" w:lineRule="auto"/>
        <w:rPr>
          <w:rFonts w:ascii="Times New Roman" w:eastAsia="黑体" w:hAnsi="Times New Roman" w:cs="Times New Roman"/>
          <w:b w:val="0"/>
          <w:sz w:val="28"/>
          <w:szCs w:val="28"/>
        </w:rPr>
      </w:pPr>
      <w:r>
        <w:rPr>
          <w:rFonts w:ascii="Times New Roman" w:eastAsia="黑体" w:hAnsi="Times New Roman" w:cs="Times New Roman" w:hint="eastAsia"/>
          <w:b w:val="0"/>
          <w:sz w:val="28"/>
          <w:szCs w:val="28"/>
        </w:rPr>
        <w:t xml:space="preserve">6.4 </w:t>
      </w:r>
      <w:r>
        <w:rPr>
          <w:rFonts w:ascii="Times New Roman" w:eastAsia="黑体" w:hAnsi="Times New Roman" w:cs="Times New Roman"/>
          <w:b w:val="0"/>
          <w:sz w:val="28"/>
          <w:szCs w:val="28"/>
        </w:rPr>
        <w:t>不确定度评定</w:t>
      </w:r>
    </w:p>
    <w:p w14:paraId="356F37A2" w14:textId="77777777" w:rsidR="004E531A" w:rsidRDefault="00000000">
      <w:pPr>
        <w:tabs>
          <w:tab w:val="left" w:pos="630"/>
        </w:tabs>
        <w:spacing w:line="360" w:lineRule="auto"/>
        <w:ind w:firstLineChars="200" w:firstLine="480"/>
        <w:jc w:val="left"/>
        <w:rPr>
          <w:sz w:val="24"/>
        </w:rPr>
      </w:pPr>
      <w:r>
        <w:rPr>
          <w:sz w:val="24"/>
        </w:rPr>
        <w:t>规范附录</w:t>
      </w:r>
      <w:r>
        <w:rPr>
          <w:sz w:val="24"/>
        </w:rPr>
        <w:t>B</w:t>
      </w:r>
      <w:r>
        <w:rPr>
          <w:sz w:val="24"/>
        </w:rPr>
        <w:t>给出了校准因子不确定度评定的示例，全面考虑了参考剂量计、</w:t>
      </w:r>
      <w:r>
        <w:rPr>
          <w:sz w:val="24"/>
        </w:rPr>
        <w:lastRenderedPageBreak/>
        <w:t>测量重复性、温度气压、电离室定位、修正因子等各分量，为校准实验室提供了科学的评定方法，确保校准结果的可信度。</w:t>
      </w:r>
    </w:p>
    <w:p w14:paraId="5BE0BD76" w14:textId="77777777" w:rsidR="004E531A" w:rsidRDefault="004E531A">
      <w:pPr>
        <w:tabs>
          <w:tab w:val="left" w:pos="630"/>
        </w:tabs>
        <w:spacing w:line="360" w:lineRule="auto"/>
        <w:ind w:firstLineChars="200" w:firstLine="480"/>
        <w:jc w:val="left"/>
        <w:rPr>
          <w:sz w:val="24"/>
        </w:rPr>
      </w:pPr>
    </w:p>
    <w:p w14:paraId="06110F4B" w14:textId="77777777" w:rsidR="004E531A" w:rsidRDefault="00000000">
      <w:pPr>
        <w:wordWrap w:val="0"/>
        <w:spacing w:line="360" w:lineRule="auto"/>
        <w:jc w:val="right"/>
        <w:rPr>
          <w:sz w:val="24"/>
        </w:rPr>
      </w:pPr>
      <w:r>
        <w:rPr>
          <w:rFonts w:hint="eastAsia"/>
          <w:sz w:val="24"/>
        </w:rPr>
        <w:t xml:space="preserve"> </w:t>
      </w:r>
      <w:r>
        <w:rPr>
          <w:rFonts w:hint="eastAsia"/>
          <w:sz w:val="24"/>
        </w:rPr>
        <w:t>《放射治疗用电离室剂量计医用电子束水吸收剂量校准规范》起草小组</w:t>
      </w:r>
    </w:p>
    <w:p w14:paraId="57456433" w14:textId="77777777" w:rsidR="004E531A" w:rsidRDefault="00000000">
      <w:pPr>
        <w:spacing w:line="360" w:lineRule="auto"/>
        <w:ind w:firstLine="600"/>
        <w:jc w:val="right"/>
        <w:rPr>
          <w:sz w:val="24"/>
        </w:rPr>
      </w:pPr>
      <w:r>
        <w:rPr>
          <w:rFonts w:hint="eastAsia"/>
          <w:sz w:val="24"/>
        </w:rPr>
        <w:t>2026</w:t>
      </w:r>
      <w:r>
        <w:rPr>
          <w:rFonts w:hint="eastAsia"/>
          <w:sz w:val="24"/>
        </w:rPr>
        <w:t>年</w:t>
      </w:r>
      <w:r>
        <w:rPr>
          <w:rFonts w:hint="eastAsia"/>
          <w:sz w:val="24"/>
        </w:rPr>
        <w:t>3</w:t>
      </w:r>
      <w:r>
        <w:rPr>
          <w:rFonts w:hint="eastAsia"/>
          <w:sz w:val="24"/>
        </w:rPr>
        <w:t>月</w:t>
      </w:r>
    </w:p>
    <w:p w14:paraId="5B70F16F" w14:textId="77777777" w:rsidR="004E531A" w:rsidRDefault="004E531A">
      <w:pPr>
        <w:autoSpaceDE w:val="0"/>
        <w:autoSpaceDN w:val="0"/>
        <w:adjustRightInd w:val="0"/>
        <w:spacing w:line="360" w:lineRule="auto"/>
        <w:ind w:firstLineChars="200" w:firstLine="480"/>
        <w:rPr>
          <w:sz w:val="24"/>
        </w:rPr>
      </w:pPr>
    </w:p>
    <w:sectPr w:rsidR="004E531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346AC" w14:textId="77777777" w:rsidR="006F6B9A" w:rsidRDefault="006F6B9A" w:rsidP="009A6E1C">
      <w:r>
        <w:separator/>
      </w:r>
    </w:p>
  </w:endnote>
  <w:endnote w:type="continuationSeparator" w:id="0">
    <w:p w14:paraId="69DF2417" w14:textId="77777777" w:rsidR="006F6B9A" w:rsidRDefault="006F6B9A" w:rsidP="009A6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dobe 黑体 Std R"/>
    <w:panose1 w:val="020B0604020202020204"/>
    <w:charset w:val="86"/>
    <w:family w:val="swiss"/>
    <w:pitch w:val="default"/>
    <w:sig w:usb0="00000000" w:usb1="00000000"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5869C" w14:textId="77777777" w:rsidR="006F6B9A" w:rsidRDefault="006F6B9A" w:rsidP="009A6E1C">
      <w:r>
        <w:separator/>
      </w:r>
    </w:p>
  </w:footnote>
  <w:footnote w:type="continuationSeparator" w:id="0">
    <w:p w14:paraId="5B6275D4" w14:textId="77777777" w:rsidR="006F6B9A" w:rsidRDefault="006F6B9A" w:rsidP="009A6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B6240"/>
    <w:multiLevelType w:val="multilevel"/>
    <w:tmpl w:val="0C8B6240"/>
    <w:lvl w:ilvl="0">
      <w:start w:val="1"/>
      <w:numFmt w:val="decimal"/>
      <w:pStyle w:val="a"/>
      <w:lvlText w:val="%1."/>
      <w:lvlJc w:val="left"/>
      <w:pPr>
        <w:tabs>
          <w:tab w:val="left" w:pos="720"/>
        </w:tabs>
        <w:ind w:left="720" w:hanging="720"/>
      </w:pPr>
    </w:lvl>
    <w:lvl w:ilvl="1">
      <w:start w:val="1"/>
      <w:numFmt w:val="decimal"/>
      <w:pStyle w:val="a0"/>
      <w:lvlText w:val="%2."/>
      <w:lvlJc w:val="left"/>
      <w:pPr>
        <w:tabs>
          <w:tab w:val="left" w:pos="1440"/>
        </w:tabs>
        <w:ind w:left="1440" w:hanging="720"/>
      </w:pPr>
    </w:lvl>
    <w:lvl w:ilvl="2">
      <w:start w:val="1"/>
      <w:numFmt w:val="decimal"/>
      <w:pStyle w:val="a1"/>
      <w:lvlText w:val="%3."/>
      <w:lvlJc w:val="left"/>
      <w:pPr>
        <w:tabs>
          <w:tab w:val="left" w:pos="2160"/>
        </w:tabs>
        <w:ind w:left="2160" w:hanging="720"/>
      </w:pPr>
    </w:lvl>
    <w:lvl w:ilvl="3">
      <w:start w:val="1"/>
      <w:numFmt w:val="decimal"/>
      <w:pStyle w:val="a2"/>
      <w:lvlText w:val="%4."/>
      <w:lvlJc w:val="left"/>
      <w:pPr>
        <w:tabs>
          <w:tab w:val="left" w:pos="2880"/>
        </w:tabs>
        <w:ind w:left="2880" w:hanging="720"/>
      </w:pPr>
    </w:lvl>
    <w:lvl w:ilvl="4">
      <w:start w:val="1"/>
      <w:numFmt w:val="decimal"/>
      <w:pStyle w:val="a3"/>
      <w:lvlText w:val="%5."/>
      <w:lvlJc w:val="left"/>
      <w:pPr>
        <w:tabs>
          <w:tab w:val="left" w:pos="3600"/>
        </w:tabs>
        <w:ind w:left="3600" w:hanging="720"/>
      </w:pPr>
    </w:lvl>
    <w:lvl w:ilvl="5">
      <w:start w:val="1"/>
      <w:numFmt w:val="decimal"/>
      <w:pStyle w:val="a4"/>
      <w:lvlText w:val="%6."/>
      <w:lvlJc w:val="left"/>
      <w:pPr>
        <w:tabs>
          <w:tab w:val="left" w:pos="4320"/>
        </w:tabs>
        <w:ind w:left="4320" w:hanging="720"/>
      </w:pPr>
    </w:lvl>
    <w:lvl w:ilvl="6">
      <w:start w:val="1"/>
      <w:numFmt w:val="decimal"/>
      <w:pStyle w:val="a5"/>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04672D2"/>
    <w:multiLevelType w:val="multilevel"/>
    <w:tmpl w:val="104672D2"/>
    <w:lvl w:ilvl="0">
      <w:start w:val="1"/>
      <w:numFmt w:val="lowerLetter"/>
      <w:lvlText w:val="%1）"/>
      <w:lvlJc w:val="left"/>
      <w:pPr>
        <w:ind w:left="900" w:hanging="420"/>
      </w:pPr>
      <w:rPr>
        <w:rFonts w:hint="eastAsia"/>
        <w:b/>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76933334"/>
    <w:multiLevelType w:val="multilevel"/>
    <w:tmpl w:val="76933334"/>
    <w:lvl w:ilvl="0">
      <w:start w:val="1"/>
      <w:numFmt w:val="none"/>
      <w:pStyle w:val="a6"/>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714116064">
    <w:abstractNumId w:val="2"/>
  </w:num>
  <w:num w:numId="2" w16cid:durableId="422142787">
    <w:abstractNumId w:val="0"/>
  </w:num>
  <w:num w:numId="3" w16cid:durableId="1473521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A3YTBmNTQ1MGE5ODNiNzhmMjg3MmI5YmU5NTQ0OTgifQ=="/>
  </w:docVars>
  <w:rsids>
    <w:rsidRoot w:val="00C1110B"/>
    <w:rsid w:val="00013151"/>
    <w:rsid w:val="000132DC"/>
    <w:rsid w:val="00033D7B"/>
    <w:rsid w:val="000B1871"/>
    <w:rsid w:val="000E06DD"/>
    <w:rsid w:val="00100098"/>
    <w:rsid w:val="00114877"/>
    <w:rsid w:val="00151368"/>
    <w:rsid w:val="001E3644"/>
    <w:rsid w:val="002012F2"/>
    <w:rsid w:val="002061A1"/>
    <w:rsid w:val="0022714F"/>
    <w:rsid w:val="0024198C"/>
    <w:rsid w:val="002B0696"/>
    <w:rsid w:val="002B37F6"/>
    <w:rsid w:val="002D4AC2"/>
    <w:rsid w:val="002E5716"/>
    <w:rsid w:val="002F7904"/>
    <w:rsid w:val="00315B08"/>
    <w:rsid w:val="003A01CB"/>
    <w:rsid w:val="0041220D"/>
    <w:rsid w:val="004B7533"/>
    <w:rsid w:val="004C3063"/>
    <w:rsid w:val="004E531A"/>
    <w:rsid w:val="004F7BC2"/>
    <w:rsid w:val="00614429"/>
    <w:rsid w:val="006424CB"/>
    <w:rsid w:val="00664A1C"/>
    <w:rsid w:val="006F6B9A"/>
    <w:rsid w:val="00710273"/>
    <w:rsid w:val="00737A1B"/>
    <w:rsid w:val="00764FD3"/>
    <w:rsid w:val="0078424B"/>
    <w:rsid w:val="007B36F6"/>
    <w:rsid w:val="0081051E"/>
    <w:rsid w:val="0083496F"/>
    <w:rsid w:val="0083769B"/>
    <w:rsid w:val="00841DF6"/>
    <w:rsid w:val="008A2944"/>
    <w:rsid w:val="008B2A97"/>
    <w:rsid w:val="008B5BF0"/>
    <w:rsid w:val="008D4FEF"/>
    <w:rsid w:val="0094381E"/>
    <w:rsid w:val="009A53BD"/>
    <w:rsid w:val="009A6E1C"/>
    <w:rsid w:val="00A00B9A"/>
    <w:rsid w:val="00A155FE"/>
    <w:rsid w:val="00A905B2"/>
    <w:rsid w:val="00AD6B5B"/>
    <w:rsid w:val="00BB49E6"/>
    <w:rsid w:val="00BD264F"/>
    <w:rsid w:val="00C05BEB"/>
    <w:rsid w:val="00C07262"/>
    <w:rsid w:val="00C1110B"/>
    <w:rsid w:val="00C176E5"/>
    <w:rsid w:val="00C64475"/>
    <w:rsid w:val="00C80F3F"/>
    <w:rsid w:val="00C975C3"/>
    <w:rsid w:val="00CE2DEB"/>
    <w:rsid w:val="00D15370"/>
    <w:rsid w:val="00D6507F"/>
    <w:rsid w:val="00D86ED6"/>
    <w:rsid w:val="00D95484"/>
    <w:rsid w:val="00DA4A51"/>
    <w:rsid w:val="00DD4750"/>
    <w:rsid w:val="00E73AB2"/>
    <w:rsid w:val="00E9491D"/>
    <w:rsid w:val="00ED3284"/>
    <w:rsid w:val="00F13A19"/>
    <w:rsid w:val="00F5028E"/>
    <w:rsid w:val="00F67297"/>
    <w:rsid w:val="00FB4BCC"/>
    <w:rsid w:val="02387303"/>
    <w:rsid w:val="031F6A0D"/>
    <w:rsid w:val="03490487"/>
    <w:rsid w:val="03E65DAB"/>
    <w:rsid w:val="0DE60900"/>
    <w:rsid w:val="0F546401"/>
    <w:rsid w:val="12C62CB0"/>
    <w:rsid w:val="16266177"/>
    <w:rsid w:val="1ADB3980"/>
    <w:rsid w:val="1E1C04F3"/>
    <w:rsid w:val="23D07829"/>
    <w:rsid w:val="281A009F"/>
    <w:rsid w:val="3DB04DAA"/>
    <w:rsid w:val="46D841EB"/>
    <w:rsid w:val="54A50F14"/>
    <w:rsid w:val="5E8F7352"/>
    <w:rsid w:val="6FBF2AA9"/>
    <w:rsid w:val="715A5363"/>
    <w:rsid w:val="76E55B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D65BFD"/>
  <w15:docId w15:val="{14B98D7A-4A52-4E17-BF87-457A7DF75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uiPriority="0" w:qFormat="1"/>
    <w:lsdException w:name="HTML Cite" w:semiHidden="1" w:unhideWhenUsed="1"/>
    <w:lsdException w:name="HTML Code" w:uiPriority="0"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iPriority="0"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autoRedefine/>
    <w:qFormat/>
    <w:pPr>
      <w:widowControl w:val="0"/>
      <w:jc w:val="both"/>
    </w:pPr>
    <w:rPr>
      <w:kern w:val="2"/>
      <w:sz w:val="21"/>
      <w:szCs w:val="24"/>
    </w:rPr>
  </w:style>
  <w:style w:type="paragraph" w:styleId="1">
    <w:name w:val="heading 1"/>
    <w:basedOn w:val="a7"/>
    <w:next w:val="a7"/>
    <w:link w:val="10"/>
    <w:autoRedefine/>
    <w:qFormat/>
    <w:pPr>
      <w:keepNext/>
      <w:keepLines/>
      <w:spacing w:before="340" w:after="330" w:line="578" w:lineRule="auto"/>
      <w:outlineLvl w:val="0"/>
    </w:pPr>
    <w:rPr>
      <w:b/>
      <w:bCs/>
      <w:kern w:val="44"/>
      <w:sz w:val="44"/>
      <w:szCs w:val="44"/>
    </w:rPr>
  </w:style>
  <w:style w:type="paragraph" w:styleId="2">
    <w:name w:val="heading 2"/>
    <w:basedOn w:val="a7"/>
    <w:next w:val="a7"/>
    <w:link w:val="20"/>
    <w:autoRedefine/>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7"/>
    <w:next w:val="a7"/>
    <w:link w:val="30"/>
    <w:autoRedefine/>
    <w:uiPriority w:val="9"/>
    <w:unhideWhenUsed/>
    <w:qFormat/>
    <w:pPr>
      <w:keepNext/>
      <w:keepLines/>
      <w:spacing w:before="260" w:after="260" w:line="416" w:lineRule="auto"/>
      <w:outlineLvl w:val="2"/>
    </w:pPr>
    <w:rPr>
      <w:b/>
      <w:bCs/>
      <w:sz w:val="32"/>
      <w:szCs w:val="32"/>
    </w:rPr>
  </w:style>
  <w:style w:type="paragraph" w:styleId="4">
    <w:name w:val="heading 4"/>
    <w:basedOn w:val="a7"/>
    <w:next w:val="a7"/>
    <w:link w:val="40"/>
    <w:autoRedefine/>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Document Map"/>
    <w:basedOn w:val="a7"/>
    <w:link w:val="ac"/>
    <w:autoRedefine/>
    <w:qFormat/>
    <w:rPr>
      <w:rFonts w:ascii="宋体"/>
      <w:sz w:val="18"/>
      <w:szCs w:val="18"/>
    </w:rPr>
  </w:style>
  <w:style w:type="paragraph" w:styleId="HTML">
    <w:name w:val="HTML Address"/>
    <w:basedOn w:val="a7"/>
    <w:link w:val="HTML0"/>
    <w:autoRedefine/>
    <w:qFormat/>
    <w:rPr>
      <w:i/>
      <w:iCs/>
    </w:rPr>
  </w:style>
  <w:style w:type="paragraph" w:styleId="ad">
    <w:name w:val="Plain Text"/>
    <w:basedOn w:val="a7"/>
    <w:link w:val="ae"/>
    <w:autoRedefine/>
    <w:qFormat/>
    <w:rPr>
      <w:rFonts w:ascii="宋体" w:hAnsi="Courier New"/>
      <w:szCs w:val="21"/>
    </w:rPr>
  </w:style>
  <w:style w:type="paragraph" w:styleId="af">
    <w:name w:val="Balloon Text"/>
    <w:basedOn w:val="a7"/>
    <w:link w:val="af0"/>
    <w:autoRedefine/>
    <w:qFormat/>
    <w:rPr>
      <w:sz w:val="18"/>
      <w:szCs w:val="18"/>
    </w:rPr>
  </w:style>
  <w:style w:type="paragraph" w:styleId="af1">
    <w:name w:val="footer"/>
    <w:basedOn w:val="a7"/>
    <w:link w:val="af2"/>
    <w:autoRedefine/>
    <w:unhideWhenUsed/>
    <w:qFormat/>
    <w:pPr>
      <w:tabs>
        <w:tab w:val="center" w:pos="4153"/>
        <w:tab w:val="right" w:pos="8306"/>
      </w:tabs>
      <w:snapToGrid w:val="0"/>
      <w:jc w:val="left"/>
    </w:pPr>
    <w:rPr>
      <w:sz w:val="18"/>
      <w:szCs w:val="18"/>
    </w:rPr>
  </w:style>
  <w:style w:type="paragraph" w:styleId="af3">
    <w:name w:val="header"/>
    <w:basedOn w:val="a7"/>
    <w:link w:val="af4"/>
    <w:autoRedefine/>
    <w:unhideWhenUsed/>
    <w:qFormat/>
    <w:pPr>
      <w:pBdr>
        <w:bottom w:val="single" w:sz="6" w:space="1" w:color="auto"/>
      </w:pBdr>
      <w:tabs>
        <w:tab w:val="center" w:pos="4153"/>
        <w:tab w:val="right" w:pos="8306"/>
      </w:tabs>
      <w:snapToGrid w:val="0"/>
      <w:jc w:val="center"/>
    </w:pPr>
    <w:rPr>
      <w:sz w:val="18"/>
      <w:szCs w:val="18"/>
    </w:rPr>
  </w:style>
  <w:style w:type="paragraph" w:styleId="af5">
    <w:name w:val="Normal (Web)"/>
    <w:basedOn w:val="a7"/>
    <w:uiPriority w:val="99"/>
    <w:semiHidden/>
    <w:unhideWhenUsed/>
    <w:rPr>
      <w:sz w:val="24"/>
    </w:rPr>
  </w:style>
  <w:style w:type="paragraph" w:styleId="af6">
    <w:name w:val="Title"/>
    <w:basedOn w:val="a7"/>
    <w:next w:val="a7"/>
    <w:link w:val="af7"/>
    <w:autoRedefine/>
    <w:uiPriority w:val="10"/>
    <w:qFormat/>
    <w:pPr>
      <w:spacing w:before="240" w:after="60" w:line="300" w:lineRule="auto"/>
      <w:jc w:val="center"/>
      <w:outlineLvl w:val="0"/>
    </w:pPr>
    <w:rPr>
      <w:rFonts w:ascii="Cambria" w:hAnsi="Cambria"/>
      <w:b/>
      <w:bCs/>
      <w:sz w:val="32"/>
      <w:szCs w:val="32"/>
    </w:rPr>
  </w:style>
  <w:style w:type="character" w:styleId="af8">
    <w:name w:val="Strong"/>
    <w:basedOn w:val="a8"/>
    <w:uiPriority w:val="22"/>
    <w:qFormat/>
    <w:rPr>
      <w:b/>
    </w:rPr>
  </w:style>
  <w:style w:type="character" w:styleId="af9">
    <w:name w:val="page number"/>
    <w:autoRedefine/>
    <w:qFormat/>
  </w:style>
  <w:style w:type="character" w:styleId="HTML1">
    <w:name w:val="HTML Variable"/>
    <w:autoRedefine/>
    <w:qFormat/>
    <w:rPr>
      <w:i/>
      <w:iCs/>
    </w:rPr>
  </w:style>
  <w:style w:type="character" w:styleId="HTML2">
    <w:name w:val="HTML Code"/>
    <w:autoRedefine/>
    <w:qFormat/>
    <w:rPr>
      <w:rFonts w:ascii="Courier New" w:hAnsi="Courier New"/>
      <w:sz w:val="20"/>
      <w:szCs w:val="20"/>
    </w:rPr>
  </w:style>
  <w:style w:type="character" w:customStyle="1" w:styleId="af4">
    <w:name w:val="页眉 字符"/>
    <w:basedOn w:val="a8"/>
    <w:link w:val="af3"/>
    <w:autoRedefine/>
    <w:qFormat/>
    <w:rPr>
      <w:sz w:val="18"/>
      <w:szCs w:val="18"/>
    </w:rPr>
  </w:style>
  <w:style w:type="character" w:customStyle="1" w:styleId="af2">
    <w:name w:val="页脚 字符"/>
    <w:basedOn w:val="a8"/>
    <w:link w:val="af1"/>
    <w:autoRedefine/>
    <w:qFormat/>
    <w:rPr>
      <w:sz w:val="18"/>
      <w:szCs w:val="18"/>
    </w:rPr>
  </w:style>
  <w:style w:type="character" w:customStyle="1" w:styleId="10">
    <w:name w:val="标题 1 字符"/>
    <w:basedOn w:val="a8"/>
    <w:link w:val="1"/>
    <w:autoRedefine/>
    <w:qFormat/>
    <w:rPr>
      <w:rFonts w:ascii="Times New Roman" w:eastAsia="宋体" w:hAnsi="Times New Roman" w:cs="Times New Roman"/>
      <w:b/>
      <w:bCs/>
      <w:kern w:val="44"/>
      <w:sz w:val="44"/>
      <w:szCs w:val="44"/>
    </w:rPr>
  </w:style>
  <w:style w:type="character" w:customStyle="1" w:styleId="20">
    <w:name w:val="标题 2 字符"/>
    <w:basedOn w:val="a8"/>
    <w:link w:val="2"/>
    <w:autoRedefine/>
    <w:uiPriority w:val="9"/>
    <w:qFormat/>
    <w:rPr>
      <w:rFonts w:asciiTheme="majorHAnsi" w:eastAsiaTheme="majorEastAsia" w:hAnsiTheme="majorHAnsi" w:cstheme="majorBidi"/>
      <w:b/>
      <w:bCs/>
      <w:sz w:val="32"/>
      <w:szCs w:val="32"/>
    </w:rPr>
  </w:style>
  <w:style w:type="character" w:customStyle="1" w:styleId="30">
    <w:name w:val="标题 3 字符"/>
    <w:basedOn w:val="a8"/>
    <w:link w:val="3"/>
    <w:autoRedefine/>
    <w:uiPriority w:val="9"/>
    <w:qFormat/>
    <w:rPr>
      <w:rFonts w:ascii="Times New Roman" w:eastAsia="宋体" w:hAnsi="Times New Roman" w:cs="Times New Roman"/>
      <w:b/>
      <w:bCs/>
      <w:sz w:val="32"/>
      <w:szCs w:val="32"/>
    </w:rPr>
  </w:style>
  <w:style w:type="paragraph" w:customStyle="1" w:styleId="afa">
    <w:name w:val="段"/>
    <w:link w:val="Char"/>
    <w:autoRedefine/>
    <w:qFormat/>
    <w:pPr>
      <w:autoSpaceDE w:val="0"/>
      <w:autoSpaceDN w:val="0"/>
      <w:ind w:firstLineChars="200" w:firstLine="200"/>
      <w:jc w:val="both"/>
    </w:pPr>
    <w:rPr>
      <w:rFonts w:ascii="宋体"/>
      <w:sz w:val="21"/>
    </w:rPr>
  </w:style>
  <w:style w:type="paragraph" w:customStyle="1" w:styleId="afb">
    <w:name w:val="字母编号列项（一级）"/>
    <w:autoRedefine/>
    <w:qFormat/>
    <w:pPr>
      <w:ind w:leftChars="200" w:left="840" w:hangingChars="200" w:hanging="420"/>
      <w:jc w:val="both"/>
    </w:pPr>
    <w:rPr>
      <w:rFonts w:ascii="宋体"/>
      <w:sz w:val="21"/>
    </w:rPr>
  </w:style>
  <w:style w:type="paragraph" w:customStyle="1" w:styleId="a6">
    <w:name w:val="列项——（一级）"/>
    <w:autoRedefine/>
    <w:qFormat/>
    <w:pPr>
      <w:widowControl w:val="0"/>
      <w:numPr>
        <w:numId w:val="1"/>
      </w:numPr>
      <w:tabs>
        <w:tab w:val="clear" w:pos="1140"/>
        <w:tab w:val="left" w:pos="854"/>
      </w:tabs>
      <w:ind w:leftChars="200" w:left="200" w:hangingChars="200" w:hanging="200"/>
      <w:jc w:val="both"/>
    </w:pPr>
    <w:rPr>
      <w:rFonts w:ascii="宋体"/>
      <w:sz w:val="21"/>
    </w:rPr>
  </w:style>
  <w:style w:type="character" w:customStyle="1" w:styleId="HTML0">
    <w:name w:val="HTML 地址 字符"/>
    <w:basedOn w:val="a8"/>
    <w:link w:val="HTML"/>
    <w:autoRedefine/>
    <w:qFormat/>
    <w:rPr>
      <w:rFonts w:ascii="Times New Roman" w:eastAsia="宋体" w:hAnsi="Times New Roman" w:cs="Times New Roman"/>
      <w:i/>
      <w:iCs/>
      <w:szCs w:val="24"/>
    </w:rPr>
  </w:style>
  <w:style w:type="paragraph" w:customStyle="1" w:styleId="a">
    <w:name w:val="前言、引言标题"/>
    <w:next w:val="a7"/>
    <w:autoRedefine/>
    <w:qFormat/>
    <w:pPr>
      <w:numPr>
        <w:numId w:val="2"/>
      </w:numPr>
      <w:shd w:val="clear" w:color="FFFFFF" w:fill="FFFFFF"/>
      <w:spacing w:before="640" w:after="560"/>
      <w:jc w:val="center"/>
      <w:outlineLvl w:val="0"/>
    </w:pPr>
    <w:rPr>
      <w:rFonts w:ascii="黑体" w:eastAsia="黑体"/>
      <w:sz w:val="32"/>
    </w:rPr>
  </w:style>
  <w:style w:type="paragraph" w:customStyle="1" w:styleId="a0">
    <w:name w:val="章标题"/>
    <w:next w:val="afa"/>
    <w:autoRedefine/>
    <w:qFormat/>
    <w:pPr>
      <w:numPr>
        <w:ilvl w:val="1"/>
        <w:numId w:val="2"/>
      </w:numPr>
      <w:spacing w:beforeLines="50" w:afterLines="50"/>
      <w:jc w:val="both"/>
      <w:outlineLvl w:val="1"/>
    </w:pPr>
    <w:rPr>
      <w:rFonts w:ascii="黑体" w:eastAsia="黑体"/>
      <w:sz w:val="21"/>
    </w:rPr>
  </w:style>
  <w:style w:type="paragraph" w:customStyle="1" w:styleId="a1">
    <w:name w:val="一级条标题"/>
    <w:next w:val="afa"/>
    <w:autoRedefine/>
    <w:qFormat/>
    <w:pPr>
      <w:numPr>
        <w:ilvl w:val="2"/>
        <w:numId w:val="2"/>
      </w:numPr>
      <w:outlineLvl w:val="2"/>
    </w:pPr>
    <w:rPr>
      <w:rFonts w:eastAsia="黑体"/>
      <w:sz w:val="21"/>
    </w:rPr>
  </w:style>
  <w:style w:type="paragraph" w:customStyle="1" w:styleId="a2">
    <w:name w:val="二级条标题"/>
    <w:basedOn w:val="a1"/>
    <w:next w:val="afa"/>
    <w:autoRedefine/>
    <w:qFormat/>
    <w:pPr>
      <w:numPr>
        <w:ilvl w:val="3"/>
      </w:numPr>
      <w:outlineLvl w:val="3"/>
    </w:pPr>
  </w:style>
  <w:style w:type="paragraph" w:customStyle="1" w:styleId="a3">
    <w:name w:val="三级条标题"/>
    <w:basedOn w:val="a2"/>
    <w:next w:val="afa"/>
    <w:autoRedefine/>
    <w:qFormat/>
    <w:pPr>
      <w:numPr>
        <w:ilvl w:val="4"/>
      </w:numPr>
      <w:outlineLvl w:val="4"/>
    </w:pPr>
  </w:style>
  <w:style w:type="paragraph" w:customStyle="1" w:styleId="a4">
    <w:name w:val="四级条标题"/>
    <w:basedOn w:val="a3"/>
    <w:next w:val="afa"/>
    <w:autoRedefine/>
    <w:qFormat/>
    <w:pPr>
      <w:numPr>
        <w:ilvl w:val="5"/>
      </w:numPr>
      <w:outlineLvl w:val="5"/>
    </w:pPr>
  </w:style>
  <w:style w:type="paragraph" w:customStyle="1" w:styleId="a5">
    <w:name w:val="五级条标题"/>
    <w:basedOn w:val="a4"/>
    <w:next w:val="afa"/>
    <w:autoRedefine/>
    <w:qFormat/>
    <w:pPr>
      <w:numPr>
        <w:ilvl w:val="6"/>
      </w:numPr>
      <w:outlineLvl w:val="6"/>
    </w:pPr>
  </w:style>
  <w:style w:type="character" w:customStyle="1" w:styleId="Char">
    <w:name w:val="段 Char"/>
    <w:link w:val="afa"/>
    <w:autoRedefine/>
    <w:qFormat/>
    <w:rPr>
      <w:rFonts w:ascii="宋体" w:eastAsia="宋体" w:hAnsi="Times New Roman" w:cs="Times New Roman"/>
      <w:kern w:val="0"/>
      <w:szCs w:val="20"/>
    </w:rPr>
  </w:style>
  <w:style w:type="paragraph" w:customStyle="1" w:styleId="afc">
    <w:name w:val="列项●（二级）"/>
    <w:autoRedefine/>
    <w:qFormat/>
    <w:pPr>
      <w:tabs>
        <w:tab w:val="left" w:pos="760"/>
        <w:tab w:val="left" w:pos="840"/>
      </w:tabs>
      <w:ind w:left="1264" w:hanging="413"/>
      <w:jc w:val="both"/>
    </w:pPr>
    <w:rPr>
      <w:rFonts w:ascii="宋体"/>
      <w:sz w:val="21"/>
    </w:rPr>
  </w:style>
  <w:style w:type="paragraph" w:customStyle="1" w:styleId="afd">
    <w:name w:val="列项◆（三级）"/>
    <w:basedOn w:val="a7"/>
    <w:autoRedefine/>
    <w:qFormat/>
    <w:pPr>
      <w:tabs>
        <w:tab w:val="left" w:pos="1678"/>
      </w:tabs>
      <w:ind w:left="1678" w:hanging="414"/>
    </w:pPr>
    <w:rPr>
      <w:rFonts w:ascii="宋体"/>
      <w:szCs w:val="21"/>
    </w:rPr>
  </w:style>
  <w:style w:type="paragraph" w:customStyle="1" w:styleId="afe">
    <w:name w:val="数字编号列项（二级）"/>
    <w:autoRedefine/>
    <w:qFormat/>
    <w:pPr>
      <w:tabs>
        <w:tab w:val="left" w:pos="1259"/>
      </w:tabs>
      <w:ind w:left="1259" w:hanging="420"/>
      <w:jc w:val="both"/>
    </w:pPr>
    <w:rPr>
      <w:rFonts w:ascii="宋体"/>
      <w:sz w:val="21"/>
    </w:rPr>
  </w:style>
  <w:style w:type="paragraph" w:customStyle="1" w:styleId="aff">
    <w:name w:val="编号列项（三级）"/>
    <w:autoRedefine/>
    <w:qFormat/>
    <w:pPr>
      <w:tabs>
        <w:tab w:val="left" w:pos="0"/>
      </w:tabs>
      <w:ind w:left="1678" w:hanging="419"/>
    </w:pPr>
    <w:rPr>
      <w:rFonts w:ascii="宋体"/>
      <w:sz w:val="21"/>
    </w:rPr>
  </w:style>
  <w:style w:type="paragraph" w:customStyle="1" w:styleId="aff0">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character" w:customStyle="1" w:styleId="aff1">
    <w:name w:val="规程中文名称（标题）"/>
    <w:autoRedefine/>
    <w:uiPriority w:val="1"/>
    <w:qFormat/>
    <w:rPr>
      <w:rFonts w:eastAsia="黑体"/>
      <w:b/>
      <w:sz w:val="52"/>
    </w:rPr>
  </w:style>
  <w:style w:type="paragraph" w:customStyle="1" w:styleId="aff2">
    <w:name w:val="标准文件_章标题"/>
    <w:next w:val="a7"/>
    <w:autoRedefine/>
    <w:qFormat/>
    <w:pPr>
      <w:spacing w:beforeLines="50" w:afterLines="50"/>
      <w:ind w:rightChars="-50" w:right="-50"/>
      <w:jc w:val="both"/>
      <w:outlineLvl w:val="1"/>
    </w:pPr>
    <w:rPr>
      <w:rFonts w:ascii="黑体" w:eastAsia="黑体" w:cs="黑体"/>
      <w:spacing w:val="2"/>
      <w:sz w:val="21"/>
      <w:szCs w:val="21"/>
    </w:rPr>
  </w:style>
  <w:style w:type="paragraph" w:customStyle="1" w:styleId="aff3">
    <w:name w:val="标准文件_一级条标题"/>
    <w:basedOn w:val="aff2"/>
    <w:next w:val="a7"/>
    <w:autoRedefine/>
    <w:qFormat/>
    <w:pPr>
      <w:spacing w:beforeLines="0" w:afterLines="0"/>
      <w:outlineLvl w:val="2"/>
    </w:pPr>
  </w:style>
  <w:style w:type="paragraph" w:customStyle="1" w:styleId="aff4">
    <w:name w:val="标准文件_二级条标题"/>
    <w:basedOn w:val="aff3"/>
    <w:next w:val="a7"/>
    <w:autoRedefine/>
    <w:qFormat/>
    <w:pPr>
      <w:ind w:left="284"/>
      <w:outlineLvl w:val="3"/>
    </w:pPr>
  </w:style>
  <w:style w:type="paragraph" w:customStyle="1" w:styleId="aff5">
    <w:name w:val="前言标题"/>
    <w:next w:val="a7"/>
    <w:autoRedefine/>
    <w:qFormat/>
    <w:pPr>
      <w:shd w:val="clear" w:color="FFFFFF" w:fill="FFFFFF"/>
      <w:spacing w:before="540" w:after="600"/>
      <w:jc w:val="center"/>
      <w:outlineLvl w:val="0"/>
    </w:pPr>
    <w:rPr>
      <w:rFonts w:ascii="黑体" w:eastAsia="黑体" w:cs="黑体"/>
      <w:sz w:val="32"/>
      <w:szCs w:val="32"/>
    </w:rPr>
  </w:style>
  <w:style w:type="paragraph" w:customStyle="1" w:styleId="aff6">
    <w:name w:val="标准文件_三级条标题"/>
    <w:basedOn w:val="aff4"/>
    <w:next w:val="a7"/>
    <w:autoRedefine/>
    <w:qFormat/>
    <w:pPr>
      <w:ind w:left="0"/>
      <w:outlineLvl w:val="4"/>
    </w:pPr>
  </w:style>
  <w:style w:type="paragraph" w:customStyle="1" w:styleId="aff7">
    <w:name w:val="标准文件_四级条标题"/>
    <w:basedOn w:val="aff6"/>
    <w:next w:val="a7"/>
    <w:autoRedefine/>
    <w:qFormat/>
    <w:pPr>
      <w:outlineLvl w:val="5"/>
    </w:pPr>
  </w:style>
  <w:style w:type="paragraph" w:customStyle="1" w:styleId="aff8">
    <w:name w:val="标准文件_五级条标题"/>
    <w:basedOn w:val="aff7"/>
    <w:next w:val="a7"/>
    <w:autoRedefine/>
    <w:qFormat/>
    <w:pPr>
      <w:outlineLvl w:val="6"/>
    </w:pPr>
  </w:style>
  <w:style w:type="character" w:customStyle="1" w:styleId="ae">
    <w:name w:val="纯文本 字符"/>
    <w:basedOn w:val="a8"/>
    <w:link w:val="ad"/>
    <w:autoRedefine/>
    <w:qFormat/>
    <w:rPr>
      <w:rFonts w:ascii="宋体" w:eastAsia="宋体" w:hAnsi="Courier New" w:cs="Times New Roman"/>
      <w:szCs w:val="21"/>
    </w:rPr>
  </w:style>
  <w:style w:type="character" w:customStyle="1" w:styleId="af7">
    <w:name w:val="标题 字符"/>
    <w:basedOn w:val="a8"/>
    <w:link w:val="af6"/>
    <w:autoRedefine/>
    <w:uiPriority w:val="10"/>
    <w:qFormat/>
    <w:rPr>
      <w:rFonts w:ascii="Cambria" w:eastAsia="宋体" w:hAnsi="Cambria" w:cs="Times New Roman"/>
      <w:b/>
      <w:bCs/>
      <w:sz w:val="32"/>
      <w:szCs w:val="32"/>
    </w:rPr>
  </w:style>
  <w:style w:type="character" w:customStyle="1" w:styleId="ac">
    <w:name w:val="文档结构图 字符"/>
    <w:basedOn w:val="a8"/>
    <w:link w:val="ab"/>
    <w:autoRedefine/>
    <w:qFormat/>
    <w:rPr>
      <w:rFonts w:ascii="宋体" w:eastAsia="宋体" w:hAnsi="Times New Roman" w:cs="Times New Roman"/>
      <w:sz w:val="18"/>
      <w:szCs w:val="18"/>
    </w:rPr>
  </w:style>
  <w:style w:type="character" w:customStyle="1" w:styleId="af0">
    <w:name w:val="批注框文本 字符"/>
    <w:basedOn w:val="a8"/>
    <w:link w:val="af"/>
    <w:autoRedefine/>
    <w:qFormat/>
    <w:rPr>
      <w:rFonts w:ascii="Times New Roman" w:eastAsia="宋体" w:hAnsi="Times New Roman" w:cs="Times New Roman"/>
      <w:sz w:val="18"/>
      <w:szCs w:val="18"/>
    </w:rPr>
  </w:style>
  <w:style w:type="paragraph" w:customStyle="1" w:styleId="aff9">
    <w:name w:val="标准文件_段落"/>
    <w:basedOn w:val="a7"/>
    <w:link w:val="Char0"/>
    <w:autoRedefine/>
    <w:qFormat/>
    <w:locked/>
    <w:pPr>
      <w:adjustRightInd w:val="0"/>
      <w:spacing w:line="316" w:lineRule="exact"/>
      <w:ind w:firstLineChars="200" w:firstLine="428"/>
      <w:jc w:val="left"/>
    </w:pPr>
    <w:rPr>
      <w:rFonts w:ascii="宋体"/>
      <w:spacing w:val="2"/>
      <w:kern w:val="0"/>
      <w:szCs w:val="21"/>
    </w:rPr>
  </w:style>
  <w:style w:type="character" w:customStyle="1" w:styleId="Char0">
    <w:name w:val="标准文件_段落 Char"/>
    <w:link w:val="aff9"/>
    <w:autoRedefine/>
    <w:qFormat/>
    <w:rPr>
      <w:rFonts w:ascii="宋体" w:eastAsia="宋体" w:hAnsi="Times New Roman" w:cs="Times New Roman"/>
      <w:spacing w:val="2"/>
      <w:kern w:val="0"/>
      <w:szCs w:val="21"/>
    </w:rPr>
  </w:style>
  <w:style w:type="character" w:customStyle="1" w:styleId="40">
    <w:name w:val="标题 4 字符"/>
    <w:basedOn w:val="a8"/>
    <w:link w:val="4"/>
    <w:autoRedefine/>
    <w:uiPriority w:val="9"/>
    <w:qFormat/>
    <w:rPr>
      <w:rFonts w:asciiTheme="majorHAnsi" w:eastAsiaTheme="majorEastAsia" w:hAnsiTheme="majorHAnsi" w:cstheme="majorBidi"/>
      <w:b/>
      <w:bCs/>
      <w:sz w:val="28"/>
      <w:szCs w:val="28"/>
    </w:rPr>
  </w:style>
  <w:style w:type="paragraph" w:styleId="affa">
    <w:name w:val="List Paragraph"/>
    <w:basedOn w:val="a7"/>
    <w:autoRedefine/>
    <w:qFormat/>
    <w:pPr>
      <w:widowControl/>
      <w:ind w:left="720" w:firstLine="360"/>
      <w:contextualSpacing/>
      <w:jc w:val="left"/>
    </w:pPr>
    <w:rPr>
      <w:rFonts w:ascii="Calibri" w:hAnsi="Calibri"/>
      <w:kern w:val="0"/>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1200</Words>
  <Characters>1344</Characters>
  <Application>Microsoft Office Word</Application>
  <DocSecurity>0</DocSecurity>
  <Lines>48</Lines>
  <Paragraphs>32</Paragraphs>
  <ScaleCrop>false</ScaleCrop>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lishicheng</dc:creator>
  <cp:lastModifiedBy>zp wang</cp:lastModifiedBy>
  <cp:revision>33</cp:revision>
  <dcterms:created xsi:type="dcterms:W3CDTF">2024-01-23T01:23:00Z</dcterms:created>
  <dcterms:modified xsi:type="dcterms:W3CDTF">2026-03-26T00:26:00Z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CA1338319C1D4655921A8D66291DFBC3_13</vt:lpwstr>
  </property>
  <property fmtid="{D5CDD505-2E9C-101B-9397-08002B2CF9AE}" pid="4" name="KSOTemplateDocerSaveRecord">
    <vt:lpwstr>eyJoZGlkIjoiZDA3YTBmNTQ1MGE5ODNiNzhmMjg3MmI5YmU5NTQ0OTgiLCJ1c2VySWQiOiIxMDU4NjQxNzA5In0=</vt:lpwstr>
  </property>
</Properties>
</file>