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384C4">
      <w:pPr>
        <w:ind w:left="-2" w:leftChars="-1" w:right="-1"/>
        <w:jc w:val="center"/>
        <w:rPr>
          <w:rFonts w:hint="eastAsia" w:ascii="黑体" w:hAnsi="黑体" w:eastAsia="黑体"/>
          <w:b/>
          <w:sz w:val="36"/>
          <w:szCs w:val="36"/>
        </w:rPr>
      </w:pPr>
    </w:p>
    <w:p w14:paraId="683CE8FF">
      <w:pPr>
        <w:ind w:left="-2" w:leftChars="-1" w:right="-1"/>
        <w:jc w:val="center"/>
        <w:rPr>
          <w:rFonts w:hint="eastAsia" w:ascii="黑体" w:hAnsi="黑体" w:eastAsia="黑体"/>
          <w:b/>
          <w:sz w:val="36"/>
          <w:szCs w:val="36"/>
        </w:rPr>
      </w:pPr>
    </w:p>
    <w:p w14:paraId="4CEF6A73">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ascii="黑体" w:hAnsi="黑体" w:eastAsia="黑体"/>
          <w:b/>
          <w:sz w:val="36"/>
          <w:szCs w:val="36"/>
        </w:rPr>
      </w:pPr>
      <w:r>
        <w:rPr>
          <w:rFonts w:hint="eastAsia" w:ascii="黑体" w:hAnsi="黑体" w:eastAsia="黑体"/>
          <w:b/>
          <w:sz w:val="36"/>
          <w:szCs w:val="36"/>
        </w:rPr>
        <w:t>中华人民共和国国家计量检定规程</w:t>
      </w:r>
    </w:p>
    <w:p w14:paraId="6700F318">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
          <w:sz w:val="48"/>
          <w:szCs w:val="48"/>
        </w:rPr>
      </w:pPr>
      <w:r>
        <w:rPr>
          <w:rFonts w:eastAsia="仿宋"/>
          <w:b/>
          <w:sz w:val="48"/>
          <w:szCs w:val="48"/>
        </w:rPr>
        <w:t xml:space="preserve"> </w:t>
      </w:r>
    </w:p>
    <w:p w14:paraId="5828781A">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
          <w:sz w:val="48"/>
          <w:szCs w:val="48"/>
        </w:rPr>
      </w:pPr>
      <w:r>
        <w:rPr>
          <w:rFonts w:eastAsia="仿宋"/>
          <w:b/>
          <w:sz w:val="48"/>
          <w:szCs w:val="48"/>
        </w:rPr>
        <w:t xml:space="preserve"> </w:t>
      </w:r>
    </w:p>
    <w:p w14:paraId="333A126C">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
          <w:sz w:val="48"/>
          <w:szCs w:val="48"/>
        </w:rPr>
      </w:pPr>
      <w:r>
        <w:rPr>
          <w:rFonts w:eastAsia="仿宋"/>
          <w:b/>
          <w:sz w:val="48"/>
          <w:szCs w:val="48"/>
        </w:rPr>
        <w:t xml:space="preserve"> </w:t>
      </w:r>
    </w:p>
    <w:p w14:paraId="519339ED">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ascii="黑体" w:hAnsi="黑体" w:eastAsia="黑体"/>
          <w:b/>
          <w:sz w:val="52"/>
          <w:szCs w:val="52"/>
        </w:rPr>
      </w:pPr>
      <w:r>
        <w:rPr>
          <w:rFonts w:hint="eastAsia" w:ascii="黑体" w:hAnsi="黑体" w:eastAsia="黑体"/>
          <w:b/>
          <w:sz w:val="52"/>
          <w:szCs w:val="52"/>
        </w:rPr>
        <w:t>近距离治疗</w:t>
      </w:r>
      <w:r>
        <w:rPr>
          <w:rFonts w:hint="default" w:ascii="Times New Roman" w:hAnsi="Times New Roman" w:eastAsia="黑体" w:cs="Times New Roman"/>
          <w:b/>
          <w:sz w:val="52"/>
          <w:szCs w:val="52"/>
        </w:rPr>
        <w:t>β</w:t>
      </w:r>
      <w:r>
        <w:rPr>
          <w:rFonts w:hint="eastAsia" w:ascii="黑体" w:hAnsi="黑体" w:eastAsia="黑体"/>
          <w:b/>
          <w:sz w:val="52"/>
          <w:szCs w:val="52"/>
        </w:rPr>
        <w:t>辐射源检定规程</w:t>
      </w:r>
    </w:p>
    <w:p w14:paraId="09BAAF27">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
          <w:sz w:val="36"/>
          <w:szCs w:val="36"/>
        </w:rPr>
      </w:pPr>
      <w:r>
        <w:rPr>
          <w:rFonts w:eastAsia="仿宋"/>
          <w:b/>
          <w:sz w:val="36"/>
          <w:szCs w:val="36"/>
        </w:rPr>
        <w:t xml:space="preserve"> </w:t>
      </w:r>
    </w:p>
    <w:p w14:paraId="37F40D44">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
          <w:sz w:val="44"/>
          <w:szCs w:val="44"/>
        </w:rPr>
      </w:pPr>
      <w:r>
        <w:rPr>
          <w:rFonts w:eastAsia="仿宋"/>
          <w:b/>
          <w:sz w:val="44"/>
          <w:szCs w:val="44"/>
        </w:rPr>
        <w:t xml:space="preserve"> </w:t>
      </w:r>
    </w:p>
    <w:p w14:paraId="3CD73496">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
          <w:sz w:val="44"/>
          <w:szCs w:val="44"/>
        </w:rPr>
      </w:pPr>
      <w:r>
        <w:rPr>
          <w:rFonts w:eastAsia="仿宋"/>
          <w:b/>
          <w:sz w:val="44"/>
          <w:szCs w:val="44"/>
        </w:rPr>
        <w:t xml:space="preserve"> </w:t>
      </w:r>
    </w:p>
    <w:p w14:paraId="5CB5F425">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
          <w:sz w:val="44"/>
          <w:szCs w:val="44"/>
        </w:rPr>
      </w:pPr>
      <w:r>
        <w:rPr>
          <w:rFonts w:eastAsia="仿宋"/>
          <w:b/>
          <w:sz w:val="44"/>
          <w:szCs w:val="44"/>
        </w:rPr>
        <w:t xml:space="preserve"> </w:t>
      </w:r>
    </w:p>
    <w:p w14:paraId="7D30E6C8">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
          <w:sz w:val="44"/>
          <w:szCs w:val="44"/>
        </w:rPr>
      </w:pPr>
      <w:r>
        <w:rPr>
          <w:rFonts w:eastAsia="仿宋"/>
          <w:b/>
          <w:sz w:val="44"/>
          <w:szCs w:val="44"/>
        </w:rPr>
        <w:t xml:space="preserve"> </w:t>
      </w:r>
    </w:p>
    <w:p w14:paraId="3EBDF08C">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
          <w:sz w:val="44"/>
          <w:szCs w:val="44"/>
        </w:rPr>
      </w:pPr>
      <w:r>
        <w:rPr>
          <w:rFonts w:eastAsia="仿宋"/>
          <w:b/>
          <w:sz w:val="44"/>
          <w:szCs w:val="44"/>
        </w:rPr>
        <w:t xml:space="preserve"> </w:t>
      </w:r>
    </w:p>
    <w:p w14:paraId="10C47723">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
          <w:sz w:val="44"/>
          <w:szCs w:val="44"/>
        </w:rPr>
      </w:pPr>
      <w:r>
        <w:rPr>
          <w:rFonts w:eastAsia="仿宋"/>
          <w:b/>
          <w:sz w:val="44"/>
          <w:szCs w:val="44"/>
        </w:rPr>
        <w:t xml:space="preserve"> </w:t>
      </w:r>
    </w:p>
    <w:p w14:paraId="66492843">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Cs/>
          <w:sz w:val="44"/>
          <w:szCs w:val="44"/>
        </w:rPr>
      </w:pPr>
      <w:r>
        <w:rPr>
          <w:rFonts w:eastAsia="仿宋"/>
          <w:bCs/>
          <w:sz w:val="44"/>
          <w:szCs w:val="44"/>
        </w:rPr>
        <w:t xml:space="preserve"> </w:t>
      </w:r>
    </w:p>
    <w:p w14:paraId="05AEFF8D">
      <w:pPr>
        <w:keepNext w:val="0"/>
        <w:keepLines w:val="0"/>
        <w:pageBreakBefore w:val="0"/>
        <w:widowControl w:val="0"/>
        <w:kinsoku/>
        <w:wordWrap/>
        <w:overflowPunct/>
        <w:topLinePunct w:val="0"/>
        <w:autoSpaceDE/>
        <w:autoSpaceDN/>
        <w:bidi w:val="0"/>
        <w:adjustRightInd/>
        <w:spacing w:afterAutospacing="0" w:line="480" w:lineRule="exact"/>
        <w:jc w:val="center"/>
        <w:textAlignment w:val="auto"/>
        <w:rPr>
          <w:rFonts w:ascii="宋体" w:hAnsi="宋体"/>
          <w:bCs/>
          <w:sz w:val="44"/>
          <w:szCs w:val="44"/>
        </w:rPr>
      </w:pPr>
      <w:r>
        <w:rPr>
          <w:rFonts w:hint="eastAsia" w:ascii="宋体" w:hAnsi="宋体"/>
          <w:b/>
          <w:sz w:val="44"/>
          <w:szCs w:val="44"/>
        </w:rPr>
        <w:t>编制说明</w:t>
      </w:r>
    </w:p>
    <w:p w14:paraId="7EF08B71">
      <w:pPr>
        <w:keepNext w:val="0"/>
        <w:keepLines w:val="0"/>
        <w:pageBreakBefore w:val="0"/>
        <w:widowControl w:val="0"/>
        <w:kinsoku/>
        <w:wordWrap/>
        <w:overflowPunct/>
        <w:topLinePunct w:val="0"/>
        <w:autoSpaceDE/>
        <w:autoSpaceDN/>
        <w:bidi w:val="0"/>
        <w:adjustRightInd/>
        <w:spacing w:afterAutospacing="0" w:line="480" w:lineRule="exact"/>
        <w:jc w:val="center"/>
        <w:textAlignment w:val="auto"/>
        <w:rPr>
          <w:rFonts w:eastAsia="仿宋"/>
          <w:sz w:val="28"/>
          <w:szCs w:val="28"/>
        </w:rPr>
      </w:pPr>
      <w:r>
        <w:rPr>
          <w:rFonts w:eastAsia="仿宋"/>
          <w:sz w:val="28"/>
          <w:szCs w:val="28"/>
        </w:rPr>
        <w:t xml:space="preserve"> </w:t>
      </w:r>
    </w:p>
    <w:p w14:paraId="1C30D82F">
      <w:pPr>
        <w:keepNext w:val="0"/>
        <w:keepLines w:val="0"/>
        <w:pageBreakBefore w:val="0"/>
        <w:widowControl w:val="0"/>
        <w:kinsoku/>
        <w:wordWrap/>
        <w:overflowPunct/>
        <w:topLinePunct w:val="0"/>
        <w:autoSpaceDE/>
        <w:autoSpaceDN/>
        <w:bidi w:val="0"/>
        <w:adjustRightInd/>
        <w:spacing w:afterAutospacing="0"/>
        <w:ind w:left="-2" w:leftChars="-1" w:right="-1"/>
        <w:jc w:val="center"/>
        <w:textAlignment w:val="auto"/>
        <w:rPr>
          <w:rFonts w:eastAsia="仿宋"/>
          <w:b/>
          <w:sz w:val="44"/>
          <w:szCs w:val="44"/>
        </w:rPr>
      </w:pPr>
      <w:r>
        <w:rPr>
          <w:rFonts w:eastAsia="仿宋"/>
          <w:b/>
          <w:sz w:val="44"/>
          <w:szCs w:val="44"/>
        </w:rPr>
        <w:t xml:space="preserve"> </w:t>
      </w:r>
    </w:p>
    <w:p w14:paraId="01010CFC">
      <w:pPr>
        <w:keepNext w:val="0"/>
        <w:keepLines w:val="0"/>
        <w:pageBreakBefore w:val="0"/>
        <w:widowControl w:val="0"/>
        <w:kinsoku/>
        <w:wordWrap/>
        <w:overflowPunct/>
        <w:topLinePunct w:val="0"/>
        <w:autoSpaceDE/>
        <w:autoSpaceDN/>
        <w:bidi w:val="0"/>
        <w:adjustRightInd/>
        <w:spacing w:afterAutospacing="0"/>
        <w:textAlignment w:val="auto"/>
      </w:pPr>
      <w:r>
        <w:br w:type="page"/>
      </w:r>
    </w:p>
    <w:p w14:paraId="2D103099">
      <w:pPr>
        <w:keepNext w:val="0"/>
        <w:keepLines w:val="0"/>
        <w:pageBreakBefore w:val="0"/>
        <w:widowControl w:val="0"/>
        <w:kinsoku/>
        <w:wordWrap/>
        <w:overflowPunct/>
        <w:topLinePunct w:val="0"/>
        <w:autoSpaceDE/>
        <w:autoSpaceDN/>
        <w:bidi w:val="0"/>
        <w:adjustRightInd/>
        <w:spacing w:afterAutospacing="0" w:line="360" w:lineRule="auto"/>
        <w:ind w:left="-2" w:leftChars="-1"/>
        <w:jc w:val="center"/>
        <w:textAlignment w:val="auto"/>
        <w:rPr>
          <w:rFonts w:ascii="黑体" w:hAnsi="黑体" w:eastAsia="黑体"/>
          <w:b/>
          <w:sz w:val="24"/>
          <w:szCs w:val="52"/>
        </w:rPr>
      </w:pPr>
      <w:r>
        <w:rPr>
          <w:rFonts w:hint="eastAsia" w:ascii="黑体" w:hAnsi="黑体" w:eastAsia="黑体"/>
          <w:b/>
          <w:sz w:val="24"/>
          <w:szCs w:val="52"/>
        </w:rPr>
        <w:t>近距离治疗</w:t>
      </w:r>
      <w:r>
        <w:rPr>
          <w:rFonts w:hint="default" w:ascii="Times New Roman" w:hAnsi="Times New Roman" w:eastAsia="黑体" w:cs="Times New Roman"/>
          <w:b/>
          <w:sz w:val="24"/>
          <w:szCs w:val="52"/>
        </w:rPr>
        <w:t>β</w:t>
      </w:r>
      <w:r>
        <w:rPr>
          <w:rFonts w:hint="eastAsia" w:ascii="黑体" w:hAnsi="黑体" w:eastAsia="黑体"/>
          <w:b/>
          <w:sz w:val="24"/>
          <w:szCs w:val="52"/>
        </w:rPr>
        <w:t>辐射源检定规程编写说明</w:t>
      </w:r>
    </w:p>
    <w:p w14:paraId="78D54A01">
      <w:pPr>
        <w:pStyle w:val="4"/>
        <w:keepNext w:val="0"/>
        <w:keepLines w:val="0"/>
        <w:pageBreakBefore w:val="0"/>
        <w:widowControl w:val="0"/>
        <w:numPr>
          <w:ilvl w:val="0"/>
          <w:numId w:val="1"/>
        </w:numPr>
        <w:kinsoku/>
        <w:wordWrap/>
        <w:overflowPunct/>
        <w:topLinePunct w:val="0"/>
        <w:autoSpaceDE/>
        <w:autoSpaceDN/>
        <w:bidi w:val="0"/>
        <w:adjustRightInd/>
        <w:spacing w:afterAutospacing="0" w:line="360" w:lineRule="auto"/>
        <w:ind w:firstLineChars="0"/>
        <w:textAlignment w:val="auto"/>
        <w:rPr>
          <w:b/>
          <w:sz w:val="24"/>
        </w:rPr>
      </w:pPr>
      <w:r>
        <w:rPr>
          <w:rFonts w:hint="eastAsia"/>
          <w:b/>
          <w:sz w:val="24"/>
        </w:rPr>
        <w:t>制定的必要性</w:t>
      </w:r>
    </w:p>
    <w:p w14:paraId="4194BA29">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近距离治疗β辐射源利用所发射的β射线对体表病变进行精准辐照，是治疗皮肤血管瘤、瘢痕疙瘩、局限性神经性皮炎及眼科翼状胬肉等疾病的重要核素医疗器械。β射线具有浅层穿透和良好的生物学效应，可集中作用于病变组织并减少深部组织损伤。治疗的安全有效依赖于辐射剂量的准确交付。剂量不足会导致疗效欠佳或病情复发；剂量过高可能引起皮肤萎缩、色素脱失乃至溃烂坏死。因此，必须对β辐射源进行科学、统一的计量检定，确保其输出剂量与标称值一致。</w:t>
      </w:r>
    </w:p>
    <w:p w14:paraId="6CC56014">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目前国内尚无国家或行业层面的强制性检定规程。生产企业多执行各自标准，甚至可能缺乏规范的量值溯源</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医疗机构在验收和使用中往往依赖厂家数据或采用自定方法检测，使得β辐射源</w:t>
      </w:r>
      <w:r>
        <w:rPr>
          <w:rFonts w:hint="default" w:ascii="Times New Roman" w:hAnsi="Times New Roman" w:eastAsia="宋体" w:cs="Times New Roman"/>
          <w:sz w:val="24"/>
          <w:lang w:val="en-US" w:eastAsia="zh-CN"/>
        </w:rPr>
        <w:t>输出剂量</w:t>
      </w:r>
      <w:r>
        <w:rPr>
          <w:rFonts w:hint="default" w:ascii="Times New Roman" w:hAnsi="Times New Roman" w:eastAsia="宋体" w:cs="Times New Roman"/>
          <w:sz w:val="24"/>
        </w:rPr>
        <w:t>的准确性难以保障。</w:t>
      </w:r>
    </w:p>
    <w:p w14:paraId="401C90D2">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制定本规程，将为量值传递与溯源、产品生产准入、医疗机构验收和周期检定提供统一技术依据，填补监管空白，提升质量控制水平。</w:t>
      </w:r>
    </w:p>
    <w:p w14:paraId="5836F466">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依据《放射性污染防治法》</w:t>
      </w:r>
      <w:r>
        <w:rPr>
          <w:rFonts w:hint="eastAsia" w:cs="Times New Roman"/>
          <w:sz w:val="24"/>
          <w:lang w:eastAsia="zh-CN"/>
        </w:rPr>
        <w:t>、</w:t>
      </w:r>
      <w:r>
        <w:rPr>
          <w:rFonts w:hint="default" w:ascii="Times New Roman" w:hAnsi="Times New Roman" w:eastAsia="宋体" w:cs="Times New Roman"/>
          <w:sz w:val="24"/>
        </w:rPr>
        <w:t>《医疗器械监督管理条例》</w:t>
      </w:r>
      <w:r>
        <w:rPr>
          <w:rFonts w:hint="eastAsia" w:cs="Times New Roman"/>
          <w:sz w:val="24"/>
          <w:lang w:eastAsia="zh-CN"/>
        </w:rPr>
        <w:t>、</w:t>
      </w:r>
      <w:r>
        <w:rPr>
          <w:rFonts w:hint="default" w:ascii="Times New Roman" w:hAnsi="Times New Roman" w:eastAsia="宋体" w:cs="Times New Roman"/>
          <w:sz w:val="24"/>
        </w:rPr>
        <w:t>《放射诊疗管理规定》等法规，对直接作用于人体的敷贴器，其表面剂量率、均匀性等参数必须符合要求。缺乏强制检定将使不合格设备</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带病上岗</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，增加患者和医疗机构风险。统一的检定规程不仅是监管需要，也将促进企业改进工艺、提高产品一致性，推动产业进步，并为医疗机构提供可靠的设备质量保障。</w:t>
      </w:r>
    </w:p>
    <w:p w14:paraId="6B4A4727">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综上所述，尽快制定《近距离治疗β辐射源检定规程》是解决当前临床实践与监管中突出问题的迫切需要，是保障公众健康与辐射安全的法定责任，也是促进相关产业和技术进步的长远之策，具有显著的社会效益和必要性。</w:t>
      </w:r>
    </w:p>
    <w:p w14:paraId="5F4AF2D4">
      <w:pPr>
        <w:keepNext w:val="0"/>
        <w:keepLines w:val="0"/>
        <w:pageBreakBefore w:val="0"/>
        <w:widowControl w:val="0"/>
        <w:kinsoku/>
        <w:wordWrap/>
        <w:overflowPunct/>
        <w:topLinePunct w:val="0"/>
        <w:autoSpaceDE/>
        <w:autoSpaceDN/>
        <w:bidi w:val="0"/>
        <w:adjustRightInd/>
        <w:snapToGrid w:val="0"/>
        <w:spacing w:afterAutospacing="0" w:line="48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经与全国电离辐射计量技术委员会专家的相关技术沟通与协商，向原国家质检总局正式申请制订《近距离治疗β辐射源检定规程》。</w:t>
      </w:r>
    </w:p>
    <w:p w14:paraId="56BDEBD7">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default" w:ascii="Times New Roman" w:hAnsi="Times New Roman" w:eastAsia="宋体" w:cs="Times New Roman"/>
          <w:sz w:val="24"/>
        </w:rPr>
      </w:pPr>
    </w:p>
    <w:p w14:paraId="3123F447">
      <w:pPr>
        <w:pStyle w:val="4"/>
        <w:keepNext w:val="0"/>
        <w:keepLines w:val="0"/>
        <w:pageBreakBefore w:val="0"/>
        <w:widowControl w:val="0"/>
        <w:numPr>
          <w:ilvl w:val="0"/>
          <w:numId w:val="1"/>
        </w:numPr>
        <w:kinsoku/>
        <w:wordWrap/>
        <w:overflowPunct/>
        <w:topLinePunct w:val="0"/>
        <w:autoSpaceDE/>
        <w:autoSpaceDN/>
        <w:bidi w:val="0"/>
        <w:adjustRightInd/>
        <w:spacing w:afterAutospacing="0" w:line="360" w:lineRule="auto"/>
        <w:ind w:firstLineChars="0"/>
        <w:textAlignment w:val="auto"/>
        <w:rPr>
          <w:rFonts w:ascii="宋体" w:hAnsi="宋体"/>
          <w:b/>
          <w:sz w:val="24"/>
        </w:rPr>
      </w:pPr>
      <w:r>
        <w:rPr>
          <w:rFonts w:hint="eastAsia" w:ascii="宋体" w:hAnsi="宋体"/>
          <w:b/>
          <w:sz w:val="24"/>
        </w:rPr>
        <w:t>编写过程</w:t>
      </w:r>
    </w:p>
    <w:p w14:paraId="50F47A56">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eastAsia" w:ascii="宋体" w:hAnsi="宋体" w:eastAsia="宋体"/>
          <w:sz w:val="24"/>
          <w:lang w:val="en-US" w:eastAsia="zh-CN"/>
        </w:rPr>
      </w:pPr>
      <w:r>
        <w:rPr>
          <w:rFonts w:ascii="宋体" w:hAnsi="宋体"/>
          <w:sz w:val="24"/>
        </w:rPr>
        <w:t>根据国</w:t>
      </w:r>
      <w:r>
        <w:rPr>
          <w:rFonts w:hint="eastAsia" w:ascii="宋体" w:hAnsi="宋体"/>
          <w:sz w:val="24"/>
        </w:rPr>
        <w:t>家</w:t>
      </w:r>
      <w:r>
        <w:rPr>
          <w:rFonts w:ascii="宋体" w:hAnsi="宋体"/>
          <w:sz w:val="24"/>
        </w:rPr>
        <w:t>市场监管总局的决定，成立“</w:t>
      </w:r>
      <w:r>
        <w:rPr>
          <w:rFonts w:hint="eastAsia" w:ascii="宋体" w:hAnsi="宋体"/>
          <w:sz w:val="24"/>
        </w:rPr>
        <w:t>近距离治疗</w:t>
      </w:r>
      <w:r>
        <w:rPr>
          <w:rFonts w:hint="default" w:ascii="Times New Roman" w:hAnsi="Times New Roman" w:cs="Times New Roman"/>
          <w:sz w:val="24"/>
        </w:rPr>
        <w:t>β</w:t>
      </w:r>
      <w:r>
        <w:rPr>
          <w:rFonts w:hint="eastAsia" w:ascii="宋体" w:hAnsi="宋体"/>
          <w:sz w:val="24"/>
        </w:rPr>
        <w:t>辐射源检定规程</w:t>
      </w:r>
      <w:r>
        <w:rPr>
          <w:rFonts w:ascii="宋体" w:hAnsi="宋体"/>
          <w:sz w:val="24"/>
        </w:rPr>
        <w:t>”制定工作组。</w:t>
      </w:r>
      <w:r>
        <w:rPr>
          <w:rFonts w:hint="eastAsia" w:ascii="宋体" w:hAnsi="宋体"/>
          <w:sz w:val="24"/>
        </w:rPr>
        <w:t>工作组由中国测试技术研究院</w:t>
      </w:r>
      <w:r>
        <w:rPr>
          <w:rFonts w:hint="eastAsia" w:ascii="宋体" w:hAnsi="宋体"/>
          <w:sz w:val="24"/>
          <w:lang w:val="en-US" w:eastAsia="zh-CN"/>
        </w:rPr>
        <w:t>、</w:t>
      </w:r>
      <w:r>
        <w:rPr>
          <w:rFonts w:hint="eastAsia" w:ascii="宋体" w:hAnsi="宋体"/>
          <w:sz w:val="24"/>
          <w:lang w:eastAsia="zh-CN"/>
        </w:rPr>
        <w:t>成都医学院第二附属医院·核工业四一六医院、</w:t>
      </w:r>
      <w:r>
        <w:rPr>
          <w:rFonts w:hint="eastAsia" w:ascii="宋体" w:hAnsi="宋体"/>
          <w:sz w:val="24"/>
          <w:lang w:val="en-US" w:eastAsia="zh-CN"/>
        </w:rPr>
        <w:t>成都理工大学</w:t>
      </w:r>
      <w:r>
        <w:rPr>
          <w:rFonts w:hint="eastAsia" w:ascii="宋体" w:hAnsi="宋体"/>
          <w:sz w:val="24"/>
          <w:lang w:eastAsia="zh-CN"/>
        </w:rPr>
        <w:t>、</w:t>
      </w:r>
      <w:r>
        <w:rPr>
          <w:rFonts w:hint="eastAsia" w:ascii="宋体" w:hAnsi="宋体"/>
          <w:sz w:val="24"/>
          <w:lang w:val="en-US" w:eastAsia="zh-CN"/>
        </w:rPr>
        <w:t>中国辐射防护研究院、陕西省计量科学研究院</w:t>
      </w:r>
      <w:r>
        <w:rPr>
          <w:rFonts w:hint="eastAsia" w:ascii="宋体" w:hAnsi="宋体"/>
          <w:sz w:val="24"/>
        </w:rPr>
        <w:t>负责本规程的制定工作。人员如下：</w:t>
      </w:r>
    </w:p>
    <w:p w14:paraId="2F946EF4">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eastAsia" w:ascii="宋体" w:hAnsi="宋体"/>
          <w:sz w:val="24"/>
        </w:rPr>
      </w:pPr>
      <w:r>
        <w:rPr>
          <w:rFonts w:hint="eastAsia" w:ascii="宋体" w:hAnsi="宋体"/>
          <w:sz w:val="24"/>
        </w:rPr>
        <w:t>中国测试技术研究院：任飞旭、李仲林、吴川</w:t>
      </w:r>
    </w:p>
    <w:p w14:paraId="0E5DFCD6">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eastAsia" w:ascii="宋体" w:hAnsi="宋体"/>
          <w:sz w:val="24"/>
          <w:lang w:val="en-US" w:eastAsia="zh-CN"/>
        </w:rPr>
      </w:pPr>
      <w:r>
        <w:rPr>
          <w:rFonts w:hint="eastAsia" w:ascii="宋体" w:hAnsi="宋体"/>
          <w:sz w:val="24"/>
        </w:rPr>
        <w:t>成都医学院第二附属医院·核工业四一六医院</w:t>
      </w:r>
      <w:r>
        <w:rPr>
          <w:rFonts w:hint="eastAsia" w:ascii="宋体" w:hAnsi="宋体"/>
          <w:sz w:val="24"/>
          <w:lang w:eastAsia="zh-CN"/>
        </w:rPr>
        <w:t>：</w:t>
      </w:r>
      <w:r>
        <w:rPr>
          <w:rFonts w:hint="eastAsia" w:ascii="宋体" w:hAnsi="宋体"/>
          <w:sz w:val="24"/>
          <w:lang w:val="en-US" w:eastAsia="zh-CN"/>
        </w:rPr>
        <w:t>江雪</w:t>
      </w:r>
    </w:p>
    <w:p w14:paraId="2728569A">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成都理工大学：万清</w:t>
      </w:r>
    </w:p>
    <w:p w14:paraId="096F54AD">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eastAsia" w:ascii="宋体" w:hAnsi="宋体" w:eastAsia="宋体"/>
          <w:sz w:val="24"/>
          <w:lang w:val="en-US" w:eastAsia="zh-CN"/>
        </w:rPr>
      </w:pPr>
      <w:r>
        <w:rPr>
          <w:rFonts w:hint="eastAsia" w:ascii="宋体" w:hAnsi="宋体"/>
          <w:sz w:val="24"/>
          <w:lang w:val="en-US" w:eastAsia="zh-CN"/>
        </w:rPr>
        <w:t>中国辐射防护研究院：韦应靖</w:t>
      </w:r>
    </w:p>
    <w:p w14:paraId="00EFBD74">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default" w:ascii="宋体" w:hAnsi="宋体"/>
          <w:sz w:val="24"/>
          <w:lang w:val="en-US" w:eastAsia="zh-CN"/>
        </w:rPr>
      </w:pPr>
      <w:r>
        <w:rPr>
          <w:rFonts w:hint="eastAsia" w:ascii="宋体" w:hAnsi="宋体"/>
          <w:sz w:val="24"/>
          <w:lang w:val="en-US" w:eastAsia="zh-CN"/>
        </w:rPr>
        <w:t>陕西省计量科学研究院：鲁曼君</w:t>
      </w:r>
    </w:p>
    <w:p w14:paraId="7D987A99">
      <w:pPr>
        <w:keepNext w:val="0"/>
        <w:keepLines w:val="0"/>
        <w:pageBreakBefore w:val="0"/>
        <w:widowControl w:val="0"/>
        <w:tabs>
          <w:tab w:val="left" w:pos="9923"/>
          <w:tab w:val="left" w:pos="10065"/>
        </w:tabs>
        <w:kinsoku/>
        <w:wordWrap/>
        <w:overflowPunct/>
        <w:topLinePunct w:val="0"/>
        <w:autoSpaceDE/>
        <w:autoSpaceDN/>
        <w:bidi w:val="0"/>
        <w:adjustRightInd/>
        <w:snapToGrid w:val="0"/>
        <w:spacing w:afterAutospacing="0" w:line="480" w:lineRule="exact"/>
        <w:ind w:firstLine="480" w:firstLineChars="200"/>
        <w:textAlignment w:val="auto"/>
        <w:rPr>
          <w:rFonts w:hint="eastAsia" w:ascii="宋体" w:hAnsi="宋体"/>
          <w:sz w:val="24"/>
        </w:rPr>
      </w:pPr>
      <w:r>
        <w:rPr>
          <w:rFonts w:hint="default" w:ascii="Times New Roman" w:hAnsi="Times New Roman" w:cs="Times New Roman"/>
          <w:sz w:val="24"/>
        </w:rPr>
        <w:t>本检定规程计量主要参照JJF 1002-2010《国家计量检定规程编写规则》、JJF 1001-2011《通用计量术语及定义》、JJF 1059.1-2012《测量不确定度评定与表示》</w:t>
      </w:r>
      <w:r>
        <w:rPr>
          <w:rFonts w:hint="default" w:ascii="Times New Roman" w:hAnsi="Times New Roman" w:eastAsia="宋体" w:cs="Times New Roman"/>
          <w:sz w:val="24"/>
          <w:lang w:eastAsia="zh-CN"/>
        </w:rPr>
        <w:t>、JJF 1035—2006《电离辐射计量术语及定义》</w:t>
      </w:r>
      <w:r>
        <w:rPr>
          <w:rFonts w:hint="default" w:ascii="Times New Roman" w:hAnsi="Times New Roman" w:cs="Times New Roman"/>
          <w:sz w:val="24"/>
          <w:lang w:eastAsia="zh-CN"/>
        </w:rPr>
        <w:t>、</w:t>
      </w:r>
      <w:r>
        <w:rPr>
          <w:rFonts w:hint="default" w:ascii="Times New Roman" w:hAnsi="Times New Roman" w:eastAsia="宋体" w:cs="Times New Roman"/>
          <w:sz w:val="24"/>
          <w:lang w:eastAsia="zh-CN"/>
        </w:rPr>
        <w:t>GBZ 120-2020《核医学放射防护要求》、JJG 912-2010《治疗水平电离室剂量计》</w:t>
      </w:r>
      <w:r>
        <w:rPr>
          <w:rFonts w:hint="default" w:ascii="Times New Roman" w:hAnsi="Times New Roman" w:cs="Times New Roman"/>
          <w:sz w:val="24"/>
          <w:lang w:eastAsia="zh-CN"/>
        </w:rPr>
        <w:t>、</w:t>
      </w:r>
      <w:r>
        <w:rPr>
          <w:rFonts w:hint="default" w:ascii="Times New Roman" w:hAnsi="Times New Roman" w:eastAsia="宋体" w:cs="Times New Roman"/>
          <w:sz w:val="24"/>
          <w:lang w:eastAsia="zh-CN"/>
        </w:rPr>
        <w:t>IAEA TECDOC-1274:2002《近距离治疗用光子和β射线源的校准》(Calibration of photon and beta ray sources used in brachytherapy)</w:t>
      </w:r>
      <w:r>
        <w:rPr>
          <w:rFonts w:hint="default" w:ascii="Times New Roman" w:hAnsi="Times New Roman" w:cs="Times New Roman"/>
          <w:sz w:val="24"/>
          <w:lang w:eastAsia="zh-CN"/>
        </w:rPr>
        <w:t>、</w:t>
      </w:r>
      <w:r>
        <w:rPr>
          <w:rFonts w:hint="default" w:ascii="Times New Roman" w:hAnsi="Times New Roman" w:eastAsia="宋体" w:cs="Times New Roman"/>
          <w:sz w:val="24"/>
          <w:lang w:eastAsia="zh-CN"/>
        </w:rPr>
        <w:t>AAPM TG-253 表面近距离放射治疗(Surface brachytherapy)</w:t>
      </w:r>
      <w:r>
        <w:rPr>
          <w:rFonts w:hint="default" w:ascii="Times New Roman" w:hAnsi="Times New Roman" w:cs="Times New Roman"/>
          <w:sz w:val="24"/>
          <w:lang w:eastAsia="zh-CN"/>
        </w:rPr>
        <w:t>、</w:t>
      </w:r>
      <w:r>
        <w:rPr>
          <w:rFonts w:hint="default" w:ascii="Times New Roman" w:hAnsi="Times New Roman" w:eastAsia="宋体" w:cs="Times New Roman"/>
          <w:sz w:val="24"/>
          <w:lang w:eastAsia="zh-CN"/>
        </w:rPr>
        <w:t>IAEA TRS-492:2023《近距离治疗剂量测定-二级标准剂量学实验室和医院用国际规范》(Dosimetry in Brachytherapy-An International Code of Practice for Secondary Standards Dosimetry Laboratories and Hospitals)</w:t>
      </w:r>
      <w:r>
        <w:rPr>
          <w:rFonts w:hint="default" w:ascii="Times New Roman" w:hAnsi="Times New Roman" w:cs="Times New Roman"/>
          <w:sz w:val="24"/>
        </w:rPr>
        <w:t>等标准进行起草，</w:t>
      </w:r>
      <w:r>
        <w:rPr>
          <w:rFonts w:hint="default" w:ascii="Times New Roman" w:hAnsi="Times New Roman" w:cs="Times New Roman"/>
          <w:color w:val="000000"/>
          <w:sz w:val="24"/>
          <w:szCs w:val="24"/>
        </w:rPr>
        <w:t>初稿于202</w:t>
      </w:r>
      <w:r>
        <w:rPr>
          <w:rFonts w:hint="default"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年1</w:t>
      </w:r>
      <w:r>
        <w:rPr>
          <w:rFonts w:hint="eastAsia" w:cs="Times New Roman"/>
          <w:color w:val="000000"/>
          <w:sz w:val="24"/>
          <w:szCs w:val="24"/>
          <w:lang w:val="en-US" w:eastAsia="zh-CN"/>
        </w:rPr>
        <w:t>1</w:t>
      </w:r>
      <w:r>
        <w:rPr>
          <w:rFonts w:hint="default" w:ascii="Times New Roman" w:hAnsi="Times New Roman" w:cs="Times New Roman"/>
          <w:color w:val="000000"/>
          <w:sz w:val="24"/>
          <w:szCs w:val="24"/>
        </w:rPr>
        <w:t>月完成</w:t>
      </w:r>
      <w:r>
        <w:rPr>
          <w:rFonts w:hint="default" w:ascii="Times New Roman" w:hAnsi="Times New Roman" w:cs="Times New Roman"/>
          <w:sz w:val="24"/>
          <w:szCs w:val="24"/>
        </w:rPr>
        <w:t>。经与电离辐射技术委员会和有关专家多次讨论该校准规范检定并进行内容修改并补充，计划于</w:t>
      </w:r>
      <w:r>
        <w:rPr>
          <w:rFonts w:hint="default" w:ascii="Times New Roman" w:hAnsi="Times New Roman" w:cs="Times New Roman"/>
          <w:color w:val="000000"/>
          <w:sz w:val="24"/>
          <w:szCs w:val="24"/>
        </w:rPr>
        <w:t>202</w:t>
      </w:r>
      <w:r>
        <w:rPr>
          <w:rFonts w:hint="default"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年1</w:t>
      </w:r>
      <w:r>
        <w:rPr>
          <w:rFonts w:hint="eastAsia" w:cs="Times New Roman"/>
          <w:color w:val="000000"/>
          <w:sz w:val="24"/>
          <w:szCs w:val="24"/>
          <w:lang w:val="en-US" w:eastAsia="zh-CN"/>
        </w:rPr>
        <w:t>2</w:t>
      </w:r>
      <w:r>
        <w:rPr>
          <w:rFonts w:hint="default" w:ascii="Times New Roman" w:hAnsi="Times New Roman" w:cs="Times New Roman"/>
          <w:color w:val="000000"/>
          <w:sz w:val="24"/>
          <w:szCs w:val="24"/>
        </w:rPr>
        <w:t>月</w:t>
      </w:r>
      <w:r>
        <w:rPr>
          <w:rFonts w:hint="default" w:ascii="Times New Roman" w:hAnsi="Times New Roman" w:cs="Times New Roman"/>
          <w:sz w:val="24"/>
          <w:szCs w:val="24"/>
        </w:rPr>
        <w:t>完成征求意见稿并发送至电离辐射技术委员会全体委员在内的各位专家，广泛征求意见。</w:t>
      </w:r>
    </w:p>
    <w:p w14:paraId="2E514CA3">
      <w:pPr>
        <w:pStyle w:val="4"/>
        <w:keepNext w:val="0"/>
        <w:keepLines w:val="0"/>
        <w:pageBreakBefore w:val="0"/>
        <w:widowControl w:val="0"/>
        <w:numPr>
          <w:ilvl w:val="0"/>
          <w:numId w:val="1"/>
        </w:numPr>
        <w:kinsoku/>
        <w:wordWrap/>
        <w:overflowPunct/>
        <w:topLinePunct w:val="0"/>
        <w:autoSpaceDE/>
        <w:autoSpaceDN/>
        <w:bidi w:val="0"/>
        <w:adjustRightInd/>
        <w:spacing w:afterAutospacing="0" w:line="360" w:lineRule="auto"/>
        <w:ind w:firstLineChars="0"/>
        <w:textAlignment w:val="auto"/>
        <w:rPr>
          <w:rFonts w:ascii="宋体" w:hAnsi="宋体"/>
          <w:b/>
          <w:sz w:val="24"/>
        </w:rPr>
      </w:pPr>
      <w:r>
        <w:rPr>
          <w:rFonts w:hint="eastAsia" w:ascii="宋体" w:hAnsi="宋体"/>
          <w:b/>
          <w:sz w:val="24"/>
        </w:rPr>
        <w:t>检定规程名称和适用范围</w:t>
      </w:r>
    </w:p>
    <w:p w14:paraId="787DC72B">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ascii="宋体" w:hAnsi="宋体"/>
          <w:sz w:val="24"/>
        </w:rPr>
      </w:pPr>
      <w:r>
        <w:rPr>
          <w:rFonts w:hint="eastAsia" w:ascii="宋体" w:hAnsi="宋体"/>
          <w:sz w:val="24"/>
        </w:rPr>
        <w:t>本检定规程只适用于近距离治疗</w:t>
      </w:r>
      <w:r>
        <w:rPr>
          <w:rFonts w:hint="default" w:ascii="Times New Roman" w:hAnsi="Times New Roman" w:cs="Times New Roman"/>
          <w:sz w:val="24"/>
        </w:rPr>
        <w:t>β</w:t>
      </w:r>
      <w:r>
        <w:rPr>
          <w:rFonts w:hint="eastAsia" w:ascii="宋体" w:hAnsi="宋体"/>
          <w:sz w:val="24"/>
        </w:rPr>
        <w:t>辐射源表面</w:t>
      </w:r>
      <w:r>
        <w:rPr>
          <w:rFonts w:hint="eastAsia" w:ascii="宋体" w:hAnsi="宋体"/>
          <w:sz w:val="24"/>
          <w:lang w:val="en-US" w:eastAsia="zh-CN"/>
        </w:rPr>
        <w:t>组织等效</w:t>
      </w:r>
      <w:r>
        <w:rPr>
          <w:rFonts w:hint="eastAsia" w:ascii="宋体" w:hAnsi="宋体"/>
          <w:sz w:val="24"/>
        </w:rPr>
        <w:t>吸收剂量率和表面均匀性的检定。</w:t>
      </w:r>
    </w:p>
    <w:p w14:paraId="15FBFF98">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辐射源种类：</w:t>
      </w:r>
      <w:r>
        <w:rPr>
          <w:rFonts w:hint="default" w:ascii="Times New Roman" w:hAnsi="Times New Roman" w:cs="Times New Roman"/>
          <w:sz w:val="24"/>
          <w:vertAlign w:val="superscript"/>
        </w:rPr>
        <w:t>90</w:t>
      </w:r>
      <w:r>
        <w:rPr>
          <w:rFonts w:hint="default" w:ascii="Times New Roman" w:hAnsi="Times New Roman" w:cs="Times New Roman"/>
          <w:sz w:val="24"/>
        </w:rPr>
        <w:t>Sr</w:t>
      </w:r>
      <w:r>
        <w:rPr>
          <w:rFonts w:hint="eastAsia" w:cs="Times New Roman"/>
          <w:sz w:val="24"/>
          <w:lang w:val="en-US" w:eastAsia="zh-CN"/>
        </w:rPr>
        <w:t>-</w:t>
      </w:r>
      <w:r>
        <w:rPr>
          <w:rFonts w:hint="eastAsia" w:cs="Times New Roman"/>
          <w:sz w:val="24"/>
          <w:vertAlign w:val="superscript"/>
          <w:lang w:val="en-US" w:eastAsia="zh-CN"/>
        </w:rPr>
        <w:t>90</w:t>
      </w:r>
      <w:r>
        <w:rPr>
          <w:rFonts w:hint="eastAsia" w:cs="Times New Roman"/>
          <w:sz w:val="24"/>
          <w:lang w:val="en-US" w:eastAsia="zh-CN"/>
        </w:rPr>
        <w:t xml:space="preserve">Y </w:t>
      </w:r>
      <w:r>
        <w:rPr>
          <w:rFonts w:hint="default" w:ascii="Times New Roman" w:hAnsi="Times New Roman" w:cs="Times New Roman"/>
          <w:sz w:val="24"/>
        </w:rPr>
        <w:t>β源；</w:t>
      </w:r>
    </w:p>
    <w:p w14:paraId="24791CA8">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辐射源</w:t>
      </w:r>
      <w:r>
        <w:rPr>
          <w:rFonts w:hint="default" w:ascii="Times New Roman" w:hAnsi="Times New Roman" w:cs="Times New Roman"/>
          <w:sz w:val="24"/>
          <w:lang w:val="en-US" w:eastAsia="zh-CN"/>
        </w:rPr>
        <w:t>形状</w:t>
      </w:r>
      <w:r>
        <w:rPr>
          <w:rFonts w:hint="default" w:ascii="Times New Roman" w:hAnsi="Times New Roman" w:cs="Times New Roman"/>
          <w:sz w:val="24"/>
        </w:rPr>
        <w:t>：</w:t>
      </w:r>
      <w:r>
        <w:rPr>
          <w:rFonts w:hint="default" w:ascii="Times New Roman" w:hAnsi="Times New Roman" w:cs="Times New Roman"/>
          <w:sz w:val="24"/>
          <w:lang w:val="en-US" w:eastAsia="zh-CN"/>
        </w:rPr>
        <w:t>平面源</w:t>
      </w:r>
      <w:r>
        <w:rPr>
          <w:rFonts w:hint="default" w:ascii="Times New Roman" w:hAnsi="Times New Roman" w:cs="Times New Roman"/>
          <w:sz w:val="24"/>
        </w:rPr>
        <w:t>。</w:t>
      </w:r>
    </w:p>
    <w:p w14:paraId="44ACBA8E">
      <w:pPr>
        <w:pStyle w:val="4"/>
        <w:keepNext w:val="0"/>
        <w:keepLines w:val="0"/>
        <w:pageBreakBefore w:val="0"/>
        <w:widowControl w:val="0"/>
        <w:numPr>
          <w:ilvl w:val="0"/>
          <w:numId w:val="1"/>
        </w:numPr>
        <w:kinsoku/>
        <w:wordWrap/>
        <w:overflowPunct/>
        <w:topLinePunct w:val="0"/>
        <w:autoSpaceDE/>
        <w:autoSpaceDN/>
        <w:bidi w:val="0"/>
        <w:adjustRightInd/>
        <w:spacing w:afterAutospacing="0" w:line="360" w:lineRule="auto"/>
        <w:ind w:firstLineChars="0"/>
        <w:textAlignment w:val="auto"/>
        <w:rPr>
          <w:rFonts w:ascii="宋体" w:hAnsi="宋体"/>
          <w:b/>
          <w:sz w:val="24"/>
        </w:rPr>
      </w:pPr>
      <w:r>
        <w:rPr>
          <w:rFonts w:hint="eastAsia" w:ascii="宋体" w:hAnsi="宋体"/>
          <w:b/>
          <w:sz w:val="24"/>
        </w:rPr>
        <w:t>编写依据</w:t>
      </w:r>
    </w:p>
    <w:p w14:paraId="2F99617F">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ascii="宋体" w:hAnsi="宋体"/>
          <w:sz w:val="24"/>
        </w:rPr>
      </w:pPr>
      <w:r>
        <w:rPr>
          <w:rFonts w:hint="eastAsia" w:ascii="宋体" w:hAnsi="宋体"/>
          <w:sz w:val="24"/>
        </w:rPr>
        <w:t>本规程引用下列文件：</w:t>
      </w:r>
    </w:p>
    <w:p w14:paraId="0C777372">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ascii="宋体" w:hAnsi="宋体" w:eastAsia="宋体" w:cstheme="minorBidi"/>
          <w:sz w:val="24"/>
          <w:szCs w:val="22"/>
        </w:rPr>
      </w:pPr>
      <w:r>
        <w:rPr>
          <w:rFonts w:hint="eastAsia" w:ascii="宋体" w:hAnsi="宋体" w:eastAsia="宋体" w:cstheme="minorBidi"/>
          <w:sz w:val="24"/>
          <w:szCs w:val="22"/>
        </w:rPr>
        <w:t>本规范引用了下列文件：</w:t>
      </w:r>
    </w:p>
    <w:p w14:paraId="4F6F5443">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ascii="Times New Roman" w:hAnsi="Times New Roman" w:eastAsia="宋体" w:cs="Times New Roman"/>
          <w:sz w:val="24"/>
          <w:szCs w:val="22"/>
        </w:rPr>
      </w:pPr>
      <w:r>
        <w:rPr>
          <w:rFonts w:ascii="Times New Roman" w:hAnsi="Times New Roman" w:eastAsia="宋体" w:cs="Times New Roman"/>
          <w:sz w:val="24"/>
          <w:szCs w:val="22"/>
        </w:rPr>
        <w:t>JJF 1035—2006 电离辐射计量术语及定义</w:t>
      </w:r>
    </w:p>
    <w:p w14:paraId="34418F00">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GBZ 120-2020 核医学放射防护要求</w:t>
      </w:r>
    </w:p>
    <w:p w14:paraId="267B7146">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ascii="Times New Roman" w:hAnsi="Times New Roman" w:eastAsia="宋体" w:cs="Times New Roman"/>
          <w:sz w:val="24"/>
          <w:szCs w:val="24"/>
        </w:rPr>
      </w:pPr>
      <w:r>
        <w:rPr>
          <w:rFonts w:hint="default" w:ascii="Times New Roman" w:hAnsi="Times New Roman" w:eastAsia="宋体" w:cs="Times New Roman"/>
          <w:sz w:val="24"/>
          <w:szCs w:val="24"/>
        </w:rPr>
        <w:t>JJG 912-2010</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治疗水平电离室剂量计</w:t>
      </w:r>
    </w:p>
    <w:p w14:paraId="2A02E6C2">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ascii="Times New Roman" w:hAnsi="Times New Roman" w:eastAsia="宋体" w:cs="Times New Roman"/>
          <w:sz w:val="24"/>
          <w:szCs w:val="24"/>
        </w:rPr>
      </w:pPr>
      <w:r>
        <w:rPr>
          <w:rFonts w:hint="default" w:ascii="Times New Roman" w:hAnsi="Times New Roman" w:eastAsia="宋体" w:cs="Times New Roman"/>
          <w:sz w:val="24"/>
          <w:szCs w:val="24"/>
        </w:rPr>
        <w:t>IAEA TECDOC-1274:200</w:t>
      </w:r>
      <w:r>
        <w:rPr>
          <w:rFonts w:hint="eastAsia" w:ascii="Times New Roman" w:hAnsi="Times New Roman" w:eastAsia="宋体" w:cs="Times New Roman"/>
          <w:sz w:val="24"/>
          <w:szCs w:val="24"/>
          <w:lang w:val="en-US" w:eastAsia="zh-CN"/>
        </w:rPr>
        <w:t xml:space="preserve">2 </w:t>
      </w:r>
      <w:r>
        <w:rPr>
          <w:rFonts w:hint="default" w:ascii="Times New Roman" w:hAnsi="Times New Roman" w:eastAsia="宋体" w:cs="Times New Roman"/>
          <w:sz w:val="24"/>
          <w:szCs w:val="24"/>
        </w:rPr>
        <w:t>近距离治疗用光子和β射线源的校准(Calibration of photon and beta ray sources used in brachytherapy)</w:t>
      </w:r>
    </w:p>
    <w:p w14:paraId="38707245">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AAPM TG-253 表面近距离放射治疗(Surface brachytherapy)</w:t>
      </w:r>
    </w:p>
    <w:p w14:paraId="6B8A7B05">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IAEA TRS-492:2023</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近距离治疗剂量测定-二级标准剂量学实验室和医院用国际规范(Dosimetry in Brachytherapy-An International Code of Practice for Secondary Standards Dosimetry Laboratories and Hospitals)</w:t>
      </w:r>
    </w:p>
    <w:p w14:paraId="2858EF02">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ascii="宋体" w:hAnsi="宋体" w:eastAsia="宋体" w:cs="Times New Roman"/>
          <w:kern w:val="0"/>
          <w:sz w:val="24"/>
          <w:szCs w:val="24"/>
        </w:rPr>
      </w:pPr>
      <w:r>
        <w:rPr>
          <w:rFonts w:ascii="宋体" w:hAnsi="宋体" w:eastAsia="宋体" w:cs="Times New Roman"/>
          <w:kern w:val="0"/>
          <w:sz w:val="24"/>
          <w:szCs w:val="24"/>
        </w:rPr>
        <w:t>凡是注日期的引用文件，仅注日期的版本适用于本</w:t>
      </w:r>
      <w:r>
        <w:rPr>
          <w:rFonts w:hint="eastAsia" w:ascii="宋体" w:hAnsi="宋体" w:eastAsia="宋体" w:cs="Times New Roman"/>
          <w:kern w:val="0"/>
          <w:sz w:val="24"/>
          <w:szCs w:val="24"/>
        </w:rPr>
        <w:t>规程</w:t>
      </w:r>
      <w:r>
        <w:rPr>
          <w:rFonts w:ascii="宋体" w:hAnsi="宋体" w:eastAsia="宋体" w:cs="Times New Roman"/>
          <w:kern w:val="0"/>
          <w:sz w:val="24"/>
          <w:szCs w:val="24"/>
        </w:rPr>
        <w:t>；凡是不注日期的引用文件，其最新版本（包括所有的修改单）适用于本</w:t>
      </w:r>
      <w:r>
        <w:rPr>
          <w:rFonts w:hint="eastAsia" w:ascii="宋体" w:hAnsi="宋体" w:eastAsia="宋体" w:cs="Times New Roman"/>
          <w:kern w:val="0"/>
          <w:sz w:val="24"/>
          <w:szCs w:val="24"/>
        </w:rPr>
        <w:t>规程</w:t>
      </w:r>
      <w:r>
        <w:rPr>
          <w:rFonts w:ascii="宋体" w:hAnsi="宋体" w:eastAsia="宋体" w:cs="Times New Roman"/>
          <w:kern w:val="0"/>
          <w:sz w:val="24"/>
          <w:szCs w:val="24"/>
        </w:rPr>
        <w:t>。</w:t>
      </w:r>
    </w:p>
    <w:p w14:paraId="703FB334">
      <w:pPr>
        <w:pStyle w:val="4"/>
        <w:keepNext w:val="0"/>
        <w:keepLines w:val="0"/>
        <w:pageBreakBefore w:val="0"/>
        <w:widowControl w:val="0"/>
        <w:numPr>
          <w:ilvl w:val="0"/>
          <w:numId w:val="1"/>
        </w:numPr>
        <w:kinsoku/>
        <w:wordWrap/>
        <w:overflowPunct/>
        <w:topLinePunct w:val="0"/>
        <w:autoSpaceDE/>
        <w:autoSpaceDN/>
        <w:bidi w:val="0"/>
        <w:adjustRightInd/>
        <w:spacing w:afterAutospacing="0" w:line="360" w:lineRule="auto"/>
        <w:ind w:firstLineChars="0"/>
        <w:textAlignment w:val="auto"/>
        <w:rPr>
          <w:rFonts w:ascii="宋体" w:hAnsi="宋体"/>
          <w:b/>
          <w:sz w:val="24"/>
        </w:rPr>
      </w:pPr>
      <w:r>
        <w:rPr>
          <w:rFonts w:hint="eastAsia" w:ascii="宋体" w:hAnsi="宋体"/>
          <w:b/>
          <w:sz w:val="24"/>
        </w:rPr>
        <w:t>内容说明</w:t>
      </w:r>
    </w:p>
    <w:p w14:paraId="66BC4F24">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1范围</w:t>
      </w:r>
    </w:p>
    <w:p w14:paraId="47090EB7">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规定了本规程使用范围。</w:t>
      </w:r>
    </w:p>
    <w:p w14:paraId="434A7A4F">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2引用文件</w:t>
      </w:r>
    </w:p>
    <w:p w14:paraId="74BF8FBA">
      <w:pPr>
        <w:keepNext w:val="0"/>
        <w:keepLines w:val="0"/>
        <w:pageBreakBefore w:val="0"/>
        <w:widowControl w:val="0"/>
        <w:kinsoku/>
        <w:wordWrap/>
        <w:overflowPunct/>
        <w:topLinePunct w:val="0"/>
        <w:autoSpaceDE/>
        <w:autoSpaceDN/>
        <w:bidi w:val="0"/>
        <w:adjustRightInd/>
        <w:spacing w:afterAutospacing="0"/>
        <w:ind w:firstLine="480" w:firstLineChars="200"/>
        <w:textAlignment w:val="auto"/>
      </w:pPr>
      <w:r>
        <w:rPr>
          <w:sz w:val="24"/>
          <w:szCs w:val="24"/>
        </w:rPr>
        <w:t>列出了本规程所以引用的参考文献的有效版本。</w:t>
      </w:r>
    </w:p>
    <w:p w14:paraId="02A53617">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3术语和计量单位</w:t>
      </w:r>
    </w:p>
    <w:p w14:paraId="05E7F6CF">
      <w:pPr>
        <w:keepNext w:val="0"/>
        <w:keepLines w:val="0"/>
        <w:pageBreakBefore w:val="0"/>
        <w:widowControl w:val="0"/>
        <w:kinsoku/>
        <w:wordWrap/>
        <w:overflowPunct/>
        <w:topLinePunct w:val="0"/>
        <w:autoSpaceDE/>
        <w:autoSpaceDN/>
        <w:bidi w:val="0"/>
        <w:adjustRightInd/>
        <w:spacing w:afterAutospacing="0"/>
        <w:ind w:firstLine="480" w:firstLineChars="200"/>
        <w:textAlignment w:val="auto"/>
        <w:rPr>
          <w:rFonts w:hint="eastAsia" w:eastAsia="宋体"/>
          <w:lang w:eastAsia="zh-CN"/>
        </w:rPr>
      </w:pPr>
      <w:r>
        <w:rPr>
          <w:sz w:val="24"/>
          <w:szCs w:val="24"/>
        </w:rPr>
        <w:t>定义了本规程中用到的相关名词术语</w:t>
      </w:r>
      <w:r>
        <w:rPr>
          <w:rFonts w:hint="eastAsia"/>
          <w:sz w:val="24"/>
          <w:szCs w:val="24"/>
          <w:lang w:eastAsia="zh-CN"/>
        </w:rPr>
        <w:t>。</w:t>
      </w:r>
    </w:p>
    <w:p w14:paraId="716E18C7">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4概述</w:t>
      </w:r>
    </w:p>
    <w:p w14:paraId="66464073">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ascii="宋体" w:hAnsi="宋体"/>
          <w:sz w:val="24"/>
        </w:rPr>
      </w:pPr>
      <w:r>
        <w:rPr>
          <w:rFonts w:hint="eastAsia" w:ascii="宋体" w:hAnsi="宋体"/>
          <w:sz w:val="24"/>
        </w:rPr>
        <w:t>简</w:t>
      </w:r>
      <w:r>
        <w:rPr>
          <w:rFonts w:hint="eastAsia" w:ascii="宋体" w:hAnsi="宋体"/>
          <w:sz w:val="24"/>
          <w:lang w:val="en-US" w:eastAsia="zh-CN"/>
        </w:rPr>
        <w:t>单介绍了</w:t>
      </w:r>
      <w:r>
        <w:rPr>
          <w:rFonts w:hint="eastAsia" w:ascii="宋体" w:hAnsi="宋体"/>
          <w:sz w:val="24"/>
        </w:rPr>
        <w:t>近距离治疗</w:t>
      </w:r>
      <w:r>
        <w:rPr>
          <w:rFonts w:hint="default" w:ascii="Times New Roman" w:hAnsi="Times New Roman" w:cs="Times New Roman"/>
          <w:sz w:val="24"/>
        </w:rPr>
        <w:t>β</w:t>
      </w:r>
      <w:r>
        <w:rPr>
          <w:rFonts w:hint="eastAsia" w:ascii="宋体" w:hAnsi="宋体"/>
          <w:sz w:val="24"/>
        </w:rPr>
        <w:t>辐射源。</w:t>
      </w:r>
    </w:p>
    <w:p w14:paraId="466CD018">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5计量特性</w:t>
      </w:r>
    </w:p>
    <w:p w14:paraId="251F8E38">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给出了</w:t>
      </w:r>
      <w:r>
        <w:rPr>
          <w:rFonts w:hint="eastAsia" w:ascii="宋体" w:hAnsi="宋体"/>
          <w:sz w:val="24"/>
        </w:rPr>
        <w:t>近距离治疗</w:t>
      </w:r>
      <w:r>
        <w:rPr>
          <w:rFonts w:hint="default" w:ascii="Times New Roman" w:hAnsi="Times New Roman" w:cs="Times New Roman"/>
          <w:sz w:val="24"/>
        </w:rPr>
        <w:t>β</w:t>
      </w:r>
      <w:r>
        <w:rPr>
          <w:rFonts w:hint="eastAsia" w:ascii="宋体" w:hAnsi="宋体"/>
          <w:sz w:val="24"/>
        </w:rPr>
        <w:t>辐射源</w:t>
      </w:r>
      <w:r>
        <w:rPr>
          <w:sz w:val="24"/>
        </w:rPr>
        <w:t>检定程序中主要的计量性能要求。</w:t>
      </w:r>
    </w:p>
    <w:p w14:paraId="0A3A4F58">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6通用技术要求</w:t>
      </w:r>
    </w:p>
    <w:p w14:paraId="7BE2AE4E">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给出了</w:t>
      </w:r>
      <w:r>
        <w:rPr>
          <w:rFonts w:hint="eastAsia" w:ascii="宋体" w:hAnsi="宋体"/>
          <w:sz w:val="24"/>
        </w:rPr>
        <w:t>近距离治疗</w:t>
      </w:r>
      <w:r>
        <w:rPr>
          <w:rFonts w:hint="default" w:ascii="Times New Roman" w:hAnsi="Times New Roman" w:cs="Times New Roman"/>
          <w:sz w:val="24"/>
        </w:rPr>
        <w:t>β</w:t>
      </w:r>
      <w:r>
        <w:rPr>
          <w:rFonts w:hint="eastAsia" w:ascii="宋体" w:hAnsi="宋体"/>
          <w:sz w:val="24"/>
        </w:rPr>
        <w:t>辐射源</w:t>
      </w:r>
      <w:r>
        <w:rPr>
          <w:sz w:val="24"/>
        </w:rPr>
        <w:t>检定程序中所需的通用技术要求。</w:t>
      </w:r>
    </w:p>
    <w:p w14:paraId="63960672">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hint="eastAsia" w:eastAsia="宋体"/>
          <w:sz w:val="24"/>
          <w:lang w:eastAsia="zh-CN"/>
        </w:rPr>
      </w:pPr>
      <w:r>
        <w:rPr>
          <w:sz w:val="24"/>
        </w:rPr>
        <w:t>7</w:t>
      </w:r>
      <w:r>
        <w:rPr>
          <w:rFonts w:hint="eastAsia"/>
          <w:sz w:val="24"/>
          <w:lang w:val="en-US" w:eastAsia="zh-CN"/>
        </w:rPr>
        <w:t>计量器具控制</w:t>
      </w:r>
    </w:p>
    <w:p w14:paraId="4A45D191">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ascii="宋体" w:hAnsi="宋体"/>
          <w:sz w:val="24"/>
        </w:rPr>
      </w:pPr>
      <w:r>
        <w:rPr>
          <w:sz w:val="24"/>
        </w:rPr>
        <w:t>给</w:t>
      </w:r>
      <w:r>
        <w:rPr>
          <w:rFonts w:hint="eastAsia" w:ascii="宋体" w:hAnsi="宋体"/>
          <w:sz w:val="24"/>
        </w:rPr>
        <w:t>出了近距离治疗</w:t>
      </w:r>
      <w:r>
        <w:rPr>
          <w:rFonts w:hint="default" w:ascii="Times New Roman" w:hAnsi="Times New Roman" w:cs="Times New Roman"/>
          <w:sz w:val="24"/>
        </w:rPr>
        <w:t>β</w:t>
      </w:r>
      <w:r>
        <w:rPr>
          <w:rFonts w:hint="eastAsia" w:ascii="宋体" w:hAnsi="宋体"/>
          <w:sz w:val="24"/>
        </w:rPr>
        <w:t>辐射源检定程序中的环境条件、检定项目以及对应项目的详细检定方法。</w:t>
      </w:r>
    </w:p>
    <w:p w14:paraId="70D36EB5">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rFonts w:ascii="宋体" w:hAnsi="宋体"/>
          <w:sz w:val="24"/>
        </w:rPr>
      </w:pPr>
      <w:r>
        <w:rPr>
          <w:rFonts w:hint="eastAsia" w:ascii="宋体" w:hAnsi="宋体"/>
          <w:sz w:val="24"/>
        </w:rPr>
        <w:t>对于近距离治疗</w:t>
      </w:r>
      <w:r>
        <w:rPr>
          <w:rFonts w:hint="default" w:ascii="Times New Roman" w:hAnsi="Times New Roman" w:cs="Times New Roman"/>
          <w:sz w:val="24"/>
        </w:rPr>
        <w:t>β</w:t>
      </w:r>
      <w:r>
        <w:rPr>
          <w:rFonts w:hint="eastAsia" w:ascii="宋体" w:hAnsi="宋体"/>
          <w:sz w:val="24"/>
        </w:rPr>
        <w:t>辐射源，检定项目包括</w:t>
      </w:r>
      <w:r>
        <w:rPr>
          <w:rFonts w:hint="eastAsia" w:ascii="Times New Roman" w:hAnsi="Times New Roman" w:eastAsia="宋体" w:cs="Times New Roman"/>
          <w:sz w:val="24"/>
          <w:lang w:val="en-US" w:eastAsia="zh-CN"/>
        </w:rPr>
        <w:t>辐射</w:t>
      </w:r>
      <w:r>
        <w:rPr>
          <w:rFonts w:hint="eastAsia" w:ascii="宋体" w:hAnsi="宋体"/>
          <w:sz w:val="24"/>
        </w:rPr>
        <w:t>源表面组织等效吸收剂量率</w:t>
      </w:r>
      <w:r>
        <w:rPr>
          <w:rFonts w:hint="eastAsia" w:ascii="宋体" w:hAnsi="宋体"/>
          <w:sz w:val="24"/>
          <w:lang w:eastAsia="zh-CN"/>
        </w:rPr>
        <w:t>、</w:t>
      </w:r>
      <w:r>
        <w:rPr>
          <w:rFonts w:hint="eastAsia" w:ascii="Times New Roman" w:hAnsi="Times New Roman" w:eastAsia="宋体" w:cs="Times New Roman"/>
          <w:sz w:val="24"/>
          <w:lang w:val="en-US" w:eastAsia="zh-CN"/>
        </w:rPr>
        <w:t>辐射</w:t>
      </w:r>
      <w:r>
        <w:rPr>
          <w:rFonts w:hint="eastAsia" w:ascii="宋体" w:hAnsi="宋体"/>
          <w:sz w:val="24"/>
        </w:rPr>
        <w:t>源表面均匀性。</w:t>
      </w:r>
    </w:p>
    <w:p w14:paraId="708CDA51">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8附录A</w:t>
      </w:r>
    </w:p>
    <w:p w14:paraId="41858A65">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给出了检定证书内页格式。</w:t>
      </w:r>
    </w:p>
    <w:p w14:paraId="67E8C695">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9附录B</w:t>
      </w:r>
    </w:p>
    <w:p w14:paraId="7CBB7063">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给出了检定结果通知书内页格式。</w:t>
      </w:r>
    </w:p>
    <w:p w14:paraId="61D05125">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bookmarkStart w:id="0" w:name="_GoBack"/>
      <w:r>
        <w:rPr>
          <w:sz w:val="24"/>
        </w:rPr>
        <w:t>10附录C</w:t>
      </w:r>
    </w:p>
    <w:bookmarkEnd w:id="0"/>
    <w:p w14:paraId="25A63152">
      <w:pPr>
        <w:keepNext w:val="0"/>
        <w:keepLines w:val="0"/>
        <w:pageBreakBefore w:val="0"/>
        <w:widowControl w:val="0"/>
        <w:kinsoku/>
        <w:wordWrap/>
        <w:overflowPunct/>
        <w:topLinePunct w:val="0"/>
        <w:autoSpaceDE/>
        <w:autoSpaceDN/>
        <w:bidi w:val="0"/>
        <w:adjustRightInd/>
        <w:spacing w:afterAutospacing="0" w:line="360" w:lineRule="auto"/>
        <w:ind w:firstLine="480" w:firstLineChars="200"/>
        <w:textAlignment w:val="auto"/>
        <w:rPr>
          <w:sz w:val="24"/>
        </w:rPr>
      </w:pPr>
      <w:r>
        <w:rPr>
          <w:sz w:val="24"/>
        </w:rPr>
        <w:t>给出了</w:t>
      </w:r>
      <w:r>
        <w:rPr>
          <w:rFonts w:hint="default" w:ascii="Times New Roman" w:hAnsi="Times New Roman" w:cs="Times New Roman"/>
          <w:sz w:val="24"/>
        </w:rPr>
        <w:t>β</w:t>
      </w:r>
      <w:r>
        <w:rPr>
          <w:rFonts w:hint="eastAsia" w:ascii="宋体" w:hAnsi="宋体"/>
          <w:sz w:val="24"/>
        </w:rPr>
        <w:t>辐射源</w:t>
      </w:r>
      <w:r>
        <w:rPr>
          <w:rFonts w:hint="eastAsia"/>
          <w:sz w:val="24"/>
          <w:lang w:val="en-US" w:eastAsia="zh-CN"/>
        </w:rPr>
        <w:t>表面组织等效</w:t>
      </w:r>
      <w:r>
        <w:rPr>
          <w:sz w:val="24"/>
        </w:rPr>
        <w:t>吸收剂量率的</w:t>
      </w:r>
      <w:r>
        <w:rPr>
          <w:rFonts w:hint="eastAsia"/>
          <w:sz w:val="24"/>
          <w:lang w:val="en-US" w:eastAsia="zh-CN"/>
        </w:rPr>
        <w:t>计算</w:t>
      </w:r>
      <w:r>
        <w:rPr>
          <w:sz w:val="24"/>
        </w:rPr>
        <w:t>。</w:t>
      </w:r>
    </w:p>
    <w:p w14:paraId="7B640111">
      <w:pPr>
        <w:keepNext w:val="0"/>
        <w:keepLines w:val="0"/>
        <w:pageBreakBefore w:val="0"/>
        <w:widowControl w:val="0"/>
        <w:kinsoku/>
        <w:wordWrap/>
        <w:overflowPunct/>
        <w:topLinePunct w:val="0"/>
        <w:autoSpaceDE/>
        <w:autoSpaceDN/>
        <w:bidi w:val="0"/>
        <w:adjustRightInd/>
        <w:snapToGrid w:val="0"/>
        <w:spacing w:afterAutospacing="0" w:line="480" w:lineRule="exact"/>
        <w:ind w:firstLine="480" w:firstLineChars="200"/>
        <w:textAlignment w:val="auto"/>
        <w:rPr>
          <w:sz w:val="24"/>
          <w:szCs w:val="24"/>
        </w:rPr>
      </w:pPr>
      <w:r>
        <w:rPr>
          <w:sz w:val="24"/>
          <w:szCs w:val="24"/>
        </w:rPr>
        <w:t>以上就是对《</w:t>
      </w:r>
      <w:r>
        <w:rPr>
          <w:rFonts w:hint="eastAsia" w:ascii="宋体" w:hAnsi="宋体"/>
          <w:sz w:val="24"/>
        </w:rPr>
        <w:t>近距离治疗</w:t>
      </w:r>
      <w:r>
        <w:rPr>
          <w:rFonts w:hint="default" w:ascii="Times New Roman" w:hAnsi="Times New Roman" w:cs="Times New Roman"/>
          <w:sz w:val="24"/>
        </w:rPr>
        <w:t>β</w:t>
      </w:r>
      <w:r>
        <w:rPr>
          <w:rFonts w:hint="eastAsia" w:ascii="宋体" w:hAnsi="宋体"/>
          <w:sz w:val="24"/>
        </w:rPr>
        <w:t>辐射源</w:t>
      </w:r>
      <w:r>
        <w:rPr>
          <w:rFonts w:hint="eastAsia" w:ascii="宋体" w:hAnsi="宋体"/>
          <w:sz w:val="24"/>
          <w:lang w:val="en-US" w:eastAsia="zh-CN"/>
        </w:rPr>
        <w:t>检定规程</w:t>
      </w:r>
      <w:r>
        <w:rPr>
          <w:sz w:val="24"/>
          <w:szCs w:val="24"/>
        </w:rPr>
        <w:t>》制定的说明，本规程调研、制订及征求意见的过程中，得到了相关领导的大力支持；还有同事和同行以及有关专家在规程的起草过程中提出了大量合理、中肯的建议，并给予了具体的帮助，在此一并表示衷心的感谢！</w:t>
      </w:r>
    </w:p>
    <w:p w14:paraId="1A9FA7DF">
      <w:pPr>
        <w:keepNext w:val="0"/>
        <w:keepLines w:val="0"/>
        <w:pageBreakBefore w:val="0"/>
        <w:widowControl w:val="0"/>
        <w:kinsoku/>
        <w:wordWrap/>
        <w:overflowPunct/>
        <w:topLinePunct w:val="0"/>
        <w:autoSpaceDE/>
        <w:autoSpaceDN/>
        <w:bidi w:val="0"/>
        <w:adjustRightInd/>
        <w:snapToGrid w:val="0"/>
        <w:spacing w:afterAutospacing="0" w:line="480" w:lineRule="exact"/>
        <w:ind w:firstLine="480" w:firstLineChars="200"/>
        <w:textAlignment w:val="auto"/>
        <w:rPr>
          <w:sz w:val="24"/>
          <w:szCs w:val="24"/>
        </w:rPr>
      </w:pPr>
    </w:p>
    <w:p w14:paraId="642D51AA">
      <w:pPr>
        <w:keepNext w:val="0"/>
        <w:keepLines w:val="0"/>
        <w:pageBreakBefore w:val="0"/>
        <w:widowControl w:val="0"/>
        <w:kinsoku/>
        <w:wordWrap/>
        <w:overflowPunct/>
        <w:topLinePunct w:val="0"/>
        <w:autoSpaceDE/>
        <w:autoSpaceDN/>
        <w:bidi w:val="0"/>
        <w:adjustRightInd/>
        <w:snapToGrid w:val="0"/>
        <w:spacing w:afterAutospacing="0" w:line="480" w:lineRule="exact"/>
        <w:ind w:firstLine="480" w:firstLineChars="200"/>
        <w:jc w:val="right"/>
        <w:textAlignment w:val="auto"/>
        <w:rPr>
          <w:sz w:val="24"/>
          <w:szCs w:val="24"/>
        </w:rPr>
      </w:pPr>
      <w:r>
        <w:rPr>
          <w:sz w:val="24"/>
          <w:szCs w:val="24"/>
        </w:rPr>
        <w:t>《</w:t>
      </w:r>
      <w:r>
        <w:rPr>
          <w:rFonts w:hint="eastAsia" w:ascii="宋体" w:hAnsi="宋体"/>
          <w:sz w:val="24"/>
        </w:rPr>
        <w:t>近距离治疗</w:t>
      </w:r>
      <w:r>
        <w:rPr>
          <w:rFonts w:hint="default" w:ascii="Times New Roman" w:hAnsi="Times New Roman" w:cs="Times New Roman"/>
          <w:sz w:val="24"/>
        </w:rPr>
        <w:t>β</w:t>
      </w:r>
      <w:r>
        <w:rPr>
          <w:rFonts w:hint="eastAsia" w:ascii="宋体" w:hAnsi="宋体"/>
          <w:sz w:val="24"/>
        </w:rPr>
        <w:t>辐射源</w:t>
      </w:r>
      <w:r>
        <w:rPr>
          <w:rFonts w:hint="eastAsia" w:ascii="宋体" w:hAnsi="宋体"/>
          <w:sz w:val="24"/>
          <w:lang w:val="en-US" w:eastAsia="zh-CN"/>
        </w:rPr>
        <w:t>检定规程</w:t>
      </w:r>
      <w:r>
        <w:rPr>
          <w:sz w:val="24"/>
          <w:szCs w:val="24"/>
        </w:rPr>
        <w:t>》</w:t>
      </w:r>
    </w:p>
    <w:p w14:paraId="617E5A25">
      <w:pPr>
        <w:keepNext w:val="0"/>
        <w:keepLines w:val="0"/>
        <w:pageBreakBefore w:val="0"/>
        <w:widowControl w:val="0"/>
        <w:kinsoku/>
        <w:wordWrap/>
        <w:overflowPunct/>
        <w:topLinePunct w:val="0"/>
        <w:autoSpaceDE/>
        <w:autoSpaceDN/>
        <w:bidi w:val="0"/>
        <w:adjustRightInd/>
        <w:snapToGrid w:val="0"/>
        <w:spacing w:afterAutospacing="0" w:line="480" w:lineRule="exact"/>
        <w:ind w:firstLine="480" w:firstLineChars="200"/>
        <w:jc w:val="right"/>
        <w:textAlignment w:val="auto"/>
        <w:rPr>
          <w:sz w:val="24"/>
          <w:szCs w:val="24"/>
        </w:rPr>
      </w:pPr>
      <w:r>
        <w:rPr>
          <w:color w:val="000000"/>
          <w:sz w:val="24"/>
          <w:szCs w:val="24"/>
        </w:rPr>
        <w:t>202</w:t>
      </w:r>
      <w:r>
        <w:rPr>
          <w:rFonts w:hint="eastAsia"/>
          <w:color w:val="000000"/>
          <w:sz w:val="24"/>
          <w:szCs w:val="24"/>
          <w:lang w:val="en-US" w:eastAsia="zh-CN"/>
        </w:rPr>
        <w:t>5</w:t>
      </w:r>
      <w:r>
        <w:rPr>
          <w:color w:val="000000"/>
          <w:sz w:val="24"/>
          <w:szCs w:val="24"/>
        </w:rPr>
        <w:t>年1</w:t>
      </w:r>
      <w:r>
        <w:rPr>
          <w:rFonts w:hint="eastAsia"/>
          <w:color w:val="000000"/>
          <w:sz w:val="24"/>
          <w:szCs w:val="24"/>
          <w:lang w:val="en-US" w:eastAsia="zh-CN"/>
        </w:rPr>
        <w:t>0</w:t>
      </w:r>
      <w:r>
        <w:rPr>
          <w:color w:val="000000"/>
          <w:sz w:val="24"/>
          <w:szCs w:val="24"/>
        </w:rPr>
        <w:t>月1</w:t>
      </w:r>
      <w:r>
        <w:rPr>
          <w:rFonts w:hint="eastAsia"/>
          <w:color w:val="000000"/>
          <w:sz w:val="24"/>
          <w:szCs w:val="24"/>
          <w:lang w:val="en-US" w:eastAsia="zh-CN"/>
        </w:rPr>
        <w:t>0</w:t>
      </w:r>
      <w:r>
        <w:rPr>
          <w:color w:val="000000"/>
          <w:sz w:val="24"/>
          <w:szCs w:val="24"/>
        </w:rPr>
        <w:t>日</w:t>
      </w:r>
    </w:p>
    <w:p w14:paraId="376BE75D">
      <w:pPr>
        <w:spacing w:line="360" w:lineRule="auto"/>
        <w:ind w:firstLine="480" w:firstLineChars="200"/>
        <w:rPr>
          <w:rFonts w:hint="eastAsia"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5D1322"/>
    <w:multiLevelType w:val="multilevel"/>
    <w:tmpl w:val="6B5D132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F9"/>
    <w:rsid w:val="00160478"/>
    <w:rsid w:val="00183B05"/>
    <w:rsid w:val="001C6339"/>
    <w:rsid w:val="001D2A89"/>
    <w:rsid w:val="002E051B"/>
    <w:rsid w:val="00356B69"/>
    <w:rsid w:val="00365334"/>
    <w:rsid w:val="003C7C15"/>
    <w:rsid w:val="003E3BB3"/>
    <w:rsid w:val="004409C1"/>
    <w:rsid w:val="00524DE2"/>
    <w:rsid w:val="006C096F"/>
    <w:rsid w:val="0087471B"/>
    <w:rsid w:val="0099212E"/>
    <w:rsid w:val="00AE2212"/>
    <w:rsid w:val="00B23943"/>
    <w:rsid w:val="00BB56E3"/>
    <w:rsid w:val="00D52A8A"/>
    <w:rsid w:val="00D631F9"/>
    <w:rsid w:val="00E24AFC"/>
    <w:rsid w:val="00E276C2"/>
    <w:rsid w:val="00E74C36"/>
    <w:rsid w:val="00E93A87"/>
    <w:rsid w:val="00EE6489"/>
    <w:rsid w:val="00F0185F"/>
    <w:rsid w:val="00F41B40"/>
    <w:rsid w:val="00FE18BD"/>
    <w:rsid w:val="04D45C81"/>
    <w:rsid w:val="054364BD"/>
    <w:rsid w:val="063A70E3"/>
    <w:rsid w:val="070D2CF0"/>
    <w:rsid w:val="078A34EB"/>
    <w:rsid w:val="08854407"/>
    <w:rsid w:val="09FC4E8C"/>
    <w:rsid w:val="0A555725"/>
    <w:rsid w:val="0B1213D8"/>
    <w:rsid w:val="0B6D6042"/>
    <w:rsid w:val="0BA16495"/>
    <w:rsid w:val="0C1961BB"/>
    <w:rsid w:val="0E33223B"/>
    <w:rsid w:val="0F444223"/>
    <w:rsid w:val="0F9D7B0A"/>
    <w:rsid w:val="1A8C692E"/>
    <w:rsid w:val="1C1A02E1"/>
    <w:rsid w:val="1E5404E7"/>
    <w:rsid w:val="1EFA3C38"/>
    <w:rsid w:val="1F5C2266"/>
    <w:rsid w:val="20F3093F"/>
    <w:rsid w:val="21B55BF5"/>
    <w:rsid w:val="25731D54"/>
    <w:rsid w:val="2849353B"/>
    <w:rsid w:val="29B70E09"/>
    <w:rsid w:val="2AC375D4"/>
    <w:rsid w:val="2D1C121E"/>
    <w:rsid w:val="2DB94CBF"/>
    <w:rsid w:val="2FC37356"/>
    <w:rsid w:val="300D0FF7"/>
    <w:rsid w:val="30395C43"/>
    <w:rsid w:val="32A221C5"/>
    <w:rsid w:val="349D2C44"/>
    <w:rsid w:val="370A20E7"/>
    <w:rsid w:val="37920A5A"/>
    <w:rsid w:val="38743CBC"/>
    <w:rsid w:val="3A6D130B"/>
    <w:rsid w:val="3B2D6862"/>
    <w:rsid w:val="3BD709DF"/>
    <w:rsid w:val="3CE77152"/>
    <w:rsid w:val="40F97454"/>
    <w:rsid w:val="42703746"/>
    <w:rsid w:val="431542ED"/>
    <w:rsid w:val="44E224D8"/>
    <w:rsid w:val="48A26623"/>
    <w:rsid w:val="495F2766"/>
    <w:rsid w:val="4C4B0D80"/>
    <w:rsid w:val="4C675BBA"/>
    <w:rsid w:val="513A6A0A"/>
    <w:rsid w:val="516528E4"/>
    <w:rsid w:val="53D37FD9"/>
    <w:rsid w:val="56246EDD"/>
    <w:rsid w:val="573A1E22"/>
    <w:rsid w:val="5A6D041E"/>
    <w:rsid w:val="5B35697C"/>
    <w:rsid w:val="5BC83EA0"/>
    <w:rsid w:val="5D2B6790"/>
    <w:rsid w:val="5E1B2429"/>
    <w:rsid w:val="616C37DB"/>
    <w:rsid w:val="62F37D50"/>
    <w:rsid w:val="67620656"/>
    <w:rsid w:val="687D7DEE"/>
    <w:rsid w:val="6ED45581"/>
    <w:rsid w:val="6F6523B2"/>
    <w:rsid w:val="710475CC"/>
    <w:rsid w:val="71CF5DF0"/>
    <w:rsid w:val="72EE676E"/>
    <w:rsid w:val="73955BA6"/>
    <w:rsid w:val="759C6672"/>
    <w:rsid w:val="76766876"/>
    <w:rsid w:val="77F50B22"/>
    <w:rsid w:val="7AC06311"/>
    <w:rsid w:val="7D5E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1948</Words>
  <Characters>2463</Characters>
  <Lines>18</Lines>
  <Paragraphs>5</Paragraphs>
  <TotalTime>0</TotalTime>
  <ScaleCrop>false</ScaleCrop>
  <LinksUpToDate>false</LinksUpToDate>
  <CharactersWithSpaces>2545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2025-09-04T07:11:00Z</dcterms:created>
  <dc:creator>admin</dc:creator>
  <cp:lastModifiedBy>Thinker</cp:lastModifiedBy>
  <dcterms:modified xsi:type="dcterms:W3CDTF">2026-03-20T03:11:26Z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eyJoZGlkIjoiNmQ5MTc2YjFhYWVkMjkyMzdjNzgzOGNhYmEzMDYwNDMiLCJ1c2VySWQiOiIzMTIyMTE0MDQifQ==</vt:lpwstr>
  </property>
  <property fmtid="{D5CDD505-2E9C-101B-9397-08002B2CF9AE}" pid="3" name="KSOProductBuildVer">
    <vt:lpwstr>2052-12.1.0.25225</vt:lpwstr>
  </property>
  <property fmtid="{D5CDD505-2E9C-101B-9397-08002B2CF9AE}" pid="4" name="ICV">
    <vt:lpwstr>DD3CD0C593AC4645907783EB882BF567_12</vt:lpwstr>
  </property>
</Properties>
</file>