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2900A3">
      <w:pPr>
        <w:jc w:val="center"/>
        <w:rPr>
          <w:rFonts w:ascii="Times New Roman" w:hAnsi="Times New Roman" w:cs="Times New Roman" w:eastAsiaTheme="minorEastAsia"/>
          <w:b/>
          <w:sz w:val="44"/>
          <w:szCs w:val="44"/>
        </w:rPr>
      </w:pPr>
    </w:p>
    <w:p w14:paraId="3ADA2D2D">
      <w:pPr>
        <w:jc w:val="center"/>
        <w:rPr>
          <w:rFonts w:ascii="Times New Roman" w:hAnsi="Times New Roman" w:cs="Times New Roman" w:eastAsiaTheme="minorEastAsia"/>
          <w:b/>
          <w:sz w:val="44"/>
          <w:szCs w:val="44"/>
        </w:rPr>
      </w:pPr>
    </w:p>
    <w:p w14:paraId="34C82EE4">
      <w:pPr>
        <w:jc w:val="center"/>
        <w:rPr>
          <w:rFonts w:ascii="Times New Roman" w:hAnsi="Times New Roman" w:cs="Times New Roman" w:eastAsiaTheme="minorEastAsia"/>
          <w:b/>
          <w:sz w:val="44"/>
          <w:szCs w:val="44"/>
        </w:rPr>
      </w:pPr>
    </w:p>
    <w:p w14:paraId="7A4B46FD">
      <w:pPr>
        <w:jc w:val="center"/>
        <w:rPr>
          <w:rFonts w:hint="eastAsia" w:ascii="Times New Roman" w:cs="Times New Roman" w:hAnsiTheme="minorEastAsia" w:eastAsiaTheme="minorEastAsia"/>
          <w:b/>
          <w:sz w:val="44"/>
          <w:szCs w:val="44"/>
        </w:rPr>
      </w:pPr>
      <w:r>
        <w:rPr>
          <w:rFonts w:hint="eastAsia" w:ascii="Times New Roman" w:cs="Times New Roman" w:hAnsiTheme="minorEastAsia" w:eastAsiaTheme="minorEastAsia"/>
          <w:b/>
          <w:sz w:val="44"/>
          <w:szCs w:val="44"/>
        </w:rPr>
        <w:t>盐湖卤水专用硼自动分析仪</w:t>
      </w:r>
    </w:p>
    <w:p w14:paraId="40CFA769">
      <w:pPr>
        <w:jc w:val="center"/>
        <w:rPr>
          <w:rFonts w:ascii="Times New Roman" w:hAnsi="Times New Roman" w:cs="Times New Roman" w:eastAsiaTheme="minorEastAsia"/>
          <w:b/>
          <w:sz w:val="44"/>
          <w:szCs w:val="44"/>
        </w:rPr>
      </w:pPr>
      <w:r>
        <w:rPr>
          <w:rFonts w:hint="eastAsia" w:ascii="Times New Roman" w:cs="Times New Roman" w:hAnsiTheme="minorEastAsia" w:eastAsiaTheme="minorEastAsia"/>
          <w:b/>
          <w:sz w:val="44"/>
          <w:szCs w:val="44"/>
        </w:rPr>
        <w:t>校准</w:t>
      </w:r>
      <w:r>
        <w:rPr>
          <w:rFonts w:hint="eastAsia" w:ascii="Times New Roman" w:cs="Times New Roman" w:hAnsiTheme="minorEastAsia" w:eastAsiaTheme="minorEastAsia"/>
          <w:b/>
          <w:sz w:val="44"/>
          <w:szCs w:val="44"/>
          <w:lang w:val="en-US" w:eastAsia="zh-CN"/>
        </w:rPr>
        <w:t>方法</w:t>
      </w:r>
      <w:r>
        <w:rPr>
          <w:rFonts w:ascii="Times New Roman" w:cs="Times New Roman" w:hAnsiTheme="minorEastAsia" w:eastAsiaTheme="minorEastAsia"/>
          <w:b/>
          <w:sz w:val="44"/>
          <w:szCs w:val="44"/>
        </w:rPr>
        <w:t>编制说明</w:t>
      </w:r>
    </w:p>
    <w:p w14:paraId="0ED077B8">
      <w:pPr>
        <w:jc w:val="center"/>
        <w:rPr>
          <w:rFonts w:ascii="Times New Roman" w:hAnsi="Times New Roman" w:cs="Times New Roman" w:eastAsiaTheme="minorEastAsia"/>
          <w:b/>
          <w:sz w:val="44"/>
          <w:szCs w:val="44"/>
        </w:rPr>
      </w:pPr>
    </w:p>
    <w:p w14:paraId="52D7DE5E">
      <w:pPr>
        <w:jc w:val="center"/>
        <w:rPr>
          <w:rFonts w:ascii="Times New Roman" w:hAnsi="Times New Roman" w:cs="Times New Roman" w:eastAsiaTheme="minorEastAsia"/>
          <w:b/>
          <w:sz w:val="44"/>
          <w:szCs w:val="44"/>
        </w:rPr>
      </w:pPr>
    </w:p>
    <w:p w14:paraId="79858D95">
      <w:pPr>
        <w:jc w:val="center"/>
        <w:rPr>
          <w:rFonts w:ascii="Times New Roman" w:hAnsi="Times New Roman" w:cs="Times New Roman" w:eastAsiaTheme="minorEastAsia"/>
          <w:b/>
          <w:sz w:val="44"/>
          <w:szCs w:val="44"/>
        </w:rPr>
      </w:pPr>
    </w:p>
    <w:p w14:paraId="40F3572F">
      <w:pPr>
        <w:jc w:val="center"/>
        <w:rPr>
          <w:rFonts w:ascii="Times New Roman" w:hAnsi="Times New Roman" w:cs="Times New Roman" w:eastAsiaTheme="minorEastAsia"/>
          <w:b/>
          <w:sz w:val="44"/>
          <w:szCs w:val="44"/>
        </w:rPr>
      </w:pPr>
    </w:p>
    <w:p w14:paraId="3ACA0C63">
      <w:pPr>
        <w:jc w:val="center"/>
        <w:rPr>
          <w:rFonts w:ascii="Times New Roman" w:hAnsi="Times New Roman" w:cs="Times New Roman" w:eastAsiaTheme="minorEastAsia"/>
          <w:b/>
          <w:sz w:val="44"/>
          <w:szCs w:val="44"/>
        </w:rPr>
      </w:pPr>
    </w:p>
    <w:p w14:paraId="78C7883E">
      <w:pPr>
        <w:jc w:val="center"/>
        <w:rPr>
          <w:rFonts w:ascii="Times New Roman" w:hAnsi="Times New Roman" w:cs="Times New Roman" w:eastAsiaTheme="minorEastAsia"/>
          <w:b/>
          <w:sz w:val="44"/>
          <w:szCs w:val="44"/>
        </w:rPr>
      </w:pPr>
    </w:p>
    <w:p w14:paraId="245919C0">
      <w:pPr>
        <w:jc w:val="center"/>
        <w:rPr>
          <w:rFonts w:ascii="Times New Roman" w:hAnsi="Times New Roman" w:cs="Times New Roman" w:eastAsiaTheme="minorEastAsia"/>
          <w:b/>
          <w:sz w:val="44"/>
          <w:szCs w:val="44"/>
        </w:rPr>
      </w:pPr>
    </w:p>
    <w:p w14:paraId="37759935">
      <w:pPr>
        <w:jc w:val="center"/>
        <w:rPr>
          <w:rFonts w:ascii="Times New Roman" w:hAnsi="Times New Roman" w:cs="Times New Roman" w:eastAsiaTheme="minorEastAsia"/>
          <w:b/>
          <w:sz w:val="44"/>
          <w:szCs w:val="44"/>
        </w:rPr>
      </w:pPr>
    </w:p>
    <w:p w14:paraId="727BB6D4">
      <w:pPr>
        <w:jc w:val="center"/>
        <w:rPr>
          <w:rFonts w:ascii="Times New Roman" w:hAnsi="Times New Roman" w:cs="Times New Roman" w:eastAsiaTheme="minorEastAsia"/>
          <w:b/>
          <w:sz w:val="44"/>
          <w:szCs w:val="44"/>
        </w:rPr>
      </w:pPr>
    </w:p>
    <w:p w14:paraId="6FA31838">
      <w:pPr>
        <w:jc w:val="center"/>
        <w:rPr>
          <w:rFonts w:ascii="Times New Roman" w:hAnsi="Times New Roman" w:cs="Times New Roman" w:eastAsiaTheme="minorEastAsia"/>
          <w:b/>
          <w:sz w:val="44"/>
          <w:szCs w:val="44"/>
        </w:rPr>
      </w:pPr>
    </w:p>
    <w:p w14:paraId="1323BB1C">
      <w:pPr>
        <w:jc w:val="center"/>
        <w:rPr>
          <w:rFonts w:ascii="Times New Roman" w:hAnsi="Times New Roman" w:cs="Times New Roman" w:eastAsiaTheme="minorEastAsia"/>
          <w:b/>
          <w:sz w:val="44"/>
          <w:szCs w:val="44"/>
        </w:rPr>
      </w:pPr>
    </w:p>
    <w:p w14:paraId="18DE7EB0">
      <w:pPr>
        <w:jc w:val="center"/>
        <w:rPr>
          <w:rFonts w:ascii="Times New Roman" w:hAnsi="Times New Roman" w:cs="Times New Roman" w:eastAsiaTheme="minorEastAsia"/>
          <w:b/>
          <w:sz w:val="44"/>
          <w:szCs w:val="44"/>
        </w:rPr>
      </w:pPr>
    </w:p>
    <w:p w14:paraId="5A9162BB">
      <w:pPr>
        <w:jc w:val="center"/>
        <w:rPr>
          <w:rFonts w:ascii="Times New Roman" w:hAnsi="Times New Roman" w:cs="Times New Roman" w:eastAsiaTheme="minorEastAsia"/>
          <w:b/>
          <w:sz w:val="44"/>
          <w:szCs w:val="44"/>
        </w:rPr>
      </w:pPr>
    </w:p>
    <w:p w14:paraId="629B91BF">
      <w:pPr>
        <w:jc w:val="center"/>
        <w:rPr>
          <w:rFonts w:ascii="Times New Roman" w:hAnsi="Times New Roman" w:cs="Times New Roman" w:eastAsiaTheme="minorEastAsia"/>
          <w:b/>
          <w:sz w:val="44"/>
          <w:szCs w:val="44"/>
        </w:rPr>
      </w:pPr>
    </w:p>
    <w:p w14:paraId="4FFFE87E">
      <w:pPr>
        <w:jc w:val="center"/>
        <w:rPr>
          <w:rFonts w:ascii="Times New Roman" w:hAnsi="Times New Roman" w:cs="Times New Roman" w:eastAsiaTheme="minorEastAsia"/>
          <w:b/>
          <w:sz w:val="28"/>
          <w:szCs w:val="28"/>
        </w:rPr>
      </w:pPr>
      <w:r>
        <w:rPr>
          <w:rFonts w:ascii="Times New Roman" w:hAnsi="Times New Roman" w:cs="Times New Roman" w:eastAsiaTheme="minorEastAsia"/>
          <w:b/>
          <w:sz w:val="28"/>
          <w:szCs w:val="28"/>
        </w:rPr>
        <w:t>202</w:t>
      </w:r>
      <w:r>
        <w:rPr>
          <w:rFonts w:hint="eastAsia" w:ascii="Times New Roman" w:hAnsi="Times New Roman" w:cs="Times New Roman" w:eastAsiaTheme="minorEastAsia"/>
          <w:b/>
          <w:sz w:val="28"/>
          <w:szCs w:val="28"/>
          <w:lang w:val="en-US" w:eastAsia="zh-CN"/>
        </w:rPr>
        <w:t>6</w:t>
      </w:r>
      <w:r>
        <w:rPr>
          <w:rFonts w:ascii="Times New Roman" w:cs="Times New Roman" w:hAnsiTheme="minorEastAsia" w:eastAsiaTheme="minorEastAsia"/>
          <w:b/>
          <w:sz w:val="28"/>
          <w:szCs w:val="28"/>
        </w:rPr>
        <w:t>年</w:t>
      </w:r>
      <w:r>
        <w:rPr>
          <w:rFonts w:hint="eastAsia" w:ascii="Times New Roman" w:hAnsi="Times New Roman" w:cs="Times New Roman" w:eastAsiaTheme="minorEastAsia"/>
          <w:b/>
          <w:sz w:val="28"/>
          <w:szCs w:val="28"/>
          <w:lang w:val="en-US" w:eastAsia="zh-CN"/>
        </w:rPr>
        <w:t>4</w:t>
      </w:r>
      <w:r>
        <w:rPr>
          <w:rFonts w:ascii="Times New Roman" w:cs="Times New Roman" w:hAnsiTheme="minorEastAsia" w:eastAsiaTheme="minorEastAsia"/>
          <w:b/>
          <w:sz w:val="28"/>
          <w:szCs w:val="28"/>
        </w:rPr>
        <w:t>月</w:t>
      </w:r>
    </w:p>
    <w:p w14:paraId="1E891EE4">
      <w:pPr>
        <w:jc w:val="center"/>
        <w:rPr>
          <w:rFonts w:ascii="Times New Roman" w:hAnsi="Times New Roman" w:cs="Times New Roman" w:eastAsiaTheme="minorEastAsia"/>
          <w:b/>
          <w:sz w:val="28"/>
          <w:szCs w:val="28"/>
        </w:rPr>
      </w:pPr>
      <w:r>
        <w:rPr>
          <w:rFonts w:ascii="Times New Roman" w:cs="Times New Roman" w:hAnsiTheme="minorEastAsia" w:eastAsiaTheme="minorEastAsia"/>
          <w:b/>
          <w:sz w:val="28"/>
          <w:szCs w:val="28"/>
        </w:rPr>
        <w:t>规范起草组</w:t>
      </w:r>
    </w:p>
    <w:p w14:paraId="77B92983">
      <w:pPr>
        <w:jc w:val="center"/>
        <w:rPr>
          <w:rFonts w:ascii="Times New Roman" w:hAnsi="Times New Roman" w:cs="Times New Roman" w:eastAsiaTheme="minorEastAsia"/>
          <w:b/>
          <w:sz w:val="32"/>
          <w:szCs w:val="32"/>
        </w:rPr>
      </w:pPr>
    </w:p>
    <w:p w14:paraId="5EA607DC">
      <w:pPr>
        <w:spacing w:line="720" w:lineRule="auto"/>
        <w:rPr>
          <w:rFonts w:ascii="Times New Roman" w:hAnsi="Times New Roman" w:cs="Times New Roman" w:eastAsiaTheme="minorEastAsia"/>
          <w:b/>
          <w:sz w:val="24"/>
        </w:rPr>
      </w:pPr>
      <w:r>
        <w:rPr>
          <w:rFonts w:ascii="Times New Roman" w:cs="Times New Roman" w:hAnsiTheme="minorEastAsia" w:eastAsiaTheme="minorEastAsia"/>
          <w:b/>
          <w:sz w:val="24"/>
        </w:rPr>
        <w:t>一、任务来源</w:t>
      </w:r>
    </w:p>
    <w:p w14:paraId="0F7B295E">
      <w:pPr>
        <w:spacing w:line="360" w:lineRule="auto"/>
        <w:ind w:firstLine="480" w:firstLineChars="200"/>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依据《</w:t>
      </w:r>
      <w:r>
        <w:rPr>
          <w:rFonts w:hint="eastAsia" w:ascii="Times New Roman" w:cs="Times New Roman" w:hAnsiTheme="minorEastAsia" w:eastAsiaTheme="minorEastAsia"/>
          <w:sz w:val="24"/>
          <w:szCs w:val="24"/>
          <w:lang w:val="en-US" w:eastAsia="zh-CN"/>
        </w:rPr>
        <w:t>中国计量协会</w:t>
      </w:r>
      <w:r>
        <w:rPr>
          <w:rFonts w:ascii="Times New Roman" w:cs="Times New Roman" w:hAnsiTheme="minorEastAsia" w:eastAsiaTheme="minorEastAsia"/>
          <w:sz w:val="24"/>
          <w:szCs w:val="24"/>
        </w:rPr>
        <w:t>关于</w:t>
      </w:r>
      <w:r>
        <w:rPr>
          <w:rFonts w:hint="eastAsia" w:ascii="Times New Roman" w:cs="Times New Roman" w:hAnsiTheme="minorEastAsia" w:eastAsiaTheme="minorEastAsia"/>
          <w:sz w:val="24"/>
          <w:szCs w:val="24"/>
          <w:lang w:val="en-US" w:eastAsia="zh-CN"/>
        </w:rPr>
        <w:t>批准&lt;在线振动管液体密度计在线校准方法&gt;等团体标准计划项目的通知</w:t>
      </w:r>
      <w:r>
        <w:rPr>
          <w:rFonts w:ascii="Times New Roman" w:cs="Times New Roman" w:hAnsiTheme="minorEastAsia" w:eastAsiaTheme="minorEastAsia"/>
          <w:sz w:val="24"/>
          <w:szCs w:val="24"/>
        </w:rPr>
        <w:t>（</w:t>
      </w:r>
      <w:r>
        <w:rPr>
          <w:rFonts w:hint="eastAsia" w:ascii="Times New Roman" w:cs="Times New Roman" w:hAnsiTheme="minorEastAsia" w:eastAsiaTheme="minorEastAsia"/>
          <w:sz w:val="24"/>
          <w:szCs w:val="24"/>
          <w:lang w:val="en-US" w:eastAsia="zh-CN"/>
        </w:rPr>
        <w:t>中计协函</w:t>
      </w:r>
      <w:r>
        <w:rPr>
          <w:rFonts w:ascii="Times New Roman" w:cs="Times New Roman" w:hAnsiTheme="minorEastAsia" w:eastAsiaTheme="minorEastAsia"/>
          <w:sz w:val="24"/>
          <w:szCs w:val="24"/>
        </w:rPr>
        <w:t>〔</w:t>
      </w:r>
      <w:r>
        <w:rPr>
          <w:rFonts w:ascii="Times New Roman" w:hAnsi="Times New Roman" w:cs="Times New Roman" w:eastAsiaTheme="minorEastAsia"/>
          <w:sz w:val="24"/>
          <w:szCs w:val="24"/>
        </w:rPr>
        <w:t>202</w:t>
      </w:r>
      <w:r>
        <w:rPr>
          <w:rFonts w:hint="eastAsia" w:ascii="Times New Roman" w:hAnsi="Times New Roman" w:cs="Times New Roman" w:eastAsiaTheme="minorEastAsia"/>
          <w:sz w:val="24"/>
          <w:szCs w:val="24"/>
          <w:lang w:val="en-US" w:eastAsia="zh-CN"/>
        </w:rPr>
        <w:t>6</w:t>
      </w:r>
      <w:r>
        <w:rPr>
          <w:rFonts w:ascii="Times New Roman" w:cs="Times New Roman" w:hAnsiTheme="minorEastAsia" w:eastAsiaTheme="minorEastAsia"/>
          <w:sz w:val="24"/>
          <w:szCs w:val="24"/>
        </w:rPr>
        <w:t>〕</w:t>
      </w:r>
      <w:r>
        <w:rPr>
          <w:rFonts w:hint="eastAsia" w:ascii="Times New Roman" w:hAnsi="Times New Roman" w:cs="Times New Roman" w:eastAsiaTheme="minorEastAsia"/>
          <w:sz w:val="24"/>
          <w:szCs w:val="24"/>
          <w:lang w:val="en-US" w:eastAsia="zh-CN"/>
        </w:rPr>
        <w:t>33</w:t>
      </w:r>
      <w:r>
        <w:rPr>
          <w:rFonts w:ascii="Times New Roman" w:cs="Times New Roman" w:hAnsiTheme="minorEastAsia" w:eastAsiaTheme="minorEastAsia"/>
          <w:sz w:val="24"/>
          <w:szCs w:val="24"/>
        </w:rPr>
        <w:t>号）》，《</w:t>
      </w:r>
      <w:r>
        <w:rPr>
          <w:rFonts w:hint="eastAsia" w:ascii="Times New Roman" w:cs="Times New Roman" w:hAnsiTheme="minorEastAsia" w:eastAsiaTheme="minorEastAsia"/>
          <w:sz w:val="24"/>
          <w:szCs w:val="24"/>
        </w:rPr>
        <w:t>盐湖卤水专用硼自动分析仪校准</w:t>
      </w:r>
      <w:r>
        <w:rPr>
          <w:rFonts w:hint="eastAsia" w:ascii="Times New Roman" w:cs="Times New Roman" w:hAnsiTheme="minorEastAsia" w:eastAsiaTheme="minorEastAsia"/>
          <w:sz w:val="24"/>
          <w:szCs w:val="24"/>
          <w:lang w:val="en-US" w:eastAsia="zh-CN"/>
        </w:rPr>
        <w:t>方法</w:t>
      </w:r>
      <w:r>
        <w:rPr>
          <w:rFonts w:ascii="Times New Roman" w:cs="Times New Roman" w:hAnsiTheme="minorEastAsia" w:eastAsiaTheme="minorEastAsia"/>
          <w:sz w:val="24"/>
          <w:szCs w:val="24"/>
        </w:rPr>
        <w:t>》制订任务归口</w:t>
      </w:r>
      <w:r>
        <w:rPr>
          <w:rFonts w:hint="eastAsia" w:ascii="Times New Roman" w:cs="Times New Roman" w:hAnsiTheme="minorEastAsia" w:eastAsiaTheme="minorEastAsia"/>
          <w:sz w:val="24"/>
          <w:szCs w:val="24"/>
        </w:rPr>
        <w:t>中国计量协会理化分析计量专业委员会</w:t>
      </w:r>
      <w:r>
        <w:rPr>
          <w:rFonts w:ascii="Times New Roman" w:cs="Times New Roman" w:hAnsiTheme="minorEastAsia" w:eastAsiaTheme="minorEastAsia"/>
          <w:sz w:val="24"/>
          <w:szCs w:val="24"/>
        </w:rPr>
        <w:t>管理，由</w:t>
      </w:r>
      <w:r>
        <w:rPr>
          <w:rFonts w:hint="eastAsia" w:ascii="Times New Roman" w:cs="Times New Roman" w:hAnsiTheme="minorEastAsia" w:eastAsiaTheme="minorEastAsia"/>
          <w:sz w:val="24"/>
          <w:szCs w:val="24"/>
        </w:rPr>
        <w:t>国投检测科技（山东）有限公司、国投新疆罗布泊钾盐有限责任公司、国投新疆锂业有限公司、青海盐湖工业股份有限公司、青海盐湖工业股份有限公司锂电科技分公司、中国科学院青海盐湖研究所</w:t>
      </w:r>
      <w:r>
        <w:rPr>
          <w:rFonts w:ascii="Times New Roman" w:cs="Times New Roman" w:hAnsiTheme="minorEastAsia" w:eastAsiaTheme="minorEastAsia"/>
          <w:sz w:val="24"/>
          <w:szCs w:val="24"/>
        </w:rPr>
        <w:t>共同承担制订工作。</w:t>
      </w:r>
    </w:p>
    <w:p w14:paraId="6AA738E6">
      <w:pPr>
        <w:spacing w:line="720" w:lineRule="auto"/>
        <w:rPr>
          <w:rFonts w:ascii="Times New Roman" w:hAnsi="Times New Roman" w:cs="Times New Roman" w:eastAsiaTheme="minorEastAsia"/>
          <w:b/>
          <w:sz w:val="24"/>
        </w:rPr>
      </w:pPr>
      <w:r>
        <w:rPr>
          <w:rFonts w:ascii="Times New Roman" w:cs="Times New Roman" w:hAnsiTheme="minorEastAsia" w:eastAsiaTheme="minorEastAsia"/>
          <w:b/>
          <w:sz w:val="24"/>
        </w:rPr>
        <w:t>二、规</w:t>
      </w:r>
      <w:r>
        <w:rPr>
          <w:rFonts w:hint="eastAsia" w:ascii="Times New Roman" w:cs="Times New Roman" w:hAnsiTheme="minorEastAsia" w:eastAsiaTheme="minorEastAsia"/>
          <w:b/>
          <w:sz w:val="24"/>
        </w:rPr>
        <w:t>范</w:t>
      </w:r>
      <w:r>
        <w:rPr>
          <w:rFonts w:ascii="Times New Roman" w:cs="Times New Roman" w:hAnsiTheme="minorEastAsia" w:eastAsiaTheme="minorEastAsia"/>
          <w:b/>
          <w:sz w:val="24"/>
        </w:rPr>
        <w:t>起草目的与意义</w:t>
      </w:r>
    </w:p>
    <w:p w14:paraId="05EDB2EF">
      <w:pPr>
        <w:spacing w:line="360" w:lineRule="auto"/>
        <w:ind w:firstLine="480" w:firstLineChars="200"/>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盐湖是我国宝贵的无机盐资源宝库，全国拥有1500多个盐湖，主要分布在青海、新疆、内蒙古和西藏等地区。盐湖卤水中富含锂、硼、镁、钾、钠等多种元素，其中硼元素既是重要资源，也是影响资源综合开发利用的关键因子，其含量波动直接关系到锂产品质量、资源回收效率及生态环境安全，目前已成为盐湖资源开发与环境领域的关注重点。国家相关环保及矿产开发规范已将硼列为盐湖卤水开发和工业废水排放的重要监测指标之一。为有效监测和控制盐湖卤水中的硼含量，盐湖卤水专用硼自动分析仪应运而生。该仪器具有高效、精准、连续、抗干扰性强等特点，适配高盐分、强基体、复杂成分的卤水环境，在盐湖提锂、卤水资源综合利用及周边生态监测等领域得到广泛应用，对提升资源利用效率、保障产品质量、防范环境风险和推动盐湖开发监测现代化具有重要意义。</w:t>
      </w:r>
    </w:p>
    <w:p w14:paraId="3D8160F0">
      <w:pPr>
        <w:spacing w:line="360" w:lineRule="auto"/>
        <w:ind w:firstLine="480" w:firstLineChars="200"/>
        <w:rPr>
          <w:rFonts w:hint="eastAsia"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在盐湖提锂行业，盐湖卤水专用硼自动分析仪可实时监测提锂各环节卤水中的硼含量，避免硼与锂共沉淀或共萃取导致的产品杂质超标，保障锂产品在新能源汽车、储能电池等领域的高端应用，同时为硼的分离回收提供数据支撑；在盐湖资源勘探与综合开发领域，可精准监测卤水硼含量分布，为资源规划与工艺路线选择提供科学依据；在盐湖周边生态监测领域，可实时监测排放母液中的硼含量，及时发现污染隐患，为环保监管提供数据支持，防范硼对生态系统和人体健康的危害。仪器实现在线、连续、实时监测，解决传统方法操作复杂、耗时长的问题，确保数据及时准确，为盐湖资源保护、综合利用和可持续发展提供有力保障。</w:t>
      </w:r>
    </w:p>
    <w:p w14:paraId="6A8A17E5">
      <w:pPr>
        <w:spacing w:line="360" w:lineRule="auto"/>
        <w:ind w:firstLine="480" w:firstLineChars="200"/>
        <w:rPr>
          <w:rFonts w:hint="default" w:ascii="Times New Roman" w:cs="Times New Roman" w:hAnsiTheme="minorEastAsia" w:eastAsiaTheme="minorEastAsia"/>
          <w:sz w:val="24"/>
          <w:szCs w:val="24"/>
          <w:lang w:val="en-US" w:eastAsia="zh-CN"/>
        </w:rPr>
      </w:pPr>
      <w:r>
        <w:rPr>
          <w:rFonts w:hint="eastAsia" w:ascii="Times New Roman" w:cs="Times New Roman" w:hAnsiTheme="minorEastAsia" w:eastAsiaTheme="minorEastAsia"/>
          <w:sz w:val="24"/>
          <w:szCs w:val="24"/>
        </w:rPr>
        <w:t>目前，市面上常用的盐湖卤水专用硼自动分析仪</w:t>
      </w:r>
      <w:r>
        <w:rPr>
          <w:rFonts w:hint="eastAsia" w:ascii="Times New Roman" w:cs="Times New Roman" w:hAnsiTheme="minorEastAsia" w:eastAsiaTheme="minorEastAsia"/>
          <w:sz w:val="24"/>
          <w:szCs w:val="24"/>
          <w:lang w:val="en-US" w:eastAsia="zh-CN"/>
        </w:rPr>
        <w:t>的</w:t>
      </w:r>
      <w:r>
        <w:rPr>
          <w:rFonts w:hint="eastAsia" w:ascii="Times New Roman" w:cs="Times New Roman" w:hAnsiTheme="minorEastAsia" w:eastAsiaTheme="minorEastAsia"/>
          <w:sz w:val="24"/>
          <w:szCs w:val="24"/>
        </w:rPr>
        <w:t>检测原理为分光光度法，其原理是：利用硼与特定试剂的显色反应，通过测定显色后溶液的吸光度，根据朗伯-比尔定律计算卤水中硼的含量</w:t>
      </w:r>
      <w:r>
        <w:rPr>
          <w:rFonts w:hint="eastAsia" w:ascii="Times New Roman" w:cs="Times New Roman" w:hAnsiTheme="minorEastAsia" w:eastAsiaTheme="minorEastAsia"/>
          <w:sz w:val="24"/>
          <w:szCs w:val="24"/>
          <w:lang w:eastAsia="zh-CN"/>
        </w:rPr>
        <w:t>。</w:t>
      </w:r>
      <w:r>
        <w:rPr>
          <w:rFonts w:hint="eastAsia" w:ascii="Times New Roman" w:cs="Times New Roman" w:hAnsiTheme="minorEastAsia" w:eastAsiaTheme="minorEastAsia"/>
          <w:sz w:val="24"/>
          <w:szCs w:val="24"/>
        </w:rPr>
        <w:t>盐湖卤水专用硼自动分析仪主要由进样单元、</w:t>
      </w:r>
      <w:r>
        <w:rPr>
          <w:rFonts w:hint="eastAsia" w:ascii="Times New Roman" w:cs="Times New Roman" w:hAnsiTheme="minorEastAsia" w:eastAsiaTheme="minorEastAsia"/>
          <w:sz w:val="24"/>
          <w:szCs w:val="24"/>
          <w:lang w:val="en-US" w:eastAsia="zh-CN"/>
        </w:rPr>
        <w:t>稀释</w:t>
      </w:r>
      <w:r>
        <w:rPr>
          <w:rFonts w:hint="eastAsia" w:ascii="Times New Roman" w:cs="Times New Roman" w:hAnsiTheme="minorEastAsia" w:eastAsiaTheme="minorEastAsia"/>
          <w:sz w:val="24"/>
          <w:szCs w:val="24"/>
        </w:rPr>
        <w:t>单元、检测单元和</w:t>
      </w:r>
      <w:r>
        <w:rPr>
          <w:rFonts w:hint="eastAsia" w:ascii="Times New Roman" w:cs="Times New Roman" w:hAnsiTheme="minorEastAsia" w:eastAsiaTheme="minorEastAsia"/>
          <w:sz w:val="24"/>
          <w:szCs w:val="24"/>
          <w:lang w:val="en-US" w:eastAsia="zh-CN"/>
        </w:rPr>
        <w:t>控制</w:t>
      </w:r>
      <w:r>
        <w:rPr>
          <w:rFonts w:hint="eastAsia" w:ascii="Times New Roman" w:cs="Times New Roman" w:hAnsiTheme="minorEastAsia" w:eastAsiaTheme="minorEastAsia"/>
          <w:sz w:val="24"/>
          <w:szCs w:val="24"/>
        </w:rPr>
        <w:t>单元组成</w:t>
      </w:r>
      <w:r>
        <w:rPr>
          <w:rFonts w:hint="eastAsia" w:ascii="Times New Roman" w:cs="Times New Roman" w:hAnsiTheme="minorEastAsia" w:eastAsiaTheme="minorEastAsia"/>
          <w:sz w:val="24"/>
          <w:szCs w:val="24"/>
          <w:lang w:eastAsia="zh-CN"/>
        </w:rPr>
        <w:t>，</w:t>
      </w:r>
      <w:r>
        <w:rPr>
          <w:rFonts w:hint="eastAsia" w:ascii="Times New Roman" w:cs="Times New Roman" w:hAnsiTheme="minorEastAsia" w:eastAsiaTheme="minorEastAsia"/>
          <w:sz w:val="24"/>
          <w:szCs w:val="24"/>
          <w:lang w:val="en-US" w:eastAsia="zh-CN"/>
        </w:rPr>
        <w:t>见图1。</w:t>
      </w:r>
    </w:p>
    <w:p w14:paraId="616A8936">
      <w:pPr>
        <w:spacing w:line="720" w:lineRule="auto"/>
        <w:rPr>
          <w:rFonts w:hint="eastAsia" w:ascii="Times New Roman" w:cs="Times New Roman" w:hAnsiTheme="minorEastAsia" w:eastAsiaTheme="minorEastAsia"/>
          <w:sz w:val="24"/>
          <w:szCs w:val="24"/>
        </w:rPr>
      </w:pPr>
      <w:r>
        <w:rPr>
          <w:rFonts w:hint="eastAsia" w:eastAsia="宋体"/>
          <w:lang w:eastAsia="zh-CN"/>
        </w:rPr>
        <w:drawing>
          <wp:inline distT="0" distB="0" distL="114300" distR="114300">
            <wp:extent cx="5761355" cy="1081405"/>
            <wp:effectExtent l="0" t="0" r="0" b="0"/>
            <wp:docPr id="3" name="图片 3"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图片1"/>
                    <pic:cNvPicPr>
                      <a:picLocks noChangeAspect="1"/>
                    </pic:cNvPicPr>
                  </pic:nvPicPr>
                  <pic:blipFill>
                    <a:blip r:embed="rId4"/>
                    <a:stretch>
                      <a:fillRect/>
                    </a:stretch>
                  </pic:blipFill>
                  <pic:spPr>
                    <a:xfrm>
                      <a:off x="0" y="0"/>
                      <a:ext cx="5761355" cy="1081405"/>
                    </a:xfrm>
                    <a:prstGeom prst="rect">
                      <a:avLst/>
                    </a:prstGeom>
                  </pic:spPr>
                </pic:pic>
              </a:graphicData>
            </a:graphic>
          </wp:inline>
        </w:drawing>
      </w:r>
    </w:p>
    <w:p w14:paraId="6474963F">
      <w:pPr>
        <w:pStyle w:val="9"/>
        <w:snapToGrid w:val="0"/>
        <w:spacing w:line="360" w:lineRule="auto"/>
        <w:ind w:firstLine="480" w:firstLineChars="200"/>
        <w:jc w:val="center"/>
        <w:rPr>
          <w:rFonts w:hint="eastAsia" w:ascii="Times New Roman" w:cs="Times New Roman" w:hAnsiTheme="minorEastAsia" w:eastAsiaTheme="minorEastAsia"/>
          <w:sz w:val="24"/>
          <w:szCs w:val="24"/>
        </w:rPr>
      </w:pPr>
      <w:r>
        <w:rPr>
          <w:rFonts w:hint="eastAsia" w:ascii="Times New Roman" w:hAnsi="Times New Roman"/>
          <w:sz w:val="24"/>
          <w:szCs w:val="24"/>
        </w:rPr>
        <w:t>图1 分光光度法盐湖卤水硼专用在线分析仪结构示意图</w:t>
      </w:r>
    </w:p>
    <w:p w14:paraId="66D855EF">
      <w:pPr>
        <w:spacing w:line="360" w:lineRule="auto"/>
        <w:ind w:firstLine="480" w:firstLineChars="200"/>
        <w:rPr>
          <w:rFonts w:hint="eastAsia" w:ascii="Times New Roman" w:cs="Times New Roman" w:hAnsiTheme="minorEastAsia" w:eastAsiaTheme="minorEastAsia"/>
          <w:sz w:val="24"/>
          <w:szCs w:val="24"/>
          <w:lang w:eastAsia="zh-CN"/>
        </w:rPr>
      </w:pPr>
      <w:r>
        <w:rPr>
          <w:rFonts w:hint="eastAsia" w:ascii="Times New Roman" w:cs="Times New Roman" w:hAnsiTheme="minorEastAsia" w:eastAsiaTheme="minorEastAsia"/>
          <w:sz w:val="24"/>
          <w:szCs w:val="24"/>
        </w:rPr>
        <w:t>目前</w:t>
      </w:r>
      <w:r>
        <w:rPr>
          <w:rFonts w:hint="eastAsia" w:ascii="Times New Roman" w:cs="Times New Roman" w:hAnsiTheme="minorEastAsia" w:eastAsiaTheme="minorEastAsia"/>
          <w:sz w:val="24"/>
          <w:szCs w:val="24"/>
          <w:lang w:eastAsia="zh-CN"/>
        </w:rPr>
        <w:t>，</w:t>
      </w:r>
      <w:r>
        <w:rPr>
          <w:rFonts w:hint="eastAsia" w:ascii="Times New Roman" w:cs="Times New Roman" w:hAnsiTheme="minorEastAsia" w:eastAsiaTheme="minorEastAsia"/>
          <w:sz w:val="24"/>
          <w:szCs w:val="24"/>
        </w:rPr>
        <w:t>已出台的相关计量技术规范主要针对通用水质硼检测仪器或其他领域硼分析仪，尚未有专门针对盐湖卤水专用硼自动分析仪的国家计量技术规范。由于盐湖卤水具有高盐分、强基体、成分复杂等特殊性，通用规范无法适配该类仪器的校准需求，导致计量检测机构无法为其量值溯源提供科学合理的技术依据，无法保证检测结果的准确性、一致性和可靠性。因此，制定盐湖卤水专用硼自动分析仪的校准</w:t>
      </w:r>
      <w:r>
        <w:rPr>
          <w:rFonts w:hint="eastAsia" w:ascii="Times New Roman" w:cs="Times New Roman" w:hAnsiTheme="minorEastAsia" w:eastAsiaTheme="minorEastAsia"/>
          <w:sz w:val="24"/>
          <w:szCs w:val="24"/>
          <w:lang w:val="en-US" w:eastAsia="zh-CN"/>
        </w:rPr>
        <w:t>方法</w:t>
      </w:r>
      <w:r>
        <w:rPr>
          <w:rFonts w:hint="eastAsia" w:ascii="Times New Roman" w:cs="Times New Roman" w:hAnsiTheme="minorEastAsia" w:eastAsiaTheme="minorEastAsia"/>
          <w:sz w:val="24"/>
          <w:szCs w:val="24"/>
        </w:rPr>
        <w:t>具有极强的必要性和迫切性，对规范盐湖资源开发、保障产品质量、防范生态风险</w:t>
      </w:r>
      <w:r>
        <w:rPr>
          <w:rFonts w:hint="eastAsia" w:ascii="Times New Roman" w:cs="Times New Roman" w:hAnsiTheme="minorEastAsia" w:eastAsiaTheme="minorEastAsia"/>
          <w:sz w:val="24"/>
          <w:szCs w:val="24"/>
          <w:lang w:eastAsia="zh-CN"/>
        </w:rPr>
        <w:t>、</w:t>
      </w:r>
      <w:r>
        <w:rPr>
          <w:rFonts w:hint="eastAsia" w:ascii="Times New Roman" w:cs="Times New Roman" w:hAnsiTheme="minorEastAsia" w:eastAsiaTheme="minorEastAsia"/>
          <w:sz w:val="24"/>
          <w:szCs w:val="24"/>
        </w:rPr>
        <w:t>加快盐湖监测计量体系现代化建设具有重要价值</w:t>
      </w:r>
      <w:r>
        <w:rPr>
          <w:rFonts w:hint="eastAsia" w:ascii="Times New Roman" w:cs="Times New Roman" w:hAnsiTheme="minorEastAsia" w:eastAsiaTheme="minorEastAsia"/>
          <w:sz w:val="24"/>
          <w:szCs w:val="24"/>
          <w:lang w:eastAsia="zh-CN"/>
        </w:rPr>
        <w:t>。</w:t>
      </w:r>
    </w:p>
    <w:p w14:paraId="4E743605">
      <w:pPr>
        <w:spacing w:line="720" w:lineRule="auto"/>
        <w:rPr>
          <w:rFonts w:hint="eastAsia" w:ascii="Times New Roman" w:cs="Times New Roman" w:hAnsiTheme="minorEastAsia" w:eastAsiaTheme="minorEastAsia"/>
          <w:b/>
          <w:sz w:val="24"/>
        </w:rPr>
      </w:pPr>
      <w:r>
        <w:rPr>
          <w:rFonts w:hint="eastAsia" w:ascii="Times New Roman" w:cs="Times New Roman" w:hAnsiTheme="minorEastAsia" w:eastAsiaTheme="minorEastAsia"/>
          <w:b/>
          <w:sz w:val="24"/>
        </w:rPr>
        <w:t>三、技术依据</w:t>
      </w:r>
    </w:p>
    <w:p w14:paraId="519A6759">
      <w:pPr>
        <w:autoSpaceDE w:val="0"/>
        <w:autoSpaceDN w:val="0"/>
        <w:adjustRightInd w:val="0"/>
        <w:spacing w:line="360" w:lineRule="auto"/>
        <w:ind w:firstLine="480" w:firstLineChars="200"/>
        <w:jc w:val="left"/>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本规范制定以国内实际情况为出发点，体现科学性、合理性、先进性、实用性。努力使校准项目、技术要求及校准方法与国际建议和国家（行业）标准、技术规范相符合。</w:t>
      </w:r>
    </w:p>
    <w:p w14:paraId="5DC943D1">
      <w:pPr>
        <w:spacing w:line="360" w:lineRule="auto"/>
        <w:ind w:firstLine="480" w:firstLineChars="200"/>
        <w:rPr>
          <w:rFonts w:ascii="Times New Roman" w:cs="Times New Roman" w:hAnsiTheme="minorEastAsia" w:eastAsiaTheme="minorEastAsia"/>
          <w:sz w:val="24"/>
          <w:szCs w:val="24"/>
        </w:rPr>
      </w:pPr>
      <w:r>
        <w:rPr>
          <w:rFonts w:ascii="Times New Roman" w:cs="Times New Roman" w:hAnsiTheme="minorEastAsia" w:eastAsiaTheme="minorEastAsia"/>
          <w:sz w:val="24"/>
          <w:szCs w:val="24"/>
        </w:rPr>
        <w:t>本规范制定主要依据参考了以下文件：</w:t>
      </w:r>
    </w:p>
    <w:p w14:paraId="27FD002D">
      <w:pPr>
        <w:spacing w:line="360" w:lineRule="auto"/>
        <w:ind w:firstLine="480" w:firstLineChars="200"/>
        <w:rPr>
          <w:rFonts w:hint="eastAsia" w:ascii="Times New Roman" w:cs="Times New Roman" w:hAnsiTheme="minorEastAsia" w:eastAsiaTheme="minorEastAsia"/>
          <w:sz w:val="24"/>
          <w:szCs w:val="24"/>
          <w:lang w:eastAsia="zh-CN"/>
        </w:rPr>
      </w:pPr>
      <w:r>
        <w:rPr>
          <w:rFonts w:hint="eastAsia" w:ascii="Times New Roman" w:cs="Times New Roman" w:hAnsiTheme="minorEastAsia" w:eastAsiaTheme="minorEastAsia"/>
          <w:sz w:val="24"/>
          <w:szCs w:val="24"/>
        </w:rPr>
        <w:t>JJF 1001-2011</w:t>
      </w:r>
      <w:r>
        <w:rPr>
          <w:rFonts w:hint="eastAsia" w:ascii="Times New Roman" w:cs="Times New Roman" w:hAnsiTheme="minorEastAsia" w:eastAsiaTheme="minorEastAsia"/>
          <w:sz w:val="24"/>
          <w:szCs w:val="24"/>
          <w:lang w:val="en-US" w:eastAsia="zh-CN"/>
        </w:rPr>
        <w:t xml:space="preserve"> </w:t>
      </w:r>
      <w:r>
        <w:rPr>
          <w:rFonts w:hint="eastAsia" w:ascii="Times New Roman" w:cs="Times New Roman" w:hAnsiTheme="minorEastAsia" w:eastAsiaTheme="minorEastAsia"/>
          <w:sz w:val="24"/>
          <w:szCs w:val="24"/>
          <w:lang w:eastAsia="zh-CN"/>
        </w:rPr>
        <w:t>《</w:t>
      </w:r>
      <w:r>
        <w:rPr>
          <w:rFonts w:hint="eastAsia" w:ascii="Times New Roman" w:cs="Times New Roman" w:hAnsiTheme="minorEastAsia" w:eastAsiaTheme="minorEastAsia"/>
          <w:sz w:val="24"/>
          <w:szCs w:val="24"/>
        </w:rPr>
        <w:t>通用计量术语及定义</w:t>
      </w:r>
      <w:r>
        <w:rPr>
          <w:rFonts w:hint="eastAsia" w:ascii="Times New Roman" w:cs="Times New Roman" w:hAnsiTheme="minorEastAsia" w:eastAsiaTheme="minorEastAsia"/>
          <w:sz w:val="24"/>
          <w:szCs w:val="24"/>
          <w:lang w:eastAsia="zh-CN"/>
        </w:rPr>
        <w:t>》</w:t>
      </w:r>
    </w:p>
    <w:p w14:paraId="3589ECE7">
      <w:pPr>
        <w:spacing w:line="360" w:lineRule="auto"/>
        <w:ind w:firstLine="480" w:firstLineChars="200"/>
        <w:rPr>
          <w:rFonts w:hint="eastAsia" w:ascii="Times New Roman" w:cs="Times New Roman" w:hAnsiTheme="minorEastAsia" w:eastAsiaTheme="minorEastAsia"/>
          <w:sz w:val="24"/>
          <w:szCs w:val="24"/>
          <w:lang w:eastAsia="zh-CN"/>
        </w:rPr>
      </w:pPr>
      <w:r>
        <w:rPr>
          <w:rFonts w:hint="eastAsia" w:ascii="Times New Roman" w:cs="Times New Roman" w:hAnsiTheme="minorEastAsia" w:eastAsiaTheme="minorEastAsia"/>
          <w:sz w:val="24"/>
          <w:szCs w:val="24"/>
        </w:rPr>
        <w:t>JJF 1059-2012</w:t>
      </w:r>
      <w:r>
        <w:rPr>
          <w:rFonts w:hint="eastAsia" w:ascii="Times New Roman" w:cs="Times New Roman" w:hAnsiTheme="minorEastAsia" w:eastAsiaTheme="minorEastAsia"/>
          <w:sz w:val="24"/>
          <w:szCs w:val="24"/>
          <w:lang w:val="en-US" w:eastAsia="zh-CN"/>
        </w:rPr>
        <w:t xml:space="preserve"> </w:t>
      </w:r>
      <w:r>
        <w:rPr>
          <w:rFonts w:hint="eastAsia" w:ascii="Times New Roman" w:cs="Times New Roman" w:hAnsiTheme="minorEastAsia" w:eastAsiaTheme="minorEastAsia"/>
          <w:sz w:val="24"/>
          <w:szCs w:val="24"/>
          <w:lang w:eastAsia="zh-CN"/>
        </w:rPr>
        <w:t>《</w:t>
      </w:r>
      <w:r>
        <w:rPr>
          <w:rFonts w:hint="eastAsia" w:ascii="Times New Roman" w:cs="Times New Roman" w:hAnsiTheme="minorEastAsia" w:eastAsiaTheme="minorEastAsia"/>
          <w:sz w:val="24"/>
          <w:szCs w:val="24"/>
        </w:rPr>
        <w:t>测量不确定度评定与表示</w:t>
      </w:r>
      <w:r>
        <w:rPr>
          <w:rFonts w:hint="eastAsia" w:ascii="Times New Roman" w:cs="Times New Roman" w:hAnsiTheme="minorEastAsia" w:eastAsiaTheme="minorEastAsia"/>
          <w:sz w:val="24"/>
          <w:szCs w:val="24"/>
          <w:lang w:eastAsia="zh-CN"/>
        </w:rPr>
        <w:t>》</w:t>
      </w:r>
    </w:p>
    <w:p w14:paraId="6B4EB8F1">
      <w:pPr>
        <w:spacing w:line="360" w:lineRule="auto"/>
        <w:ind w:firstLine="480" w:firstLineChars="200"/>
        <w:rPr>
          <w:rFonts w:hint="eastAsia" w:ascii="Times New Roman" w:cs="Times New Roman" w:hAnsiTheme="minorEastAsia" w:eastAsiaTheme="minorEastAsia"/>
          <w:sz w:val="24"/>
          <w:szCs w:val="24"/>
          <w:lang w:eastAsia="zh-CN"/>
        </w:rPr>
      </w:pPr>
      <w:r>
        <w:rPr>
          <w:rFonts w:hint="eastAsia" w:ascii="Times New Roman" w:cs="Times New Roman" w:hAnsiTheme="minorEastAsia" w:eastAsiaTheme="minorEastAsia"/>
          <w:sz w:val="24"/>
          <w:szCs w:val="24"/>
        </w:rPr>
        <w:t>GB/T 603-2023</w:t>
      </w:r>
      <w:r>
        <w:rPr>
          <w:rFonts w:hint="eastAsia" w:ascii="Times New Roman" w:cs="Times New Roman" w:hAnsiTheme="minorEastAsia" w:eastAsiaTheme="minorEastAsia"/>
          <w:sz w:val="24"/>
          <w:szCs w:val="24"/>
          <w:lang w:val="en-US" w:eastAsia="zh-CN"/>
        </w:rPr>
        <w:t xml:space="preserve"> </w:t>
      </w:r>
      <w:r>
        <w:rPr>
          <w:rFonts w:hint="eastAsia" w:ascii="Times New Roman" w:cs="Times New Roman" w:hAnsiTheme="minorEastAsia" w:eastAsiaTheme="minorEastAsia"/>
          <w:sz w:val="24"/>
          <w:szCs w:val="24"/>
          <w:lang w:eastAsia="zh-CN"/>
        </w:rPr>
        <w:t>《</w:t>
      </w:r>
      <w:r>
        <w:rPr>
          <w:rFonts w:hint="eastAsia" w:ascii="Times New Roman" w:cs="Times New Roman" w:hAnsiTheme="minorEastAsia" w:eastAsiaTheme="minorEastAsia"/>
          <w:sz w:val="24"/>
          <w:szCs w:val="24"/>
        </w:rPr>
        <w:t>化学试剂 试验方法中所用制剂及制品的制备</w:t>
      </w:r>
      <w:r>
        <w:rPr>
          <w:rFonts w:hint="eastAsia" w:ascii="Times New Roman" w:cs="Times New Roman" w:hAnsiTheme="minorEastAsia" w:eastAsiaTheme="minorEastAsia"/>
          <w:sz w:val="24"/>
          <w:szCs w:val="24"/>
          <w:lang w:eastAsia="zh-CN"/>
        </w:rPr>
        <w:t>》</w:t>
      </w:r>
    </w:p>
    <w:p w14:paraId="7B6DF75A">
      <w:pPr>
        <w:spacing w:line="360" w:lineRule="auto"/>
        <w:ind w:firstLine="480" w:firstLineChars="200"/>
        <w:rPr>
          <w:rFonts w:hint="eastAsia" w:ascii="Times New Roman" w:cs="Times New Roman" w:hAnsiTheme="minorEastAsia" w:eastAsiaTheme="minorEastAsia"/>
          <w:sz w:val="24"/>
          <w:szCs w:val="24"/>
          <w:lang w:eastAsia="zh-CN"/>
        </w:rPr>
      </w:pPr>
      <w:r>
        <w:rPr>
          <w:rFonts w:hint="eastAsia" w:ascii="Times New Roman" w:cs="Times New Roman" w:hAnsiTheme="minorEastAsia" w:eastAsiaTheme="minorEastAsia"/>
          <w:sz w:val="24"/>
          <w:szCs w:val="24"/>
        </w:rPr>
        <w:t>GB/T 1.1-2020</w:t>
      </w:r>
      <w:r>
        <w:rPr>
          <w:rFonts w:hint="eastAsia" w:ascii="Times New Roman" w:cs="Times New Roman" w:hAnsiTheme="minorEastAsia" w:eastAsiaTheme="minorEastAsia"/>
          <w:sz w:val="24"/>
          <w:szCs w:val="24"/>
          <w:lang w:val="en-US" w:eastAsia="zh-CN"/>
        </w:rPr>
        <w:t xml:space="preserve"> </w:t>
      </w:r>
      <w:r>
        <w:rPr>
          <w:rFonts w:hint="eastAsia" w:ascii="Times New Roman" w:cs="Times New Roman" w:hAnsiTheme="minorEastAsia" w:eastAsiaTheme="minorEastAsia"/>
          <w:sz w:val="24"/>
          <w:szCs w:val="24"/>
          <w:lang w:eastAsia="zh-CN"/>
        </w:rPr>
        <w:t>《</w:t>
      </w:r>
      <w:r>
        <w:rPr>
          <w:rFonts w:hint="eastAsia" w:ascii="Times New Roman" w:cs="Times New Roman" w:hAnsiTheme="minorEastAsia" w:eastAsiaTheme="minorEastAsia"/>
          <w:sz w:val="24"/>
          <w:szCs w:val="24"/>
        </w:rPr>
        <w:t>标准化工作导则第1部分：标准化文件的结构和起草规则</w:t>
      </w:r>
      <w:r>
        <w:rPr>
          <w:rFonts w:hint="eastAsia" w:ascii="Times New Roman" w:cs="Times New Roman" w:hAnsiTheme="minorEastAsia" w:eastAsiaTheme="minorEastAsia"/>
          <w:sz w:val="24"/>
          <w:szCs w:val="24"/>
          <w:lang w:eastAsia="zh-CN"/>
        </w:rPr>
        <w:t>》</w:t>
      </w:r>
    </w:p>
    <w:p w14:paraId="794784CB">
      <w:pPr>
        <w:spacing w:line="720" w:lineRule="auto"/>
        <w:rPr>
          <w:rFonts w:ascii="Times New Roman" w:cs="Times New Roman" w:hAnsiTheme="minorEastAsia" w:eastAsiaTheme="minorEastAsia"/>
          <w:b/>
          <w:sz w:val="24"/>
        </w:rPr>
      </w:pPr>
      <w:r>
        <w:rPr>
          <w:rFonts w:ascii="Times New Roman" w:cs="Times New Roman" w:hAnsiTheme="minorEastAsia" w:eastAsiaTheme="minorEastAsia"/>
          <w:b/>
          <w:sz w:val="24"/>
        </w:rPr>
        <w:t>四、制定过程</w:t>
      </w:r>
    </w:p>
    <w:p w14:paraId="0EC6F69E">
      <w:pPr>
        <w:spacing w:line="360" w:lineRule="auto"/>
        <w:ind w:firstLine="480" w:firstLineChars="200"/>
        <w:rPr>
          <w:rFonts w:ascii="Times New Roman" w:cs="Times New Roman" w:hAnsiTheme="minorEastAsia" w:eastAsiaTheme="minorEastAsia"/>
          <w:color w:val="000000"/>
          <w:sz w:val="24"/>
        </w:rPr>
      </w:pPr>
      <w:r>
        <w:rPr>
          <w:rFonts w:ascii="Times New Roman" w:hAnsi="Times New Roman" w:cs="Times New Roman" w:eastAsiaTheme="minorEastAsia"/>
          <w:sz w:val="24"/>
          <w:szCs w:val="24"/>
        </w:rPr>
        <w:t> </w:t>
      </w:r>
      <w:r>
        <w:rPr>
          <w:rFonts w:ascii="Times New Roman" w:hAnsi="Times New Roman" w:cs="Times New Roman" w:eastAsiaTheme="minorEastAsia"/>
          <w:color w:val="000000"/>
          <w:sz w:val="24"/>
        </w:rPr>
        <w:t>202</w:t>
      </w:r>
      <w:r>
        <w:rPr>
          <w:rFonts w:hint="eastAsia" w:ascii="Times New Roman" w:hAnsi="Times New Roman" w:cs="Times New Roman" w:eastAsiaTheme="minorEastAsia"/>
          <w:color w:val="000000"/>
          <w:sz w:val="24"/>
          <w:lang w:val="en-US" w:eastAsia="zh-CN"/>
        </w:rPr>
        <w:t>5</w:t>
      </w:r>
      <w:r>
        <w:rPr>
          <w:rFonts w:ascii="Times New Roman" w:cs="Times New Roman" w:hAnsiTheme="minorEastAsia" w:eastAsiaTheme="minorEastAsia"/>
          <w:color w:val="000000"/>
          <w:sz w:val="24"/>
        </w:rPr>
        <w:t>年</w:t>
      </w:r>
      <w:r>
        <w:rPr>
          <w:rFonts w:hint="eastAsia" w:ascii="Times New Roman" w:hAnsi="Times New Roman" w:cs="Times New Roman" w:eastAsiaTheme="minorEastAsia"/>
          <w:color w:val="000000"/>
          <w:sz w:val="24"/>
          <w:lang w:val="en-US" w:eastAsia="zh-CN"/>
        </w:rPr>
        <w:t>3</w:t>
      </w:r>
      <w:r>
        <w:rPr>
          <w:rFonts w:ascii="Times New Roman" w:cs="Times New Roman" w:hAnsiTheme="minorEastAsia" w:eastAsiaTheme="minorEastAsia"/>
          <w:color w:val="000000"/>
          <w:sz w:val="24"/>
        </w:rPr>
        <w:t>月至</w:t>
      </w:r>
      <w:r>
        <w:rPr>
          <w:rFonts w:ascii="Times New Roman" w:hAnsi="Times New Roman" w:cs="Times New Roman" w:eastAsiaTheme="minorEastAsia"/>
          <w:color w:val="000000"/>
          <w:sz w:val="24"/>
        </w:rPr>
        <w:t>202</w:t>
      </w:r>
      <w:r>
        <w:rPr>
          <w:rFonts w:hint="eastAsia" w:ascii="Times New Roman" w:hAnsi="Times New Roman" w:cs="Times New Roman" w:eastAsiaTheme="minorEastAsia"/>
          <w:color w:val="000000"/>
          <w:sz w:val="24"/>
          <w:lang w:val="en-US" w:eastAsia="zh-CN"/>
        </w:rPr>
        <w:t>5</w:t>
      </w:r>
      <w:r>
        <w:rPr>
          <w:rFonts w:ascii="Times New Roman" w:cs="Times New Roman" w:hAnsiTheme="minorEastAsia" w:eastAsiaTheme="minorEastAsia"/>
          <w:color w:val="000000"/>
          <w:sz w:val="24"/>
        </w:rPr>
        <w:t>年</w:t>
      </w:r>
      <w:r>
        <w:rPr>
          <w:rFonts w:hint="eastAsia" w:ascii="Times New Roman" w:hAnsi="Times New Roman" w:cs="Times New Roman" w:eastAsiaTheme="minorEastAsia"/>
          <w:color w:val="000000"/>
          <w:sz w:val="24"/>
          <w:lang w:val="en-US" w:eastAsia="zh-CN"/>
        </w:rPr>
        <w:t>6</w:t>
      </w:r>
      <w:r>
        <w:rPr>
          <w:rFonts w:ascii="Times New Roman" w:cs="Times New Roman" w:hAnsiTheme="minorEastAsia" w:eastAsiaTheme="minorEastAsia"/>
          <w:color w:val="000000"/>
          <w:sz w:val="24"/>
        </w:rPr>
        <w:t>月，成立规范起草小组，查阅相关国内外标准、文献、生产厂家技术资料等，</w:t>
      </w:r>
      <w:r>
        <w:rPr>
          <w:rFonts w:hint="eastAsia" w:ascii="Times New Roman" w:cs="Times New Roman" w:hAnsiTheme="minorEastAsia" w:eastAsiaTheme="minorEastAsia"/>
          <w:color w:val="000000"/>
          <w:sz w:val="24"/>
        </w:rPr>
        <w:t>完成</w:t>
      </w:r>
      <w:r>
        <w:rPr>
          <w:rFonts w:hint="eastAsia" w:ascii="Times New Roman" w:cs="Times New Roman" w:hAnsiTheme="minorEastAsia" w:eastAsiaTheme="minorEastAsia"/>
          <w:color w:val="000000"/>
          <w:sz w:val="24"/>
          <w:lang w:val="en-US" w:eastAsia="zh-CN"/>
        </w:rPr>
        <w:t>盐湖卤水专用硼自动分析仪</w:t>
      </w:r>
      <w:r>
        <w:rPr>
          <w:rFonts w:hint="eastAsia" w:ascii="Times New Roman" w:cs="Times New Roman" w:hAnsiTheme="minorEastAsia" w:eastAsiaTheme="minorEastAsia"/>
          <w:sz w:val="24"/>
          <w:szCs w:val="24"/>
        </w:rPr>
        <w:t>校准</w:t>
      </w:r>
      <w:r>
        <w:rPr>
          <w:rFonts w:hint="eastAsia" w:ascii="Times New Roman" w:cs="Times New Roman" w:hAnsiTheme="minorEastAsia" w:eastAsiaTheme="minorEastAsia"/>
          <w:sz w:val="24"/>
          <w:szCs w:val="24"/>
          <w:highlight w:val="none"/>
        </w:rPr>
        <w:t>所使用的标准物质和其他设备</w:t>
      </w:r>
      <w:r>
        <w:rPr>
          <w:rFonts w:hint="eastAsia" w:ascii="Times New Roman" w:cs="Times New Roman" w:hAnsiTheme="minorEastAsia" w:eastAsiaTheme="minorEastAsia"/>
          <w:color w:val="000000"/>
          <w:sz w:val="24"/>
          <w:highlight w:val="none"/>
        </w:rPr>
        <w:t>的</w:t>
      </w:r>
      <w:r>
        <w:rPr>
          <w:rFonts w:ascii="Times New Roman" w:cs="Times New Roman" w:hAnsiTheme="minorEastAsia" w:eastAsiaTheme="minorEastAsia"/>
          <w:color w:val="000000"/>
          <w:sz w:val="24"/>
          <w:highlight w:val="none"/>
        </w:rPr>
        <w:t>购置</w:t>
      </w:r>
      <w:r>
        <w:rPr>
          <w:rFonts w:ascii="Times New Roman" w:cs="Times New Roman" w:hAnsiTheme="minorEastAsia" w:eastAsiaTheme="minorEastAsia"/>
          <w:color w:val="000000"/>
          <w:sz w:val="24"/>
        </w:rPr>
        <w:t>，开展校准方法的研究并初步拟定校准项目。</w:t>
      </w:r>
    </w:p>
    <w:p w14:paraId="6578AB5D">
      <w:pPr>
        <w:spacing w:line="360" w:lineRule="auto"/>
        <w:ind w:firstLine="480" w:firstLineChars="200"/>
        <w:rPr>
          <w:rFonts w:ascii="Times New Roman" w:cs="Times New Roman" w:hAnsiTheme="minorEastAsia" w:eastAsiaTheme="minorEastAsia"/>
          <w:color w:val="000000"/>
          <w:sz w:val="24"/>
        </w:rPr>
      </w:pPr>
      <w:r>
        <w:rPr>
          <w:rFonts w:ascii="Times New Roman" w:hAnsi="Times New Roman" w:cs="Times New Roman" w:eastAsiaTheme="minorEastAsia"/>
          <w:sz w:val="24"/>
          <w:szCs w:val="24"/>
        </w:rPr>
        <w:t> </w:t>
      </w:r>
      <w:r>
        <w:rPr>
          <w:rFonts w:ascii="Times New Roman" w:hAnsi="Times New Roman" w:cs="Times New Roman" w:eastAsiaTheme="minorEastAsia"/>
          <w:color w:val="000000"/>
          <w:sz w:val="24"/>
        </w:rPr>
        <w:t>202</w:t>
      </w:r>
      <w:r>
        <w:rPr>
          <w:rFonts w:hint="eastAsia" w:ascii="Times New Roman" w:hAnsi="Times New Roman" w:cs="Times New Roman" w:eastAsiaTheme="minorEastAsia"/>
          <w:color w:val="000000"/>
          <w:sz w:val="24"/>
          <w:lang w:val="en-US" w:eastAsia="zh-CN"/>
        </w:rPr>
        <w:t>5</w:t>
      </w:r>
      <w:r>
        <w:rPr>
          <w:rFonts w:ascii="Times New Roman" w:cs="Times New Roman" w:hAnsiTheme="minorEastAsia" w:eastAsiaTheme="minorEastAsia"/>
          <w:color w:val="000000"/>
          <w:sz w:val="24"/>
        </w:rPr>
        <w:t>年</w:t>
      </w:r>
      <w:r>
        <w:rPr>
          <w:rFonts w:hint="eastAsia" w:ascii="Times New Roman" w:hAnsi="Times New Roman" w:cs="Times New Roman" w:eastAsiaTheme="minorEastAsia"/>
          <w:color w:val="000000"/>
          <w:sz w:val="24"/>
          <w:lang w:val="en-US" w:eastAsia="zh-CN"/>
        </w:rPr>
        <w:t>7</w:t>
      </w:r>
      <w:r>
        <w:rPr>
          <w:rFonts w:ascii="Times New Roman" w:cs="Times New Roman" w:hAnsiTheme="minorEastAsia" w:eastAsiaTheme="minorEastAsia"/>
          <w:color w:val="000000"/>
          <w:sz w:val="24"/>
        </w:rPr>
        <w:t>月至</w:t>
      </w:r>
      <w:r>
        <w:rPr>
          <w:rFonts w:ascii="Times New Roman" w:hAnsi="Times New Roman" w:cs="Times New Roman" w:eastAsiaTheme="minorEastAsia"/>
          <w:color w:val="000000"/>
          <w:sz w:val="24"/>
        </w:rPr>
        <w:t>202</w:t>
      </w:r>
      <w:r>
        <w:rPr>
          <w:rFonts w:hint="eastAsia" w:ascii="Times New Roman" w:hAnsi="Times New Roman" w:cs="Times New Roman" w:eastAsiaTheme="minorEastAsia"/>
          <w:color w:val="000000"/>
          <w:sz w:val="24"/>
          <w:lang w:val="en-US" w:eastAsia="zh-CN"/>
        </w:rPr>
        <w:t>6</w:t>
      </w:r>
      <w:r>
        <w:rPr>
          <w:rFonts w:ascii="Times New Roman" w:cs="Times New Roman" w:hAnsiTheme="minorEastAsia" w:eastAsiaTheme="minorEastAsia"/>
          <w:color w:val="000000"/>
          <w:sz w:val="24"/>
        </w:rPr>
        <w:t>年</w:t>
      </w:r>
      <w:r>
        <w:rPr>
          <w:rFonts w:hint="eastAsia" w:ascii="Times New Roman" w:hAnsi="Times New Roman" w:cs="Times New Roman" w:eastAsiaTheme="minorEastAsia"/>
          <w:color w:val="000000"/>
          <w:sz w:val="24"/>
          <w:lang w:val="en-US" w:eastAsia="zh-CN"/>
        </w:rPr>
        <w:t>3</w:t>
      </w:r>
      <w:r>
        <w:rPr>
          <w:rFonts w:ascii="Times New Roman" w:cs="Times New Roman" w:hAnsiTheme="minorEastAsia" w:eastAsiaTheme="minorEastAsia"/>
          <w:color w:val="000000"/>
          <w:sz w:val="24"/>
        </w:rPr>
        <w:t>月，应用初拟的校准方法对</w:t>
      </w:r>
      <w:r>
        <w:rPr>
          <w:rFonts w:ascii="Times New Roman" w:cs="Times New Roman" w:hAnsiTheme="minorEastAsia" w:eastAsiaTheme="minorEastAsia"/>
          <w:color w:val="000000"/>
          <w:sz w:val="24"/>
          <w:highlight w:val="none"/>
        </w:rPr>
        <w:t>多种型号和厂家生产的</w:t>
      </w:r>
      <w:r>
        <w:rPr>
          <w:rFonts w:hint="eastAsia" w:ascii="Times New Roman" w:cs="Times New Roman" w:hAnsiTheme="minorEastAsia" w:eastAsiaTheme="minorEastAsia"/>
          <w:color w:val="000000"/>
          <w:sz w:val="24"/>
          <w:highlight w:val="none"/>
          <w:lang w:val="en-US" w:eastAsia="zh-CN"/>
        </w:rPr>
        <w:t>盐湖卤水专用硼自动分析仪</w:t>
      </w:r>
      <w:r>
        <w:rPr>
          <w:rFonts w:hint="eastAsia" w:ascii="Times New Roman" w:cs="Times New Roman" w:hAnsiTheme="minorEastAsia" w:eastAsiaTheme="minorEastAsia"/>
          <w:sz w:val="24"/>
          <w:szCs w:val="24"/>
          <w:highlight w:val="none"/>
        </w:rPr>
        <w:t>进行试</w:t>
      </w:r>
      <w:r>
        <w:rPr>
          <w:rFonts w:hint="eastAsia" w:ascii="Times New Roman" w:cs="Times New Roman" w:hAnsiTheme="minorEastAsia" w:eastAsiaTheme="minorEastAsia"/>
          <w:color w:val="000000"/>
          <w:sz w:val="24"/>
          <w:highlight w:val="none"/>
        </w:rPr>
        <w:t>验</w:t>
      </w:r>
      <w:r>
        <w:rPr>
          <w:rFonts w:hint="eastAsia" w:ascii="Times New Roman" w:cs="Times New Roman" w:hAnsiTheme="minorEastAsia" w:eastAsiaTheme="minorEastAsia"/>
          <w:color w:val="000000"/>
          <w:sz w:val="24"/>
        </w:rPr>
        <w:t>，</w:t>
      </w:r>
      <w:r>
        <w:rPr>
          <w:rFonts w:ascii="Times New Roman" w:cs="Times New Roman" w:hAnsiTheme="minorEastAsia" w:eastAsiaTheme="minorEastAsia"/>
          <w:color w:val="000000"/>
          <w:sz w:val="24"/>
        </w:rPr>
        <w:t>对影响</w:t>
      </w:r>
      <w:r>
        <w:rPr>
          <w:rFonts w:hint="eastAsia" w:ascii="Times New Roman" w:cs="Times New Roman" w:hAnsiTheme="minorEastAsia" w:eastAsiaTheme="minorEastAsia"/>
          <w:color w:val="000000"/>
          <w:sz w:val="24"/>
        </w:rPr>
        <w:t>仪器</w:t>
      </w:r>
      <w:r>
        <w:rPr>
          <w:rFonts w:ascii="Times New Roman" w:cs="Times New Roman" w:hAnsiTheme="minorEastAsia" w:eastAsiaTheme="minorEastAsia"/>
          <w:color w:val="000000"/>
          <w:sz w:val="24"/>
        </w:rPr>
        <w:t>测量结果准确可靠的示值误差、重复性</w:t>
      </w:r>
      <w:r>
        <w:rPr>
          <w:rFonts w:hint="eastAsia" w:ascii="Times New Roman" w:cs="Times New Roman" w:hAnsiTheme="minorEastAsia" w:eastAsiaTheme="minorEastAsia"/>
          <w:color w:val="000000"/>
          <w:sz w:val="24"/>
        </w:rPr>
        <w:t>、稳定性</w:t>
      </w:r>
      <w:r>
        <w:rPr>
          <w:rFonts w:ascii="Times New Roman" w:cs="Times New Roman" w:hAnsiTheme="minorEastAsia" w:eastAsiaTheme="minorEastAsia"/>
          <w:color w:val="000000"/>
          <w:sz w:val="24"/>
        </w:rPr>
        <w:t>等项目进行试验方法研究，制定能满足</w:t>
      </w:r>
      <w:r>
        <w:rPr>
          <w:rFonts w:hint="eastAsia" w:ascii="Times New Roman" w:cs="Times New Roman" w:hAnsiTheme="minorEastAsia" w:eastAsiaTheme="minorEastAsia"/>
          <w:sz w:val="24"/>
          <w:szCs w:val="24"/>
        </w:rPr>
        <w:t>仪器</w:t>
      </w:r>
      <w:r>
        <w:rPr>
          <w:rFonts w:ascii="Times New Roman" w:cs="Times New Roman" w:hAnsiTheme="minorEastAsia" w:eastAsiaTheme="minorEastAsia"/>
          <w:color w:val="000000"/>
          <w:sz w:val="24"/>
        </w:rPr>
        <w:t>校准要求的计量校准方法与校准项目，</w:t>
      </w:r>
      <w:r>
        <w:rPr>
          <w:rFonts w:hint="eastAsia" w:ascii="Times New Roman" w:cs="Times New Roman" w:hAnsiTheme="minorEastAsia" w:eastAsiaTheme="minorEastAsia"/>
          <w:color w:val="000000"/>
          <w:sz w:val="24"/>
        </w:rPr>
        <w:t>验证方法的可行性和适用性，</w:t>
      </w:r>
      <w:r>
        <w:rPr>
          <w:rFonts w:ascii="Times New Roman" w:cs="Times New Roman" w:hAnsiTheme="minorEastAsia" w:eastAsiaTheme="minorEastAsia"/>
          <w:color w:val="000000"/>
          <w:sz w:val="24"/>
        </w:rPr>
        <w:t>并进行</w:t>
      </w:r>
      <w:r>
        <w:rPr>
          <w:rFonts w:hint="eastAsia" w:ascii="Times New Roman" w:cs="Times New Roman" w:hAnsiTheme="minorEastAsia" w:eastAsiaTheme="minorEastAsia"/>
          <w:color w:val="000000"/>
          <w:sz w:val="24"/>
        </w:rPr>
        <w:t>检测仪</w:t>
      </w:r>
      <w:r>
        <w:rPr>
          <w:rFonts w:ascii="Times New Roman" w:cs="Times New Roman" w:hAnsiTheme="minorEastAsia" w:eastAsiaTheme="minorEastAsia"/>
          <w:color w:val="000000"/>
          <w:sz w:val="24"/>
        </w:rPr>
        <w:t>校准规范初稿的编写。</w:t>
      </w:r>
    </w:p>
    <w:p w14:paraId="7311B9D4">
      <w:pPr>
        <w:spacing w:line="360" w:lineRule="auto"/>
        <w:ind w:firstLine="480" w:firstLineChars="200"/>
        <w:rPr>
          <w:rFonts w:hint="eastAsia" w:ascii="Times New Roman" w:cs="Times New Roman" w:hAnsiTheme="minorEastAsia" w:eastAsiaTheme="minorEastAsia"/>
          <w:sz w:val="24"/>
          <w:szCs w:val="24"/>
        </w:rPr>
      </w:pPr>
      <w:r>
        <w:rPr>
          <w:rFonts w:ascii="Times New Roman" w:hAnsi="Times New Roman" w:cs="Times New Roman" w:eastAsiaTheme="minorEastAsia"/>
          <w:sz w:val="24"/>
          <w:szCs w:val="24"/>
        </w:rPr>
        <w:t> </w:t>
      </w:r>
      <w:r>
        <w:rPr>
          <w:rFonts w:ascii="Times New Roman" w:hAnsi="Times New Roman" w:cs="Times New Roman" w:eastAsiaTheme="minorEastAsia"/>
          <w:color w:val="000000"/>
          <w:sz w:val="24"/>
        </w:rPr>
        <w:t>20</w:t>
      </w:r>
      <w:r>
        <w:rPr>
          <w:rFonts w:hint="eastAsia" w:ascii="Times New Roman" w:hAnsi="Times New Roman" w:cs="Times New Roman" w:eastAsiaTheme="minorEastAsia"/>
          <w:color w:val="000000"/>
          <w:sz w:val="24"/>
          <w:lang w:val="en-US" w:eastAsia="zh-CN"/>
        </w:rPr>
        <w:t>26</w:t>
      </w:r>
      <w:r>
        <w:rPr>
          <w:rFonts w:ascii="Times New Roman" w:cs="Times New Roman" w:hAnsiTheme="minorEastAsia" w:eastAsiaTheme="minorEastAsia"/>
          <w:color w:val="000000"/>
          <w:sz w:val="24"/>
        </w:rPr>
        <w:t>年</w:t>
      </w:r>
      <w:r>
        <w:rPr>
          <w:rFonts w:hint="eastAsia" w:ascii="Times New Roman" w:hAnsi="Times New Roman" w:cs="Times New Roman" w:eastAsiaTheme="minorEastAsia"/>
          <w:color w:val="000000"/>
          <w:sz w:val="24"/>
          <w:lang w:val="en-US" w:eastAsia="zh-CN"/>
        </w:rPr>
        <w:t>1</w:t>
      </w:r>
      <w:r>
        <w:rPr>
          <w:rFonts w:ascii="Times New Roman" w:cs="Times New Roman" w:hAnsiTheme="minorEastAsia" w:eastAsiaTheme="minorEastAsia"/>
          <w:color w:val="000000"/>
          <w:sz w:val="24"/>
        </w:rPr>
        <w:t>月至</w:t>
      </w:r>
      <w:r>
        <w:rPr>
          <w:rFonts w:ascii="Times New Roman" w:hAnsi="Times New Roman" w:cs="Times New Roman" w:eastAsiaTheme="minorEastAsia"/>
          <w:color w:val="000000"/>
          <w:sz w:val="24"/>
        </w:rPr>
        <w:t>202</w:t>
      </w:r>
      <w:r>
        <w:rPr>
          <w:rFonts w:hint="eastAsia" w:ascii="Times New Roman" w:hAnsi="Times New Roman" w:cs="Times New Roman" w:eastAsiaTheme="minorEastAsia"/>
          <w:color w:val="000000"/>
          <w:sz w:val="24"/>
          <w:lang w:val="en-US" w:eastAsia="zh-CN"/>
        </w:rPr>
        <w:t>6</w:t>
      </w:r>
      <w:r>
        <w:rPr>
          <w:rFonts w:ascii="Times New Roman" w:cs="Times New Roman" w:hAnsiTheme="minorEastAsia" w:eastAsiaTheme="minorEastAsia"/>
          <w:color w:val="000000"/>
          <w:sz w:val="24"/>
        </w:rPr>
        <w:t>年</w:t>
      </w:r>
      <w:r>
        <w:rPr>
          <w:rFonts w:hint="eastAsia" w:ascii="Times New Roman" w:cs="Times New Roman" w:hAnsiTheme="minorEastAsia" w:eastAsiaTheme="minorEastAsia"/>
          <w:color w:val="000000"/>
          <w:sz w:val="24"/>
          <w:lang w:val="en-US" w:eastAsia="zh-CN"/>
        </w:rPr>
        <w:t>3</w:t>
      </w:r>
      <w:r>
        <w:rPr>
          <w:rFonts w:ascii="Times New Roman" w:cs="Times New Roman" w:hAnsiTheme="minorEastAsia" w:eastAsiaTheme="minorEastAsia"/>
          <w:color w:val="000000"/>
          <w:sz w:val="24"/>
        </w:rPr>
        <w:t>月</w:t>
      </w:r>
      <w:r>
        <w:rPr>
          <w:rFonts w:ascii="Times New Roman" w:cs="Times New Roman" w:hAnsiTheme="minorEastAsia" w:eastAsiaTheme="minorEastAsia"/>
          <w:sz w:val="24"/>
          <w:szCs w:val="24"/>
        </w:rPr>
        <w:t>对项目试验数据进行整理与分析，确定</w:t>
      </w:r>
      <w:r>
        <w:rPr>
          <w:rFonts w:hint="eastAsia" w:ascii="Times New Roman" w:cs="Times New Roman" w:hAnsiTheme="minorEastAsia" w:eastAsiaTheme="minorEastAsia"/>
          <w:color w:val="000000"/>
          <w:sz w:val="24"/>
          <w:lang w:val="en-US" w:eastAsia="zh-CN"/>
        </w:rPr>
        <w:t>盐湖卤水专用硼自动分析仪</w:t>
      </w:r>
      <w:r>
        <w:rPr>
          <w:rFonts w:ascii="Times New Roman" w:cs="Times New Roman" w:hAnsiTheme="minorEastAsia" w:eastAsiaTheme="minorEastAsia"/>
          <w:sz w:val="24"/>
          <w:szCs w:val="24"/>
        </w:rPr>
        <w:t>的校准项目、校准条件、校准方法及计量特性参数，根据实际应用中发现的问题，对方法初稿进行修改和完善，形成征求意见稿。</w:t>
      </w:r>
    </w:p>
    <w:p w14:paraId="189BE512">
      <w:pPr>
        <w:spacing w:line="360" w:lineRule="auto"/>
        <w:ind w:firstLine="480" w:firstLineChars="200"/>
        <w:rPr>
          <w:rFonts w:ascii="Times New Roman" w:cs="Times New Roman" w:hAnsiTheme="minorEastAsia" w:eastAsiaTheme="minorEastAsia"/>
          <w:sz w:val="24"/>
          <w:szCs w:val="24"/>
        </w:rPr>
      </w:pPr>
      <w:r>
        <w:rPr>
          <w:rFonts w:hint="eastAsia" w:ascii="Times New Roman" w:cs="Times New Roman" w:hAnsiTheme="minorEastAsia" w:eastAsiaTheme="minorEastAsia"/>
          <w:sz w:val="24"/>
          <w:szCs w:val="24"/>
        </w:rPr>
        <w:t>202</w:t>
      </w:r>
      <w:r>
        <w:rPr>
          <w:rFonts w:hint="eastAsia" w:ascii="Times New Roman" w:cs="Times New Roman" w:hAnsiTheme="minorEastAsia" w:eastAsiaTheme="minorEastAsia"/>
          <w:sz w:val="24"/>
          <w:szCs w:val="24"/>
          <w:lang w:val="en-US" w:eastAsia="zh-CN"/>
        </w:rPr>
        <w:t>6</w:t>
      </w:r>
      <w:r>
        <w:rPr>
          <w:rFonts w:hint="eastAsia" w:ascii="Times New Roman" w:cs="Times New Roman" w:hAnsiTheme="minorEastAsia" w:eastAsiaTheme="minorEastAsia"/>
          <w:sz w:val="24"/>
          <w:szCs w:val="24"/>
        </w:rPr>
        <w:t>年</w:t>
      </w:r>
      <w:r>
        <w:rPr>
          <w:rFonts w:hint="eastAsia" w:ascii="Times New Roman" w:cs="Times New Roman" w:hAnsiTheme="minorEastAsia" w:eastAsiaTheme="minorEastAsia"/>
          <w:sz w:val="24"/>
          <w:szCs w:val="24"/>
          <w:lang w:val="en-US" w:eastAsia="zh-CN"/>
        </w:rPr>
        <w:t>4</w:t>
      </w:r>
      <w:r>
        <w:rPr>
          <w:rFonts w:hint="eastAsia" w:ascii="Times New Roman" w:cs="Times New Roman" w:hAnsiTheme="minorEastAsia" w:eastAsiaTheme="minorEastAsia"/>
          <w:sz w:val="24"/>
          <w:szCs w:val="24"/>
        </w:rPr>
        <w:t>月，召开项目的预审会，针对技术专家提出的整改意见，对征求意见稿进行修改和完善，形成报审稿。</w:t>
      </w:r>
    </w:p>
    <w:p w14:paraId="61ABEA04">
      <w:pPr>
        <w:spacing w:line="720" w:lineRule="auto"/>
        <w:rPr>
          <w:rFonts w:ascii="Times New Roman" w:cs="Times New Roman" w:hAnsiTheme="minorEastAsia" w:eastAsiaTheme="minorEastAsia"/>
          <w:b/>
          <w:sz w:val="24"/>
        </w:rPr>
      </w:pPr>
      <w:r>
        <w:rPr>
          <w:rFonts w:ascii="Times New Roman" w:cs="Times New Roman" w:hAnsiTheme="minorEastAsia" w:eastAsiaTheme="minorEastAsia"/>
          <w:b/>
          <w:sz w:val="24"/>
        </w:rPr>
        <w:t>五、规范制定的原则</w:t>
      </w:r>
    </w:p>
    <w:p w14:paraId="4400E53A">
      <w:pPr>
        <w:spacing w:line="360" w:lineRule="auto"/>
        <w:rPr>
          <w:rFonts w:hint="eastAsia" w:ascii="Times New Roman" w:cs="Times New Roman" w:hAnsiTheme="minorEastAsia" w:eastAsiaTheme="minorEastAsia"/>
          <w:kern w:val="0"/>
          <w:sz w:val="24"/>
          <w:szCs w:val="24"/>
        </w:rPr>
      </w:pPr>
      <w:r>
        <w:rPr>
          <w:rFonts w:hint="eastAsia" w:ascii="Times New Roman" w:cs="Times New Roman" w:hAnsiTheme="minorEastAsia" w:eastAsiaTheme="minorEastAsia"/>
          <w:kern w:val="0"/>
          <w:sz w:val="24"/>
          <w:szCs w:val="24"/>
        </w:rPr>
        <w:t>1、规范结构</w:t>
      </w:r>
    </w:p>
    <w:p w14:paraId="6DE87738">
      <w:pPr>
        <w:spacing w:line="360" w:lineRule="auto"/>
        <w:ind w:firstLine="480" w:firstLineChars="200"/>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rPr>
        <w:t>按照JJF1071-2010《国家计量校准规范编写规则》的要求，本规范的主体内容由以下几个部分构成：范围、引用文件、概述、计量特性、校准条件、校准项目和校准方法、校准结果表达、复校时间间隔以及附录。</w:t>
      </w:r>
    </w:p>
    <w:p w14:paraId="767F5B5A">
      <w:pPr>
        <w:spacing w:line="360" w:lineRule="auto"/>
        <w:rPr>
          <w:rFonts w:hint="eastAsia" w:ascii="Times New Roman" w:cs="Times New Roman" w:hAnsiTheme="minorEastAsia" w:eastAsiaTheme="minorEastAsia"/>
          <w:kern w:val="0"/>
          <w:sz w:val="24"/>
          <w:szCs w:val="24"/>
        </w:rPr>
      </w:pPr>
      <w:r>
        <w:rPr>
          <w:rFonts w:hint="eastAsia" w:ascii="Times New Roman" w:cs="Times New Roman" w:hAnsiTheme="minorEastAsia" w:eastAsiaTheme="minorEastAsia"/>
          <w:kern w:val="0"/>
          <w:sz w:val="24"/>
          <w:szCs w:val="24"/>
        </w:rPr>
        <w:t>2、计量特性的确定原则</w:t>
      </w:r>
    </w:p>
    <w:p w14:paraId="3F416D61">
      <w:pPr>
        <w:spacing w:line="360" w:lineRule="auto"/>
        <w:ind w:firstLine="420" w:firstLineChars="0"/>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rPr>
        <w:t>仪器的计量特性要求主要根据</w:t>
      </w:r>
      <w:r>
        <w:rPr>
          <w:rFonts w:hint="eastAsia" w:ascii="Times New Roman" w:hAnsi="Times New Roman" w:cs="Times New Roman" w:eastAsiaTheme="minorEastAsia"/>
          <w:sz w:val="24"/>
          <w:szCs w:val="24"/>
          <w:lang w:val="en-US" w:eastAsia="zh-CN"/>
        </w:rPr>
        <w:t>盐湖卤水专用硼自动分析仪</w:t>
      </w:r>
      <w:r>
        <w:rPr>
          <w:rFonts w:hint="eastAsia" w:ascii="Times New Roman" w:hAnsi="Times New Roman" w:cs="Times New Roman" w:eastAsiaTheme="minorEastAsia"/>
          <w:sz w:val="24"/>
          <w:szCs w:val="24"/>
        </w:rPr>
        <w:t>校准方法的仪器原理、出厂指标、相关盐湖卤水类检测标准作为参考，同时根据实验数据进行分析汇总，并参考同类仪器计量校准规范讨论制定。</w:t>
      </w:r>
    </w:p>
    <w:p w14:paraId="4995EA0B">
      <w:pPr>
        <w:spacing w:line="360" w:lineRule="auto"/>
        <w:rPr>
          <w:rFonts w:hint="eastAsia" w:ascii="Times New Roman" w:cs="Times New Roman" w:hAnsiTheme="minorEastAsia" w:eastAsiaTheme="minorEastAsia"/>
          <w:kern w:val="0"/>
          <w:sz w:val="24"/>
          <w:szCs w:val="24"/>
        </w:rPr>
      </w:pPr>
      <w:r>
        <w:rPr>
          <w:rFonts w:hint="eastAsia" w:ascii="Times New Roman" w:cs="Times New Roman" w:hAnsiTheme="minorEastAsia" w:eastAsiaTheme="minorEastAsia"/>
          <w:kern w:val="0"/>
          <w:sz w:val="24"/>
          <w:szCs w:val="24"/>
        </w:rPr>
        <w:t>3、计量标准器的选择</w:t>
      </w:r>
    </w:p>
    <w:tbl>
      <w:tblPr>
        <w:tblStyle w:val="5"/>
        <w:tblW w:w="8080" w:type="dxa"/>
        <w:tblInd w:w="250" w:type="dxa"/>
        <w:tblLayout w:type="autofit"/>
        <w:tblCellMar>
          <w:top w:w="0" w:type="dxa"/>
          <w:left w:w="108" w:type="dxa"/>
          <w:bottom w:w="0" w:type="dxa"/>
          <w:right w:w="108" w:type="dxa"/>
        </w:tblCellMar>
      </w:tblPr>
      <w:tblGrid>
        <w:gridCol w:w="2693"/>
        <w:gridCol w:w="2552"/>
        <w:gridCol w:w="2835"/>
      </w:tblGrid>
      <w:tr w14:paraId="2D2B3F09">
        <w:tblPrEx>
          <w:tblCellMar>
            <w:top w:w="0" w:type="dxa"/>
            <w:left w:w="108" w:type="dxa"/>
            <w:bottom w:w="0" w:type="dxa"/>
            <w:right w:w="108" w:type="dxa"/>
          </w:tblCellMar>
        </w:tblPrEx>
        <w:trPr>
          <w:trHeight w:val="270" w:hRule="atLeast"/>
        </w:trPr>
        <w:tc>
          <w:tcPr>
            <w:tcW w:w="8080" w:type="dxa"/>
            <w:gridSpan w:val="3"/>
            <w:tcBorders>
              <w:top w:val="nil"/>
              <w:left w:val="nil"/>
              <w:bottom w:val="single" w:color="auto" w:sz="4" w:space="0"/>
              <w:right w:val="nil"/>
            </w:tcBorders>
            <w:shd w:val="clear" w:color="auto" w:fill="auto"/>
            <w:noWrap/>
            <w:vAlign w:val="bottom"/>
          </w:tcPr>
          <w:p w14:paraId="19ACA5D0">
            <w:pPr>
              <w:spacing w:line="360" w:lineRule="auto"/>
              <w:ind w:firstLine="420" w:firstLineChars="0"/>
              <w:rPr>
                <w:rFonts w:hint="eastAsia" w:ascii="Times New Roman" w:hAnsi="Times New Roman" w:cs="Times New Roman" w:eastAsiaTheme="minorEastAsia"/>
                <w:sz w:val="24"/>
                <w:szCs w:val="24"/>
              </w:rPr>
            </w:pPr>
            <w:r>
              <w:rPr>
                <w:rFonts w:hint="eastAsia" w:ascii="Times New Roman" w:hAnsi="Times New Roman" w:cs="Times New Roman" w:eastAsiaTheme="minorEastAsia"/>
                <w:sz w:val="24"/>
                <w:szCs w:val="24"/>
              </w:rPr>
              <w:t>标准物质的定值不确定度、测量范围以及标准物质成分直接关系到计量性能检测方法以及指标的确定。开展盐湖提锂在线检测设备校准方法的校准，目前国内主要有各浓度的</w:t>
            </w:r>
            <w:r>
              <w:rPr>
                <w:rFonts w:hint="eastAsia" w:ascii="Times New Roman" w:hAnsi="Times New Roman" w:cs="Times New Roman" w:eastAsiaTheme="minorEastAsia"/>
                <w:sz w:val="24"/>
                <w:szCs w:val="24"/>
                <w:lang w:val="en-US" w:eastAsia="zh-CN"/>
              </w:rPr>
              <w:t>硼</w:t>
            </w:r>
            <w:r>
              <w:rPr>
                <w:rFonts w:hint="eastAsia" w:ascii="Times New Roman" w:hAnsi="Times New Roman" w:cs="Times New Roman" w:eastAsiaTheme="minorEastAsia"/>
                <w:sz w:val="24"/>
                <w:szCs w:val="24"/>
              </w:rPr>
              <w:t>标准物质，表1列出了当前可用的有证标准物质。因此，可用于</w:t>
            </w:r>
            <w:r>
              <w:rPr>
                <w:rFonts w:hint="eastAsia" w:ascii="Times New Roman" w:hAnsi="Times New Roman" w:cs="Times New Roman" w:eastAsiaTheme="minorEastAsia"/>
                <w:sz w:val="24"/>
                <w:szCs w:val="24"/>
                <w:lang w:val="en-US" w:eastAsia="zh-CN"/>
              </w:rPr>
              <w:t>盐湖卤水专用硼自动分析仪</w:t>
            </w:r>
            <w:r>
              <w:rPr>
                <w:rFonts w:hint="eastAsia" w:ascii="Times New Roman" w:hAnsi="Times New Roman" w:cs="Times New Roman" w:eastAsiaTheme="minorEastAsia"/>
                <w:sz w:val="24"/>
                <w:szCs w:val="24"/>
              </w:rPr>
              <w:t>校准的有证标准物质易于获得且具有溯源性。</w:t>
            </w:r>
          </w:p>
        </w:tc>
      </w:tr>
      <w:tr w14:paraId="2DAC1ABE">
        <w:tblPrEx>
          <w:tblCellMar>
            <w:top w:w="0" w:type="dxa"/>
            <w:left w:w="108" w:type="dxa"/>
            <w:bottom w:w="0" w:type="dxa"/>
            <w:right w:w="108" w:type="dxa"/>
          </w:tblCellMar>
        </w:tblPrEx>
        <w:trPr>
          <w:trHeight w:val="285" w:hRule="atLeast"/>
        </w:trPr>
        <w:tc>
          <w:tcPr>
            <w:tcW w:w="2693" w:type="dxa"/>
            <w:tcBorders>
              <w:top w:val="nil"/>
              <w:left w:val="single" w:color="auto" w:sz="4" w:space="0"/>
              <w:bottom w:val="single" w:color="auto" w:sz="4" w:space="0"/>
              <w:right w:val="single" w:color="auto" w:sz="4" w:space="0"/>
            </w:tcBorders>
            <w:shd w:val="clear" w:color="auto" w:fill="auto"/>
            <w:vAlign w:val="center"/>
          </w:tcPr>
          <w:p w14:paraId="4C204F92">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标物名称</w:t>
            </w:r>
          </w:p>
        </w:tc>
        <w:tc>
          <w:tcPr>
            <w:tcW w:w="2552" w:type="dxa"/>
            <w:tcBorders>
              <w:top w:val="nil"/>
              <w:left w:val="nil"/>
              <w:bottom w:val="single" w:color="auto" w:sz="4" w:space="0"/>
              <w:right w:val="single" w:color="auto" w:sz="4" w:space="0"/>
            </w:tcBorders>
            <w:shd w:val="clear" w:color="auto" w:fill="auto"/>
            <w:vAlign w:val="center"/>
          </w:tcPr>
          <w:p w14:paraId="33E39176">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标物编号</w:t>
            </w:r>
          </w:p>
        </w:tc>
        <w:tc>
          <w:tcPr>
            <w:tcW w:w="2835" w:type="dxa"/>
            <w:tcBorders>
              <w:top w:val="nil"/>
              <w:left w:val="nil"/>
              <w:bottom w:val="single" w:color="auto" w:sz="4" w:space="0"/>
              <w:right w:val="single" w:color="auto" w:sz="4" w:space="0"/>
            </w:tcBorders>
            <w:shd w:val="clear" w:color="auto" w:fill="auto"/>
            <w:vAlign w:val="center"/>
          </w:tcPr>
          <w:p w14:paraId="6DE6E4B1">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研制机构</w:t>
            </w:r>
          </w:p>
        </w:tc>
      </w:tr>
      <w:tr w14:paraId="507A24E0">
        <w:tblPrEx>
          <w:tblCellMar>
            <w:top w:w="0" w:type="dxa"/>
            <w:left w:w="108" w:type="dxa"/>
            <w:bottom w:w="0" w:type="dxa"/>
            <w:right w:w="108" w:type="dxa"/>
          </w:tblCellMar>
        </w:tblPrEx>
        <w:trPr>
          <w:trHeight w:val="427"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64ED7366">
            <w:pPr>
              <w:pStyle w:val="3"/>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硼单元素溶液标准物质</w:t>
            </w:r>
          </w:p>
        </w:tc>
        <w:tc>
          <w:tcPr>
            <w:tcW w:w="2552" w:type="dxa"/>
            <w:tcBorders>
              <w:top w:val="single" w:color="auto" w:sz="4" w:space="0"/>
              <w:left w:val="nil"/>
              <w:bottom w:val="single" w:color="auto" w:sz="4" w:space="0"/>
              <w:right w:val="single" w:color="auto" w:sz="4" w:space="0"/>
            </w:tcBorders>
            <w:shd w:val="clear" w:color="auto" w:fill="auto"/>
            <w:vAlign w:val="center"/>
          </w:tcPr>
          <w:p w14:paraId="20250BC8">
            <w:pPr>
              <w:pStyle w:val="3"/>
              <w:widowControl/>
              <w:shd w:val="clear" w:color="auto" w:fill="FFFFFF"/>
              <w:spacing w:line="10" w:lineRule="atLeast"/>
              <w:jc w:val="center"/>
              <w:rPr>
                <w:rFonts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GBW(E)080217</w:t>
            </w:r>
          </w:p>
        </w:tc>
        <w:tc>
          <w:tcPr>
            <w:tcW w:w="2835" w:type="dxa"/>
            <w:tcBorders>
              <w:top w:val="single" w:color="auto" w:sz="4" w:space="0"/>
              <w:left w:val="nil"/>
              <w:bottom w:val="single" w:color="auto" w:sz="4" w:space="0"/>
              <w:right w:val="single" w:color="auto" w:sz="4" w:space="0"/>
            </w:tcBorders>
            <w:shd w:val="clear" w:color="auto" w:fill="auto"/>
            <w:vAlign w:val="center"/>
          </w:tcPr>
          <w:p w14:paraId="71011AF6">
            <w:pPr>
              <w:pStyle w:val="3"/>
              <w:widowControl/>
              <w:shd w:val="clear" w:color="auto" w:fill="FFFFFF"/>
              <w:spacing w:line="10" w:lineRule="atLeast"/>
              <w:jc w:val="center"/>
              <w:rPr>
                <w:rFonts w:hint="eastAsia" w:ascii="Times New Roman" w:hAnsi="Times New Roman" w:eastAsia="宋体" w:cs="Times New Roman"/>
                <w:b w:val="0"/>
                <w:bCs w:val="0"/>
                <w:color w:val="000000"/>
                <w:sz w:val="24"/>
                <w:szCs w:val="24"/>
              </w:rPr>
            </w:pPr>
            <w:r>
              <w:rPr>
                <w:rFonts w:hint="default" w:ascii="Times New Roman" w:hAnsi="Times New Roman" w:eastAsia="宋体" w:cs="Times New Roman"/>
                <w:b w:val="0"/>
                <w:bCs w:val="0"/>
                <w:color w:val="000000"/>
                <w:sz w:val="24"/>
                <w:szCs w:val="24"/>
                <w:lang w:val="en-US" w:eastAsia="zh-CN"/>
              </w:rPr>
              <w:t>中国计量科学研究院</w:t>
            </w:r>
          </w:p>
        </w:tc>
      </w:tr>
      <w:tr w14:paraId="4B0B8E3A">
        <w:tblPrEx>
          <w:tblCellMar>
            <w:top w:w="0" w:type="dxa"/>
            <w:left w:w="108" w:type="dxa"/>
            <w:bottom w:w="0" w:type="dxa"/>
            <w:right w:w="108" w:type="dxa"/>
          </w:tblCellMar>
        </w:tblPrEx>
        <w:trPr>
          <w:trHeight w:val="427"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0E0341C2">
            <w:pPr>
              <w:pStyle w:val="3"/>
              <w:widowControl/>
              <w:shd w:val="clear" w:color="auto" w:fill="FFFFFF"/>
              <w:spacing w:line="10" w:lineRule="atLeast"/>
              <w:jc w:val="center"/>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t>硼单元素溶液标准物质</w:t>
            </w:r>
          </w:p>
        </w:tc>
        <w:tc>
          <w:tcPr>
            <w:tcW w:w="2552" w:type="dxa"/>
            <w:tcBorders>
              <w:top w:val="single" w:color="auto" w:sz="4" w:space="0"/>
              <w:left w:val="nil"/>
              <w:bottom w:val="single" w:color="auto" w:sz="4" w:space="0"/>
              <w:right w:val="single" w:color="auto" w:sz="4" w:space="0"/>
            </w:tcBorders>
            <w:shd w:val="clear" w:color="auto" w:fill="auto"/>
            <w:vAlign w:val="center"/>
          </w:tcPr>
          <w:p w14:paraId="11CBABE5">
            <w:pPr>
              <w:pStyle w:val="3"/>
              <w:widowControl/>
              <w:shd w:val="clear" w:color="auto" w:fill="FFFFFF"/>
              <w:spacing w:line="10" w:lineRule="atLeast"/>
              <w:jc w:val="center"/>
              <w:rPr>
                <w:rFonts w:hint="default" w:ascii="Times New Roman" w:hAnsi="Times New Roman" w:eastAsia="宋体" w:cs="Times New Roman"/>
                <w:b w:val="0"/>
                <w:bCs w:val="0"/>
                <w:color w:val="000000"/>
                <w:sz w:val="24"/>
                <w:szCs w:val="24"/>
                <w:lang w:val="en-US" w:eastAsia="zh-CN"/>
              </w:rPr>
            </w:pPr>
            <w:r>
              <w:rPr>
                <w:rFonts w:hint="eastAsia" w:ascii="Times New Roman" w:hAnsi="Times New Roman" w:eastAsia="宋体" w:cs="Times New Roman"/>
                <w:b w:val="0"/>
                <w:bCs w:val="0"/>
                <w:color w:val="000000"/>
                <w:sz w:val="24"/>
                <w:szCs w:val="24"/>
                <w:lang w:val="en-US" w:eastAsia="zh-CN"/>
              </w:rPr>
              <w:fldChar w:fldCharType="begin"/>
            </w:r>
            <w:r>
              <w:rPr>
                <w:rFonts w:hint="eastAsia" w:ascii="Times New Roman" w:hAnsi="Times New Roman" w:eastAsia="宋体" w:cs="Times New Roman"/>
                <w:b w:val="0"/>
                <w:bCs w:val="0"/>
                <w:color w:val="000000"/>
                <w:sz w:val="24"/>
                <w:szCs w:val="24"/>
                <w:lang w:val="en-US" w:eastAsia="zh-CN"/>
              </w:rPr>
              <w:instrText xml:space="preserve"> HYPERLINK "https://www.ncrm.org.cn/Web/Ordering/MaterialDetail?autoID=2741" </w:instrText>
            </w:r>
            <w:r>
              <w:rPr>
                <w:rFonts w:hint="eastAsia" w:ascii="Times New Roman" w:hAnsi="Times New Roman" w:eastAsia="宋体" w:cs="Times New Roman"/>
                <w:b w:val="0"/>
                <w:bCs w:val="0"/>
                <w:color w:val="000000"/>
                <w:sz w:val="24"/>
                <w:szCs w:val="24"/>
                <w:lang w:val="en-US" w:eastAsia="zh-CN"/>
              </w:rPr>
              <w:fldChar w:fldCharType="separate"/>
            </w:r>
            <w:r>
              <w:rPr>
                <w:rFonts w:hint="eastAsia" w:ascii="Times New Roman" w:hAnsi="Times New Roman" w:eastAsia="宋体" w:cs="Times New Roman"/>
                <w:b w:val="0"/>
                <w:bCs w:val="0"/>
                <w:color w:val="000000"/>
                <w:sz w:val="24"/>
                <w:szCs w:val="24"/>
                <w:lang w:val="en-US" w:eastAsia="zh-CN"/>
              </w:rPr>
              <w:t>GBW(E)080140</w:t>
            </w:r>
            <w:r>
              <w:rPr>
                <w:rFonts w:hint="eastAsia" w:ascii="Times New Roman" w:hAnsi="Times New Roman" w:eastAsia="宋体" w:cs="Times New Roman"/>
                <w:b w:val="0"/>
                <w:bCs w:val="0"/>
                <w:color w:val="000000"/>
                <w:sz w:val="24"/>
                <w:szCs w:val="24"/>
                <w:lang w:val="en-US" w:eastAsia="zh-CN"/>
              </w:rPr>
              <w:fldChar w:fldCharType="end"/>
            </w:r>
            <w:r>
              <w:rPr>
                <w:rFonts w:hint="eastAsia" w:ascii="Times New Roman" w:hAnsi="Times New Roman" w:eastAsia="宋体" w:cs="Times New Roman"/>
                <w:b w:val="0"/>
                <w:bCs w:val="0"/>
                <w:color w:val="000000"/>
                <w:sz w:val="24"/>
                <w:szCs w:val="24"/>
                <w:lang w:val="en-US" w:eastAsia="zh-CN"/>
              </w:rPr>
              <w:t> </w:t>
            </w:r>
          </w:p>
        </w:tc>
        <w:tc>
          <w:tcPr>
            <w:tcW w:w="2835" w:type="dxa"/>
            <w:tcBorders>
              <w:top w:val="single" w:color="auto" w:sz="4" w:space="0"/>
              <w:left w:val="nil"/>
              <w:bottom w:val="single" w:color="auto" w:sz="4" w:space="0"/>
              <w:right w:val="single" w:color="auto" w:sz="4" w:space="0"/>
            </w:tcBorders>
            <w:shd w:val="clear" w:color="auto" w:fill="auto"/>
            <w:vAlign w:val="center"/>
          </w:tcPr>
          <w:p w14:paraId="16039C8A">
            <w:pPr>
              <w:pStyle w:val="3"/>
              <w:widowControl/>
              <w:shd w:val="clear" w:color="auto" w:fill="FFFFFF"/>
              <w:spacing w:line="10" w:lineRule="atLeast"/>
              <w:jc w:val="center"/>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核工业北京化工冶金研究院</w:t>
            </w:r>
          </w:p>
        </w:tc>
      </w:tr>
      <w:tr w14:paraId="0A151777">
        <w:tblPrEx>
          <w:tblCellMar>
            <w:top w:w="0" w:type="dxa"/>
            <w:left w:w="108" w:type="dxa"/>
            <w:bottom w:w="0" w:type="dxa"/>
            <w:right w:w="108" w:type="dxa"/>
          </w:tblCellMar>
        </w:tblPrEx>
        <w:trPr>
          <w:trHeight w:val="427" w:hRule="atLeast"/>
        </w:trPr>
        <w:tc>
          <w:tcPr>
            <w:tcW w:w="2693" w:type="dxa"/>
            <w:tcBorders>
              <w:top w:val="single" w:color="auto" w:sz="4" w:space="0"/>
              <w:left w:val="single" w:color="auto" w:sz="4" w:space="0"/>
              <w:bottom w:val="single" w:color="auto" w:sz="4" w:space="0"/>
              <w:right w:val="single" w:color="auto" w:sz="4" w:space="0"/>
            </w:tcBorders>
            <w:shd w:val="clear" w:color="auto" w:fill="auto"/>
            <w:vAlign w:val="center"/>
          </w:tcPr>
          <w:p w14:paraId="71BDE0EA">
            <w:pPr>
              <w:pStyle w:val="3"/>
              <w:widowControl/>
              <w:shd w:val="clear" w:color="auto" w:fill="FFFFFF"/>
              <w:spacing w:line="10" w:lineRule="atLeast"/>
              <w:jc w:val="center"/>
              <w:rPr>
                <w:rFonts w:hint="eastAsia"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单元素硼溶液成分分析标准物质</w:t>
            </w:r>
          </w:p>
        </w:tc>
        <w:tc>
          <w:tcPr>
            <w:tcW w:w="2552" w:type="dxa"/>
            <w:tcBorders>
              <w:top w:val="single" w:color="auto" w:sz="4" w:space="0"/>
              <w:left w:val="nil"/>
              <w:bottom w:val="single" w:color="auto" w:sz="4" w:space="0"/>
              <w:right w:val="single" w:color="auto" w:sz="4" w:space="0"/>
            </w:tcBorders>
            <w:shd w:val="clear" w:color="auto" w:fill="auto"/>
            <w:vAlign w:val="center"/>
          </w:tcPr>
          <w:p w14:paraId="1CFC87AC">
            <w:pPr>
              <w:pStyle w:val="3"/>
              <w:widowControl/>
              <w:shd w:val="clear" w:color="auto" w:fill="FFFFFF"/>
              <w:spacing w:line="10" w:lineRule="atLeast"/>
              <w:jc w:val="center"/>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GBW(E)080558</w:t>
            </w:r>
          </w:p>
        </w:tc>
        <w:tc>
          <w:tcPr>
            <w:tcW w:w="2835" w:type="dxa"/>
            <w:tcBorders>
              <w:top w:val="single" w:color="auto" w:sz="4" w:space="0"/>
              <w:left w:val="nil"/>
              <w:bottom w:val="single" w:color="auto" w:sz="4" w:space="0"/>
              <w:right w:val="single" w:color="auto" w:sz="4" w:space="0"/>
            </w:tcBorders>
            <w:shd w:val="clear" w:color="auto" w:fill="auto"/>
            <w:vAlign w:val="center"/>
          </w:tcPr>
          <w:p w14:paraId="193547EC">
            <w:pPr>
              <w:pStyle w:val="3"/>
              <w:widowControl/>
              <w:shd w:val="clear" w:color="auto" w:fill="FFFFFF"/>
              <w:spacing w:line="10" w:lineRule="atLeast"/>
              <w:jc w:val="center"/>
              <w:rPr>
                <w:rFonts w:hint="default" w:ascii="Times New Roman" w:hAnsi="Times New Roman" w:eastAsia="宋体" w:cs="Times New Roman"/>
                <w:b w:val="0"/>
                <w:bCs w:val="0"/>
                <w:color w:val="000000"/>
                <w:sz w:val="24"/>
                <w:szCs w:val="24"/>
                <w:lang w:val="en-US" w:eastAsia="zh-CN"/>
              </w:rPr>
            </w:pPr>
            <w:r>
              <w:rPr>
                <w:rFonts w:hint="default" w:ascii="Times New Roman" w:hAnsi="Times New Roman" w:eastAsia="宋体" w:cs="Times New Roman"/>
                <w:b w:val="0"/>
                <w:bCs w:val="0"/>
                <w:color w:val="000000"/>
                <w:sz w:val="24"/>
                <w:szCs w:val="24"/>
                <w:lang w:val="en-US" w:eastAsia="zh-CN"/>
              </w:rPr>
              <w:t>山东省冶金科学研究院</w:t>
            </w:r>
          </w:p>
        </w:tc>
      </w:tr>
    </w:tbl>
    <w:p w14:paraId="40D5E5FE">
      <w:pPr>
        <w:tabs>
          <w:tab w:val="left" w:pos="5796"/>
        </w:tabs>
        <w:spacing w:line="360" w:lineRule="auto"/>
        <w:jc w:val="center"/>
        <w:rPr>
          <w:rFonts w:ascii="Times New Roman" w:hAnsi="Times New Roman" w:cs="Times New Roman" w:eastAsiaTheme="minorEastAsia"/>
          <w:sz w:val="24"/>
        </w:rPr>
      </w:pPr>
      <w:r>
        <w:rPr>
          <w:rFonts w:ascii="宋体" w:hAnsi="宋体" w:cs="Times New Roman"/>
          <w:color w:val="000000"/>
          <w:kern w:val="0"/>
          <w:sz w:val="24"/>
          <w:szCs w:val="24"/>
        </w:rPr>
        <w:t>表1</w:t>
      </w:r>
      <w:r>
        <w:rPr>
          <w:rFonts w:hint="eastAsia" w:ascii="宋体" w:hAnsi="宋体" w:cs="宋体"/>
          <w:color w:val="000000"/>
          <w:kern w:val="0"/>
          <w:sz w:val="24"/>
          <w:szCs w:val="24"/>
        </w:rPr>
        <w:t>主要标准物质</w:t>
      </w:r>
    </w:p>
    <w:p w14:paraId="1AED74BF">
      <w:pPr>
        <w:spacing w:line="360" w:lineRule="auto"/>
        <w:rPr>
          <w:rFonts w:hint="eastAsia" w:ascii="Times New Roman" w:hAnsi="Times New Roman" w:cs="Times New Roman" w:eastAsiaTheme="minorEastAsia"/>
          <w:sz w:val="24"/>
          <w:szCs w:val="24"/>
        </w:rPr>
      </w:pPr>
      <w:r>
        <w:rPr>
          <w:rFonts w:hint="eastAsia" w:ascii="Times New Roman" w:cs="Times New Roman" w:hAnsiTheme="minorEastAsia" w:eastAsiaTheme="minorEastAsia"/>
          <w:kern w:val="0"/>
          <w:sz w:val="24"/>
          <w:szCs w:val="24"/>
        </w:rPr>
        <w:t>4、仪器情况</w:t>
      </w:r>
    </w:p>
    <w:p w14:paraId="4D7DF2B2">
      <w:pPr>
        <w:spacing w:line="360" w:lineRule="auto"/>
        <w:ind w:firstLine="480" w:firstLineChars="200"/>
        <w:rPr>
          <w:rFonts w:hint="eastAsia" w:ascii="Times New Roman" w:hAnsi="Times New Roman" w:cs="Times New Roman" w:eastAsiaTheme="minorEastAsia"/>
          <w:sz w:val="24"/>
          <w:szCs w:val="24"/>
          <w:lang w:eastAsia="zh-CN"/>
        </w:rPr>
      </w:pPr>
      <w:r>
        <w:rPr>
          <w:rFonts w:hint="eastAsia" w:ascii="Times New Roman" w:hAnsi="Times New Roman" w:cs="Times New Roman" w:eastAsiaTheme="minorEastAsia"/>
          <w:sz w:val="24"/>
          <w:szCs w:val="24"/>
        </w:rPr>
        <w:t>根据调研，</w:t>
      </w:r>
      <w:r>
        <w:rPr>
          <w:rFonts w:hint="eastAsia" w:ascii="Times New Roman" w:hAnsi="Times New Roman" w:cs="Times New Roman" w:eastAsiaTheme="minorEastAsia"/>
          <w:sz w:val="24"/>
          <w:szCs w:val="24"/>
          <w:lang w:val="en-US" w:eastAsia="zh-CN"/>
        </w:rPr>
        <w:t>盐湖卤水专用硼自动分析仪</w:t>
      </w:r>
      <w:r>
        <w:rPr>
          <w:rFonts w:hint="eastAsia" w:ascii="Times New Roman" w:hAnsi="Times New Roman" w:cs="Times New Roman" w:eastAsiaTheme="minorEastAsia"/>
          <w:sz w:val="24"/>
          <w:szCs w:val="24"/>
        </w:rPr>
        <w:t>的国内外主要生产厂家和主要型号如下表2所示。该仪器主要用于盐湖提锂、卤水资源综合利用、盐湖周边生态环境监测等领域，在青海、新疆、内蒙古等盐湖集中区域应用广泛</w:t>
      </w:r>
      <w:r>
        <w:rPr>
          <w:rFonts w:hint="eastAsia" w:ascii="Times New Roman" w:hAnsi="Times New Roman" w:cs="Times New Roman" w:eastAsiaTheme="minorEastAsia"/>
          <w:sz w:val="24"/>
          <w:szCs w:val="24"/>
          <w:lang w:eastAsia="zh-CN"/>
        </w:rPr>
        <w:t>。</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 w:type="dxa"/>
          <w:bottom w:w="0" w:type="dxa"/>
          <w:right w:w="10" w:type="dxa"/>
        </w:tblCellMar>
      </w:tblPr>
      <w:tblGrid>
        <w:gridCol w:w="1557"/>
        <w:gridCol w:w="3963"/>
        <w:gridCol w:w="2760"/>
      </w:tblGrid>
      <w:tr w14:paraId="1DF6E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57" w:type="dxa"/>
            <w:tcMar>
              <w:top w:w="60" w:type="dxa"/>
              <w:left w:w="120" w:type="dxa"/>
              <w:bottom w:w="30" w:type="dxa"/>
              <w:right w:w="120" w:type="dxa"/>
            </w:tcMar>
          </w:tcPr>
          <w:p w14:paraId="20BBD3A8">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序号</w:t>
            </w:r>
          </w:p>
        </w:tc>
        <w:tc>
          <w:tcPr>
            <w:tcW w:w="3963" w:type="dxa"/>
            <w:tcMar>
              <w:top w:w="60" w:type="dxa"/>
              <w:left w:w="120" w:type="dxa"/>
              <w:bottom w:w="30" w:type="dxa"/>
              <w:right w:w="120" w:type="dxa"/>
            </w:tcMar>
          </w:tcPr>
          <w:p w14:paraId="6134A744">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生产厂家</w:t>
            </w:r>
          </w:p>
        </w:tc>
        <w:tc>
          <w:tcPr>
            <w:tcW w:w="2760" w:type="dxa"/>
            <w:tcMar>
              <w:top w:w="60" w:type="dxa"/>
              <w:left w:w="120" w:type="dxa"/>
              <w:bottom w:w="30" w:type="dxa"/>
              <w:right w:w="120" w:type="dxa"/>
            </w:tcMar>
          </w:tcPr>
          <w:p w14:paraId="70939887">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型号</w:t>
            </w:r>
          </w:p>
        </w:tc>
      </w:tr>
      <w:tr w14:paraId="0411A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57" w:type="dxa"/>
            <w:tcMar>
              <w:top w:w="60" w:type="dxa"/>
              <w:left w:w="120" w:type="dxa"/>
              <w:bottom w:w="30" w:type="dxa"/>
              <w:right w:w="120" w:type="dxa"/>
            </w:tcMar>
          </w:tcPr>
          <w:p w14:paraId="3CC5B565">
            <w:pPr>
              <w:widowControl/>
              <w:spacing w:line="360" w:lineRule="auto"/>
              <w:jc w:val="center"/>
              <w:rPr>
                <w:rFonts w:hint="eastAsia" w:ascii="Times New Roman" w:hAnsi="Times New Roman" w:eastAsia="宋体" w:cs="Times New Roman"/>
                <w:bCs/>
                <w:color w:val="000000"/>
                <w:kern w:val="0"/>
                <w:sz w:val="24"/>
                <w:szCs w:val="24"/>
                <w:lang w:eastAsia="zh-CN"/>
              </w:rPr>
            </w:pPr>
            <w:r>
              <w:rPr>
                <w:rFonts w:hint="eastAsia" w:ascii="Times New Roman" w:hAnsi="Times New Roman" w:cs="Times New Roman"/>
                <w:bCs/>
                <w:color w:val="000000"/>
                <w:kern w:val="0"/>
                <w:sz w:val="24"/>
                <w:szCs w:val="24"/>
                <w:lang w:val="en-US" w:eastAsia="zh-CN"/>
              </w:rPr>
              <w:t>1</w:t>
            </w:r>
          </w:p>
        </w:tc>
        <w:tc>
          <w:tcPr>
            <w:tcW w:w="3963" w:type="dxa"/>
            <w:tcMar>
              <w:top w:w="60" w:type="dxa"/>
              <w:left w:w="120" w:type="dxa"/>
              <w:bottom w:w="30" w:type="dxa"/>
              <w:right w:w="120" w:type="dxa"/>
            </w:tcMar>
          </w:tcPr>
          <w:p w14:paraId="2F53152F">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青岛精诚仪器仪表有限公司</w:t>
            </w:r>
          </w:p>
        </w:tc>
        <w:tc>
          <w:tcPr>
            <w:tcW w:w="2760" w:type="dxa"/>
            <w:tcMar>
              <w:top w:w="60" w:type="dxa"/>
              <w:left w:w="120" w:type="dxa"/>
              <w:bottom w:w="30" w:type="dxa"/>
              <w:right w:w="120" w:type="dxa"/>
            </w:tcMar>
          </w:tcPr>
          <w:p w14:paraId="3F965649">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SZ-B</w:t>
            </w:r>
          </w:p>
        </w:tc>
      </w:tr>
      <w:tr w14:paraId="004B0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57" w:type="dxa"/>
            <w:tcMar>
              <w:top w:w="60" w:type="dxa"/>
              <w:left w:w="120" w:type="dxa"/>
              <w:bottom w:w="30" w:type="dxa"/>
              <w:right w:w="120" w:type="dxa"/>
            </w:tcMar>
          </w:tcPr>
          <w:p w14:paraId="5C3BD4AB">
            <w:pPr>
              <w:widowControl/>
              <w:spacing w:line="360" w:lineRule="auto"/>
              <w:jc w:val="center"/>
              <w:rPr>
                <w:rFonts w:hint="default" w:ascii="Times New Roman" w:hAnsi="Times New Roman" w:cs="Times New Roman"/>
                <w:bCs/>
                <w:color w:val="000000"/>
                <w:kern w:val="0"/>
                <w:sz w:val="24"/>
                <w:szCs w:val="24"/>
                <w:lang w:val="en-US" w:eastAsia="zh-CN"/>
              </w:rPr>
            </w:pPr>
            <w:r>
              <w:rPr>
                <w:rFonts w:hint="eastAsia" w:ascii="Times New Roman" w:hAnsi="Times New Roman" w:cs="Times New Roman"/>
                <w:bCs/>
                <w:color w:val="000000"/>
                <w:kern w:val="0"/>
                <w:sz w:val="24"/>
                <w:szCs w:val="24"/>
                <w:lang w:val="en-US" w:eastAsia="zh-CN"/>
              </w:rPr>
              <w:t>2</w:t>
            </w:r>
          </w:p>
        </w:tc>
        <w:tc>
          <w:tcPr>
            <w:tcW w:w="3963" w:type="dxa"/>
            <w:tcMar>
              <w:top w:w="60" w:type="dxa"/>
              <w:left w:w="120" w:type="dxa"/>
              <w:bottom w:w="30" w:type="dxa"/>
              <w:right w:w="120" w:type="dxa"/>
            </w:tcMar>
          </w:tcPr>
          <w:p w14:paraId="7174759A">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青岛瑞明仪器设备有限公司</w:t>
            </w:r>
          </w:p>
        </w:tc>
        <w:tc>
          <w:tcPr>
            <w:tcW w:w="2760" w:type="dxa"/>
            <w:tcMar>
              <w:top w:w="60" w:type="dxa"/>
              <w:left w:w="120" w:type="dxa"/>
              <w:bottom w:w="30" w:type="dxa"/>
              <w:right w:w="120" w:type="dxa"/>
            </w:tcMar>
          </w:tcPr>
          <w:p w14:paraId="0C0D5CD6">
            <w:pPr>
              <w:widowControl/>
              <w:spacing w:line="360" w:lineRule="auto"/>
              <w:jc w:val="center"/>
              <w:rPr>
                <w:rFonts w:ascii="Times New Roman" w:hAnsi="Times New Roman" w:cs="Times New Roman"/>
                <w:bCs/>
                <w:color w:val="000000"/>
                <w:kern w:val="0"/>
                <w:sz w:val="24"/>
                <w:szCs w:val="24"/>
              </w:rPr>
            </w:pPr>
            <w:r>
              <w:rPr>
                <w:rFonts w:ascii="Times New Roman" w:hAnsi="Times New Roman" w:cs="Times New Roman"/>
                <w:bCs/>
                <w:color w:val="000000"/>
                <w:kern w:val="0"/>
                <w:sz w:val="24"/>
                <w:szCs w:val="24"/>
              </w:rPr>
              <w:t>RM-8000</w:t>
            </w:r>
          </w:p>
        </w:tc>
      </w:tr>
      <w:tr w14:paraId="649BB8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57" w:type="dxa"/>
            <w:tcMar>
              <w:top w:w="60" w:type="dxa"/>
              <w:left w:w="120" w:type="dxa"/>
              <w:bottom w:w="30" w:type="dxa"/>
              <w:right w:w="120" w:type="dxa"/>
            </w:tcMar>
          </w:tcPr>
          <w:p w14:paraId="348C9760">
            <w:pPr>
              <w:widowControl/>
              <w:spacing w:line="360" w:lineRule="auto"/>
              <w:jc w:val="center"/>
              <w:rPr>
                <w:rFonts w:hint="eastAsia" w:ascii="Times New Roman" w:hAnsi="Times New Roman" w:eastAsia="宋体" w:cs="Times New Roman"/>
                <w:bCs/>
                <w:color w:val="000000"/>
                <w:kern w:val="0"/>
                <w:sz w:val="24"/>
                <w:szCs w:val="24"/>
                <w:lang w:eastAsia="zh-CN"/>
              </w:rPr>
            </w:pPr>
            <w:r>
              <w:rPr>
                <w:rFonts w:hint="eastAsia" w:ascii="Times New Roman" w:hAnsi="Times New Roman" w:cs="Times New Roman"/>
                <w:bCs/>
                <w:color w:val="000000"/>
                <w:kern w:val="0"/>
                <w:sz w:val="24"/>
                <w:szCs w:val="24"/>
                <w:lang w:val="en-US" w:eastAsia="zh-CN"/>
              </w:rPr>
              <w:t>3</w:t>
            </w:r>
          </w:p>
        </w:tc>
        <w:tc>
          <w:tcPr>
            <w:tcW w:w="3963" w:type="dxa"/>
            <w:tcMar>
              <w:top w:w="60" w:type="dxa"/>
              <w:left w:w="120" w:type="dxa"/>
              <w:bottom w:w="30" w:type="dxa"/>
              <w:right w:w="120" w:type="dxa"/>
            </w:tcMar>
            <w:vAlign w:val="center"/>
          </w:tcPr>
          <w:p w14:paraId="5F4767C2">
            <w:pPr>
              <w:widowControl/>
              <w:spacing w:line="360" w:lineRule="auto"/>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lang w:val="en-US" w:eastAsia="zh-CN"/>
              </w:rPr>
              <w:t>杭州慕迪科技有限公司</w:t>
            </w:r>
          </w:p>
        </w:tc>
        <w:tc>
          <w:tcPr>
            <w:tcW w:w="2760" w:type="dxa"/>
            <w:tcMar>
              <w:top w:w="60" w:type="dxa"/>
              <w:left w:w="120" w:type="dxa"/>
              <w:bottom w:w="30" w:type="dxa"/>
              <w:right w:w="120" w:type="dxa"/>
            </w:tcMar>
            <w:vAlign w:val="center"/>
          </w:tcPr>
          <w:p w14:paraId="7C3C05CD">
            <w:pPr>
              <w:widowControl/>
              <w:spacing w:line="360" w:lineRule="auto"/>
              <w:jc w:val="center"/>
              <w:rPr>
                <w:rFonts w:ascii="Times New Roman" w:hAnsi="Times New Roman" w:cs="Times New Roman"/>
                <w:bCs/>
                <w:color w:val="000000"/>
                <w:kern w:val="0"/>
                <w:sz w:val="24"/>
                <w:szCs w:val="24"/>
              </w:rPr>
            </w:pPr>
            <w:r>
              <w:rPr>
                <w:rFonts w:hint="default" w:ascii="Times New Roman" w:hAnsi="Times New Roman" w:cs="Times New Roman"/>
                <w:bCs/>
                <w:color w:val="000000"/>
                <w:kern w:val="0"/>
                <w:sz w:val="24"/>
                <w:szCs w:val="24"/>
                <w:lang w:val="en-US" w:eastAsia="zh-CN"/>
              </w:rPr>
              <w:t>T8000B</w:t>
            </w:r>
          </w:p>
        </w:tc>
      </w:tr>
      <w:tr w14:paraId="19B97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57" w:type="dxa"/>
            <w:tcMar>
              <w:top w:w="60" w:type="dxa"/>
              <w:left w:w="120" w:type="dxa"/>
              <w:bottom w:w="30" w:type="dxa"/>
              <w:right w:w="120" w:type="dxa"/>
            </w:tcMar>
          </w:tcPr>
          <w:p w14:paraId="450DF60C">
            <w:pPr>
              <w:widowControl/>
              <w:spacing w:line="360" w:lineRule="auto"/>
              <w:jc w:val="center"/>
              <w:rPr>
                <w:rFonts w:hint="default" w:ascii="Times New Roman" w:hAnsi="Times New Roman" w:cs="Times New Roman"/>
                <w:bCs/>
                <w:color w:val="000000"/>
                <w:kern w:val="0"/>
                <w:sz w:val="24"/>
                <w:szCs w:val="24"/>
                <w:lang w:val="en-US" w:eastAsia="zh-CN"/>
              </w:rPr>
            </w:pPr>
            <w:r>
              <w:rPr>
                <w:rFonts w:hint="eastAsia" w:ascii="Times New Roman" w:hAnsi="Times New Roman" w:cs="Times New Roman"/>
                <w:bCs/>
                <w:color w:val="000000"/>
                <w:kern w:val="0"/>
                <w:sz w:val="24"/>
                <w:szCs w:val="24"/>
                <w:lang w:val="en-US" w:eastAsia="zh-CN"/>
              </w:rPr>
              <w:t>4</w:t>
            </w:r>
          </w:p>
        </w:tc>
        <w:tc>
          <w:tcPr>
            <w:tcW w:w="3963" w:type="dxa"/>
            <w:tcMar>
              <w:top w:w="60" w:type="dxa"/>
              <w:left w:w="120" w:type="dxa"/>
              <w:bottom w:w="30" w:type="dxa"/>
              <w:right w:w="120" w:type="dxa"/>
            </w:tcMar>
            <w:vAlign w:val="center"/>
          </w:tcPr>
          <w:p w14:paraId="40ACA5B4">
            <w:pPr>
              <w:widowControl/>
              <w:spacing w:line="360" w:lineRule="auto"/>
              <w:jc w:val="center"/>
              <w:rPr>
                <w:rFonts w:hint="default" w:ascii="Times New Roman" w:hAnsi="Times New Roman" w:cs="Times New Roman"/>
                <w:bCs/>
                <w:color w:val="000000"/>
                <w:kern w:val="0"/>
                <w:sz w:val="24"/>
                <w:szCs w:val="24"/>
                <w:lang w:val="en-US" w:eastAsia="zh-CN"/>
              </w:rPr>
            </w:pPr>
            <w:r>
              <w:rPr>
                <w:rFonts w:hint="default" w:ascii="Times New Roman" w:hAnsi="Times New Roman" w:cs="Times New Roman"/>
                <w:bCs/>
                <w:color w:val="000000"/>
                <w:kern w:val="0"/>
                <w:sz w:val="24"/>
                <w:szCs w:val="24"/>
                <w:lang w:val="en-US" w:eastAsia="zh-CN"/>
              </w:rPr>
              <w:t>北京海富达科技有限公司</w:t>
            </w:r>
          </w:p>
        </w:tc>
        <w:tc>
          <w:tcPr>
            <w:tcW w:w="2760" w:type="dxa"/>
            <w:tcMar>
              <w:top w:w="60" w:type="dxa"/>
              <w:left w:w="120" w:type="dxa"/>
              <w:bottom w:w="30" w:type="dxa"/>
              <w:right w:w="120" w:type="dxa"/>
            </w:tcMar>
            <w:vAlign w:val="center"/>
          </w:tcPr>
          <w:p w14:paraId="55B12325">
            <w:pPr>
              <w:widowControl/>
              <w:spacing w:line="360" w:lineRule="auto"/>
              <w:jc w:val="center"/>
              <w:rPr>
                <w:rFonts w:hint="default" w:ascii="Times New Roman" w:hAnsi="Times New Roman" w:cs="Times New Roman"/>
                <w:bCs/>
                <w:color w:val="000000"/>
                <w:kern w:val="0"/>
                <w:sz w:val="24"/>
                <w:szCs w:val="24"/>
                <w:lang w:val="en-US" w:eastAsia="zh-CN"/>
              </w:rPr>
            </w:pPr>
            <w:r>
              <w:rPr>
                <w:rFonts w:hint="default" w:ascii="Times New Roman" w:hAnsi="Times New Roman" w:cs="Times New Roman"/>
                <w:bCs/>
                <w:color w:val="000000"/>
                <w:kern w:val="0"/>
                <w:sz w:val="24"/>
                <w:szCs w:val="24"/>
                <w:lang w:val="en-US" w:eastAsia="zh-CN"/>
              </w:rPr>
              <w:t>ZXBLZ-FG</w:t>
            </w:r>
          </w:p>
        </w:tc>
      </w:tr>
      <w:tr w14:paraId="7BAD0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jc w:val="center"/>
        </w:trPr>
        <w:tc>
          <w:tcPr>
            <w:tcW w:w="1557" w:type="dxa"/>
            <w:tcMar>
              <w:top w:w="60" w:type="dxa"/>
              <w:left w:w="120" w:type="dxa"/>
              <w:bottom w:w="30" w:type="dxa"/>
              <w:right w:w="120" w:type="dxa"/>
            </w:tcMar>
          </w:tcPr>
          <w:p w14:paraId="7E1712A2">
            <w:pPr>
              <w:widowControl/>
              <w:spacing w:line="360" w:lineRule="auto"/>
              <w:jc w:val="center"/>
              <w:rPr>
                <w:rFonts w:hint="default" w:ascii="Times New Roman" w:hAnsi="Times New Roman" w:cs="Times New Roman"/>
                <w:bCs/>
                <w:color w:val="000000"/>
                <w:kern w:val="0"/>
                <w:sz w:val="24"/>
                <w:szCs w:val="24"/>
                <w:lang w:val="en-US" w:eastAsia="zh-CN"/>
              </w:rPr>
            </w:pPr>
            <w:r>
              <w:rPr>
                <w:rFonts w:hint="eastAsia" w:ascii="Times New Roman" w:hAnsi="Times New Roman" w:cs="Times New Roman"/>
                <w:bCs/>
                <w:color w:val="000000"/>
                <w:kern w:val="0"/>
                <w:sz w:val="24"/>
                <w:szCs w:val="24"/>
                <w:lang w:val="en-US" w:eastAsia="zh-CN"/>
              </w:rPr>
              <w:t>5</w:t>
            </w:r>
          </w:p>
        </w:tc>
        <w:tc>
          <w:tcPr>
            <w:tcW w:w="3963" w:type="dxa"/>
            <w:tcMar>
              <w:top w:w="60" w:type="dxa"/>
              <w:left w:w="120" w:type="dxa"/>
              <w:bottom w:w="30" w:type="dxa"/>
              <w:right w:w="120" w:type="dxa"/>
            </w:tcMar>
            <w:vAlign w:val="center"/>
          </w:tcPr>
          <w:p w14:paraId="2279416A">
            <w:pPr>
              <w:widowControl/>
              <w:spacing w:line="360" w:lineRule="auto"/>
              <w:jc w:val="center"/>
              <w:rPr>
                <w:rFonts w:hint="default" w:ascii="Times New Roman" w:hAnsi="Times New Roman" w:cs="Times New Roman"/>
                <w:bCs/>
                <w:color w:val="000000"/>
                <w:kern w:val="0"/>
                <w:sz w:val="24"/>
                <w:szCs w:val="24"/>
                <w:lang w:val="en-US" w:eastAsia="zh-CN"/>
              </w:rPr>
            </w:pPr>
            <w:r>
              <w:rPr>
                <w:rFonts w:hint="default" w:ascii="Times New Roman" w:hAnsi="Times New Roman" w:cs="Times New Roman"/>
                <w:bCs/>
                <w:color w:val="000000"/>
                <w:kern w:val="0"/>
                <w:sz w:val="24"/>
                <w:szCs w:val="24"/>
                <w:lang w:val="en-US" w:eastAsia="zh-CN"/>
              </w:rPr>
              <w:t>上海添时科学仪器有限公司</w:t>
            </w:r>
          </w:p>
        </w:tc>
        <w:tc>
          <w:tcPr>
            <w:tcW w:w="2760" w:type="dxa"/>
            <w:tcMar>
              <w:top w:w="60" w:type="dxa"/>
              <w:left w:w="120" w:type="dxa"/>
              <w:bottom w:w="30" w:type="dxa"/>
              <w:right w:w="120" w:type="dxa"/>
            </w:tcMar>
            <w:vAlign w:val="center"/>
          </w:tcPr>
          <w:p w14:paraId="32E42D48">
            <w:pPr>
              <w:widowControl/>
              <w:spacing w:line="360" w:lineRule="auto"/>
              <w:jc w:val="center"/>
              <w:rPr>
                <w:rFonts w:hint="default" w:ascii="Times New Roman" w:hAnsi="Times New Roman" w:cs="Times New Roman"/>
                <w:bCs/>
                <w:color w:val="000000"/>
                <w:kern w:val="0"/>
                <w:sz w:val="24"/>
                <w:szCs w:val="24"/>
                <w:lang w:val="en-US" w:eastAsia="zh-CN"/>
              </w:rPr>
            </w:pPr>
            <w:r>
              <w:rPr>
                <w:rFonts w:hint="default" w:ascii="Times New Roman" w:hAnsi="Times New Roman" w:cs="Times New Roman"/>
                <w:bCs/>
                <w:color w:val="000000"/>
                <w:kern w:val="0"/>
                <w:sz w:val="24"/>
                <w:szCs w:val="24"/>
                <w:lang w:val="en-US" w:eastAsia="zh-CN"/>
              </w:rPr>
              <w:t>TB</w:t>
            </w:r>
          </w:p>
        </w:tc>
      </w:tr>
    </w:tbl>
    <w:p w14:paraId="667DAB80">
      <w:pPr>
        <w:tabs>
          <w:tab w:val="left" w:pos="5796"/>
        </w:tabs>
        <w:spacing w:line="360" w:lineRule="auto"/>
        <w:jc w:val="center"/>
        <w:rPr>
          <w:rFonts w:hint="eastAsia" w:ascii="宋体" w:hAnsi="宋体" w:cs="Times New Roman"/>
          <w:color w:val="000000"/>
          <w:kern w:val="0"/>
          <w:sz w:val="24"/>
          <w:szCs w:val="24"/>
        </w:rPr>
      </w:pPr>
      <w:r>
        <w:rPr>
          <w:rFonts w:hint="eastAsia" w:ascii="宋体" w:hAnsi="宋体" w:cs="Times New Roman"/>
          <w:color w:val="000000"/>
          <w:kern w:val="0"/>
          <w:sz w:val="24"/>
          <w:szCs w:val="24"/>
        </w:rPr>
        <w:t>表2 国内外主要生产厂家及型号</w:t>
      </w:r>
    </w:p>
    <w:p w14:paraId="1FBC478F">
      <w:pPr>
        <w:spacing w:before="50" w:line="360" w:lineRule="auto"/>
        <w:ind w:firstLine="480" w:firstLineChars="200"/>
        <w:rPr>
          <w:rFonts w:hint="eastAsia" w:ascii="Times New Roman" w:cs="Times New Roman" w:hAnsiTheme="minorEastAsia" w:eastAsiaTheme="minorEastAsia"/>
          <w:sz w:val="24"/>
          <w:lang w:eastAsia="zh-CN"/>
        </w:rPr>
      </w:pPr>
      <w:r>
        <w:rPr>
          <w:rFonts w:hint="eastAsia" w:ascii="Times New Roman" w:cs="Times New Roman" w:hAnsiTheme="minorEastAsia" w:eastAsiaTheme="minorEastAsia"/>
          <w:sz w:val="24"/>
        </w:rPr>
        <w:t>其中具代表性的</w:t>
      </w:r>
      <w:r>
        <w:rPr>
          <w:rFonts w:hint="eastAsia" w:ascii="Times New Roman" w:hAnsi="Times New Roman" w:cs="Times New Roman" w:eastAsiaTheme="minorEastAsia"/>
          <w:sz w:val="24"/>
          <w:szCs w:val="24"/>
          <w:lang w:val="en-US" w:eastAsia="zh-CN"/>
        </w:rPr>
        <w:t>盐湖卤水专用硼自动分析仪</w:t>
      </w:r>
      <w:r>
        <w:rPr>
          <w:rFonts w:hint="eastAsia" w:ascii="Times New Roman" w:cs="Times New Roman" w:hAnsiTheme="minorEastAsia" w:eastAsiaTheme="minorEastAsia"/>
          <w:sz w:val="24"/>
        </w:rPr>
        <w:t>生产厂家，国投检测科技有限公司的产品销售布局已覆盖青海、新疆等国内主要盐湖产区，市场占有率居行业前列，产品在青海、新疆等国内主要盐湖产区得到广泛应用。仪器主要服务于盐湖提锂生产、卤水资源综合利用、盐湖周边生态环境监测等领域</w:t>
      </w:r>
      <w:r>
        <w:rPr>
          <w:rFonts w:hint="eastAsia" w:ascii="Times New Roman" w:cs="Times New Roman" w:hAnsiTheme="minorEastAsia" w:eastAsiaTheme="minorEastAsia"/>
          <w:sz w:val="24"/>
          <w:lang w:eastAsia="zh-CN"/>
        </w:rPr>
        <w:t>，具体终端客户案例包括：国投新疆锂业有限公司、五矿盐湖有限公司、青海盐湖工业股份有限公司等盐湖资源开发龙头企业。</w:t>
      </w:r>
    </w:p>
    <w:p w14:paraId="5F8B7CBA">
      <w:pPr>
        <w:spacing w:line="720" w:lineRule="auto"/>
        <w:jc w:val="left"/>
        <w:rPr>
          <w:rFonts w:ascii="Times New Roman" w:cs="Times New Roman" w:hAnsiTheme="minorEastAsia" w:eastAsiaTheme="minorEastAsia"/>
          <w:b/>
          <w:sz w:val="24"/>
        </w:rPr>
      </w:pPr>
      <w:r>
        <w:rPr>
          <w:rFonts w:hint="eastAsia" w:ascii="Times New Roman" w:cs="Times New Roman" w:hAnsiTheme="minorEastAsia" w:eastAsiaTheme="minorEastAsia"/>
          <w:b/>
          <w:sz w:val="24"/>
        </w:rPr>
        <w:t>六</w:t>
      </w:r>
      <w:r>
        <w:rPr>
          <w:rFonts w:ascii="Times New Roman" w:cs="Times New Roman" w:hAnsiTheme="minorEastAsia" w:eastAsiaTheme="minorEastAsia"/>
          <w:b/>
          <w:sz w:val="24"/>
        </w:rPr>
        <w:t>、制定内容说明</w:t>
      </w:r>
    </w:p>
    <w:p w14:paraId="7188C155">
      <w:pPr>
        <w:spacing w:line="360" w:lineRule="auto"/>
        <w:ind w:firstLine="480" w:firstLineChars="200"/>
        <w:rPr>
          <w:rFonts w:ascii="Times New Roman" w:cs="Times New Roman" w:hAnsiTheme="minorEastAsia" w:eastAsiaTheme="minorEastAsia"/>
          <w:sz w:val="24"/>
        </w:rPr>
      </w:pPr>
      <w:r>
        <w:rPr>
          <w:rFonts w:ascii="Times New Roman" w:cs="Times New Roman" w:hAnsiTheme="minorEastAsia" w:eastAsiaTheme="minorEastAsia"/>
          <w:sz w:val="24"/>
        </w:rPr>
        <w:t>通过调研，</w:t>
      </w:r>
      <w:r>
        <w:rPr>
          <w:rFonts w:hint="eastAsia" w:ascii="Times New Roman" w:cs="Times New Roman" w:hAnsiTheme="minorEastAsia" w:eastAsiaTheme="minorEastAsia"/>
          <w:sz w:val="24"/>
        </w:rPr>
        <w:t>各仪器生产厂家均未给出官方的计量特性技术要求，故计量特性指标的制定主要依据</w:t>
      </w:r>
      <w:r>
        <w:rPr>
          <w:rFonts w:ascii="Times New Roman" w:cs="Times New Roman" w:hAnsiTheme="minorEastAsia" w:eastAsiaTheme="minorEastAsia"/>
          <w:sz w:val="24"/>
        </w:rPr>
        <w:t>仪器的试验数据，并参考测量原理相近仪器的相关标准，确定了仪器的校准项目、校准方法和计量特性要求。计量特性指标包括：</w:t>
      </w:r>
      <w:r>
        <w:rPr>
          <w:rFonts w:hint="eastAsia" w:ascii="Times New Roman" w:cs="Times New Roman" w:hAnsiTheme="minorEastAsia" w:eastAsiaTheme="minorEastAsia"/>
          <w:sz w:val="24"/>
          <w:lang w:val="en-US" w:eastAsia="zh-CN"/>
        </w:rPr>
        <w:t>检出限</w:t>
      </w:r>
      <w:r>
        <w:rPr>
          <w:rFonts w:ascii="Times New Roman" w:cs="Times New Roman" w:hAnsiTheme="minorEastAsia" w:eastAsiaTheme="minorEastAsia"/>
          <w:sz w:val="24"/>
        </w:rPr>
        <w:t>、</w:t>
      </w:r>
      <w:r>
        <w:rPr>
          <w:rFonts w:hint="eastAsia" w:ascii="Times New Roman" w:cs="Times New Roman" w:hAnsiTheme="minorEastAsia" w:eastAsiaTheme="minorEastAsia"/>
          <w:sz w:val="24"/>
          <w:lang w:val="en-US" w:eastAsia="zh-CN"/>
        </w:rPr>
        <w:t>示值误差、</w:t>
      </w:r>
      <w:r>
        <w:rPr>
          <w:rFonts w:ascii="Times New Roman" w:cs="Times New Roman" w:hAnsiTheme="minorEastAsia" w:eastAsiaTheme="minorEastAsia"/>
          <w:sz w:val="24"/>
        </w:rPr>
        <w:t>重复性</w:t>
      </w:r>
      <w:r>
        <w:rPr>
          <w:rFonts w:hint="eastAsia" w:ascii="Times New Roman" w:cs="Times New Roman" w:hAnsiTheme="minorEastAsia" w:eastAsiaTheme="minorEastAsia"/>
          <w:sz w:val="24"/>
          <w:lang w:eastAsia="zh-CN"/>
        </w:rPr>
        <w:t>、</w:t>
      </w:r>
      <w:r>
        <w:rPr>
          <w:rFonts w:hint="eastAsia" w:ascii="Times New Roman" w:cs="Times New Roman" w:hAnsiTheme="minorEastAsia" w:eastAsiaTheme="minorEastAsia"/>
          <w:sz w:val="24"/>
          <w:lang w:val="en-US" w:eastAsia="zh-CN"/>
        </w:rPr>
        <w:t>稳定性、交叉干扰</w:t>
      </w:r>
      <w:r>
        <w:rPr>
          <w:rFonts w:hint="eastAsia" w:ascii="Times New Roman" w:cs="Times New Roman" w:hAnsiTheme="minorEastAsia" w:eastAsiaTheme="minorEastAsia"/>
          <w:sz w:val="24"/>
        </w:rPr>
        <w:t>。具体</w:t>
      </w:r>
      <w:r>
        <w:rPr>
          <w:rFonts w:ascii="Times New Roman" w:cs="Times New Roman" w:hAnsiTheme="minorEastAsia" w:eastAsiaTheme="minorEastAsia"/>
          <w:sz w:val="24"/>
        </w:rPr>
        <w:t>计量特性指标见表</w:t>
      </w:r>
      <w:r>
        <w:rPr>
          <w:rFonts w:hint="eastAsia" w:ascii="Times New Roman" w:cs="Times New Roman" w:hAnsiTheme="minorEastAsia" w:eastAsiaTheme="minorEastAsia"/>
          <w:sz w:val="24"/>
        </w:rPr>
        <w:t>3</w:t>
      </w:r>
      <w:r>
        <w:rPr>
          <w:rFonts w:ascii="Times New Roman" w:cs="Times New Roman" w:hAnsiTheme="minorEastAsia" w:eastAsiaTheme="minorEastAsia"/>
          <w:sz w:val="24"/>
        </w:rPr>
        <w:t>。</w:t>
      </w:r>
    </w:p>
    <w:p w14:paraId="25BC996B">
      <w:pPr>
        <w:spacing w:line="324" w:lineRule="auto"/>
        <w:jc w:val="center"/>
        <w:rPr>
          <w:rFonts w:ascii="Times New Roman" w:hAnsi="Times New Roman" w:cs="Times New Roman"/>
          <w:color w:val="000000"/>
          <w:sz w:val="24"/>
          <w:szCs w:val="24"/>
        </w:rPr>
      </w:pPr>
      <w:r>
        <w:rPr>
          <w:rFonts w:ascii="Times New Roman" w:hAnsi="Times New Roman" w:cs="Times New Roman"/>
          <w:color w:val="000000"/>
          <w:sz w:val="24"/>
          <w:szCs w:val="24"/>
        </w:rPr>
        <w:t>表</w:t>
      </w:r>
      <w:r>
        <w:rPr>
          <w:rFonts w:hint="eastAsia" w:ascii="Times New Roman" w:hAnsi="Times New Roman" w:cs="Times New Roman"/>
          <w:color w:val="000000"/>
          <w:sz w:val="24"/>
          <w:szCs w:val="24"/>
        </w:rPr>
        <w:t>3</w:t>
      </w:r>
      <w:r>
        <w:rPr>
          <w:rFonts w:ascii="Times New Roman" w:hAnsi="Times New Roman" w:cs="Times New Roman"/>
          <w:color w:val="000000"/>
          <w:sz w:val="24"/>
          <w:szCs w:val="24"/>
        </w:rPr>
        <w:t xml:space="preserve"> 计量特性技术要求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47"/>
        <w:gridCol w:w="4275"/>
      </w:tblGrid>
      <w:tr w14:paraId="3802C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7" w:type="dxa"/>
            <w:vAlign w:val="center"/>
          </w:tcPr>
          <w:p w14:paraId="2BCE705F">
            <w:pPr>
              <w:spacing w:line="324" w:lineRule="auto"/>
              <w:jc w:val="center"/>
              <w:textAlignment w:val="center"/>
              <w:rPr>
                <w:rFonts w:ascii="宋体" w:hAnsi="Times New Roman" w:eastAsia="宋体" w:cs="Times New Roman"/>
                <w:sz w:val="21"/>
                <w:lang w:val="en-US" w:eastAsia="zh-CN" w:bidi="ar-SA"/>
              </w:rPr>
            </w:pPr>
            <w:r>
              <w:rPr>
                <w:rFonts w:ascii="Times New Roman" w:hAnsi="Times New Roman" w:cs="Times New Roman"/>
                <w:color w:val="000000"/>
                <w:kern w:val="0"/>
                <w:sz w:val="24"/>
                <w:szCs w:val="24"/>
              </w:rPr>
              <w:t>项目</w:t>
            </w:r>
          </w:p>
        </w:tc>
        <w:tc>
          <w:tcPr>
            <w:tcW w:w="4275" w:type="dxa"/>
            <w:vAlign w:val="center"/>
          </w:tcPr>
          <w:p w14:paraId="62517E88">
            <w:pPr>
              <w:spacing w:line="324" w:lineRule="auto"/>
              <w:jc w:val="center"/>
              <w:textAlignment w:val="center"/>
              <w:rPr>
                <w:rFonts w:ascii="宋体" w:hAnsi="Times New Roman" w:eastAsia="宋体" w:cs="Times New Roman"/>
                <w:sz w:val="21"/>
                <w:lang w:val="en-US" w:eastAsia="zh-CN" w:bidi="ar-SA"/>
              </w:rPr>
            </w:pPr>
            <w:r>
              <w:rPr>
                <w:rFonts w:ascii="Times New Roman" w:hAnsi="Times New Roman" w:cs="Times New Roman"/>
                <w:color w:val="000000"/>
                <w:kern w:val="0"/>
                <w:sz w:val="24"/>
                <w:szCs w:val="24"/>
              </w:rPr>
              <w:t>技术要求</w:t>
            </w:r>
          </w:p>
        </w:tc>
      </w:tr>
      <w:tr w14:paraId="0BA2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7" w:type="dxa"/>
            <w:vAlign w:val="center"/>
          </w:tcPr>
          <w:p w14:paraId="4844879F">
            <w:pPr>
              <w:spacing w:line="324" w:lineRule="auto"/>
              <w:jc w:val="center"/>
              <w:textAlignment w:val="center"/>
              <w:rPr>
                <w:rFonts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检出限mg/L</w:t>
            </w:r>
          </w:p>
        </w:tc>
        <w:tc>
          <w:tcPr>
            <w:tcW w:w="4275" w:type="dxa"/>
            <w:vAlign w:val="center"/>
          </w:tcPr>
          <w:p w14:paraId="29FFAB75">
            <w:pPr>
              <w:spacing w:line="324" w:lineRule="auto"/>
              <w:jc w:val="center"/>
              <w:textAlignment w:val="center"/>
              <w:rPr>
                <w:rFonts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≤0.05</w:t>
            </w:r>
          </w:p>
        </w:tc>
      </w:tr>
      <w:tr w14:paraId="4E83A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7" w:type="dxa"/>
            <w:vAlign w:val="center"/>
          </w:tcPr>
          <w:p w14:paraId="58B00790">
            <w:pPr>
              <w:spacing w:line="324" w:lineRule="auto"/>
              <w:jc w:val="center"/>
              <w:textAlignment w:val="center"/>
              <w:rPr>
                <w:rFonts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示值误差</w:t>
            </w:r>
          </w:p>
        </w:tc>
        <w:tc>
          <w:tcPr>
            <w:tcW w:w="4275" w:type="dxa"/>
            <w:vAlign w:val="center"/>
          </w:tcPr>
          <w:p w14:paraId="7126ED0F">
            <w:pPr>
              <w:spacing w:line="324" w:lineRule="auto"/>
              <w:jc w:val="center"/>
              <w:textAlignment w:val="center"/>
              <w:rPr>
                <w:rFonts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±5%</w:t>
            </w:r>
          </w:p>
        </w:tc>
      </w:tr>
      <w:tr w14:paraId="1F416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7" w:type="dxa"/>
            <w:vAlign w:val="center"/>
          </w:tcPr>
          <w:p w14:paraId="7A0221D6">
            <w:pPr>
              <w:spacing w:line="324" w:lineRule="auto"/>
              <w:jc w:val="center"/>
              <w:textAlignment w:val="center"/>
              <w:rPr>
                <w:rFonts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重复性</w:t>
            </w:r>
          </w:p>
        </w:tc>
        <w:tc>
          <w:tcPr>
            <w:tcW w:w="4275" w:type="dxa"/>
            <w:vAlign w:val="center"/>
          </w:tcPr>
          <w:p w14:paraId="0727E151">
            <w:pPr>
              <w:spacing w:line="324" w:lineRule="auto"/>
              <w:jc w:val="center"/>
              <w:textAlignment w:val="center"/>
              <w:rPr>
                <w:rFonts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≤5%</w:t>
            </w:r>
          </w:p>
        </w:tc>
      </w:tr>
      <w:tr w14:paraId="49351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7" w:type="dxa"/>
            <w:vAlign w:val="center"/>
          </w:tcPr>
          <w:p w14:paraId="5D4280E5">
            <w:pPr>
              <w:spacing w:line="324" w:lineRule="auto"/>
              <w:jc w:val="center"/>
              <w:textAlignment w:val="center"/>
              <w:rPr>
                <w:rFonts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稳定性</w:t>
            </w:r>
          </w:p>
        </w:tc>
        <w:tc>
          <w:tcPr>
            <w:tcW w:w="4275" w:type="dxa"/>
            <w:vAlign w:val="center"/>
          </w:tcPr>
          <w:p w14:paraId="59149814">
            <w:pPr>
              <w:spacing w:line="324" w:lineRule="auto"/>
              <w:jc w:val="center"/>
              <w:textAlignment w:val="center"/>
              <w:rPr>
                <w:rFonts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≤5%</w:t>
            </w:r>
          </w:p>
        </w:tc>
      </w:tr>
      <w:tr w14:paraId="53743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4247" w:type="dxa"/>
            <w:vAlign w:val="center"/>
          </w:tcPr>
          <w:p w14:paraId="169D15F4">
            <w:pPr>
              <w:spacing w:line="324" w:lineRule="auto"/>
              <w:jc w:val="center"/>
              <w:textAlignment w:val="center"/>
              <w:rPr>
                <w:rFonts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交叉干扰</w:t>
            </w:r>
          </w:p>
        </w:tc>
        <w:tc>
          <w:tcPr>
            <w:tcW w:w="4275" w:type="dxa"/>
            <w:vAlign w:val="center"/>
          </w:tcPr>
          <w:p w14:paraId="2A0FEC9A">
            <w:pPr>
              <w:spacing w:line="324" w:lineRule="auto"/>
              <w:jc w:val="center"/>
              <w:textAlignment w:val="center"/>
              <w:rPr>
                <w:rFonts w:ascii="Times New Roman" w:hAnsi="Times New Roman" w:cs="Times New Roman"/>
                <w:color w:val="000000"/>
                <w:kern w:val="0"/>
                <w:sz w:val="24"/>
                <w:szCs w:val="24"/>
                <w:lang w:val="en-US" w:eastAsia="zh-CN"/>
              </w:rPr>
            </w:pPr>
            <w:r>
              <w:rPr>
                <w:rFonts w:hint="eastAsia" w:ascii="Times New Roman" w:hAnsi="Times New Roman" w:cs="Times New Roman"/>
                <w:color w:val="000000"/>
                <w:kern w:val="0"/>
                <w:sz w:val="24"/>
                <w:szCs w:val="24"/>
                <w:lang w:val="en-US" w:eastAsia="zh-CN"/>
              </w:rPr>
              <w:t>≤5%</w:t>
            </w:r>
          </w:p>
        </w:tc>
      </w:tr>
    </w:tbl>
    <w:p w14:paraId="69375303">
      <w:pPr>
        <w:pStyle w:val="10"/>
        <w:numPr>
          <w:ilvl w:val="0"/>
          <w:numId w:val="2"/>
        </w:numPr>
        <w:spacing w:line="360" w:lineRule="auto"/>
        <w:ind w:firstLineChars="0"/>
        <w:rPr>
          <w:rFonts w:ascii="Times New Roman" w:cs="Times New Roman" w:hAnsiTheme="minorEastAsia" w:eastAsiaTheme="minorEastAsia"/>
          <w:sz w:val="24"/>
        </w:rPr>
      </w:pPr>
      <w:bookmarkStart w:id="0" w:name="_Toc18783"/>
      <w:r>
        <w:rPr>
          <w:rFonts w:hint="eastAsia" w:ascii="Times New Roman" w:cs="Times New Roman" w:hAnsiTheme="minorEastAsia" w:eastAsiaTheme="minorEastAsia"/>
          <w:sz w:val="24"/>
        </w:rPr>
        <w:t>检出限</w:t>
      </w:r>
      <w:bookmarkEnd w:id="0"/>
    </w:p>
    <w:p w14:paraId="3EF4628D">
      <w:pPr>
        <w:spacing w:line="360" w:lineRule="auto"/>
        <w:ind w:firstLine="480" w:firstLineChars="200"/>
      </w:pPr>
      <w:r>
        <w:rPr>
          <w:rFonts w:hint="eastAsia" w:ascii="Times New Roman" w:cs="Times New Roman" w:hAnsiTheme="minorEastAsia" w:eastAsiaTheme="minorEastAsia"/>
          <w:sz w:val="24"/>
          <w:lang w:val="en-US" w:eastAsia="zh-CN"/>
        </w:rPr>
        <w:t>仪器</w:t>
      </w:r>
      <w:r>
        <w:rPr>
          <w:rFonts w:ascii="Times New Roman" w:hAnsi="Times New Roman" w:cs="Times New Roman" w:eastAsiaTheme="minorEastAsia"/>
          <w:sz w:val="24"/>
        </w:rPr>
        <w:t>的</w:t>
      </w:r>
      <w:r>
        <w:rPr>
          <w:rFonts w:hint="eastAsia" w:ascii="Times New Roman" w:hAnsi="Times New Roman" w:cs="Times New Roman" w:eastAsiaTheme="minorEastAsia"/>
          <w:sz w:val="24"/>
          <w:lang w:val="en-US" w:eastAsia="zh-CN"/>
        </w:rPr>
        <w:t>检出限</w:t>
      </w:r>
      <w:r>
        <w:rPr>
          <w:rFonts w:ascii="Times New Roman" w:hAnsi="Times New Roman" w:cs="Times New Roman" w:eastAsiaTheme="minorEastAsia"/>
          <w:sz w:val="24"/>
        </w:rPr>
        <w:t>评价选择</w:t>
      </w:r>
      <w:r>
        <w:rPr>
          <w:rFonts w:hint="eastAsia" w:ascii="Times New Roman" w:cs="Times New Roman" w:hAnsiTheme="minorEastAsia" w:eastAsiaTheme="minorEastAsia"/>
          <w:sz w:val="24"/>
          <w:lang w:val="en-US" w:eastAsia="zh-CN"/>
        </w:rPr>
        <w:t>处于正常工作状态下，连续10次测量空白溶液，以10次空白值标准偏差3倍对应的浓度为检出限。</w:t>
      </w:r>
    </w:p>
    <w:p w14:paraId="637249C2">
      <w:pPr>
        <w:pStyle w:val="10"/>
        <w:numPr>
          <w:ilvl w:val="0"/>
          <w:numId w:val="2"/>
        </w:numPr>
        <w:spacing w:line="360" w:lineRule="auto"/>
        <w:ind w:firstLineChars="0"/>
        <w:rPr>
          <w:rFonts w:ascii="Times New Roman" w:cs="Times New Roman" w:hAnsiTheme="minorEastAsia" w:eastAsiaTheme="minorEastAsia"/>
          <w:sz w:val="24"/>
        </w:rPr>
      </w:pPr>
      <w:r>
        <w:rPr>
          <w:rFonts w:ascii="Times New Roman" w:cs="Times New Roman" w:hAnsiTheme="minorEastAsia" w:eastAsiaTheme="minorEastAsia"/>
          <w:sz w:val="24"/>
        </w:rPr>
        <w:t>示值误差</w:t>
      </w:r>
    </w:p>
    <w:p w14:paraId="537F7B88">
      <w:pPr>
        <w:spacing w:line="360" w:lineRule="auto"/>
        <w:ind w:firstLine="480" w:firstLineChars="200"/>
        <w:rPr>
          <w:rFonts w:hint="eastAsia" w:ascii="Times New Roman" w:cs="Times New Roman" w:hAnsiTheme="minorEastAsia" w:eastAsiaTheme="minorEastAsia"/>
          <w:sz w:val="24"/>
          <w:szCs w:val="24"/>
          <w:lang w:val="en-US" w:eastAsia="zh-CN"/>
        </w:rPr>
      </w:pPr>
      <w:bookmarkStart w:id="1" w:name="_Toc133693509"/>
      <w:bookmarkStart w:id="2" w:name="_Toc131629319"/>
      <w:bookmarkStart w:id="3" w:name="_Toc133697514"/>
      <w:bookmarkStart w:id="4" w:name="_Toc133940602"/>
      <w:r>
        <w:rPr>
          <w:rFonts w:hint="eastAsia" w:ascii="Times New Roman" w:cs="Times New Roman" w:hAnsiTheme="minorEastAsia" w:eastAsiaTheme="minorEastAsia"/>
          <w:sz w:val="24"/>
          <w:lang w:val="en-US" w:eastAsia="zh-CN"/>
        </w:rPr>
        <w:t>仪器</w:t>
      </w:r>
      <w:r>
        <w:rPr>
          <w:rFonts w:ascii="Times New Roman" w:hAnsi="Times New Roman" w:cs="Times New Roman" w:eastAsiaTheme="minorEastAsia"/>
          <w:sz w:val="24"/>
        </w:rPr>
        <w:t>的</w:t>
      </w:r>
      <w:r>
        <w:rPr>
          <w:rFonts w:hint="eastAsia" w:ascii="Times New Roman" w:hAnsi="Times New Roman" w:cs="Times New Roman" w:eastAsiaTheme="minorEastAsia"/>
          <w:sz w:val="24"/>
          <w:lang w:val="en-US" w:eastAsia="zh-CN"/>
        </w:rPr>
        <w:t>示值误差</w:t>
      </w:r>
      <w:r>
        <w:rPr>
          <w:rFonts w:ascii="Times New Roman" w:hAnsi="Times New Roman" w:cs="Times New Roman" w:eastAsiaTheme="minorEastAsia"/>
          <w:sz w:val="24"/>
        </w:rPr>
        <w:t>评价选择</w:t>
      </w:r>
      <w:r>
        <w:rPr>
          <w:rFonts w:hint="eastAsia" w:ascii="Times New Roman" w:cs="Times New Roman" w:hAnsiTheme="minorEastAsia" w:eastAsiaTheme="minorEastAsia"/>
          <w:sz w:val="24"/>
          <w:szCs w:val="24"/>
          <w:lang w:val="en-US" w:eastAsia="zh-CN"/>
        </w:rPr>
        <w:t>浓度为1、2、5 mg/L的标准溶液，每种浓度重复测量3次，取算术平均值作为仪器示值。根据实验数据汇总分析，提高在线检测设备的实用性，建议示值误差技术要求为不大于±5%，并且不区分测量范围。</w:t>
      </w:r>
    </w:p>
    <w:p w14:paraId="63EB2968">
      <w:pPr>
        <w:spacing w:line="360" w:lineRule="auto"/>
        <w:rPr>
          <w:rFonts w:hint="default" w:ascii="Times New Roman" w:cs="Times New Roman" w:hAnsiTheme="minorEastAsia" w:eastAsiaTheme="minorEastAsia"/>
          <w:sz w:val="24"/>
          <w:lang w:val="en-US" w:eastAsia="zh-CN"/>
        </w:rPr>
      </w:pPr>
      <w:r>
        <w:rPr>
          <w:rFonts w:hint="eastAsia" w:ascii="Times New Roman" w:cs="Times New Roman" w:hAnsiTheme="minorEastAsia" w:eastAsiaTheme="minorEastAsia"/>
          <w:sz w:val="24"/>
          <w:lang w:val="en-US" w:eastAsia="zh-CN"/>
        </w:rPr>
        <w:t>3、重复性</w:t>
      </w:r>
    </w:p>
    <w:p w14:paraId="7B1953FD">
      <w:pPr>
        <w:spacing w:before="50" w:after="50" w:line="360" w:lineRule="auto"/>
        <w:ind w:firstLine="480" w:firstLineChars="200"/>
        <w:rPr>
          <w:rFonts w:hint="eastAsia" w:ascii="Times New Roman" w:cs="Times New Roman" w:hAnsiTheme="minorEastAsia" w:eastAsiaTheme="minorEastAsia"/>
          <w:sz w:val="24"/>
          <w:lang w:val="en-US" w:eastAsia="zh-CN"/>
        </w:rPr>
      </w:pPr>
      <w:r>
        <w:rPr>
          <w:rFonts w:hint="eastAsia" w:ascii="Times New Roman" w:cs="Times New Roman" w:hAnsiTheme="minorEastAsia" w:eastAsiaTheme="minorEastAsia"/>
          <w:sz w:val="24"/>
          <w:lang w:val="en-US" w:eastAsia="zh-CN"/>
        </w:rPr>
        <w:t>仪器</w:t>
      </w:r>
      <w:r>
        <w:rPr>
          <w:rFonts w:ascii="Times New Roman" w:cs="Times New Roman" w:hAnsiTheme="minorEastAsia" w:eastAsiaTheme="minorEastAsia"/>
          <w:color w:val="000000"/>
          <w:sz w:val="24"/>
          <w:lang w:val="zh-CN"/>
        </w:rPr>
        <w:t>的重复性评价选择</w:t>
      </w:r>
      <w:r>
        <w:rPr>
          <w:rFonts w:hint="eastAsia" w:ascii="Times New Roman" w:cs="Times New Roman" w:hAnsiTheme="minorEastAsia" w:eastAsiaTheme="minorEastAsia"/>
          <w:color w:val="000000"/>
          <w:sz w:val="24"/>
          <w:lang w:val="en-US" w:eastAsia="zh-CN"/>
        </w:rPr>
        <w:t>2 mg/L的标准溶液</w:t>
      </w:r>
      <w:r>
        <w:rPr>
          <w:rFonts w:ascii="Times New Roman" w:cs="Times New Roman" w:hAnsiTheme="minorEastAsia" w:eastAsiaTheme="minorEastAsia"/>
          <w:color w:val="000000"/>
          <w:sz w:val="24"/>
          <w:lang w:val="zh-CN"/>
        </w:rPr>
        <w:t>，进行</w:t>
      </w:r>
      <w:r>
        <w:rPr>
          <w:rFonts w:hint="eastAsia" w:ascii="Times New Roman" w:cs="Times New Roman" w:hAnsiTheme="minorEastAsia" w:eastAsiaTheme="minorEastAsia"/>
          <w:color w:val="000000"/>
          <w:sz w:val="24"/>
          <w:lang w:val="en-US" w:eastAsia="zh-CN"/>
        </w:rPr>
        <w:t>6</w:t>
      </w:r>
      <w:r>
        <w:rPr>
          <w:rFonts w:hint="eastAsia" w:ascii="Times New Roman" w:cs="Times New Roman" w:hAnsiTheme="minorEastAsia" w:eastAsiaTheme="minorEastAsia"/>
          <w:color w:val="000000"/>
          <w:sz w:val="24"/>
          <w:lang w:val="zh-CN"/>
        </w:rPr>
        <w:t>次</w:t>
      </w:r>
      <w:r>
        <w:rPr>
          <w:rFonts w:ascii="Times New Roman" w:cs="Times New Roman" w:hAnsiTheme="minorEastAsia" w:eastAsiaTheme="minorEastAsia"/>
          <w:color w:val="000000"/>
          <w:sz w:val="24"/>
          <w:lang w:val="zh-CN"/>
        </w:rPr>
        <w:t>重复测量。</w:t>
      </w:r>
      <w:r>
        <w:rPr>
          <w:rFonts w:ascii="Times New Roman" w:cs="Times New Roman" w:hAnsiTheme="minorEastAsia" w:eastAsiaTheme="minorEastAsia"/>
          <w:sz w:val="24"/>
          <w:szCs w:val="24"/>
        </w:rPr>
        <w:t>根据</w:t>
      </w:r>
      <w:r>
        <w:rPr>
          <w:rFonts w:hint="eastAsia" w:ascii="Times New Roman" w:cs="Times New Roman" w:hAnsiTheme="minorEastAsia" w:eastAsiaTheme="minorEastAsia"/>
          <w:color w:val="000000"/>
          <w:sz w:val="24"/>
          <w:lang w:val="en-US" w:eastAsia="zh-CN"/>
        </w:rPr>
        <w:t>盐湖卤水专用硼自动分析仪</w:t>
      </w:r>
      <w:r>
        <w:rPr>
          <w:rFonts w:ascii="Times New Roman" w:cs="Times New Roman" w:hAnsiTheme="minorEastAsia" w:eastAsiaTheme="minorEastAsia"/>
          <w:sz w:val="24"/>
          <w:szCs w:val="24"/>
        </w:rPr>
        <w:t>的</w:t>
      </w:r>
      <w:r>
        <w:rPr>
          <w:rFonts w:hint="eastAsia" w:ascii="Times New Roman" w:cs="Times New Roman" w:hAnsiTheme="minorEastAsia" w:eastAsiaTheme="minorEastAsia"/>
          <w:sz w:val="24"/>
          <w:szCs w:val="24"/>
        </w:rPr>
        <w:t>计量</w:t>
      </w:r>
      <w:r>
        <w:rPr>
          <w:rFonts w:ascii="Times New Roman" w:cs="Times New Roman" w:hAnsiTheme="minorEastAsia" w:eastAsiaTheme="minorEastAsia"/>
          <w:sz w:val="24"/>
          <w:szCs w:val="24"/>
        </w:rPr>
        <w:t>特性以及实际仪器的测量结果，建议重复性技术要求为不大于</w:t>
      </w:r>
      <w:r>
        <w:rPr>
          <w:rFonts w:hint="eastAsia" w:ascii="Times New Roman" w:cs="Times New Roman" w:hAnsiTheme="minorEastAsia" w:eastAsiaTheme="minorEastAsia"/>
          <w:sz w:val="24"/>
          <w:szCs w:val="24"/>
          <w:lang w:val="en-US" w:eastAsia="zh-CN"/>
        </w:rPr>
        <w:t>5</w:t>
      </w:r>
      <w:r>
        <w:rPr>
          <w:rFonts w:ascii="Times New Roman" w:hAnsi="Times New Roman" w:cs="Times New Roman" w:eastAsiaTheme="minorEastAsia"/>
          <w:sz w:val="24"/>
          <w:szCs w:val="24"/>
        </w:rPr>
        <w:t>%</w:t>
      </w:r>
      <w:r>
        <w:rPr>
          <w:rFonts w:ascii="Times New Roman" w:cs="Times New Roman" w:hAnsiTheme="minorEastAsia" w:eastAsiaTheme="minorEastAsia"/>
          <w:sz w:val="24"/>
          <w:szCs w:val="24"/>
        </w:rPr>
        <w:t>。</w:t>
      </w:r>
    </w:p>
    <w:p w14:paraId="256431F7">
      <w:pPr>
        <w:spacing w:line="360" w:lineRule="auto"/>
        <w:rPr>
          <w:rFonts w:hint="eastAsia" w:ascii="Times New Roman" w:cs="Times New Roman" w:hAnsiTheme="minorEastAsia" w:eastAsiaTheme="minorEastAsia"/>
          <w:sz w:val="24"/>
          <w:lang w:val="en-US" w:eastAsia="zh-CN"/>
        </w:rPr>
      </w:pPr>
      <w:bookmarkStart w:id="5" w:name="_Toc18559"/>
      <w:r>
        <w:rPr>
          <w:rFonts w:hint="eastAsia" w:ascii="Times New Roman" w:cs="Times New Roman" w:hAnsiTheme="minorEastAsia" w:eastAsiaTheme="minorEastAsia"/>
          <w:sz w:val="24"/>
          <w:lang w:val="en-US" w:eastAsia="zh-CN"/>
        </w:rPr>
        <w:t>4、稳定性</w:t>
      </w:r>
    </w:p>
    <w:p w14:paraId="0F9A6997">
      <w:pPr>
        <w:spacing w:before="50" w:after="50" w:line="360" w:lineRule="auto"/>
        <w:ind w:firstLine="480" w:firstLineChars="200"/>
        <w:rPr>
          <w:rFonts w:hint="eastAsia" w:ascii="Times New Roman" w:cs="Times New Roman" w:hAnsiTheme="minorEastAsia" w:eastAsiaTheme="minorEastAsia"/>
          <w:color w:val="000000"/>
          <w:sz w:val="24"/>
          <w:lang w:val="en-US" w:eastAsia="zh-CN"/>
        </w:rPr>
      </w:pPr>
      <w:r>
        <w:rPr>
          <w:rFonts w:hint="eastAsia" w:ascii="Times New Roman" w:hAnsi="Times New Roman" w:cs="Times New Roman" w:eastAsiaTheme="minorEastAsia"/>
          <w:sz w:val="24"/>
          <w:lang w:val="en-US" w:eastAsia="zh-CN"/>
        </w:rPr>
        <w:t>仪器</w:t>
      </w:r>
      <w:r>
        <w:rPr>
          <w:rFonts w:ascii="Times New Roman" w:hAnsi="Times New Roman" w:cs="Times New Roman" w:eastAsiaTheme="minorEastAsia"/>
          <w:sz w:val="24"/>
        </w:rPr>
        <w:t>的</w:t>
      </w:r>
      <w:r>
        <w:rPr>
          <w:rFonts w:hint="eastAsia" w:ascii="Times New Roman" w:hAnsi="Times New Roman" w:cs="Times New Roman" w:eastAsiaTheme="minorEastAsia"/>
          <w:sz w:val="24"/>
          <w:lang w:val="en-US" w:eastAsia="zh-CN"/>
        </w:rPr>
        <w:t>稳定性评价</w:t>
      </w:r>
      <w:r>
        <w:rPr>
          <w:rFonts w:hint="eastAsia" w:ascii="Times New Roman" w:cs="Times New Roman" w:hAnsiTheme="minorEastAsia" w:eastAsiaTheme="minorEastAsia"/>
          <w:color w:val="000000"/>
          <w:sz w:val="24"/>
          <w:lang w:val="en-US" w:eastAsia="zh-CN"/>
        </w:rPr>
        <w:t>选取浓度为5 mg/L的标准溶液进行测定，每隔1h测定一次，连续测定4h，计算各次测得值相对起始值变化幅度，取变化幅度最大者为检测仪的稳定性结果，建议稳定性技术要求为4h内变化不大于5%。</w:t>
      </w:r>
    </w:p>
    <w:p w14:paraId="3BEBBEF9">
      <w:pPr>
        <w:pStyle w:val="10"/>
        <w:numPr>
          <w:ilvl w:val="0"/>
          <w:numId w:val="0"/>
        </w:numPr>
        <w:spacing w:line="360" w:lineRule="auto"/>
        <w:ind w:leftChars="0"/>
        <w:rPr>
          <w:rFonts w:ascii="Times New Roman" w:cs="Times New Roman" w:hAnsiTheme="minorEastAsia" w:eastAsiaTheme="minorEastAsia"/>
          <w:sz w:val="24"/>
        </w:rPr>
      </w:pPr>
      <w:r>
        <w:rPr>
          <w:rFonts w:hint="eastAsia" w:ascii="Times New Roman" w:cs="Times New Roman" w:hAnsiTheme="minorEastAsia" w:eastAsiaTheme="minorEastAsia"/>
          <w:sz w:val="24"/>
          <w:lang w:val="en-US" w:eastAsia="zh-CN"/>
        </w:rPr>
        <w:t>5、交叉干扰</w:t>
      </w:r>
      <w:bookmarkEnd w:id="5"/>
    </w:p>
    <w:p w14:paraId="7172F267">
      <w:pPr>
        <w:spacing w:before="50" w:after="50" w:line="360" w:lineRule="auto"/>
        <w:ind w:firstLine="480" w:firstLineChars="200"/>
        <w:rPr>
          <w:rFonts w:hint="eastAsia" w:ascii="Times New Roman" w:cs="Times New Roman" w:hAnsiTheme="minorEastAsia" w:eastAsiaTheme="minorEastAsia"/>
          <w:color w:val="000000"/>
          <w:sz w:val="24"/>
          <w:lang w:val="en-US" w:eastAsia="zh-CN"/>
        </w:rPr>
      </w:pPr>
      <w:r>
        <w:rPr>
          <w:rFonts w:hint="eastAsia" w:ascii="Times New Roman" w:hAnsi="Times New Roman" w:cs="Times New Roman" w:eastAsiaTheme="minorEastAsia"/>
          <w:sz w:val="24"/>
          <w:lang w:val="en-US" w:eastAsia="zh-CN"/>
        </w:rPr>
        <w:t>仪器</w:t>
      </w:r>
      <w:r>
        <w:rPr>
          <w:rFonts w:ascii="Times New Roman" w:hAnsi="Times New Roman" w:cs="Times New Roman" w:eastAsiaTheme="minorEastAsia"/>
          <w:sz w:val="24"/>
        </w:rPr>
        <w:t>的</w:t>
      </w:r>
      <w:r>
        <w:rPr>
          <w:rFonts w:hint="eastAsia" w:ascii="Times New Roman" w:hAnsi="Times New Roman" w:cs="Times New Roman" w:eastAsiaTheme="minorEastAsia"/>
          <w:sz w:val="24"/>
          <w:lang w:val="en-US" w:eastAsia="zh-CN"/>
        </w:rPr>
        <w:t>交叉干扰评价</w:t>
      </w:r>
      <w:r>
        <w:rPr>
          <w:rFonts w:hint="eastAsia" w:ascii="Times New Roman" w:cs="Times New Roman" w:hAnsiTheme="minorEastAsia" w:eastAsiaTheme="minorEastAsia"/>
          <w:color w:val="000000"/>
          <w:sz w:val="24"/>
          <w:lang w:val="en-US" w:eastAsia="zh-CN"/>
        </w:rPr>
        <w:t>选取浓度为1 mg/L的标准溶液对仪器进行测量，重复进样测量3次，取后两次测量值的平均值作为初始测量值；再依次进样浓度为5 mg/L和1 mg/L的标准溶液各测量1次，记录最后一次浓度为1 mg/L的标准溶液的测量值。计算该测得值与初始测量值的相对变化幅度，建议交叉干扰技术要求为相对变化幅度不大于5%。</w:t>
      </w:r>
    </w:p>
    <w:bookmarkEnd w:id="1"/>
    <w:bookmarkEnd w:id="2"/>
    <w:bookmarkEnd w:id="3"/>
    <w:bookmarkEnd w:id="4"/>
    <w:p w14:paraId="316F0A91">
      <w:pPr>
        <w:numPr>
          <w:ilvl w:val="0"/>
          <w:numId w:val="3"/>
        </w:numPr>
        <w:spacing w:line="720" w:lineRule="auto"/>
        <w:rPr>
          <w:rFonts w:ascii="Times New Roman" w:cs="Times New Roman" w:hAnsiTheme="minorEastAsia" w:eastAsiaTheme="minorEastAsia"/>
          <w:b/>
          <w:sz w:val="24"/>
        </w:rPr>
      </w:pPr>
      <w:r>
        <w:rPr>
          <w:rFonts w:ascii="Times New Roman" w:cs="Times New Roman" w:hAnsiTheme="minorEastAsia" w:eastAsiaTheme="minorEastAsia"/>
          <w:b/>
          <w:sz w:val="24"/>
        </w:rPr>
        <w:t>不确定度评定</w:t>
      </w:r>
    </w:p>
    <w:p w14:paraId="4A52B051">
      <w:pPr>
        <w:spacing w:line="360" w:lineRule="auto"/>
        <w:ind w:firstLine="480" w:firstLineChars="200"/>
        <w:rPr>
          <w:rFonts w:hint="eastAsia" w:ascii="Times New Roman" w:cs="Times New Roman" w:hAnsiTheme="minorEastAsia" w:eastAsiaTheme="minorEastAsia"/>
          <w:sz w:val="24"/>
        </w:rPr>
      </w:pPr>
      <w:r>
        <w:rPr>
          <w:rFonts w:hint="eastAsia" w:ascii="Times New Roman" w:cs="Times New Roman" w:hAnsiTheme="minorEastAsia" w:eastAsiaTheme="minorEastAsia"/>
          <w:sz w:val="24"/>
        </w:rPr>
        <w:t>按照JJF 1071-2010《国家计量校准规范编写规则》和JJF1059.1-2012《测量不确定度评定与表示》相关要求，编写了盐湖卤水专用硼自动分析仪的校准结果的不确定度评定实例（详见校准规范附录D）。</w:t>
      </w:r>
    </w:p>
    <w:p w14:paraId="7B761BC2">
      <w:pPr>
        <w:spacing w:line="720" w:lineRule="auto"/>
        <w:rPr>
          <w:rFonts w:hint="eastAsia" w:ascii="Times New Roman" w:cs="Times New Roman" w:hAnsiTheme="minorEastAsia" w:eastAsiaTheme="minorEastAsia"/>
          <w:b/>
          <w:sz w:val="24"/>
        </w:rPr>
      </w:pPr>
      <w:r>
        <w:rPr>
          <w:rFonts w:hint="eastAsia" w:ascii="Times New Roman" w:cs="Times New Roman" w:hAnsiTheme="minorEastAsia" w:eastAsiaTheme="minorEastAsia"/>
          <w:b/>
          <w:sz w:val="24"/>
        </w:rPr>
        <w:t>八、总结</w:t>
      </w:r>
    </w:p>
    <w:p w14:paraId="541ED403">
      <w:pPr>
        <w:spacing w:line="360" w:lineRule="auto"/>
        <w:ind w:firstLine="480" w:firstLineChars="200"/>
        <w:rPr>
          <w:rFonts w:hint="eastAsia" w:ascii="Times New Roman" w:cs="Times New Roman" w:hAnsiTheme="minorEastAsia" w:eastAsiaTheme="minorEastAsia"/>
          <w:sz w:val="24"/>
        </w:rPr>
      </w:pPr>
      <w:r>
        <w:rPr>
          <w:rFonts w:hint="eastAsia" w:ascii="Times New Roman" w:cs="Times New Roman" w:hAnsiTheme="minorEastAsia" w:eastAsiaTheme="minorEastAsia"/>
          <w:sz w:val="24"/>
        </w:rPr>
        <w:t>在本规范的制定过程中，起草小组对现有主流盐湖卤水专用硼</w:t>
      </w:r>
      <w:r>
        <w:rPr>
          <w:rFonts w:hint="eastAsia" w:ascii="Times New Roman" w:cs="Times New Roman" w:hAnsiTheme="minorEastAsia" w:eastAsiaTheme="minorEastAsia"/>
          <w:sz w:val="24"/>
          <w:lang w:val="en-US" w:eastAsia="zh-CN"/>
        </w:rPr>
        <w:t>自动</w:t>
      </w:r>
      <w:r>
        <w:rPr>
          <w:rFonts w:hint="eastAsia" w:ascii="Times New Roman" w:cs="Times New Roman" w:hAnsiTheme="minorEastAsia" w:eastAsiaTheme="minorEastAsia"/>
          <w:sz w:val="24"/>
        </w:rPr>
        <w:t>分析仪产品进行了反复试验，以大量国内外技术资料、盐湖卤水资源开发及硼检测相关标准、实际实验数据为技术依据，本着科学合理、易于操作、普遍适用且贴合盐湖行业实际的原则，制定完成了盐湖卤水专用硼自动分析仪校准方法</w:t>
      </w:r>
      <w:r>
        <w:rPr>
          <w:rFonts w:hint="eastAsia" w:ascii="Times New Roman" w:cs="Times New Roman" w:hAnsiTheme="minorEastAsia" w:eastAsiaTheme="minorEastAsia"/>
          <w:sz w:val="24"/>
        </w:rPr>
        <w:t>。</w:t>
      </w:r>
      <w:bookmarkStart w:id="6" w:name="_GoBack"/>
      <w:bookmarkEnd w:id="6"/>
    </w:p>
    <w:p w14:paraId="1090F91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51BF96"/>
    <w:multiLevelType w:val="singleLevel"/>
    <w:tmpl w:val="9951BF96"/>
    <w:lvl w:ilvl="0" w:tentative="0">
      <w:start w:val="7"/>
      <w:numFmt w:val="chineseCounting"/>
      <w:suff w:val="nothing"/>
      <w:lvlText w:val="%1、"/>
      <w:lvlJc w:val="left"/>
      <w:rPr>
        <w:rFonts w:hint="eastAsia"/>
      </w:rPr>
    </w:lvl>
  </w:abstractNum>
  <w:abstractNum w:abstractNumId="1">
    <w:nsid w:val="0EB60C92"/>
    <w:multiLevelType w:val="multilevel"/>
    <w:tmpl w:val="0EB60C92"/>
    <w:lvl w:ilvl="0" w:tentative="0">
      <w:start w:val="1"/>
      <w:numFmt w:val="decimal"/>
      <w:lvlText w:val="%1、"/>
      <w:lvlJc w:val="left"/>
      <w:pPr>
        <w:ind w:left="360" w:hanging="360"/>
      </w:pPr>
      <w:rPr>
        <w:rFonts w:hint="default" w:hAnsi="Times New Roman"/>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6CEA2025"/>
    <w:multiLevelType w:val="multilevel"/>
    <w:tmpl w:val="6CEA2025"/>
    <w:lvl w:ilvl="0" w:tentative="0">
      <w:start w:val="1"/>
      <w:numFmt w:val="none"/>
      <w:suff w:val="nothing"/>
      <w:lvlText w:val="%1"/>
      <w:lvlJc w:val="left"/>
      <w:pPr>
        <w:ind w:left="0" w:firstLine="0"/>
      </w:pPr>
      <w:rPr>
        <w:rFonts w:hint="eastAsia"/>
      </w:rPr>
    </w:lvl>
    <w:lvl w:ilvl="1" w:tentative="0">
      <w:start w:val="1"/>
      <w:numFmt w:val="decimal"/>
      <w:pStyle w:val="12"/>
      <w:suff w:val="nothing"/>
      <w:lvlText w:val="%1%2　"/>
      <w:lvlJc w:val="left"/>
      <w:pPr>
        <w:ind w:left="0" w:firstLine="0"/>
      </w:pPr>
      <w:rPr>
        <w:rFonts w:hint="eastAsia" w:ascii="黑体" w:eastAsia="黑体"/>
        <w:b w:val="0"/>
        <w:i w:val="0"/>
        <w:sz w:val="21"/>
      </w:rPr>
    </w:lvl>
    <w:lvl w:ilvl="2" w:tentative="0">
      <w:start w:val="1"/>
      <w:numFmt w:val="decimal"/>
      <w:pStyle w:val="11"/>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rPr>
    </w:lvl>
    <w:lvl w:ilvl="3" w:tentative="0">
      <w:start w:val="1"/>
      <w:numFmt w:val="decimal"/>
      <w:suff w:val="nothing"/>
      <w:lvlText w:val="%1%2.%3.%4　"/>
      <w:lvlJc w:val="left"/>
      <w:pPr>
        <w:ind w:left="851" w:firstLine="0"/>
      </w:pPr>
      <w:rPr>
        <w:rFonts w:hint="eastAsia" w:ascii="黑体" w:eastAsia="黑体"/>
        <w:b w:val="0"/>
        <w:i w:val="0"/>
        <w:sz w:val="21"/>
      </w:rPr>
    </w:lvl>
    <w:lvl w:ilvl="4" w:tentative="0">
      <w:start w:val="1"/>
      <w:numFmt w:val="decimal"/>
      <w:suff w:val="nothing"/>
      <w:lvlText w:val="%1%2.%3.%4.%5　"/>
      <w:lvlJc w:val="left"/>
      <w:pPr>
        <w:ind w:left="0" w:firstLine="0"/>
      </w:pPr>
      <w:rPr>
        <w:rFonts w:hint="eastAsia" w:ascii="黑体" w:eastAsia="黑体"/>
        <w:b w:val="0"/>
        <w:i w:val="0"/>
        <w:sz w:val="21"/>
      </w:rPr>
    </w:lvl>
    <w:lvl w:ilvl="5" w:tentative="0">
      <w:start w:val="1"/>
      <w:numFmt w:val="decimal"/>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336A20"/>
    <w:rsid w:val="0D496CCF"/>
    <w:rsid w:val="2C643F84"/>
    <w:rsid w:val="68313AB6"/>
    <w:rsid w:val="71F53520"/>
    <w:rsid w:val="73336A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paragraph" w:styleId="3">
    <w:name w:val="heading 3"/>
    <w:basedOn w:val="1"/>
    <w:next w:val="1"/>
    <w:unhideWhenUsed/>
    <w:qFormat/>
    <w:uiPriority w:val="9"/>
    <w:pPr>
      <w:spacing w:beforeAutospacing="1" w:afterAutospacing="1"/>
      <w:jc w:val="left"/>
      <w:outlineLvl w:val="2"/>
    </w:pPr>
    <w:rPr>
      <w:rFonts w:hint="eastAsia" w:ascii="宋体" w:hAnsi="宋体" w:cs="Times New Roman"/>
      <w:b/>
      <w:bCs/>
      <w:kern w:val="0"/>
      <w:sz w:val="27"/>
      <w:szCs w:val="27"/>
    </w:rPr>
  </w:style>
  <w:style w:type="paragraph" w:styleId="4">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table" w:styleId="6">
    <w:name w:val="Table Grid"/>
    <w:basedOn w:val="5"/>
    <w:qFormat/>
    <w:uiPriority w:val="0"/>
    <w:rPr>
      <w:rFonts w:ascii="Calibri" w:hAnsi="Calibri"/>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Hyperlink"/>
    <w:basedOn w:val="7"/>
    <w:uiPriority w:val="0"/>
    <w:rPr>
      <w:color w:val="0000FF"/>
      <w:u w:val="single"/>
    </w:rPr>
  </w:style>
  <w:style w:type="paragraph" w:customStyle="1" w:styleId="9">
    <w:name w:val="纯文本1"/>
    <w:basedOn w:val="1"/>
    <w:qFormat/>
    <w:uiPriority w:val="0"/>
    <w:rPr>
      <w:rFonts w:ascii="宋体" w:hAnsi="Courier New" w:cs="Times New Roman"/>
    </w:rPr>
  </w:style>
  <w:style w:type="paragraph" w:styleId="10">
    <w:name w:val="List Paragraph"/>
    <w:basedOn w:val="1"/>
    <w:qFormat/>
    <w:uiPriority w:val="99"/>
    <w:pPr>
      <w:ind w:firstLine="420" w:firstLineChars="200"/>
    </w:pPr>
  </w:style>
  <w:style w:type="paragraph" w:customStyle="1" w:styleId="11">
    <w:name w:val="标准文件_一级条标题"/>
    <w:basedOn w:val="12"/>
    <w:next w:val="13"/>
    <w:qFormat/>
    <w:uiPriority w:val="0"/>
    <w:pPr>
      <w:numPr>
        <w:ilvl w:val="2"/>
      </w:numPr>
      <w:spacing w:before="50" w:beforeLines="50" w:after="50" w:afterLines="50"/>
      <w:outlineLvl w:val="1"/>
    </w:pPr>
  </w:style>
  <w:style w:type="paragraph" w:customStyle="1" w:styleId="12">
    <w:name w:val="标准文件_章标题"/>
    <w:next w:val="13"/>
    <w:qFormat/>
    <w:uiPriority w:val="0"/>
    <w:pPr>
      <w:numPr>
        <w:ilvl w:val="1"/>
        <w:numId w:val="1"/>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3">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4676</Words>
  <Characters>4933</Characters>
  <Lines>0</Lines>
  <Paragraphs>0</Paragraphs>
  <TotalTime>0</TotalTime>
  <ScaleCrop>false</ScaleCrop>
  <LinksUpToDate>false</LinksUpToDate>
  <CharactersWithSpaces>4959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2026-04-02T08:17:00Z</dcterms:created>
  <dc:creator>十九。</dc:creator>
  <cp:lastModifiedBy>Full moon</cp:lastModifiedBy>
  <dcterms:modified xsi:type="dcterms:W3CDTF">2026-04-03T02:21:15Z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AE13DDF94A7D45A48BBE0DCA558CF65F_13</vt:lpwstr>
  </property>
  <property fmtid="{D5CDD505-2E9C-101B-9397-08002B2CF9AE}" pid="4" name="KSOTemplateDocerSaveRecord">
    <vt:lpwstr>eyJoZGlkIjoiNTU0ZmIwYTQ3NzlmZGUxZmU3Zjk0M2IyZTNmM2IxNjAiLCJ1c2VySWQiOiI2MzcyMDQ2OTgifQ==</vt:lpwstr>
  </property>
</Properties>
</file>