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8F9F9">
      <w:pPr>
        <w:rPr>
          <w:b/>
          <w:sz w:val="72"/>
          <w:szCs w:val="72"/>
        </w:rPr>
      </w:pPr>
      <w:bookmarkStart w:id="0" w:name="SectionMark0"/>
      <w:r>
        <w:drawing>
          <wp:anchor distT="0" distB="0" distL="114300" distR="114300" simplePos="0" relativeHeight="251659264" behindDoc="0" locked="0" layoutInCell="1" allowOverlap="1">
            <wp:simplePos x="0" y="0"/>
            <wp:positionH relativeFrom="column">
              <wp:posOffset>4070350</wp:posOffset>
            </wp:positionH>
            <wp:positionV relativeFrom="paragraph">
              <wp:posOffset>0</wp:posOffset>
            </wp:positionV>
            <wp:extent cx="1564640" cy="697865"/>
            <wp:effectExtent l="19050" t="0" r="0" b="0"/>
            <wp:wrapSquare wrapText="bothSides"/>
            <wp:docPr id="48" name="图片 8" descr="j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8" descr="jjf"/>
                    <pic:cNvPicPr>
                      <a:picLocks noChangeAspect="1" noChangeArrowheads="1"/>
                    </pic:cNvPicPr>
                  </pic:nvPicPr>
                  <pic:blipFill>
                    <a:blip r:embed="rId11" cstate="print">
                      <a:biLevel thresh="50000"/>
                      <a:grayscl/>
                      <a:lum contrast="100000"/>
                    </a:blip>
                    <a:srcRect l="5470" t="6032" r="5057" b="16345"/>
                    <a:stretch>
                      <a:fillRect/>
                    </a:stretch>
                  </pic:blipFill>
                  <pic:spPr>
                    <a:xfrm>
                      <a:off x="0" y="0"/>
                      <a:ext cx="1564640" cy="697865"/>
                    </a:xfrm>
                    <a:prstGeom prst="rect">
                      <a:avLst/>
                    </a:prstGeom>
                    <a:noFill/>
                    <a:ln w="9525">
                      <a:noFill/>
                      <a:miter lim="800000"/>
                      <a:headEnd/>
                      <a:tailEnd/>
                    </a:ln>
                  </pic:spPr>
                </pic:pic>
              </a:graphicData>
            </a:graphic>
          </wp:anchor>
        </w:drawing>
      </w:r>
    </w:p>
    <w:p w14:paraId="34D55993">
      <w:pPr>
        <w:rPr>
          <w:b/>
          <w:sz w:val="72"/>
          <w:szCs w:val="72"/>
        </w:rPr>
      </w:pPr>
    </w:p>
    <w:p w14:paraId="3B7DB0F5">
      <w:pPr>
        <w:jc w:val="center"/>
        <w:rPr>
          <w:b/>
          <w:sz w:val="52"/>
          <w:szCs w:val="52"/>
        </w:rPr>
      </w:pPr>
      <w:r>
        <w:rPr>
          <w:b/>
          <w:sz w:val="52"/>
          <w:szCs w:val="52"/>
        </w:rPr>
        <w:t>中华人民共和国国家计量技术规范</w:t>
      </w:r>
    </w:p>
    <w:p w14:paraId="4499A052">
      <w:pPr>
        <w:jc w:val="right"/>
        <w:rPr>
          <w:rFonts w:eastAsia="黑体"/>
          <w:sz w:val="28"/>
          <w:szCs w:val="28"/>
        </w:rPr>
      </w:pPr>
      <w:r>
        <w:rPr>
          <w:rFonts w:eastAsia="黑体"/>
          <w:sz w:val="28"/>
          <w:szCs w:val="28"/>
        </w:rPr>
        <w:t>JJF××××</w:t>
      </w:r>
      <w:r>
        <w:rPr>
          <w:rFonts w:hAnsi="黑体" w:eastAsia="黑体"/>
          <w:sz w:val="28"/>
          <w:szCs w:val="28"/>
        </w:rPr>
        <w:t>－</w:t>
      </w:r>
      <w:r>
        <w:rPr>
          <w:rFonts w:eastAsia="黑体"/>
          <w:sz w:val="28"/>
          <w:szCs w:val="28"/>
        </w:rPr>
        <w:t>20××</w:t>
      </w:r>
    </w:p>
    <w:p w14:paraId="36F8BC3F">
      <w:pPr>
        <w:rPr>
          <w:sz w:val="30"/>
          <w:szCs w:val="30"/>
        </w:rPr>
      </w:pPr>
      <w:r>
        <w:rPr>
          <w:sz w:val="30"/>
          <w:szCs w:val="30"/>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107950</wp:posOffset>
                </wp:positionV>
                <wp:extent cx="5715000" cy="0"/>
                <wp:effectExtent l="0" t="0" r="0" b="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ln>
                      </wps:spPr>
                      <wps:bodyPr/>
                    </wps:wsp>
                  </a:graphicData>
                </a:graphic>
              </wp:anchor>
            </w:drawing>
          </mc:Choice>
          <mc:Fallback>
            <w:pict>
              <v:line id="Line 2" o:spid="_x0000_s1026" o:spt="20" style="position:absolute;left:0pt;margin-left:2.25pt;margin-top:8.5pt;height:0pt;width:450pt;z-index:251661312;mso-width-relative:page;mso-height-relative:page;" filled="f" stroked="t" coordsize="21600,21600" o:gfxdata="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cg4NDSAAAABwEAAA8AAAAAAAAAAQAgAAAAIgAAAGRycy9kb3ducmV2&#10;LnhtbFBLAQIUABQAAAAIAIdO4kBxrPHxyQEAAKADAAAOAAAAAAAAAAEAIAAAACEBAABkcnMvZTJv&#10;RG9jLnhtbFBLBQYAAAAABgAGAFkBAABcBQAAAAA=&#10;">
                <v:fill on="f" focussize="0,0"/>
                <v:stroke weight="1.5pt" color="#000000" joinstyle="round"/>
                <v:imagedata o:title=""/>
                <o:lock v:ext="edit" aspectratio="f"/>
              </v:line>
            </w:pict>
          </mc:Fallback>
        </mc:AlternateContent>
      </w:r>
    </w:p>
    <w:p w14:paraId="71D3AFD3">
      <w:pPr>
        <w:rPr>
          <w:sz w:val="30"/>
          <w:szCs w:val="30"/>
        </w:rPr>
      </w:pPr>
    </w:p>
    <w:p w14:paraId="1C8BBF22">
      <w:pPr>
        <w:rPr>
          <w:sz w:val="30"/>
          <w:szCs w:val="30"/>
        </w:rPr>
      </w:pPr>
    </w:p>
    <w:p w14:paraId="3D36A752">
      <w:pPr>
        <w:rPr>
          <w:sz w:val="30"/>
          <w:szCs w:val="30"/>
        </w:rPr>
      </w:pPr>
    </w:p>
    <w:p w14:paraId="67E0C408">
      <w:pPr>
        <w:spacing w:line="360" w:lineRule="auto"/>
        <w:jc w:val="center"/>
        <w:rPr>
          <w:rFonts w:eastAsia="黑体"/>
          <w:bCs/>
          <w:sz w:val="52"/>
        </w:rPr>
      </w:pPr>
      <w:r>
        <w:rPr>
          <w:rFonts w:hint="eastAsia" w:eastAsia="黑体"/>
          <w:sz w:val="52"/>
          <w:szCs w:val="52"/>
        </w:rPr>
        <w:t>汽车制动滑移率测量装置</w:t>
      </w:r>
      <w:r>
        <w:rPr>
          <w:rFonts w:eastAsia="黑体"/>
          <w:sz w:val="52"/>
          <w:szCs w:val="52"/>
        </w:rPr>
        <w:t>校准规范</w:t>
      </w:r>
    </w:p>
    <w:p w14:paraId="3A7D140A"/>
    <w:p w14:paraId="2EB8D432">
      <w:pPr>
        <w:jc w:val="center"/>
        <w:rPr>
          <w:b/>
          <w:sz w:val="32"/>
          <w:szCs w:val="32"/>
        </w:rPr>
      </w:pPr>
      <w:r>
        <w:rPr>
          <w:b/>
          <w:sz w:val="28"/>
        </w:rPr>
        <w:t>Calibration specification for Automobile braking slip rate measuring device</w:t>
      </w:r>
    </w:p>
    <w:p w14:paraId="5EDB2801">
      <w:pPr>
        <w:spacing w:line="360" w:lineRule="auto"/>
        <w:rPr>
          <w:rFonts w:eastAsia="黑体"/>
          <w:sz w:val="28"/>
        </w:rPr>
      </w:pPr>
    </w:p>
    <w:p w14:paraId="0EF8DBA0">
      <w:pPr>
        <w:spacing w:line="360" w:lineRule="auto"/>
        <w:jc w:val="center"/>
        <w:rPr>
          <w:color w:val="000000"/>
          <w:sz w:val="24"/>
        </w:rPr>
      </w:pPr>
      <w:r>
        <w:rPr>
          <w:rFonts w:hint="eastAsia"/>
          <w:color w:val="000000"/>
          <w:sz w:val="24"/>
        </w:rPr>
        <w:t>（征求意见稿）</w:t>
      </w:r>
    </w:p>
    <w:p w14:paraId="325AD792">
      <w:pPr>
        <w:spacing w:line="360" w:lineRule="auto"/>
        <w:rPr>
          <w:sz w:val="24"/>
        </w:rPr>
      </w:pPr>
    </w:p>
    <w:p w14:paraId="6149E5D6">
      <w:pPr>
        <w:spacing w:line="360" w:lineRule="auto"/>
        <w:rPr>
          <w:sz w:val="24"/>
        </w:rPr>
      </w:pPr>
    </w:p>
    <w:p w14:paraId="11DF50D2">
      <w:pPr>
        <w:spacing w:line="360" w:lineRule="auto"/>
        <w:rPr>
          <w:sz w:val="24"/>
        </w:rPr>
      </w:pPr>
    </w:p>
    <w:p w14:paraId="7336FC9A">
      <w:pPr>
        <w:spacing w:line="360" w:lineRule="auto"/>
        <w:rPr>
          <w:sz w:val="24"/>
        </w:rPr>
      </w:pPr>
    </w:p>
    <w:p w14:paraId="509A9D2E">
      <w:pPr>
        <w:spacing w:line="360" w:lineRule="auto"/>
        <w:rPr>
          <w:sz w:val="24"/>
        </w:rPr>
      </w:pPr>
    </w:p>
    <w:p w14:paraId="2268ED45">
      <w:pPr>
        <w:spacing w:line="360" w:lineRule="auto"/>
        <w:rPr>
          <w:sz w:val="24"/>
        </w:rPr>
      </w:pPr>
    </w:p>
    <w:p w14:paraId="5BE36C0B">
      <w:pPr>
        <w:spacing w:line="360" w:lineRule="auto"/>
        <w:rPr>
          <w:sz w:val="24"/>
        </w:rPr>
      </w:pPr>
    </w:p>
    <w:p w14:paraId="1378D335">
      <w:pPr>
        <w:spacing w:line="360" w:lineRule="auto"/>
        <w:rPr>
          <w:rFonts w:eastAsia="黑体"/>
          <w:sz w:val="24"/>
        </w:rPr>
      </w:pPr>
      <w:r>
        <w:rPr>
          <w:rFonts w:hint="eastAsia" w:ascii="黑体" w:eastAsia="黑体"/>
          <w:sz w:val="24"/>
        </w:rPr>
        <w:t>202</w:t>
      </w:r>
      <w:r>
        <w:rPr>
          <w:rFonts w:hint="eastAsia" w:ascii="黑体" w:hAnsi="黑体" w:eastAsia="黑体"/>
          <w:sz w:val="24"/>
        </w:rPr>
        <w:t>X</w:t>
      </w:r>
      <w:r>
        <w:rPr>
          <w:rFonts w:ascii="黑体" w:eastAsia="黑体"/>
          <w:sz w:val="24"/>
        </w:rPr>
        <w:t xml:space="preserve"> -</w:t>
      </w:r>
      <w:r>
        <w:rPr>
          <w:rFonts w:hint="eastAsia" w:ascii="黑体" w:hAnsi="黑体" w:eastAsia="黑体"/>
          <w:sz w:val="24"/>
        </w:rPr>
        <w:t>XX</w:t>
      </w:r>
      <w:r>
        <w:rPr>
          <w:rFonts w:hint="eastAsia" w:ascii="黑体" w:eastAsia="黑体"/>
          <w:sz w:val="24"/>
        </w:rPr>
        <w:t>-</w:t>
      </w:r>
      <w:r>
        <w:rPr>
          <w:rFonts w:hint="eastAsia" w:ascii="黑体" w:hAnsi="黑体" w:eastAsia="黑体"/>
          <w:sz w:val="24"/>
        </w:rPr>
        <w:t>XX</w:t>
      </w:r>
      <w:r>
        <w:rPr>
          <w:rFonts w:hint="eastAsia" w:eastAsia="黑体"/>
          <w:sz w:val="24"/>
        </w:rPr>
        <w:t xml:space="preserve">发布                                             </w:t>
      </w:r>
      <w:r>
        <w:rPr>
          <w:rFonts w:hint="eastAsia" w:ascii="黑体" w:eastAsia="黑体"/>
          <w:sz w:val="24"/>
        </w:rPr>
        <w:t>202</w:t>
      </w:r>
      <w:r>
        <w:rPr>
          <w:rFonts w:hint="eastAsia" w:ascii="黑体" w:hAnsi="黑体" w:eastAsia="黑体"/>
          <w:sz w:val="24"/>
        </w:rPr>
        <w:t>X</w:t>
      </w:r>
      <w:r>
        <w:rPr>
          <w:rFonts w:ascii="黑体" w:eastAsia="黑体"/>
          <w:sz w:val="24"/>
        </w:rPr>
        <w:t xml:space="preserve"> -</w:t>
      </w:r>
      <w:r>
        <w:rPr>
          <w:rFonts w:hint="eastAsia" w:ascii="黑体" w:hAnsi="黑体" w:eastAsia="黑体"/>
          <w:sz w:val="24"/>
        </w:rPr>
        <w:t>XX</w:t>
      </w:r>
      <w:r>
        <w:rPr>
          <w:rFonts w:hint="eastAsia" w:ascii="黑体" w:eastAsia="黑体"/>
          <w:sz w:val="24"/>
        </w:rPr>
        <w:t>-</w:t>
      </w:r>
      <w:r>
        <w:rPr>
          <w:rFonts w:hint="eastAsia" w:ascii="黑体" w:hAnsi="黑体" w:eastAsia="黑体"/>
          <w:sz w:val="24"/>
        </w:rPr>
        <w:t>XX</w:t>
      </w:r>
      <w:r>
        <w:rPr>
          <w:rFonts w:hint="eastAsia" w:eastAsia="黑体"/>
          <w:sz w:val="24"/>
        </w:rPr>
        <w:t>实施</w:t>
      </w:r>
    </w:p>
    <w:p w14:paraId="62ED73EE">
      <w:pPr>
        <w:spacing w:line="360" w:lineRule="auto"/>
        <w:jc w:val="center"/>
        <w:rPr>
          <w:rFonts w:eastAsia="黑体"/>
          <w:sz w:val="28"/>
        </w:rPr>
      </w:pPr>
      <w:r>
        <w:rPr>
          <w:rFonts w:ascii="宋体" w:hAnsi="宋体"/>
          <w:b/>
          <w:sz w:val="36"/>
          <w:szCs w:val="3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43600" cy="0"/>
                <wp:effectExtent l="0" t="0" r="0" b="0"/>
                <wp:wrapNone/>
                <wp:docPr id="11" name="Line 3"/>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pt;margin-top:0pt;height:0pt;width:468pt;z-index:251662336;mso-width-relative:page;mso-height-relative:page;" filled="f" stroked="t" coordsize="21600,21600" o:gfxdata="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h3mfjRAAAAAgEAAA8AAAAAAAAAAQAgAAAAIgAAAGRycy9kb3ducmV2&#10;LnhtbFBLAQIUABQAAAAIAIdO4kD5JTRfygEAAKADAAAOAAAAAAAAAAEAIAAAACABAABkcnMvZTJv&#10;RG9jLnhtbFBLBQYAAAAABgAGAFkBAABcBQAAAAA=&#10;">
                <v:fill on="f" focussize="0,0"/>
                <v:stroke color="#000000" joinstyle="round"/>
                <v:imagedata o:title=""/>
                <o:lock v:ext="edit" aspectratio="f"/>
              </v:line>
            </w:pict>
          </mc:Fallback>
        </mc:AlternateContent>
      </w:r>
      <w:r>
        <w:rPr>
          <w:rFonts w:hint="eastAsia" w:ascii="宋体" w:hAnsi="宋体"/>
          <w:b/>
          <w:sz w:val="36"/>
          <w:szCs w:val="36"/>
        </w:rPr>
        <w:t>国 家 市 场 监 督 管 理 总 局</w:t>
      </w:r>
      <w:r>
        <w:rPr>
          <w:rFonts w:hint="eastAsia" w:eastAsia="黑体"/>
          <w:sz w:val="28"/>
        </w:rPr>
        <w:t>发布</w:t>
      </w:r>
    </w:p>
    <w:p w14:paraId="7037A08D">
      <w:pPr>
        <w:widowControl/>
        <w:jc w:val="left"/>
        <w:rPr>
          <w:rFonts w:eastAsia="黑体"/>
          <w:bCs/>
          <w:kern w:val="0"/>
          <w:sz w:val="30"/>
          <w:szCs w:val="30"/>
        </w:rPr>
      </w:pPr>
      <w:r>
        <w:rPr>
          <w:rFonts w:eastAsia="黑体"/>
          <w:bCs/>
          <w:kern w:val="0"/>
          <w:sz w:val="30"/>
          <w:szCs w:val="30"/>
        </w:rPr>
        <w:br w:type="page"/>
      </w:r>
    </w:p>
    <w:p w14:paraId="7060B641">
      <w:pPr>
        <w:ind w:firstLine="600" w:firstLineChars="200"/>
        <w:rPr>
          <w:rFonts w:eastAsia="黑体"/>
          <w:kern w:val="0"/>
          <w:sz w:val="30"/>
          <w:szCs w:val="30"/>
        </w:rPr>
      </w:pPr>
      <w:r>
        <w:rPr>
          <w:rFonts w:hint="eastAsia" w:eastAsia="黑体"/>
          <w:kern w:val="0"/>
          <w:sz w:val="30"/>
          <w:szCs w:val="30"/>
        </w:rPr>
        <w:t>汽车制动滑移率测量装置</w:t>
      </w:r>
      <w:r>
        <w:rPr>
          <w:rFonts w:eastAsia="黑体"/>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4036060</wp:posOffset>
                </wp:positionH>
                <wp:positionV relativeFrom="paragraph">
                  <wp:posOffset>22860</wp:posOffset>
                </wp:positionV>
                <wp:extent cx="1714500" cy="693420"/>
                <wp:effectExtent l="0" t="0" r="0" b="0"/>
                <wp:wrapNone/>
                <wp:docPr id="5" name="Text Box 85"/>
                <wp:cNvGraphicFramePr/>
                <a:graphic xmlns:a="http://schemas.openxmlformats.org/drawingml/2006/main">
                  <a:graphicData uri="http://schemas.microsoft.com/office/word/2010/wordprocessingShape">
                    <wps:wsp>
                      <wps:cNvSpPr txBox="1">
                        <a:spLocks noChangeArrowheads="1"/>
                      </wps:cNvSpPr>
                      <wps:spPr bwMode="auto">
                        <a:xfrm>
                          <a:off x="0" y="0"/>
                          <a:ext cx="1714500" cy="693420"/>
                        </a:xfrm>
                        <a:prstGeom prst="rect">
                          <a:avLst/>
                        </a:prstGeom>
                        <a:solidFill>
                          <a:srgbClr val="FFFFFF"/>
                        </a:solidFill>
                        <a:ln w="9525">
                          <a:solidFill>
                            <a:srgbClr val="000000"/>
                          </a:solidFill>
                          <a:miter lim="800000"/>
                        </a:ln>
                      </wps:spPr>
                      <wps:txbx>
                        <w:txbxContent>
                          <w:p w14:paraId="2BC8DF02">
                            <w:pPr>
                              <w:snapToGrid w:val="0"/>
                              <w:jc w:val="center"/>
                              <w:rPr>
                                <w:rFonts w:ascii="Gungsuh" w:hAnsi="Gungsuh" w:cs="Arial Unicode MS"/>
                                <w:sz w:val="24"/>
                              </w:rPr>
                            </w:pPr>
                          </w:p>
                          <w:p w14:paraId="17381990">
                            <w:pPr>
                              <w:snapToGrid w:val="0"/>
                              <w:jc w:val="center"/>
                            </w:pPr>
                            <w:r>
                              <w:rPr>
                                <w:rFonts w:hint="eastAsia" w:ascii="Gungsuh" w:hAnsi="Gungsuh" w:eastAsia="Gungsuh" w:cs="Arial Unicode MS"/>
                                <w:sz w:val="24"/>
                              </w:rPr>
                              <w:t>JJF×××－××××</w:t>
                            </w:r>
                          </w:p>
                        </w:txbxContent>
                      </wps:txbx>
                      <wps:bodyPr rot="0" vert="horz" wrap="square" lIns="91440" tIns="45720" rIns="91440" bIns="45720" anchor="t" anchorCtr="0" upright="1">
                        <a:noAutofit/>
                      </wps:bodyPr>
                    </wps:wsp>
                  </a:graphicData>
                </a:graphic>
              </wp:anchor>
            </w:drawing>
          </mc:Choice>
          <mc:Fallback>
            <w:pict>
              <v:shape id="Text Box 85" o:spid="_x0000_s1026" o:spt="202" type="#_x0000_t202" style="position:absolute;left:0pt;margin-left:317.8pt;margin-top:1.8pt;height:54.6pt;width:135pt;z-index:251660288;mso-width-relative:page;mso-height-relative:page;" fillcolor="#FFFFFF" filled="t" stroked="t" coordsize="21600,21600" o:gfxdata="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vdykdgAAAAJAQAADwAAAAAAAAABACAAAAAiAAAAZHJzL2Rvd25yZXYueG1s&#10;UEsBAhQAFAAAAAgAh07iQKTD9owxAgAAhwQAAA4AAAAAAAAAAQAgAAAAJwEAAGRycy9lMm9Eb2Mu&#10;eG1sUEsFBgAAAAAGAAYAWQEAAMoFAAAAAA==&#10;">
                <v:fill on="t" focussize="0,0"/>
                <v:stroke color="#000000" miterlimit="8" joinstyle="miter"/>
                <v:imagedata o:title=""/>
                <o:lock v:ext="edit" aspectratio="f"/>
                <v:textbox>
                  <w:txbxContent>
                    <w:p w14:paraId="2BC8DF02">
                      <w:pPr>
                        <w:snapToGrid w:val="0"/>
                        <w:jc w:val="center"/>
                        <w:rPr>
                          <w:rFonts w:ascii="Gungsuh" w:hAnsi="Gungsuh" w:cs="Arial Unicode MS"/>
                          <w:sz w:val="24"/>
                        </w:rPr>
                      </w:pPr>
                    </w:p>
                    <w:p w14:paraId="17381990">
                      <w:pPr>
                        <w:snapToGrid w:val="0"/>
                        <w:jc w:val="center"/>
                      </w:pPr>
                      <w:r>
                        <w:rPr>
                          <w:rFonts w:hint="eastAsia" w:ascii="Gungsuh" w:hAnsi="Gungsuh" w:eastAsia="Gungsuh" w:cs="Arial Unicode MS"/>
                          <w:sz w:val="24"/>
                        </w:rPr>
                        <w:t>JJF×××－××××</w:t>
                      </w:r>
                    </w:p>
                  </w:txbxContent>
                </v:textbox>
              </v:shape>
            </w:pict>
          </mc:Fallback>
        </mc:AlternateContent>
      </w:r>
      <w:r>
        <w:rPr>
          <w:rFonts w:eastAsia="黑体"/>
          <w:kern w:val="0"/>
          <w:sz w:val="30"/>
          <w:szCs w:val="30"/>
        </w:rPr>
        <w:t>校准规范</w:t>
      </w:r>
    </w:p>
    <w:p w14:paraId="1E25E809">
      <w:pPr>
        <w:ind w:firstLine="552"/>
        <w:rPr>
          <w:b/>
          <w:sz w:val="28"/>
        </w:rPr>
      </w:pPr>
      <w:r>
        <w:rPr>
          <w:b/>
          <w:sz w:val="28"/>
        </w:rPr>
        <w:t xml:space="preserve">Calibration specification for </w:t>
      </w:r>
    </w:p>
    <w:p w14:paraId="05557DDC">
      <w:pPr>
        <w:ind w:firstLine="552"/>
        <w:rPr>
          <w:b/>
          <w:spacing w:val="20"/>
          <w:w w:val="80"/>
          <w:kern w:val="32"/>
          <w:sz w:val="32"/>
          <w:szCs w:val="32"/>
        </w:rPr>
      </w:pPr>
      <w:r>
        <w:rPr>
          <w:b/>
          <w:sz w:val="28"/>
        </w:rPr>
        <w:t>Automobile braking slip rate measuring device</w:t>
      </w:r>
    </w:p>
    <w:p w14:paraId="3755DC93">
      <w:pPr>
        <w:autoSpaceDE w:val="0"/>
        <w:autoSpaceDN w:val="0"/>
        <w:adjustRightInd w:val="0"/>
        <w:spacing w:line="489" w:lineRule="exact"/>
        <w:jc w:val="left"/>
        <w:rPr>
          <w:rFonts w:eastAsia="黑体"/>
          <w:b/>
          <w:bCs/>
          <w:kern w:val="0"/>
          <w:sz w:val="28"/>
        </w:rPr>
      </w:pPr>
      <w:r>
        <w:rPr>
          <w:rFonts w:eastAsia="黑体"/>
          <w:sz w:val="20"/>
          <w:szCs w:val="28"/>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30480</wp:posOffset>
                </wp:positionV>
                <wp:extent cx="5734050" cy="0"/>
                <wp:effectExtent l="0" t="0" r="0" b="0"/>
                <wp:wrapNone/>
                <wp:docPr id="4" name="Line 84"/>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wps:spPr>
                      <wps:bodyPr/>
                    </wps:wsp>
                  </a:graphicData>
                </a:graphic>
              </wp:anchor>
            </w:drawing>
          </mc:Choice>
          <mc:Fallback>
            <w:pict>
              <v:line id="Line 84" o:spid="_x0000_s1026" o:spt="20" style="position:absolute;left:0pt;margin-left:5.25pt;margin-top:2.4pt;height:0pt;width:451.5pt;z-index:251663360;mso-width-relative:page;mso-height-relative:page;" filled="f" stroked="t" coordsize="21600,21600" o:gfxdata="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hRN6tIAAAAGAQAADwAAAAAAAAABACAAAAAiAAAAZHJzL2Rvd25y&#10;ZXYueG1sUEsBAhQAFAAAAAgAh07iQL3gT+bLAQAAoAMAAA4AAAAAAAAAAQAgAAAAIQEAAGRycy9l&#10;Mm9Eb2MueG1sUEsFBgAAAAAGAAYAWQEAAF4FAAAAAA==&#10;">
                <v:fill on="f" focussize="0,0"/>
                <v:stroke color="#000000" joinstyle="round"/>
                <v:imagedata o:title=""/>
                <o:lock v:ext="edit" aspectratio="f"/>
              </v:line>
            </w:pict>
          </mc:Fallback>
        </mc:AlternateContent>
      </w:r>
    </w:p>
    <w:p w14:paraId="6FBA433B">
      <w:pPr>
        <w:spacing w:line="600" w:lineRule="exact"/>
        <w:ind w:left="101" w:leftChars="48" w:firstLine="420" w:firstLineChars="150"/>
        <w:rPr>
          <w:rFonts w:eastAsia="黑体"/>
          <w:sz w:val="28"/>
          <w:szCs w:val="28"/>
        </w:rPr>
      </w:pPr>
    </w:p>
    <w:p w14:paraId="114998DF">
      <w:pPr>
        <w:spacing w:line="600" w:lineRule="exact"/>
        <w:ind w:left="101" w:leftChars="48" w:firstLine="420" w:firstLineChars="150"/>
        <w:rPr>
          <w:rFonts w:eastAsia="黑体"/>
          <w:sz w:val="28"/>
          <w:szCs w:val="28"/>
        </w:rPr>
      </w:pPr>
    </w:p>
    <w:p w14:paraId="532DBD95">
      <w:pPr>
        <w:rPr>
          <w:rFonts w:eastAsia="黑体"/>
          <w:sz w:val="28"/>
        </w:rPr>
      </w:pPr>
    </w:p>
    <w:p w14:paraId="21AB41A2">
      <w:pPr>
        <w:rPr>
          <w:rFonts w:eastAsia="黑体"/>
          <w:sz w:val="28"/>
        </w:rPr>
      </w:pPr>
    </w:p>
    <w:p w14:paraId="61361740">
      <w:pPr>
        <w:rPr>
          <w:rFonts w:eastAsia="黑体"/>
          <w:sz w:val="28"/>
        </w:rPr>
      </w:pPr>
    </w:p>
    <w:p w14:paraId="1FE771CF">
      <w:pPr>
        <w:ind w:firstLine="700" w:firstLineChars="250"/>
        <w:rPr>
          <w:bCs/>
          <w:sz w:val="28"/>
        </w:rPr>
      </w:pPr>
      <w:r>
        <w:rPr>
          <w:rFonts w:eastAsia="黑体"/>
          <w:bCs/>
          <w:sz w:val="28"/>
        </w:rPr>
        <w:t>归口单位：</w:t>
      </w:r>
      <w:r>
        <w:rPr>
          <w:bCs/>
          <w:sz w:val="28"/>
          <w:szCs w:val="28"/>
        </w:rPr>
        <w:t>全国法制计量管理计量技术委员会</w:t>
      </w:r>
      <w:r>
        <w:rPr>
          <w:rFonts w:hint="eastAsia"/>
          <w:bCs/>
          <w:sz w:val="28"/>
          <w:szCs w:val="28"/>
        </w:rPr>
        <w:t>机动车检验检测分技术委员会</w:t>
      </w:r>
    </w:p>
    <w:p w14:paraId="6F6EC475">
      <w:pPr>
        <w:ind w:firstLine="700" w:firstLineChars="250"/>
        <w:rPr>
          <w:rFonts w:eastAsia="黑体"/>
          <w:bCs/>
          <w:sz w:val="28"/>
        </w:rPr>
      </w:pPr>
      <w:r>
        <w:rPr>
          <w:rFonts w:eastAsia="黑体"/>
          <w:bCs/>
          <w:sz w:val="28"/>
        </w:rPr>
        <w:t>主要起草单位：</w:t>
      </w:r>
      <w:r>
        <w:rPr>
          <w:rFonts w:hint="eastAsia"/>
          <w:bCs/>
          <w:sz w:val="28"/>
        </w:rPr>
        <w:t>浙江省质量科学</w:t>
      </w:r>
      <w:r>
        <w:rPr>
          <w:bCs/>
          <w:sz w:val="28"/>
        </w:rPr>
        <w:t>研究院</w:t>
      </w:r>
    </w:p>
    <w:p w14:paraId="1B3DAC02">
      <w:pPr>
        <w:ind w:firstLine="2660" w:firstLineChars="950"/>
        <w:rPr>
          <w:bCs/>
          <w:sz w:val="28"/>
        </w:rPr>
      </w:pPr>
    </w:p>
    <w:p w14:paraId="1C114B31">
      <w:pPr>
        <w:ind w:firstLine="700" w:firstLineChars="250"/>
        <w:rPr>
          <w:bCs/>
          <w:sz w:val="28"/>
        </w:rPr>
      </w:pPr>
      <w:r>
        <w:rPr>
          <w:rFonts w:eastAsia="黑体"/>
          <w:bCs/>
          <w:sz w:val="28"/>
        </w:rPr>
        <w:t>参加起草单位：</w:t>
      </w:r>
    </w:p>
    <w:p w14:paraId="3FAF719B">
      <w:pPr>
        <w:ind w:firstLine="2800" w:firstLineChars="1000"/>
        <w:rPr>
          <w:rFonts w:asciiTheme="minorEastAsia" w:hAnsiTheme="minorEastAsia" w:eastAsiaTheme="minorEastAsia"/>
          <w:bCs/>
          <w:sz w:val="28"/>
        </w:rPr>
      </w:pPr>
    </w:p>
    <w:p w14:paraId="309CB6DA">
      <w:pPr>
        <w:ind w:firstLine="2800" w:firstLineChars="1000"/>
        <w:rPr>
          <w:rFonts w:asciiTheme="minorEastAsia" w:hAnsiTheme="minorEastAsia" w:eastAsiaTheme="minorEastAsia"/>
          <w:bCs/>
          <w:sz w:val="28"/>
        </w:rPr>
      </w:pPr>
    </w:p>
    <w:p w14:paraId="16D548E9">
      <w:pPr>
        <w:ind w:firstLine="2800" w:firstLineChars="1000"/>
        <w:rPr>
          <w:rFonts w:asciiTheme="minorEastAsia" w:hAnsiTheme="minorEastAsia" w:eastAsiaTheme="minorEastAsia"/>
          <w:bCs/>
          <w:sz w:val="28"/>
        </w:rPr>
      </w:pPr>
    </w:p>
    <w:p w14:paraId="7934B81B">
      <w:pPr>
        <w:ind w:firstLine="700" w:firstLineChars="250"/>
        <w:rPr>
          <w:rFonts w:eastAsia="黑体"/>
          <w:bCs/>
          <w:sz w:val="28"/>
        </w:rPr>
      </w:pPr>
    </w:p>
    <w:p w14:paraId="73587AC5">
      <w:pPr>
        <w:ind w:firstLine="560" w:firstLineChars="200"/>
        <w:rPr>
          <w:bCs/>
          <w:sz w:val="28"/>
        </w:rPr>
      </w:pPr>
    </w:p>
    <w:p w14:paraId="48ABF8EF">
      <w:pPr>
        <w:ind w:firstLine="560" w:firstLineChars="200"/>
        <w:rPr>
          <w:bCs/>
          <w:sz w:val="28"/>
        </w:rPr>
      </w:pPr>
    </w:p>
    <w:p w14:paraId="30D8DB07">
      <w:pPr>
        <w:ind w:firstLine="560" w:firstLineChars="200"/>
        <w:rPr>
          <w:bCs/>
          <w:sz w:val="28"/>
        </w:rPr>
      </w:pPr>
    </w:p>
    <w:p w14:paraId="0DFA2617">
      <w:pPr>
        <w:jc w:val="center"/>
        <w:rPr>
          <w:rFonts w:eastAsia="黑体"/>
          <w:sz w:val="28"/>
        </w:rPr>
      </w:pPr>
      <w:r>
        <w:rPr>
          <w:rFonts w:eastAsia="黑体"/>
          <w:sz w:val="28"/>
        </w:rPr>
        <w:t>本规范委托</w:t>
      </w:r>
      <w:r>
        <w:rPr>
          <w:rFonts w:eastAsia="黑体"/>
          <w:bCs/>
          <w:sz w:val="28"/>
        </w:rPr>
        <w:t>全国法制计量管理计量技术委员会</w:t>
      </w:r>
      <w:r>
        <w:rPr>
          <w:rFonts w:eastAsia="黑体"/>
          <w:sz w:val="28"/>
        </w:rPr>
        <w:t>负责解释</w:t>
      </w:r>
    </w:p>
    <w:p w14:paraId="2E98A806">
      <w:pPr>
        <w:rPr>
          <w:rFonts w:eastAsia="黑体"/>
          <w:sz w:val="28"/>
        </w:rPr>
      </w:pPr>
    </w:p>
    <w:p w14:paraId="1CF466D8">
      <w:pPr>
        <w:spacing w:line="1000" w:lineRule="exact"/>
        <w:rPr>
          <w:rFonts w:eastAsia="黑体"/>
          <w:bCs/>
          <w:sz w:val="28"/>
        </w:rPr>
      </w:pPr>
    </w:p>
    <w:p w14:paraId="0258F612">
      <w:pPr>
        <w:spacing w:line="1000" w:lineRule="exact"/>
        <w:ind w:firstLine="840" w:firstLineChars="300"/>
        <w:rPr>
          <w:rFonts w:asciiTheme="minorEastAsia" w:hAnsiTheme="minorEastAsia" w:eastAsiaTheme="minorEastAsia"/>
          <w:bCs/>
          <w:sz w:val="28"/>
        </w:rPr>
      </w:pPr>
      <w:r>
        <w:rPr>
          <w:rFonts w:eastAsia="黑体"/>
          <w:bCs/>
          <w:sz w:val="28"/>
        </w:rPr>
        <w:t>本规范主要起草人：</w:t>
      </w:r>
      <w:r>
        <w:rPr>
          <w:rFonts w:hint="eastAsia" w:asciiTheme="minorEastAsia" w:hAnsiTheme="minorEastAsia" w:eastAsiaTheme="minorEastAsia"/>
          <w:bCs/>
          <w:sz w:val="28"/>
        </w:rPr>
        <w:t xml:space="preserve"> </w:t>
      </w:r>
    </w:p>
    <w:p w14:paraId="53A3ABAF">
      <w:pPr>
        <w:spacing w:line="1000" w:lineRule="exact"/>
        <w:rPr>
          <w:rFonts w:asciiTheme="minorEastAsia" w:hAnsiTheme="minorEastAsia" w:eastAsiaTheme="minorEastAsia"/>
          <w:bCs/>
          <w:sz w:val="28"/>
        </w:rPr>
      </w:pPr>
    </w:p>
    <w:p w14:paraId="47FA0643">
      <w:pPr>
        <w:spacing w:line="1000" w:lineRule="exact"/>
        <w:rPr>
          <w:rFonts w:asciiTheme="minorEastAsia" w:hAnsiTheme="minorEastAsia" w:eastAsiaTheme="minorEastAsia"/>
          <w:bCs/>
          <w:sz w:val="28"/>
        </w:rPr>
      </w:pPr>
    </w:p>
    <w:p w14:paraId="4B1863EB">
      <w:pPr>
        <w:spacing w:line="1000" w:lineRule="exact"/>
        <w:rPr>
          <w:rFonts w:eastAsia="黑体"/>
          <w:bCs/>
          <w:sz w:val="28"/>
        </w:rPr>
      </w:pPr>
    </w:p>
    <w:p w14:paraId="00DA9C24">
      <w:pPr>
        <w:ind w:firstLine="840" w:firstLineChars="300"/>
        <w:rPr>
          <w:rFonts w:asciiTheme="minorEastAsia" w:hAnsiTheme="minorEastAsia" w:eastAsiaTheme="minorEastAsia"/>
          <w:bCs/>
          <w:sz w:val="28"/>
        </w:rPr>
      </w:pPr>
      <w:r>
        <w:rPr>
          <w:rFonts w:eastAsia="黑体"/>
          <w:bCs/>
          <w:sz w:val="28"/>
        </w:rPr>
        <w:t>参加起草人：</w:t>
      </w:r>
    </w:p>
    <w:p w14:paraId="0378339C">
      <w:pPr>
        <w:ind w:firstLine="840" w:firstLineChars="300"/>
        <w:rPr>
          <w:rFonts w:asciiTheme="minorEastAsia" w:hAnsiTheme="minorEastAsia" w:eastAsiaTheme="minorEastAsia"/>
          <w:bCs/>
          <w:sz w:val="28"/>
        </w:rPr>
      </w:pPr>
    </w:p>
    <w:p w14:paraId="689D7D65">
      <w:pPr>
        <w:ind w:firstLine="840" w:firstLineChars="300"/>
        <w:rPr>
          <w:rFonts w:asciiTheme="minorEastAsia" w:hAnsiTheme="minorEastAsia" w:eastAsiaTheme="minorEastAsia"/>
          <w:bCs/>
          <w:sz w:val="28"/>
        </w:rPr>
      </w:pPr>
    </w:p>
    <w:p w14:paraId="4FC895F7">
      <w:pPr>
        <w:ind w:firstLine="840" w:firstLineChars="300"/>
        <w:rPr>
          <w:rFonts w:asciiTheme="minorEastAsia" w:hAnsiTheme="minorEastAsia" w:eastAsiaTheme="minorEastAsia"/>
          <w:bCs/>
          <w:sz w:val="28"/>
        </w:rPr>
      </w:pPr>
    </w:p>
    <w:p w14:paraId="0536B0DF">
      <w:pPr>
        <w:ind w:firstLine="840" w:firstLineChars="300"/>
        <w:rPr>
          <w:rFonts w:eastAsia="黑体"/>
          <w:bCs/>
          <w:sz w:val="28"/>
        </w:rPr>
      </w:pPr>
    </w:p>
    <w:p w14:paraId="67D6C561">
      <w:pPr>
        <w:ind w:firstLine="840" w:firstLineChars="300"/>
        <w:rPr>
          <w:rFonts w:eastAsia="黑体"/>
          <w:bCs/>
          <w:sz w:val="28"/>
        </w:rPr>
      </w:pPr>
    </w:p>
    <w:p w14:paraId="03D792C0">
      <w:pPr>
        <w:ind w:firstLine="840" w:firstLineChars="300"/>
        <w:rPr>
          <w:rFonts w:eastAsia="黑体"/>
          <w:bCs/>
          <w:sz w:val="28"/>
        </w:rPr>
      </w:pPr>
    </w:p>
    <w:p w14:paraId="73B55EA5">
      <w:pPr>
        <w:ind w:firstLine="840" w:firstLineChars="300"/>
        <w:rPr>
          <w:rFonts w:eastAsia="黑体"/>
          <w:sz w:val="28"/>
        </w:rPr>
      </w:pPr>
    </w:p>
    <w:p w14:paraId="77C03C90">
      <w:pPr>
        <w:rPr>
          <w:rFonts w:eastAsia="黑体"/>
          <w:sz w:val="28"/>
        </w:rPr>
      </w:pPr>
    </w:p>
    <w:p w14:paraId="50DDA3B5">
      <w:pPr>
        <w:rPr>
          <w:rFonts w:eastAsia="黑体"/>
          <w:sz w:val="28"/>
        </w:rPr>
      </w:pPr>
    </w:p>
    <w:p w14:paraId="24A30EDA">
      <w:pPr>
        <w:rPr>
          <w:rFonts w:eastAsia="黑体"/>
          <w:sz w:val="28"/>
        </w:rPr>
      </w:pPr>
    </w:p>
    <w:p w14:paraId="17A7ECED">
      <w:pPr>
        <w:rPr>
          <w:rFonts w:eastAsia="黑体"/>
          <w:sz w:val="28"/>
        </w:rPr>
        <w:sectPr>
          <w:headerReference r:id="rId3" w:type="default"/>
          <w:footerReference r:id="rId4" w:type="default"/>
          <w:type w:val="continuous"/>
          <w:pgSz w:w="11906" w:h="16838"/>
          <w:pgMar w:top="1701" w:right="1418" w:bottom="1021" w:left="1418" w:header="1400" w:footer="992" w:gutter="0"/>
          <w:pgNumType w:start="1"/>
          <w:cols w:space="425" w:num="1"/>
          <w:titlePg/>
          <w:docGrid w:type="lines" w:linePitch="312" w:charSpace="0"/>
        </w:sectPr>
      </w:pPr>
    </w:p>
    <w:sdt>
      <w:sdtPr>
        <w:rPr>
          <w:szCs w:val="21"/>
          <w:lang w:val="zh-CN"/>
        </w:rPr>
        <w:id w:val="911583864"/>
        <w:docPartObj>
          <w:docPartGallery w:val="Table of Contents"/>
          <w:docPartUnique/>
        </w:docPartObj>
      </w:sdtPr>
      <w:sdtEndPr>
        <w:rPr>
          <w:b/>
          <w:bCs/>
          <w:szCs w:val="21"/>
          <w:lang w:val="zh-CN"/>
        </w:rPr>
      </w:sdtEndPr>
      <w:sdtContent>
        <w:p w14:paraId="75A2E904">
          <w:pPr>
            <w:snapToGrid w:val="0"/>
            <w:spacing w:line="480" w:lineRule="auto"/>
            <w:jc w:val="center"/>
            <w:rPr>
              <w:rFonts w:eastAsia="黑体"/>
              <w:kern w:val="0"/>
              <w:sz w:val="44"/>
            </w:rPr>
          </w:pPr>
          <w:r>
            <w:rPr>
              <w:rFonts w:eastAsia="黑体"/>
              <w:kern w:val="0"/>
              <w:sz w:val="44"/>
            </w:rPr>
            <w:t>目  录</w:t>
          </w:r>
        </w:p>
        <w:p w14:paraId="58F2BB66">
          <w:pPr>
            <w:pStyle w:val="26"/>
            <w:tabs>
              <w:tab w:val="right" w:leader="dot" w:pos="9298"/>
            </w:tabs>
            <w:spacing w:line="360" w:lineRule="auto"/>
            <w:rPr>
              <w:rFonts w:ascii="微软雅黑" w:hAnsi="微软雅黑" w:eastAsia="微软雅黑" w:cs="微软雅黑"/>
            </w:rPr>
          </w:pPr>
          <w:r>
            <w:rPr>
              <w:rStyle w:val="44"/>
              <w:color w:val="auto"/>
              <w:u w:val="none"/>
            </w:rPr>
            <w:fldChar w:fldCharType="begin"/>
          </w:r>
          <w:r>
            <w:rPr>
              <w:rStyle w:val="44"/>
              <w:color w:val="auto"/>
              <w:szCs w:val="24"/>
              <w:u w:val="none"/>
            </w:rPr>
            <w:instrText xml:space="preserve"> TOC \o "1-3" \h \z \u </w:instrText>
          </w:r>
          <w:r>
            <w:rPr>
              <w:rStyle w:val="44"/>
              <w:color w:val="auto"/>
              <w:u w:val="none"/>
            </w:rPr>
            <w:fldChar w:fldCharType="separate"/>
          </w:r>
          <w:r>
            <w:fldChar w:fldCharType="begin"/>
          </w:r>
          <w:r>
            <w:instrText xml:space="preserve"> HYPERLINK \l "_Toc30523" </w:instrText>
          </w:r>
          <w:r>
            <w:fldChar w:fldCharType="separate"/>
          </w:r>
          <w:r>
            <w:rPr>
              <w:rFonts w:hint="eastAsia" w:ascii="微软雅黑" w:hAnsi="微软雅黑" w:eastAsia="微软雅黑" w:cs="微软雅黑"/>
              <w:szCs w:val="32"/>
            </w:rPr>
            <w:t>引 言</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_Toc30523 \h </w:instrText>
          </w:r>
          <w:r>
            <w:rPr>
              <w:rFonts w:hint="eastAsia" w:ascii="微软雅黑" w:hAnsi="微软雅黑" w:eastAsia="微软雅黑" w:cs="微软雅黑"/>
            </w:rPr>
            <w:fldChar w:fldCharType="separate"/>
          </w:r>
          <w:r>
            <w:rPr>
              <w:rFonts w:hint="eastAsia" w:ascii="微软雅黑" w:hAnsi="微软雅黑" w:eastAsia="微软雅黑" w:cs="微软雅黑"/>
            </w:rPr>
            <w:t>II</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9C56268">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"_Toc24136" </w:instrText>
          </w:r>
          <w:r>
            <w:fldChar w:fldCharType="separate"/>
          </w:r>
          <w:r>
            <w:rPr>
              <w:rFonts w:hint="eastAsia" w:ascii="微软雅黑" w:hAnsi="微软雅黑" w:eastAsia="微软雅黑" w:cs="微软雅黑"/>
              <w:szCs w:val="24"/>
            </w:rPr>
            <w:t>1  范围</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_Toc24136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89D657">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"_Toc27540" </w:instrText>
          </w:r>
          <w:r>
            <w:fldChar w:fldCharType="separate"/>
          </w:r>
          <w:r>
            <w:rPr>
              <w:rFonts w:hint="eastAsia" w:ascii="微软雅黑" w:hAnsi="微软雅黑" w:eastAsia="微软雅黑" w:cs="微软雅黑"/>
              <w:szCs w:val="24"/>
            </w:rPr>
            <w:t>2  引用文件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_Toc27540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653049B">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"_Toc22855" </w:instrText>
          </w:r>
          <w:r>
            <w:fldChar w:fldCharType="separate"/>
          </w:r>
          <w:r>
            <w:rPr>
              <w:rFonts w:hint="eastAsia" w:ascii="微软雅黑" w:hAnsi="微软雅黑" w:eastAsia="微软雅黑" w:cs="微软雅黑"/>
              <w:szCs w:val="24"/>
            </w:rPr>
            <w:t>3  术语和计量单位</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_Toc22855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D5D1F68">
          <w:pPr>
            <w:pStyle w:val="26"/>
            <w:tabs>
              <w:tab w:val="right" w:leader="dot" w:pos="9298"/>
            </w:tabs>
            <w:spacing w:line="360" w:lineRule="auto"/>
            <w:rPr>
              <w:rFonts w:ascii="微软雅黑" w:hAnsi="微软雅黑" w:eastAsia="微软雅黑" w:cs="微软雅黑"/>
            </w:rPr>
          </w:pPr>
          <w:r>
            <w:fldChar w:fldCharType="begin"/>
          </w:r>
          <w:r>
            <w:instrText xml:space="preserve"> HYPERLINK \l "_Toc30869" </w:instrText>
          </w:r>
          <w:r>
            <w:fldChar w:fldCharType="separate"/>
          </w:r>
          <w:r>
            <w:rPr>
              <w:rFonts w:hint="eastAsia" w:ascii="微软雅黑" w:hAnsi="微软雅黑" w:eastAsia="微软雅黑" w:cs="微软雅黑"/>
              <w:kern w:val="0"/>
              <w:szCs w:val="24"/>
            </w:rPr>
            <w:t>4  概述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_Toc30869 \h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07971A">
          <w:pPr>
            <w:pStyle w:val="26"/>
            <w:tabs>
              <w:tab w:val="right" w:leader="dot" w:pos="9298"/>
            </w:tabs>
            <w:spacing w:line="360" w:lineRule="auto"/>
            <w:rPr>
              <w:rFonts w:ascii="微软雅黑" w:hAnsi="微软雅黑" w:eastAsia="微软雅黑" w:cs="微软雅黑"/>
            </w:rPr>
          </w:pPr>
          <w:r>
            <w:fldChar w:fldCharType="begin"/>
          </w:r>
          <w:r>
            <w:instrText xml:space="preserve"> HYPERLINK \l "_Toc9704" </w:instrText>
          </w:r>
          <w:r>
            <w:fldChar w:fldCharType="separate"/>
          </w:r>
          <w:r>
            <w:rPr>
              <w:rFonts w:hint="eastAsia" w:ascii="微软雅黑" w:hAnsi="微软雅黑" w:eastAsia="微软雅黑" w:cs="微软雅黑"/>
              <w:szCs w:val="24"/>
            </w:rPr>
            <w:t>5  计量特性</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_Toc9704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E467B83">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"_Toc28392" </w:instrText>
          </w:r>
          <w:r>
            <w:fldChar w:fldCharType="separate"/>
          </w:r>
          <w:r>
            <w:rPr>
              <w:rFonts w:hint="eastAsia" w:ascii="微软雅黑" w:hAnsi="微软雅黑" w:eastAsia="微软雅黑" w:cs="微软雅黑"/>
              <w:szCs w:val="24"/>
            </w:rPr>
            <w:t>6  校准条件</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_Toc28392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365413D">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"_Toc2285" </w:instrText>
          </w:r>
          <w:r>
            <w:fldChar w:fldCharType="separate"/>
          </w:r>
          <w:r>
            <w:rPr>
              <w:rFonts w:hint="eastAsia" w:ascii="微软雅黑" w:hAnsi="微软雅黑" w:eastAsia="微软雅黑" w:cs="微软雅黑"/>
              <w:szCs w:val="24"/>
            </w:rPr>
            <w:t>7  校准项目和校准方法</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_Toc2285 \h </w:instrText>
          </w:r>
          <w:r>
            <w:rPr>
              <w:rFonts w:hint="eastAsia" w:ascii="微软雅黑" w:hAnsi="微软雅黑" w:eastAsia="微软雅黑" w:cs="微软雅黑"/>
            </w:rPr>
            <w:fldChar w:fldCharType="separate"/>
          </w:r>
          <w:r>
            <w:rPr>
              <w:rFonts w:hint="eastAsia" w:ascii="微软雅黑" w:hAnsi="微软雅黑" w:eastAsia="微软雅黑" w:cs="微软雅黑"/>
            </w:rPr>
            <w:t>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F67FE6F">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"_Toc25603" </w:instrText>
          </w:r>
          <w:r>
            <w:fldChar w:fldCharType="separate"/>
          </w:r>
          <w:r>
            <w:rPr>
              <w:rFonts w:hint="eastAsia" w:ascii="微软雅黑" w:hAnsi="微软雅黑" w:eastAsia="微软雅黑" w:cs="微软雅黑"/>
              <w:szCs w:val="24"/>
            </w:rPr>
            <w:t>8  校准结果的表达</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_Toc25603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E1ACE73">
          <w:pPr>
            <w:pStyle w:val="26"/>
            <w:tabs>
              <w:tab w:val="right" w:leader="dot" w:pos="9298"/>
            </w:tabs>
            <w:spacing w:line="360" w:lineRule="auto"/>
            <w:rPr>
              <w:rFonts w:ascii="微软雅黑" w:hAnsi="微软雅黑" w:eastAsia="微软雅黑" w:cs="微软雅黑"/>
            </w:rPr>
          </w:pPr>
          <w:r>
            <w:fldChar w:fldCharType="begin"/>
          </w:r>
          <w:r>
            <w:instrText xml:space="preserve"> HYPERLINK \l "_Toc32455" </w:instrText>
          </w:r>
          <w:r>
            <w:fldChar w:fldCharType="separate"/>
          </w:r>
          <w:r>
            <w:rPr>
              <w:rFonts w:hint="eastAsia" w:ascii="微软雅黑" w:hAnsi="微软雅黑" w:eastAsia="微软雅黑" w:cs="微软雅黑"/>
              <w:szCs w:val="24"/>
            </w:rPr>
            <w:t>9  复校时间间隔</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_Toc32455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DF1A071">
          <w:pPr>
            <w:pStyle w:val="26"/>
            <w:tabs>
              <w:tab w:val="right" w:leader="dot" w:pos="9298"/>
            </w:tabs>
            <w:spacing w:line="360" w:lineRule="auto"/>
            <w:rPr>
              <w:rFonts w:ascii="微软雅黑" w:hAnsi="微软雅黑" w:eastAsia="微软雅黑" w:cs="微软雅黑"/>
            </w:rPr>
          </w:pPr>
          <w:r>
            <w:fldChar w:fldCharType="begin"/>
          </w:r>
          <w:r>
            <w:instrText xml:space="preserve"> HYPERLINK \l "_Toc29718" </w:instrText>
          </w:r>
          <w:r>
            <w:fldChar w:fldCharType="separate"/>
          </w:r>
          <w:r>
            <w:rPr>
              <w:rFonts w:hint="eastAsia" w:ascii="微软雅黑" w:hAnsi="微软雅黑" w:eastAsia="微软雅黑" w:cs="微软雅黑"/>
              <w:szCs w:val="24"/>
            </w:rPr>
            <w:t>附录A</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_Toc29718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D91DA8B">
          <w:pPr>
            <w:pStyle w:val="26"/>
            <w:tabs>
              <w:tab w:val="right" w:leader="dot" w:pos="9298"/>
            </w:tabs>
            <w:spacing w:line="360" w:lineRule="auto"/>
            <w:rPr>
              <w:rFonts w:ascii="微软雅黑" w:hAnsi="微软雅黑" w:eastAsia="微软雅黑" w:cs="微软雅黑"/>
            </w:rPr>
          </w:pPr>
          <w:r>
            <w:fldChar w:fldCharType="begin"/>
          </w:r>
          <w:r>
            <w:instrText xml:space="preserve"> HYPERLINK \l "_Toc9797" </w:instrText>
          </w:r>
          <w:r>
            <w:fldChar w:fldCharType="separate"/>
          </w:r>
          <w:r>
            <w:rPr>
              <w:rFonts w:hint="eastAsia" w:ascii="微软雅黑" w:hAnsi="微软雅黑" w:eastAsia="微软雅黑" w:cs="微软雅黑"/>
              <w:szCs w:val="24"/>
            </w:rPr>
            <w:t>附录B</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_Toc9797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9E6F971">
          <w:pPr>
            <w:pStyle w:val="26"/>
            <w:tabs>
              <w:tab w:val="right" w:leader="dot" w:pos="9298"/>
            </w:tabs>
            <w:spacing w:line="360" w:lineRule="auto"/>
          </w:pPr>
          <w:r>
            <w:fldChar w:fldCharType="begin"/>
          </w:r>
          <w:r>
            <w:instrText xml:space="preserve"> HYPERLINK \l "_Toc28819" </w:instrText>
          </w:r>
          <w:r>
            <w:fldChar w:fldCharType="separate"/>
          </w:r>
          <w:r>
            <w:rPr>
              <w:rFonts w:hint="eastAsia" w:ascii="微软雅黑" w:hAnsi="微软雅黑" w:eastAsia="微软雅黑" w:cs="微软雅黑"/>
              <w:szCs w:val="24"/>
            </w:rPr>
            <w:t>附录C</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_Toc28819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2A4566E">
          <w:pPr>
            <w:pStyle w:val="26"/>
            <w:tabs>
              <w:tab w:val="right" w:leader="dot" w:pos="9061"/>
            </w:tabs>
            <w:spacing w:line="360" w:lineRule="auto"/>
          </w:pPr>
          <w:r>
            <w:rPr>
              <w:szCs w:val="24"/>
            </w:rPr>
            <w:fldChar w:fldCharType="end"/>
          </w:r>
        </w:p>
      </w:sdtContent>
    </w:sdt>
    <w:p w14:paraId="65644164">
      <w:pPr>
        <w:spacing w:line="500" w:lineRule="exact"/>
        <w:rPr>
          <w:sz w:val="24"/>
        </w:rPr>
      </w:pPr>
    </w:p>
    <w:p w14:paraId="015FF410">
      <w:pPr>
        <w:widowControl/>
        <w:jc w:val="left"/>
        <w:rPr>
          <w:sz w:val="24"/>
        </w:rPr>
      </w:pPr>
      <w:r>
        <w:rPr>
          <w:sz w:val="24"/>
        </w:rPr>
        <w:br w:type="page"/>
      </w:r>
    </w:p>
    <w:p w14:paraId="37D13140">
      <w:pPr>
        <w:pStyle w:val="2"/>
        <w:keepNext w:val="0"/>
        <w:keepLines w:val="0"/>
        <w:spacing w:before="0" w:after="0" w:line="360" w:lineRule="auto"/>
        <w:jc w:val="center"/>
        <w:rPr>
          <w:rFonts w:eastAsia="黑体"/>
          <w:b w:val="0"/>
          <w:bCs w:val="0"/>
          <w:kern w:val="2"/>
          <w:sz w:val="32"/>
          <w:szCs w:val="32"/>
        </w:rPr>
      </w:pPr>
      <w:bookmarkStart w:id="1" w:name="_Toc30523"/>
      <w:r>
        <w:rPr>
          <w:rFonts w:eastAsia="黑体"/>
          <w:b w:val="0"/>
          <w:bCs w:val="0"/>
          <w:kern w:val="2"/>
          <w:sz w:val="32"/>
          <w:szCs w:val="32"/>
        </w:rPr>
        <w:t>引</w:t>
      </w:r>
      <w:r>
        <w:rPr>
          <w:rFonts w:hint="eastAsia" w:eastAsia="黑体"/>
          <w:b w:val="0"/>
          <w:bCs w:val="0"/>
          <w:kern w:val="2"/>
          <w:sz w:val="32"/>
          <w:szCs w:val="32"/>
        </w:rPr>
        <w:t xml:space="preserve"> </w:t>
      </w:r>
      <w:r>
        <w:rPr>
          <w:rFonts w:eastAsia="黑体"/>
          <w:b w:val="0"/>
          <w:bCs w:val="0"/>
          <w:kern w:val="2"/>
          <w:sz w:val="32"/>
          <w:szCs w:val="32"/>
        </w:rPr>
        <w:t>言</w:t>
      </w:r>
      <w:bookmarkEnd w:id="1"/>
    </w:p>
    <w:p w14:paraId="08E2C44E">
      <w:pPr>
        <w:snapToGrid w:val="0"/>
        <w:spacing w:line="360" w:lineRule="auto"/>
        <w:ind w:firstLine="660"/>
        <w:rPr>
          <w:kern w:val="0"/>
          <w:sz w:val="24"/>
        </w:rPr>
      </w:pPr>
      <w:r>
        <w:rPr>
          <w:kern w:val="0"/>
          <w:sz w:val="24"/>
        </w:rPr>
        <w:t>本规范以JJF 1071-2010《国家计量校准规范编写规则》、JJF 1001-2011《通用计量术语及定义》、JJF 1059.1-2012《测量不确定度评定与表示》</w:t>
      </w:r>
      <w:r>
        <w:rPr>
          <w:rFonts w:hint="eastAsia" w:ascii="宋体" w:hAnsi="宋体" w:cs="宋体"/>
          <w:color w:val="000000" w:themeColor="text1"/>
          <w:sz w:val="24"/>
          <w14:textFill>
            <w14:solidFill>
              <w14:schemeClr w14:val="tx1"/>
            </w14:solidFill>
          </w14:textFill>
        </w:rPr>
        <w:t>共同构成支撑本规范制订工作的基础性系列规范。</w:t>
      </w:r>
    </w:p>
    <w:p w14:paraId="218C4445">
      <w:pPr>
        <w:snapToGrid w:val="0"/>
        <w:spacing w:line="360" w:lineRule="auto"/>
        <w:ind w:firstLine="660"/>
        <w:rPr>
          <w:kern w:val="0"/>
          <w:sz w:val="24"/>
        </w:rPr>
      </w:pPr>
      <w:r>
        <w:rPr>
          <w:sz w:val="24"/>
          <w:highlight w:val="none"/>
        </w:rPr>
        <w:t xml:space="preserve">根据国家标准GB </w:t>
      </w:r>
      <w:r>
        <w:rPr>
          <w:rFonts w:hint="eastAsia"/>
          <w:sz w:val="24"/>
          <w:highlight w:val="none"/>
        </w:rPr>
        <w:t>38900</w:t>
      </w:r>
      <w:r>
        <w:rPr>
          <w:sz w:val="24"/>
          <w:highlight w:val="none"/>
        </w:rPr>
        <w:t>-20</w:t>
      </w:r>
      <w:r>
        <w:rPr>
          <w:rFonts w:hint="eastAsia"/>
          <w:sz w:val="24"/>
          <w:highlight w:val="none"/>
        </w:rPr>
        <w:t>20</w:t>
      </w:r>
      <w:r>
        <w:rPr>
          <w:sz w:val="24"/>
          <w:highlight w:val="none"/>
        </w:rPr>
        <w:t>《</w:t>
      </w:r>
      <w:r>
        <w:rPr>
          <w:rFonts w:hint="eastAsia"/>
          <w:sz w:val="24"/>
          <w:highlight w:val="none"/>
        </w:rPr>
        <w:t>机动车安全技术检验项目和方法</w:t>
      </w:r>
      <w:r>
        <w:rPr>
          <w:sz w:val="24"/>
          <w:highlight w:val="none"/>
        </w:rPr>
        <w:t>》</w:t>
      </w:r>
      <w:r>
        <w:rPr>
          <w:rFonts w:hint="eastAsia"/>
          <w:sz w:val="24"/>
          <w:highlight w:val="none"/>
        </w:rPr>
        <w:t>实施指南，</w:t>
      </w:r>
      <w:r>
        <w:rPr>
          <w:sz w:val="24"/>
          <w:highlight w:val="none"/>
        </w:rPr>
        <w:t>对</w:t>
      </w:r>
      <w:r>
        <w:rPr>
          <w:rFonts w:hint="eastAsia"/>
          <w:sz w:val="24"/>
          <w:highlight w:val="none"/>
        </w:rPr>
        <w:t>测量机动车制动力时对制动台第三滚筒的滑移率</w:t>
      </w:r>
      <w:r>
        <w:rPr>
          <w:sz w:val="24"/>
          <w:highlight w:val="none"/>
        </w:rPr>
        <w:t>提出了相关要求，</w:t>
      </w:r>
      <w:r>
        <w:rPr>
          <w:sz w:val="24"/>
        </w:rPr>
        <w:t>本规范</w:t>
      </w:r>
      <w:r>
        <w:rPr>
          <w:kern w:val="0"/>
          <w:sz w:val="24"/>
        </w:rPr>
        <w:t>主要参考</w:t>
      </w:r>
      <w:r>
        <w:rPr>
          <w:rFonts w:hint="eastAsia"/>
          <w:kern w:val="0"/>
          <w:sz w:val="24"/>
        </w:rPr>
        <w:t>GB 38900-2020《机动车安全技术检验项目和方法》、</w:t>
      </w:r>
      <w:r>
        <w:rPr>
          <w:rFonts w:hint="eastAsia"/>
          <w:sz w:val="24"/>
        </w:rPr>
        <w:t xml:space="preserve">JJG </w:t>
      </w:r>
      <w:r>
        <w:rPr>
          <w:sz w:val="24"/>
        </w:rPr>
        <w:t>906</w:t>
      </w:r>
      <w:r>
        <w:rPr>
          <w:rFonts w:hint="eastAsia"/>
          <w:sz w:val="24"/>
        </w:rPr>
        <w:t>-201</w:t>
      </w:r>
      <w:r>
        <w:rPr>
          <w:sz w:val="24"/>
        </w:rPr>
        <w:t>5</w:t>
      </w:r>
      <w:r>
        <w:rPr>
          <w:rFonts w:hint="eastAsia"/>
          <w:sz w:val="24"/>
        </w:rPr>
        <w:t>《滚筒反力式制动检验台》</w:t>
      </w:r>
      <w:r>
        <w:rPr>
          <w:rFonts w:hint="eastAsia"/>
          <w:kern w:val="0"/>
          <w:sz w:val="24"/>
        </w:rPr>
        <w:t xml:space="preserve">、JJG </w:t>
      </w:r>
      <w:r>
        <w:rPr>
          <w:kern w:val="0"/>
          <w:sz w:val="24"/>
        </w:rPr>
        <w:t>1160-2019</w:t>
      </w:r>
      <w:r>
        <w:rPr>
          <w:rFonts w:hint="eastAsia"/>
          <w:kern w:val="0"/>
          <w:sz w:val="24"/>
        </w:rPr>
        <w:t>《汽车加载制动检验台》编制而成。</w:t>
      </w:r>
    </w:p>
    <w:p w14:paraId="04547BC3">
      <w:pPr>
        <w:snapToGrid w:val="0"/>
        <w:spacing w:line="360" w:lineRule="auto"/>
        <w:ind w:firstLine="660"/>
        <w:rPr>
          <w:kern w:val="0"/>
          <w:sz w:val="24"/>
        </w:rPr>
      </w:pPr>
      <w:r>
        <w:rPr>
          <w:kern w:val="0"/>
          <w:sz w:val="24"/>
        </w:rPr>
        <w:t>本规范为首次发布。</w:t>
      </w:r>
    </w:p>
    <w:p w14:paraId="5F71821F">
      <w:pPr>
        <w:snapToGrid w:val="0"/>
        <w:spacing w:line="360" w:lineRule="auto"/>
        <w:ind w:firstLine="660"/>
        <w:rPr>
          <w:kern w:val="0"/>
          <w:sz w:val="24"/>
        </w:rPr>
      </w:pPr>
    </w:p>
    <w:p w14:paraId="78A327E6">
      <w:pPr>
        <w:snapToGrid w:val="0"/>
        <w:spacing w:line="360" w:lineRule="auto"/>
        <w:ind w:firstLine="660"/>
        <w:rPr>
          <w:kern w:val="0"/>
          <w:sz w:val="24"/>
        </w:rPr>
        <w:sectPr>
          <w:headerReference r:id="rId5" w:type="first"/>
          <w:footerReference r:id="rId7" w:type="first"/>
          <w:footerReference r:id="rId6" w:type="default"/>
          <w:pgSz w:w="11906" w:h="16838"/>
          <w:pgMar w:top="1304" w:right="1304" w:bottom="1304" w:left="1304" w:header="851" w:footer="992" w:gutter="0"/>
          <w:pgNumType w:fmt="upperRoman" w:start="1"/>
          <w:cols w:space="425" w:num="1"/>
          <w:titlePg/>
          <w:docGrid w:type="lines" w:linePitch="312" w:charSpace="0"/>
        </w:sectPr>
      </w:pPr>
    </w:p>
    <w:p w14:paraId="053F57BD">
      <w:pPr>
        <w:snapToGrid w:val="0"/>
        <w:spacing w:line="360" w:lineRule="auto"/>
        <w:jc w:val="center"/>
        <w:rPr>
          <w:rFonts w:eastAsia="黑体"/>
          <w:sz w:val="32"/>
          <w:szCs w:val="32"/>
        </w:rPr>
      </w:pPr>
      <w:r>
        <w:rPr>
          <w:rFonts w:hint="eastAsia" w:eastAsia="黑体"/>
          <w:sz w:val="32"/>
          <w:szCs w:val="32"/>
        </w:rPr>
        <w:t>汽车制动滑移率测量装置</w:t>
      </w:r>
      <w:r>
        <w:rPr>
          <w:rFonts w:eastAsia="黑体"/>
          <w:sz w:val="32"/>
          <w:szCs w:val="32"/>
        </w:rPr>
        <w:t>校准规范</w:t>
      </w:r>
    </w:p>
    <w:p w14:paraId="47384D59">
      <w:pPr>
        <w:pStyle w:val="2"/>
        <w:keepNext w:val="0"/>
        <w:keepLines w:val="0"/>
        <w:spacing w:before="0" w:after="0" w:line="480" w:lineRule="auto"/>
        <w:rPr>
          <w:rFonts w:eastAsia="黑体"/>
          <w:b w:val="0"/>
          <w:bCs w:val="0"/>
          <w:kern w:val="2"/>
          <w:sz w:val="24"/>
          <w:szCs w:val="24"/>
        </w:rPr>
      </w:pPr>
      <w:bookmarkStart w:id="2" w:name="_Toc24136"/>
      <w:r>
        <w:rPr>
          <w:rFonts w:eastAsia="黑体"/>
          <w:b w:val="0"/>
          <w:bCs w:val="0"/>
          <w:kern w:val="2"/>
          <w:sz w:val="24"/>
          <w:szCs w:val="24"/>
        </w:rPr>
        <w:t>1  范围</w:t>
      </w:r>
      <w:bookmarkEnd w:id="2"/>
    </w:p>
    <w:p w14:paraId="63C885A8">
      <w:pPr>
        <w:snapToGrid w:val="0"/>
        <w:spacing w:line="360" w:lineRule="auto"/>
        <w:ind w:firstLine="480" w:firstLineChars="200"/>
        <w:rPr>
          <w:sz w:val="24"/>
        </w:rPr>
      </w:pPr>
      <w:r>
        <w:rPr>
          <w:sz w:val="24"/>
        </w:rPr>
        <w:t>本规范</w:t>
      </w:r>
      <w:r>
        <w:rPr>
          <w:sz w:val="24"/>
          <w:highlight w:val="none"/>
        </w:rPr>
        <w:t>适用于</w:t>
      </w:r>
      <w:bookmarkStart w:id="3" w:name="_Hlk178495880"/>
      <w:r>
        <w:rPr>
          <w:rFonts w:hint="eastAsia"/>
          <w:sz w:val="24"/>
          <w:highlight w:val="none"/>
        </w:rPr>
        <w:t>滚筒反力汽车制动检验台、</w:t>
      </w:r>
      <w:r>
        <w:rPr>
          <w:rFonts w:hint="eastAsia"/>
          <w:kern w:val="0"/>
          <w:sz w:val="24"/>
          <w:highlight w:val="none"/>
        </w:rPr>
        <w:t>汽车加载制动检验台</w:t>
      </w:r>
      <w:r>
        <w:rPr>
          <w:rFonts w:hint="eastAsia"/>
          <w:sz w:val="24"/>
          <w:highlight w:val="none"/>
        </w:rPr>
        <w:t>滑移率测量装置</w:t>
      </w:r>
      <w:bookmarkEnd w:id="3"/>
      <w:r>
        <w:rPr>
          <w:rFonts w:hint="eastAsia"/>
          <w:sz w:val="24"/>
        </w:rPr>
        <w:t>（以下简称滑移率测量装置）</w:t>
      </w:r>
      <w:r>
        <w:rPr>
          <w:sz w:val="24"/>
        </w:rPr>
        <w:t>的校准。</w:t>
      </w:r>
    </w:p>
    <w:bookmarkEnd w:id="0"/>
    <w:p w14:paraId="1F69EE5B">
      <w:pPr>
        <w:pStyle w:val="2"/>
        <w:keepNext w:val="0"/>
        <w:keepLines w:val="0"/>
        <w:spacing w:before="0" w:after="0" w:line="480" w:lineRule="auto"/>
        <w:rPr>
          <w:rFonts w:eastAsia="黑体"/>
          <w:b w:val="0"/>
          <w:bCs w:val="0"/>
          <w:kern w:val="2"/>
          <w:sz w:val="24"/>
          <w:szCs w:val="24"/>
        </w:rPr>
      </w:pPr>
      <w:bookmarkStart w:id="4" w:name="_Toc27540"/>
      <w:r>
        <w:rPr>
          <w:rFonts w:eastAsia="黑体"/>
          <w:b w:val="0"/>
          <w:bCs w:val="0"/>
          <w:kern w:val="2"/>
          <w:sz w:val="24"/>
          <w:szCs w:val="24"/>
        </w:rPr>
        <w:t>2  引用文件</w:t>
      </w:r>
      <w:bookmarkEnd w:id="4"/>
    </w:p>
    <w:p w14:paraId="302334E6">
      <w:pPr>
        <w:snapToGrid w:val="0"/>
        <w:spacing w:line="360" w:lineRule="auto"/>
        <w:ind w:firstLine="480" w:firstLineChars="200"/>
        <w:rPr>
          <w:sz w:val="24"/>
        </w:rPr>
      </w:pPr>
      <w:r>
        <w:rPr>
          <w:sz w:val="24"/>
        </w:rPr>
        <w:t>本规范引用了下列文件：</w:t>
      </w:r>
    </w:p>
    <w:p w14:paraId="3FDBC4CA">
      <w:pPr>
        <w:snapToGrid w:val="0"/>
        <w:spacing w:line="360" w:lineRule="auto"/>
        <w:ind w:firstLine="480" w:firstLineChars="200"/>
        <w:rPr>
          <w:sz w:val="24"/>
        </w:rPr>
      </w:pPr>
      <w:r>
        <w:rPr>
          <w:rFonts w:hint="eastAsia"/>
          <w:sz w:val="24"/>
        </w:rPr>
        <w:t xml:space="preserve">JJG </w:t>
      </w:r>
      <w:r>
        <w:rPr>
          <w:sz w:val="24"/>
        </w:rPr>
        <w:t>906</w:t>
      </w:r>
      <w:r>
        <w:rPr>
          <w:rFonts w:hint="eastAsia"/>
          <w:sz w:val="24"/>
        </w:rPr>
        <w:t>-201</w:t>
      </w:r>
      <w:r>
        <w:rPr>
          <w:sz w:val="24"/>
        </w:rPr>
        <w:t>5</w:t>
      </w:r>
      <w:r>
        <w:rPr>
          <w:rFonts w:hint="eastAsia"/>
          <w:sz w:val="24"/>
        </w:rPr>
        <w:t xml:space="preserve">  《滚筒反力式制动检验台检定规程》</w:t>
      </w:r>
    </w:p>
    <w:p w14:paraId="2D0ABC91">
      <w:pPr>
        <w:snapToGrid w:val="0"/>
        <w:spacing w:line="360" w:lineRule="auto"/>
        <w:ind w:firstLine="480" w:firstLineChars="200"/>
        <w:rPr>
          <w:sz w:val="24"/>
        </w:rPr>
      </w:pPr>
      <w:r>
        <w:rPr>
          <w:rFonts w:hint="eastAsia"/>
          <w:kern w:val="0"/>
          <w:sz w:val="24"/>
        </w:rPr>
        <w:t xml:space="preserve">JJG </w:t>
      </w:r>
      <w:r>
        <w:rPr>
          <w:kern w:val="0"/>
          <w:sz w:val="24"/>
        </w:rPr>
        <w:t>1160-2019</w:t>
      </w:r>
      <w:r>
        <w:rPr>
          <w:rFonts w:hint="eastAsia"/>
          <w:kern w:val="0"/>
          <w:sz w:val="24"/>
        </w:rPr>
        <w:t>《汽车加载制动检验台》</w:t>
      </w:r>
    </w:p>
    <w:p w14:paraId="551B9AF7">
      <w:pPr>
        <w:snapToGrid w:val="0"/>
        <w:spacing w:line="360" w:lineRule="auto"/>
        <w:ind w:firstLine="480" w:firstLineChars="200"/>
        <w:rPr>
          <w:sz w:val="24"/>
        </w:rPr>
      </w:pPr>
      <w:r>
        <w:rPr>
          <w:rFonts w:hint="eastAsia"/>
          <w:sz w:val="24"/>
        </w:rPr>
        <w:t>GB 38900-2020《机动车安全技术检验项目和方法》</w:t>
      </w:r>
    </w:p>
    <w:p w14:paraId="2DDC2DAB">
      <w:pPr>
        <w:snapToGrid w:val="0"/>
        <w:spacing w:line="360" w:lineRule="auto"/>
        <w:ind w:firstLine="480" w:firstLineChars="200"/>
        <w:rPr>
          <w:sz w:val="24"/>
        </w:rPr>
      </w:pPr>
      <w:r>
        <w:rPr>
          <w:sz w:val="24"/>
        </w:rPr>
        <w:t>凡是注日期的引用文件，仅注日期的版本适用于本规范；凡是不注日期的引用文件，其最新版本（包括所有的修改单）适用于本规范。</w:t>
      </w:r>
    </w:p>
    <w:p w14:paraId="5FA5F09B">
      <w:pPr>
        <w:pStyle w:val="2"/>
        <w:keepNext w:val="0"/>
        <w:keepLines w:val="0"/>
        <w:spacing w:before="0" w:after="0" w:line="480" w:lineRule="auto"/>
        <w:rPr>
          <w:rFonts w:ascii="黑体" w:hAnsi="宋体" w:eastAsia="黑体" w:cs="Arial"/>
          <w:color w:val="000000"/>
          <w:sz w:val="24"/>
          <w:szCs w:val="24"/>
        </w:rPr>
      </w:pPr>
      <w:bookmarkStart w:id="5" w:name="_Toc22855"/>
      <w:r>
        <w:rPr>
          <w:rFonts w:hint="eastAsia" w:ascii="黑体" w:hAnsi="宋体" w:eastAsia="黑体" w:cs="Arial"/>
          <w:b w:val="0"/>
          <w:bCs w:val="0"/>
          <w:color w:val="000000"/>
          <w:kern w:val="0"/>
          <w:sz w:val="24"/>
          <w:szCs w:val="24"/>
        </w:rPr>
        <w:t xml:space="preserve">3  </w:t>
      </w:r>
      <w:r>
        <w:rPr>
          <w:rFonts w:hint="eastAsia" w:ascii="黑体" w:hAnsi="宋体" w:eastAsia="黑体" w:cs="Arial"/>
          <w:color w:val="000000"/>
          <w:sz w:val="24"/>
          <w:szCs w:val="24"/>
        </w:rPr>
        <w:t>术语和计量单位</w:t>
      </w:r>
      <w:bookmarkEnd w:id="5"/>
    </w:p>
    <w:p w14:paraId="4546CADA">
      <w:pPr>
        <w:snapToGrid w:val="0"/>
        <w:spacing w:line="360" w:lineRule="auto"/>
        <w:ind w:firstLine="480" w:firstLineChars="200"/>
        <w:rPr>
          <w:rFonts w:hAnsi="宋体" w:cs="Arial"/>
          <w:color w:val="000000"/>
          <w:sz w:val="24"/>
        </w:rPr>
      </w:pPr>
      <w:r>
        <w:rPr>
          <w:rFonts w:hint="eastAsia" w:hAnsi="宋体" w:cs="Arial"/>
          <w:color w:val="000000"/>
          <w:sz w:val="24"/>
        </w:rPr>
        <w:t>JJF 1032 界定的及以下术语和定义适用于本规范。</w:t>
      </w:r>
    </w:p>
    <w:p w14:paraId="46402C07">
      <w:pPr>
        <w:snapToGrid w:val="0"/>
        <w:spacing w:line="360" w:lineRule="auto"/>
        <w:rPr>
          <w:rFonts w:hAnsi="宋体" w:cs="Arial"/>
          <w:color w:val="000000"/>
          <w:sz w:val="24"/>
        </w:rPr>
      </w:pPr>
      <w:r>
        <w:rPr>
          <w:rFonts w:hint="eastAsia" w:hAnsi="宋体" w:cs="Arial"/>
          <w:color w:val="000000"/>
          <w:sz w:val="24"/>
        </w:rPr>
        <w:t>3.1 滑移率 slip ratio</w:t>
      </w:r>
    </w:p>
    <w:p w14:paraId="68A9C032">
      <w:pPr>
        <w:snapToGrid w:val="0"/>
        <w:spacing w:line="360" w:lineRule="auto"/>
        <w:ind w:firstLine="480" w:firstLineChars="200"/>
        <w:rPr>
          <w:rFonts w:hAnsi="宋体" w:cs="Arial"/>
          <w:color w:val="000000"/>
          <w:sz w:val="24"/>
        </w:rPr>
      </w:pPr>
      <w:r>
        <w:rPr>
          <w:rFonts w:hAnsi="宋体" w:cs="Arial"/>
          <w:color w:val="000000"/>
          <w:sz w:val="24"/>
        </w:rPr>
        <w:t>对带有第三滚筒的制动台，当被检测车辆制动时，第三滚筒线速度随制动车轮线速度的减慢而减慢，在制动台驱动电机自动停机瞬间，主滚筒线速度与第三滚筒的线速度之差与主滚筒线速度的百分比。</w:t>
      </w:r>
    </w:p>
    <w:p w14:paraId="2A67C53C">
      <w:pPr>
        <w:snapToGrid w:val="0"/>
        <w:spacing w:line="360" w:lineRule="auto"/>
        <w:ind w:firstLine="480" w:firstLineChars="200"/>
        <w:jc w:val="center"/>
        <w:rPr>
          <w:sz w:val="24"/>
        </w:rPr>
      </w:pPr>
      <w:r>
        <w:rPr>
          <w:rFonts w:hint="eastAsia" w:ascii="宋体" w:hAnsi="宋体"/>
          <w:color w:val="000000"/>
          <w:sz w:val="24"/>
        </w:rPr>
        <w:t xml:space="preserve">                         </w:t>
      </w:r>
      <w:r>
        <w:rPr>
          <w:rFonts w:hint="eastAsia" w:ascii="宋体" w:hAnsi="宋体"/>
          <w:color w:val="000000"/>
          <w:position w:val="-32"/>
          <w:sz w:val="24"/>
        </w:rPr>
        <w:object>
          <v:shape id="_x0000_i1025" o:spt="75" type="#_x0000_t75" style="height:38pt;width:93.2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sz w:val="24"/>
        </w:rPr>
        <w:t>……………………………………（1）</w:t>
      </w:r>
    </w:p>
    <w:p w14:paraId="68E6BB42">
      <w:pPr>
        <w:snapToGrid w:val="0"/>
        <w:spacing w:line="360" w:lineRule="auto"/>
        <w:ind w:firstLine="480" w:firstLineChars="200"/>
        <w:jc w:val="left"/>
        <w:rPr>
          <w:rFonts w:hint="eastAsia" w:hAnsi="Cambria Math"/>
          <w:b/>
          <w:bCs/>
          <w:sz w:val="24"/>
        </w:rPr>
      </w:pPr>
      <m:oMath>
        <m:r>
          <m:rPr/>
          <w:rPr>
            <w:rFonts w:ascii="Cambria Math" w:hAnsi="Cambria Math"/>
            <w:sz w:val="24"/>
          </w:rPr>
          <m:t>ε</m:t>
        </m:r>
      </m:oMath>
      <w:r>
        <w:rPr>
          <w:rFonts w:hint="eastAsia"/>
          <w:sz w:val="24"/>
        </w:rPr>
        <w:t>——滑移率，单位为（%）；</w:t>
      </w:r>
    </w:p>
    <w:p w14:paraId="595A5C66">
      <w:pPr>
        <w:spacing w:line="360" w:lineRule="auto"/>
        <w:ind w:firstLine="480" w:firstLineChars="200"/>
        <w:rPr>
          <w:sz w:val="24"/>
        </w:rPr>
      </w:pPr>
      <m:oMath>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i</m:t>
            </m:r>
            <m:ctrlPr>
              <w:rPr>
                <w:rFonts w:ascii="Cambria Math" w:hAnsi="Cambria Math"/>
                <w:i/>
                <w:sz w:val="24"/>
              </w:rPr>
            </m:ctrlPr>
          </m:sub>
        </m:sSub>
      </m:oMath>
      <w:r>
        <w:rPr>
          <w:rFonts w:hint="eastAsia"/>
          <w:sz w:val="24"/>
        </w:rPr>
        <w:t>——停机时刻</w:t>
      </w:r>
      <w:r>
        <w:rPr>
          <w:rFonts w:hAnsi="宋体" w:cs="Arial"/>
          <w:color w:val="000000"/>
          <w:sz w:val="24"/>
        </w:rPr>
        <w:t>第三滚筒的线速度</w:t>
      </w:r>
      <w:r>
        <w:rPr>
          <w:rFonts w:hint="eastAsia"/>
          <w:sz w:val="24"/>
        </w:rPr>
        <w:t>，单位为（km/h）；</w:t>
      </w:r>
    </w:p>
    <w:p w14:paraId="6D7634D6">
      <w:pPr>
        <w:pStyle w:val="52"/>
        <w:spacing w:line="400" w:lineRule="exact"/>
        <w:ind w:firstLine="480"/>
        <w:rPr>
          <w:sz w:val="24"/>
        </w:rPr>
      </w:pPr>
      <m:oMath>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0</m:t>
            </m:r>
            <m:ctrlPr>
              <w:rPr>
                <w:rFonts w:ascii="Cambria Math" w:hAnsi="Cambria Math"/>
                <w:i/>
                <w:sz w:val="24"/>
              </w:rPr>
            </m:ctrlPr>
          </m:sub>
        </m:sSub>
      </m:oMath>
      <w:r>
        <w:rPr>
          <w:rFonts w:hint="eastAsia"/>
          <w:sz w:val="24"/>
        </w:rPr>
        <w:t>——</w:t>
      </w:r>
      <w:r>
        <w:rPr>
          <w:rFonts w:hint="eastAsia" w:ascii="Times New Roman"/>
          <w:kern w:val="2"/>
          <w:sz w:val="24"/>
          <w:szCs w:val="24"/>
        </w:rPr>
        <w:t>主滚筒线速度</w:t>
      </w:r>
      <w:r>
        <w:rPr>
          <w:rFonts w:hint="eastAsia"/>
          <w:sz w:val="24"/>
        </w:rPr>
        <w:t>，单位为</w:t>
      </w:r>
      <w:r>
        <w:rPr>
          <w:rFonts w:hint="eastAsia" w:ascii="Times New Roman"/>
          <w:kern w:val="2"/>
          <w:sz w:val="24"/>
          <w:szCs w:val="24"/>
        </w:rPr>
        <w:t>（km/h）</w:t>
      </w:r>
      <w:r>
        <w:rPr>
          <w:rFonts w:hint="eastAsia"/>
          <w:sz w:val="24"/>
        </w:rPr>
        <w:t>。</w:t>
      </w:r>
    </w:p>
    <w:p w14:paraId="14F83554"/>
    <w:p w14:paraId="16DC66F0">
      <w:pPr>
        <w:pStyle w:val="2"/>
        <w:keepNext w:val="0"/>
        <w:keepLines w:val="0"/>
        <w:spacing w:before="0" w:after="0" w:line="480" w:lineRule="auto"/>
        <w:rPr>
          <w:rFonts w:ascii="黑体" w:hAnsi="宋体" w:eastAsia="黑体" w:cs="Arial"/>
          <w:b w:val="0"/>
          <w:bCs w:val="0"/>
          <w:color w:val="000000"/>
          <w:kern w:val="0"/>
          <w:sz w:val="24"/>
          <w:szCs w:val="24"/>
        </w:rPr>
      </w:pPr>
      <w:bookmarkStart w:id="6" w:name="_Toc30869"/>
      <w:r>
        <w:rPr>
          <w:rFonts w:hint="eastAsia" w:ascii="黑体" w:hAnsi="宋体" w:eastAsia="黑体" w:cs="Arial"/>
          <w:b w:val="0"/>
          <w:bCs w:val="0"/>
          <w:color w:val="000000"/>
          <w:kern w:val="0"/>
          <w:sz w:val="24"/>
          <w:szCs w:val="24"/>
        </w:rPr>
        <w:t>4  概述</w:t>
      </w:r>
      <w:bookmarkEnd w:id="6"/>
    </w:p>
    <w:p w14:paraId="0545C686">
      <w:pPr>
        <w:spacing w:line="360" w:lineRule="auto"/>
        <w:ind w:firstLine="480" w:firstLineChars="200"/>
        <w:rPr>
          <w:sz w:val="24"/>
        </w:rPr>
      </w:pPr>
      <w:bookmarkStart w:id="7" w:name="_Hlk178495904"/>
      <w:r>
        <w:rPr>
          <w:rFonts w:hint="eastAsia"/>
          <w:sz w:val="24"/>
        </w:rPr>
        <w:t>滑移率测量装置是用于测量对带有第三滚筒的汽车制动检验台，</w:t>
      </w:r>
      <w:r>
        <w:rPr>
          <w:rFonts w:hint="eastAsia"/>
          <w:kern w:val="0"/>
          <w:sz w:val="24"/>
        </w:rPr>
        <w:t>汽车加载制动检验台驱动电机自动停机时的滑移率的装置。</w:t>
      </w:r>
      <w:r>
        <w:rPr>
          <w:rFonts w:hint="eastAsia"/>
          <w:sz w:val="24"/>
        </w:rPr>
        <w:t>其测量原理是模拟被检车辆制动时，第三滚筒线速度随制动车轮线速度的减慢而减慢，在制动检验台驱动电机自动停机瞬间，测得主滚筒线速度与第三滚筒的线速度之差与主滚筒线速度的百分比，即为滑移率。</w:t>
      </w:r>
      <w:bookmarkEnd w:id="7"/>
      <w:r>
        <w:rPr>
          <w:rFonts w:hint="eastAsia"/>
          <w:sz w:val="24"/>
        </w:rPr>
        <w:t>滑移率测量装置一般由驱动滚轮、测量滚轮（或其它线速度传感器）、信号采集部分、信号处理部分和数据显示部分组成。</w:t>
      </w:r>
    </w:p>
    <w:p w14:paraId="183E8BA5">
      <w:pPr>
        <w:pStyle w:val="2"/>
        <w:keepNext w:val="0"/>
        <w:keepLines w:val="0"/>
        <w:spacing w:before="0" w:after="0" w:line="480" w:lineRule="auto"/>
        <w:rPr>
          <w:rFonts w:eastAsia="黑体"/>
          <w:b w:val="0"/>
          <w:bCs w:val="0"/>
          <w:kern w:val="2"/>
          <w:sz w:val="24"/>
          <w:szCs w:val="24"/>
        </w:rPr>
      </w:pPr>
      <w:bookmarkStart w:id="8" w:name="_Toc9704"/>
      <w:r>
        <w:rPr>
          <w:rFonts w:hint="eastAsia" w:eastAsia="黑体"/>
          <w:b w:val="0"/>
          <w:bCs w:val="0"/>
          <w:kern w:val="2"/>
          <w:sz w:val="24"/>
          <w:szCs w:val="24"/>
        </w:rPr>
        <w:t>5  计量特性</w:t>
      </w:r>
      <w:bookmarkEnd w:id="8"/>
    </w:p>
    <w:p w14:paraId="6F30CE04">
      <w:pPr>
        <w:spacing w:line="360" w:lineRule="auto"/>
        <w:rPr>
          <w:sz w:val="24"/>
        </w:rPr>
      </w:pPr>
      <w:r>
        <w:rPr>
          <w:rFonts w:hint="eastAsia"/>
          <w:sz w:val="24"/>
        </w:rPr>
        <w:t>5.1 速度</w:t>
      </w:r>
    </w:p>
    <w:p w14:paraId="5BC0B5D5">
      <w:pPr>
        <w:spacing w:line="360" w:lineRule="auto"/>
        <w:rPr>
          <w:sz w:val="24"/>
        </w:rPr>
      </w:pPr>
      <w:r>
        <w:rPr>
          <w:rFonts w:hint="eastAsia"/>
          <w:sz w:val="24"/>
        </w:rPr>
        <w:t>5.1.1测量范围</w:t>
      </w:r>
    </w:p>
    <w:p w14:paraId="09E9C150">
      <w:pPr>
        <w:spacing w:line="360" w:lineRule="auto"/>
        <w:ind w:firstLine="480" w:firstLineChars="200"/>
        <w:rPr>
          <w:sz w:val="24"/>
        </w:rPr>
      </w:pPr>
      <w:r>
        <w:rPr>
          <w:rFonts w:hint="eastAsia"/>
          <w:sz w:val="24"/>
        </w:rPr>
        <w:t>（1.2~3.6）km/h。</w:t>
      </w:r>
    </w:p>
    <w:p w14:paraId="74C420CD">
      <w:pPr>
        <w:spacing w:line="360" w:lineRule="auto"/>
        <w:rPr>
          <w:sz w:val="24"/>
        </w:rPr>
      </w:pPr>
      <w:r>
        <w:rPr>
          <w:rFonts w:hint="eastAsia"/>
          <w:sz w:val="24"/>
        </w:rPr>
        <w:t>5.1.2示值误差</w:t>
      </w:r>
    </w:p>
    <w:p w14:paraId="75DDBE05">
      <w:pPr>
        <w:spacing w:line="360" w:lineRule="auto"/>
        <w:ind w:firstLine="480" w:firstLineChars="200"/>
        <w:rPr>
          <w:color w:val="FF0000"/>
          <w:sz w:val="24"/>
        </w:rPr>
      </w:pPr>
      <w:bookmarkStart w:id="9" w:name="_Toc68872798"/>
      <w:bookmarkEnd w:id="9"/>
      <w:r>
        <w:rPr>
          <w:rFonts w:hint="eastAsia"/>
          <w:sz w:val="24"/>
        </w:rPr>
        <w:t>一般不超过</w:t>
      </w:r>
      <w:r>
        <w:rPr>
          <w:rFonts w:hint="eastAsia" w:ascii="宋体" w:hAnsi="宋体"/>
          <w:sz w:val="24"/>
        </w:rPr>
        <w:t>±</w:t>
      </w:r>
      <w:r>
        <w:rPr>
          <w:rFonts w:hint="eastAsia"/>
          <w:sz w:val="24"/>
        </w:rPr>
        <w:t>2</w:t>
      </w:r>
      <w:r>
        <w:rPr>
          <w:sz w:val="24"/>
        </w:rPr>
        <w:t>.0</w:t>
      </w:r>
      <w:r>
        <w:rPr>
          <w:rFonts w:hint="eastAsia"/>
          <w:sz w:val="24"/>
        </w:rPr>
        <w:t>%。</w:t>
      </w:r>
    </w:p>
    <w:p w14:paraId="26E5C473">
      <w:pPr>
        <w:spacing w:line="360" w:lineRule="auto"/>
        <w:rPr>
          <w:sz w:val="24"/>
        </w:rPr>
      </w:pPr>
      <w:r>
        <w:rPr>
          <w:rFonts w:hint="eastAsia"/>
          <w:sz w:val="24"/>
        </w:rPr>
        <w:t>5.2滑移率</w:t>
      </w:r>
    </w:p>
    <w:p w14:paraId="3890CC67">
      <w:pPr>
        <w:spacing w:line="360" w:lineRule="auto"/>
        <w:rPr>
          <w:sz w:val="24"/>
        </w:rPr>
      </w:pPr>
      <w:r>
        <w:rPr>
          <w:rFonts w:hint="eastAsia"/>
          <w:sz w:val="24"/>
        </w:rPr>
        <w:t>5.2.1测量范围</w:t>
      </w:r>
    </w:p>
    <w:p w14:paraId="1237FA73">
      <w:pPr>
        <w:spacing w:line="360" w:lineRule="auto"/>
        <w:ind w:firstLine="480"/>
        <w:rPr>
          <w:sz w:val="24"/>
        </w:rPr>
      </w:pPr>
      <w:r>
        <w:rPr>
          <w:rFonts w:hint="eastAsia"/>
          <w:sz w:val="24"/>
        </w:rPr>
        <w:t>20%~40%。</w:t>
      </w:r>
    </w:p>
    <w:p w14:paraId="3CD3B482">
      <w:pPr>
        <w:spacing w:line="360" w:lineRule="auto"/>
        <w:rPr>
          <w:sz w:val="24"/>
        </w:rPr>
      </w:pPr>
      <w:r>
        <w:rPr>
          <w:rFonts w:hint="eastAsia"/>
          <w:sz w:val="24"/>
        </w:rPr>
        <w:t>5.2.2 示值误差</w:t>
      </w:r>
    </w:p>
    <w:p w14:paraId="379F7AD4">
      <w:pPr>
        <w:spacing w:line="360" w:lineRule="auto"/>
        <w:ind w:firstLine="480" w:firstLineChars="200"/>
        <w:rPr>
          <w:sz w:val="24"/>
        </w:rPr>
      </w:pPr>
      <w:r>
        <w:rPr>
          <w:rFonts w:hint="eastAsia"/>
          <w:sz w:val="24"/>
        </w:rPr>
        <w:t>一般不超过</w:t>
      </w:r>
      <w:r>
        <w:rPr>
          <w:rFonts w:hint="eastAsia" w:ascii="宋体" w:hAnsi="宋体"/>
          <w:sz w:val="24"/>
        </w:rPr>
        <w:t>±</w:t>
      </w:r>
      <w:r>
        <w:rPr>
          <w:rFonts w:hint="eastAsia"/>
          <w:sz w:val="24"/>
        </w:rPr>
        <w:t>2</w:t>
      </w:r>
      <w:r>
        <w:rPr>
          <w:sz w:val="24"/>
        </w:rPr>
        <w:t>.0</w:t>
      </w:r>
      <w:r>
        <w:rPr>
          <w:rFonts w:hint="eastAsia"/>
          <w:sz w:val="24"/>
        </w:rPr>
        <w:t>%（绝对误差）。</w:t>
      </w:r>
    </w:p>
    <w:p w14:paraId="52D42231">
      <w:pPr>
        <w:pStyle w:val="2"/>
        <w:keepNext w:val="0"/>
        <w:keepLines w:val="0"/>
        <w:spacing w:before="0" w:after="0" w:line="480" w:lineRule="auto"/>
        <w:rPr>
          <w:rFonts w:eastAsia="黑体"/>
          <w:b w:val="0"/>
          <w:bCs w:val="0"/>
          <w:kern w:val="2"/>
          <w:sz w:val="24"/>
          <w:szCs w:val="24"/>
        </w:rPr>
      </w:pPr>
      <w:bookmarkStart w:id="10" w:name="_Toc28392"/>
      <w:r>
        <w:rPr>
          <w:rFonts w:hint="eastAsia" w:eastAsia="黑体"/>
          <w:b w:val="0"/>
          <w:bCs w:val="0"/>
          <w:kern w:val="2"/>
          <w:sz w:val="24"/>
          <w:szCs w:val="24"/>
        </w:rPr>
        <w:t>6</w:t>
      </w:r>
      <w:r>
        <w:rPr>
          <w:rFonts w:eastAsia="黑体"/>
          <w:b w:val="0"/>
          <w:bCs w:val="0"/>
          <w:kern w:val="2"/>
          <w:sz w:val="24"/>
          <w:szCs w:val="24"/>
        </w:rPr>
        <w:t xml:space="preserve">  校准条件</w:t>
      </w:r>
      <w:bookmarkEnd w:id="10"/>
    </w:p>
    <w:p w14:paraId="184BB17E">
      <w:pPr>
        <w:pStyle w:val="57"/>
        <w:numPr>
          <w:ilvl w:val="0"/>
          <w:numId w:val="0"/>
        </w:numPr>
        <w:spacing w:line="360" w:lineRule="auto"/>
        <w:rPr>
          <w:rFonts w:ascii="Times New Roman" w:eastAsia="宋体"/>
          <w:sz w:val="24"/>
          <w:szCs w:val="24"/>
        </w:rPr>
      </w:pPr>
      <w:r>
        <w:rPr>
          <w:rFonts w:hint="eastAsia" w:ascii="Times New Roman" w:eastAsia="宋体"/>
          <w:sz w:val="24"/>
          <w:szCs w:val="24"/>
        </w:rPr>
        <w:t>6</w:t>
      </w:r>
      <w:r>
        <w:rPr>
          <w:rFonts w:ascii="Times New Roman" w:eastAsia="宋体"/>
          <w:sz w:val="24"/>
          <w:szCs w:val="24"/>
        </w:rPr>
        <w:t>.1 环境条件</w:t>
      </w:r>
    </w:p>
    <w:p w14:paraId="5E8891E8">
      <w:pPr>
        <w:pStyle w:val="57"/>
        <w:numPr>
          <w:ilvl w:val="0"/>
          <w:numId w:val="0"/>
        </w:numPr>
        <w:spacing w:line="360" w:lineRule="auto"/>
        <w:rPr>
          <w:rFonts w:ascii="Times New Roman" w:eastAsia="宋体"/>
          <w:sz w:val="24"/>
          <w:szCs w:val="24"/>
        </w:rPr>
      </w:pPr>
      <w:r>
        <w:rPr>
          <w:rFonts w:hint="eastAsia" w:ascii="Times New Roman" w:eastAsia="宋体"/>
          <w:sz w:val="24"/>
          <w:szCs w:val="24"/>
        </w:rPr>
        <w:t>6</w:t>
      </w:r>
      <w:r>
        <w:rPr>
          <w:rFonts w:ascii="Times New Roman" w:eastAsia="宋体"/>
          <w:sz w:val="24"/>
          <w:szCs w:val="24"/>
        </w:rPr>
        <w:t xml:space="preserve">.1.1 </w:t>
      </w:r>
      <w:r>
        <w:rPr>
          <w:rFonts w:hint="eastAsia" w:ascii="Times New Roman" w:eastAsia="宋体"/>
          <w:sz w:val="24"/>
          <w:szCs w:val="24"/>
        </w:rPr>
        <w:t>环境</w:t>
      </w:r>
      <w:r>
        <w:rPr>
          <w:rFonts w:ascii="Times New Roman" w:eastAsia="宋体"/>
          <w:sz w:val="24"/>
          <w:szCs w:val="24"/>
        </w:rPr>
        <w:t>温度：（0～40）℃。</w:t>
      </w:r>
    </w:p>
    <w:p w14:paraId="03AABF2B">
      <w:pPr>
        <w:pStyle w:val="57"/>
        <w:numPr>
          <w:ilvl w:val="0"/>
          <w:numId w:val="0"/>
        </w:numPr>
        <w:spacing w:line="360" w:lineRule="auto"/>
        <w:rPr>
          <w:rFonts w:ascii="Times New Roman" w:eastAsia="宋体"/>
          <w:sz w:val="24"/>
          <w:szCs w:val="24"/>
        </w:rPr>
      </w:pPr>
      <w:r>
        <w:rPr>
          <w:rFonts w:hint="eastAsia" w:ascii="Times New Roman" w:eastAsia="宋体"/>
          <w:sz w:val="24"/>
          <w:szCs w:val="24"/>
        </w:rPr>
        <w:t>6</w:t>
      </w:r>
      <w:r>
        <w:rPr>
          <w:rFonts w:ascii="Times New Roman" w:eastAsia="宋体"/>
          <w:sz w:val="24"/>
          <w:szCs w:val="24"/>
        </w:rPr>
        <w:t xml:space="preserve">.1.2 </w:t>
      </w:r>
      <w:r>
        <w:rPr>
          <w:rFonts w:hint="eastAsia" w:ascii="Times New Roman" w:eastAsia="宋体"/>
          <w:sz w:val="24"/>
          <w:szCs w:val="24"/>
        </w:rPr>
        <w:t>环境</w:t>
      </w:r>
      <w:r>
        <w:rPr>
          <w:rFonts w:ascii="Times New Roman" w:eastAsia="宋体"/>
          <w:sz w:val="24"/>
          <w:szCs w:val="24"/>
        </w:rPr>
        <w:t>相对湿度：不大于85%</w:t>
      </w:r>
      <w:r>
        <w:rPr>
          <w:rFonts w:hint="eastAsia" w:ascii="Times New Roman" w:eastAsia="宋体"/>
          <w:sz w:val="24"/>
          <w:szCs w:val="24"/>
        </w:rPr>
        <w:t>；</w:t>
      </w:r>
    </w:p>
    <w:p w14:paraId="4A276325">
      <w:pPr>
        <w:pStyle w:val="52"/>
        <w:ind w:firstLine="0" w:firstLineChars="0"/>
      </w:pPr>
      <w:r>
        <w:rPr>
          <w:rFonts w:hint="eastAsia" w:ascii="Times New Roman"/>
          <w:sz w:val="24"/>
          <w:szCs w:val="24"/>
        </w:rPr>
        <w:t>6.1.3 校准应在周围的污染、振动、电磁干扰对校准结果无影响的环境下进行。</w:t>
      </w:r>
    </w:p>
    <w:p w14:paraId="0883BBD1">
      <w:pPr>
        <w:spacing w:line="360" w:lineRule="auto"/>
        <w:rPr>
          <w:sz w:val="24"/>
        </w:rPr>
      </w:pPr>
      <w:r>
        <w:rPr>
          <w:rFonts w:hint="eastAsia"/>
          <w:kern w:val="0"/>
          <w:sz w:val="24"/>
        </w:rPr>
        <w:t>6</w:t>
      </w:r>
      <w:r>
        <w:rPr>
          <w:kern w:val="0"/>
          <w:sz w:val="24"/>
        </w:rPr>
        <w:t xml:space="preserve">.2  </w:t>
      </w:r>
      <w:r>
        <w:rPr>
          <w:sz w:val="24"/>
        </w:rPr>
        <w:t>测量标准及其他设备</w:t>
      </w:r>
    </w:p>
    <w:p w14:paraId="2A90C9B9">
      <w:pPr>
        <w:spacing w:line="360" w:lineRule="auto"/>
        <w:rPr>
          <w:sz w:val="24"/>
        </w:rPr>
      </w:pPr>
      <w:r>
        <w:rPr>
          <w:rFonts w:hint="eastAsia"/>
          <w:sz w:val="24"/>
        </w:rPr>
        <w:t xml:space="preserve">    测量标准及其他设备见表1。</w:t>
      </w:r>
    </w:p>
    <w:p w14:paraId="238D94A7">
      <w:pPr>
        <w:pStyle w:val="52"/>
        <w:tabs>
          <w:tab w:val="center" w:pos="4201"/>
          <w:tab w:val="right" w:leader="dot" w:pos="9298"/>
        </w:tabs>
        <w:ind w:firstLine="480"/>
        <w:jc w:val="center"/>
        <w:rPr>
          <w:rFonts w:ascii="Times New Roman"/>
          <w:sz w:val="24"/>
          <w:szCs w:val="24"/>
        </w:rPr>
      </w:pPr>
      <w:r>
        <w:rPr>
          <w:rFonts w:hint="eastAsia" w:ascii="Times New Roman"/>
          <w:sz w:val="24"/>
          <w:szCs w:val="24"/>
        </w:rPr>
        <w:t>表1 校准项目与测量标准及其他设备</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9"/>
        <w:gridCol w:w="3914"/>
        <w:gridCol w:w="3931"/>
      </w:tblGrid>
      <w:tr w14:paraId="2CEE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dxa"/>
            <w:vAlign w:val="center"/>
          </w:tcPr>
          <w:p w14:paraId="368B8709">
            <w:pPr>
              <w:pStyle w:val="52"/>
              <w:widowControl w:val="0"/>
              <w:tabs>
                <w:tab w:val="center" w:pos="4201"/>
                <w:tab w:val="right" w:leader="dot" w:pos="9298"/>
              </w:tabs>
              <w:ind w:firstLine="0" w:firstLineChars="0"/>
              <w:jc w:val="center"/>
              <w:rPr>
                <w:rFonts w:ascii="Times New Roman"/>
                <w:sz w:val="24"/>
                <w:szCs w:val="24"/>
              </w:rPr>
            </w:pPr>
            <w:r>
              <w:rPr>
                <w:rFonts w:hint="eastAsia" w:ascii="Times New Roman"/>
                <w:sz w:val="24"/>
                <w:szCs w:val="24"/>
              </w:rPr>
              <w:t>序号</w:t>
            </w:r>
          </w:p>
        </w:tc>
        <w:tc>
          <w:tcPr>
            <w:tcW w:w="3914" w:type="dxa"/>
            <w:vAlign w:val="center"/>
          </w:tcPr>
          <w:p w14:paraId="49570BA7">
            <w:pPr>
              <w:pStyle w:val="52"/>
              <w:widowControl w:val="0"/>
              <w:tabs>
                <w:tab w:val="center" w:pos="4201"/>
                <w:tab w:val="right" w:leader="dot" w:pos="9298"/>
              </w:tabs>
              <w:ind w:firstLine="0" w:firstLineChars="0"/>
              <w:jc w:val="center"/>
              <w:rPr>
                <w:rFonts w:ascii="Times New Roman"/>
                <w:sz w:val="24"/>
                <w:szCs w:val="24"/>
              </w:rPr>
            </w:pPr>
            <w:r>
              <w:rPr>
                <w:rFonts w:hint="eastAsia" w:ascii="Times New Roman"/>
                <w:sz w:val="24"/>
                <w:szCs w:val="24"/>
              </w:rPr>
              <w:t>名称</w:t>
            </w:r>
          </w:p>
        </w:tc>
        <w:tc>
          <w:tcPr>
            <w:tcW w:w="3931" w:type="dxa"/>
            <w:vAlign w:val="center"/>
          </w:tcPr>
          <w:p w14:paraId="579BD715">
            <w:pPr>
              <w:pStyle w:val="52"/>
              <w:widowControl w:val="0"/>
              <w:tabs>
                <w:tab w:val="center" w:pos="4201"/>
                <w:tab w:val="right" w:leader="dot" w:pos="9298"/>
              </w:tabs>
              <w:ind w:firstLine="0" w:firstLineChars="0"/>
              <w:jc w:val="center"/>
              <w:rPr>
                <w:rFonts w:ascii="Times New Roman"/>
                <w:sz w:val="24"/>
                <w:szCs w:val="24"/>
              </w:rPr>
            </w:pPr>
            <w:r>
              <w:rPr>
                <w:rFonts w:hint="eastAsia" w:ascii="Times New Roman"/>
                <w:sz w:val="24"/>
                <w:szCs w:val="24"/>
              </w:rPr>
              <w:t>主要技术指标</w:t>
            </w:r>
          </w:p>
        </w:tc>
      </w:tr>
      <w:tr w14:paraId="3BCB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dxa"/>
            <w:vAlign w:val="center"/>
          </w:tcPr>
          <w:p w14:paraId="6E110A87">
            <w:pPr>
              <w:pStyle w:val="52"/>
              <w:widowControl w:val="0"/>
              <w:tabs>
                <w:tab w:val="center" w:pos="4201"/>
                <w:tab w:val="right" w:leader="dot" w:pos="9298"/>
              </w:tabs>
              <w:ind w:firstLine="0" w:firstLineChars="0"/>
              <w:jc w:val="center"/>
              <w:rPr>
                <w:rFonts w:ascii="Times New Roman"/>
                <w:szCs w:val="21"/>
              </w:rPr>
            </w:pPr>
            <w:r>
              <w:rPr>
                <w:rFonts w:hint="eastAsia" w:ascii="Times New Roman"/>
                <w:szCs w:val="21"/>
              </w:rPr>
              <w:t>1</w:t>
            </w:r>
          </w:p>
        </w:tc>
        <w:tc>
          <w:tcPr>
            <w:tcW w:w="3914" w:type="dxa"/>
            <w:vAlign w:val="center"/>
          </w:tcPr>
          <w:p w14:paraId="57D915D5">
            <w:pPr>
              <w:pStyle w:val="52"/>
              <w:widowControl w:val="0"/>
              <w:tabs>
                <w:tab w:val="center" w:pos="4201"/>
                <w:tab w:val="right" w:leader="dot" w:pos="9298"/>
              </w:tabs>
              <w:ind w:firstLine="0" w:firstLineChars="0"/>
              <w:jc w:val="center"/>
              <w:rPr>
                <w:rFonts w:ascii="Times New Roman"/>
                <w:szCs w:val="21"/>
              </w:rPr>
            </w:pPr>
            <w:r>
              <w:rPr>
                <w:rFonts w:hint="eastAsia" w:ascii="Times New Roman"/>
                <w:szCs w:val="21"/>
              </w:rPr>
              <w:t>滑移率测量仪校准装置</w:t>
            </w:r>
          </w:p>
        </w:tc>
        <w:tc>
          <w:tcPr>
            <w:tcW w:w="3931" w:type="dxa"/>
            <w:vAlign w:val="center"/>
          </w:tcPr>
          <w:p w14:paraId="49ECE8CD">
            <w:pPr>
              <w:pStyle w:val="52"/>
              <w:widowControl w:val="0"/>
              <w:tabs>
                <w:tab w:val="center" w:pos="4201"/>
                <w:tab w:val="right" w:leader="dot" w:pos="9298"/>
              </w:tabs>
              <w:ind w:firstLine="0" w:firstLineChars="0"/>
              <w:jc w:val="center"/>
              <w:rPr>
                <w:rFonts w:ascii="Times New Roman"/>
                <w:szCs w:val="21"/>
              </w:rPr>
            </w:pPr>
            <w:r>
              <w:rPr>
                <w:rFonts w:hint="eastAsia" w:ascii="Times New Roman"/>
                <w:szCs w:val="21"/>
              </w:rPr>
              <w:t>测量范围：(1~10)km/h</w:t>
            </w:r>
          </w:p>
          <w:p w14:paraId="218A3DD9">
            <w:pPr>
              <w:pStyle w:val="52"/>
              <w:widowControl w:val="0"/>
              <w:tabs>
                <w:tab w:val="center" w:pos="4201"/>
                <w:tab w:val="right" w:leader="dot" w:pos="9298"/>
              </w:tabs>
              <w:ind w:firstLine="0" w:firstLineChars="0"/>
              <w:jc w:val="center"/>
              <w:rPr>
                <w:rFonts w:ascii="Times New Roman"/>
                <w:szCs w:val="21"/>
              </w:rPr>
            </w:pPr>
            <w:r>
              <w:rPr>
                <w:rFonts w:hint="eastAsia" w:ascii="Times New Roman"/>
                <w:szCs w:val="21"/>
              </w:rPr>
              <w:t>最大允许误差：±0.3%</w:t>
            </w:r>
          </w:p>
        </w:tc>
      </w:tr>
    </w:tbl>
    <w:p w14:paraId="033E947F">
      <w:pPr>
        <w:pStyle w:val="2"/>
        <w:keepNext w:val="0"/>
        <w:keepLines w:val="0"/>
        <w:spacing w:before="0" w:after="0" w:line="480" w:lineRule="auto"/>
        <w:rPr>
          <w:rFonts w:eastAsia="黑体"/>
          <w:b w:val="0"/>
          <w:bCs w:val="0"/>
          <w:kern w:val="2"/>
          <w:sz w:val="24"/>
          <w:szCs w:val="24"/>
        </w:rPr>
      </w:pPr>
      <w:bookmarkStart w:id="11" w:name="_Toc2285"/>
      <w:r>
        <w:rPr>
          <w:rFonts w:hint="eastAsia" w:eastAsia="黑体"/>
          <w:b w:val="0"/>
          <w:bCs w:val="0"/>
          <w:kern w:val="2"/>
          <w:sz w:val="24"/>
          <w:szCs w:val="24"/>
        </w:rPr>
        <w:t xml:space="preserve">7  </w:t>
      </w:r>
      <w:r>
        <w:rPr>
          <w:rFonts w:eastAsia="黑体"/>
          <w:b w:val="0"/>
          <w:bCs w:val="0"/>
          <w:kern w:val="2"/>
          <w:sz w:val="24"/>
          <w:szCs w:val="24"/>
        </w:rPr>
        <w:t>校准项目和校准方法</w:t>
      </w:r>
      <w:bookmarkEnd w:id="11"/>
    </w:p>
    <w:p w14:paraId="5F10D8AE">
      <w:pPr>
        <w:pStyle w:val="57"/>
        <w:numPr>
          <w:ilvl w:val="0"/>
          <w:numId w:val="0"/>
        </w:numPr>
        <w:spacing w:before="156" w:after="156" w:line="276" w:lineRule="auto"/>
        <w:rPr>
          <w:rFonts w:ascii="Times New Roman" w:eastAsia="宋体"/>
          <w:sz w:val="24"/>
          <w:szCs w:val="24"/>
        </w:rPr>
      </w:pPr>
      <w:r>
        <w:rPr>
          <w:rFonts w:hint="eastAsia" w:ascii="Times New Roman" w:eastAsia="宋体"/>
          <w:sz w:val="24"/>
          <w:szCs w:val="24"/>
        </w:rPr>
        <w:t>7</w:t>
      </w:r>
      <w:r>
        <w:rPr>
          <w:rFonts w:ascii="Times New Roman" w:eastAsia="宋体"/>
          <w:sz w:val="24"/>
          <w:szCs w:val="24"/>
        </w:rPr>
        <w:t>.1</w:t>
      </w:r>
      <w:r>
        <w:rPr>
          <w:rFonts w:hint="eastAsia" w:ascii="Times New Roman" w:eastAsia="宋体"/>
          <w:sz w:val="24"/>
          <w:szCs w:val="24"/>
        </w:rPr>
        <w:t>速度测量范围及示值误差</w:t>
      </w:r>
    </w:p>
    <w:p w14:paraId="3B1B6270">
      <w:pPr>
        <w:spacing w:line="360" w:lineRule="auto"/>
        <w:ind w:firstLine="480" w:firstLineChars="200"/>
        <w:rPr>
          <w:sz w:val="24"/>
        </w:rPr>
      </w:pPr>
      <w:r>
        <w:rPr>
          <w:rFonts w:hint="eastAsia"/>
          <w:sz w:val="24"/>
        </w:rPr>
        <w:t>滑移率测量装置按使用要求预热后，进入校准状态，显示装置应能实时显示。</w:t>
      </w:r>
    </w:p>
    <w:p w14:paraId="21FFD186">
      <w:pPr>
        <w:spacing w:line="360" w:lineRule="auto"/>
        <w:ind w:firstLine="480" w:firstLineChars="200"/>
        <w:rPr>
          <w:sz w:val="24"/>
        </w:rPr>
      </w:pPr>
      <w:bookmarkStart w:id="12" w:name="_Hlk178496151"/>
      <w:r>
        <w:rPr>
          <w:rFonts w:hint="eastAsia"/>
          <w:sz w:val="24"/>
        </w:rPr>
        <w:t>将滑移率测量装置测量滚轮紧贴滑移率测量仪校准装置（以下简称校准装置）驱动滚筒，启动校准装置驱动滚筒稳速旋转</w:t>
      </w:r>
      <w:bookmarkEnd w:id="12"/>
      <w:r>
        <w:rPr>
          <w:rFonts w:hint="eastAsia"/>
          <w:sz w:val="24"/>
        </w:rPr>
        <w:t>；当校准装置示值在</w:t>
      </w:r>
      <w:bookmarkStart w:id="13" w:name="_Hlk178496122"/>
      <w:r>
        <w:rPr>
          <w:rFonts w:hint="eastAsia"/>
          <w:sz w:val="24"/>
        </w:rPr>
        <w:t>1</w:t>
      </w:r>
      <w:r>
        <w:rPr>
          <w:sz w:val="24"/>
        </w:rPr>
        <w:t>.2km/h</w:t>
      </w:r>
      <w:r>
        <w:rPr>
          <w:rFonts w:hint="eastAsia"/>
          <w:sz w:val="24"/>
        </w:rPr>
        <w:t>、</w:t>
      </w:r>
      <w:r>
        <w:rPr>
          <w:sz w:val="24"/>
        </w:rPr>
        <w:t>2.</w:t>
      </w:r>
      <w:r>
        <w:rPr>
          <w:rFonts w:hint="eastAsia"/>
          <w:sz w:val="24"/>
        </w:rPr>
        <w:t>5</w:t>
      </w:r>
      <w:r>
        <w:rPr>
          <w:sz w:val="24"/>
        </w:rPr>
        <w:t>km/h</w:t>
      </w:r>
      <w:r>
        <w:rPr>
          <w:rFonts w:hint="eastAsia"/>
          <w:sz w:val="24"/>
        </w:rPr>
        <w:t>、</w:t>
      </w:r>
      <w:r>
        <w:rPr>
          <w:sz w:val="24"/>
        </w:rPr>
        <w:t>3.6km/h</w:t>
      </w:r>
      <w:bookmarkEnd w:id="13"/>
      <w:r>
        <w:rPr>
          <w:rFonts w:hint="eastAsia"/>
          <w:sz w:val="24"/>
        </w:rPr>
        <w:t>时，同时分别记录滑移率测量装置和校准装置的示值。每个点重复测量三次，按公式（2）计算各点的示值误差。</w:t>
      </w:r>
    </w:p>
    <w:p w14:paraId="7C2AE8F4">
      <w:pPr>
        <w:spacing w:line="360" w:lineRule="auto"/>
        <w:ind w:firstLine="480" w:firstLineChars="200"/>
        <w:jc w:val="right"/>
        <w:rPr>
          <w:sz w:val="24"/>
        </w:rPr>
      </w:pPr>
      <m:oMath>
        <m:sSub>
          <m:sSubPr>
            <m:ctrlPr>
              <w:rPr>
                <w:rFonts w:ascii="Cambria Math" w:hAnsi="Cambria Math"/>
                <w:sz w:val="24"/>
              </w:rPr>
            </m:ctrlPr>
          </m:sSubPr>
          <m:e>
            <m:r>
              <m:rPr/>
              <w:rPr>
                <w:rFonts w:ascii="Cambria Math" w:hAnsi="Cambria Math"/>
                <w:sz w:val="24"/>
              </w:rPr>
              <m:t>δ</m:t>
            </m:r>
            <m:ctrlPr>
              <w:rPr>
                <w:rFonts w:ascii="Cambria Math" w:hAnsi="Cambria Math"/>
                <w:sz w:val="24"/>
              </w:rPr>
            </m:ctrlPr>
          </m:e>
          <m:sub>
            <m:r>
              <m:rPr/>
              <w:rPr>
                <w:rFonts w:hint="eastAsia" w:ascii="Cambria Math" w:hAnsi="Cambria Math"/>
                <w:sz w:val="24"/>
              </w:rPr>
              <m:t>i</m:t>
            </m:r>
            <m:ctrlPr>
              <w:rPr>
                <w:rFonts w:ascii="Cambria Math" w:hAnsi="Cambria Math"/>
                <w:sz w:val="24"/>
              </w:rPr>
            </m:ctrlPr>
          </m:sub>
        </m:sSub>
        <m:r>
          <m:rPr>
            <m:sty m:val="p"/>
          </m:rPr>
          <w:rPr>
            <w:rFonts w:hint="eastAsia" w:ascii="Cambria Math" w:hAnsi="Cambria Math"/>
            <w:sz w:val="24"/>
          </w:rPr>
          <m:t>=</m:t>
        </m:r>
        <w:bookmarkStart w:id="14" w:name="OLE_LINK268"/>
        <w:bookmarkEnd w:id="14"/>
        <w:bookmarkStart w:id="15" w:name="OLE_LINK271"/>
        <w:bookmarkEnd w:id="15"/>
        <w:bookmarkStart w:id="16" w:name="OLE_LINK270"/>
        <w:bookmarkEnd w:id="16"/>
        <w:bookmarkStart w:id="17" w:name="OLE_LINK267"/>
        <w:bookmarkEnd w:id="17"/>
        <m:f>
          <m:fPr>
            <m:ctrlPr>
              <w:rPr>
                <w:rFonts w:hint="eastAsia" w:ascii="Cambria Math" w:hAnsi="Cambria Math"/>
                <w:sz w:val="24"/>
              </w:rPr>
            </m:ctrlPr>
          </m:fPr>
          <w:bookmarkStart w:id="18" w:name="OLE_LINK276"/>
          <w:bookmarkStart w:id="19" w:name="OLE_LINK275"/>
          <m:num>
            <m:acc>
              <m:accPr>
                <m:chr m:val="̅"/>
                <m:ctrlPr>
                  <w:rPr>
                    <w:rFonts w:ascii="Cambria Math" w:hAnsi="Cambria Math"/>
                    <w:sz w:val="24"/>
                  </w:rPr>
                </m:ctrlPr>
              </m:accPr>
              <m:e>
                <m:sSub>
                  <m:sSubPr>
                    <m:ctrlPr>
                      <w:rPr>
                        <w:rFonts w:hint="eastAsia" w:ascii="Cambria Math" w:hAnsi="Cambria Math"/>
                        <w:sz w:val="24"/>
                      </w:rPr>
                    </m:ctrlPr>
                  </m:sSubPr>
                  <m:e>
                    <m:r>
                      <m:rPr>
                        <m:sty m:val="p"/>
                      </m:rPr>
                      <w:rPr>
                        <w:rFonts w:hint="eastAsia" w:ascii="Cambria Math" w:hAnsi="Cambria Math"/>
                        <w:sz w:val="24"/>
                      </w:rPr>
                      <m:t>s</m:t>
                    </m:r>
                    <m:ctrlPr>
                      <w:rPr>
                        <w:rFonts w:hint="eastAsia" w:ascii="Cambria Math" w:hAnsi="Cambria Math"/>
                        <w:sz w:val="24"/>
                      </w:rPr>
                    </m:ctrlPr>
                  </m:e>
                  <m:sub>
                    <m:r>
                      <m:rPr/>
                      <w:rPr>
                        <w:rFonts w:hint="eastAsia" w:ascii="Cambria Math" w:hAnsi="Cambria Math" w:eastAsiaTheme="minorEastAsia"/>
                        <w:sz w:val="24"/>
                      </w:rPr>
                      <m:t>i</m:t>
                    </m:r>
                    <m:ctrlPr>
                      <w:rPr>
                        <w:rFonts w:hint="eastAsia" w:ascii="Cambria Math" w:hAnsi="Cambria Math"/>
                        <w:sz w:val="24"/>
                      </w:rPr>
                    </m:ctrlPr>
                  </m:sub>
                </m:sSub>
                <m:ctrlPr>
                  <w:rPr>
                    <w:rFonts w:ascii="Cambria Math" w:hAnsi="Cambria Math"/>
                    <w:sz w:val="24"/>
                  </w:rPr>
                </m:ctrlPr>
              </m:e>
            </m:acc>
            <m:r>
              <m:rPr>
                <m:sty m:val="p"/>
              </m:rPr>
              <w:rPr>
                <w:rFonts w:hint="eastAsia" w:ascii="Cambria Math" w:hAnsi="Cambria Math"/>
                <w:sz w:val="24"/>
              </w:rPr>
              <m:t>−</m:t>
            </m:r>
            <w:bookmarkEnd w:id="18"/>
            <w:bookmarkEnd w:id="19"/>
            <w:bookmarkStart w:id="20" w:name="OLE_LINK273"/>
            <w:bookmarkStart w:id="21" w:name="OLE_LINK272"/>
            <m:r>
              <m:rPr>
                <m:sty m:val="p"/>
              </m:rPr>
              <w:rPr>
                <w:rFonts w:hint="eastAsia" w:ascii="Cambria Math" w:hAnsi="Cambria Math"/>
                <w:sz w:val="24"/>
              </w:rPr>
              <m:t>s</m:t>
            </m:r>
            <w:bookmarkEnd w:id="20"/>
            <w:bookmarkEnd w:id="21"/>
            <m:ctrlPr>
              <w:rPr>
                <w:rFonts w:hint="eastAsia" w:ascii="Cambria Math" w:hAnsi="Cambria Math"/>
                <w:sz w:val="24"/>
              </w:rPr>
            </m:ctrlPr>
          </m:num>
          <m:den>
            <m:r>
              <m:rPr>
                <m:sty m:val="p"/>
              </m:rPr>
              <w:rPr>
                <w:rFonts w:hint="eastAsia" w:ascii="Cambria Math" w:hAnsi="Cambria Math"/>
                <w:sz w:val="24"/>
              </w:rPr>
              <m:t>s</m:t>
            </m:r>
            <m:ctrlPr>
              <w:rPr>
                <w:rFonts w:hint="eastAsia" w:ascii="Cambria Math" w:hAnsi="Cambria Math"/>
                <w:sz w:val="24"/>
              </w:rPr>
            </m:ctrlPr>
          </m:den>
        </m:f>
        <w:bookmarkStart w:id="22" w:name="_Hlk178498975"/>
        <m:r>
          <m:rPr>
            <m:sty m:val="p"/>
          </m:rPr>
          <w:rPr>
            <w:rFonts w:hint="eastAsia" w:ascii="Cambria Math" w:hAnsi="Cambria Math"/>
            <w:sz w:val="24"/>
          </w:rPr>
          <m:t>×100%</m:t>
        </m:r>
      </m:oMath>
      <w:bookmarkEnd w:id="22"/>
      <w:bookmarkStart w:id="23" w:name="OLE_LINK278"/>
      <w:bookmarkStart w:id="24" w:name="OLE_LINK277"/>
      <w:r>
        <w:rPr>
          <w:rFonts w:hint="eastAsia"/>
          <w:sz w:val="24"/>
        </w:rPr>
        <w:t>……………………………………</w:t>
      </w:r>
      <w:bookmarkEnd w:id="23"/>
      <w:bookmarkEnd w:id="24"/>
      <w:r>
        <w:rPr>
          <w:rFonts w:hint="eastAsia"/>
          <w:sz w:val="24"/>
        </w:rPr>
        <w:t>（2）</w:t>
      </w:r>
    </w:p>
    <w:p w14:paraId="78D91D87">
      <w:pPr>
        <w:spacing w:line="360" w:lineRule="auto"/>
        <w:ind w:firstLine="480" w:firstLineChars="200"/>
        <w:rPr>
          <w:sz w:val="24"/>
        </w:rPr>
      </w:pPr>
      <w:r>
        <w:rPr>
          <w:rFonts w:hint="eastAsia"/>
          <w:sz w:val="24"/>
        </w:rPr>
        <w:t>式中：</w:t>
      </w:r>
    </w:p>
    <w:p w14:paraId="49F907A2">
      <w:pPr>
        <w:spacing w:line="360" w:lineRule="auto"/>
        <w:ind w:firstLine="480" w:firstLineChars="200"/>
        <w:rPr>
          <w:sz w:val="24"/>
        </w:rPr>
      </w:pPr>
      <m:oMath>
        <m:sSub>
          <w:bookmarkStart w:id="25" w:name="_Hlk178497425"/>
          <m:sSubPr>
            <m:ctrlPr>
              <w:rPr>
                <w:rFonts w:ascii="Cambria Math" w:hAnsi="Cambria Math"/>
                <w:sz w:val="24"/>
              </w:rPr>
            </m:ctrlPr>
          </m:sSubPr>
          <m:e>
            <m:r>
              <m:rPr/>
              <w:rPr>
                <w:rFonts w:ascii="Cambria Math" w:hAnsi="Cambria Math"/>
                <w:sz w:val="24"/>
              </w:rPr>
              <m:t>δ</m:t>
            </m:r>
            <m:ctrlPr>
              <w:rPr>
                <w:rFonts w:ascii="Cambria Math" w:hAnsi="Cambria Math"/>
                <w:sz w:val="24"/>
              </w:rPr>
            </m:ctrlPr>
          </m:e>
          <m:sub>
            <m:r>
              <m:rPr/>
              <w:rPr>
                <w:rFonts w:hint="eastAsia" w:ascii="Cambria Math" w:hAnsi="Cambria Math"/>
                <w:sz w:val="24"/>
              </w:rPr>
              <m:t>i</m:t>
            </m:r>
            <m:ctrlPr>
              <w:rPr>
                <w:rFonts w:ascii="Cambria Math" w:hAnsi="Cambria Math"/>
                <w:sz w:val="24"/>
              </w:rPr>
            </m:ctrlPr>
          </m:sub>
        </m:sSub>
      </m:oMath>
      <w:r>
        <w:rPr>
          <w:rFonts w:hint="eastAsia"/>
          <w:sz w:val="24"/>
        </w:rPr>
        <w:t>——第i测量点的速度示值相对误差；</w:t>
      </w:r>
    </w:p>
    <w:p w14:paraId="34721640">
      <w:pPr>
        <w:spacing w:line="360" w:lineRule="auto"/>
        <w:ind w:firstLine="480" w:firstLineChars="200"/>
        <w:rPr>
          <w:sz w:val="24"/>
        </w:rPr>
      </w:pPr>
      <m:oMath>
        <m:acc>
          <m:accPr>
            <m:chr m:val="̅"/>
            <m:ctrlPr>
              <w:rPr>
                <w:rFonts w:ascii="Cambria Math" w:hAnsi="Cambria Math"/>
                <w:sz w:val="24"/>
              </w:rPr>
            </m:ctrlPr>
          </m:accPr>
          <m:e>
            <m:sSub>
              <m:sSubPr>
                <m:ctrlPr>
                  <w:rPr>
                    <w:rFonts w:hint="eastAsia" w:ascii="Cambria Math" w:hAnsi="Cambria Math"/>
                    <w:sz w:val="24"/>
                  </w:rPr>
                </m:ctrlPr>
              </m:sSubPr>
              <m:e>
                <m:r>
                  <m:rPr>
                    <m:sty m:val="p"/>
                  </m:rPr>
                  <w:rPr>
                    <w:rFonts w:hint="eastAsia" w:ascii="Cambria Math" w:hAnsi="Cambria Math"/>
                    <w:sz w:val="24"/>
                  </w:rPr>
                  <m:t>s</m:t>
                </m:r>
                <m:ctrlPr>
                  <w:rPr>
                    <w:rFonts w:hint="eastAsia" w:ascii="Cambria Math" w:hAnsi="Cambria Math"/>
                    <w:sz w:val="24"/>
                  </w:rPr>
                </m:ctrlPr>
              </m:e>
              <m:sub>
                <m:r>
                  <m:rPr/>
                  <w:rPr>
                    <w:rFonts w:hint="eastAsia" w:ascii="Cambria Math" w:hAnsi="Cambria Math" w:eastAsiaTheme="minorEastAsia"/>
                    <w:sz w:val="24"/>
                  </w:rPr>
                  <m:t>i</m:t>
                </m:r>
                <m:ctrlPr>
                  <w:rPr>
                    <w:rFonts w:hint="eastAsia" w:ascii="Cambria Math" w:hAnsi="Cambria Math"/>
                    <w:sz w:val="24"/>
                  </w:rPr>
                </m:ctrlPr>
              </m:sub>
            </m:sSub>
            <m:ctrlPr>
              <w:rPr>
                <w:rFonts w:ascii="Cambria Math" w:hAnsi="Cambria Math"/>
                <w:sz w:val="24"/>
              </w:rPr>
            </m:ctrlPr>
          </m:e>
        </m:acc>
      </m:oMath>
      <w:r>
        <w:rPr>
          <w:rFonts w:hint="eastAsia"/>
          <w:sz w:val="24"/>
        </w:rPr>
        <w:t>——第i测量点三次测量值的平均值，单位为（k</w:t>
      </w:r>
      <w:r>
        <w:rPr>
          <w:sz w:val="24"/>
        </w:rPr>
        <w:t>m/h</w:t>
      </w:r>
      <w:r>
        <w:rPr>
          <w:rFonts w:hint="eastAsia"/>
          <w:sz w:val="24"/>
        </w:rPr>
        <w:t>）；</w:t>
      </w:r>
    </w:p>
    <w:p w14:paraId="7EF8CDBD">
      <w:pPr>
        <w:spacing w:line="360" w:lineRule="auto"/>
        <w:ind w:firstLine="480" w:firstLineChars="200"/>
        <w:rPr>
          <w:sz w:val="24"/>
        </w:rPr>
      </w:pPr>
      <m:oMath>
        <m:r>
          <m:rPr>
            <m:sty m:val="p"/>
          </m:rPr>
          <w:rPr>
            <w:rFonts w:ascii="Cambria Math" w:hAnsi="Cambria Math"/>
            <w:sz w:val="24"/>
          </w:rPr>
          <m:t>s</m:t>
        </m:r>
      </m:oMath>
      <w:r>
        <w:rPr>
          <w:rFonts w:hint="eastAsia"/>
          <w:sz w:val="24"/>
        </w:rPr>
        <w:t>——第i测量点校准装置的标准值，单位为（k</w:t>
      </w:r>
      <w:r>
        <w:rPr>
          <w:sz w:val="24"/>
        </w:rPr>
        <w:t>m/h</w:t>
      </w:r>
      <w:r>
        <w:rPr>
          <w:rFonts w:hint="eastAsia"/>
          <w:sz w:val="24"/>
        </w:rPr>
        <w:t>）。</w:t>
      </w:r>
    </w:p>
    <w:bookmarkEnd w:id="25"/>
    <w:p w14:paraId="427C9172">
      <w:pPr>
        <w:pStyle w:val="52"/>
        <w:spacing w:line="400" w:lineRule="exact"/>
        <w:ind w:firstLine="0" w:firstLineChars="0"/>
        <w:rPr>
          <w:sz w:val="24"/>
          <w:highlight w:val="yellow"/>
        </w:rPr>
      </w:pPr>
      <w:r>
        <w:rPr>
          <w:rFonts w:hint="eastAsia" w:ascii="Times New Roman"/>
          <w:sz w:val="24"/>
          <w:szCs w:val="24"/>
        </w:rPr>
        <w:t>7</w:t>
      </w:r>
      <w:r>
        <w:rPr>
          <w:rFonts w:ascii="Times New Roman"/>
          <w:sz w:val="24"/>
          <w:szCs w:val="24"/>
        </w:rPr>
        <w:t>.2</w:t>
      </w:r>
      <w:r>
        <w:rPr>
          <w:rFonts w:hint="eastAsia" w:ascii="Times New Roman"/>
          <w:sz w:val="24"/>
          <w:szCs w:val="24"/>
        </w:rPr>
        <w:t xml:space="preserve"> </w:t>
      </w:r>
      <w:r>
        <w:rPr>
          <w:rFonts w:hint="eastAsia"/>
          <w:sz w:val="24"/>
        </w:rPr>
        <w:t>滑移率测量范围及示值误差</w:t>
      </w:r>
    </w:p>
    <w:p w14:paraId="699E8CA4">
      <w:pPr>
        <w:pStyle w:val="52"/>
        <w:spacing w:line="400" w:lineRule="exact"/>
        <w:ind w:firstLine="0" w:firstLineChars="0"/>
        <w:rPr>
          <w:sz w:val="24"/>
          <w:highlight w:val="yellow"/>
        </w:rPr>
      </w:pPr>
      <w:r>
        <w:rPr>
          <w:rFonts w:hint="eastAsia"/>
          <w:sz w:val="24"/>
        </w:rPr>
        <w:t xml:space="preserve">   </w:t>
      </w:r>
      <w:r>
        <w:rPr>
          <w:rFonts w:hint="eastAsia" w:ascii="Times New Roman"/>
          <w:kern w:val="2"/>
          <w:sz w:val="24"/>
          <w:szCs w:val="24"/>
        </w:rPr>
        <w:t xml:space="preserve"> 将校准装置电流的开关信号接在滑移率测量装置上，驱动滚轮和测量滚轮紧贴校准装置测量滚筒，滑移率测量装置驱动滚轮的速度设置为2.5km/h，启动电机，带动校准装置滚筒转动。控制滑移率测量装置驱动滚轮速度逐渐降低，当速度降至校准装置测得的滚筒线速度为2.0km/h时，校准装置发出电流开关信号，记录此停机时刻滑移率测量装置测得的滑移率。重复上述步骤，分别对速度降至校准装置测得的滚筒线速度为1.75km/h、1.5km/h时进行测量，</w:t>
      </w:r>
      <w:r>
        <w:rPr>
          <w:rFonts w:hint="eastAsia"/>
          <w:sz w:val="24"/>
        </w:rPr>
        <w:t>按公式（3）计算滑移率示值误差</w:t>
      </w:r>
      <w:r>
        <w:rPr>
          <w:rFonts w:hint="eastAsia" w:ascii="Times New Roman"/>
          <w:kern w:val="2"/>
          <w:sz w:val="24"/>
          <w:szCs w:val="24"/>
        </w:rPr>
        <w:t>。</w:t>
      </w:r>
    </w:p>
    <w:p w14:paraId="7E864778">
      <w:pPr>
        <w:spacing w:line="360" w:lineRule="auto"/>
        <w:ind w:firstLine="480" w:firstLineChars="200"/>
        <w:jc w:val="right"/>
        <w:rPr>
          <w:sz w:val="24"/>
          <w:highlight w:val="none"/>
        </w:rPr>
      </w:pPr>
      <m:oMath>
        <m:sSub>
          <m:sSubPr>
            <m:ctrlPr>
              <w:rPr>
                <w:rFonts w:ascii="Cambria Math" w:hAnsi="Cambria Math"/>
                <w:i/>
                <w:sz w:val="24"/>
                <w:highlight w:val="none"/>
              </w:rPr>
            </m:ctrlPr>
          </m:sSubPr>
          <m:e>
            <m:r>
              <m:rPr/>
              <w:rPr>
                <w:rFonts w:ascii="Cambria Math" w:hAnsi="Cambria Math"/>
                <w:sz w:val="24"/>
                <w:highlight w:val="none"/>
              </w:rPr>
              <m:t>∆</m:t>
            </m:r>
            <m:ctrlPr>
              <w:rPr>
                <w:rFonts w:ascii="Cambria Math" w:hAnsi="Cambria Math"/>
                <w:i/>
                <w:sz w:val="24"/>
                <w:highlight w:val="none"/>
              </w:rPr>
            </m:ctrlPr>
          </m:e>
          <m:sub>
            <m:r>
              <m:rPr/>
              <w:rPr>
                <w:rFonts w:ascii="Cambria Math" w:hAnsi="Cambria Math"/>
                <w:sz w:val="24"/>
                <w:highlight w:val="none"/>
              </w:rPr>
              <m:t>i</m:t>
            </m:r>
            <m:ctrlPr>
              <w:rPr>
                <w:rFonts w:ascii="Cambria Math" w:hAnsi="Cambria Math"/>
                <w:i/>
                <w:sz w:val="24"/>
                <w:highlight w:val="none"/>
              </w:rPr>
            </m:ctrlPr>
          </m:sub>
        </m:sSub>
        <m:r>
          <m:rPr>
            <m:sty m:val="p"/>
          </m:rPr>
          <w:rPr>
            <w:rFonts w:hint="eastAsia" w:ascii="Cambria Math" w:hAnsi="Cambria Math"/>
            <w:sz w:val="24"/>
            <w:highlight w:val="none"/>
          </w:rPr>
          <m:t>=</m:t>
        </m:r>
        <m:sSub>
          <m:sSubPr>
            <m:ctrlPr>
              <w:rPr>
                <w:rFonts w:ascii="Cambria Math" w:hAnsi="Cambria Math"/>
                <w:sz w:val="24"/>
                <w:highlight w:val="none"/>
              </w:rPr>
            </m:ctrlPr>
          </m:sSubPr>
          <m:e>
            <m:r>
              <m:rPr>
                <m:sty m:val="p"/>
              </m:rPr>
              <w:rPr>
                <w:rFonts w:ascii="Cambria Math" w:hAnsi="Cambria Math" w:cs="Cambria Math"/>
                <w:sz w:val="24"/>
                <w:highlight w:val="none"/>
              </w:rPr>
              <m:t>ε</m:t>
            </m:r>
            <m:ctrlPr>
              <w:rPr>
                <w:rFonts w:ascii="Cambria Math" w:hAnsi="Cambria Math"/>
                <w:sz w:val="24"/>
                <w:highlight w:val="none"/>
              </w:rPr>
            </m:ctrlPr>
          </m:e>
          <m:sub>
            <m:r>
              <m:rPr>
                <m:sty m:val="p"/>
              </m:rPr>
              <w:rPr>
                <w:rFonts w:hint="eastAsia" w:ascii="Cambria Math" w:hAnsi="Cambria Math"/>
                <w:sz w:val="24"/>
                <w:highlight w:val="none"/>
              </w:rPr>
              <m:t>i</m:t>
            </m:r>
            <m:ctrlPr>
              <w:rPr>
                <w:rFonts w:ascii="Cambria Math" w:hAnsi="Cambria Math"/>
                <w:sz w:val="24"/>
                <w:highlight w:val="none"/>
              </w:rPr>
            </m:ctrlPr>
          </m:sub>
        </m:sSub>
        <m:r>
          <m:rPr>
            <m:sty m:val="p"/>
          </m:rPr>
          <w:rPr>
            <w:rFonts w:ascii="Cambria Math" w:hAnsi="Cambria Math"/>
            <w:sz w:val="24"/>
            <w:highlight w:val="none"/>
          </w:rPr>
          <m:t>−</m:t>
        </m:r>
        <m:r>
          <m:rPr>
            <m:sty m:val="p"/>
          </m:rPr>
          <w:rPr>
            <w:rFonts w:ascii="Cambria Math" w:hAnsi="Cambria Math" w:cs="Cambria Math"/>
            <w:sz w:val="24"/>
            <w:highlight w:val="none"/>
          </w:rPr>
          <m:t>ε</m:t>
        </m:r>
      </m:oMath>
      <w:r>
        <w:rPr>
          <w:rFonts w:hint="eastAsia"/>
          <w:sz w:val="24"/>
          <w:highlight w:val="none"/>
        </w:rPr>
        <w:t>……………………………………（3）</w:t>
      </w:r>
    </w:p>
    <w:p w14:paraId="1AED3E9F">
      <w:pPr>
        <w:spacing w:line="360" w:lineRule="auto"/>
        <w:ind w:firstLine="480" w:firstLineChars="200"/>
        <w:rPr>
          <w:sz w:val="24"/>
          <w:highlight w:val="none"/>
        </w:rPr>
      </w:pPr>
      <w:r>
        <w:rPr>
          <w:rFonts w:hint="eastAsia"/>
          <w:sz w:val="24"/>
          <w:highlight w:val="none"/>
        </w:rPr>
        <w:t>式中：</w:t>
      </w:r>
    </w:p>
    <w:p w14:paraId="715A1D75">
      <w:pPr>
        <w:pStyle w:val="52"/>
        <w:spacing w:line="400" w:lineRule="exact"/>
        <w:ind w:firstLine="480"/>
        <w:rPr>
          <w:sz w:val="24"/>
          <w:highlight w:val="none"/>
        </w:rPr>
      </w:pPr>
      <m:oMath>
        <m:sSub>
          <m:sSubPr>
            <m:ctrlPr>
              <w:rPr>
                <w:rFonts w:ascii="Cambria Math" w:hAnsi="Cambria Math"/>
                <w:sz w:val="24"/>
                <w:highlight w:val="none"/>
              </w:rPr>
            </m:ctrlPr>
          </m:sSubPr>
          <m:e>
            <m:r>
              <m:rPr>
                <m:sty m:val="p"/>
              </m:rPr>
              <w:rPr>
                <w:rFonts w:ascii="Cambria Math" w:hAnsi="Cambria Math" w:cs="Cambria Math"/>
                <w:sz w:val="24"/>
                <w:highlight w:val="none"/>
              </w:rPr>
              <m:t>ε</m:t>
            </m:r>
            <m:ctrlPr>
              <w:rPr>
                <w:rFonts w:ascii="Cambria Math" w:hAnsi="Cambria Math"/>
                <w:sz w:val="24"/>
                <w:highlight w:val="none"/>
              </w:rPr>
            </m:ctrlPr>
          </m:e>
          <m:sub>
            <m:r>
              <m:rPr>
                <m:sty m:val="p"/>
              </m:rPr>
              <w:rPr>
                <w:rFonts w:hint="eastAsia" w:ascii="Cambria Math" w:hAnsi="Cambria Math"/>
                <w:sz w:val="24"/>
                <w:highlight w:val="none"/>
              </w:rPr>
              <m:t>i</m:t>
            </m:r>
            <m:ctrlPr>
              <w:rPr>
                <w:rFonts w:ascii="Cambria Math" w:hAnsi="Cambria Math"/>
                <w:sz w:val="24"/>
                <w:highlight w:val="none"/>
              </w:rPr>
            </m:ctrlPr>
          </m:sub>
        </m:sSub>
      </m:oMath>
      <w:r>
        <w:rPr>
          <w:rFonts w:hint="eastAsia"/>
          <w:sz w:val="24"/>
          <w:highlight w:val="none"/>
        </w:rPr>
        <w:t>——第i测量点</w:t>
      </w:r>
      <w:r>
        <w:rPr>
          <w:rFonts w:hint="eastAsia" w:ascii="Times New Roman"/>
          <w:kern w:val="2"/>
          <w:sz w:val="24"/>
          <w:szCs w:val="24"/>
          <w:highlight w:val="none"/>
        </w:rPr>
        <w:t>停机时刻滑移率测量装置显示的滑移率</w:t>
      </w:r>
      <w:r>
        <w:rPr>
          <w:rFonts w:hint="eastAsia"/>
          <w:sz w:val="24"/>
          <w:highlight w:val="none"/>
        </w:rPr>
        <w:t>，单位为（%）；</w:t>
      </w:r>
    </w:p>
    <w:p w14:paraId="529DD9B5">
      <w:pPr>
        <w:pStyle w:val="52"/>
        <w:spacing w:line="400" w:lineRule="exact"/>
        <w:ind w:firstLine="480"/>
        <w:rPr>
          <w:sz w:val="24"/>
          <w:highlight w:val="none"/>
        </w:rPr>
      </w:pPr>
      <m:oMath>
        <m:r>
          <m:rPr>
            <m:sty m:val="p"/>
          </m:rPr>
          <w:rPr>
            <w:rFonts w:ascii="Cambria Math" w:hAnsi="Cambria Math" w:cs="Cambria Math"/>
            <w:sz w:val="24"/>
            <w:highlight w:val="none"/>
          </w:rPr>
          <m:t>ε</m:t>
        </m:r>
      </m:oMath>
      <w:r>
        <w:rPr>
          <w:rFonts w:hint="eastAsia"/>
          <w:sz w:val="24"/>
          <w:highlight w:val="none"/>
        </w:rPr>
        <w:t>——第i测量点</w:t>
      </w:r>
      <w:r>
        <w:rPr>
          <w:rFonts w:hint="eastAsia" w:ascii="Times New Roman"/>
          <w:kern w:val="2"/>
          <w:sz w:val="24"/>
          <w:szCs w:val="24"/>
          <w:highlight w:val="none"/>
        </w:rPr>
        <w:t>停机时刻校准装置测得的滑移率</w:t>
      </w:r>
      <w:r>
        <w:rPr>
          <w:rFonts w:hint="eastAsia"/>
          <w:sz w:val="24"/>
          <w:highlight w:val="none"/>
        </w:rPr>
        <w:t>，单位为（%）。</w:t>
      </w:r>
    </w:p>
    <w:p w14:paraId="03870064">
      <w:pPr>
        <w:pStyle w:val="2"/>
        <w:keepNext w:val="0"/>
        <w:keepLines w:val="0"/>
        <w:spacing w:before="0" w:after="0" w:line="480" w:lineRule="auto"/>
        <w:rPr>
          <w:rFonts w:eastAsia="黑体"/>
          <w:b w:val="0"/>
          <w:bCs w:val="0"/>
          <w:kern w:val="2"/>
          <w:sz w:val="24"/>
          <w:szCs w:val="24"/>
        </w:rPr>
      </w:pPr>
      <w:bookmarkStart w:id="26" w:name="_Toc25603"/>
      <w:r>
        <w:rPr>
          <w:rFonts w:hint="eastAsia" w:eastAsia="黑体"/>
          <w:b w:val="0"/>
          <w:bCs w:val="0"/>
          <w:kern w:val="2"/>
          <w:sz w:val="24"/>
          <w:szCs w:val="24"/>
        </w:rPr>
        <w:t xml:space="preserve">8  </w:t>
      </w:r>
      <w:r>
        <w:rPr>
          <w:rFonts w:eastAsia="黑体"/>
          <w:b w:val="0"/>
          <w:bCs w:val="0"/>
          <w:kern w:val="2"/>
          <w:sz w:val="24"/>
          <w:szCs w:val="24"/>
        </w:rPr>
        <w:t>校准结果的表达</w:t>
      </w:r>
      <w:bookmarkEnd w:id="26"/>
    </w:p>
    <w:p w14:paraId="43564EE8">
      <w:pPr>
        <w:spacing w:line="360" w:lineRule="auto"/>
        <w:ind w:firstLine="480" w:firstLineChars="200"/>
        <w:rPr>
          <w:kern w:val="0"/>
          <w:sz w:val="24"/>
        </w:rPr>
      </w:pPr>
      <w:r>
        <w:rPr>
          <w:rFonts w:hint="eastAsia"/>
          <w:kern w:val="0"/>
          <w:sz w:val="24"/>
        </w:rPr>
        <w:t>滑移率测量装置经校准后，出具校准证书，校准证书内容按JJF 1071-2010的5.12给出，推荐的校准证书内页格式及校准记录格式见附录A、附录B。</w:t>
      </w:r>
      <w:bookmarkStart w:id="27" w:name="_Toc199563275"/>
    </w:p>
    <w:bookmarkEnd w:id="27"/>
    <w:p w14:paraId="50FBFE4A">
      <w:pPr>
        <w:pStyle w:val="2"/>
        <w:keepNext w:val="0"/>
        <w:keepLines w:val="0"/>
        <w:spacing w:before="0" w:after="0" w:line="480" w:lineRule="auto"/>
        <w:rPr>
          <w:rFonts w:eastAsia="黑体"/>
          <w:b w:val="0"/>
          <w:bCs w:val="0"/>
          <w:kern w:val="2"/>
          <w:sz w:val="24"/>
          <w:szCs w:val="24"/>
        </w:rPr>
      </w:pPr>
      <w:bookmarkStart w:id="28" w:name="_Toc32455"/>
      <w:bookmarkStart w:id="29" w:name="_Toc191355795"/>
      <w:bookmarkStart w:id="30" w:name="_Toc199563276"/>
      <w:r>
        <w:rPr>
          <w:rFonts w:hint="eastAsia" w:eastAsia="黑体"/>
          <w:b w:val="0"/>
          <w:bCs w:val="0"/>
          <w:kern w:val="2"/>
          <w:sz w:val="24"/>
          <w:szCs w:val="24"/>
        </w:rPr>
        <w:t xml:space="preserve">9  </w:t>
      </w:r>
      <w:r>
        <w:rPr>
          <w:rFonts w:eastAsia="黑体"/>
          <w:b w:val="0"/>
          <w:bCs w:val="0"/>
          <w:kern w:val="2"/>
          <w:sz w:val="24"/>
          <w:szCs w:val="24"/>
        </w:rPr>
        <w:t>复校时间间隔</w:t>
      </w:r>
      <w:bookmarkEnd w:id="28"/>
      <w:bookmarkEnd w:id="29"/>
      <w:bookmarkEnd w:id="30"/>
    </w:p>
    <w:p w14:paraId="6EA09211">
      <w:pPr>
        <w:spacing w:line="360" w:lineRule="auto"/>
        <w:ind w:firstLine="480" w:firstLineChars="200"/>
        <w:rPr>
          <w:kern w:val="0"/>
          <w:sz w:val="24"/>
        </w:rPr>
      </w:pPr>
      <w:r>
        <w:rPr>
          <w:rFonts w:hint="eastAsia"/>
          <w:kern w:val="0"/>
          <w:sz w:val="24"/>
        </w:rPr>
        <w:t>滑移率测量装置</w:t>
      </w:r>
      <w:r>
        <w:rPr>
          <w:kern w:val="0"/>
          <w:sz w:val="24"/>
        </w:rPr>
        <w:t>复校时间间隔建议一般不超过</w:t>
      </w:r>
      <w:r>
        <w:rPr>
          <w:rFonts w:hint="eastAsia"/>
          <w:kern w:val="0"/>
          <w:sz w:val="24"/>
        </w:rPr>
        <w:t>1年</w:t>
      </w:r>
      <w:r>
        <w:rPr>
          <w:kern w:val="0"/>
          <w:sz w:val="24"/>
        </w:rPr>
        <w:t>。由于复校时间间隔的长短是由仪器的使用情况、使用者、仪器本身质量等诸因素所决定的，因此，送校单位可根据实际情况自主决定复校时间间隔。</w:t>
      </w:r>
    </w:p>
    <w:p w14:paraId="797E1314">
      <w:pPr>
        <w:widowControl/>
        <w:jc w:val="left"/>
        <w:rPr>
          <w:kern w:val="0"/>
          <w:sz w:val="24"/>
        </w:rPr>
      </w:pPr>
      <w:r>
        <w:rPr>
          <w:kern w:val="0"/>
          <w:sz w:val="24"/>
        </w:rPr>
        <w:br w:type="page"/>
      </w:r>
    </w:p>
    <w:p w14:paraId="26B5C788">
      <w:pPr>
        <w:pStyle w:val="2"/>
        <w:keepNext w:val="0"/>
        <w:keepLines w:val="0"/>
        <w:spacing w:before="0" w:after="0" w:line="480" w:lineRule="auto"/>
        <w:rPr>
          <w:rFonts w:eastAsia="黑体"/>
          <w:b w:val="0"/>
          <w:bCs w:val="0"/>
          <w:kern w:val="2"/>
          <w:sz w:val="24"/>
          <w:szCs w:val="24"/>
        </w:rPr>
      </w:pPr>
      <w:bookmarkStart w:id="31" w:name="_Toc29718"/>
      <w:r>
        <w:rPr>
          <w:rFonts w:eastAsia="黑体"/>
          <w:b w:val="0"/>
          <w:bCs w:val="0"/>
          <w:kern w:val="2"/>
          <w:sz w:val="24"/>
          <w:szCs w:val="24"/>
        </w:rPr>
        <w:t>附录A</w:t>
      </w:r>
      <w:bookmarkEnd w:id="31"/>
    </w:p>
    <w:p w14:paraId="448CD146">
      <w:pPr>
        <w:spacing w:line="360" w:lineRule="auto"/>
        <w:jc w:val="center"/>
        <w:rPr>
          <w:rFonts w:eastAsia="黑体"/>
          <w:sz w:val="32"/>
          <w:szCs w:val="32"/>
        </w:rPr>
      </w:pPr>
      <w:r>
        <w:rPr>
          <w:rFonts w:hint="eastAsia" w:eastAsia="黑体"/>
          <w:sz w:val="32"/>
          <w:szCs w:val="32"/>
        </w:rPr>
        <w:t>汽车制动滑移率测量装置校准记录（式样）</w:t>
      </w:r>
    </w:p>
    <w:tbl>
      <w:tblPr>
        <w:tblStyle w:val="35"/>
        <w:tblW w:w="4998" w:type="pct"/>
        <w:tblInd w:w="0" w:type="dxa"/>
        <w:tblLayout w:type="fixed"/>
        <w:tblCellMar>
          <w:top w:w="15" w:type="dxa"/>
          <w:left w:w="15" w:type="dxa"/>
          <w:bottom w:w="15" w:type="dxa"/>
          <w:right w:w="15" w:type="dxa"/>
        </w:tblCellMar>
      </w:tblPr>
      <w:tblGrid>
        <w:gridCol w:w="602"/>
        <w:gridCol w:w="2115"/>
        <w:gridCol w:w="763"/>
        <w:gridCol w:w="225"/>
        <w:gridCol w:w="537"/>
        <w:gridCol w:w="682"/>
        <w:gridCol w:w="613"/>
        <w:gridCol w:w="443"/>
        <w:gridCol w:w="263"/>
        <w:gridCol w:w="789"/>
        <w:gridCol w:w="622"/>
        <w:gridCol w:w="342"/>
        <w:gridCol w:w="365"/>
        <w:gridCol w:w="709"/>
      </w:tblGrid>
      <w:tr w14:paraId="6AA2D462">
        <w:tblPrEx>
          <w:tblCellMar>
            <w:top w:w="15" w:type="dxa"/>
            <w:left w:w="15" w:type="dxa"/>
            <w:bottom w:w="15" w:type="dxa"/>
            <w:right w:w="15" w:type="dxa"/>
          </w:tblCellMar>
        </w:tblPrEx>
        <w:trPr>
          <w:trHeight w:val="285" w:hRule="atLeast"/>
        </w:trPr>
        <w:tc>
          <w:tcPr>
            <w:tcW w:w="5000" w:type="pct"/>
            <w:gridSpan w:val="14"/>
            <w:tcBorders>
              <w:top w:val="single" w:color="000000" w:sz="4" w:space="0"/>
              <w:left w:val="single" w:color="000000" w:sz="4" w:space="0"/>
              <w:bottom w:val="single" w:color="000000" w:sz="4" w:space="0"/>
              <w:right w:val="single" w:color="000000" w:sz="4" w:space="0"/>
            </w:tcBorders>
            <w:vAlign w:val="center"/>
          </w:tcPr>
          <w:p w14:paraId="56EA0C6A">
            <w:pPr>
              <w:pStyle w:val="52"/>
              <w:tabs>
                <w:tab w:val="center" w:pos="4201"/>
                <w:tab w:val="right" w:leader="dot" w:pos="9298"/>
              </w:tabs>
              <w:ind w:firstLine="0" w:firstLineChars="0"/>
            </w:pPr>
            <w:r>
              <w:rPr>
                <w:rFonts w:hint="eastAsia"/>
              </w:rPr>
              <w:t>一、基本信息</w:t>
            </w:r>
          </w:p>
        </w:tc>
      </w:tr>
      <w:tr w14:paraId="2BCD1390">
        <w:tblPrEx>
          <w:tblCellMar>
            <w:top w:w="15" w:type="dxa"/>
            <w:left w:w="15" w:type="dxa"/>
            <w:bottom w:w="15" w:type="dxa"/>
            <w:right w:w="15" w:type="dxa"/>
          </w:tblCellMar>
        </w:tblPrEx>
        <w:trPr>
          <w:trHeight w:val="285" w:hRule="atLeast"/>
        </w:trPr>
        <w:tc>
          <w:tcPr>
            <w:tcW w:w="1498" w:type="pct"/>
            <w:gridSpan w:val="2"/>
            <w:tcBorders>
              <w:top w:val="single" w:color="000000" w:sz="4" w:space="0"/>
              <w:left w:val="single" w:color="000000" w:sz="4" w:space="0"/>
              <w:bottom w:val="single" w:color="000000" w:sz="4" w:space="0"/>
              <w:right w:val="single" w:color="000000" w:sz="4" w:space="0"/>
            </w:tcBorders>
            <w:vAlign w:val="center"/>
          </w:tcPr>
          <w:p w14:paraId="63728C47">
            <w:pPr>
              <w:pStyle w:val="52"/>
              <w:tabs>
                <w:tab w:val="center" w:pos="4201"/>
                <w:tab w:val="right" w:leader="dot" w:pos="9298"/>
              </w:tabs>
              <w:ind w:firstLine="0" w:firstLineChars="0"/>
              <w:jc w:val="center"/>
            </w:pPr>
            <w:r>
              <w:rPr>
                <w:rFonts w:hint="eastAsia"/>
              </w:rPr>
              <w:t>委托单位</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28059CD0">
            <w:pPr>
              <w:pStyle w:val="52"/>
              <w:tabs>
                <w:tab w:val="center" w:pos="4201"/>
                <w:tab w:val="right" w:leader="dot" w:pos="9298"/>
              </w:tabs>
              <w:ind w:firstLine="0" w:firstLineChars="0"/>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768741A5">
            <w:pPr>
              <w:pStyle w:val="52"/>
              <w:tabs>
                <w:tab w:val="center" w:pos="4201"/>
                <w:tab w:val="right" w:leader="dot" w:pos="9298"/>
              </w:tabs>
              <w:ind w:firstLine="420"/>
            </w:pPr>
            <w:r>
              <w:rPr>
                <w:rFonts w:hint="eastAsia"/>
              </w:rPr>
              <w:t>记录编号</w:t>
            </w: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195E59E2">
            <w:pPr>
              <w:pStyle w:val="52"/>
              <w:tabs>
                <w:tab w:val="center" w:pos="4201"/>
                <w:tab w:val="right" w:leader="dot" w:pos="9298"/>
              </w:tabs>
              <w:ind w:firstLine="0" w:firstLineChars="0"/>
            </w:pPr>
          </w:p>
        </w:tc>
      </w:tr>
      <w:tr w14:paraId="30929AA1">
        <w:tblPrEx>
          <w:tblCellMar>
            <w:top w:w="15" w:type="dxa"/>
            <w:left w:w="15" w:type="dxa"/>
            <w:bottom w:w="15" w:type="dxa"/>
            <w:right w:w="15" w:type="dxa"/>
          </w:tblCellMar>
        </w:tblPrEx>
        <w:trPr>
          <w:trHeight w:val="285" w:hRule="atLeast"/>
        </w:trPr>
        <w:tc>
          <w:tcPr>
            <w:tcW w:w="332" w:type="pct"/>
            <w:vMerge w:val="restart"/>
            <w:tcBorders>
              <w:top w:val="single" w:color="000000" w:sz="4" w:space="0"/>
              <w:left w:val="single" w:color="000000" w:sz="4" w:space="0"/>
              <w:bottom w:val="single" w:color="000000" w:sz="4" w:space="0"/>
              <w:right w:val="single" w:color="000000" w:sz="4" w:space="0"/>
            </w:tcBorders>
            <w:vAlign w:val="center"/>
          </w:tcPr>
          <w:p w14:paraId="18A1B313">
            <w:pPr>
              <w:pStyle w:val="52"/>
              <w:tabs>
                <w:tab w:val="center" w:pos="4201"/>
                <w:tab w:val="right" w:leader="dot" w:pos="9298"/>
              </w:tabs>
              <w:ind w:firstLine="0" w:firstLineChars="0"/>
              <w:jc w:val="center"/>
            </w:pPr>
            <w:r>
              <w:rPr>
                <w:rFonts w:hint="eastAsia"/>
              </w:rPr>
              <w:t>样品信息</w:t>
            </w:r>
          </w:p>
        </w:tc>
        <w:tc>
          <w:tcPr>
            <w:tcW w:w="1165" w:type="pct"/>
            <w:tcBorders>
              <w:top w:val="single" w:color="000000" w:sz="4" w:space="0"/>
              <w:left w:val="single" w:color="000000" w:sz="4" w:space="0"/>
              <w:bottom w:val="single" w:color="000000" w:sz="4" w:space="0"/>
              <w:right w:val="single" w:color="000000" w:sz="4" w:space="0"/>
            </w:tcBorders>
            <w:vAlign w:val="center"/>
          </w:tcPr>
          <w:p w14:paraId="14680517">
            <w:pPr>
              <w:pStyle w:val="52"/>
              <w:tabs>
                <w:tab w:val="center" w:pos="4201"/>
                <w:tab w:val="right" w:leader="dot" w:pos="9298"/>
              </w:tabs>
              <w:ind w:firstLine="0" w:firstLineChars="0"/>
              <w:jc w:val="center"/>
            </w:pPr>
            <w:r>
              <w:rPr>
                <w:rFonts w:hint="eastAsia"/>
              </w:rPr>
              <w:t>名称</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592025D7">
            <w:pPr>
              <w:pStyle w:val="52"/>
              <w:tabs>
                <w:tab w:val="center" w:pos="4201"/>
                <w:tab w:val="right" w:leader="dot" w:pos="9298"/>
              </w:tabs>
              <w:ind w:firstLine="0" w:firstLineChars="0"/>
            </w:pPr>
          </w:p>
        </w:tc>
        <w:tc>
          <w:tcPr>
            <w:tcW w:w="582" w:type="pct"/>
            <w:gridSpan w:val="2"/>
            <w:tcBorders>
              <w:top w:val="single" w:color="000000" w:sz="4" w:space="0"/>
              <w:left w:val="single" w:color="000000" w:sz="4" w:space="0"/>
              <w:bottom w:val="single" w:color="000000" w:sz="4" w:space="0"/>
              <w:right w:val="single" w:color="000000" w:sz="4" w:space="0"/>
            </w:tcBorders>
            <w:vAlign w:val="center"/>
          </w:tcPr>
          <w:p w14:paraId="470DC43C">
            <w:pPr>
              <w:pStyle w:val="52"/>
              <w:tabs>
                <w:tab w:val="center" w:pos="4201"/>
                <w:tab w:val="right" w:leader="dot" w:pos="9298"/>
              </w:tabs>
              <w:ind w:firstLine="0" w:firstLineChars="0"/>
              <w:jc w:val="center"/>
            </w:pPr>
            <w:r>
              <w:rPr>
                <w:rFonts w:hint="eastAsia"/>
              </w:rPr>
              <w:t>型号/规格</w:t>
            </w:r>
          </w:p>
        </w:tc>
        <w:tc>
          <w:tcPr>
            <w:tcW w:w="580" w:type="pct"/>
            <w:gridSpan w:val="2"/>
            <w:tcBorders>
              <w:top w:val="single" w:color="000000" w:sz="4" w:space="0"/>
              <w:left w:val="single" w:color="000000" w:sz="4" w:space="0"/>
              <w:bottom w:val="single" w:color="000000" w:sz="4" w:space="0"/>
              <w:right w:val="single" w:color="000000" w:sz="4" w:space="0"/>
            </w:tcBorders>
            <w:vAlign w:val="center"/>
          </w:tcPr>
          <w:p w14:paraId="516358F6">
            <w:pPr>
              <w:pStyle w:val="52"/>
              <w:tabs>
                <w:tab w:val="center" w:pos="4201"/>
                <w:tab w:val="right" w:leader="dot" w:pos="9298"/>
              </w:tabs>
              <w:ind w:firstLine="0" w:firstLineChars="0"/>
            </w:pPr>
          </w:p>
        </w:tc>
        <w:tc>
          <w:tcPr>
            <w:tcW w:w="531" w:type="pct"/>
            <w:gridSpan w:val="2"/>
            <w:tcBorders>
              <w:top w:val="single" w:color="000000" w:sz="4" w:space="0"/>
              <w:left w:val="single" w:color="000000" w:sz="4" w:space="0"/>
              <w:bottom w:val="single" w:color="000000" w:sz="4" w:space="0"/>
              <w:right w:val="single" w:color="000000" w:sz="4" w:space="0"/>
            </w:tcBorders>
            <w:vAlign w:val="center"/>
          </w:tcPr>
          <w:p w14:paraId="417239FB">
            <w:pPr>
              <w:pStyle w:val="52"/>
              <w:tabs>
                <w:tab w:val="center" w:pos="4201"/>
                <w:tab w:val="right" w:leader="dot" w:pos="9298"/>
              </w:tabs>
              <w:ind w:firstLine="0" w:firstLineChars="0"/>
              <w:jc w:val="center"/>
            </w:pPr>
            <w:r>
              <w:rPr>
                <w:rFonts w:hint="eastAsia"/>
              </w:rPr>
              <w:t>分辨力</w:t>
            </w:r>
          </w:p>
        </w:tc>
        <w:tc>
          <w:tcPr>
            <w:tcW w:w="590" w:type="pct"/>
            <w:gridSpan w:val="2"/>
            <w:tcBorders>
              <w:top w:val="single" w:color="000000" w:sz="4" w:space="0"/>
              <w:left w:val="single" w:color="000000" w:sz="4" w:space="0"/>
              <w:bottom w:val="single" w:color="000000" w:sz="4" w:space="0"/>
              <w:right w:val="single" w:color="000000" w:sz="4" w:space="0"/>
            </w:tcBorders>
            <w:vAlign w:val="center"/>
          </w:tcPr>
          <w:p w14:paraId="47BD8BA2">
            <w:pPr>
              <w:pStyle w:val="52"/>
              <w:tabs>
                <w:tab w:val="center" w:pos="4201"/>
                <w:tab w:val="right" w:leader="dot" w:pos="9298"/>
              </w:tabs>
              <w:ind w:firstLine="0" w:firstLineChars="0"/>
            </w:pPr>
          </w:p>
        </w:tc>
      </w:tr>
      <w:tr w14:paraId="6A85BB2E">
        <w:tblPrEx>
          <w:tblCellMar>
            <w:top w:w="15" w:type="dxa"/>
            <w:left w:w="15" w:type="dxa"/>
            <w:bottom w:w="15" w:type="dxa"/>
            <w:right w:w="15" w:type="dxa"/>
          </w:tblCellMar>
        </w:tblPrEx>
        <w:trPr>
          <w:trHeight w:val="285"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7E2D542">
            <w:pPr>
              <w:pStyle w:val="52"/>
              <w:tabs>
                <w:tab w:val="center" w:pos="4201"/>
                <w:tab w:val="right" w:leader="dot" w:pos="9298"/>
              </w:tabs>
              <w:ind w:firstLine="420"/>
            </w:pPr>
          </w:p>
        </w:tc>
        <w:tc>
          <w:tcPr>
            <w:tcW w:w="1165" w:type="pct"/>
            <w:tcBorders>
              <w:top w:val="single" w:color="000000" w:sz="4" w:space="0"/>
              <w:left w:val="single" w:color="000000" w:sz="4" w:space="0"/>
              <w:bottom w:val="single" w:color="000000" w:sz="4" w:space="0"/>
              <w:right w:val="single" w:color="000000" w:sz="4" w:space="0"/>
            </w:tcBorders>
            <w:vAlign w:val="center"/>
          </w:tcPr>
          <w:p w14:paraId="45952725">
            <w:pPr>
              <w:pStyle w:val="52"/>
              <w:tabs>
                <w:tab w:val="center" w:pos="4201"/>
                <w:tab w:val="right" w:leader="dot" w:pos="9298"/>
              </w:tabs>
              <w:ind w:firstLine="0" w:firstLineChars="0"/>
              <w:jc w:val="center"/>
            </w:pPr>
            <w:r>
              <w:rPr>
                <w:rFonts w:hint="eastAsia"/>
              </w:rPr>
              <w:t>制造厂</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50698511">
            <w:pPr>
              <w:pStyle w:val="52"/>
              <w:tabs>
                <w:tab w:val="center" w:pos="4201"/>
                <w:tab w:val="right" w:leader="dot" w:pos="9298"/>
              </w:tabs>
              <w:ind w:firstLine="0" w:firstLineChars="0"/>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5524686D">
            <w:pPr>
              <w:pStyle w:val="52"/>
              <w:tabs>
                <w:tab w:val="center" w:pos="4201"/>
                <w:tab w:val="right" w:leader="dot" w:pos="9298"/>
              </w:tabs>
              <w:ind w:firstLine="0" w:firstLineChars="0"/>
              <w:jc w:val="center"/>
            </w:pPr>
            <w:r>
              <w:rPr>
                <w:rFonts w:hint="eastAsia"/>
              </w:rPr>
              <w:t>出厂编号</w:t>
            </w: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4967DF37">
            <w:pPr>
              <w:pStyle w:val="52"/>
              <w:tabs>
                <w:tab w:val="center" w:pos="4201"/>
                <w:tab w:val="right" w:leader="dot" w:pos="9298"/>
              </w:tabs>
              <w:ind w:firstLine="0" w:firstLineChars="0"/>
            </w:pPr>
          </w:p>
        </w:tc>
      </w:tr>
      <w:tr w14:paraId="296D234C">
        <w:tblPrEx>
          <w:tblCellMar>
            <w:top w:w="15" w:type="dxa"/>
            <w:left w:w="15" w:type="dxa"/>
            <w:bottom w:w="15" w:type="dxa"/>
            <w:right w:w="15" w:type="dxa"/>
          </w:tblCellMar>
        </w:tblPrEx>
        <w:trPr>
          <w:trHeight w:val="285" w:hRule="atLeast"/>
        </w:trPr>
        <w:tc>
          <w:tcPr>
            <w:tcW w:w="332" w:type="pct"/>
            <w:vMerge w:val="restart"/>
            <w:tcBorders>
              <w:top w:val="single" w:color="000000" w:sz="4" w:space="0"/>
              <w:left w:val="single" w:color="000000" w:sz="4" w:space="0"/>
              <w:bottom w:val="single" w:color="000000" w:sz="4" w:space="0"/>
              <w:right w:val="single" w:color="000000" w:sz="4" w:space="0"/>
            </w:tcBorders>
            <w:vAlign w:val="center"/>
          </w:tcPr>
          <w:p w14:paraId="5A30950D">
            <w:pPr>
              <w:pStyle w:val="52"/>
              <w:tabs>
                <w:tab w:val="center" w:pos="4201"/>
                <w:tab w:val="right" w:leader="dot" w:pos="9298"/>
              </w:tabs>
              <w:ind w:firstLine="0" w:firstLineChars="0"/>
              <w:jc w:val="center"/>
            </w:pPr>
            <w:r>
              <w:rPr>
                <w:rFonts w:hint="eastAsia"/>
              </w:rPr>
              <w:t>校准用测量仪器</w:t>
            </w:r>
          </w:p>
        </w:tc>
        <w:tc>
          <w:tcPr>
            <w:tcW w:w="1165" w:type="pct"/>
            <w:tcBorders>
              <w:top w:val="single" w:color="000000" w:sz="4" w:space="0"/>
              <w:left w:val="single" w:color="000000" w:sz="4" w:space="0"/>
              <w:bottom w:val="single" w:color="000000" w:sz="4" w:space="0"/>
              <w:right w:val="single" w:color="000000" w:sz="4" w:space="0"/>
            </w:tcBorders>
            <w:vAlign w:val="center"/>
          </w:tcPr>
          <w:p w14:paraId="704E370E">
            <w:pPr>
              <w:pStyle w:val="52"/>
              <w:tabs>
                <w:tab w:val="center" w:pos="4201"/>
                <w:tab w:val="right" w:leader="dot" w:pos="9298"/>
              </w:tabs>
              <w:ind w:firstLine="0" w:firstLineChars="0"/>
              <w:jc w:val="center"/>
            </w:pPr>
            <w:r>
              <w:rPr>
                <w:rFonts w:hint="eastAsia"/>
              </w:rPr>
              <w:t>名称</w:t>
            </w:r>
          </w:p>
        </w:tc>
        <w:tc>
          <w:tcPr>
            <w:tcW w:w="545" w:type="pct"/>
            <w:gridSpan w:val="2"/>
            <w:tcBorders>
              <w:top w:val="single" w:color="000000" w:sz="4" w:space="0"/>
              <w:left w:val="single" w:color="000000" w:sz="4" w:space="0"/>
              <w:bottom w:val="single" w:color="000000" w:sz="4" w:space="0"/>
              <w:right w:val="single" w:color="000000" w:sz="4" w:space="0"/>
            </w:tcBorders>
            <w:vAlign w:val="center"/>
          </w:tcPr>
          <w:p w14:paraId="0F442EFF">
            <w:pPr>
              <w:pStyle w:val="52"/>
              <w:tabs>
                <w:tab w:val="center" w:pos="4201"/>
                <w:tab w:val="right" w:leader="dot" w:pos="9298"/>
              </w:tabs>
              <w:ind w:firstLine="0" w:firstLineChars="0"/>
              <w:jc w:val="center"/>
            </w:pPr>
            <w:r>
              <w:rPr>
                <w:rFonts w:hint="eastAsia"/>
              </w:rPr>
              <w:t>编号</w:t>
            </w: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1085E4A4">
            <w:pPr>
              <w:pStyle w:val="52"/>
              <w:tabs>
                <w:tab w:val="center" w:pos="4201"/>
                <w:tab w:val="right" w:leader="dot" w:pos="9298"/>
              </w:tabs>
              <w:ind w:firstLine="0" w:firstLineChars="0"/>
              <w:jc w:val="center"/>
            </w:pPr>
            <w:r>
              <w:rPr>
                <w:rFonts w:hint="eastAsia"/>
              </w:rPr>
              <w:t>型号/规格</w:t>
            </w: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004C447F">
            <w:pPr>
              <w:pStyle w:val="52"/>
              <w:tabs>
                <w:tab w:val="center" w:pos="4201"/>
                <w:tab w:val="right" w:leader="dot" w:pos="9298"/>
              </w:tabs>
              <w:ind w:firstLine="0" w:firstLineChars="0"/>
              <w:jc w:val="center"/>
            </w:pPr>
            <w:r>
              <w:rPr>
                <w:rFonts w:hint="eastAsia"/>
              </w:rPr>
              <w:t>不确定度/准确度等级/最大允许误差</w:t>
            </w: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71764AB7">
            <w:pPr>
              <w:pStyle w:val="52"/>
              <w:tabs>
                <w:tab w:val="center" w:pos="4201"/>
                <w:tab w:val="right" w:leader="dot" w:pos="9298"/>
              </w:tabs>
              <w:ind w:firstLine="0" w:firstLineChars="0"/>
              <w:jc w:val="center"/>
            </w:pPr>
            <w:r>
              <w:rPr>
                <w:rFonts w:hint="eastAsia"/>
              </w:rPr>
              <w:t>证书编号</w:t>
            </w:r>
          </w:p>
        </w:tc>
      </w:tr>
      <w:tr w14:paraId="13FD792F">
        <w:tblPrEx>
          <w:tblCellMar>
            <w:top w:w="15" w:type="dxa"/>
            <w:left w:w="15" w:type="dxa"/>
            <w:bottom w:w="15" w:type="dxa"/>
            <w:right w:w="15" w:type="dxa"/>
          </w:tblCellMar>
        </w:tblPrEx>
        <w:trPr>
          <w:trHeight w:val="285"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04AEADC">
            <w:pPr>
              <w:pStyle w:val="52"/>
              <w:tabs>
                <w:tab w:val="center" w:pos="4201"/>
                <w:tab w:val="right" w:leader="dot" w:pos="9298"/>
              </w:tabs>
              <w:ind w:firstLine="420"/>
            </w:pPr>
          </w:p>
        </w:tc>
        <w:tc>
          <w:tcPr>
            <w:tcW w:w="1165" w:type="pct"/>
            <w:tcBorders>
              <w:top w:val="single" w:color="000000" w:sz="4" w:space="0"/>
              <w:left w:val="single" w:color="000000" w:sz="4" w:space="0"/>
              <w:bottom w:val="single" w:color="000000" w:sz="4" w:space="0"/>
              <w:right w:val="single" w:color="000000" w:sz="4" w:space="0"/>
            </w:tcBorders>
            <w:vAlign w:val="center"/>
          </w:tcPr>
          <w:p w14:paraId="6A8E71F7">
            <w:pPr>
              <w:pStyle w:val="52"/>
              <w:tabs>
                <w:tab w:val="center" w:pos="4201"/>
                <w:tab w:val="right" w:leader="dot" w:pos="9298"/>
              </w:tabs>
              <w:ind w:firstLine="0" w:firstLineChars="0"/>
            </w:pPr>
          </w:p>
        </w:tc>
        <w:tc>
          <w:tcPr>
            <w:tcW w:w="545" w:type="pct"/>
            <w:gridSpan w:val="2"/>
            <w:tcBorders>
              <w:top w:val="single" w:color="000000" w:sz="4" w:space="0"/>
              <w:left w:val="single" w:color="000000" w:sz="4" w:space="0"/>
              <w:bottom w:val="single" w:color="000000" w:sz="4" w:space="0"/>
              <w:right w:val="single" w:color="000000" w:sz="4" w:space="0"/>
            </w:tcBorders>
            <w:vAlign w:val="center"/>
          </w:tcPr>
          <w:p w14:paraId="287BF5E2">
            <w:pPr>
              <w:pStyle w:val="52"/>
              <w:tabs>
                <w:tab w:val="center" w:pos="4201"/>
                <w:tab w:val="right" w:leader="dot" w:pos="9298"/>
              </w:tabs>
              <w:ind w:firstLine="0" w:firstLineChars="0"/>
              <w:rPr>
                <w:sz w:val="20"/>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725E4AEF">
            <w:pPr>
              <w:pStyle w:val="52"/>
              <w:tabs>
                <w:tab w:val="center" w:pos="4201"/>
                <w:tab w:val="right" w:leader="dot" w:pos="9298"/>
              </w:tabs>
              <w:ind w:firstLine="0" w:firstLineChars="0"/>
              <w:rPr>
                <w:sz w:val="20"/>
              </w:rPr>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39AD9B5F">
            <w:pPr>
              <w:pStyle w:val="52"/>
              <w:tabs>
                <w:tab w:val="center" w:pos="4201"/>
                <w:tab w:val="right" w:leader="dot" w:pos="9298"/>
              </w:tabs>
              <w:ind w:firstLine="0" w:firstLineChars="0"/>
              <w:rPr>
                <w:sz w:val="20"/>
              </w:rPr>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0575F98C">
            <w:pPr>
              <w:pStyle w:val="52"/>
              <w:tabs>
                <w:tab w:val="center" w:pos="4201"/>
                <w:tab w:val="right" w:leader="dot" w:pos="9298"/>
              </w:tabs>
              <w:ind w:firstLine="0" w:firstLineChars="0"/>
              <w:rPr>
                <w:sz w:val="20"/>
              </w:rPr>
            </w:pPr>
          </w:p>
        </w:tc>
      </w:tr>
      <w:tr w14:paraId="2E6D4C80">
        <w:tblPrEx>
          <w:tblCellMar>
            <w:top w:w="15" w:type="dxa"/>
            <w:left w:w="15" w:type="dxa"/>
            <w:bottom w:w="15" w:type="dxa"/>
            <w:right w:w="15" w:type="dxa"/>
          </w:tblCellMar>
        </w:tblPrEx>
        <w:trPr>
          <w:trHeight w:val="285"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2CFD0D1C">
            <w:pPr>
              <w:pStyle w:val="52"/>
              <w:tabs>
                <w:tab w:val="center" w:pos="4201"/>
                <w:tab w:val="right" w:leader="dot" w:pos="9298"/>
              </w:tabs>
              <w:ind w:firstLine="420"/>
            </w:pPr>
          </w:p>
        </w:tc>
        <w:tc>
          <w:tcPr>
            <w:tcW w:w="1165" w:type="pct"/>
            <w:tcBorders>
              <w:top w:val="single" w:color="000000" w:sz="4" w:space="0"/>
              <w:left w:val="single" w:color="000000" w:sz="4" w:space="0"/>
              <w:bottom w:val="single" w:color="000000" w:sz="4" w:space="0"/>
              <w:right w:val="single" w:color="000000" w:sz="4" w:space="0"/>
            </w:tcBorders>
            <w:vAlign w:val="center"/>
          </w:tcPr>
          <w:p w14:paraId="5EF75AEE">
            <w:pPr>
              <w:pStyle w:val="52"/>
              <w:tabs>
                <w:tab w:val="center" w:pos="4201"/>
                <w:tab w:val="right" w:leader="dot" w:pos="9298"/>
              </w:tabs>
              <w:ind w:firstLine="0" w:firstLineChars="0"/>
              <w:rPr>
                <w:sz w:val="20"/>
              </w:rPr>
            </w:pPr>
          </w:p>
        </w:tc>
        <w:tc>
          <w:tcPr>
            <w:tcW w:w="545" w:type="pct"/>
            <w:gridSpan w:val="2"/>
            <w:tcBorders>
              <w:top w:val="single" w:color="000000" w:sz="4" w:space="0"/>
              <w:left w:val="single" w:color="000000" w:sz="4" w:space="0"/>
              <w:bottom w:val="single" w:color="000000" w:sz="4" w:space="0"/>
              <w:right w:val="single" w:color="000000" w:sz="4" w:space="0"/>
            </w:tcBorders>
            <w:vAlign w:val="center"/>
          </w:tcPr>
          <w:p w14:paraId="6C507029">
            <w:pPr>
              <w:pStyle w:val="52"/>
              <w:tabs>
                <w:tab w:val="center" w:pos="4201"/>
                <w:tab w:val="right" w:leader="dot" w:pos="9298"/>
              </w:tabs>
              <w:ind w:firstLine="0" w:firstLineChars="0"/>
              <w:rPr>
                <w:sz w:val="20"/>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3A52A92B">
            <w:pPr>
              <w:pStyle w:val="52"/>
              <w:tabs>
                <w:tab w:val="center" w:pos="4201"/>
                <w:tab w:val="right" w:leader="dot" w:pos="9298"/>
              </w:tabs>
              <w:ind w:firstLine="0" w:firstLineChars="0"/>
              <w:rPr>
                <w:sz w:val="20"/>
              </w:rPr>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34B8286A">
            <w:pPr>
              <w:pStyle w:val="52"/>
              <w:tabs>
                <w:tab w:val="center" w:pos="4201"/>
                <w:tab w:val="right" w:leader="dot" w:pos="9298"/>
              </w:tabs>
              <w:ind w:firstLine="0" w:firstLineChars="0"/>
              <w:rPr>
                <w:sz w:val="20"/>
              </w:rPr>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2FC14525">
            <w:pPr>
              <w:pStyle w:val="52"/>
              <w:tabs>
                <w:tab w:val="center" w:pos="4201"/>
                <w:tab w:val="right" w:leader="dot" w:pos="9298"/>
              </w:tabs>
              <w:ind w:firstLine="0" w:firstLineChars="0"/>
              <w:rPr>
                <w:sz w:val="20"/>
              </w:rPr>
            </w:pPr>
          </w:p>
        </w:tc>
      </w:tr>
      <w:tr w14:paraId="41CB9DC6">
        <w:tblPrEx>
          <w:tblCellMar>
            <w:top w:w="15" w:type="dxa"/>
            <w:left w:w="15" w:type="dxa"/>
            <w:bottom w:w="15" w:type="dxa"/>
            <w:right w:w="15" w:type="dxa"/>
          </w:tblCellMar>
        </w:tblPrEx>
        <w:trPr>
          <w:trHeight w:val="285"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47D79A07">
            <w:pPr>
              <w:pStyle w:val="52"/>
              <w:tabs>
                <w:tab w:val="center" w:pos="4201"/>
                <w:tab w:val="right" w:leader="dot" w:pos="9298"/>
              </w:tabs>
              <w:ind w:firstLine="420"/>
            </w:pPr>
          </w:p>
        </w:tc>
        <w:tc>
          <w:tcPr>
            <w:tcW w:w="1165" w:type="pct"/>
            <w:tcBorders>
              <w:top w:val="single" w:color="000000" w:sz="4" w:space="0"/>
              <w:left w:val="single" w:color="000000" w:sz="4" w:space="0"/>
              <w:bottom w:val="single" w:color="000000" w:sz="4" w:space="0"/>
              <w:right w:val="single" w:color="000000" w:sz="4" w:space="0"/>
            </w:tcBorders>
            <w:vAlign w:val="center"/>
          </w:tcPr>
          <w:p w14:paraId="6D45A38A">
            <w:pPr>
              <w:pStyle w:val="52"/>
              <w:tabs>
                <w:tab w:val="center" w:pos="4201"/>
                <w:tab w:val="right" w:leader="dot" w:pos="9298"/>
              </w:tabs>
              <w:ind w:firstLine="0" w:firstLineChars="0"/>
              <w:rPr>
                <w:sz w:val="20"/>
              </w:rPr>
            </w:pPr>
          </w:p>
        </w:tc>
        <w:tc>
          <w:tcPr>
            <w:tcW w:w="545" w:type="pct"/>
            <w:gridSpan w:val="2"/>
            <w:tcBorders>
              <w:top w:val="single" w:color="000000" w:sz="4" w:space="0"/>
              <w:left w:val="single" w:color="000000" w:sz="4" w:space="0"/>
              <w:bottom w:val="single" w:color="000000" w:sz="4" w:space="0"/>
              <w:right w:val="single" w:color="000000" w:sz="4" w:space="0"/>
            </w:tcBorders>
            <w:vAlign w:val="center"/>
          </w:tcPr>
          <w:p w14:paraId="017600FD">
            <w:pPr>
              <w:pStyle w:val="52"/>
              <w:tabs>
                <w:tab w:val="center" w:pos="4201"/>
                <w:tab w:val="right" w:leader="dot" w:pos="9298"/>
              </w:tabs>
              <w:ind w:firstLine="0" w:firstLineChars="0"/>
              <w:rPr>
                <w:sz w:val="20"/>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56260217">
            <w:pPr>
              <w:pStyle w:val="52"/>
              <w:tabs>
                <w:tab w:val="center" w:pos="4201"/>
                <w:tab w:val="right" w:leader="dot" w:pos="9298"/>
              </w:tabs>
              <w:ind w:firstLine="0" w:firstLineChars="0"/>
              <w:rPr>
                <w:sz w:val="20"/>
              </w:rPr>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60B20F9D">
            <w:pPr>
              <w:pStyle w:val="52"/>
              <w:tabs>
                <w:tab w:val="center" w:pos="4201"/>
                <w:tab w:val="right" w:leader="dot" w:pos="9298"/>
              </w:tabs>
              <w:ind w:firstLine="0" w:firstLineChars="0"/>
              <w:rPr>
                <w:sz w:val="20"/>
              </w:rPr>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77FB7A1B">
            <w:pPr>
              <w:pStyle w:val="52"/>
              <w:tabs>
                <w:tab w:val="center" w:pos="4201"/>
                <w:tab w:val="right" w:leader="dot" w:pos="9298"/>
              </w:tabs>
              <w:ind w:firstLine="0" w:firstLineChars="0"/>
              <w:rPr>
                <w:sz w:val="20"/>
              </w:rPr>
            </w:pPr>
          </w:p>
        </w:tc>
      </w:tr>
      <w:tr w14:paraId="6481D320">
        <w:tblPrEx>
          <w:tblCellMar>
            <w:top w:w="15" w:type="dxa"/>
            <w:left w:w="15" w:type="dxa"/>
            <w:bottom w:w="15" w:type="dxa"/>
            <w:right w:w="15" w:type="dxa"/>
          </w:tblCellMar>
        </w:tblPrEx>
        <w:trPr>
          <w:trHeight w:val="285" w:hRule="atLeast"/>
        </w:trPr>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E0CBE4C">
            <w:pPr>
              <w:pStyle w:val="52"/>
              <w:tabs>
                <w:tab w:val="center" w:pos="4201"/>
                <w:tab w:val="right" w:leader="dot" w:pos="9298"/>
              </w:tabs>
              <w:ind w:firstLine="420"/>
            </w:pPr>
          </w:p>
        </w:tc>
        <w:tc>
          <w:tcPr>
            <w:tcW w:w="1165" w:type="pct"/>
            <w:tcBorders>
              <w:top w:val="single" w:color="000000" w:sz="4" w:space="0"/>
              <w:left w:val="single" w:color="000000" w:sz="4" w:space="0"/>
              <w:bottom w:val="single" w:color="000000" w:sz="4" w:space="0"/>
              <w:right w:val="single" w:color="000000" w:sz="4" w:space="0"/>
            </w:tcBorders>
            <w:vAlign w:val="center"/>
          </w:tcPr>
          <w:p w14:paraId="7C647FE4">
            <w:pPr>
              <w:pStyle w:val="52"/>
              <w:tabs>
                <w:tab w:val="center" w:pos="4201"/>
                <w:tab w:val="right" w:leader="dot" w:pos="9298"/>
              </w:tabs>
              <w:ind w:firstLine="0" w:firstLineChars="0"/>
              <w:rPr>
                <w:sz w:val="20"/>
              </w:rPr>
            </w:pPr>
          </w:p>
        </w:tc>
        <w:tc>
          <w:tcPr>
            <w:tcW w:w="545" w:type="pct"/>
            <w:gridSpan w:val="2"/>
            <w:tcBorders>
              <w:top w:val="single" w:color="000000" w:sz="4" w:space="0"/>
              <w:left w:val="single" w:color="000000" w:sz="4" w:space="0"/>
              <w:bottom w:val="single" w:color="000000" w:sz="4" w:space="0"/>
              <w:right w:val="single" w:color="000000" w:sz="4" w:space="0"/>
            </w:tcBorders>
            <w:vAlign w:val="center"/>
          </w:tcPr>
          <w:p w14:paraId="4991AE80">
            <w:pPr>
              <w:pStyle w:val="52"/>
              <w:tabs>
                <w:tab w:val="center" w:pos="4201"/>
                <w:tab w:val="right" w:leader="dot" w:pos="9298"/>
              </w:tabs>
              <w:ind w:firstLine="0" w:firstLineChars="0"/>
              <w:rPr>
                <w:sz w:val="20"/>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14:paraId="48F8856B">
            <w:pPr>
              <w:pStyle w:val="52"/>
              <w:tabs>
                <w:tab w:val="center" w:pos="4201"/>
                <w:tab w:val="right" w:leader="dot" w:pos="9298"/>
              </w:tabs>
              <w:ind w:firstLine="0" w:firstLineChars="0"/>
              <w:rPr>
                <w:sz w:val="20"/>
              </w:rPr>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3D4D74C0">
            <w:pPr>
              <w:pStyle w:val="52"/>
              <w:tabs>
                <w:tab w:val="center" w:pos="4201"/>
                <w:tab w:val="right" w:leader="dot" w:pos="9298"/>
              </w:tabs>
              <w:ind w:firstLine="0" w:firstLineChars="0"/>
              <w:rPr>
                <w:sz w:val="20"/>
              </w:rPr>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2A1B7ABE">
            <w:pPr>
              <w:pStyle w:val="52"/>
              <w:tabs>
                <w:tab w:val="center" w:pos="4201"/>
                <w:tab w:val="right" w:leader="dot" w:pos="9298"/>
              </w:tabs>
              <w:ind w:firstLine="0" w:firstLineChars="0"/>
              <w:rPr>
                <w:sz w:val="20"/>
              </w:rPr>
            </w:pPr>
          </w:p>
        </w:tc>
      </w:tr>
      <w:tr w14:paraId="2B4CB699">
        <w:tblPrEx>
          <w:tblCellMar>
            <w:top w:w="15" w:type="dxa"/>
            <w:left w:w="15" w:type="dxa"/>
            <w:bottom w:w="15" w:type="dxa"/>
            <w:right w:w="15" w:type="dxa"/>
          </w:tblCellMar>
        </w:tblPrEx>
        <w:trPr>
          <w:trHeight w:val="285" w:hRule="atLeast"/>
        </w:trPr>
        <w:tc>
          <w:tcPr>
            <w:tcW w:w="1498" w:type="pct"/>
            <w:gridSpan w:val="2"/>
            <w:tcBorders>
              <w:top w:val="single" w:color="000000" w:sz="4" w:space="0"/>
              <w:left w:val="single" w:color="000000" w:sz="4" w:space="0"/>
              <w:bottom w:val="single" w:color="000000" w:sz="4" w:space="0"/>
              <w:right w:val="single" w:color="000000" w:sz="4" w:space="0"/>
            </w:tcBorders>
            <w:vAlign w:val="center"/>
          </w:tcPr>
          <w:p w14:paraId="32CF1611">
            <w:pPr>
              <w:pStyle w:val="52"/>
              <w:tabs>
                <w:tab w:val="center" w:pos="4201"/>
                <w:tab w:val="right" w:leader="dot" w:pos="9298"/>
              </w:tabs>
              <w:ind w:firstLine="0" w:firstLineChars="0"/>
              <w:jc w:val="center"/>
            </w:pPr>
            <w:r>
              <w:rPr>
                <w:rFonts w:hint="eastAsia"/>
              </w:rPr>
              <w:t>环境条件</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1BDF959D">
            <w:pPr>
              <w:pStyle w:val="52"/>
              <w:tabs>
                <w:tab w:val="center" w:pos="4201"/>
                <w:tab w:val="right" w:leader="dot" w:pos="9298"/>
              </w:tabs>
              <w:ind w:firstLine="0" w:firstLineChars="0"/>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02E99C76">
            <w:pPr>
              <w:pStyle w:val="52"/>
              <w:tabs>
                <w:tab w:val="center" w:pos="4201"/>
                <w:tab w:val="right" w:leader="dot" w:pos="9298"/>
              </w:tabs>
              <w:ind w:firstLine="0" w:firstLineChars="0"/>
              <w:jc w:val="center"/>
            </w:pPr>
            <w:r>
              <w:rPr>
                <w:rFonts w:hint="eastAsia"/>
              </w:rPr>
              <w:t>校准地点</w:t>
            </w:r>
          </w:p>
        </w:tc>
        <w:tc>
          <w:tcPr>
            <w:tcW w:w="1122" w:type="pct"/>
            <w:gridSpan w:val="4"/>
            <w:tcBorders>
              <w:top w:val="single" w:color="000000" w:sz="4" w:space="0"/>
              <w:bottom w:val="single" w:color="000000" w:sz="4" w:space="0"/>
              <w:right w:val="single" w:color="000000" w:sz="4" w:space="0"/>
            </w:tcBorders>
            <w:vAlign w:val="center"/>
          </w:tcPr>
          <w:p w14:paraId="41CB35BC">
            <w:pPr>
              <w:pStyle w:val="52"/>
              <w:tabs>
                <w:tab w:val="center" w:pos="4201"/>
                <w:tab w:val="right" w:leader="dot" w:pos="9298"/>
              </w:tabs>
              <w:ind w:firstLine="0" w:firstLineChars="0"/>
            </w:pPr>
          </w:p>
        </w:tc>
      </w:tr>
      <w:tr w14:paraId="1011B4D4">
        <w:tblPrEx>
          <w:tblCellMar>
            <w:top w:w="15" w:type="dxa"/>
            <w:left w:w="15" w:type="dxa"/>
            <w:bottom w:w="15" w:type="dxa"/>
            <w:right w:w="15" w:type="dxa"/>
          </w:tblCellMar>
        </w:tblPrEx>
        <w:trPr>
          <w:trHeight w:val="285" w:hRule="atLeast"/>
        </w:trPr>
        <w:tc>
          <w:tcPr>
            <w:tcW w:w="1498" w:type="pct"/>
            <w:gridSpan w:val="2"/>
            <w:tcBorders>
              <w:top w:val="single" w:color="000000" w:sz="4" w:space="0"/>
              <w:left w:val="single" w:color="000000" w:sz="4" w:space="0"/>
              <w:bottom w:val="single" w:color="000000" w:sz="4" w:space="0"/>
              <w:right w:val="single" w:color="000000" w:sz="4" w:space="0"/>
            </w:tcBorders>
            <w:vAlign w:val="center"/>
          </w:tcPr>
          <w:p w14:paraId="2C81FBD8">
            <w:pPr>
              <w:pStyle w:val="52"/>
              <w:tabs>
                <w:tab w:val="center" w:pos="4201"/>
                <w:tab w:val="right" w:leader="dot" w:pos="9298"/>
              </w:tabs>
              <w:ind w:firstLine="0" w:firstLineChars="0"/>
              <w:jc w:val="center"/>
            </w:pPr>
            <w:r>
              <w:rPr>
                <w:rFonts w:hint="eastAsia"/>
              </w:rPr>
              <w:t>校准技术依据</w:t>
            </w:r>
          </w:p>
        </w:tc>
        <w:tc>
          <w:tcPr>
            <w:tcW w:w="3501" w:type="pct"/>
            <w:gridSpan w:val="12"/>
            <w:tcBorders>
              <w:top w:val="single" w:color="000000" w:sz="4" w:space="0"/>
              <w:left w:val="single" w:color="000000" w:sz="4" w:space="0"/>
              <w:bottom w:val="single" w:color="000000" w:sz="4" w:space="0"/>
              <w:right w:val="single" w:color="000000" w:sz="4" w:space="0"/>
            </w:tcBorders>
            <w:vAlign w:val="center"/>
          </w:tcPr>
          <w:p w14:paraId="0DA43576">
            <w:pPr>
              <w:pStyle w:val="52"/>
              <w:tabs>
                <w:tab w:val="center" w:pos="4201"/>
                <w:tab w:val="right" w:leader="dot" w:pos="9298"/>
              </w:tabs>
              <w:ind w:firstLine="0" w:firstLineChars="0"/>
            </w:pPr>
          </w:p>
        </w:tc>
      </w:tr>
      <w:tr w14:paraId="5C334B7B">
        <w:tblPrEx>
          <w:tblCellMar>
            <w:top w:w="15" w:type="dxa"/>
            <w:left w:w="15" w:type="dxa"/>
            <w:bottom w:w="15" w:type="dxa"/>
            <w:right w:w="15" w:type="dxa"/>
          </w:tblCellMar>
        </w:tblPrEx>
        <w:trPr>
          <w:trHeight w:val="612" w:hRule="atLeast"/>
        </w:trPr>
        <w:tc>
          <w:tcPr>
            <w:tcW w:w="5000" w:type="pct"/>
            <w:gridSpan w:val="14"/>
            <w:tcBorders>
              <w:top w:val="single" w:color="000000" w:sz="4" w:space="0"/>
              <w:left w:val="single" w:color="000000" w:sz="4" w:space="0"/>
              <w:bottom w:val="single" w:color="000000" w:sz="4" w:space="0"/>
              <w:right w:val="single" w:color="000000" w:sz="4" w:space="0"/>
            </w:tcBorders>
            <w:vAlign w:val="center"/>
          </w:tcPr>
          <w:p w14:paraId="26B5F781">
            <w:pPr>
              <w:pStyle w:val="52"/>
              <w:tabs>
                <w:tab w:val="center" w:pos="4201"/>
                <w:tab w:val="right" w:leader="dot" w:pos="9298"/>
              </w:tabs>
              <w:ind w:firstLine="0" w:firstLineChars="0"/>
            </w:pPr>
            <w:r>
              <w:rPr>
                <w:rFonts w:hint="eastAsia"/>
              </w:rPr>
              <w:t>二、校准项目及校准结果</w:t>
            </w:r>
          </w:p>
        </w:tc>
      </w:tr>
      <w:tr w14:paraId="49A95E0E">
        <w:tblPrEx>
          <w:tblCellMar>
            <w:top w:w="15" w:type="dxa"/>
            <w:left w:w="15" w:type="dxa"/>
            <w:bottom w:w="15" w:type="dxa"/>
            <w:right w:w="15" w:type="dxa"/>
          </w:tblCellMar>
        </w:tblPrEx>
        <w:trPr>
          <w:trHeight w:val="510" w:hRule="atLeast"/>
        </w:trPr>
        <w:tc>
          <w:tcPr>
            <w:tcW w:w="332" w:type="pct"/>
            <w:vMerge w:val="restart"/>
            <w:tcBorders>
              <w:top w:val="single" w:color="000000" w:sz="4" w:space="0"/>
              <w:left w:val="single" w:color="000000" w:sz="4" w:space="0"/>
              <w:right w:val="single" w:color="auto" w:sz="4" w:space="0"/>
            </w:tcBorders>
            <w:vAlign w:val="center"/>
          </w:tcPr>
          <w:p w14:paraId="69FF0D32">
            <w:pPr>
              <w:pStyle w:val="52"/>
              <w:tabs>
                <w:tab w:val="center" w:pos="4201"/>
                <w:tab w:val="right" w:leader="dot" w:pos="9298"/>
              </w:tabs>
              <w:ind w:firstLine="0" w:firstLineChars="0"/>
            </w:pPr>
            <w:r>
              <w:rPr>
                <w:rFonts w:hint="eastAsia"/>
              </w:rPr>
              <w:t>速度测量范围及示值误差</w:t>
            </w:r>
          </w:p>
        </w:tc>
        <w:tc>
          <w:tcPr>
            <w:tcW w:w="1165" w:type="pct"/>
            <w:tcBorders>
              <w:top w:val="single" w:color="000000" w:sz="4" w:space="0"/>
              <w:left w:val="single" w:color="auto" w:sz="4" w:space="0"/>
              <w:bottom w:val="single" w:color="000000" w:sz="4" w:space="0"/>
              <w:right w:val="single" w:color="000000" w:sz="4" w:space="0"/>
            </w:tcBorders>
            <w:vAlign w:val="center"/>
          </w:tcPr>
          <w:p w14:paraId="282F4644">
            <w:pPr>
              <w:pStyle w:val="52"/>
              <w:tabs>
                <w:tab w:val="center" w:pos="4201"/>
                <w:tab w:val="right" w:leader="dot" w:pos="9298"/>
              </w:tabs>
              <w:ind w:firstLine="0" w:firstLineChars="0"/>
              <w:jc w:val="center"/>
            </w:pPr>
            <w:r>
              <w:rPr>
                <w:rFonts w:hint="eastAsia"/>
              </w:rPr>
              <w:t>标准值</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62DC561E">
            <w:pPr>
              <w:pStyle w:val="52"/>
              <w:tabs>
                <w:tab w:val="center" w:pos="4201"/>
                <w:tab w:val="right" w:leader="dot" w:pos="9298"/>
              </w:tabs>
              <w:ind w:firstLine="0" w:firstLineChars="0"/>
              <w:jc w:val="center"/>
            </w:pPr>
            <w:r>
              <w:rPr>
                <w:rFonts w:hint="eastAsia"/>
              </w:rPr>
              <w:t>1.2</w:t>
            </w:r>
            <w:r>
              <w:t>km/h</w:t>
            </w: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646DD03F">
            <w:pPr>
              <w:pStyle w:val="52"/>
              <w:tabs>
                <w:tab w:val="center" w:pos="4201"/>
                <w:tab w:val="right" w:leader="dot" w:pos="9298"/>
              </w:tabs>
              <w:ind w:firstLine="0" w:firstLineChars="0"/>
              <w:jc w:val="center"/>
            </w:pPr>
            <w:r>
              <w:t>2.</w:t>
            </w:r>
            <w:r>
              <w:rPr>
                <w:rFonts w:hint="eastAsia"/>
              </w:rPr>
              <w:t>5</w:t>
            </w:r>
            <w:r>
              <w:t>km/h</w:t>
            </w: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45373669">
            <w:pPr>
              <w:pStyle w:val="52"/>
              <w:tabs>
                <w:tab w:val="center" w:pos="4201"/>
                <w:tab w:val="right" w:leader="dot" w:pos="9298"/>
              </w:tabs>
              <w:ind w:firstLine="0" w:firstLineChars="0"/>
              <w:jc w:val="center"/>
            </w:pPr>
            <w:r>
              <w:rPr>
                <w:rFonts w:hint="eastAsia"/>
              </w:rPr>
              <w:t>3.6</w:t>
            </w:r>
            <w:r>
              <w:t>km/h</w:t>
            </w:r>
          </w:p>
        </w:tc>
      </w:tr>
      <w:tr w14:paraId="1939BE04">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26DD9821">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6FFAD853">
            <w:pPr>
              <w:pStyle w:val="52"/>
              <w:tabs>
                <w:tab w:val="center" w:pos="4201"/>
                <w:tab w:val="right" w:leader="dot" w:pos="9298"/>
              </w:tabs>
              <w:ind w:firstLine="0" w:firstLineChars="0"/>
              <w:jc w:val="center"/>
            </w:pPr>
            <w:r>
              <w:rPr>
                <w:rFonts w:hint="eastAsia"/>
              </w:rPr>
              <w:t>测量次数</w:t>
            </w:r>
          </w:p>
        </w:tc>
        <w:tc>
          <w:tcPr>
            <w:tcW w:w="421" w:type="pct"/>
            <w:tcBorders>
              <w:top w:val="single" w:color="000000" w:sz="4" w:space="0"/>
              <w:left w:val="single" w:color="000000" w:sz="4" w:space="0"/>
              <w:bottom w:val="single" w:color="000000" w:sz="4" w:space="0"/>
              <w:right w:val="single" w:color="000000" w:sz="4" w:space="0"/>
            </w:tcBorders>
            <w:vAlign w:val="center"/>
          </w:tcPr>
          <w:p w14:paraId="7103FBBE">
            <w:pPr>
              <w:pStyle w:val="52"/>
              <w:tabs>
                <w:tab w:val="center" w:pos="4201"/>
                <w:tab w:val="right" w:leader="dot" w:pos="9298"/>
              </w:tabs>
              <w:ind w:firstLine="0" w:firstLineChars="0"/>
              <w:jc w:val="center"/>
            </w:pPr>
            <w:r>
              <w:rPr>
                <w:rFonts w:hint="eastAsia"/>
              </w:rPr>
              <w:t>1</w:t>
            </w:r>
          </w:p>
        </w:tc>
        <w:tc>
          <w:tcPr>
            <w:tcW w:w="420" w:type="pct"/>
            <w:gridSpan w:val="2"/>
            <w:tcBorders>
              <w:top w:val="single" w:color="000000" w:sz="4" w:space="0"/>
              <w:left w:val="single" w:color="000000" w:sz="4" w:space="0"/>
              <w:bottom w:val="single" w:color="000000" w:sz="4" w:space="0"/>
              <w:right w:val="single" w:color="000000" w:sz="4" w:space="0"/>
            </w:tcBorders>
            <w:vAlign w:val="center"/>
          </w:tcPr>
          <w:p w14:paraId="4985F6E5">
            <w:pPr>
              <w:pStyle w:val="52"/>
              <w:tabs>
                <w:tab w:val="center" w:pos="4201"/>
                <w:tab w:val="right" w:leader="dot" w:pos="9298"/>
              </w:tabs>
              <w:ind w:firstLine="0" w:firstLineChars="0"/>
              <w:jc w:val="center"/>
            </w:pPr>
            <w:r>
              <w:rPr>
                <w:rFonts w:hint="eastAsia"/>
              </w:rPr>
              <w:t>2</w:t>
            </w:r>
          </w:p>
        </w:tc>
        <w:tc>
          <w:tcPr>
            <w:tcW w:w="375" w:type="pct"/>
            <w:tcBorders>
              <w:top w:val="single" w:color="000000" w:sz="4" w:space="0"/>
              <w:left w:val="single" w:color="000000" w:sz="4" w:space="0"/>
              <w:bottom w:val="single" w:color="000000" w:sz="4" w:space="0"/>
              <w:right w:val="single" w:color="000000" w:sz="4" w:space="0"/>
            </w:tcBorders>
            <w:vAlign w:val="center"/>
          </w:tcPr>
          <w:p w14:paraId="2FFEFE9A">
            <w:pPr>
              <w:pStyle w:val="52"/>
              <w:tabs>
                <w:tab w:val="center" w:pos="4201"/>
                <w:tab w:val="right" w:leader="dot" w:pos="9298"/>
              </w:tabs>
              <w:ind w:firstLine="0" w:firstLineChars="0"/>
              <w:jc w:val="center"/>
            </w:pPr>
            <w:r>
              <w:rPr>
                <w:rFonts w:hint="eastAsia"/>
              </w:rPr>
              <w:t>3</w:t>
            </w:r>
          </w:p>
        </w:tc>
        <w:tc>
          <w:tcPr>
            <w:tcW w:w="338" w:type="pct"/>
            <w:tcBorders>
              <w:top w:val="single" w:color="000000" w:sz="4" w:space="0"/>
              <w:left w:val="single" w:color="000000" w:sz="4" w:space="0"/>
              <w:bottom w:val="single" w:color="000000" w:sz="4" w:space="0"/>
              <w:right w:val="single" w:color="000000" w:sz="4" w:space="0"/>
            </w:tcBorders>
            <w:vAlign w:val="center"/>
          </w:tcPr>
          <w:p w14:paraId="26042A3D">
            <w:pPr>
              <w:pStyle w:val="52"/>
              <w:tabs>
                <w:tab w:val="center" w:pos="4201"/>
                <w:tab w:val="right" w:leader="dot" w:pos="9298"/>
              </w:tabs>
              <w:ind w:firstLine="0" w:firstLineChars="0"/>
              <w:jc w:val="center"/>
            </w:pPr>
            <w:r>
              <w:rPr>
                <w:rFonts w:hint="eastAsia"/>
              </w:rPr>
              <w:t>1</w:t>
            </w:r>
          </w:p>
        </w:tc>
        <w:tc>
          <w:tcPr>
            <w:tcW w:w="389" w:type="pct"/>
            <w:gridSpan w:val="2"/>
            <w:tcBorders>
              <w:top w:val="single" w:color="000000" w:sz="4" w:space="0"/>
              <w:left w:val="single" w:color="000000" w:sz="4" w:space="0"/>
              <w:bottom w:val="single" w:color="000000" w:sz="4" w:space="0"/>
              <w:right w:val="single" w:color="000000" w:sz="4" w:space="0"/>
            </w:tcBorders>
            <w:vAlign w:val="center"/>
          </w:tcPr>
          <w:p w14:paraId="344319CB">
            <w:pPr>
              <w:pStyle w:val="52"/>
              <w:tabs>
                <w:tab w:val="center" w:pos="4201"/>
                <w:tab w:val="right" w:leader="dot" w:pos="9298"/>
              </w:tabs>
              <w:ind w:firstLine="0" w:firstLineChars="0"/>
              <w:jc w:val="center"/>
            </w:pPr>
            <w:r>
              <w:rPr>
                <w:rFonts w:hint="eastAsia"/>
              </w:rPr>
              <w:t>2</w:t>
            </w:r>
          </w:p>
        </w:tc>
        <w:tc>
          <w:tcPr>
            <w:tcW w:w="434" w:type="pct"/>
            <w:tcBorders>
              <w:top w:val="single" w:color="000000" w:sz="4" w:space="0"/>
              <w:left w:val="single" w:color="000000" w:sz="4" w:space="0"/>
              <w:bottom w:val="single" w:color="000000" w:sz="4" w:space="0"/>
              <w:right w:val="single" w:color="000000" w:sz="4" w:space="0"/>
            </w:tcBorders>
            <w:vAlign w:val="center"/>
          </w:tcPr>
          <w:p w14:paraId="03709112">
            <w:pPr>
              <w:pStyle w:val="52"/>
              <w:tabs>
                <w:tab w:val="center" w:pos="4201"/>
                <w:tab w:val="right" w:leader="dot" w:pos="9298"/>
              </w:tabs>
              <w:ind w:firstLine="0" w:firstLineChars="0"/>
              <w:jc w:val="center"/>
            </w:pPr>
            <w:r>
              <w:rPr>
                <w:rFonts w:hint="eastAsia"/>
              </w:rPr>
              <w:t>3</w:t>
            </w:r>
          </w:p>
        </w:tc>
        <w:tc>
          <w:tcPr>
            <w:tcW w:w="343" w:type="pct"/>
            <w:tcBorders>
              <w:top w:val="single" w:color="000000" w:sz="4" w:space="0"/>
              <w:left w:val="single" w:color="000000" w:sz="4" w:space="0"/>
              <w:bottom w:val="single" w:color="000000" w:sz="4" w:space="0"/>
              <w:right w:val="single" w:color="000000" w:sz="4" w:space="0"/>
            </w:tcBorders>
            <w:vAlign w:val="center"/>
          </w:tcPr>
          <w:p w14:paraId="77F05B6E">
            <w:pPr>
              <w:pStyle w:val="52"/>
              <w:tabs>
                <w:tab w:val="center" w:pos="4201"/>
                <w:tab w:val="right" w:leader="dot" w:pos="9298"/>
              </w:tabs>
              <w:ind w:firstLine="0" w:firstLineChars="0"/>
              <w:jc w:val="center"/>
            </w:pPr>
            <w:r>
              <w:rPr>
                <w:rFonts w:hint="eastAsia"/>
              </w:rPr>
              <w:t>1</w:t>
            </w:r>
          </w:p>
        </w:tc>
        <w:tc>
          <w:tcPr>
            <w:tcW w:w="389" w:type="pct"/>
            <w:gridSpan w:val="2"/>
            <w:tcBorders>
              <w:top w:val="single" w:color="000000" w:sz="4" w:space="0"/>
              <w:left w:val="single" w:color="000000" w:sz="4" w:space="0"/>
              <w:bottom w:val="single" w:color="000000" w:sz="4" w:space="0"/>
              <w:right w:val="single" w:color="000000" w:sz="4" w:space="0"/>
            </w:tcBorders>
            <w:vAlign w:val="center"/>
          </w:tcPr>
          <w:p w14:paraId="7A269831">
            <w:pPr>
              <w:pStyle w:val="52"/>
              <w:tabs>
                <w:tab w:val="center" w:pos="4201"/>
                <w:tab w:val="right" w:leader="dot" w:pos="9298"/>
              </w:tabs>
              <w:ind w:firstLine="0" w:firstLineChars="0"/>
              <w:jc w:val="center"/>
            </w:pPr>
            <w:r>
              <w:rPr>
                <w:rFonts w:hint="eastAsia"/>
              </w:rPr>
              <w:t>2</w:t>
            </w:r>
          </w:p>
        </w:tc>
        <w:tc>
          <w:tcPr>
            <w:tcW w:w="389" w:type="pct"/>
            <w:tcBorders>
              <w:top w:val="single" w:color="000000" w:sz="4" w:space="0"/>
              <w:left w:val="single" w:color="000000" w:sz="4" w:space="0"/>
              <w:bottom w:val="single" w:color="000000" w:sz="4" w:space="0"/>
              <w:right w:val="single" w:color="000000" w:sz="4" w:space="0"/>
            </w:tcBorders>
            <w:vAlign w:val="center"/>
          </w:tcPr>
          <w:p w14:paraId="1C85FDFD">
            <w:pPr>
              <w:pStyle w:val="52"/>
              <w:tabs>
                <w:tab w:val="center" w:pos="4201"/>
                <w:tab w:val="right" w:leader="dot" w:pos="9298"/>
              </w:tabs>
              <w:ind w:firstLine="0" w:firstLineChars="0"/>
              <w:jc w:val="center"/>
            </w:pPr>
            <w:r>
              <w:rPr>
                <w:rFonts w:hint="eastAsia"/>
              </w:rPr>
              <w:t>3</w:t>
            </w:r>
          </w:p>
        </w:tc>
      </w:tr>
      <w:tr w14:paraId="5E0C69F0">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0694EAE7">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5DDCDF78">
            <w:pPr>
              <w:pStyle w:val="52"/>
              <w:tabs>
                <w:tab w:val="center" w:pos="4201"/>
                <w:tab w:val="right" w:leader="dot" w:pos="9298"/>
              </w:tabs>
              <w:ind w:firstLine="0" w:firstLineChars="0"/>
              <w:jc w:val="center"/>
            </w:pPr>
            <w:r>
              <w:rPr>
                <w:rFonts w:hint="eastAsia"/>
              </w:rPr>
              <w:t>显示值</w:t>
            </w:r>
          </w:p>
        </w:tc>
        <w:tc>
          <w:tcPr>
            <w:tcW w:w="421" w:type="pct"/>
            <w:tcBorders>
              <w:top w:val="single" w:color="000000" w:sz="4" w:space="0"/>
              <w:left w:val="single" w:color="000000" w:sz="4" w:space="0"/>
              <w:bottom w:val="single" w:color="000000" w:sz="4" w:space="0"/>
              <w:right w:val="single" w:color="000000" w:sz="4" w:space="0"/>
            </w:tcBorders>
            <w:vAlign w:val="center"/>
          </w:tcPr>
          <w:p w14:paraId="1C785799">
            <w:pPr>
              <w:pStyle w:val="52"/>
              <w:tabs>
                <w:tab w:val="center" w:pos="4201"/>
                <w:tab w:val="right" w:leader="dot" w:pos="9298"/>
              </w:tabs>
              <w:ind w:firstLine="0" w:firstLineChars="0"/>
              <w:jc w:val="center"/>
            </w:pPr>
          </w:p>
        </w:tc>
        <w:tc>
          <w:tcPr>
            <w:tcW w:w="420" w:type="pct"/>
            <w:gridSpan w:val="2"/>
            <w:tcBorders>
              <w:top w:val="single" w:color="000000" w:sz="4" w:space="0"/>
              <w:left w:val="single" w:color="000000" w:sz="4" w:space="0"/>
              <w:bottom w:val="single" w:color="000000" w:sz="4" w:space="0"/>
              <w:right w:val="single" w:color="000000" w:sz="4" w:space="0"/>
            </w:tcBorders>
            <w:vAlign w:val="center"/>
          </w:tcPr>
          <w:p w14:paraId="69517904">
            <w:pPr>
              <w:pStyle w:val="52"/>
              <w:tabs>
                <w:tab w:val="center" w:pos="4201"/>
                <w:tab w:val="right" w:leader="dot" w:pos="9298"/>
              </w:tabs>
              <w:ind w:firstLine="0" w:firstLineChars="0"/>
              <w:jc w:val="center"/>
            </w:pPr>
          </w:p>
        </w:tc>
        <w:tc>
          <w:tcPr>
            <w:tcW w:w="375" w:type="pct"/>
            <w:tcBorders>
              <w:top w:val="single" w:color="000000" w:sz="4" w:space="0"/>
              <w:left w:val="single" w:color="000000" w:sz="4" w:space="0"/>
              <w:bottom w:val="single" w:color="000000" w:sz="4" w:space="0"/>
              <w:right w:val="single" w:color="000000" w:sz="4" w:space="0"/>
            </w:tcBorders>
            <w:vAlign w:val="center"/>
          </w:tcPr>
          <w:p w14:paraId="6781532D">
            <w:pPr>
              <w:pStyle w:val="52"/>
              <w:tabs>
                <w:tab w:val="center" w:pos="4201"/>
                <w:tab w:val="right" w:leader="dot" w:pos="9298"/>
              </w:tabs>
              <w:ind w:firstLine="0" w:firstLineChars="0"/>
              <w:jc w:val="center"/>
            </w:pPr>
          </w:p>
        </w:tc>
        <w:tc>
          <w:tcPr>
            <w:tcW w:w="338" w:type="pct"/>
            <w:tcBorders>
              <w:top w:val="single" w:color="000000" w:sz="4" w:space="0"/>
              <w:left w:val="single" w:color="000000" w:sz="4" w:space="0"/>
              <w:bottom w:val="single" w:color="000000" w:sz="4" w:space="0"/>
              <w:right w:val="single" w:color="000000" w:sz="4" w:space="0"/>
            </w:tcBorders>
            <w:vAlign w:val="center"/>
          </w:tcPr>
          <w:p w14:paraId="5F14EFF5">
            <w:pPr>
              <w:pStyle w:val="52"/>
              <w:tabs>
                <w:tab w:val="center" w:pos="4201"/>
                <w:tab w:val="right" w:leader="dot" w:pos="9298"/>
              </w:tabs>
              <w:ind w:firstLine="0" w:firstLineChars="0"/>
              <w:jc w:val="center"/>
            </w:pPr>
          </w:p>
        </w:tc>
        <w:tc>
          <w:tcPr>
            <w:tcW w:w="389" w:type="pct"/>
            <w:gridSpan w:val="2"/>
            <w:tcBorders>
              <w:top w:val="single" w:color="000000" w:sz="4" w:space="0"/>
              <w:left w:val="single" w:color="000000" w:sz="4" w:space="0"/>
              <w:bottom w:val="single" w:color="000000" w:sz="4" w:space="0"/>
              <w:right w:val="single" w:color="000000" w:sz="4" w:space="0"/>
            </w:tcBorders>
            <w:vAlign w:val="center"/>
          </w:tcPr>
          <w:p w14:paraId="084F1958">
            <w:pPr>
              <w:pStyle w:val="52"/>
              <w:tabs>
                <w:tab w:val="center" w:pos="4201"/>
                <w:tab w:val="right" w:leader="dot" w:pos="9298"/>
              </w:tabs>
              <w:ind w:firstLine="0" w:firstLineChars="0"/>
              <w:jc w:val="center"/>
            </w:pPr>
          </w:p>
        </w:tc>
        <w:tc>
          <w:tcPr>
            <w:tcW w:w="434" w:type="pct"/>
            <w:tcBorders>
              <w:top w:val="single" w:color="000000" w:sz="4" w:space="0"/>
              <w:left w:val="single" w:color="000000" w:sz="4" w:space="0"/>
              <w:bottom w:val="single" w:color="000000" w:sz="4" w:space="0"/>
              <w:right w:val="single" w:color="000000" w:sz="4" w:space="0"/>
            </w:tcBorders>
            <w:vAlign w:val="center"/>
          </w:tcPr>
          <w:p w14:paraId="0DE74C33">
            <w:pPr>
              <w:pStyle w:val="52"/>
              <w:tabs>
                <w:tab w:val="center" w:pos="4201"/>
                <w:tab w:val="right" w:leader="dot" w:pos="9298"/>
              </w:tabs>
              <w:ind w:firstLine="0" w:firstLineChars="0"/>
              <w:jc w:val="center"/>
            </w:pPr>
          </w:p>
        </w:tc>
        <w:tc>
          <w:tcPr>
            <w:tcW w:w="343" w:type="pct"/>
            <w:tcBorders>
              <w:top w:val="single" w:color="000000" w:sz="4" w:space="0"/>
              <w:left w:val="single" w:color="000000" w:sz="4" w:space="0"/>
              <w:bottom w:val="single" w:color="000000" w:sz="4" w:space="0"/>
              <w:right w:val="single" w:color="000000" w:sz="4" w:space="0"/>
            </w:tcBorders>
            <w:vAlign w:val="center"/>
          </w:tcPr>
          <w:p w14:paraId="7172FEBE">
            <w:pPr>
              <w:pStyle w:val="52"/>
              <w:tabs>
                <w:tab w:val="center" w:pos="4201"/>
                <w:tab w:val="right" w:leader="dot" w:pos="9298"/>
              </w:tabs>
              <w:ind w:firstLine="0" w:firstLineChars="0"/>
              <w:jc w:val="center"/>
            </w:pPr>
          </w:p>
        </w:tc>
        <w:tc>
          <w:tcPr>
            <w:tcW w:w="389" w:type="pct"/>
            <w:gridSpan w:val="2"/>
            <w:tcBorders>
              <w:top w:val="single" w:color="000000" w:sz="4" w:space="0"/>
              <w:left w:val="single" w:color="000000" w:sz="4" w:space="0"/>
              <w:bottom w:val="single" w:color="000000" w:sz="4" w:space="0"/>
              <w:right w:val="single" w:color="000000" w:sz="4" w:space="0"/>
            </w:tcBorders>
            <w:vAlign w:val="center"/>
          </w:tcPr>
          <w:p w14:paraId="279767E2">
            <w:pPr>
              <w:pStyle w:val="52"/>
              <w:tabs>
                <w:tab w:val="center" w:pos="4201"/>
                <w:tab w:val="right" w:leader="dot" w:pos="9298"/>
              </w:tabs>
              <w:ind w:firstLine="0" w:firstLineChars="0"/>
              <w:jc w:val="center"/>
            </w:pPr>
          </w:p>
        </w:tc>
        <w:tc>
          <w:tcPr>
            <w:tcW w:w="389" w:type="pct"/>
            <w:tcBorders>
              <w:top w:val="single" w:color="000000" w:sz="4" w:space="0"/>
              <w:left w:val="single" w:color="000000" w:sz="4" w:space="0"/>
              <w:bottom w:val="single" w:color="000000" w:sz="4" w:space="0"/>
              <w:right w:val="single" w:color="000000" w:sz="4" w:space="0"/>
            </w:tcBorders>
            <w:vAlign w:val="center"/>
          </w:tcPr>
          <w:p w14:paraId="348AF78F">
            <w:pPr>
              <w:pStyle w:val="52"/>
              <w:tabs>
                <w:tab w:val="center" w:pos="4201"/>
                <w:tab w:val="right" w:leader="dot" w:pos="9298"/>
              </w:tabs>
              <w:ind w:firstLine="0" w:firstLineChars="0"/>
              <w:jc w:val="center"/>
            </w:pPr>
          </w:p>
        </w:tc>
      </w:tr>
      <w:tr w14:paraId="6FEBC29A">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3C87799E">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4A1FC5B6">
            <w:pPr>
              <w:pStyle w:val="52"/>
              <w:tabs>
                <w:tab w:val="center" w:pos="4201"/>
                <w:tab w:val="right" w:leader="dot" w:pos="9298"/>
              </w:tabs>
              <w:ind w:firstLine="0" w:firstLineChars="0"/>
              <w:jc w:val="center"/>
            </w:pPr>
            <w:r>
              <w:rPr>
                <w:rFonts w:hint="eastAsia"/>
              </w:rPr>
              <w:t>平均值</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0C670576">
            <w:pPr>
              <w:pStyle w:val="52"/>
              <w:tabs>
                <w:tab w:val="center" w:pos="4201"/>
                <w:tab w:val="right" w:leader="dot" w:pos="9298"/>
              </w:tabs>
              <w:ind w:firstLine="0" w:firstLineChars="0"/>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3AC440E9">
            <w:pPr>
              <w:pStyle w:val="52"/>
              <w:tabs>
                <w:tab w:val="center" w:pos="4201"/>
                <w:tab w:val="right" w:leader="dot" w:pos="9298"/>
              </w:tabs>
              <w:ind w:firstLine="0" w:firstLineChars="0"/>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040422C6">
            <w:pPr>
              <w:pStyle w:val="52"/>
              <w:tabs>
                <w:tab w:val="center" w:pos="4201"/>
                <w:tab w:val="right" w:leader="dot" w:pos="9298"/>
              </w:tabs>
              <w:ind w:firstLine="0" w:firstLineChars="0"/>
            </w:pPr>
          </w:p>
        </w:tc>
      </w:tr>
      <w:tr w14:paraId="7AF35003">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5DBF279C">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6757FA20">
            <w:pPr>
              <w:pStyle w:val="52"/>
              <w:tabs>
                <w:tab w:val="center" w:pos="4201"/>
                <w:tab w:val="right" w:leader="dot" w:pos="9298"/>
              </w:tabs>
              <w:ind w:firstLine="0" w:firstLineChars="0"/>
              <w:jc w:val="center"/>
            </w:pPr>
            <w:r>
              <w:rPr>
                <w:rFonts w:hint="eastAsia"/>
              </w:rPr>
              <w:t>示值误差</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02A81E4E">
            <w:pPr>
              <w:pStyle w:val="52"/>
              <w:tabs>
                <w:tab w:val="center" w:pos="4201"/>
                <w:tab w:val="right" w:leader="dot" w:pos="9298"/>
              </w:tabs>
              <w:ind w:firstLine="0" w:firstLineChars="0"/>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7DF5C6F6">
            <w:pPr>
              <w:pStyle w:val="52"/>
              <w:tabs>
                <w:tab w:val="center" w:pos="4201"/>
                <w:tab w:val="right" w:leader="dot" w:pos="9298"/>
              </w:tabs>
              <w:ind w:firstLine="0" w:firstLineChars="0"/>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3445F9FE">
            <w:pPr>
              <w:pStyle w:val="52"/>
              <w:tabs>
                <w:tab w:val="center" w:pos="4201"/>
                <w:tab w:val="right" w:leader="dot" w:pos="9298"/>
              </w:tabs>
              <w:ind w:firstLine="0" w:firstLineChars="0"/>
            </w:pPr>
          </w:p>
        </w:tc>
      </w:tr>
      <w:tr w14:paraId="7CAE0D22">
        <w:tblPrEx>
          <w:tblCellMar>
            <w:top w:w="15" w:type="dxa"/>
            <w:left w:w="15" w:type="dxa"/>
            <w:bottom w:w="15" w:type="dxa"/>
            <w:right w:w="15" w:type="dxa"/>
          </w:tblCellMar>
        </w:tblPrEx>
        <w:trPr>
          <w:trHeight w:val="510" w:hRule="atLeast"/>
        </w:trPr>
        <w:tc>
          <w:tcPr>
            <w:tcW w:w="332" w:type="pct"/>
            <w:vMerge w:val="continue"/>
            <w:tcBorders>
              <w:left w:val="single" w:color="000000" w:sz="4" w:space="0"/>
              <w:bottom w:val="single" w:color="000000" w:sz="4" w:space="0"/>
              <w:right w:val="single" w:color="auto" w:sz="4" w:space="0"/>
            </w:tcBorders>
            <w:vAlign w:val="center"/>
          </w:tcPr>
          <w:p w14:paraId="19E3191B">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6743BE09">
            <w:pPr>
              <w:pStyle w:val="52"/>
              <w:tabs>
                <w:tab w:val="center" w:pos="4201"/>
                <w:tab w:val="right" w:leader="dot" w:pos="9298"/>
              </w:tabs>
              <w:ind w:firstLine="0" w:firstLineChars="0"/>
              <w:jc w:val="center"/>
            </w:pPr>
            <w:r>
              <w:rPr>
                <w:rFonts w:hint="eastAsia"/>
              </w:rPr>
              <w:t>不确定度</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4DED42A6">
            <w:pPr>
              <w:pStyle w:val="52"/>
              <w:tabs>
                <w:tab w:val="center" w:pos="4201"/>
                <w:tab w:val="right" w:leader="dot" w:pos="9298"/>
              </w:tabs>
              <w:ind w:firstLine="0" w:firstLineChars="0"/>
            </w:pP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7D15CCAC">
            <w:pPr>
              <w:pStyle w:val="52"/>
              <w:tabs>
                <w:tab w:val="center" w:pos="4201"/>
                <w:tab w:val="right" w:leader="dot" w:pos="9298"/>
              </w:tabs>
              <w:ind w:firstLine="0" w:firstLineChars="0"/>
            </w:pP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54C90068">
            <w:pPr>
              <w:pStyle w:val="52"/>
              <w:tabs>
                <w:tab w:val="center" w:pos="4201"/>
                <w:tab w:val="right" w:leader="dot" w:pos="9298"/>
              </w:tabs>
              <w:ind w:firstLine="0" w:firstLineChars="0"/>
            </w:pPr>
          </w:p>
        </w:tc>
      </w:tr>
      <w:tr w14:paraId="6CE30EED">
        <w:tblPrEx>
          <w:tblCellMar>
            <w:top w:w="15" w:type="dxa"/>
            <w:left w:w="15" w:type="dxa"/>
            <w:bottom w:w="15" w:type="dxa"/>
            <w:right w:w="15" w:type="dxa"/>
          </w:tblCellMar>
        </w:tblPrEx>
        <w:trPr>
          <w:trHeight w:val="510" w:hRule="atLeast"/>
        </w:trPr>
        <w:tc>
          <w:tcPr>
            <w:tcW w:w="332" w:type="pct"/>
            <w:vMerge w:val="restart"/>
            <w:tcBorders>
              <w:top w:val="single" w:color="000000" w:sz="4" w:space="0"/>
              <w:left w:val="single" w:color="000000" w:sz="4" w:space="0"/>
              <w:right w:val="single" w:color="auto" w:sz="4" w:space="0"/>
            </w:tcBorders>
            <w:vAlign w:val="center"/>
          </w:tcPr>
          <w:p w14:paraId="317E8171">
            <w:pPr>
              <w:pStyle w:val="52"/>
              <w:tabs>
                <w:tab w:val="center" w:pos="4201"/>
                <w:tab w:val="right" w:leader="dot" w:pos="9298"/>
              </w:tabs>
              <w:ind w:firstLine="0" w:firstLineChars="0"/>
            </w:pPr>
            <w:r>
              <w:rPr>
                <w:rFonts w:hint="eastAsia"/>
              </w:rPr>
              <w:t>滑移率测量范围及示值误差</w:t>
            </w:r>
          </w:p>
        </w:tc>
        <w:tc>
          <w:tcPr>
            <w:tcW w:w="1165" w:type="pct"/>
            <w:tcBorders>
              <w:top w:val="single" w:color="000000" w:sz="4" w:space="0"/>
              <w:left w:val="single" w:color="auto" w:sz="4" w:space="0"/>
              <w:bottom w:val="single" w:color="000000" w:sz="4" w:space="0"/>
              <w:right w:val="single" w:color="000000" w:sz="4" w:space="0"/>
            </w:tcBorders>
            <w:vAlign w:val="center"/>
          </w:tcPr>
          <w:p w14:paraId="6D6C377A">
            <w:pPr>
              <w:pStyle w:val="52"/>
              <w:tabs>
                <w:tab w:val="center" w:pos="4201"/>
                <w:tab w:val="right" w:leader="dot" w:pos="9298"/>
              </w:tabs>
              <w:ind w:firstLine="0" w:firstLineChars="0"/>
              <w:jc w:val="center"/>
            </w:pPr>
            <w:r>
              <w:rPr>
                <w:rFonts w:hint="eastAsia"/>
              </w:rPr>
              <w:t>停机滚筒线速度</w:t>
            </w:r>
          </w:p>
        </w:tc>
        <w:tc>
          <w:tcPr>
            <w:tcW w:w="1217" w:type="pct"/>
            <w:gridSpan w:val="4"/>
            <w:tcBorders>
              <w:top w:val="single" w:color="000000" w:sz="4" w:space="0"/>
              <w:left w:val="single" w:color="000000" w:sz="4" w:space="0"/>
              <w:bottom w:val="single" w:color="000000" w:sz="4" w:space="0"/>
              <w:right w:val="single" w:color="000000" w:sz="4" w:space="0"/>
            </w:tcBorders>
            <w:vAlign w:val="center"/>
          </w:tcPr>
          <w:p w14:paraId="4ECA8F82">
            <w:pPr>
              <w:pStyle w:val="52"/>
              <w:tabs>
                <w:tab w:val="center" w:pos="4201"/>
                <w:tab w:val="right" w:leader="dot" w:pos="9298"/>
              </w:tabs>
              <w:ind w:firstLine="0" w:firstLineChars="0"/>
              <w:jc w:val="center"/>
            </w:pPr>
            <w:r>
              <w:rPr>
                <w:rFonts w:hint="eastAsia"/>
              </w:rPr>
              <w:t>2.0</w:t>
            </w:r>
            <w:r>
              <w:t>km/h</w:t>
            </w:r>
          </w:p>
        </w:tc>
        <w:tc>
          <w:tcPr>
            <w:tcW w:w="1162" w:type="pct"/>
            <w:gridSpan w:val="4"/>
            <w:tcBorders>
              <w:top w:val="single" w:color="000000" w:sz="4" w:space="0"/>
              <w:left w:val="single" w:color="000000" w:sz="4" w:space="0"/>
              <w:bottom w:val="single" w:color="000000" w:sz="4" w:space="0"/>
              <w:right w:val="single" w:color="000000" w:sz="4" w:space="0"/>
            </w:tcBorders>
            <w:vAlign w:val="center"/>
          </w:tcPr>
          <w:p w14:paraId="4B524273">
            <w:pPr>
              <w:pStyle w:val="52"/>
              <w:tabs>
                <w:tab w:val="center" w:pos="4201"/>
                <w:tab w:val="right" w:leader="dot" w:pos="9298"/>
              </w:tabs>
              <w:ind w:firstLine="0" w:firstLineChars="0"/>
              <w:jc w:val="center"/>
            </w:pPr>
            <w:r>
              <w:rPr>
                <w:rFonts w:hint="eastAsia"/>
              </w:rPr>
              <w:t>1.75</w:t>
            </w:r>
            <w:r>
              <w:t>km/h</w:t>
            </w:r>
          </w:p>
        </w:tc>
        <w:tc>
          <w:tcPr>
            <w:tcW w:w="1122" w:type="pct"/>
            <w:gridSpan w:val="4"/>
            <w:tcBorders>
              <w:top w:val="single" w:color="000000" w:sz="4" w:space="0"/>
              <w:left w:val="single" w:color="000000" w:sz="4" w:space="0"/>
              <w:bottom w:val="single" w:color="000000" w:sz="4" w:space="0"/>
              <w:right w:val="single" w:color="000000" w:sz="4" w:space="0"/>
            </w:tcBorders>
            <w:vAlign w:val="center"/>
          </w:tcPr>
          <w:p w14:paraId="2A88A29D">
            <w:pPr>
              <w:pStyle w:val="52"/>
              <w:tabs>
                <w:tab w:val="center" w:pos="4201"/>
                <w:tab w:val="right" w:leader="dot" w:pos="9298"/>
              </w:tabs>
              <w:ind w:firstLine="0" w:firstLineChars="0"/>
              <w:jc w:val="center"/>
            </w:pPr>
            <w:r>
              <w:rPr>
                <w:rFonts w:hint="eastAsia"/>
              </w:rPr>
              <w:t>1.5</w:t>
            </w:r>
            <w:r>
              <w:t>km/h</w:t>
            </w:r>
          </w:p>
        </w:tc>
      </w:tr>
      <w:tr w14:paraId="0FB875F2">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2EF6F9AB">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0708C7C2">
            <w:pPr>
              <w:pStyle w:val="52"/>
              <w:tabs>
                <w:tab w:val="center" w:pos="4201"/>
                <w:tab w:val="right" w:leader="dot" w:pos="9298"/>
              </w:tabs>
              <w:ind w:firstLine="0" w:firstLineChars="0"/>
              <w:jc w:val="center"/>
            </w:pPr>
            <w:r>
              <w:rPr>
                <w:rFonts w:hint="eastAsia"/>
              </w:rPr>
              <w:t>滑移率标准值</w:t>
            </w:r>
          </w:p>
        </w:tc>
        <w:tc>
          <w:tcPr>
            <w:tcW w:w="1217" w:type="pct"/>
            <w:gridSpan w:val="4"/>
            <w:tcBorders>
              <w:top w:val="single" w:color="000000" w:sz="4" w:space="0"/>
              <w:left w:val="single" w:color="000000" w:sz="4" w:space="0"/>
              <w:bottom w:val="single" w:color="000000" w:sz="4" w:space="0"/>
              <w:right w:val="single" w:color="auto" w:sz="4" w:space="0"/>
            </w:tcBorders>
            <w:vAlign w:val="center"/>
          </w:tcPr>
          <w:p w14:paraId="123B1808">
            <w:pPr>
              <w:pStyle w:val="52"/>
              <w:tabs>
                <w:tab w:val="center" w:pos="4201"/>
                <w:tab w:val="right" w:leader="dot" w:pos="9298"/>
              </w:tabs>
              <w:ind w:firstLine="0" w:firstLineChars="0"/>
              <w:jc w:val="center"/>
            </w:pPr>
            <w:r>
              <w:rPr>
                <w:rFonts w:hint="eastAsia"/>
              </w:rPr>
              <w:t>40%</w:t>
            </w:r>
          </w:p>
        </w:tc>
        <w:tc>
          <w:tcPr>
            <w:tcW w:w="1162" w:type="pct"/>
            <w:gridSpan w:val="4"/>
            <w:tcBorders>
              <w:top w:val="single" w:color="000000" w:sz="4" w:space="0"/>
              <w:left w:val="single" w:color="auto" w:sz="4" w:space="0"/>
              <w:bottom w:val="single" w:color="000000" w:sz="4" w:space="0"/>
              <w:right w:val="single" w:color="auto" w:sz="4" w:space="0"/>
            </w:tcBorders>
            <w:vAlign w:val="center"/>
          </w:tcPr>
          <w:p w14:paraId="7CDBDB4E">
            <w:pPr>
              <w:pStyle w:val="52"/>
              <w:tabs>
                <w:tab w:val="center" w:pos="4201"/>
                <w:tab w:val="right" w:leader="dot" w:pos="9298"/>
              </w:tabs>
              <w:ind w:firstLine="0" w:firstLineChars="0"/>
              <w:jc w:val="center"/>
            </w:pPr>
            <w:r>
              <w:rPr>
                <w:rFonts w:hint="eastAsia"/>
              </w:rPr>
              <w:t>30%</w:t>
            </w:r>
          </w:p>
        </w:tc>
        <w:tc>
          <w:tcPr>
            <w:tcW w:w="1122" w:type="pct"/>
            <w:gridSpan w:val="4"/>
            <w:tcBorders>
              <w:top w:val="single" w:color="000000" w:sz="4" w:space="0"/>
              <w:left w:val="single" w:color="auto" w:sz="4" w:space="0"/>
              <w:bottom w:val="single" w:color="000000" w:sz="4" w:space="0"/>
              <w:right w:val="single" w:color="000000" w:sz="4" w:space="0"/>
            </w:tcBorders>
            <w:vAlign w:val="center"/>
          </w:tcPr>
          <w:p w14:paraId="2D35A7ED">
            <w:pPr>
              <w:pStyle w:val="52"/>
              <w:tabs>
                <w:tab w:val="center" w:pos="4201"/>
                <w:tab w:val="right" w:leader="dot" w:pos="9298"/>
              </w:tabs>
              <w:ind w:firstLine="0" w:firstLineChars="0"/>
              <w:jc w:val="center"/>
            </w:pPr>
            <w:r>
              <w:rPr>
                <w:rFonts w:hint="eastAsia"/>
              </w:rPr>
              <w:t>20%</w:t>
            </w:r>
          </w:p>
        </w:tc>
      </w:tr>
      <w:tr w14:paraId="4E0D9497">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5AA76A56">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2C702028">
            <w:pPr>
              <w:pStyle w:val="52"/>
              <w:tabs>
                <w:tab w:val="center" w:pos="4201"/>
                <w:tab w:val="right" w:leader="dot" w:pos="9298"/>
              </w:tabs>
              <w:ind w:firstLine="0" w:firstLineChars="0"/>
              <w:jc w:val="center"/>
            </w:pPr>
            <w:r>
              <w:rPr>
                <w:rFonts w:hint="eastAsia"/>
              </w:rPr>
              <w:t>滑移率示值</w:t>
            </w:r>
          </w:p>
        </w:tc>
        <w:tc>
          <w:tcPr>
            <w:tcW w:w="1217" w:type="pct"/>
            <w:gridSpan w:val="4"/>
            <w:tcBorders>
              <w:top w:val="single" w:color="000000" w:sz="4" w:space="0"/>
              <w:left w:val="single" w:color="000000" w:sz="4" w:space="0"/>
              <w:bottom w:val="single" w:color="000000" w:sz="4" w:space="0"/>
              <w:right w:val="single" w:color="auto" w:sz="4" w:space="0"/>
            </w:tcBorders>
            <w:vAlign w:val="center"/>
          </w:tcPr>
          <w:p w14:paraId="2A49AAA6">
            <w:pPr>
              <w:pStyle w:val="52"/>
              <w:tabs>
                <w:tab w:val="center" w:pos="4201"/>
                <w:tab w:val="right" w:leader="dot" w:pos="9298"/>
              </w:tabs>
              <w:ind w:firstLine="0" w:firstLineChars="0"/>
              <w:jc w:val="center"/>
            </w:pPr>
          </w:p>
        </w:tc>
        <w:tc>
          <w:tcPr>
            <w:tcW w:w="1162" w:type="pct"/>
            <w:gridSpan w:val="4"/>
            <w:tcBorders>
              <w:top w:val="single" w:color="000000" w:sz="4" w:space="0"/>
              <w:left w:val="single" w:color="auto" w:sz="4" w:space="0"/>
              <w:bottom w:val="single" w:color="000000" w:sz="4" w:space="0"/>
              <w:right w:val="single" w:color="auto" w:sz="4" w:space="0"/>
            </w:tcBorders>
            <w:vAlign w:val="center"/>
          </w:tcPr>
          <w:p w14:paraId="3DC8FF5D">
            <w:pPr>
              <w:pStyle w:val="52"/>
              <w:tabs>
                <w:tab w:val="center" w:pos="4201"/>
                <w:tab w:val="right" w:leader="dot" w:pos="9298"/>
              </w:tabs>
              <w:ind w:firstLine="0" w:firstLineChars="0"/>
              <w:jc w:val="center"/>
            </w:pPr>
          </w:p>
        </w:tc>
        <w:tc>
          <w:tcPr>
            <w:tcW w:w="1122" w:type="pct"/>
            <w:gridSpan w:val="4"/>
            <w:tcBorders>
              <w:top w:val="single" w:color="000000" w:sz="4" w:space="0"/>
              <w:left w:val="single" w:color="auto" w:sz="4" w:space="0"/>
              <w:bottom w:val="single" w:color="000000" w:sz="4" w:space="0"/>
              <w:right w:val="single" w:color="000000" w:sz="4" w:space="0"/>
            </w:tcBorders>
            <w:vAlign w:val="center"/>
          </w:tcPr>
          <w:p w14:paraId="396C45EF">
            <w:pPr>
              <w:pStyle w:val="52"/>
              <w:tabs>
                <w:tab w:val="center" w:pos="4201"/>
                <w:tab w:val="right" w:leader="dot" w:pos="9298"/>
              </w:tabs>
              <w:ind w:firstLine="0" w:firstLineChars="0"/>
              <w:jc w:val="center"/>
            </w:pPr>
          </w:p>
        </w:tc>
      </w:tr>
      <w:tr w14:paraId="1FC5538C">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3E99AA33">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6F95DA21">
            <w:pPr>
              <w:pStyle w:val="52"/>
              <w:tabs>
                <w:tab w:val="center" w:pos="4201"/>
                <w:tab w:val="right" w:leader="dot" w:pos="9298"/>
              </w:tabs>
              <w:ind w:firstLine="0" w:firstLineChars="0"/>
              <w:jc w:val="center"/>
            </w:pPr>
            <w:r>
              <w:rPr>
                <w:rFonts w:hint="eastAsia"/>
              </w:rPr>
              <w:t>示值误差</w:t>
            </w:r>
          </w:p>
        </w:tc>
        <w:tc>
          <w:tcPr>
            <w:tcW w:w="1217" w:type="pct"/>
            <w:gridSpan w:val="4"/>
            <w:tcBorders>
              <w:top w:val="single" w:color="000000" w:sz="4" w:space="0"/>
              <w:left w:val="single" w:color="000000" w:sz="4" w:space="0"/>
              <w:bottom w:val="single" w:color="000000" w:sz="4" w:space="0"/>
              <w:right w:val="single" w:color="auto" w:sz="4" w:space="0"/>
            </w:tcBorders>
            <w:vAlign w:val="center"/>
          </w:tcPr>
          <w:p w14:paraId="48A6A01B">
            <w:pPr>
              <w:pStyle w:val="52"/>
              <w:tabs>
                <w:tab w:val="center" w:pos="4201"/>
                <w:tab w:val="right" w:leader="dot" w:pos="9298"/>
              </w:tabs>
              <w:ind w:firstLine="0" w:firstLineChars="0"/>
              <w:jc w:val="center"/>
            </w:pPr>
          </w:p>
        </w:tc>
        <w:tc>
          <w:tcPr>
            <w:tcW w:w="1162" w:type="pct"/>
            <w:gridSpan w:val="4"/>
            <w:tcBorders>
              <w:top w:val="single" w:color="000000" w:sz="4" w:space="0"/>
              <w:left w:val="single" w:color="auto" w:sz="4" w:space="0"/>
              <w:bottom w:val="single" w:color="000000" w:sz="4" w:space="0"/>
              <w:right w:val="single" w:color="auto" w:sz="4" w:space="0"/>
            </w:tcBorders>
            <w:vAlign w:val="center"/>
          </w:tcPr>
          <w:p w14:paraId="3E9D5630">
            <w:pPr>
              <w:pStyle w:val="52"/>
              <w:tabs>
                <w:tab w:val="center" w:pos="4201"/>
                <w:tab w:val="right" w:leader="dot" w:pos="9298"/>
              </w:tabs>
              <w:ind w:firstLine="0" w:firstLineChars="0"/>
              <w:jc w:val="center"/>
            </w:pPr>
          </w:p>
        </w:tc>
        <w:tc>
          <w:tcPr>
            <w:tcW w:w="1122" w:type="pct"/>
            <w:gridSpan w:val="4"/>
            <w:tcBorders>
              <w:top w:val="single" w:color="000000" w:sz="4" w:space="0"/>
              <w:left w:val="single" w:color="auto" w:sz="4" w:space="0"/>
              <w:bottom w:val="single" w:color="000000" w:sz="4" w:space="0"/>
              <w:right w:val="single" w:color="000000" w:sz="4" w:space="0"/>
            </w:tcBorders>
            <w:vAlign w:val="center"/>
          </w:tcPr>
          <w:p w14:paraId="20AD9279">
            <w:pPr>
              <w:pStyle w:val="52"/>
              <w:tabs>
                <w:tab w:val="center" w:pos="4201"/>
                <w:tab w:val="right" w:leader="dot" w:pos="9298"/>
              </w:tabs>
              <w:ind w:firstLine="0" w:firstLineChars="0"/>
              <w:jc w:val="center"/>
            </w:pPr>
          </w:p>
        </w:tc>
      </w:tr>
      <w:tr w14:paraId="1B34854E">
        <w:tblPrEx>
          <w:tblCellMar>
            <w:top w:w="15" w:type="dxa"/>
            <w:left w:w="15" w:type="dxa"/>
            <w:bottom w:w="15" w:type="dxa"/>
            <w:right w:w="15" w:type="dxa"/>
          </w:tblCellMar>
        </w:tblPrEx>
        <w:trPr>
          <w:trHeight w:val="510" w:hRule="atLeast"/>
        </w:trPr>
        <w:tc>
          <w:tcPr>
            <w:tcW w:w="332" w:type="pct"/>
            <w:vMerge w:val="continue"/>
            <w:tcBorders>
              <w:left w:val="single" w:color="000000" w:sz="4" w:space="0"/>
              <w:right w:val="single" w:color="auto" w:sz="4" w:space="0"/>
            </w:tcBorders>
            <w:vAlign w:val="center"/>
          </w:tcPr>
          <w:p w14:paraId="648CE464">
            <w:pPr>
              <w:pStyle w:val="52"/>
              <w:tabs>
                <w:tab w:val="center" w:pos="4201"/>
                <w:tab w:val="right" w:leader="dot" w:pos="9298"/>
              </w:tabs>
              <w:ind w:firstLine="0" w:firstLineChars="0"/>
            </w:pPr>
          </w:p>
        </w:tc>
        <w:tc>
          <w:tcPr>
            <w:tcW w:w="1165" w:type="pct"/>
            <w:tcBorders>
              <w:top w:val="single" w:color="000000" w:sz="4" w:space="0"/>
              <w:left w:val="single" w:color="auto" w:sz="4" w:space="0"/>
              <w:bottom w:val="single" w:color="000000" w:sz="4" w:space="0"/>
              <w:right w:val="single" w:color="000000" w:sz="4" w:space="0"/>
            </w:tcBorders>
            <w:vAlign w:val="center"/>
          </w:tcPr>
          <w:p w14:paraId="30D75589">
            <w:pPr>
              <w:pStyle w:val="52"/>
              <w:tabs>
                <w:tab w:val="center" w:pos="4201"/>
                <w:tab w:val="right" w:leader="dot" w:pos="9298"/>
              </w:tabs>
              <w:ind w:firstLine="0" w:firstLineChars="0"/>
              <w:jc w:val="center"/>
            </w:pPr>
            <w:r>
              <w:rPr>
                <w:rFonts w:hint="eastAsia"/>
              </w:rPr>
              <w:t>不确定度</w:t>
            </w:r>
          </w:p>
        </w:tc>
        <w:tc>
          <w:tcPr>
            <w:tcW w:w="1217" w:type="pct"/>
            <w:gridSpan w:val="4"/>
            <w:tcBorders>
              <w:top w:val="single" w:color="000000" w:sz="4" w:space="0"/>
              <w:left w:val="single" w:color="000000" w:sz="4" w:space="0"/>
              <w:bottom w:val="single" w:color="000000" w:sz="4" w:space="0"/>
              <w:right w:val="single" w:color="auto" w:sz="4" w:space="0"/>
            </w:tcBorders>
            <w:vAlign w:val="center"/>
          </w:tcPr>
          <w:p w14:paraId="76769B30">
            <w:pPr>
              <w:pStyle w:val="52"/>
              <w:tabs>
                <w:tab w:val="center" w:pos="4201"/>
                <w:tab w:val="right" w:leader="dot" w:pos="9298"/>
              </w:tabs>
              <w:ind w:firstLine="0" w:firstLineChars="0"/>
              <w:jc w:val="center"/>
            </w:pPr>
          </w:p>
        </w:tc>
        <w:tc>
          <w:tcPr>
            <w:tcW w:w="1162" w:type="pct"/>
            <w:gridSpan w:val="4"/>
            <w:tcBorders>
              <w:top w:val="single" w:color="000000" w:sz="4" w:space="0"/>
              <w:left w:val="single" w:color="auto" w:sz="4" w:space="0"/>
              <w:bottom w:val="single" w:color="000000" w:sz="4" w:space="0"/>
              <w:right w:val="single" w:color="auto" w:sz="4" w:space="0"/>
            </w:tcBorders>
            <w:vAlign w:val="center"/>
          </w:tcPr>
          <w:p w14:paraId="76C665AB">
            <w:pPr>
              <w:pStyle w:val="52"/>
              <w:tabs>
                <w:tab w:val="center" w:pos="4201"/>
                <w:tab w:val="right" w:leader="dot" w:pos="9298"/>
              </w:tabs>
              <w:ind w:firstLine="0" w:firstLineChars="0"/>
              <w:jc w:val="center"/>
            </w:pPr>
          </w:p>
        </w:tc>
        <w:tc>
          <w:tcPr>
            <w:tcW w:w="1122" w:type="pct"/>
            <w:gridSpan w:val="4"/>
            <w:tcBorders>
              <w:top w:val="single" w:color="000000" w:sz="4" w:space="0"/>
              <w:left w:val="single" w:color="auto" w:sz="4" w:space="0"/>
              <w:bottom w:val="single" w:color="000000" w:sz="4" w:space="0"/>
              <w:right w:val="single" w:color="000000" w:sz="4" w:space="0"/>
            </w:tcBorders>
            <w:vAlign w:val="center"/>
          </w:tcPr>
          <w:p w14:paraId="3C4EF800">
            <w:pPr>
              <w:pStyle w:val="52"/>
              <w:tabs>
                <w:tab w:val="center" w:pos="4201"/>
                <w:tab w:val="right" w:leader="dot" w:pos="9298"/>
              </w:tabs>
              <w:ind w:firstLine="0" w:firstLineChars="0"/>
              <w:jc w:val="center"/>
            </w:pPr>
          </w:p>
        </w:tc>
      </w:tr>
      <w:tr w14:paraId="0C0F3116">
        <w:tblPrEx>
          <w:tblCellMar>
            <w:top w:w="15" w:type="dxa"/>
            <w:left w:w="15" w:type="dxa"/>
            <w:bottom w:w="15" w:type="dxa"/>
            <w:right w:w="15" w:type="dxa"/>
          </w:tblCellMar>
        </w:tblPrEx>
        <w:trPr>
          <w:trHeight w:val="662" w:hRule="atLeast"/>
        </w:trPr>
        <w:tc>
          <w:tcPr>
            <w:tcW w:w="5000" w:type="pct"/>
            <w:gridSpan w:val="14"/>
            <w:tcBorders>
              <w:top w:val="single" w:color="000000" w:sz="4" w:space="0"/>
              <w:left w:val="single" w:color="000000" w:sz="4" w:space="0"/>
              <w:bottom w:val="single" w:color="000000" w:sz="4" w:space="0"/>
              <w:right w:val="single" w:color="000000" w:sz="4" w:space="0"/>
            </w:tcBorders>
            <w:vAlign w:val="center"/>
          </w:tcPr>
          <w:p w14:paraId="35E4559B">
            <w:pPr>
              <w:pStyle w:val="52"/>
              <w:tabs>
                <w:tab w:val="center" w:pos="4201"/>
                <w:tab w:val="right" w:leader="dot" w:pos="9298"/>
              </w:tabs>
              <w:ind w:firstLine="0" w:firstLineChars="0"/>
            </w:pPr>
            <w:r>
              <w:rPr>
                <w:rFonts w:hint="eastAsia"/>
              </w:rPr>
              <w:t>备注：</w:t>
            </w:r>
          </w:p>
        </w:tc>
      </w:tr>
    </w:tbl>
    <w:p w14:paraId="313126B2">
      <w:pPr>
        <w:pStyle w:val="52"/>
        <w:tabs>
          <w:tab w:val="center" w:pos="4201"/>
          <w:tab w:val="right" w:leader="dot" w:pos="9298"/>
        </w:tabs>
        <w:ind w:firstLine="0" w:firstLineChars="0"/>
      </w:pPr>
      <w:r>
        <w:rPr>
          <w:rFonts w:hint="eastAsia"/>
        </w:rPr>
        <w:t>校准员：                检验员：                                 校准日期：   年  月  日</w:t>
      </w:r>
    </w:p>
    <w:p w14:paraId="59DC9AC3">
      <w:pPr>
        <w:widowControl/>
        <w:jc w:val="left"/>
        <w:rPr>
          <w:rFonts w:eastAsia="黑体"/>
          <w:sz w:val="32"/>
          <w:szCs w:val="32"/>
        </w:rPr>
      </w:pPr>
      <w:r>
        <w:rPr>
          <w:rFonts w:eastAsia="黑体"/>
          <w:sz w:val="32"/>
          <w:szCs w:val="32"/>
        </w:rPr>
        <w:br w:type="page"/>
      </w:r>
    </w:p>
    <w:p w14:paraId="7C559ABB">
      <w:pPr>
        <w:pStyle w:val="2"/>
        <w:keepNext w:val="0"/>
        <w:keepLines w:val="0"/>
        <w:spacing w:before="0" w:after="0" w:line="480" w:lineRule="auto"/>
        <w:rPr>
          <w:rFonts w:eastAsia="黑体"/>
          <w:b w:val="0"/>
          <w:bCs w:val="0"/>
          <w:kern w:val="2"/>
          <w:sz w:val="24"/>
          <w:szCs w:val="24"/>
        </w:rPr>
      </w:pPr>
      <w:bookmarkStart w:id="32" w:name="_Toc9797"/>
      <w:r>
        <w:rPr>
          <w:rFonts w:eastAsia="黑体"/>
          <w:b w:val="0"/>
          <w:bCs w:val="0"/>
          <w:kern w:val="2"/>
          <w:sz w:val="24"/>
          <w:szCs w:val="24"/>
        </w:rPr>
        <w:t>附录B</w:t>
      </w:r>
      <w:bookmarkEnd w:id="32"/>
    </w:p>
    <w:p w14:paraId="3B438248">
      <w:pPr>
        <w:spacing w:line="360" w:lineRule="auto"/>
        <w:jc w:val="center"/>
        <w:rPr>
          <w:rFonts w:eastAsia="黑体"/>
          <w:sz w:val="32"/>
          <w:szCs w:val="32"/>
        </w:rPr>
      </w:pPr>
      <w:bookmarkStart w:id="33" w:name="_Hlk178601261"/>
      <w:r>
        <w:rPr>
          <w:rFonts w:hint="eastAsia" w:eastAsia="黑体"/>
          <w:sz w:val="32"/>
          <w:szCs w:val="32"/>
        </w:rPr>
        <w:t>校准证书校准结果内容</w:t>
      </w:r>
    </w:p>
    <w:bookmarkEnd w:id="33"/>
    <w:p w14:paraId="076EC44D">
      <w:pPr>
        <w:pStyle w:val="52"/>
        <w:tabs>
          <w:tab w:val="center" w:pos="4201"/>
          <w:tab w:val="right" w:leader="dot" w:pos="9298"/>
        </w:tabs>
        <w:ind w:firstLine="420"/>
      </w:pPr>
      <w:r>
        <w:rPr>
          <w:rFonts w:hint="eastAsia"/>
        </w:rPr>
        <w:t>B</w:t>
      </w:r>
      <w:r>
        <w:t xml:space="preserve">.1 </w:t>
      </w:r>
      <w:r>
        <w:rPr>
          <w:rFonts w:hint="eastAsia"/>
        </w:rPr>
        <w:t>校准正式信息</w:t>
      </w:r>
    </w:p>
    <w:p w14:paraId="1EB0FF49">
      <w:pPr>
        <w:pStyle w:val="52"/>
        <w:tabs>
          <w:tab w:val="center" w:pos="4201"/>
          <w:tab w:val="right" w:leader="dot" w:pos="9298"/>
        </w:tabs>
        <w:ind w:firstLine="420"/>
      </w:pPr>
      <w:r>
        <w:rPr>
          <w:rFonts w:hint="eastAsia"/>
        </w:rPr>
        <w:t>校准证书应至少包括以下信息：</w:t>
      </w:r>
    </w:p>
    <w:p w14:paraId="1297A5AF">
      <w:pPr>
        <w:pStyle w:val="52"/>
        <w:tabs>
          <w:tab w:val="center" w:pos="4201"/>
          <w:tab w:val="right" w:leader="dot" w:pos="9298"/>
        </w:tabs>
        <w:ind w:firstLine="420"/>
      </w:pPr>
      <w:r>
        <w:rPr>
          <w:rFonts w:hint="eastAsia"/>
        </w:rPr>
        <w:t>a）标题，如“校准证书”；</w:t>
      </w:r>
    </w:p>
    <w:p w14:paraId="1E401AA6">
      <w:pPr>
        <w:pStyle w:val="52"/>
        <w:tabs>
          <w:tab w:val="center" w:pos="4201"/>
          <w:tab w:val="right" w:leader="dot" w:pos="9298"/>
        </w:tabs>
        <w:ind w:firstLine="420"/>
      </w:pPr>
      <w:r>
        <w:rPr>
          <w:rFonts w:hint="eastAsia"/>
        </w:rPr>
        <w:t>b）证书编号、页码及总页数；</w:t>
      </w:r>
    </w:p>
    <w:p w14:paraId="1C518D48">
      <w:pPr>
        <w:pStyle w:val="52"/>
        <w:tabs>
          <w:tab w:val="center" w:pos="4201"/>
          <w:tab w:val="right" w:leader="dot" w:pos="9298"/>
        </w:tabs>
        <w:ind w:firstLine="420"/>
      </w:pPr>
      <w:r>
        <w:rPr>
          <w:rFonts w:hint="eastAsia"/>
        </w:rPr>
        <w:t>c）校准实验室的名称和地址；</w:t>
      </w:r>
    </w:p>
    <w:p w14:paraId="205E273B">
      <w:pPr>
        <w:pStyle w:val="52"/>
        <w:tabs>
          <w:tab w:val="center" w:pos="4201"/>
          <w:tab w:val="right" w:leader="dot" w:pos="9298"/>
        </w:tabs>
        <w:ind w:firstLine="420"/>
      </w:pPr>
      <w:r>
        <w:rPr>
          <w:rFonts w:hint="eastAsia"/>
        </w:rPr>
        <w:t>d）进行校准的日期；</w:t>
      </w:r>
    </w:p>
    <w:p w14:paraId="7EBFB7A3">
      <w:pPr>
        <w:pStyle w:val="52"/>
        <w:tabs>
          <w:tab w:val="center" w:pos="4201"/>
          <w:tab w:val="right" w:leader="dot" w:pos="9298"/>
        </w:tabs>
        <w:ind w:firstLine="420"/>
      </w:pPr>
      <w:r>
        <w:rPr>
          <w:rFonts w:hint="eastAsia"/>
        </w:rPr>
        <w:t>e）进行校准的地点（如果与实验室的地址不同）；</w:t>
      </w:r>
    </w:p>
    <w:p w14:paraId="1EEDBFF2">
      <w:pPr>
        <w:pStyle w:val="52"/>
        <w:tabs>
          <w:tab w:val="center" w:pos="4201"/>
          <w:tab w:val="right" w:leader="dot" w:pos="9298"/>
        </w:tabs>
        <w:ind w:firstLine="420"/>
      </w:pPr>
      <w:r>
        <w:rPr>
          <w:rFonts w:hint="eastAsia"/>
        </w:rPr>
        <w:t>f）委托单位的名称和地址；</w:t>
      </w:r>
    </w:p>
    <w:p w14:paraId="27BBEFD3">
      <w:pPr>
        <w:pStyle w:val="52"/>
        <w:tabs>
          <w:tab w:val="center" w:pos="4201"/>
          <w:tab w:val="right" w:leader="dot" w:pos="9298"/>
        </w:tabs>
        <w:ind w:firstLine="420"/>
      </w:pPr>
      <w:r>
        <w:rPr>
          <w:rFonts w:hint="eastAsia"/>
        </w:rPr>
        <w:t>g）被校准汽车制动滑移率测量装置的信息；</w:t>
      </w:r>
    </w:p>
    <w:p w14:paraId="4C9FB47F">
      <w:pPr>
        <w:pStyle w:val="52"/>
        <w:tabs>
          <w:tab w:val="center" w:pos="4201"/>
          <w:tab w:val="right" w:leader="dot" w:pos="9298"/>
        </w:tabs>
        <w:ind w:firstLine="420"/>
      </w:pPr>
      <w:r>
        <w:rPr>
          <w:rFonts w:hint="eastAsia"/>
        </w:rPr>
        <w:t>h）校准所依据的技术规范名称和代号；</w:t>
      </w:r>
    </w:p>
    <w:p w14:paraId="1A8771D8">
      <w:pPr>
        <w:pStyle w:val="52"/>
        <w:tabs>
          <w:tab w:val="center" w:pos="4201"/>
          <w:tab w:val="right" w:leader="dot" w:pos="9298"/>
        </w:tabs>
        <w:ind w:firstLine="420"/>
      </w:pPr>
      <w:r>
        <w:rPr>
          <w:rFonts w:hint="eastAsia"/>
        </w:rPr>
        <w:t>i）测量标准及其他设备的名称、技术参数及证书编号与有效期；</w:t>
      </w:r>
    </w:p>
    <w:p w14:paraId="163C6407">
      <w:pPr>
        <w:pStyle w:val="52"/>
        <w:tabs>
          <w:tab w:val="center" w:pos="4201"/>
          <w:tab w:val="right" w:leader="dot" w:pos="9298"/>
        </w:tabs>
        <w:ind w:firstLine="420"/>
      </w:pPr>
      <w:r>
        <w:rPr>
          <w:rFonts w:hint="eastAsia"/>
        </w:rPr>
        <w:t>j）校准时的环境条件；</w:t>
      </w:r>
    </w:p>
    <w:p w14:paraId="0015E281">
      <w:pPr>
        <w:pStyle w:val="52"/>
        <w:tabs>
          <w:tab w:val="center" w:pos="4201"/>
          <w:tab w:val="right" w:leader="dot" w:pos="9298"/>
        </w:tabs>
        <w:ind w:firstLine="420"/>
      </w:pPr>
      <w:r>
        <w:rPr>
          <w:rFonts w:hint="eastAsia"/>
        </w:rPr>
        <w:t>k）校准结果；</w:t>
      </w:r>
    </w:p>
    <w:p w14:paraId="342D75D7">
      <w:pPr>
        <w:pStyle w:val="52"/>
        <w:tabs>
          <w:tab w:val="center" w:pos="4201"/>
          <w:tab w:val="right" w:leader="dot" w:pos="9298"/>
        </w:tabs>
        <w:ind w:firstLine="420"/>
      </w:pPr>
      <w:r>
        <w:rPr>
          <w:rFonts w:hint="eastAsia"/>
        </w:rPr>
        <w:t>1）校准结果的测量不确定度</w:t>
      </w:r>
    </w:p>
    <w:p w14:paraId="1F8D5CFE">
      <w:pPr>
        <w:pStyle w:val="52"/>
        <w:tabs>
          <w:tab w:val="center" w:pos="4201"/>
          <w:tab w:val="right" w:leader="dot" w:pos="9298"/>
        </w:tabs>
        <w:ind w:firstLine="420"/>
      </w:pPr>
      <w:r>
        <w:rPr>
          <w:rFonts w:hint="eastAsia"/>
        </w:rPr>
        <w:t>m）必要时，给出复校时间间隔的建议；</w:t>
      </w:r>
    </w:p>
    <w:p w14:paraId="564CB366">
      <w:pPr>
        <w:pStyle w:val="52"/>
        <w:tabs>
          <w:tab w:val="center" w:pos="4201"/>
          <w:tab w:val="right" w:leader="dot" w:pos="9298"/>
        </w:tabs>
        <w:ind w:firstLine="420"/>
      </w:pPr>
      <w:r>
        <w:rPr>
          <w:rFonts w:hint="eastAsia"/>
        </w:rPr>
        <w:t>n）校准人签名、核验人签名、批准人签名；</w:t>
      </w:r>
    </w:p>
    <w:p w14:paraId="27FF1B60">
      <w:pPr>
        <w:pStyle w:val="52"/>
        <w:tabs>
          <w:tab w:val="center" w:pos="4201"/>
          <w:tab w:val="right" w:leader="dot" w:pos="9298"/>
        </w:tabs>
        <w:ind w:firstLine="420"/>
      </w:pPr>
      <w:r>
        <w:rPr>
          <w:rFonts w:hint="eastAsia"/>
        </w:rPr>
        <w:t>o）校准结果仅对校准对象有效的声明；</w:t>
      </w:r>
    </w:p>
    <w:p w14:paraId="115ECCED">
      <w:pPr>
        <w:pStyle w:val="52"/>
        <w:tabs>
          <w:tab w:val="center" w:pos="4201"/>
          <w:tab w:val="right" w:leader="dot" w:pos="9298"/>
        </w:tabs>
        <w:ind w:firstLine="420"/>
      </w:pPr>
      <w:r>
        <w:rPr>
          <w:rFonts w:hint="eastAsia"/>
        </w:rPr>
        <w:t>p）未经校准实验室书面批准，不得部分复制校准证书的声明。</w:t>
      </w:r>
    </w:p>
    <w:p w14:paraId="182BF7E4">
      <w:pPr>
        <w:pStyle w:val="52"/>
        <w:tabs>
          <w:tab w:val="center" w:pos="4201"/>
          <w:tab w:val="right" w:leader="dot" w:pos="9298"/>
        </w:tabs>
        <w:ind w:firstLine="420"/>
      </w:pPr>
      <w:r>
        <w:rPr>
          <w:rFonts w:hint="eastAsia"/>
        </w:rPr>
        <w:t>B</w:t>
      </w:r>
      <w:r>
        <w:t xml:space="preserve">.2 </w:t>
      </w:r>
      <w:r>
        <w:rPr>
          <w:rFonts w:hint="eastAsia"/>
        </w:rPr>
        <w:t>测量仪校准证书内页（式样）</w:t>
      </w:r>
    </w:p>
    <w:p w14:paraId="1EDFBE97">
      <w:pPr>
        <w:pStyle w:val="52"/>
        <w:tabs>
          <w:tab w:val="center" w:pos="4201"/>
          <w:tab w:val="right" w:leader="dot" w:pos="9298"/>
        </w:tabs>
        <w:ind w:firstLine="420"/>
      </w:pPr>
      <w:r>
        <w:rPr>
          <w:rFonts w:hint="eastAsia"/>
        </w:rPr>
        <w:t>测量仪校准证书内页式样见表B</w:t>
      </w:r>
      <w:r>
        <w:t>.1</w:t>
      </w:r>
      <w:r>
        <w:rPr>
          <w:rFonts w:hint="eastAsia"/>
        </w:rPr>
        <w:t>。</w:t>
      </w:r>
    </w:p>
    <w:p w14:paraId="30468638">
      <w:pPr>
        <w:pStyle w:val="52"/>
        <w:tabs>
          <w:tab w:val="center" w:pos="4201"/>
          <w:tab w:val="right" w:leader="dot" w:pos="9298"/>
        </w:tabs>
        <w:ind w:firstLine="0" w:firstLineChars="0"/>
        <w:jc w:val="center"/>
        <w:rPr>
          <w:rFonts w:ascii="黑体" w:hAnsi="黑体" w:eastAsia="黑体"/>
        </w:rPr>
      </w:pPr>
      <w:r>
        <w:rPr>
          <w:rFonts w:hint="eastAsia" w:ascii="黑体" w:hAnsi="黑体" w:eastAsia="黑体"/>
        </w:rPr>
        <w:t>表B</w:t>
      </w:r>
      <w:r>
        <w:rPr>
          <w:rFonts w:ascii="黑体" w:hAnsi="黑体" w:eastAsia="黑体"/>
        </w:rPr>
        <w:t xml:space="preserve">.1 </w:t>
      </w:r>
      <w:r>
        <w:rPr>
          <w:rFonts w:hint="eastAsia" w:ascii="黑体" w:hAnsi="黑体" w:eastAsia="黑体"/>
        </w:rPr>
        <w:t>校准证书校准结果内页（式样）</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9"/>
        <w:gridCol w:w="1005"/>
        <w:gridCol w:w="1738"/>
        <w:gridCol w:w="2875"/>
        <w:gridCol w:w="1225"/>
        <w:gridCol w:w="1208"/>
      </w:tblGrid>
      <w:tr w14:paraId="6B2A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Align w:val="center"/>
          </w:tcPr>
          <w:p w14:paraId="115604FB">
            <w:pPr>
              <w:pStyle w:val="52"/>
              <w:widowControl w:val="0"/>
              <w:tabs>
                <w:tab w:val="center" w:pos="4201"/>
                <w:tab w:val="right" w:leader="dot" w:pos="9298"/>
              </w:tabs>
              <w:ind w:firstLine="0" w:firstLineChars="0"/>
              <w:jc w:val="center"/>
              <w:rPr>
                <w:rFonts w:hAnsi="宋体"/>
                <w:szCs w:val="18"/>
              </w:rPr>
            </w:pPr>
            <w:r>
              <w:rPr>
                <w:rFonts w:hint="eastAsia" w:hAnsi="宋体"/>
                <w:szCs w:val="18"/>
              </w:rPr>
              <w:t>序号</w:t>
            </w:r>
          </w:p>
        </w:tc>
        <w:tc>
          <w:tcPr>
            <w:tcW w:w="2743" w:type="dxa"/>
            <w:gridSpan w:val="2"/>
            <w:vAlign w:val="center"/>
          </w:tcPr>
          <w:p w14:paraId="256AC21F">
            <w:pPr>
              <w:pStyle w:val="52"/>
              <w:widowControl w:val="0"/>
              <w:tabs>
                <w:tab w:val="center" w:pos="4201"/>
                <w:tab w:val="right" w:leader="dot" w:pos="9298"/>
              </w:tabs>
              <w:ind w:firstLine="0" w:firstLineChars="0"/>
              <w:jc w:val="center"/>
              <w:rPr>
                <w:rFonts w:hAnsi="宋体"/>
                <w:szCs w:val="18"/>
              </w:rPr>
            </w:pPr>
            <w:r>
              <w:rPr>
                <w:rFonts w:hint="eastAsia" w:hAnsi="宋体"/>
                <w:szCs w:val="18"/>
              </w:rPr>
              <w:t>校准项目(校准点)</w:t>
            </w:r>
          </w:p>
        </w:tc>
        <w:tc>
          <w:tcPr>
            <w:tcW w:w="2875" w:type="dxa"/>
            <w:vAlign w:val="center"/>
          </w:tcPr>
          <w:p w14:paraId="07623450">
            <w:pPr>
              <w:pStyle w:val="52"/>
              <w:widowControl w:val="0"/>
              <w:tabs>
                <w:tab w:val="center" w:pos="4201"/>
                <w:tab w:val="right" w:leader="dot" w:pos="9298"/>
              </w:tabs>
              <w:ind w:firstLine="0" w:firstLineChars="0"/>
              <w:jc w:val="center"/>
              <w:rPr>
                <w:rFonts w:hAnsi="宋体"/>
                <w:szCs w:val="18"/>
              </w:rPr>
            </w:pPr>
            <w:r>
              <w:rPr>
                <w:rFonts w:hint="eastAsia" w:hAnsi="宋体"/>
                <w:szCs w:val="18"/>
              </w:rPr>
              <w:t>技术要求</w:t>
            </w:r>
          </w:p>
        </w:tc>
        <w:tc>
          <w:tcPr>
            <w:tcW w:w="2433" w:type="dxa"/>
            <w:gridSpan w:val="2"/>
            <w:tcBorders>
              <w:top w:val="single" w:color="auto" w:sz="4" w:space="0"/>
            </w:tcBorders>
            <w:vAlign w:val="center"/>
          </w:tcPr>
          <w:p w14:paraId="7B606272">
            <w:pPr>
              <w:pStyle w:val="52"/>
              <w:widowControl w:val="0"/>
              <w:tabs>
                <w:tab w:val="center" w:pos="4201"/>
                <w:tab w:val="right" w:leader="dot" w:pos="9298"/>
              </w:tabs>
              <w:ind w:firstLine="0" w:firstLineChars="0"/>
              <w:jc w:val="center"/>
              <w:rPr>
                <w:rFonts w:hAnsi="宋体"/>
                <w:szCs w:val="18"/>
              </w:rPr>
            </w:pPr>
            <w:r>
              <w:rPr>
                <w:rFonts w:hint="eastAsia" w:hAnsi="宋体"/>
                <w:szCs w:val="18"/>
              </w:rPr>
              <w:t>校准结果</w:t>
            </w:r>
          </w:p>
        </w:tc>
      </w:tr>
      <w:tr w14:paraId="6D7F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Align w:val="center"/>
          </w:tcPr>
          <w:p w14:paraId="234A4A1E">
            <w:pPr>
              <w:pStyle w:val="52"/>
              <w:widowControl w:val="0"/>
              <w:tabs>
                <w:tab w:val="center" w:pos="4201"/>
                <w:tab w:val="right" w:leader="dot" w:pos="9298"/>
              </w:tabs>
              <w:ind w:firstLine="0" w:firstLineChars="0"/>
              <w:jc w:val="center"/>
              <w:rPr>
                <w:rFonts w:hAnsi="宋体"/>
                <w:szCs w:val="18"/>
              </w:rPr>
            </w:pPr>
            <w:r>
              <w:rPr>
                <w:rFonts w:hint="eastAsia" w:hAnsi="宋体"/>
                <w:szCs w:val="18"/>
              </w:rPr>
              <w:t>1</w:t>
            </w:r>
          </w:p>
        </w:tc>
        <w:tc>
          <w:tcPr>
            <w:tcW w:w="2743" w:type="dxa"/>
            <w:gridSpan w:val="2"/>
            <w:tcBorders>
              <w:bottom w:val="single" w:color="auto" w:sz="4" w:space="0"/>
            </w:tcBorders>
            <w:vAlign w:val="center"/>
          </w:tcPr>
          <w:p w14:paraId="7A0C7674">
            <w:pPr>
              <w:pStyle w:val="52"/>
              <w:widowControl w:val="0"/>
              <w:tabs>
                <w:tab w:val="center" w:pos="4201"/>
                <w:tab w:val="right" w:leader="dot" w:pos="9298"/>
              </w:tabs>
              <w:ind w:firstLine="0" w:firstLineChars="0"/>
              <w:jc w:val="center"/>
              <w:rPr>
                <w:rFonts w:hAnsi="宋体"/>
                <w:szCs w:val="18"/>
              </w:rPr>
            </w:pPr>
            <w:r>
              <w:rPr>
                <w:rFonts w:hint="eastAsia" w:hAnsi="宋体"/>
                <w:szCs w:val="18"/>
              </w:rPr>
              <w:t>速度测量范围</w:t>
            </w:r>
          </w:p>
        </w:tc>
        <w:tc>
          <w:tcPr>
            <w:tcW w:w="2875" w:type="dxa"/>
            <w:vAlign w:val="center"/>
          </w:tcPr>
          <w:p w14:paraId="62702839">
            <w:pPr>
              <w:pStyle w:val="52"/>
              <w:widowControl w:val="0"/>
              <w:tabs>
                <w:tab w:val="center" w:pos="4201"/>
                <w:tab w:val="right" w:leader="dot" w:pos="9298"/>
              </w:tabs>
              <w:ind w:firstLine="0" w:firstLineChars="0"/>
              <w:jc w:val="center"/>
              <w:rPr>
                <w:rFonts w:hAnsi="宋体"/>
                <w:szCs w:val="18"/>
              </w:rPr>
            </w:pPr>
          </w:p>
        </w:tc>
        <w:tc>
          <w:tcPr>
            <w:tcW w:w="2433" w:type="dxa"/>
            <w:gridSpan w:val="2"/>
            <w:vAlign w:val="center"/>
          </w:tcPr>
          <w:p w14:paraId="718C3FA0">
            <w:pPr>
              <w:pStyle w:val="52"/>
              <w:widowControl w:val="0"/>
              <w:tabs>
                <w:tab w:val="center" w:pos="4201"/>
                <w:tab w:val="right" w:leader="dot" w:pos="9298"/>
              </w:tabs>
              <w:ind w:firstLine="0" w:firstLineChars="0"/>
              <w:jc w:val="center"/>
              <w:rPr>
                <w:rFonts w:hAnsi="宋体"/>
                <w:szCs w:val="18"/>
              </w:rPr>
            </w:pPr>
          </w:p>
        </w:tc>
      </w:tr>
      <w:tr w14:paraId="68E3F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Align w:val="center"/>
          </w:tcPr>
          <w:p w14:paraId="21E29D9C">
            <w:pPr>
              <w:pStyle w:val="52"/>
              <w:widowControl w:val="0"/>
              <w:tabs>
                <w:tab w:val="center" w:pos="4201"/>
                <w:tab w:val="right" w:leader="dot" w:pos="9298"/>
              </w:tabs>
              <w:ind w:firstLine="0" w:firstLineChars="0"/>
              <w:jc w:val="center"/>
              <w:rPr>
                <w:rFonts w:hAnsi="宋体"/>
                <w:szCs w:val="18"/>
              </w:rPr>
            </w:pPr>
            <w:r>
              <w:rPr>
                <w:rFonts w:hint="eastAsia" w:hAnsi="宋体"/>
                <w:szCs w:val="18"/>
              </w:rPr>
              <w:t>2</w:t>
            </w:r>
          </w:p>
        </w:tc>
        <w:tc>
          <w:tcPr>
            <w:tcW w:w="2743" w:type="dxa"/>
            <w:gridSpan w:val="2"/>
            <w:tcBorders>
              <w:bottom w:val="single" w:color="auto" w:sz="4" w:space="0"/>
            </w:tcBorders>
            <w:vAlign w:val="center"/>
          </w:tcPr>
          <w:p w14:paraId="04782BB4">
            <w:pPr>
              <w:pStyle w:val="52"/>
              <w:widowControl w:val="0"/>
              <w:tabs>
                <w:tab w:val="center" w:pos="4201"/>
                <w:tab w:val="right" w:leader="dot" w:pos="9298"/>
              </w:tabs>
              <w:ind w:firstLine="0" w:firstLineChars="0"/>
              <w:jc w:val="center"/>
              <w:rPr>
                <w:rFonts w:hAnsi="宋体"/>
                <w:szCs w:val="18"/>
              </w:rPr>
            </w:pPr>
            <w:r>
              <w:rPr>
                <w:rFonts w:hint="eastAsia" w:hAnsi="宋体"/>
                <w:szCs w:val="18"/>
              </w:rPr>
              <w:t>滑移率测量范围</w:t>
            </w:r>
          </w:p>
        </w:tc>
        <w:tc>
          <w:tcPr>
            <w:tcW w:w="2875" w:type="dxa"/>
            <w:vAlign w:val="center"/>
          </w:tcPr>
          <w:p w14:paraId="20B11A05">
            <w:pPr>
              <w:pStyle w:val="52"/>
              <w:widowControl w:val="0"/>
              <w:tabs>
                <w:tab w:val="center" w:pos="4201"/>
                <w:tab w:val="right" w:leader="dot" w:pos="9298"/>
              </w:tabs>
              <w:ind w:firstLine="0" w:firstLineChars="0"/>
              <w:jc w:val="center"/>
              <w:rPr>
                <w:rFonts w:hAnsi="宋体"/>
                <w:szCs w:val="18"/>
              </w:rPr>
            </w:pPr>
          </w:p>
        </w:tc>
        <w:tc>
          <w:tcPr>
            <w:tcW w:w="2433" w:type="dxa"/>
            <w:gridSpan w:val="2"/>
            <w:vAlign w:val="center"/>
          </w:tcPr>
          <w:p w14:paraId="326ADC21">
            <w:pPr>
              <w:pStyle w:val="52"/>
              <w:widowControl w:val="0"/>
              <w:tabs>
                <w:tab w:val="center" w:pos="4201"/>
                <w:tab w:val="right" w:leader="dot" w:pos="9298"/>
              </w:tabs>
              <w:ind w:firstLine="0" w:firstLineChars="0"/>
              <w:jc w:val="center"/>
              <w:rPr>
                <w:rFonts w:hAnsi="宋体"/>
                <w:szCs w:val="18"/>
              </w:rPr>
            </w:pPr>
          </w:p>
        </w:tc>
      </w:tr>
      <w:tr w14:paraId="28E0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restart"/>
            <w:vAlign w:val="center"/>
          </w:tcPr>
          <w:p w14:paraId="577028F4">
            <w:pPr>
              <w:pStyle w:val="52"/>
              <w:widowControl w:val="0"/>
              <w:tabs>
                <w:tab w:val="center" w:pos="4201"/>
                <w:tab w:val="right" w:leader="dot" w:pos="9298"/>
              </w:tabs>
              <w:ind w:firstLine="0" w:firstLineChars="0"/>
              <w:jc w:val="center"/>
              <w:rPr>
                <w:rFonts w:hAnsi="宋体"/>
                <w:szCs w:val="18"/>
              </w:rPr>
            </w:pPr>
            <w:r>
              <w:rPr>
                <w:rFonts w:hint="eastAsia" w:hAnsi="宋体"/>
                <w:szCs w:val="18"/>
              </w:rPr>
              <w:t>3</w:t>
            </w:r>
          </w:p>
        </w:tc>
        <w:tc>
          <w:tcPr>
            <w:tcW w:w="1005" w:type="dxa"/>
            <w:vMerge w:val="restart"/>
            <w:tcBorders>
              <w:top w:val="single" w:color="auto" w:sz="4" w:space="0"/>
              <w:right w:val="single" w:color="auto" w:sz="4" w:space="0"/>
            </w:tcBorders>
            <w:vAlign w:val="center"/>
          </w:tcPr>
          <w:p w14:paraId="4B6B1A03">
            <w:pPr>
              <w:pStyle w:val="52"/>
              <w:widowControl w:val="0"/>
              <w:tabs>
                <w:tab w:val="center" w:pos="4201"/>
                <w:tab w:val="right" w:leader="dot" w:pos="9298"/>
              </w:tabs>
              <w:ind w:firstLine="0" w:firstLineChars="0"/>
              <w:jc w:val="center"/>
              <w:rPr>
                <w:rFonts w:hAnsi="宋体"/>
                <w:szCs w:val="18"/>
              </w:rPr>
            </w:pPr>
            <w:r>
              <w:rPr>
                <w:rFonts w:hint="eastAsia" w:hAnsi="宋体"/>
                <w:szCs w:val="18"/>
              </w:rPr>
              <w:t>速度示值误差</w:t>
            </w:r>
          </w:p>
        </w:tc>
        <w:tc>
          <w:tcPr>
            <w:tcW w:w="1738" w:type="dxa"/>
            <w:tcBorders>
              <w:top w:val="single" w:color="auto" w:sz="4" w:space="0"/>
              <w:left w:val="single" w:color="auto" w:sz="4" w:space="0"/>
            </w:tcBorders>
            <w:vAlign w:val="center"/>
          </w:tcPr>
          <w:p w14:paraId="061A08A7">
            <w:pPr>
              <w:pStyle w:val="52"/>
              <w:widowControl w:val="0"/>
              <w:tabs>
                <w:tab w:val="center" w:pos="4201"/>
                <w:tab w:val="right" w:leader="dot" w:pos="9298"/>
              </w:tabs>
              <w:ind w:firstLine="0" w:firstLineChars="0"/>
              <w:jc w:val="center"/>
              <w:rPr>
                <w:rFonts w:hAnsi="宋体"/>
                <w:szCs w:val="18"/>
              </w:rPr>
            </w:pPr>
            <w:r>
              <w:rPr>
                <w:rFonts w:hint="eastAsia" w:hAnsi="宋体"/>
                <w:szCs w:val="18"/>
              </w:rPr>
              <w:t>校准点</w:t>
            </w:r>
          </w:p>
        </w:tc>
        <w:tc>
          <w:tcPr>
            <w:tcW w:w="2875" w:type="dxa"/>
            <w:vMerge w:val="restart"/>
            <w:vAlign w:val="center"/>
          </w:tcPr>
          <w:p w14:paraId="6B507BB5">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vAlign w:val="center"/>
          </w:tcPr>
          <w:p w14:paraId="4E7ACCD6">
            <w:pPr>
              <w:pStyle w:val="52"/>
              <w:widowControl w:val="0"/>
              <w:tabs>
                <w:tab w:val="center" w:pos="4201"/>
                <w:tab w:val="right" w:leader="dot" w:pos="9298"/>
              </w:tabs>
              <w:ind w:firstLine="0" w:firstLineChars="0"/>
              <w:jc w:val="center"/>
              <w:rPr>
                <w:rFonts w:hAnsi="宋体"/>
                <w:szCs w:val="18"/>
              </w:rPr>
            </w:pPr>
            <w:r>
              <w:rPr>
                <w:rFonts w:hint="eastAsia" w:hAnsi="宋体"/>
                <w:szCs w:val="18"/>
              </w:rPr>
              <w:t>示值误差</w:t>
            </w:r>
          </w:p>
        </w:tc>
        <w:tc>
          <w:tcPr>
            <w:tcW w:w="1208" w:type="dxa"/>
            <w:tcBorders>
              <w:left w:val="single" w:color="auto" w:sz="4" w:space="0"/>
            </w:tcBorders>
            <w:vAlign w:val="center"/>
          </w:tcPr>
          <w:p w14:paraId="1D013C77">
            <w:pPr>
              <w:pStyle w:val="52"/>
              <w:widowControl w:val="0"/>
              <w:tabs>
                <w:tab w:val="center" w:pos="4201"/>
                <w:tab w:val="right" w:leader="dot" w:pos="9298"/>
              </w:tabs>
              <w:ind w:firstLine="0" w:firstLineChars="0"/>
              <w:jc w:val="center"/>
              <w:rPr>
                <w:rFonts w:hAnsi="宋体"/>
                <w:szCs w:val="18"/>
              </w:rPr>
            </w:pPr>
            <w:r>
              <w:rPr>
                <w:rFonts w:hint="eastAsia" w:hAnsi="宋体"/>
                <w:szCs w:val="18"/>
              </w:rPr>
              <w:t>不确定度</w:t>
            </w:r>
          </w:p>
        </w:tc>
      </w:tr>
      <w:tr w14:paraId="32C2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continue"/>
            <w:vAlign w:val="center"/>
          </w:tcPr>
          <w:p w14:paraId="15CF86BD">
            <w:pPr>
              <w:pStyle w:val="52"/>
              <w:widowControl w:val="0"/>
              <w:tabs>
                <w:tab w:val="center" w:pos="4201"/>
                <w:tab w:val="right" w:leader="dot" w:pos="9298"/>
              </w:tabs>
              <w:ind w:firstLine="0" w:firstLineChars="0"/>
              <w:jc w:val="center"/>
              <w:rPr>
                <w:rFonts w:hAnsi="宋体"/>
                <w:szCs w:val="18"/>
              </w:rPr>
            </w:pPr>
          </w:p>
        </w:tc>
        <w:tc>
          <w:tcPr>
            <w:tcW w:w="1005" w:type="dxa"/>
            <w:vMerge w:val="continue"/>
            <w:tcBorders>
              <w:right w:val="single" w:color="auto" w:sz="4" w:space="0"/>
            </w:tcBorders>
            <w:vAlign w:val="center"/>
          </w:tcPr>
          <w:p w14:paraId="422C9228">
            <w:pPr>
              <w:pStyle w:val="52"/>
              <w:widowControl w:val="0"/>
              <w:tabs>
                <w:tab w:val="center" w:pos="4201"/>
                <w:tab w:val="right" w:leader="dot" w:pos="9298"/>
              </w:tabs>
              <w:ind w:firstLine="0" w:firstLineChars="0"/>
              <w:jc w:val="center"/>
              <w:rPr>
                <w:rFonts w:hAnsi="宋体"/>
                <w:szCs w:val="18"/>
              </w:rPr>
            </w:pPr>
          </w:p>
        </w:tc>
        <w:tc>
          <w:tcPr>
            <w:tcW w:w="1738" w:type="dxa"/>
            <w:tcBorders>
              <w:top w:val="single" w:color="auto" w:sz="4" w:space="0"/>
              <w:left w:val="single" w:color="auto" w:sz="4" w:space="0"/>
            </w:tcBorders>
            <w:vAlign w:val="center"/>
          </w:tcPr>
          <w:p w14:paraId="5781F5BE">
            <w:pPr>
              <w:pStyle w:val="52"/>
              <w:widowControl w:val="0"/>
              <w:tabs>
                <w:tab w:val="center" w:pos="4201"/>
                <w:tab w:val="right" w:leader="dot" w:pos="9298"/>
              </w:tabs>
              <w:ind w:firstLine="0" w:firstLineChars="0"/>
              <w:jc w:val="center"/>
            </w:pPr>
            <w:r>
              <w:rPr>
                <w:rFonts w:hint="eastAsia"/>
              </w:rPr>
              <w:t>1.2</w:t>
            </w:r>
            <w:r>
              <w:t>km/h</w:t>
            </w:r>
          </w:p>
        </w:tc>
        <w:tc>
          <w:tcPr>
            <w:tcW w:w="2875" w:type="dxa"/>
            <w:vMerge w:val="continue"/>
            <w:vAlign w:val="center"/>
          </w:tcPr>
          <w:p w14:paraId="54E8A179">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vAlign w:val="center"/>
          </w:tcPr>
          <w:p w14:paraId="127DE484">
            <w:pPr>
              <w:pStyle w:val="52"/>
              <w:widowControl w:val="0"/>
              <w:tabs>
                <w:tab w:val="center" w:pos="4201"/>
                <w:tab w:val="right" w:leader="dot" w:pos="9298"/>
              </w:tabs>
              <w:ind w:firstLine="0" w:firstLineChars="0"/>
              <w:jc w:val="center"/>
              <w:rPr>
                <w:rFonts w:hAnsi="宋体"/>
                <w:szCs w:val="18"/>
              </w:rPr>
            </w:pPr>
          </w:p>
        </w:tc>
        <w:tc>
          <w:tcPr>
            <w:tcW w:w="1208" w:type="dxa"/>
            <w:tcBorders>
              <w:left w:val="single" w:color="auto" w:sz="4" w:space="0"/>
              <w:bottom w:val="single" w:color="auto" w:sz="4" w:space="0"/>
            </w:tcBorders>
            <w:vAlign w:val="center"/>
          </w:tcPr>
          <w:p w14:paraId="1990E8F4">
            <w:pPr>
              <w:pStyle w:val="52"/>
              <w:widowControl w:val="0"/>
              <w:tabs>
                <w:tab w:val="center" w:pos="4201"/>
                <w:tab w:val="right" w:leader="dot" w:pos="9298"/>
              </w:tabs>
              <w:ind w:firstLine="0" w:firstLineChars="0"/>
              <w:jc w:val="center"/>
              <w:rPr>
                <w:rFonts w:hAnsi="宋体"/>
                <w:szCs w:val="18"/>
              </w:rPr>
            </w:pPr>
          </w:p>
        </w:tc>
      </w:tr>
      <w:tr w14:paraId="24347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continue"/>
            <w:vAlign w:val="center"/>
          </w:tcPr>
          <w:p w14:paraId="08B9716B">
            <w:pPr>
              <w:pStyle w:val="52"/>
              <w:widowControl w:val="0"/>
              <w:tabs>
                <w:tab w:val="center" w:pos="4201"/>
                <w:tab w:val="right" w:leader="dot" w:pos="9298"/>
              </w:tabs>
              <w:ind w:firstLine="0" w:firstLineChars="0"/>
              <w:jc w:val="center"/>
              <w:rPr>
                <w:rFonts w:hAnsi="宋体"/>
                <w:szCs w:val="18"/>
              </w:rPr>
            </w:pPr>
          </w:p>
        </w:tc>
        <w:tc>
          <w:tcPr>
            <w:tcW w:w="1005" w:type="dxa"/>
            <w:vMerge w:val="continue"/>
            <w:tcBorders>
              <w:right w:val="single" w:color="auto" w:sz="4" w:space="0"/>
            </w:tcBorders>
            <w:vAlign w:val="center"/>
          </w:tcPr>
          <w:p w14:paraId="463FBF52">
            <w:pPr>
              <w:pStyle w:val="52"/>
              <w:widowControl w:val="0"/>
              <w:tabs>
                <w:tab w:val="center" w:pos="4201"/>
                <w:tab w:val="right" w:leader="dot" w:pos="9298"/>
              </w:tabs>
              <w:ind w:firstLine="0" w:firstLineChars="0"/>
              <w:jc w:val="center"/>
              <w:rPr>
                <w:rFonts w:hAnsi="宋体"/>
                <w:szCs w:val="18"/>
              </w:rPr>
            </w:pPr>
          </w:p>
        </w:tc>
        <w:tc>
          <w:tcPr>
            <w:tcW w:w="1738" w:type="dxa"/>
            <w:tcBorders>
              <w:left w:val="single" w:color="auto" w:sz="4" w:space="0"/>
            </w:tcBorders>
            <w:vAlign w:val="center"/>
          </w:tcPr>
          <w:p w14:paraId="37DB0F4D">
            <w:pPr>
              <w:pStyle w:val="52"/>
              <w:widowControl w:val="0"/>
              <w:tabs>
                <w:tab w:val="center" w:pos="4201"/>
                <w:tab w:val="right" w:leader="dot" w:pos="9298"/>
              </w:tabs>
              <w:ind w:firstLine="0" w:firstLineChars="0"/>
              <w:jc w:val="center"/>
              <w:rPr>
                <w:rFonts w:hAnsi="宋体"/>
                <w:szCs w:val="18"/>
              </w:rPr>
            </w:pPr>
            <w:r>
              <w:t>2.</w:t>
            </w:r>
            <w:r>
              <w:rPr>
                <w:rFonts w:hint="eastAsia"/>
              </w:rPr>
              <w:t>5</w:t>
            </w:r>
            <w:r>
              <w:t>km/h</w:t>
            </w:r>
          </w:p>
        </w:tc>
        <w:tc>
          <w:tcPr>
            <w:tcW w:w="2875" w:type="dxa"/>
            <w:vMerge w:val="continue"/>
            <w:vAlign w:val="center"/>
          </w:tcPr>
          <w:p w14:paraId="3517E1CB">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vAlign w:val="center"/>
          </w:tcPr>
          <w:p w14:paraId="56C17099">
            <w:pPr>
              <w:pStyle w:val="52"/>
              <w:widowControl w:val="0"/>
              <w:tabs>
                <w:tab w:val="center" w:pos="4201"/>
                <w:tab w:val="right" w:leader="dot" w:pos="9298"/>
              </w:tabs>
              <w:ind w:firstLine="0" w:firstLineChars="0"/>
              <w:jc w:val="center"/>
              <w:rPr>
                <w:rFonts w:hAnsi="宋体"/>
                <w:szCs w:val="18"/>
              </w:rPr>
            </w:pPr>
          </w:p>
        </w:tc>
        <w:tc>
          <w:tcPr>
            <w:tcW w:w="1208" w:type="dxa"/>
            <w:tcBorders>
              <w:top w:val="single" w:color="auto" w:sz="4" w:space="0"/>
              <w:left w:val="single" w:color="auto" w:sz="4" w:space="0"/>
            </w:tcBorders>
            <w:vAlign w:val="center"/>
          </w:tcPr>
          <w:p w14:paraId="6312FC91">
            <w:pPr>
              <w:pStyle w:val="52"/>
              <w:widowControl w:val="0"/>
              <w:tabs>
                <w:tab w:val="center" w:pos="4201"/>
                <w:tab w:val="right" w:leader="dot" w:pos="9298"/>
              </w:tabs>
              <w:ind w:firstLine="0" w:firstLineChars="0"/>
              <w:jc w:val="center"/>
              <w:rPr>
                <w:rFonts w:hAnsi="宋体"/>
                <w:szCs w:val="18"/>
              </w:rPr>
            </w:pPr>
          </w:p>
        </w:tc>
      </w:tr>
      <w:tr w14:paraId="7FFDF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continue"/>
            <w:vAlign w:val="center"/>
          </w:tcPr>
          <w:p w14:paraId="6A8A312B">
            <w:pPr>
              <w:pStyle w:val="52"/>
              <w:widowControl w:val="0"/>
              <w:tabs>
                <w:tab w:val="center" w:pos="4201"/>
                <w:tab w:val="right" w:leader="dot" w:pos="9298"/>
              </w:tabs>
              <w:ind w:firstLine="0" w:firstLineChars="0"/>
              <w:jc w:val="center"/>
              <w:rPr>
                <w:rFonts w:hAnsi="宋体"/>
                <w:szCs w:val="18"/>
              </w:rPr>
            </w:pPr>
          </w:p>
        </w:tc>
        <w:tc>
          <w:tcPr>
            <w:tcW w:w="1005" w:type="dxa"/>
            <w:vMerge w:val="continue"/>
            <w:tcBorders>
              <w:right w:val="single" w:color="auto" w:sz="4" w:space="0"/>
            </w:tcBorders>
            <w:vAlign w:val="center"/>
          </w:tcPr>
          <w:p w14:paraId="795E2AB3">
            <w:pPr>
              <w:pStyle w:val="52"/>
              <w:widowControl w:val="0"/>
              <w:tabs>
                <w:tab w:val="center" w:pos="4201"/>
                <w:tab w:val="right" w:leader="dot" w:pos="9298"/>
              </w:tabs>
              <w:ind w:firstLine="0" w:firstLineChars="0"/>
              <w:jc w:val="center"/>
              <w:rPr>
                <w:rFonts w:hAnsi="宋体"/>
                <w:szCs w:val="18"/>
              </w:rPr>
            </w:pPr>
          </w:p>
        </w:tc>
        <w:tc>
          <w:tcPr>
            <w:tcW w:w="1738" w:type="dxa"/>
            <w:tcBorders>
              <w:left w:val="single" w:color="auto" w:sz="4" w:space="0"/>
            </w:tcBorders>
            <w:vAlign w:val="center"/>
          </w:tcPr>
          <w:p w14:paraId="29C430A4">
            <w:pPr>
              <w:pStyle w:val="52"/>
              <w:widowControl w:val="0"/>
              <w:tabs>
                <w:tab w:val="center" w:pos="4201"/>
                <w:tab w:val="right" w:leader="dot" w:pos="9298"/>
              </w:tabs>
              <w:ind w:firstLine="0" w:firstLineChars="0"/>
              <w:jc w:val="center"/>
              <w:rPr>
                <w:rFonts w:hAnsi="宋体"/>
                <w:szCs w:val="18"/>
              </w:rPr>
            </w:pPr>
            <w:r>
              <w:rPr>
                <w:rFonts w:hint="eastAsia"/>
              </w:rPr>
              <w:t>3.6</w:t>
            </w:r>
            <w:r>
              <w:t>km/h</w:t>
            </w:r>
          </w:p>
        </w:tc>
        <w:tc>
          <w:tcPr>
            <w:tcW w:w="2875" w:type="dxa"/>
            <w:vMerge w:val="continue"/>
            <w:vAlign w:val="center"/>
          </w:tcPr>
          <w:p w14:paraId="73C970A2">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vAlign w:val="center"/>
          </w:tcPr>
          <w:p w14:paraId="286BC237">
            <w:pPr>
              <w:pStyle w:val="52"/>
              <w:widowControl w:val="0"/>
              <w:tabs>
                <w:tab w:val="center" w:pos="4201"/>
                <w:tab w:val="right" w:leader="dot" w:pos="9298"/>
              </w:tabs>
              <w:ind w:firstLine="0" w:firstLineChars="0"/>
              <w:jc w:val="center"/>
              <w:rPr>
                <w:rFonts w:hAnsi="宋体"/>
                <w:szCs w:val="18"/>
              </w:rPr>
            </w:pPr>
          </w:p>
        </w:tc>
        <w:tc>
          <w:tcPr>
            <w:tcW w:w="1208" w:type="dxa"/>
            <w:tcBorders>
              <w:left w:val="single" w:color="auto" w:sz="4" w:space="0"/>
            </w:tcBorders>
            <w:vAlign w:val="center"/>
          </w:tcPr>
          <w:p w14:paraId="776793C7">
            <w:pPr>
              <w:pStyle w:val="52"/>
              <w:widowControl w:val="0"/>
              <w:tabs>
                <w:tab w:val="center" w:pos="4201"/>
                <w:tab w:val="right" w:leader="dot" w:pos="9298"/>
              </w:tabs>
              <w:ind w:firstLine="0" w:firstLineChars="0"/>
              <w:jc w:val="center"/>
              <w:rPr>
                <w:rFonts w:hAnsi="宋体"/>
                <w:szCs w:val="18"/>
              </w:rPr>
            </w:pPr>
          </w:p>
        </w:tc>
      </w:tr>
      <w:tr w14:paraId="1AEAC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restart"/>
            <w:vAlign w:val="center"/>
          </w:tcPr>
          <w:p w14:paraId="41F8CED2">
            <w:pPr>
              <w:pStyle w:val="52"/>
              <w:widowControl w:val="0"/>
              <w:tabs>
                <w:tab w:val="center" w:pos="4201"/>
                <w:tab w:val="right" w:leader="dot" w:pos="9298"/>
              </w:tabs>
              <w:ind w:firstLine="0" w:firstLineChars="0"/>
              <w:jc w:val="center"/>
              <w:rPr>
                <w:rFonts w:hAnsi="宋体"/>
                <w:szCs w:val="18"/>
              </w:rPr>
            </w:pPr>
            <w:r>
              <w:rPr>
                <w:rFonts w:hint="eastAsia" w:hAnsi="宋体"/>
                <w:szCs w:val="18"/>
              </w:rPr>
              <w:t>4</w:t>
            </w:r>
          </w:p>
        </w:tc>
        <w:tc>
          <w:tcPr>
            <w:tcW w:w="1005" w:type="dxa"/>
            <w:vMerge w:val="restart"/>
            <w:tcBorders>
              <w:right w:val="single" w:color="auto" w:sz="4" w:space="0"/>
            </w:tcBorders>
            <w:vAlign w:val="center"/>
          </w:tcPr>
          <w:p w14:paraId="48FDA8C8">
            <w:pPr>
              <w:pStyle w:val="52"/>
              <w:widowControl w:val="0"/>
              <w:tabs>
                <w:tab w:val="center" w:pos="4201"/>
                <w:tab w:val="right" w:leader="dot" w:pos="9298"/>
              </w:tabs>
              <w:ind w:firstLine="0" w:firstLineChars="0"/>
              <w:jc w:val="center"/>
              <w:rPr>
                <w:rFonts w:hAnsi="宋体"/>
                <w:szCs w:val="18"/>
              </w:rPr>
            </w:pPr>
            <w:r>
              <w:rPr>
                <w:rFonts w:hint="eastAsia" w:hAnsi="宋体"/>
                <w:szCs w:val="18"/>
              </w:rPr>
              <w:t>滑移率示值误差</w:t>
            </w:r>
          </w:p>
        </w:tc>
        <w:tc>
          <w:tcPr>
            <w:tcW w:w="1738" w:type="dxa"/>
            <w:tcBorders>
              <w:left w:val="single" w:color="auto" w:sz="4" w:space="0"/>
            </w:tcBorders>
            <w:shd w:val="clear" w:color="auto" w:fill="auto"/>
            <w:vAlign w:val="center"/>
          </w:tcPr>
          <w:p w14:paraId="79395516">
            <w:pPr>
              <w:pStyle w:val="52"/>
              <w:widowControl w:val="0"/>
              <w:tabs>
                <w:tab w:val="center" w:pos="4201"/>
                <w:tab w:val="right" w:leader="dot" w:pos="9298"/>
              </w:tabs>
              <w:ind w:firstLine="0" w:firstLineChars="0"/>
              <w:jc w:val="center"/>
            </w:pPr>
            <w:r>
              <w:rPr>
                <w:rFonts w:hint="eastAsia"/>
              </w:rPr>
              <w:t>40%</w:t>
            </w:r>
          </w:p>
        </w:tc>
        <w:tc>
          <w:tcPr>
            <w:tcW w:w="2875" w:type="dxa"/>
            <w:vMerge w:val="restart"/>
            <w:vAlign w:val="center"/>
          </w:tcPr>
          <w:p w14:paraId="3FF10C1B">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shd w:val="clear" w:color="auto" w:fill="auto"/>
            <w:vAlign w:val="center"/>
          </w:tcPr>
          <w:p w14:paraId="3FEA47F0">
            <w:pPr>
              <w:pStyle w:val="52"/>
              <w:widowControl w:val="0"/>
              <w:tabs>
                <w:tab w:val="center" w:pos="4201"/>
                <w:tab w:val="right" w:leader="dot" w:pos="9298"/>
              </w:tabs>
              <w:ind w:firstLine="0" w:firstLineChars="0"/>
              <w:jc w:val="center"/>
              <w:rPr>
                <w:rFonts w:hAnsi="宋体"/>
                <w:szCs w:val="18"/>
              </w:rPr>
            </w:pPr>
          </w:p>
        </w:tc>
        <w:tc>
          <w:tcPr>
            <w:tcW w:w="1208" w:type="dxa"/>
            <w:tcBorders>
              <w:left w:val="single" w:color="auto" w:sz="4" w:space="0"/>
              <w:bottom w:val="single" w:color="auto" w:sz="4" w:space="0"/>
            </w:tcBorders>
            <w:shd w:val="clear" w:color="auto" w:fill="auto"/>
            <w:vAlign w:val="center"/>
          </w:tcPr>
          <w:p w14:paraId="6CAD34D7">
            <w:pPr>
              <w:pStyle w:val="52"/>
              <w:widowControl w:val="0"/>
              <w:tabs>
                <w:tab w:val="center" w:pos="4201"/>
                <w:tab w:val="right" w:leader="dot" w:pos="9298"/>
              </w:tabs>
              <w:ind w:firstLine="0" w:firstLineChars="0"/>
              <w:jc w:val="center"/>
              <w:rPr>
                <w:rFonts w:hAnsi="宋体"/>
                <w:szCs w:val="18"/>
              </w:rPr>
            </w:pPr>
          </w:p>
        </w:tc>
      </w:tr>
      <w:tr w14:paraId="6962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continue"/>
            <w:vAlign w:val="center"/>
          </w:tcPr>
          <w:p w14:paraId="7A9E28AD">
            <w:pPr>
              <w:pStyle w:val="52"/>
              <w:widowControl w:val="0"/>
              <w:tabs>
                <w:tab w:val="center" w:pos="4201"/>
                <w:tab w:val="right" w:leader="dot" w:pos="9298"/>
              </w:tabs>
              <w:ind w:firstLine="0" w:firstLineChars="0"/>
              <w:jc w:val="center"/>
              <w:rPr>
                <w:rFonts w:hAnsi="宋体"/>
                <w:szCs w:val="18"/>
              </w:rPr>
            </w:pPr>
          </w:p>
        </w:tc>
        <w:tc>
          <w:tcPr>
            <w:tcW w:w="1005" w:type="dxa"/>
            <w:vMerge w:val="continue"/>
            <w:tcBorders>
              <w:right w:val="single" w:color="auto" w:sz="4" w:space="0"/>
            </w:tcBorders>
            <w:vAlign w:val="center"/>
          </w:tcPr>
          <w:p w14:paraId="2EEA5FDA">
            <w:pPr>
              <w:pStyle w:val="52"/>
              <w:widowControl w:val="0"/>
              <w:tabs>
                <w:tab w:val="center" w:pos="4201"/>
                <w:tab w:val="right" w:leader="dot" w:pos="9298"/>
              </w:tabs>
              <w:ind w:firstLine="0" w:firstLineChars="0"/>
              <w:jc w:val="center"/>
              <w:rPr>
                <w:rFonts w:hAnsi="宋体"/>
                <w:szCs w:val="18"/>
              </w:rPr>
            </w:pPr>
          </w:p>
        </w:tc>
        <w:tc>
          <w:tcPr>
            <w:tcW w:w="1738" w:type="dxa"/>
            <w:tcBorders>
              <w:left w:val="single" w:color="auto" w:sz="4" w:space="0"/>
            </w:tcBorders>
            <w:shd w:val="clear" w:color="auto" w:fill="auto"/>
            <w:vAlign w:val="center"/>
          </w:tcPr>
          <w:p w14:paraId="4C4D8BB3">
            <w:pPr>
              <w:pStyle w:val="52"/>
              <w:widowControl w:val="0"/>
              <w:tabs>
                <w:tab w:val="center" w:pos="4201"/>
                <w:tab w:val="right" w:leader="dot" w:pos="9298"/>
              </w:tabs>
              <w:ind w:firstLine="0" w:firstLineChars="0"/>
              <w:jc w:val="center"/>
              <w:rPr>
                <w:rFonts w:hAnsi="宋体"/>
                <w:szCs w:val="18"/>
              </w:rPr>
            </w:pPr>
            <w:r>
              <w:rPr>
                <w:rFonts w:hint="eastAsia"/>
              </w:rPr>
              <w:t>30%</w:t>
            </w:r>
          </w:p>
        </w:tc>
        <w:tc>
          <w:tcPr>
            <w:tcW w:w="2875" w:type="dxa"/>
            <w:vMerge w:val="continue"/>
            <w:vAlign w:val="center"/>
          </w:tcPr>
          <w:p w14:paraId="251277EF">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vAlign w:val="center"/>
          </w:tcPr>
          <w:p w14:paraId="17FB1235">
            <w:pPr>
              <w:pStyle w:val="52"/>
              <w:widowControl w:val="0"/>
              <w:tabs>
                <w:tab w:val="center" w:pos="4201"/>
                <w:tab w:val="right" w:leader="dot" w:pos="9298"/>
              </w:tabs>
              <w:ind w:firstLine="0" w:firstLineChars="0"/>
              <w:jc w:val="center"/>
              <w:rPr>
                <w:rFonts w:hAnsi="宋体"/>
                <w:szCs w:val="18"/>
              </w:rPr>
            </w:pPr>
          </w:p>
        </w:tc>
        <w:tc>
          <w:tcPr>
            <w:tcW w:w="1208" w:type="dxa"/>
            <w:tcBorders>
              <w:top w:val="single" w:color="auto" w:sz="4" w:space="0"/>
              <w:left w:val="single" w:color="auto" w:sz="4" w:space="0"/>
            </w:tcBorders>
            <w:vAlign w:val="center"/>
          </w:tcPr>
          <w:p w14:paraId="594CF71C">
            <w:pPr>
              <w:pStyle w:val="52"/>
              <w:widowControl w:val="0"/>
              <w:tabs>
                <w:tab w:val="center" w:pos="4201"/>
                <w:tab w:val="right" w:leader="dot" w:pos="9298"/>
              </w:tabs>
              <w:ind w:firstLine="0" w:firstLineChars="0"/>
              <w:jc w:val="center"/>
              <w:rPr>
                <w:rFonts w:hAnsi="宋体"/>
                <w:szCs w:val="18"/>
              </w:rPr>
            </w:pPr>
          </w:p>
        </w:tc>
      </w:tr>
      <w:tr w14:paraId="0D6B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09" w:type="dxa"/>
            <w:vMerge w:val="continue"/>
            <w:vAlign w:val="center"/>
          </w:tcPr>
          <w:p w14:paraId="54357869">
            <w:pPr>
              <w:pStyle w:val="52"/>
              <w:widowControl w:val="0"/>
              <w:tabs>
                <w:tab w:val="center" w:pos="4201"/>
                <w:tab w:val="right" w:leader="dot" w:pos="9298"/>
              </w:tabs>
              <w:ind w:firstLine="0" w:firstLineChars="0"/>
              <w:jc w:val="center"/>
              <w:rPr>
                <w:rFonts w:hAnsi="宋体"/>
                <w:szCs w:val="18"/>
              </w:rPr>
            </w:pPr>
          </w:p>
        </w:tc>
        <w:tc>
          <w:tcPr>
            <w:tcW w:w="1005" w:type="dxa"/>
            <w:vMerge w:val="continue"/>
            <w:tcBorders>
              <w:right w:val="single" w:color="auto" w:sz="4" w:space="0"/>
            </w:tcBorders>
            <w:vAlign w:val="center"/>
          </w:tcPr>
          <w:p w14:paraId="5392CA94">
            <w:pPr>
              <w:pStyle w:val="52"/>
              <w:widowControl w:val="0"/>
              <w:tabs>
                <w:tab w:val="center" w:pos="4201"/>
                <w:tab w:val="right" w:leader="dot" w:pos="9298"/>
              </w:tabs>
              <w:ind w:firstLine="0" w:firstLineChars="0"/>
              <w:jc w:val="center"/>
              <w:rPr>
                <w:rFonts w:hAnsi="宋体"/>
                <w:szCs w:val="18"/>
              </w:rPr>
            </w:pPr>
          </w:p>
        </w:tc>
        <w:tc>
          <w:tcPr>
            <w:tcW w:w="1738" w:type="dxa"/>
            <w:tcBorders>
              <w:left w:val="single" w:color="auto" w:sz="4" w:space="0"/>
            </w:tcBorders>
            <w:shd w:val="clear" w:color="auto" w:fill="auto"/>
            <w:vAlign w:val="center"/>
          </w:tcPr>
          <w:p w14:paraId="5FF1F2E0">
            <w:pPr>
              <w:pStyle w:val="52"/>
              <w:widowControl w:val="0"/>
              <w:tabs>
                <w:tab w:val="center" w:pos="4201"/>
                <w:tab w:val="right" w:leader="dot" w:pos="9298"/>
              </w:tabs>
              <w:ind w:firstLine="0" w:firstLineChars="0"/>
              <w:jc w:val="center"/>
              <w:rPr>
                <w:rFonts w:hAnsi="宋体"/>
                <w:szCs w:val="18"/>
              </w:rPr>
            </w:pPr>
            <w:r>
              <w:rPr>
                <w:rFonts w:hint="eastAsia"/>
              </w:rPr>
              <w:t>20%</w:t>
            </w:r>
          </w:p>
        </w:tc>
        <w:tc>
          <w:tcPr>
            <w:tcW w:w="2875" w:type="dxa"/>
            <w:vMerge w:val="continue"/>
            <w:vAlign w:val="center"/>
          </w:tcPr>
          <w:p w14:paraId="10169970">
            <w:pPr>
              <w:pStyle w:val="52"/>
              <w:widowControl w:val="0"/>
              <w:tabs>
                <w:tab w:val="center" w:pos="4201"/>
                <w:tab w:val="right" w:leader="dot" w:pos="9298"/>
              </w:tabs>
              <w:ind w:firstLine="0" w:firstLineChars="0"/>
              <w:jc w:val="center"/>
              <w:rPr>
                <w:rFonts w:hAnsi="宋体"/>
                <w:szCs w:val="18"/>
              </w:rPr>
            </w:pPr>
          </w:p>
        </w:tc>
        <w:tc>
          <w:tcPr>
            <w:tcW w:w="1225" w:type="dxa"/>
            <w:tcBorders>
              <w:right w:val="single" w:color="auto" w:sz="4" w:space="0"/>
            </w:tcBorders>
            <w:vAlign w:val="center"/>
          </w:tcPr>
          <w:p w14:paraId="6EC798A8">
            <w:pPr>
              <w:pStyle w:val="52"/>
              <w:widowControl w:val="0"/>
              <w:tabs>
                <w:tab w:val="center" w:pos="4201"/>
                <w:tab w:val="right" w:leader="dot" w:pos="9298"/>
              </w:tabs>
              <w:ind w:firstLine="0" w:firstLineChars="0"/>
              <w:jc w:val="center"/>
              <w:rPr>
                <w:rFonts w:hAnsi="宋体"/>
                <w:szCs w:val="18"/>
              </w:rPr>
            </w:pPr>
          </w:p>
        </w:tc>
        <w:tc>
          <w:tcPr>
            <w:tcW w:w="1208" w:type="dxa"/>
            <w:tcBorders>
              <w:left w:val="single" w:color="auto" w:sz="4" w:space="0"/>
            </w:tcBorders>
            <w:vAlign w:val="center"/>
          </w:tcPr>
          <w:p w14:paraId="759DFD3F">
            <w:pPr>
              <w:pStyle w:val="52"/>
              <w:widowControl w:val="0"/>
              <w:tabs>
                <w:tab w:val="center" w:pos="4201"/>
                <w:tab w:val="right" w:leader="dot" w:pos="9298"/>
              </w:tabs>
              <w:ind w:firstLine="0" w:firstLineChars="0"/>
              <w:jc w:val="center"/>
              <w:rPr>
                <w:rFonts w:hAnsi="宋体"/>
                <w:szCs w:val="18"/>
              </w:rPr>
            </w:pPr>
          </w:p>
        </w:tc>
      </w:tr>
    </w:tbl>
    <w:p w14:paraId="363CBFD9">
      <w:pPr>
        <w:widowControl/>
        <w:jc w:val="left"/>
        <w:rPr>
          <w:u w:val="single"/>
        </w:rPr>
      </w:pPr>
    </w:p>
    <w:p w14:paraId="56CAF202">
      <w:pPr>
        <w:widowControl/>
        <w:jc w:val="left"/>
        <w:rPr>
          <w:u w:val="single"/>
        </w:rPr>
      </w:pPr>
    </w:p>
    <w:p w14:paraId="59E23E9B">
      <w:pPr>
        <w:widowControl/>
        <w:jc w:val="left"/>
        <w:rPr>
          <w:u w:val="single"/>
        </w:rPr>
      </w:pPr>
    </w:p>
    <w:p w14:paraId="1D580130">
      <w:pPr>
        <w:pStyle w:val="2"/>
        <w:keepNext w:val="0"/>
        <w:keepLines w:val="0"/>
        <w:spacing w:before="0" w:after="0" w:line="480" w:lineRule="auto"/>
        <w:rPr>
          <w:rFonts w:eastAsia="黑体"/>
          <w:b w:val="0"/>
          <w:bCs w:val="0"/>
          <w:kern w:val="2"/>
          <w:sz w:val="24"/>
          <w:szCs w:val="24"/>
        </w:rPr>
      </w:pPr>
      <w:bookmarkStart w:id="34" w:name="_Toc178601158"/>
      <w:bookmarkStart w:id="35" w:name="_Toc28819"/>
      <w:r>
        <w:rPr>
          <w:rFonts w:eastAsia="黑体"/>
          <w:b w:val="0"/>
          <w:bCs w:val="0"/>
          <w:kern w:val="2"/>
          <w:sz w:val="24"/>
          <w:szCs w:val="24"/>
        </w:rPr>
        <w:t>附录</w:t>
      </w:r>
      <w:r>
        <w:rPr>
          <w:rFonts w:hint="eastAsia" w:eastAsia="黑体"/>
          <w:b w:val="0"/>
          <w:bCs w:val="0"/>
          <w:kern w:val="2"/>
          <w:sz w:val="24"/>
          <w:szCs w:val="24"/>
        </w:rPr>
        <w:t>C</w:t>
      </w:r>
      <w:bookmarkEnd w:id="34"/>
      <w:bookmarkEnd w:id="35"/>
    </w:p>
    <w:p w14:paraId="5D868BBD">
      <w:pPr>
        <w:spacing w:line="360" w:lineRule="auto"/>
        <w:jc w:val="center"/>
        <w:rPr>
          <w:rFonts w:eastAsia="黑体"/>
          <w:sz w:val="32"/>
          <w:szCs w:val="32"/>
        </w:rPr>
      </w:pPr>
      <w:r>
        <w:rPr>
          <w:rFonts w:hint="eastAsia" w:eastAsia="黑体"/>
          <w:sz w:val="32"/>
          <w:szCs w:val="32"/>
        </w:rPr>
        <w:t>汽车制动滑移率测量装置示值误差</w:t>
      </w:r>
    </w:p>
    <w:p w14:paraId="0D4E743E">
      <w:pPr>
        <w:spacing w:line="360" w:lineRule="auto"/>
        <w:jc w:val="center"/>
        <w:rPr>
          <w:rFonts w:eastAsia="黑体"/>
          <w:sz w:val="32"/>
          <w:szCs w:val="32"/>
        </w:rPr>
      </w:pPr>
      <w:r>
        <w:rPr>
          <w:rFonts w:hint="eastAsia" w:eastAsia="黑体"/>
          <w:sz w:val="32"/>
          <w:szCs w:val="32"/>
        </w:rPr>
        <w:t>的不确定度评定示例</w:t>
      </w:r>
    </w:p>
    <w:p w14:paraId="5EFF47AD">
      <w:pPr>
        <w:spacing w:line="360" w:lineRule="auto"/>
        <w:jc w:val="center"/>
        <w:rPr>
          <w:rFonts w:eastAsia="黑体"/>
          <w:sz w:val="32"/>
          <w:szCs w:val="32"/>
        </w:rPr>
      </w:pPr>
    </w:p>
    <w:p w14:paraId="3884B654">
      <w:pPr>
        <w:spacing w:line="360" w:lineRule="auto"/>
        <w:rPr>
          <w:sz w:val="24"/>
        </w:rPr>
      </w:pPr>
      <w:r>
        <w:rPr>
          <w:sz w:val="24"/>
        </w:rPr>
        <w:t>C</w:t>
      </w:r>
      <w:r>
        <w:rPr>
          <w:rFonts w:hint="eastAsia"/>
          <w:sz w:val="24"/>
        </w:rPr>
        <w:t>.</w:t>
      </w:r>
      <w:r>
        <w:rPr>
          <w:sz w:val="24"/>
        </w:rPr>
        <w:t>1</w:t>
      </w:r>
      <w:r>
        <w:rPr>
          <w:rFonts w:hint="eastAsia"/>
          <w:sz w:val="24"/>
        </w:rPr>
        <w:t>汽车制动滑移率测量装置速度示值误差不确定度评定</w:t>
      </w:r>
    </w:p>
    <w:p w14:paraId="0941C112">
      <w:pPr>
        <w:spacing w:line="360" w:lineRule="auto"/>
        <w:rPr>
          <w:sz w:val="24"/>
        </w:rPr>
      </w:pPr>
      <w:r>
        <w:rPr>
          <w:rFonts w:hint="eastAsia"/>
          <w:sz w:val="24"/>
        </w:rPr>
        <w:t>C.</w:t>
      </w:r>
      <w:r>
        <w:rPr>
          <w:sz w:val="24"/>
        </w:rPr>
        <w:t>1</w:t>
      </w:r>
      <w:r>
        <w:rPr>
          <w:rFonts w:hint="eastAsia"/>
          <w:sz w:val="24"/>
        </w:rPr>
        <w:t>.</w:t>
      </w:r>
      <w:r>
        <w:rPr>
          <w:sz w:val="24"/>
        </w:rPr>
        <w:t>1</w:t>
      </w:r>
      <w:r>
        <w:rPr>
          <w:rFonts w:hint="eastAsia"/>
          <w:sz w:val="24"/>
        </w:rPr>
        <w:t xml:space="preserve"> 概述</w:t>
      </w:r>
    </w:p>
    <w:p w14:paraId="144B7C1B">
      <w:pPr>
        <w:spacing w:line="360" w:lineRule="auto"/>
        <w:ind w:firstLine="480" w:firstLineChars="200"/>
        <w:rPr>
          <w:rFonts w:hint="eastAsia" w:ascii="Cambria Math" w:hAnsi="Cambria Math"/>
          <w:sz w:val="24"/>
        </w:rPr>
      </w:pPr>
      <w:r>
        <w:rPr>
          <w:rFonts w:hint="eastAsia" w:ascii="Cambria Math" w:hAnsi="Cambria Math"/>
          <w:sz w:val="24"/>
        </w:rPr>
        <w:t>依照本校准规范中示值误差的校准方法，将滑移率测量装置滚轮紧贴校准装置滚筒，驱动校准装置滚筒稳速旋转。以</w:t>
      </w:r>
      <w:r>
        <w:rPr>
          <w:sz w:val="24"/>
        </w:rPr>
        <w:t>1.2km/h、</w:t>
      </w:r>
      <w:r>
        <w:rPr>
          <w:rFonts w:hint="eastAsia"/>
          <w:sz w:val="24"/>
        </w:rPr>
        <w:t>2.5</w:t>
      </w:r>
      <w:r>
        <w:rPr>
          <w:sz w:val="24"/>
        </w:rPr>
        <w:t>km/h、3.6km/h</w:t>
      </w:r>
      <w:r>
        <w:rPr>
          <w:rFonts w:hint="eastAsia" w:ascii="Cambria Math" w:hAnsi="Cambria Math"/>
          <w:sz w:val="24"/>
        </w:rPr>
        <w:t>校准点为例进行不确定度分析。</w:t>
      </w:r>
    </w:p>
    <w:p w14:paraId="36290499">
      <w:pPr>
        <w:spacing w:line="360" w:lineRule="auto"/>
        <w:rPr>
          <w:rFonts w:hint="eastAsia" w:ascii="Cambria Math" w:hAnsi="Cambria Math"/>
          <w:sz w:val="24"/>
        </w:rPr>
      </w:pPr>
      <w:r>
        <w:rPr>
          <w:rFonts w:hint="eastAsia" w:ascii="Cambria Math" w:hAnsi="Cambria Math"/>
          <w:sz w:val="24"/>
        </w:rPr>
        <w:t>C.</w:t>
      </w:r>
      <w:r>
        <w:rPr>
          <w:rFonts w:ascii="Cambria Math" w:hAnsi="Cambria Math"/>
          <w:sz w:val="24"/>
        </w:rPr>
        <w:t>1.2</w:t>
      </w:r>
      <w:r>
        <w:rPr>
          <w:rFonts w:hint="eastAsia" w:ascii="Cambria Math" w:hAnsi="Cambria Math"/>
          <w:sz w:val="24"/>
        </w:rPr>
        <w:t xml:space="preserve"> 测量模型</w:t>
      </w:r>
    </w:p>
    <w:p w14:paraId="6FDC5B69">
      <w:pPr>
        <w:spacing w:line="360" w:lineRule="auto"/>
        <w:ind w:firstLine="420"/>
        <w:jc w:val="center"/>
        <w:rPr>
          <w:sz w:val="24"/>
        </w:rPr>
      </w:pPr>
      <m:oMath>
        <m:r>
          <m:rPr/>
          <w:rPr>
            <w:rFonts w:ascii="Cambria Math" w:hAnsi="Cambria Math"/>
            <w:sz w:val="24"/>
          </w:rPr>
          <m:t>δ</m:t>
        </m:r>
        <m:r>
          <m:rPr>
            <m:sty m:val="p"/>
          </m:rPr>
          <w:rPr>
            <w:rFonts w:ascii="Cambria Math" w:hAnsi="Cambria Math"/>
            <w:sz w:val="24"/>
          </w:rPr>
          <m:t>=</m:t>
        </m:r>
        <m:f>
          <m:fPr>
            <m:ctrlPr>
              <w:rPr>
                <w:rFonts w:ascii="Cambria Math" w:hAnsi="Cambria Math" w:eastAsiaTheme="minorEastAsia"/>
                <w:sz w:val="24"/>
                <w:szCs w:val="22"/>
              </w:rPr>
            </m:ctrlPr>
          </m:fPr>
          <m:num>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r>
              <m:rPr>
                <m:sty m:val="p"/>
              </m:rPr>
              <w:rPr>
                <w:rFonts w:ascii="Cambria Math" w:hAnsi="Cambria Math"/>
                <w:sz w:val="24"/>
              </w:rPr>
              <m:t>−</m:t>
            </m:r>
            <m:r>
              <m:rPr/>
              <w:rPr>
                <w:rFonts w:ascii="Cambria Math" w:hAnsi="Cambria Math"/>
                <w:sz w:val="24"/>
              </w:rPr>
              <m:t>s</m:t>
            </m:r>
            <m:ctrlPr>
              <w:rPr>
                <w:rFonts w:ascii="Cambria Math" w:hAnsi="Cambria Math" w:eastAsiaTheme="minorEastAsia"/>
                <w:sz w:val="24"/>
                <w:szCs w:val="22"/>
              </w:rPr>
            </m:ctrlPr>
          </m:num>
          <m:den>
            <m:r>
              <m:rPr/>
              <w:rPr>
                <w:rFonts w:ascii="Cambria Math" w:hAnsi="Cambria Math"/>
                <w:sz w:val="24"/>
              </w:rPr>
              <m:t>s</m:t>
            </m:r>
            <m:ctrlPr>
              <w:rPr>
                <w:rFonts w:ascii="Cambria Math" w:hAnsi="Cambria Math" w:eastAsiaTheme="minorEastAsia"/>
                <w:sz w:val="24"/>
                <w:szCs w:val="22"/>
              </w:rPr>
            </m:ctrlPr>
          </m:den>
        </m:f>
        <m:r>
          <m:rPr>
            <m:sty m:val="p"/>
          </m:rPr>
          <w:rPr>
            <w:rFonts w:ascii="Cambria Math" w:hAnsi="Cambria Math"/>
            <w:sz w:val="24"/>
          </w:rPr>
          <m:t>×100%</m:t>
        </m:r>
      </m:oMath>
      <w:r>
        <w:rPr>
          <w:sz w:val="24"/>
        </w:rPr>
        <w:t>=</w:t>
      </w:r>
      <m:oMath>
        <m:f>
          <m:fPr>
            <m:ctrlPr>
              <w:rPr>
                <w:rFonts w:ascii="Cambria Math" w:hAnsi="Cambria Math" w:eastAsiaTheme="minorEastAsia"/>
                <w:sz w:val="24"/>
                <w:szCs w:val="22"/>
              </w:rPr>
            </m:ctrlPr>
          </m:fPr>
          <m:num>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eastAsiaTheme="minorEastAsia"/>
                <w:sz w:val="24"/>
                <w:szCs w:val="22"/>
              </w:rPr>
            </m:ctrlPr>
          </m:num>
          <m:den>
            <m:r>
              <m:rPr/>
              <w:rPr>
                <w:rFonts w:ascii="Cambria Math" w:hAnsi="Cambria Math"/>
                <w:sz w:val="24"/>
              </w:rPr>
              <m:t>s</m:t>
            </m:r>
            <m:ctrlPr>
              <w:rPr>
                <w:rFonts w:ascii="Cambria Math" w:hAnsi="Cambria Math" w:eastAsiaTheme="minorEastAsia"/>
                <w:sz w:val="24"/>
                <w:szCs w:val="22"/>
              </w:rPr>
            </m:ctrlPr>
          </m:den>
        </m:f>
      </m:oMath>
      <w:r>
        <w:rPr>
          <w:sz w:val="24"/>
        </w:rPr>
        <w:t xml:space="preserve"> - 1</w:t>
      </w:r>
    </w:p>
    <w:p w14:paraId="3D94E11C">
      <w:pPr>
        <w:spacing w:line="360" w:lineRule="auto"/>
        <w:ind w:firstLine="480" w:firstLineChars="200"/>
        <w:rPr>
          <w:rFonts w:hint="eastAsia" w:ascii="Cambria Math" w:hAnsi="Cambria Math"/>
          <w:sz w:val="24"/>
        </w:rPr>
      </w:pPr>
      <m:oMath>
        <m:r>
          <m:rPr/>
          <w:rPr>
            <w:rFonts w:ascii="Cambria Math" w:hAnsi="Cambria Math"/>
            <w:sz w:val="24"/>
          </w:rPr>
          <m:t>δ</m:t>
        </m:r>
      </m:oMath>
      <w:r>
        <w:rPr>
          <w:rFonts w:hint="eastAsia" w:ascii="Cambria Math" w:hAnsi="Cambria Math"/>
          <w:sz w:val="24"/>
        </w:rPr>
        <w:t>——滑移率测量装置速度示值误差；</w:t>
      </w:r>
    </w:p>
    <w:p w14:paraId="74633CB7">
      <w:pPr>
        <w:spacing w:line="360" w:lineRule="auto"/>
        <w:ind w:firstLine="480" w:firstLineChars="200"/>
        <w:rPr>
          <w:rFonts w:hint="eastAsia" w:ascii="Cambria Math" w:hAnsi="Cambria Math"/>
          <w:sz w:val="24"/>
        </w:rPr>
      </w:pPr>
      <m:oMath>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oMath>
      <w:r>
        <w:rPr>
          <w:rFonts w:hint="eastAsia" w:ascii="Cambria Math" w:hAnsi="Cambria Math"/>
          <w:sz w:val="24"/>
        </w:rPr>
        <w:t>——滑移率测量装置速度三次测量值的平均值，单位为</w:t>
      </w:r>
      <w:r>
        <w:rPr>
          <w:sz w:val="24"/>
        </w:rPr>
        <w:t>（km/h）</w:t>
      </w:r>
      <w:r>
        <w:rPr>
          <w:rFonts w:hint="eastAsia" w:ascii="Cambria Math" w:hAnsi="Cambria Math"/>
          <w:sz w:val="24"/>
        </w:rPr>
        <w:t>；</w:t>
      </w:r>
    </w:p>
    <w:p w14:paraId="03083D80">
      <w:pPr>
        <w:spacing w:line="360" w:lineRule="auto"/>
        <w:ind w:firstLine="480" w:firstLineChars="200"/>
        <w:rPr>
          <w:rFonts w:hint="eastAsia" w:ascii="Cambria Math" w:hAnsi="Cambria Math"/>
          <w:sz w:val="24"/>
        </w:rPr>
      </w:pPr>
      <m:oMath>
        <m:r>
          <m:rPr/>
          <w:rPr>
            <w:rFonts w:ascii="Cambria Math" w:hAnsi="Cambria Math"/>
            <w:sz w:val="24"/>
          </w:rPr>
          <m:t>s</m:t>
        </m:r>
      </m:oMath>
      <w:r>
        <w:rPr>
          <w:rFonts w:hint="eastAsia" w:ascii="Cambria Math" w:hAnsi="Cambria Math"/>
          <w:sz w:val="24"/>
        </w:rPr>
        <w:t>——线速度测试仪校准装置速度的标准值，单位为</w:t>
      </w:r>
      <w:r>
        <w:rPr>
          <w:sz w:val="24"/>
        </w:rPr>
        <w:t>（km/h）</w:t>
      </w:r>
      <w:r>
        <w:rPr>
          <w:rFonts w:hint="eastAsia" w:ascii="Cambria Math" w:hAnsi="Cambria Math"/>
          <w:sz w:val="24"/>
        </w:rPr>
        <w:t>。</w:t>
      </w:r>
    </w:p>
    <w:p w14:paraId="472803CB">
      <w:pPr>
        <w:pStyle w:val="147"/>
        <w:rPr>
          <w:rFonts w:hint="eastAsia" w:ascii="Cambria Math" w:hAnsi="Cambria Math" w:eastAsiaTheme="minorEastAsia"/>
          <w:szCs w:val="22"/>
        </w:rPr>
      </w:pPr>
      <w:r>
        <w:rPr>
          <w:rFonts w:hint="eastAsia" w:ascii="Cambria Math" w:hAnsi="Cambria Math" w:eastAsiaTheme="minorEastAsia"/>
          <w:szCs w:val="22"/>
        </w:rPr>
        <w:t>C.</w:t>
      </w:r>
      <w:r>
        <w:rPr>
          <w:rFonts w:ascii="Cambria Math" w:hAnsi="Cambria Math" w:eastAsiaTheme="minorEastAsia"/>
          <w:szCs w:val="22"/>
        </w:rPr>
        <w:t>1.</w:t>
      </w:r>
      <w:r>
        <w:rPr>
          <w:rFonts w:hint="eastAsia" w:ascii="Cambria Math" w:hAnsi="Cambria Math" w:eastAsiaTheme="minorEastAsia"/>
          <w:szCs w:val="22"/>
        </w:rPr>
        <w:t>3</w:t>
      </w:r>
      <w:r>
        <w:rPr>
          <w:rFonts w:ascii="Cambria Math" w:hAnsi="Cambria Math" w:eastAsiaTheme="minorEastAsia"/>
          <w:szCs w:val="22"/>
        </w:rPr>
        <w:t xml:space="preserve"> 方差和</w:t>
      </w:r>
      <w:r>
        <w:rPr>
          <w:rFonts w:hint="eastAsia" w:ascii="Cambria Math" w:hAnsi="Cambria Math" w:eastAsiaTheme="minorEastAsia"/>
          <w:szCs w:val="22"/>
        </w:rPr>
        <w:t>灵敏系数</w:t>
      </w:r>
    </w:p>
    <w:p w14:paraId="3B6BC9D5">
      <w:pPr>
        <w:spacing w:line="360" w:lineRule="auto"/>
        <w:ind w:firstLine="420"/>
        <w:rPr>
          <w:rFonts w:hint="eastAsia" w:ascii="Cambria Math" w:hAnsi="Cambria Math"/>
          <w:sz w:val="24"/>
        </w:rPr>
      </w:pPr>
      <m:oMath>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oMath>
      <w:r>
        <w:rPr>
          <w:sz w:val="24"/>
        </w:rPr>
        <w:t>和</w:t>
      </w:r>
      <m:oMath>
        <m:r>
          <m:rPr/>
          <w:rPr>
            <w:rFonts w:ascii="Cambria Math" w:hAnsi="Cambria Math"/>
            <w:sz w:val="24"/>
          </w:rPr>
          <m:t>s</m:t>
        </m:r>
      </m:oMath>
      <w:r>
        <w:rPr>
          <w:sz w:val="24"/>
        </w:rPr>
        <w:t>两者</w:t>
      </w:r>
      <w:r>
        <w:rPr>
          <w:rFonts w:hint="eastAsia" w:ascii="Cambria Math" w:hAnsi="Cambria Math"/>
          <w:sz w:val="24"/>
        </w:rPr>
        <w:t>之间相互独立，依据不确定度传播律合成标准不确定度公式：</w:t>
      </w:r>
    </w:p>
    <w:p w14:paraId="58150DAB">
      <w:pPr>
        <w:spacing w:line="360" w:lineRule="auto"/>
        <w:jc w:val="center"/>
        <w:rPr>
          <w:sz w:val="24"/>
        </w:rPr>
      </w:pPr>
      <m:oMath>
        <m:sSup>
          <m:sSupPr>
            <m:ctrlPr>
              <w:rPr>
                <w:rFonts w:ascii="Cambria Math" w:hAnsi="Cambria Math"/>
                <w:sz w:val="24"/>
              </w:rPr>
            </m:ctrlPr>
          </m:sSupPr>
          <m:e>
            <m:r>
              <m:rPr/>
              <w:rPr>
                <w:rFonts w:ascii="Cambria Math" w:hAnsi="Cambria Math"/>
                <w:sz w:val="24"/>
              </w:rPr>
              <m:t>u</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d>
          <m:dPr>
            <m:ctrlPr>
              <w:rPr>
                <w:rFonts w:ascii="Cambria Math" w:hAnsi="Cambria Math"/>
                <w:sz w:val="24"/>
              </w:rPr>
            </m:ctrlPr>
          </m:dPr>
          <m:e>
            <m:r>
              <m:rPr/>
              <w:rPr>
                <w:rFonts w:ascii="Cambria Math" w:hAnsi="Cambria Math"/>
                <w:sz w:val="24"/>
              </w:rPr>
              <m:t>δ</m:t>
            </m:r>
            <m:ctrlPr>
              <w:rPr>
                <w:rFonts w:ascii="Cambria Math" w:hAnsi="Cambria Math"/>
                <w:sz w:val="24"/>
              </w:rPr>
            </m:ctrlPr>
          </m:e>
        </m:d>
      </m:oMath>
      <w:r>
        <w:rPr>
          <w:sz w:val="24"/>
        </w:rPr>
        <w:t xml:space="preserve"> = </w:t>
      </w:r>
      <m:oMath>
        <m:sSup>
          <m:sSupPr>
            <m:ctrlPr>
              <w:rPr>
                <w:rFonts w:ascii="Cambria Math" w:hAnsi="Cambria Math"/>
                <w:sz w:val="24"/>
              </w:rPr>
            </m:ctrlPr>
          </m:sSupPr>
          <m:e>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ctrlPr>
                  <w:rPr>
                    <w:rFonts w:ascii="Cambria Math" w:hAnsi="Cambria Math"/>
                    <w:sz w:val="24"/>
                  </w:rPr>
                </m:ctrlPr>
              </m:e>
            </m:d>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oMath>
      <w:r>
        <w:rPr>
          <w:sz w:val="24"/>
        </w:rPr>
        <w:t>×</w:t>
      </w:r>
      <m:oMath>
        <m:sSup>
          <m:sSupPr>
            <m:ctrlPr>
              <w:rPr>
                <w:rFonts w:ascii="Cambria Math" w:hAnsi="Cambria Math"/>
                <w:sz w:val="24"/>
              </w:rPr>
            </m:ctrlPr>
          </m:sSupPr>
          <m:e>
            <m:r>
              <m:rPr/>
              <w:rPr>
                <w:rFonts w:ascii="Cambria Math" w:hAnsi="Cambria Math"/>
                <w:sz w:val="24"/>
              </w:rPr>
              <m:t>u</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sz w:val="24"/>
        </w:rPr>
        <w:t>＋</w:t>
      </w:r>
      <m:oMath>
        <m:sSup>
          <m:sSupPr>
            <m:ctrlPr>
              <w:rPr>
                <w:rFonts w:ascii="Cambria Math" w:hAnsi="Cambria Math"/>
                <w:sz w:val="24"/>
              </w:rPr>
            </m:ctrlPr>
          </m:sSupPr>
          <m:e>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ctrlPr>
                  <w:rPr>
                    <w:rFonts w:ascii="Cambria Math" w:hAnsi="Cambria Math"/>
                    <w:sz w:val="24"/>
                  </w:rPr>
                </m:ctrlPr>
              </m:e>
            </m:d>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oMath>
      <w:r>
        <w:rPr>
          <w:sz w:val="24"/>
        </w:rPr>
        <w:t>×</w:t>
      </w:r>
      <m:oMath>
        <m:sSup>
          <m:sSupPr>
            <m:ctrlPr>
              <w:rPr>
                <w:rFonts w:ascii="Cambria Math" w:hAnsi="Cambria Math"/>
                <w:sz w:val="24"/>
              </w:rPr>
            </m:ctrlPr>
          </m:sSupPr>
          <m:e>
            <m:r>
              <m:rPr/>
              <w:rPr>
                <w:rFonts w:ascii="Cambria Math" w:hAnsi="Cambria Math"/>
                <w:sz w:val="24"/>
              </w:rPr>
              <m:t>u</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p>
    <w:p w14:paraId="36C0DE4C">
      <w:pPr>
        <w:spacing w:line="360" w:lineRule="auto"/>
        <w:jc w:val="center"/>
        <w:rPr>
          <w:sz w:val="24"/>
        </w:rPr>
      </w:pP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sz w:val="24"/>
        </w:rPr>
        <w:t>=</w:t>
      </w:r>
      <m:oMath>
        <m:r>
          <m:rPr/>
          <w:rPr>
            <w:rFonts w:ascii="Cambria Math" w:hAnsi="Cambria Math"/>
            <w:sz w:val="24"/>
          </w:rPr>
          <m:t>∂δ</m:t>
        </m:r>
        <m:r>
          <m:rPr>
            <m:sty m:val="p"/>
          </m:rPr>
          <w:rPr>
            <w:rFonts w:ascii="Cambria Math" w:hAnsi="Cambria Math"/>
            <w:sz w:val="24"/>
          </w:rPr>
          <m:t>/</m:t>
        </m:r>
        <m:r>
          <m:rPr/>
          <w:rPr>
            <w:rFonts w:ascii="Cambria Math" w:hAnsi="Cambria Math"/>
            <w:sz w:val="24"/>
          </w:rPr>
          <m:t>∂</m:t>
        </m:r>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oMath>
      <w:r>
        <w:rPr>
          <w:sz w:val="24"/>
        </w:rPr>
        <w:t>=</w:t>
      </w:r>
      <m:oMath>
        <m:r>
          <m:rPr>
            <m:sty m:val="p"/>
          </m:rPr>
          <w:rPr>
            <w:rFonts w:ascii="Cambria Math" w:hAnsi="Cambria Math"/>
            <w:sz w:val="24"/>
          </w:rPr>
          <m:t xml:space="preserve"> </m:t>
        </m:r>
        <m:f>
          <m:fPr>
            <m:ctrlPr>
              <w:rPr>
                <w:rFonts w:ascii="Cambria Math" w:hAnsi="Cambria Math" w:eastAsiaTheme="minorEastAsia"/>
                <w:sz w:val="24"/>
                <w:szCs w:val="22"/>
              </w:rPr>
            </m:ctrlPr>
          </m:fPr>
          <m:num>
            <m:r>
              <m:rPr>
                <m:sty m:val="p"/>
              </m:rPr>
              <w:rPr>
                <w:rFonts w:ascii="Cambria Math" w:hAnsi="Cambria Math"/>
                <w:sz w:val="24"/>
              </w:rPr>
              <m:t>1</m:t>
            </m:r>
            <m:ctrlPr>
              <w:rPr>
                <w:rFonts w:ascii="Cambria Math" w:hAnsi="Cambria Math" w:eastAsiaTheme="minorEastAsia"/>
                <w:sz w:val="24"/>
                <w:szCs w:val="22"/>
              </w:rPr>
            </m:ctrlPr>
          </m:num>
          <m:den>
            <m:r>
              <m:rPr/>
              <w:rPr>
                <w:rFonts w:ascii="Cambria Math" w:hAnsi="Cambria Math"/>
                <w:sz w:val="24"/>
              </w:rPr>
              <m:t>s</m:t>
            </m:r>
            <m:ctrlPr>
              <w:rPr>
                <w:rFonts w:ascii="Cambria Math" w:hAnsi="Cambria Math" w:eastAsiaTheme="minorEastAsia"/>
                <w:sz w:val="24"/>
                <w:szCs w:val="22"/>
              </w:rPr>
            </m:ctrlPr>
          </m:den>
        </m:f>
      </m:oMath>
    </w:p>
    <w:p w14:paraId="54D4302B">
      <w:pPr>
        <w:spacing w:line="360" w:lineRule="auto"/>
        <w:jc w:val="center"/>
        <w:rPr>
          <w:sz w:val="24"/>
        </w:rPr>
      </w:pP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oMath>
      <w:r>
        <w:rPr>
          <w:sz w:val="24"/>
        </w:rPr>
        <w:t>=</w:t>
      </w:r>
      <m:oMath>
        <m:r>
          <m:rPr/>
          <w:rPr>
            <w:rFonts w:ascii="Cambria Math" w:hAnsi="Cambria Math"/>
            <w:sz w:val="24"/>
          </w:rPr>
          <m:t>∂δ</m:t>
        </m:r>
        <m:r>
          <m:rPr>
            <m:sty m:val="p"/>
          </m:rPr>
          <w:rPr>
            <w:rFonts w:ascii="Cambria Math" w:hAnsi="Cambria Math"/>
            <w:sz w:val="24"/>
          </w:rPr>
          <m:t>/</m:t>
        </m:r>
        <m:r>
          <m:rPr/>
          <w:rPr>
            <w:rFonts w:ascii="Cambria Math" w:hAnsi="Cambria Math"/>
            <w:sz w:val="24"/>
          </w:rPr>
          <m:t>∂s</m:t>
        </m:r>
      </m:oMath>
      <w:r>
        <w:rPr>
          <w:sz w:val="24"/>
        </w:rPr>
        <w:t>=-</w:t>
      </w:r>
      <m:oMath>
        <m:r>
          <m:rPr>
            <m:sty m:val="p"/>
          </m:rPr>
          <w:rPr>
            <w:rFonts w:ascii="Cambria Math" w:hAnsi="Cambria Math"/>
            <w:sz w:val="24"/>
          </w:rPr>
          <m:t xml:space="preserve"> </m:t>
        </m:r>
        <m:f>
          <m:fPr>
            <m:ctrlPr>
              <w:rPr>
                <w:rFonts w:ascii="Cambria Math" w:hAnsi="Cambria Math" w:eastAsiaTheme="minorEastAsia"/>
                <w:sz w:val="24"/>
                <w:szCs w:val="22"/>
              </w:rPr>
            </m:ctrlPr>
          </m:fPr>
          <m:num>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eastAsiaTheme="minorEastAsia"/>
                <w:sz w:val="24"/>
                <w:szCs w:val="22"/>
              </w:rPr>
            </m:ctrlPr>
          </m:num>
          <m:den>
            <m:sSup>
              <m:sSupPr>
                <m:ctrlPr>
                  <w:rPr>
                    <w:rFonts w:ascii="Cambria Math" w:hAnsi="Cambria Math" w:eastAsiaTheme="minorEastAsia"/>
                    <w:sz w:val="24"/>
                    <w:szCs w:val="22"/>
                  </w:rPr>
                </m:ctrlPr>
              </m:sSupPr>
              <m:e>
                <m:r>
                  <m:rPr/>
                  <w:rPr>
                    <w:rFonts w:ascii="Cambria Math" w:hAnsi="Cambria Math"/>
                    <w:sz w:val="24"/>
                  </w:rPr>
                  <m:t>s</m:t>
                </m:r>
                <m:ctrlPr>
                  <w:rPr>
                    <w:rFonts w:ascii="Cambria Math" w:hAnsi="Cambria Math" w:eastAsiaTheme="minorEastAsia"/>
                    <w:sz w:val="24"/>
                    <w:szCs w:val="22"/>
                  </w:rPr>
                </m:ctrlPr>
              </m:e>
              <m:sup>
                <m:r>
                  <m:rPr>
                    <m:sty m:val="p"/>
                  </m:rPr>
                  <w:rPr>
                    <w:rFonts w:ascii="Cambria Math" w:hAnsi="Cambria Math"/>
                    <w:sz w:val="24"/>
                  </w:rPr>
                  <m:t>2</m:t>
                </m:r>
                <m:ctrlPr>
                  <w:rPr>
                    <w:rFonts w:ascii="Cambria Math" w:hAnsi="Cambria Math" w:eastAsiaTheme="minorEastAsia"/>
                    <w:sz w:val="24"/>
                    <w:szCs w:val="22"/>
                  </w:rPr>
                </m:ctrlPr>
              </m:sup>
            </m:sSup>
            <m:ctrlPr>
              <w:rPr>
                <w:rFonts w:ascii="Cambria Math" w:hAnsi="Cambria Math" w:eastAsiaTheme="minorEastAsia"/>
                <w:sz w:val="24"/>
                <w:szCs w:val="22"/>
              </w:rPr>
            </m:ctrlPr>
          </m:den>
        </m:f>
      </m:oMath>
    </w:p>
    <w:p w14:paraId="7933770A">
      <w:pPr>
        <w:spacing w:line="360" w:lineRule="auto"/>
        <w:rPr>
          <w:rFonts w:hint="eastAsia" w:ascii="Cambria Math" w:hAnsi="Cambria Math"/>
          <w:sz w:val="24"/>
        </w:rPr>
      </w:pPr>
      <w:r>
        <w:rPr>
          <w:rFonts w:hint="eastAsia" w:ascii="Cambria Math" w:hAnsi="Cambria Math"/>
          <w:sz w:val="24"/>
        </w:rPr>
        <w:t>C.</w:t>
      </w:r>
      <w:r>
        <w:rPr>
          <w:rFonts w:ascii="Cambria Math" w:hAnsi="Cambria Math"/>
          <w:sz w:val="24"/>
        </w:rPr>
        <w:t>1.4 输入量的不确定度来源</w:t>
      </w:r>
    </w:p>
    <w:p w14:paraId="72743BA5">
      <w:pPr>
        <w:spacing w:line="360" w:lineRule="auto"/>
        <w:ind w:firstLine="420"/>
        <w:rPr>
          <w:rFonts w:hint="eastAsia" w:ascii="Cambria Math" w:hAnsi="Cambria Math"/>
          <w:sz w:val="24"/>
        </w:rPr>
      </w:pPr>
      <w:r>
        <w:rPr>
          <w:rFonts w:ascii="Cambria Math" w:hAnsi="Cambria Math"/>
          <w:sz w:val="24"/>
        </w:rPr>
        <w:t>（1）被校</w:t>
      </w:r>
      <w:r>
        <w:rPr>
          <w:rFonts w:hint="eastAsia" w:ascii="Cambria Math" w:hAnsi="Cambria Math"/>
          <w:sz w:val="24"/>
        </w:rPr>
        <w:t>滑移率测量装置</w:t>
      </w:r>
      <w:r>
        <w:rPr>
          <w:rFonts w:ascii="Cambria Math" w:hAnsi="Cambria Math"/>
          <w:sz w:val="24"/>
        </w:rPr>
        <w:t>的测量结果重复性</w:t>
      </w:r>
    </w:p>
    <w:p w14:paraId="131C4560">
      <w:pPr>
        <w:spacing w:line="360" w:lineRule="auto"/>
        <w:jc w:val="center"/>
        <w:rPr>
          <w:sz w:val="24"/>
        </w:rPr>
      </w:pPr>
      <w:r>
        <w:rPr>
          <w:rFonts w:hint="eastAsia" w:ascii="Cambria Math" w:hAnsi="Cambria Math"/>
          <w:sz w:val="24"/>
        </w:rPr>
        <w:t>|</w:t>
      </w: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hint="eastAsia" w:ascii="Cambria Math" w:hAnsi="Cambria Math"/>
          <w:sz w:val="24"/>
        </w:rPr>
        <w:t>|</w:t>
      </w:r>
      <w:r>
        <w:rPr>
          <w:sz w:val="24"/>
        </w:rPr>
        <w:t>×</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sz w:val="24"/>
        </w:rPr>
        <w:t xml:space="preserve"> =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w:rPr>
                <w:rFonts w:ascii="Cambria Math" w:hAnsi="Cambria Math"/>
                <w:sz w:val="24"/>
              </w:rPr>
              <m:t>A</m:t>
            </m:r>
            <m:ctrlPr>
              <w:rPr>
                <w:rFonts w:ascii="Cambria Math" w:hAnsi="Cambria Math"/>
                <w:sz w:val="24"/>
              </w:rPr>
            </m:ctrlPr>
          </m:sub>
        </m:sSub>
      </m:oMath>
    </w:p>
    <w:p w14:paraId="7CD94896">
      <w:pPr>
        <w:spacing w:line="360" w:lineRule="auto"/>
        <w:ind w:firstLine="420"/>
        <w:rPr>
          <w:rFonts w:hint="eastAsia" w:ascii="Cambria Math" w:hAnsi="Cambria Math"/>
          <w:sz w:val="24"/>
        </w:rPr>
      </w:pPr>
      <w:r>
        <w:rPr>
          <w:rFonts w:ascii="Cambria Math" w:hAnsi="Cambria Math"/>
          <w:sz w:val="24"/>
        </w:rPr>
        <w:t>（2）被校</w:t>
      </w:r>
      <w:r>
        <w:rPr>
          <w:rFonts w:hint="eastAsia" w:ascii="Cambria Math" w:hAnsi="Cambria Math"/>
          <w:sz w:val="24"/>
        </w:rPr>
        <w:t>滑移率测量装置</w:t>
      </w:r>
      <w:r>
        <w:rPr>
          <w:rFonts w:ascii="Cambria Math" w:hAnsi="Cambria Math"/>
          <w:sz w:val="24"/>
        </w:rPr>
        <w:t>的数显量化误差</w:t>
      </w:r>
    </w:p>
    <w:p w14:paraId="4B10C8F3">
      <w:pPr>
        <w:spacing w:line="360" w:lineRule="auto"/>
        <w:jc w:val="center"/>
        <w:rPr>
          <w:sz w:val="24"/>
        </w:rPr>
      </w:pPr>
      <w:r>
        <w:rPr>
          <w:rFonts w:hint="eastAsia" w:ascii="Cambria Math" w:hAnsi="Cambria Math"/>
          <w:sz w:val="24"/>
        </w:rPr>
        <w:t>|</w:t>
      </w: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oMath>
      <w:r>
        <w:rPr>
          <w:rFonts w:hint="eastAsia" w:ascii="Cambria Math" w:hAnsi="Cambria Math"/>
          <w:sz w:val="24"/>
        </w:rPr>
        <w:t>|</w:t>
      </w:r>
      <w:r>
        <w:rPr>
          <w:sz w:val="24"/>
        </w:rPr>
        <w:t>×</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sz w:val="24"/>
        </w:rPr>
        <w:t xml:space="preserve"> =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w:rPr>
                <w:rFonts w:ascii="Cambria Math" w:hAnsi="Cambria Math"/>
                <w:sz w:val="24"/>
              </w:rPr>
              <m:t>B</m:t>
            </m:r>
            <m:ctrlPr>
              <w:rPr>
                <w:rFonts w:ascii="Cambria Math" w:hAnsi="Cambria Math"/>
                <w:sz w:val="24"/>
              </w:rPr>
            </m:ctrlPr>
          </m:sub>
        </m:sSub>
      </m:oMath>
    </w:p>
    <w:p w14:paraId="3A8D9769">
      <w:pPr>
        <w:spacing w:line="360" w:lineRule="auto"/>
        <w:ind w:firstLine="420"/>
        <w:rPr>
          <w:rFonts w:hint="eastAsia" w:ascii="Cambria Math" w:hAnsi="Cambria Math"/>
          <w:sz w:val="24"/>
        </w:rPr>
      </w:pPr>
      <w:r>
        <w:rPr>
          <w:rFonts w:ascii="Cambria Math" w:hAnsi="Cambria Math"/>
          <w:sz w:val="24"/>
        </w:rPr>
        <w:t>（3）</w:t>
      </w:r>
      <w:r>
        <w:rPr>
          <w:rFonts w:hint="eastAsia" w:ascii="Cambria Math" w:hAnsi="Cambria Math"/>
          <w:sz w:val="24"/>
        </w:rPr>
        <w:t>线速度测试仪校准装置</w:t>
      </w:r>
      <w:r>
        <w:rPr>
          <w:rFonts w:hint="eastAsia"/>
          <w:sz w:val="24"/>
        </w:rPr>
        <w:t>的</w:t>
      </w:r>
      <w:r>
        <w:rPr>
          <w:rFonts w:hint="eastAsia"/>
          <w:sz w:val="24"/>
          <w:szCs w:val="22"/>
        </w:rPr>
        <w:t>准确性</w:t>
      </w:r>
    </w:p>
    <w:p w14:paraId="21BC3BA3">
      <w:pPr>
        <w:spacing w:line="360" w:lineRule="auto"/>
        <w:jc w:val="center"/>
        <w:rPr>
          <w:sz w:val="24"/>
        </w:rPr>
      </w:pPr>
      <w:r>
        <w:rPr>
          <w:rFonts w:hint="eastAsia" w:ascii="Cambria Math" w:hAnsi="Cambria Math"/>
          <w:sz w:val="24"/>
        </w:rPr>
        <w:t>|</w:t>
      </w:r>
      <m:oMath>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oMath>
      <w:r>
        <w:rPr>
          <w:rFonts w:hint="eastAsia" w:ascii="Cambria Math" w:hAnsi="Cambria Math"/>
          <w:sz w:val="24"/>
        </w:rPr>
        <w:t>|</w:t>
      </w:r>
      <w:r>
        <w:rPr>
          <w:sz w:val="24"/>
        </w:rPr>
        <w:t>×</w:t>
      </w:r>
      <m:oMath>
        <m:r>
          <m:rPr/>
          <w:rPr>
            <w:rFonts w:ascii="Cambria Math" w:hAnsi="Cambria Math"/>
            <w:sz w:val="24"/>
          </w:rPr>
          <m:t>u</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r>
        <w:rPr>
          <w:sz w:val="24"/>
        </w:rPr>
        <w:t xml:space="preserve"> = </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w:rPr>
                <w:rFonts w:ascii="Cambria Math" w:hAnsi="Cambria Math"/>
                <w:sz w:val="24"/>
              </w:rPr>
              <m:t>C</m:t>
            </m:r>
            <m:ctrlPr>
              <w:rPr>
                <w:rFonts w:ascii="Cambria Math" w:hAnsi="Cambria Math"/>
                <w:sz w:val="24"/>
              </w:rPr>
            </m:ctrlPr>
          </m:sub>
        </m:sSub>
      </m:oMath>
    </w:p>
    <w:p w14:paraId="7E1B89BF">
      <w:pPr>
        <w:spacing w:line="360" w:lineRule="auto"/>
        <w:rPr>
          <w:rFonts w:hint="eastAsia" w:ascii="Cambria Math" w:hAnsi="Cambria Math"/>
          <w:sz w:val="24"/>
        </w:rPr>
      </w:pPr>
      <w:r>
        <w:rPr>
          <w:rFonts w:hint="eastAsia" w:ascii="Cambria Math" w:hAnsi="Cambria Math"/>
          <w:sz w:val="24"/>
        </w:rPr>
        <w:t>C.</w:t>
      </w:r>
      <w:r>
        <w:rPr>
          <w:rFonts w:ascii="Cambria Math" w:hAnsi="Cambria Math"/>
          <w:sz w:val="24"/>
        </w:rPr>
        <w:t>1.5 输入量的标准不确定度评定</w:t>
      </w:r>
    </w:p>
    <w:p w14:paraId="2D5B0FB6">
      <w:pPr>
        <w:spacing w:line="360" w:lineRule="auto"/>
        <w:ind w:firstLine="420"/>
        <w:rPr>
          <w:rFonts w:hint="eastAsia" w:ascii="Cambria Math" w:hAnsi="Cambria Math"/>
          <w:sz w:val="24"/>
        </w:rPr>
      </w:pPr>
      <w:r>
        <w:rPr>
          <w:rFonts w:ascii="Cambria Math" w:hAnsi="Cambria Math"/>
          <w:sz w:val="24"/>
        </w:rPr>
        <w:t>（1）被校</w:t>
      </w:r>
      <w:r>
        <w:rPr>
          <w:rFonts w:hint="eastAsia" w:ascii="Cambria Math" w:hAnsi="Cambria Math"/>
          <w:sz w:val="24"/>
        </w:rPr>
        <w:t>滑移率测量装置</w:t>
      </w:r>
      <w:r>
        <w:rPr>
          <w:rFonts w:ascii="Cambria Math" w:hAnsi="Cambria Math"/>
          <w:sz w:val="24"/>
        </w:rPr>
        <w:t>的测量结果重复性</w:t>
      </w:r>
      <w:r>
        <w:rPr>
          <w:rFonts w:hint="eastAsia" w:ascii="Cambria Math" w:hAnsi="Cambria Math"/>
          <w:sz w:val="24"/>
        </w:rPr>
        <w:t>引入的不确定度分量</w:t>
      </w:r>
    </w:p>
    <w:p w14:paraId="2CF19F0F">
      <w:pPr>
        <w:spacing w:line="360" w:lineRule="auto"/>
        <w:ind w:firstLine="420"/>
        <w:rPr>
          <w:rFonts w:hint="eastAsia" w:ascii="Cambria Math" w:hAnsi="Cambria Math"/>
          <w:sz w:val="24"/>
        </w:rPr>
      </w:pPr>
      <w:r>
        <w:rPr>
          <w:rFonts w:hint="eastAsia" w:ascii="Cambria Math" w:hAnsi="Cambria Math"/>
          <w:sz w:val="24"/>
        </w:rPr>
        <w:t>将</w:t>
      </w:r>
      <w:r>
        <w:rPr>
          <w:rFonts w:ascii="Cambria Math" w:hAnsi="Cambria Math"/>
          <w:sz w:val="24"/>
        </w:rPr>
        <w:t>被校</w:t>
      </w:r>
      <w:r>
        <w:rPr>
          <w:rFonts w:hint="eastAsia" w:ascii="Cambria Math" w:hAnsi="Cambria Math"/>
          <w:sz w:val="24"/>
        </w:rPr>
        <w:t>滑移率测量装置在各校准点进行十次重复性测量，</w:t>
      </w:r>
      <w:r>
        <w:rPr>
          <w:rFonts w:ascii="Cambria Math" w:hAnsi="Cambria Math"/>
          <w:sz w:val="24"/>
        </w:rPr>
        <w:t>计算单次实验标准差</w:t>
      </w:r>
      <m:oMath>
        <m:r>
          <m:rPr/>
          <w:rPr>
            <w:rFonts w:ascii="Cambria Math" w:hAnsi="Cambria Math"/>
            <w:sz w:val="24"/>
          </w:rPr>
          <m:t>σ</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r>
        <w:rPr>
          <w:sz w:val="24"/>
        </w:rPr>
        <w:t>：</w:t>
      </w:r>
    </w:p>
    <w:p w14:paraId="0E933AB6">
      <w:pPr>
        <w:spacing w:line="360" w:lineRule="auto"/>
        <w:jc w:val="center"/>
        <w:rPr>
          <w:sz w:val="24"/>
        </w:rPr>
      </w:pPr>
      <m:oMath>
        <m:r>
          <m:rPr/>
          <w:rPr>
            <w:rFonts w:ascii="Cambria Math" w:hAnsi="Cambria Math"/>
            <w:sz w:val="24"/>
          </w:rPr>
          <m:t>σ</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r>
        <w:rPr>
          <w:sz w:val="24"/>
        </w:rPr>
        <w:t xml:space="preserve"> = </w:t>
      </w:r>
      <m:oMath>
        <m:rad>
          <m:radPr>
            <m:degHide m:val="1"/>
            <m:ctrlPr>
              <w:rPr>
                <w:rFonts w:ascii="Cambria Math" w:hAnsi="Cambria Math"/>
                <w:sz w:val="24"/>
              </w:rPr>
            </m:ctrlPr>
          </m:radPr>
          <m:deg>
            <m:ctrlPr>
              <w:rPr>
                <w:rFonts w:ascii="Cambria Math" w:hAnsi="Cambria Math"/>
                <w:sz w:val="24"/>
              </w:rPr>
            </m:ctrlPr>
          </m:deg>
          <m:e>
            <m:f>
              <m:fPr>
                <m:ctrlPr>
                  <w:rPr>
                    <w:rFonts w:ascii="Cambria Math" w:hAnsi="Cambria Math"/>
                    <w:sz w:val="24"/>
                  </w:rPr>
                </m:ctrlPr>
              </m:fPr>
              <m:num>
                <m:nary>
                  <m:naryPr>
                    <m:chr m:val="∑"/>
                    <m:subHide m:val="1"/>
                    <m:supHide m:val="1"/>
                    <m:ctrlPr>
                      <w:rPr>
                        <w:rFonts w:ascii="Cambria Math" w:hAnsi="Cambria Math"/>
                        <w:sz w:val="24"/>
                      </w:rPr>
                    </m:ctrlPr>
                  </m:naryPr>
                  <m:sub>
                    <m:ctrlPr>
                      <w:rPr>
                        <w:rFonts w:ascii="Cambria Math" w:hAnsi="Cambria Math"/>
                        <w:sz w:val="24"/>
                      </w:rPr>
                    </m:ctrlPr>
                  </m:sub>
                  <m:sup>
                    <m:ctrlPr>
                      <w:rPr>
                        <w:rFonts w:ascii="Cambria Math" w:hAnsi="Cambria Math"/>
                        <w:sz w:val="24"/>
                      </w:rPr>
                    </m:ctrlPr>
                  </m:sup>
                  <m:e>
                    <m:sSup>
                      <m:sSupPr>
                        <m:ctrlPr>
                          <w:rPr>
                            <w:rFonts w:ascii="Cambria Math" w:hAnsi="Cambria Math"/>
                            <w:sz w:val="24"/>
                          </w:rPr>
                        </m:ctrlPr>
                      </m:sSupPr>
                      <m:e>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s</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m:sty m:val="p"/>
                              </m:rPr>
                              <w:rPr>
                                <w:rFonts w:ascii="Cambria Math" w:hAnsi="Cambria Math"/>
                                <w:sz w:val="24"/>
                              </w:rPr>
                              <m:t>−</m:t>
                            </m:r>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ctrlPr>
                      <w:rPr>
                        <w:rFonts w:ascii="Cambria Math" w:hAnsi="Cambria Math"/>
                        <w:sz w:val="24"/>
                      </w:rPr>
                    </m:ctrlPr>
                  </m:e>
                </m:nary>
                <m:ctrlPr>
                  <w:rPr>
                    <w:rFonts w:ascii="Cambria Math" w:hAnsi="Cambria Math"/>
                    <w:sz w:val="24"/>
                  </w:rPr>
                </m:ctrlPr>
              </m:num>
              <m:den>
                <m:r>
                  <m:rPr>
                    <m:sty m:val="p"/>
                  </m:rPr>
                  <w:rPr>
                    <w:rFonts w:ascii="Cambria Math" w:hAnsi="Cambria Math"/>
                    <w:sz w:val="24"/>
                  </w:rPr>
                  <m:t>10−1</m:t>
                </m:r>
                <m:ctrlPr>
                  <w:rPr>
                    <w:rFonts w:ascii="Cambria Math" w:hAnsi="Cambria Math"/>
                    <w:sz w:val="24"/>
                  </w:rPr>
                </m:ctrlPr>
              </m:den>
            </m:f>
            <m:ctrlPr>
              <w:rPr>
                <w:rFonts w:ascii="Cambria Math" w:hAnsi="Cambria Math"/>
                <w:sz w:val="24"/>
              </w:rPr>
            </m:ctrlPr>
          </m:e>
        </m:rad>
      </m:oMath>
    </w:p>
    <w:p w14:paraId="3C6B286F">
      <w:pPr>
        <w:spacing w:line="360" w:lineRule="auto"/>
        <w:jc w:val="center"/>
        <w:rPr>
          <w:rFonts w:hint="eastAsia" w:ascii="Cambria Math" w:hAnsi="Cambria Math"/>
          <w:sz w:val="24"/>
        </w:rPr>
      </w:pPr>
      <w:r>
        <w:rPr>
          <w:rFonts w:ascii="Cambria Math" w:hAnsi="Cambria Math"/>
          <w:sz w:val="24"/>
        </w:rPr>
        <w:t>实际测量时，以</w:t>
      </w:r>
      <w:r>
        <w:rPr>
          <w:rFonts w:hint="eastAsia" w:ascii="Cambria Math" w:hAnsi="Cambria Math"/>
          <w:sz w:val="24"/>
        </w:rPr>
        <w:t>三次测量的算术平均值</w:t>
      </w:r>
      <w:r>
        <w:rPr>
          <w:rFonts w:ascii="Cambria Math" w:hAnsi="Cambria Math"/>
          <w:sz w:val="24"/>
        </w:rPr>
        <w:t>作为测量结果，可得标准不确定度为</w:t>
      </w:r>
      <w:r>
        <w:rPr>
          <w:rFonts w:hint="eastAsia" w:ascii="Cambria Math" w:hAnsi="Cambria Math"/>
          <w:sz w:val="24"/>
        </w:rPr>
        <w:t>：</w:t>
      </w:r>
    </w:p>
    <w:p w14:paraId="1AC23D3E">
      <w:pPr>
        <w:spacing w:line="360" w:lineRule="auto"/>
        <w:jc w:val="center"/>
        <w:rPr>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r>
          <m:rPr>
            <m:sty m:val="p"/>
          </m:rPr>
          <w:rPr>
            <w:rFonts w:ascii="Cambria Math" w:hAnsi="Cambria Math"/>
            <w:sz w:val="24"/>
          </w:rPr>
          <m:t xml:space="preserve"> </m:t>
        </m:r>
      </m:oMath>
      <w:r>
        <w:rPr>
          <w:sz w:val="24"/>
        </w:rPr>
        <w:t>=</w:t>
      </w:r>
      <m:oMath>
        <m:r>
          <m:rPr/>
          <w:rPr>
            <w:rFonts w:ascii="Cambria Math" w:hAnsi="Cambria Math"/>
            <w:sz w:val="24"/>
          </w:rPr>
          <m:t>σ</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r>
        <w:rPr>
          <w:sz w:val="24"/>
        </w:rPr>
        <w:t>/</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oMath>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025"/>
        <w:gridCol w:w="1134"/>
        <w:gridCol w:w="1276"/>
      </w:tblGrid>
      <w:tr w14:paraId="0B20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vAlign w:val="center"/>
          </w:tcPr>
          <w:p w14:paraId="74F5DE71">
            <w:pPr>
              <w:spacing w:line="360" w:lineRule="auto"/>
              <w:jc w:val="center"/>
              <w:rPr>
                <w:sz w:val="24"/>
                <w:szCs w:val="22"/>
              </w:rPr>
            </w:pPr>
            <w:r>
              <w:rPr>
                <w:sz w:val="24"/>
                <w:szCs w:val="22"/>
              </w:rPr>
              <w:t>速度(km/h)</w:t>
            </w:r>
          </w:p>
        </w:tc>
        <w:tc>
          <w:tcPr>
            <w:tcW w:w="1025" w:type="dxa"/>
            <w:vAlign w:val="center"/>
          </w:tcPr>
          <w:p w14:paraId="08665211">
            <w:pPr>
              <w:spacing w:line="360" w:lineRule="auto"/>
              <w:jc w:val="center"/>
              <w:rPr>
                <w:sz w:val="24"/>
                <w:szCs w:val="22"/>
              </w:rPr>
            </w:pPr>
            <w:r>
              <w:rPr>
                <w:sz w:val="24"/>
                <w:szCs w:val="22"/>
              </w:rPr>
              <w:t>1.2</w:t>
            </w:r>
          </w:p>
        </w:tc>
        <w:tc>
          <w:tcPr>
            <w:tcW w:w="1134" w:type="dxa"/>
            <w:vAlign w:val="center"/>
          </w:tcPr>
          <w:p w14:paraId="7CE9600B">
            <w:pPr>
              <w:spacing w:line="360" w:lineRule="auto"/>
              <w:jc w:val="center"/>
              <w:rPr>
                <w:sz w:val="24"/>
                <w:szCs w:val="22"/>
              </w:rPr>
            </w:pPr>
            <w:r>
              <w:rPr>
                <w:sz w:val="24"/>
                <w:szCs w:val="22"/>
              </w:rPr>
              <w:t>2.</w:t>
            </w:r>
            <w:r>
              <w:rPr>
                <w:rFonts w:hint="eastAsia"/>
                <w:sz w:val="24"/>
                <w:szCs w:val="22"/>
              </w:rPr>
              <w:t>5</w:t>
            </w:r>
          </w:p>
        </w:tc>
        <w:tc>
          <w:tcPr>
            <w:tcW w:w="1276" w:type="dxa"/>
            <w:vAlign w:val="center"/>
          </w:tcPr>
          <w:p w14:paraId="2C9B13C0">
            <w:pPr>
              <w:spacing w:line="360" w:lineRule="auto"/>
              <w:jc w:val="center"/>
              <w:rPr>
                <w:sz w:val="24"/>
                <w:szCs w:val="22"/>
              </w:rPr>
            </w:pPr>
            <w:r>
              <w:rPr>
                <w:sz w:val="24"/>
                <w:szCs w:val="22"/>
              </w:rPr>
              <w:t>3.6</w:t>
            </w:r>
          </w:p>
        </w:tc>
      </w:tr>
      <w:tr w14:paraId="51B5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vAlign w:val="center"/>
          </w:tcPr>
          <w:p w14:paraId="7A62467D">
            <w:pPr>
              <w:spacing w:line="360" w:lineRule="auto"/>
              <w:jc w:val="center"/>
              <w:rPr>
                <w:sz w:val="24"/>
                <w:szCs w:val="22"/>
              </w:rPr>
            </w:pPr>
            <w:r>
              <w:rPr>
                <w:sz w:val="24"/>
                <w:szCs w:val="22"/>
              </w:rPr>
              <w:t>标准不确定度</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sz w:val="24"/>
              </w:rPr>
              <w:t>(</w:t>
            </w:r>
            <w:r>
              <w:rPr>
                <w:sz w:val="24"/>
                <w:szCs w:val="22"/>
              </w:rPr>
              <w:t>km/h)</w:t>
            </w:r>
          </w:p>
        </w:tc>
        <w:tc>
          <w:tcPr>
            <w:tcW w:w="1025" w:type="dxa"/>
            <w:vAlign w:val="center"/>
          </w:tcPr>
          <w:p w14:paraId="69A217FE">
            <w:pPr>
              <w:spacing w:line="360" w:lineRule="auto"/>
              <w:jc w:val="center"/>
              <w:rPr>
                <w:sz w:val="24"/>
                <w:szCs w:val="22"/>
              </w:rPr>
            </w:pPr>
            <w:r>
              <w:rPr>
                <w:rFonts w:hint="eastAsia"/>
                <w:sz w:val="24"/>
              </w:rPr>
              <w:t>4.8</w:t>
            </w:r>
            <w:r>
              <w:rPr>
                <w:sz w:val="24"/>
              </w:rPr>
              <w:t>×10</w:t>
            </w:r>
            <w:r>
              <w:rPr>
                <w:sz w:val="24"/>
                <w:vertAlign w:val="superscript"/>
              </w:rPr>
              <w:t>-3</w:t>
            </w:r>
          </w:p>
        </w:tc>
        <w:tc>
          <w:tcPr>
            <w:tcW w:w="1134" w:type="dxa"/>
            <w:vAlign w:val="center"/>
          </w:tcPr>
          <w:p w14:paraId="4329E09B">
            <w:pPr>
              <w:spacing w:line="360" w:lineRule="auto"/>
              <w:jc w:val="center"/>
              <w:rPr>
                <w:sz w:val="24"/>
                <w:szCs w:val="22"/>
              </w:rPr>
            </w:pPr>
            <w:r>
              <w:rPr>
                <w:rFonts w:hint="eastAsia"/>
                <w:sz w:val="24"/>
              </w:rPr>
              <w:t>6.1</w:t>
            </w:r>
            <w:r>
              <w:rPr>
                <w:sz w:val="24"/>
              </w:rPr>
              <w:t>×10</w:t>
            </w:r>
            <w:r>
              <w:rPr>
                <w:sz w:val="24"/>
                <w:vertAlign w:val="superscript"/>
              </w:rPr>
              <w:t>-3</w:t>
            </w:r>
          </w:p>
        </w:tc>
        <w:tc>
          <w:tcPr>
            <w:tcW w:w="1276" w:type="dxa"/>
            <w:vAlign w:val="center"/>
          </w:tcPr>
          <w:p w14:paraId="2C8C8CDF">
            <w:pPr>
              <w:spacing w:line="360" w:lineRule="auto"/>
              <w:jc w:val="center"/>
              <w:rPr>
                <w:sz w:val="24"/>
                <w:szCs w:val="22"/>
              </w:rPr>
            </w:pPr>
            <w:r>
              <w:rPr>
                <w:rFonts w:hint="eastAsia"/>
                <w:sz w:val="24"/>
              </w:rPr>
              <w:t>15.2</w:t>
            </w:r>
            <w:r>
              <w:rPr>
                <w:sz w:val="24"/>
              </w:rPr>
              <w:t>×10</w:t>
            </w:r>
            <w:r>
              <w:rPr>
                <w:sz w:val="24"/>
                <w:vertAlign w:val="superscript"/>
              </w:rPr>
              <w:t>-</w:t>
            </w:r>
            <w:r>
              <w:rPr>
                <w:rFonts w:hint="eastAsia"/>
                <w:sz w:val="24"/>
                <w:vertAlign w:val="superscript"/>
              </w:rPr>
              <w:t>3</w:t>
            </w:r>
          </w:p>
        </w:tc>
      </w:tr>
    </w:tbl>
    <w:p w14:paraId="4F610125">
      <w:pPr>
        <w:spacing w:line="360" w:lineRule="auto"/>
        <w:ind w:firstLine="420"/>
        <w:jc w:val="left"/>
        <w:rPr>
          <w:rFonts w:hint="eastAsia" w:ascii="Cambria Math" w:hAnsi="Cambria Math"/>
          <w:sz w:val="24"/>
        </w:rPr>
      </w:pPr>
      <w:r>
        <w:rPr>
          <w:rFonts w:ascii="Cambria Math" w:hAnsi="Cambria Math"/>
          <w:sz w:val="24"/>
        </w:rPr>
        <w:t>（2）</w:t>
      </w:r>
      <w:r>
        <w:rPr>
          <w:rFonts w:hint="eastAsia" w:ascii="Cambria Math" w:hAnsi="Cambria Math"/>
          <w:sz w:val="24"/>
        </w:rPr>
        <w:t>被校</w:t>
      </w:r>
      <w:bookmarkStart w:id="36" w:name="_Hlk178591290"/>
      <w:r>
        <w:rPr>
          <w:rFonts w:hint="eastAsia" w:ascii="Cambria Math" w:hAnsi="Cambria Math"/>
          <w:sz w:val="24"/>
        </w:rPr>
        <w:t>滑移率测量装置</w:t>
      </w:r>
      <w:bookmarkEnd w:id="36"/>
      <w:r>
        <w:rPr>
          <w:rFonts w:ascii="Cambria Math" w:hAnsi="Cambria Math"/>
          <w:sz w:val="24"/>
        </w:rPr>
        <w:t>的数显量化误差</w:t>
      </w:r>
      <w:r>
        <w:rPr>
          <w:rFonts w:hint="eastAsia" w:ascii="Cambria Math" w:hAnsi="Cambria Math"/>
          <w:sz w:val="24"/>
        </w:rPr>
        <w:t>引入的不确定度分量</w:t>
      </w:r>
    </w:p>
    <w:p w14:paraId="1DC00BD4">
      <w:pPr>
        <w:spacing w:line="360" w:lineRule="auto"/>
        <w:ind w:firstLine="420"/>
        <w:jc w:val="left"/>
        <w:rPr>
          <w:sz w:val="24"/>
        </w:rPr>
      </w:pPr>
      <w:r>
        <w:rPr>
          <w:sz w:val="24"/>
        </w:rPr>
        <w:t>数显式滑移率测量装置的分辨力为</w:t>
      </w:r>
      <w:bookmarkStart w:id="37" w:name="_Hlk161001211"/>
      <w:r>
        <w:rPr>
          <w:sz w:val="24"/>
        </w:rPr>
        <w:t>0.01 km/h，其量化误差以等概率分布（矩形分布）落在宽度为0.01 /2 = 0.005 km/h的区间内。考虑其引入的标准不确定度为：</w:t>
      </w:r>
    </w:p>
    <w:p w14:paraId="6575DA79">
      <w:pPr>
        <w:spacing w:line="360" w:lineRule="auto"/>
        <w:jc w:val="center"/>
        <w:rPr>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sz w:val="24"/>
        </w:rPr>
        <w:t xml:space="preserve"> = 0.005/</w:t>
      </w:r>
      <m:oMath>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oMath>
      <w:r>
        <w:rPr>
          <w:sz w:val="24"/>
        </w:rPr>
        <w:t xml:space="preserve"> = 2.9×10</w:t>
      </w:r>
      <w:r>
        <w:rPr>
          <w:sz w:val="24"/>
          <w:vertAlign w:val="superscript"/>
        </w:rPr>
        <w:t>-3</w:t>
      </w:r>
      <w:r>
        <w:rPr>
          <w:sz w:val="24"/>
        </w:rPr>
        <w:t xml:space="preserve"> km/h</w:t>
      </w:r>
    </w:p>
    <w:bookmarkEnd w:id="37"/>
    <w:p w14:paraId="24124D74">
      <w:pPr>
        <w:spacing w:line="360" w:lineRule="auto"/>
        <w:ind w:firstLine="420"/>
        <w:rPr>
          <w:sz w:val="24"/>
        </w:rPr>
      </w:pPr>
      <w:r>
        <w:rPr>
          <w:sz w:val="24"/>
        </w:rPr>
        <w:t>（3）</w:t>
      </w:r>
      <w:r>
        <w:rPr>
          <w:rFonts w:hint="eastAsia"/>
          <w:sz w:val="24"/>
        </w:rPr>
        <w:t>线速度测试仪校准装置的</w:t>
      </w:r>
      <w:r>
        <w:rPr>
          <w:rFonts w:hint="eastAsia"/>
          <w:sz w:val="24"/>
          <w:szCs w:val="22"/>
        </w:rPr>
        <w:t>准确性</w:t>
      </w:r>
      <w:r>
        <w:rPr>
          <w:rFonts w:hint="eastAsia"/>
          <w:sz w:val="24"/>
        </w:rPr>
        <w:t>引入的不确定度分量</w:t>
      </w:r>
    </w:p>
    <w:p w14:paraId="62744632">
      <w:pPr>
        <w:spacing w:line="360" w:lineRule="auto"/>
        <w:ind w:firstLine="420"/>
        <w:rPr>
          <w:sz w:val="24"/>
        </w:rPr>
      </w:pPr>
      <w:r>
        <w:rPr>
          <w:rFonts w:hint="eastAsia"/>
          <w:sz w:val="24"/>
        </w:rPr>
        <w:t>线速度测试仪校准装置</w:t>
      </w:r>
      <w:r>
        <w:rPr>
          <w:sz w:val="24"/>
        </w:rPr>
        <w:t>的</w:t>
      </w:r>
      <w:r>
        <w:rPr>
          <w:rFonts w:hint="eastAsia"/>
          <w:sz w:val="24"/>
        </w:rPr>
        <w:t>最大允许误差：</w:t>
      </w:r>
      <w:r>
        <w:rPr>
          <w:sz w:val="24"/>
        </w:rPr>
        <w:t>±</w:t>
      </w:r>
      <w:r>
        <w:rPr>
          <w:rFonts w:hint="eastAsia"/>
          <w:sz w:val="24"/>
        </w:rPr>
        <w:t>0.3%，</w:t>
      </w:r>
      <w:r>
        <w:rPr>
          <w:sz w:val="24"/>
        </w:rPr>
        <w:t>在标准示值为1.2km/h、2.</w:t>
      </w:r>
      <w:r>
        <w:rPr>
          <w:rFonts w:hint="eastAsia"/>
          <w:sz w:val="24"/>
        </w:rPr>
        <w:t>5</w:t>
      </w:r>
      <w:r>
        <w:rPr>
          <w:sz w:val="24"/>
        </w:rPr>
        <w:t>km/h、3.6km/h时，可能引起的误差值</w:t>
      </w:r>
      <w:r>
        <w:rPr>
          <w:i/>
          <w:iCs/>
          <w:sz w:val="24"/>
        </w:rPr>
        <w:t>d</w:t>
      </w:r>
      <w:r>
        <w:rPr>
          <w:rFonts w:hint="eastAsia"/>
          <w:sz w:val="24"/>
        </w:rPr>
        <w:t>分别为</w:t>
      </w:r>
      <w:r>
        <w:rPr>
          <w:sz w:val="24"/>
        </w:rPr>
        <w:t>为</w:t>
      </w:r>
      <w:r>
        <w:rPr>
          <w:szCs w:val="21"/>
        </w:rPr>
        <w:t>±</w:t>
      </w:r>
      <w:r>
        <w:rPr>
          <w:sz w:val="24"/>
        </w:rPr>
        <w:t>3.6×10</w:t>
      </w:r>
      <w:r>
        <w:rPr>
          <w:sz w:val="24"/>
          <w:vertAlign w:val="superscript"/>
        </w:rPr>
        <w:t>-3</w:t>
      </w:r>
      <w:r>
        <w:rPr>
          <w:sz w:val="24"/>
        </w:rPr>
        <w:t xml:space="preserve"> km/h、</w:t>
      </w:r>
      <w:r>
        <w:rPr>
          <w:szCs w:val="21"/>
        </w:rPr>
        <w:t>±</w:t>
      </w:r>
      <w:r>
        <w:rPr>
          <w:sz w:val="24"/>
        </w:rPr>
        <w:t>7.</w:t>
      </w:r>
      <w:r>
        <w:rPr>
          <w:rFonts w:hint="eastAsia"/>
          <w:sz w:val="24"/>
        </w:rPr>
        <w:t>5</w:t>
      </w:r>
      <w:r>
        <w:rPr>
          <w:sz w:val="24"/>
        </w:rPr>
        <w:t>×10</w:t>
      </w:r>
      <w:r>
        <w:rPr>
          <w:sz w:val="24"/>
          <w:vertAlign w:val="superscript"/>
        </w:rPr>
        <w:t>-3</w:t>
      </w:r>
      <w:r>
        <w:rPr>
          <w:sz w:val="24"/>
        </w:rPr>
        <w:t xml:space="preserve"> km/h、</w:t>
      </w:r>
      <w:r>
        <w:rPr>
          <w:szCs w:val="21"/>
        </w:rPr>
        <w:t>±</w:t>
      </w:r>
      <w:r>
        <w:rPr>
          <w:sz w:val="24"/>
        </w:rPr>
        <w:t>1.08×10</w:t>
      </w:r>
      <w:r>
        <w:rPr>
          <w:sz w:val="24"/>
          <w:vertAlign w:val="superscript"/>
        </w:rPr>
        <w:t>-2</w:t>
      </w:r>
      <w:r>
        <w:rPr>
          <w:sz w:val="24"/>
        </w:rPr>
        <w:t xml:space="preserve"> km/h。按正态分布计，则引入的标准不确定度为：</w:t>
      </w:r>
    </w:p>
    <w:p w14:paraId="3011E212">
      <w:pPr>
        <w:spacing w:line="360" w:lineRule="auto"/>
        <w:jc w:val="center"/>
        <w:rPr>
          <w:sz w:val="24"/>
        </w:rPr>
      </w:pPr>
      <m:oMath>
        <m:r>
          <m:rPr/>
          <w:rPr>
            <w:rFonts w:ascii="Cambria Math" w:hAnsi="Cambria Math"/>
            <w:sz w:val="24"/>
          </w:rPr>
          <m:t>u</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r>
        <w:rPr>
          <w:sz w:val="24"/>
        </w:rPr>
        <w:t xml:space="preserve">= </w:t>
      </w:r>
      <m:oMath>
        <m:r>
          <m:rPr/>
          <w:rPr>
            <w:rFonts w:ascii="Cambria Math" w:hAnsi="Cambria Math"/>
            <w:sz w:val="24"/>
          </w:rPr>
          <m:t>d/</m:t>
        </m:r>
        <m:rad>
          <m:radPr>
            <m:degHide m:val="1"/>
            <m:ctrlPr>
              <w:rPr>
                <w:rFonts w:ascii="Cambria Math" w:hAnsi="Cambria Math"/>
                <w:sz w:val="24"/>
              </w:rPr>
            </m:ctrlPr>
          </m:radPr>
          <m:deg>
            <m:ctrlPr>
              <w:rPr>
                <w:rFonts w:ascii="Cambria Math" w:hAnsi="Cambria Math"/>
                <w:sz w:val="24"/>
              </w:rPr>
            </m:ctrlPr>
          </m:deg>
          <m:e>
            <m:r>
              <m:rPr>
                <m:sty m:val="p"/>
              </m:rPr>
              <w:rPr>
                <w:rFonts w:ascii="Cambria Math" w:hAnsi="Cambria Math"/>
                <w:sz w:val="24"/>
              </w:rPr>
              <m:t>3</m:t>
            </m:r>
            <m:ctrlPr>
              <w:rPr>
                <w:rFonts w:ascii="Cambria Math" w:hAnsi="Cambria Math"/>
                <w:sz w:val="24"/>
              </w:rPr>
            </m:ctrlPr>
          </m:e>
        </m:rad>
      </m:oMath>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025"/>
        <w:gridCol w:w="1134"/>
        <w:gridCol w:w="1134"/>
      </w:tblGrid>
      <w:tr w14:paraId="2AF5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vAlign w:val="center"/>
          </w:tcPr>
          <w:p w14:paraId="031ED72A">
            <w:pPr>
              <w:spacing w:line="360" w:lineRule="auto"/>
              <w:jc w:val="center"/>
              <w:rPr>
                <w:sz w:val="24"/>
                <w:szCs w:val="22"/>
              </w:rPr>
            </w:pPr>
            <w:r>
              <w:rPr>
                <w:sz w:val="24"/>
                <w:szCs w:val="22"/>
              </w:rPr>
              <w:t>速度(km/h)</w:t>
            </w:r>
          </w:p>
        </w:tc>
        <w:tc>
          <w:tcPr>
            <w:tcW w:w="1025" w:type="dxa"/>
            <w:vAlign w:val="center"/>
          </w:tcPr>
          <w:p w14:paraId="61E3115F">
            <w:pPr>
              <w:spacing w:line="360" w:lineRule="auto"/>
              <w:jc w:val="center"/>
              <w:rPr>
                <w:sz w:val="24"/>
                <w:szCs w:val="22"/>
              </w:rPr>
            </w:pPr>
            <w:r>
              <w:rPr>
                <w:sz w:val="24"/>
                <w:szCs w:val="22"/>
              </w:rPr>
              <w:t>1.2</w:t>
            </w:r>
          </w:p>
        </w:tc>
        <w:tc>
          <w:tcPr>
            <w:tcW w:w="1134" w:type="dxa"/>
            <w:vAlign w:val="center"/>
          </w:tcPr>
          <w:p w14:paraId="11EA9154">
            <w:pPr>
              <w:spacing w:line="360" w:lineRule="auto"/>
              <w:jc w:val="center"/>
              <w:rPr>
                <w:sz w:val="24"/>
                <w:szCs w:val="22"/>
              </w:rPr>
            </w:pPr>
            <w:r>
              <w:rPr>
                <w:sz w:val="24"/>
                <w:szCs w:val="22"/>
              </w:rPr>
              <w:t>2.</w:t>
            </w:r>
            <w:r>
              <w:rPr>
                <w:rFonts w:hint="eastAsia"/>
                <w:sz w:val="24"/>
                <w:szCs w:val="22"/>
              </w:rPr>
              <w:t>5</w:t>
            </w:r>
          </w:p>
        </w:tc>
        <w:tc>
          <w:tcPr>
            <w:tcW w:w="1134" w:type="dxa"/>
            <w:vAlign w:val="center"/>
          </w:tcPr>
          <w:p w14:paraId="0817C83C">
            <w:pPr>
              <w:spacing w:line="360" w:lineRule="auto"/>
              <w:jc w:val="center"/>
              <w:rPr>
                <w:sz w:val="24"/>
                <w:szCs w:val="22"/>
              </w:rPr>
            </w:pPr>
            <w:r>
              <w:rPr>
                <w:sz w:val="24"/>
                <w:szCs w:val="22"/>
              </w:rPr>
              <w:t>3.6</w:t>
            </w:r>
          </w:p>
        </w:tc>
      </w:tr>
      <w:tr w14:paraId="2E06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vAlign w:val="center"/>
          </w:tcPr>
          <w:p w14:paraId="03838EB8">
            <w:pPr>
              <w:spacing w:line="360" w:lineRule="auto"/>
              <w:jc w:val="center"/>
              <w:rPr>
                <w:sz w:val="24"/>
                <w:szCs w:val="22"/>
              </w:rPr>
            </w:pPr>
            <w:r>
              <w:rPr>
                <w:sz w:val="24"/>
                <w:szCs w:val="22"/>
              </w:rPr>
              <w:t>标准不确定度</w:t>
            </w:r>
            <m:oMath>
              <m:r>
                <m:rPr/>
                <w:rPr>
                  <w:rFonts w:ascii="Cambria Math" w:hAnsi="Cambria Math"/>
                  <w:sz w:val="24"/>
                </w:rPr>
                <m:t>u</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r>
              <w:rPr>
                <w:sz w:val="24"/>
              </w:rPr>
              <w:t>(</w:t>
            </w:r>
            <w:r>
              <w:rPr>
                <w:sz w:val="24"/>
                <w:szCs w:val="22"/>
              </w:rPr>
              <w:t>km/h)</w:t>
            </w:r>
          </w:p>
        </w:tc>
        <w:tc>
          <w:tcPr>
            <w:tcW w:w="1025" w:type="dxa"/>
            <w:vAlign w:val="bottom"/>
          </w:tcPr>
          <w:p w14:paraId="5E665DFE">
            <w:pPr>
              <w:spacing w:line="360" w:lineRule="auto"/>
              <w:jc w:val="center"/>
              <w:rPr>
                <w:sz w:val="24"/>
                <w:szCs w:val="22"/>
              </w:rPr>
            </w:pPr>
            <w:r>
              <w:rPr>
                <w:rFonts w:hint="eastAsia"/>
                <w:sz w:val="24"/>
              </w:rPr>
              <w:t>2.1</w:t>
            </w:r>
            <w:r>
              <w:rPr>
                <w:sz w:val="24"/>
              </w:rPr>
              <w:t>×10</w:t>
            </w:r>
            <w:r>
              <w:rPr>
                <w:sz w:val="24"/>
                <w:vertAlign w:val="superscript"/>
              </w:rPr>
              <w:t>-3</w:t>
            </w:r>
          </w:p>
        </w:tc>
        <w:tc>
          <w:tcPr>
            <w:tcW w:w="1134" w:type="dxa"/>
            <w:vAlign w:val="bottom"/>
          </w:tcPr>
          <w:p w14:paraId="32941BAF">
            <w:pPr>
              <w:spacing w:line="360" w:lineRule="auto"/>
              <w:jc w:val="center"/>
              <w:rPr>
                <w:sz w:val="24"/>
                <w:szCs w:val="22"/>
              </w:rPr>
            </w:pPr>
            <w:r>
              <w:rPr>
                <w:rFonts w:hint="eastAsia"/>
                <w:sz w:val="24"/>
              </w:rPr>
              <w:t>4.3</w:t>
            </w:r>
            <w:r>
              <w:rPr>
                <w:sz w:val="24"/>
              </w:rPr>
              <w:t>×10</w:t>
            </w:r>
            <w:r>
              <w:rPr>
                <w:sz w:val="24"/>
                <w:vertAlign w:val="superscript"/>
              </w:rPr>
              <w:t>-3</w:t>
            </w:r>
          </w:p>
        </w:tc>
        <w:tc>
          <w:tcPr>
            <w:tcW w:w="1134" w:type="dxa"/>
            <w:vAlign w:val="bottom"/>
          </w:tcPr>
          <w:p w14:paraId="25D9D0C0">
            <w:pPr>
              <w:spacing w:line="360" w:lineRule="auto"/>
              <w:jc w:val="center"/>
              <w:rPr>
                <w:sz w:val="24"/>
                <w:szCs w:val="22"/>
              </w:rPr>
            </w:pPr>
            <w:r>
              <w:rPr>
                <w:rFonts w:hint="eastAsia"/>
                <w:sz w:val="24"/>
              </w:rPr>
              <w:t>6.2</w:t>
            </w:r>
            <w:r>
              <w:rPr>
                <w:sz w:val="24"/>
              </w:rPr>
              <w:t>×10</w:t>
            </w:r>
            <w:r>
              <w:rPr>
                <w:sz w:val="24"/>
                <w:vertAlign w:val="superscript"/>
              </w:rPr>
              <w:t>-3</w:t>
            </w:r>
          </w:p>
        </w:tc>
      </w:tr>
    </w:tbl>
    <w:p w14:paraId="3EE49C9E">
      <w:pPr>
        <w:spacing w:line="360" w:lineRule="auto"/>
        <w:ind w:firstLine="420"/>
        <w:jc w:val="left"/>
        <w:rPr>
          <w:rFonts w:asciiTheme="minorHAnsi" w:hAnsiTheme="minorHAnsi"/>
          <w:sz w:val="24"/>
        </w:rPr>
      </w:pPr>
      <w:r>
        <w:rPr>
          <w:rFonts w:hint="eastAsia"/>
          <w:sz w:val="24"/>
        </w:rPr>
        <w:t>由于测量结果重复性、数显量化误差对测量不确定的贡献存在重复。因此，为避免重复计算，在计算合成不确定度时，只计最大影响量</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rFonts w:hint="eastAsia"/>
          <w:sz w:val="24"/>
        </w:rPr>
        <w:t>，舍弃</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r>
        <w:rPr>
          <w:rFonts w:hint="eastAsia"/>
          <w:sz w:val="24"/>
        </w:rPr>
        <w:t>。</w:t>
      </w:r>
    </w:p>
    <w:p w14:paraId="25050CAF">
      <w:pPr>
        <w:spacing w:line="360" w:lineRule="auto"/>
        <w:rPr>
          <w:sz w:val="24"/>
        </w:rPr>
      </w:pPr>
      <w:r>
        <w:rPr>
          <w:rFonts w:hint="eastAsia"/>
          <w:sz w:val="24"/>
        </w:rPr>
        <w:t>C.</w:t>
      </w:r>
      <w:r>
        <w:rPr>
          <w:rFonts w:ascii="Cambria Math" w:hAnsi="Cambria Math"/>
          <w:sz w:val="24"/>
        </w:rPr>
        <w:t>1.6</w:t>
      </w:r>
      <w:r>
        <w:rPr>
          <w:sz w:val="24"/>
        </w:rPr>
        <w:t xml:space="preserve"> 合成标准不确定度的</w:t>
      </w:r>
      <w:r>
        <w:rPr>
          <w:rFonts w:hint="eastAsia"/>
          <w:sz w:val="24"/>
        </w:rPr>
        <w:t>计算</w:t>
      </w:r>
    </w:p>
    <w:p w14:paraId="73EF0CB7">
      <w:pPr>
        <w:spacing w:line="360" w:lineRule="auto"/>
        <w:ind w:firstLine="420"/>
        <w:rPr>
          <w:sz w:val="24"/>
        </w:rPr>
      </w:pPr>
      <w:r>
        <w:rPr>
          <w:sz w:val="24"/>
        </w:rPr>
        <w:t>由于各标准不确定度分量相互无关，故合成标准不确定度为</w:t>
      </w:r>
      <w:r>
        <w:rPr>
          <w:rFonts w:hint="eastAsia"/>
          <w:sz w:val="24"/>
        </w:rPr>
        <w:t>：</w:t>
      </w:r>
    </w:p>
    <w:p w14:paraId="3E8252C8">
      <w:pPr>
        <w:spacing w:line="360" w:lineRule="auto"/>
        <w:ind w:firstLine="420"/>
        <w:jc w:val="center"/>
        <w:rPr>
          <w:sz w:val="24"/>
        </w:rPr>
      </w:pPr>
      <m:oMath>
        <m:r>
          <m:rPr/>
          <w:rPr>
            <w:rFonts w:ascii="Cambria Math" w:hAnsi="Cambria Math"/>
            <w:sz w:val="24"/>
          </w:rPr>
          <m:t>u</m:t>
        </m:r>
        <m:d>
          <m:dPr>
            <m:ctrlPr>
              <w:rPr>
                <w:rFonts w:ascii="Cambria Math" w:hAnsi="Cambria Math"/>
                <w:sz w:val="24"/>
              </w:rPr>
            </m:ctrlPr>
          </m:dPr>
          <m:e>
            <m:r>
              <m:rPr/>
              <w:rPr>
                <w:rFonts w:ascii="Cambria Math" w:hAnsi="Cambria Math"/>
                <w:sz w:val="24"/>
              </w:rPr>
              <m:t>δ</m:t>
            </m:r>
            <m:ctrlPr>
              <w:rPr>
                <w:rFonts w:ascii="Cambria Math" w:hAnsi="Cambria Math"/>
                <w:sz w:val="24"/>
              </w:rPr>
            </m:ctrlPr>
          </m:e>
        </m:d>
      </m:oMath>
      <w:r>
        <w:rPr>
          <w:sz w:val="24"/>
        </w:rPr>
        <w:t>=</w:t>
      </w:r>
      <m:oMath>
        <m:rad>
          <m:radPr>
            <m:degHide m:val="1"/>
            <m:ctrlPr>
              <w:rPr>
                <w:rFonts w:ascii="Cambria Math" w:hAnsi="Cambria Math"/>
                <w:sz w:val="24"/>
              </w:rPr>
            </m:ctrlPr>
          </m:radPr>
          <m:deg>
            <m:ctrlPr>
              <w:rPr>
                <w:rFonts w:ascii="Cambria Math" w:hAnsi="Cambria Math"/>
                <w:sz w:val="24"/>
              </w:rPr>
            </m:ctrlPr>
          </m:deg>
          <m:e>
            <m:sSubSup>
              <m:sSubSupPr>
                <m:ctrlPr>
                  <w:rPr>
                    <w:rFonts w:ascii="Cambria Math" w:hAnsi="Cambria Math"/>
                    <w:sz w:val="24"/>
                  </w:rPr>
                </m:ctrlPr>
              </m:sSubSupPr>
              <m:e>
                <m:r>
                  <m:rPr/>
                  <w:rPr>
                    <w:rFonts w:ascii="Cambria Math" w:hAnsi="Cambria Math"/>
                    <w:sz w:val="24"/>
                  </w:rPr>
                  <m:t>u</m:t>
                </m:r>
                <m:ctrlPr>
                  <w:rPr>
                    <w:rFonts w:ascii="Cambria Math" w:hAnsi="Cambria Math"/>
                    <w:sz w:val="24"/>
                  </w:rPr>
                </m:ctrlPr>
              </m:e>
              <m:sub>
                <m:r>
                  <m:rPr/>
                  <w:rPr>
                    <w:rFonts w:ascii="Cambria Math" w:hAnsi="Cambria Math"/>
                    <w:sz w:val="24"/>
                  </w:rPr>
                  <m:t>A</m:t>
                </m:r>
                <m:ctrlPr>
                  <w:rPr>
                    <w:rFonts w:ascii="Cambria Math" w:hAnsi="Cambria Math"/>
                    <w:sz w:val="24"/>
                  </w:rPr>
                </m:ctrlPr>
              </m:sub>
              <m:sup>
                <m:r>
                  <m:rPr>
                    <m:sty m:val="p"/>
                  </m:rPr>
                  <w:rPr>
                    <w:rFonts w:ascii="Cambria Math" w:hAnsi="Cambria Math"/>
                    <w:sz w:val="24"/>
                  </w:rPr>
                  <m:t>2</m:t>
                </m:r>
                <m:ctrlPr>
                  <w:rPr>
                    <w:rFonts w:ascii="Cambria Math" w:hAnsi="Cambria Math"/>
                    <w:sz w:val="24"/>
                  </w:rPr>
                </m:ctrlPr>
              </m:sup>
            </m:sSubSup>
            <m:r>
              <m:rPr>
                <m:sty m:val="p"/>
              </m:rPr>
              <w:rPr>
                <w:rFonts w:ascii="Cambria Math" w:hAnsi="Cambria Math"/>
                <w:sz w:val="24"/>
              </w:rPr>
              <m:t>+</m:t>
            </m:r>
            <m:sSubSup>
              <m:sSubSupPr>
                <m:ctrlPr>
                  <w:rPr>
                    <w:rFonts w:ascii="Cambria Math" w:hAnsi="Cambria Math"/>
                    <w:sz w:val="24"/>
                  </w:rPr>
                </m:ctrlPr>
              </m:sSubSupPr>
              <m:e>
                <m:r>
                  <m:rPr/>
                  <w:rPr>
                    <w:rFonts w:ascii="Cambria Math" w:hAnsi="Cambria Math"/>
                    <w:sz w:val="24"/>
                  </w:rPr>
                  <m:t>u</m:t>
                </m:r>
                <m:ctrlPr>
                  <w:rPr>
                    <w:rFonts w:ascii="Cambria Math" w:hAnsi="Cambria Math"/>
                    <w:sz w:val="24"/>
                  </w:rPr>
                </m:ctrlPr>
              </m:e>
              <m:sub>
                <m:r>
                  <m:rPr/>
                  <w:rPr>
                    <w:rFonts w:ascii="Cambria Math" w:hAnsi="Cambria Math"/>
                    <w:sz w:val="24"/>
                  </w:rPr>
                  <m:t>C</m:t>
                </m:r>
                <m:ctrlPr>
                  <w:rPr>
                    <w:rFonts w:ascii="Cambria Math" w:hAnsi="Cambria Math"/>
                    <w:sz w:val="24"/>
                  </w:rPr>
                </m:ctrlPr>
              </m:sub>
              <m:sup>
                <m:r>
                  <m:rPr>
                    <m:sty m:val="p"/>
                  </m:rPr>
                  <w:rPr>
                    <w:rFonts w:ascii="Cambria Math" w:hAnsi="Cambria Math"/>
                    <w:sz w:val="24"/>
                  </w:rPr>
                  <m:t>2</m:t>
                </m:r>
                <m:ctrlPr>
                  <w:rPr>
                    <w:rFonts w:ascii="Cambria Math" w:hAnsi="Cambria Math"/>
                    <w:sz w:val="24"/>
                  </w:rPr>
                </m:ctrlPr>
              </m:sup>
            </m:sSubSup>
            <m:ctrlPr>
              <w:rPr>
                <w:rFonts w:ascii="Cambria Math" w:hAnsi="Cambria Math"/>
                <w:sz w:val="24"/>
              </w:rPr>
            </m:ctrlPr>
          </m:e>
        </m:rad>
      </m:oMath>
    </w:p>
    <w:p w14:paraId="4013569E">
      <w:pPr>
        <w:spacing w:line="360" w:lineRule="auto"/>
        <w:ind w:firstLine="420"/>
        <w:jc w:val="center"/>
        <w:rPr>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w:rPr>
                <w:rFonts w:ascii="Cambria Math" w:hAnsi="Cambria Math"/>
                <w:sz w:val="24"/>
              </w:rPr>
              <m:t>A</m:t>
            </m:r>
            <m:ctrlPr>
              <w:rPr>
                <w:rFonts w:ascii="Cambria Math" w:hAnsi="Cambria Math"/>
                <w:sz w:val="24"/>
              </w:rPr>
            </m:ctrlPr>
          </m:sub>
        </m:sSub>
        <m:r>
          <m:rPr/>
          <w:rPr>
            <w:rFonts w:ascii="Cambria Math" w:hAnsi="Cambria Math"/>
            <w:sz w:val="24"/>
          </w:rPr>
          <m:t>=</m:t>
        </m:r>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c</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r>
          <m:rPr>
            <m:sty m:val="p"/>
          </m:rPr>
          <w:rPr>
            <w:rFonts w:ascii="Cambria Math" w:hAnsi="Cambria Math"/>
            <w:sz w:val="24"/>
          </w:rPr>
          <m:t>|</m:t>
        </m:r>
      </m:oMath>
      <w:r>
        <w:rPr>
          <w:sz w:val="24"/>
        </w:rPr>
        <w:t>×</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p>
    <w:p w14:paraId="4EB2EF52">
      <w:pPr>
        <w:spacing w:line="360" w:lineRule="auto"/>
        <w:ind w:firstLine="420"/>
        <w:jc w:val="center"/>
        <w:rPr>
          <w:sz w:val="24"/>
        </w:rPr>
      </w:pP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w:rPr>
                <w:rFonts w:ascii="Cambria Math" w:hAnsi="Cambria Math"/>
                <w:sz w:val="24"/>
              </w:rPr>
              <m:t>C</m:t>
            </m:r>
            <m:ctrlPr>
              <w:rPr>
                <w:rFonts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m:t>
            </m:r>
            <m:r>
              <m:rPr/>
              <w:rPr>
                <w:rFonts w:ascii="Cambria Math" w:hAnsi="Cambria Math"/>
                <w:sz w:val="24"/>
              </w:rPr>
              <m:t>c</m:t>
            </m:r>
            <m:ctrlPr>
              <w:rPr>
                <w:rFonts w:ascii="Cambria Math" w:hAnsi="Cambria Math"/>
                <w:sz w:val="24"/>
              </w:rPr>
            </m:ctrlPr>
          </m:e>
          <m:sub>
            <m:r>
              <m:rPr>
                <m:sty m:val="p"/>
              </m:rPr>
              <w:rPr>
                <w:rFonts w:ascii="Cambria Math" w:hAnsi="Cambria Math"/>
                <w:sz w:val="24"/>
              </w:rPr>
              <m:t>2</m:t>
            </m:r>
            <m:ctrlPr>
              <w:rPr>
                <w:rFonts w:ascii="Cambria Math" w:hAnsi="Cambria Math"/>
                <w:sz w:val="24"/>
              </w:rPr>
            </m:ctrlPr>
          </m:sub>
        </m:sSub>
        <m:r>
          <m:rPr>
            <m:sty m:val="p"/>
          </m:rPr>
          <w:rPr>
            <w:rFonts w:ascii="Cambria Math" w:hAnsi="Cambria Math"/>
            <w:sz w:val="24"/>
          </w:rPr>
          <m:t>|</m:t>
        </m:r>
      </m:oMath>
      <w:r>
        <w:rPr>
          <w:sz w:val="24"/>
        </w:rPr>
        <w:t>×</w:t>
      </w:r>
      <m:oMath>
        <m:r>
          <m:rPr/>
          <w:rPr>
            <w:rFonts w:ascii="Cambria Math" w:hAnsi="Cambria Math"/>
            <w:sz w:val="24"/>
          </w:rPr>
          <m:t>u</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p>
    <w:p w14:paraId="3AF91DF0">
      <w:pPr>
        <w:tabs>
          <w:tab w:val="left" w:pos="360"/>
        </w:tabs>
        <w:spacing w:line="300" w:lineRule="auto"/>
        <w:jc w:val="center"/>
        <w:rPr>
          <w:rFonts w:ascii="黑体" w:hAnsi="黑体" w:eastAsia="黑体"/>
          <w:szCs w:val="21"/>
        </w:rPr>
      </w:pPr>
      <w:r>
        <w:rPr>
          <w:rFonts w:hint="eastAsia" w:ascii="黑体" w:hAnsi="黑体" w:eastAsia="黑体"/>
          <w:kern w:val="0"/>
          <w:szCs w:val="21"/>
        </w:rPr>
        <w:t xml:space="preserve">表C.1 </w:t>
      </w:r>
      <w:r>
        <w:rPr>
          <w:rFonts w:ascii="黑体" w:hAnsi="黑体" w:eastAsia="黑体"/>
          <w:szCs w:val="21"/>
        </w:rPr>
        <w:t>标准不确定度分量一览表</w:t>
      </w:r>
    </w:p>
    <w:tbl>
      <w:tblPr>
        <w:tblStyle w:val="35"/>
        <w:tblW w:w="7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0"/>
        <w:gridCol w:w="724"/>
        <w:gridCol w:w="1134"/>
        <w:gridCol w:w="1134"/>
        <w:gridCol w:w="1276"/>
      </w:tblGrid>
      <w:tr w14:paraId="45A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Merge w:val="restart"/>
            <w:vAlign w:val="center"/>
          </w:tcPr>
          <w:p w14:paraId="40233F90">
            <w:pPr>
              <w:tabs>
                <w:tab w:val="left" w:pos="360"/>
              </w:tabs>
              <w:jc w:val="center"/>
              <w:rPr>
                <w:szCs w:val="21"/>
              </w:rPr>
            </w:pPr>
            <w:r>
              <w:rPr>
                <w:szCs w:val="21"/>
              </w:rPr>
              <w:t>序号</w:t>
            </w:r>
          </w:p>
        </w:tc>
        <w:tc>
          <w:tcPr>
            <w:tcW w:w="2520" w:type="dxa"/>
            <w:vMerge w:val="restart"/>
            <w:vAlign w:val="center"/>
          </w:tcPr>
          <w:p w14:paraId="32364646">
            <w:pPr>
              <w:tabs>
                <w:tab w:val="left" w:pos="360"/>
              </w:tabs>
              <w:jc w:val="center"/>
              <w:rPr>
                <w:szCs w:val="21"/>
              </w:rPr>
            </w:pPr>
            <w:r>
              <w:rPr>
                <w:szCs w:val="21"/>
              </w:rPr>
              <w:t>不确定度来源</w:t>
            </w:r>
          </w:p>
        </w:tc>
        <w:tc>
          <w:tcPr>
            <w:tcW w:w="724" w:type="dxa"/>
            <w:vMerge w:val="restart"/>
            <w:vAlign w:val="center"/>
          </w:tcPr>
          <w:p w14:paraId="3EA22A43">
            <w:pPr>
              <w:tabs>
                <w:tab w:val="left" w:pos="360"/>
              </w:tabs>
              <w:jc w:val="center"/>
              <w:rPr>
                <w:szCs w:val="21"/>
              </w:rPr>
            </w:pPr>
            <w:r>
              <w:rPr>
                <w:szCs w:val="21"/>
              </w:rPr>
              <w:t>灵敏系数</w:t>
            </w:r>
          </w:p>
        </w:tc>
        <w:tc>
          <w:tcPr>
            <w:tcW w:w="3544" w:type="dxa"/>
            <w:gridSpan w:val="3"/>
            <w:vAlign w:val="center"/>
          </w:tcPr>
          <w:p w14:paraId="530E4C64">
            <w:pPr>
              <w:tabs>
                <w:tab w:val="left" w:pos="360"/>
              </w:tabs>
              <w:jc w:val="center"/>
              <w:rPr>
                <w:szCs w:val="21"/>
              </w:rPr>
            </w:pPr>
            <w:r>
              <w:rPr>
                <w:szCs w:val="21"/>
              </w:rPr>
              <w:t>标准不确定度评定</w:t>
            </w:r>
          </w:p>
        </w:tc>
      </w:tr>
      <w:tr w14:paraId="0D50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Merge w:val="continue"/>
            <w:vAlign w:val="center"/>
          </w:tcPr>
          <w:p w14:paraId="5CAFB7B3">
            <w:pPr>
              <w:tabs>
                <w:tab w:val="left" w:pos="360"/>
              </w:tabs>
              <w:jc w:val="center"/>
              <w:rPr>
                <w:szCs w:val="21"/>
              </w:rPr>
            </w:pPr>
          </w:p>
        </w:tc>
        <w:tc>
          <w:tcPr>
            <w:tcW w:w="2520" w:type="dxa"/>
            <w:vMerge w:val="continue"/>
            <w:vAlign w:val="center"/>
          </w:tcPr>
          <w:p w14:paraId="2F5EC341">
            <w:pPr>
              <w:tabs>
                <w:tab w:val="left" w:pos="360"/>
              </w:tabs>
              <w:jc w:val="center"/>
              <w:rPr>
                <w:szCs w:val="21"/>
              </w:rPr>
            </w:pPr>
          </w:p>
        </w:tc>
        <w:tc>
          <w:tcPr>
            <w:tcW w:w="724" w:type="dxa"/>
            <w:vMerge w:val="continue"/>
            <w:vAlign w:val="center"/>
          </w:tcPr>
          <w:p w14:paraId="67BD4497">
            <w:pPr>
              <w:tabs>
                <w:tab w:val="left" w:pos="360"/>
              </w:tabs>
              <w:jc w:val="center"/>
              <w:rPr>
                <w:szCs w:val="21"/>
              </w:rPr>
            </w:pPr>
          </w:p>
        </w:tc>
        <w:tc>
          <w:tcPr>
            <w:tcW w:w="1134" w:type="dxa"/>
            <w:vAlign w:val="center"/>
          </w:tcPr>
          <w:p w14:paraId="198AD946">
            <w:pPr>
              <w:tabs>
                <w:tab w:val="left" w:pos="360"/>
              </w:tabs>
              <w:jc w:val="center"/>
              <w:rPr>
                <w:szCs w:val="21"/>
              </w:rPr>
            </w:pPr>
            <w:r>
              <w:rPr>
                <w:szCs w:val="21"/>
              </w:rPr>
              <w:t>1.2</w:t>
            </w:r>
          </w:p>
        </w:tc>
        <w:tc>
          <w:tcPr>
            <w:tcW w:w="1134" w:type="dxa"/>
            <w:vAlign w:val="center"/>
          </w:tcPr>
          <w:p w14:paraId="79C60ADA">
            <w:pPr>
              <w:tabs>
                <w:tab w:val="left" w:pos="360"/>
              </w:tabs>
              <w:jc w:val="center"/>
              <w:rPr>
                <w:szCs w:val="21"/>
              </w:rPr>
            </w:pPr>
            <w:r>
              <w:rPr>
                <w:szCs w:val="21"/>
              </w:rPr>
              <w:t>2.</w:t>
            </w:r>
            <w:r>
              <w:rPr>
                <w:rFonts w:hint="eastAsia"/>
                <w:szCs w:val="21"/>
              </w:rPr>
              <w:t>5</w:t>
            </w:r>
          </w:p>
        </w:tc>
        <w:tc>
          <w:tcPr>
            <w:tcW w:w="1276" w:type="dxa"/>
            <w:vAlign w:val="center"/>
          </w:tcPr>
          <w:p w14:paraId="31AD5ADE">
            <w:pPr>
              <w:tabs>
                <w:tab w:val="left" w:pos="360"/>
              </w:tabs>
              <w:jc w:val="center"/>
              <w:rPr>
                <w:szCs w:val="21"/>
              </w:rPr>
            </w:pPr>
            <w:r>
              <w:rPr>
                <w:szCs w:val="21"/>
              </w:rPr>
              <w:t>3.6</w:t>
            </w:r>
          </w:p>
        </w:tc>
      </w:tr>
      <w:tr w14:paraId="332C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Align w:val="center"/>
          </w:tcPr>
          <w:p w14:paraId="0FEA0D12">
            <w:pPr>
              <w:tabs>
                <w:tab w:val="left" w:pos="360"/>
              </w:tabs>
              <w:jc w:val="center"/>
              <w:rPr>
                <w:szCs w:val="21"/>
              </w:rPr>
            </w:pPr>
            <w:r>
              <w:rPr>
                <w:szCs w:val="21"/>
              </w:rPr>
              <w:t>1</w:t>
            </w:r>
          </w:p>
        </w:tc>
        <w:tc>
          <w:tcPr>
            <w:tcW w:w="2520" w:type="dxa"/>
            <w:vAlign w:val="center"/>
          </w:tcPr>
          <w:p w14:paraId="0AFB5C8F">
            <w:pPr>
              <w:tabs>
                <w:tab w:val="left" w:pos="360"/>
              </w:tabs>
              <w:jc w:val="center"/>
              <w:rPr>
                <w:szCs w:val="21"/>
              </w:rPr>
            </w:pPr>
            <w:r>
              <w:rPr>
                <w:szCs w:val="21"/>
              </w:rPr>
              <w:t>滑移率测量装置测量结果重复性引入</w:t>
            </w:r>
            <m:oMath>
              <m:sSub>
                <m:sSubPr>
                  <m:ctrlPr>
                    <w:rPr>
                      <w:rFonts w:ascii="Cambria Math" w:hAnsi="Cambria Math"/>
                      <w:sz w:val="24"/>
                    </w:rPr>
                  </m:ctrlPr>
                </m:sSubPr>
                <m:e>
                  <m:r>
                    <m:rPr/>
                    <w:rPr>
                      <w:rFonts w:ascii="Cambria Math" w:hAnsi="Cambria Math"/>
                      <w:sz w:val="24"/>
                    </w:rPr>
                    <m:t>u</m:t>
                  </m:r>
                  <m:ctrlPr>
                    <w:rPr>
                      <w:rFonts w:ascii="Cambria Math" w:hAnsi="Cambria Math"/>
                      <w:sz w:val="24"/>
                    </w:rPr>
                  </m:ctrlPr>
                </m:e>
                <m:sub>
                  <m:r>
                    <m:rPr>
                      <m:sty m:val="p"/>
                    </m:rPr>
                    <w:rPr>
                      <w:rFonts w:ascii="Cambria Math" w:hAnsi="Cambria Math"/>
                      <w:sz w:val="24"/>
                    </w:rPr>
                    <m:t>1</m:t>
                  </m:r>
                  <m:ctrlPr>
                    <w:rPr>
                      <w:rFonts w:ascii="Cambria Math" w:hAnsi="Cambria Math"/>
                      <w:sz w:val="24"/>
                    </w:rPr>
                  </m:ctrlPr>
                </m:sub>
              </m:sSub>
              <m:d>
                <m:dPr>
                  <m:ctrlPr>
                    <w:rPr>
                      <w:rFonts w:ascii="Cambria Math" w:hAnsi="Cambria Math"/>
                      <w:sz w:val="24"/>
                    </w:rPr>
                  </m:ctrlPr>
                </m:dPr>
                <m:e>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sz w:val="24"/>
                    </w:rPr>
                  </m:ctrlPr>
                </m:e>
              </m:d>
            </m:oMath>
          </w:p>
        </w:tc>
        <w:tc>
          <w:tcPr>
            <w:tcW w:w="724" w:type="dxa"/>
            <w:vAlign w:val="center"/>
          </w:tcPr>
          <w:p w14:paraId="08E6AE8B">
            <w:pPr>
              <w:tabs>
                <w:tab w:val="left" w:pos="360"/>
              </w:tabs>
              <w:jc w:val="center"/>
              <w:rPr>
                <w:szCs w:val="21"/>
              </w:rPr>
            </w:pPr>
            <m:oMathPara>
              <m:oMath>
                <m:f>
                  <m:fPr>
                    <m:ctrlPr>
                      <w:rPr>
                        <w:rFonts w:ascii="Cambria Math" w:hAnsi="Cambria Math" w:eastAsiaTheme="minorEastAsia"/>
                        <w:sz w:val="24"/>
                        <w:szCs w:val="22"/>
                      </w:rPr>
                    </m:ctrlPr>
                  </m:fPr>
                  <m:num>
                    <m:r>
                      <m:rPr>
                        <m:sty m:val="p"/>
                      </m:rPr>
                      <w:rPr>
                        <w:rFonts w:ascii="Cambria Math" w:hAnsi="Cambria Math"/>
                        <w:sz w:val="24"/>
                      </w:rPr>
                      <m:t>1</m:t>
                    </m:r>
                    <m:ctrlPr>
                      <w:rPr>
                        <w:rFonts w:ascii="Cambria Math" w:hAnsi="Cambria Math" w:eastAsiaTheme="minorEastAsia"/>
                        <w:sz w:val="24"/>
                        <w:szCs w:val="22"/>
                      </w:rPr>
                    </m:ctrlPr>
                  </m:num>
                  <m:den>
                    <m:r>
                      <m:rPr/>
                      <w:rPr>
                        <w:rFonts w:ascii="Cambria Math" w:hAnsi="Cambria Math"/>
                        <w:sz w:val="24"/>
                      </w:rPr>
                      <m:t>s</m:t>
                    </m:r>
                    <m:ctrlPr>
                      <w:rPr>
                        <w:rFonts w:ascii="Cambria Math" w:hAnsi="Cambria Math" w:eastAsiaTheme="minorEastAsia"/>
                        <w:sz w:val="24"/>
                        <w:szCs w:val="22"/>
                      </w:rPr>
                    </m:ctrlPr>
                  </m:den>
                </m:f>
              </m:oMath>
            </m:oMathPara>
          </w:p>
        </w:tc>
        <w:tc>
          <w:tcPr>
            <w:tcW w:w="1134" w:type="dxa"/>
            <w:vAlign w:val="center"/>
          </w:tcPr>
          <w:p w14:paraId="16518A8F">
            <w:pPr>
              <w:tabs>
                <w:tab w:val="left" w:pos="360"/>
              </w:tabs>
              <w:jc w:val="center"/>
              <w:rPr>
                <w:szCs w:val="21"/>
              </w:rPr>
            </w:pPr>
            <w:r>
              <w:rPr>
                <w:sz w:val="24"/>
              </w:rPr>
              <w:t>4.8×10</w:t>
            </w:r>
            <w:r>
              <w:rPr>
                <w:sz w:val="24"/>
                <w:vertAlign w:val="superscript"/>
              </w:rPr>
              <w:t>-3</w:t>
            </w:r>
          </w:p>
        </w:tc>
        <w:tc>
          <w:tcPr>
            <w:tcW w:w="1134" w:type="dxa"/>
            <w:vAlign w:val="center"/>
          </w:tcPr>
          <w:p w14:paraId="08905D2D">
            <w:pPr>
              <w:tabs>
                <w:tab w:val="left" w:pos="360"/>
              </w:tabs>
              <w:jc w:val="center"/>
              <w:rPr>
                <w:szCs w:val="21"/>
              </w:rPr>
            </w:pPr>
            <w:r>
              <w:rPr>
                <w:sz w:val="24"/>
              </w:rPr>
              <w:t>6.1×10</w:t>
            </w:r>
            <w:r>
              <w:rPr>
                <w:sz w:val="24"/>
                <w:vertAlign w:val="superscript"/>
              </w:rPr>
              <w:t>-3</w:t>
            </w:r>
          </w:p>
        </w:tc>
        <w:tc>
          <w:tcPr>
            <w:tcW w:w="1276" w:type="dxa"/>
            <w:vAlign w:val="center"/>
          </w:tcPr>
          <w:p w14:paraId="35EB30F0">
            <w:pPr>
              <w:tabs>
                <w:tab w:val="left" w:pos="360"/>
              </w:tabs>
              <w:jc w:val="center"/>
              <w:rPr>
                <w:szCs w:val="21"/>
              </w:rPr>
            </w:pPr>
            <w:r>
              <w:rPr>
                <w:sz w:val="24"/>
              </w:rPr>
              <w:t>15.2×10</w:t>
            </w:r>
            <w:r>
              <w:rPr>
                <w:sz w:val="24"/>
                <w:vertAlign w:val="superscript"/>
              </w:rPr>
              <w:t>-3</w:t>
            </w:r>
          </w:p>
        </w:tc>
      </w:tr>
      <w:tr w14:paraId="2509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Align w:val="center"/>
          </w:tcPr>
          <w:p w14:paraId="21CFF8A5">
            <w:pPr>
              <w:tabs>
                <w:tab w:val="left" w:pos="360"/>
              </w:tabs>
              <w:jc w:val="center"/>
              <w:rPr>
                <w:szCs w:val="21"/>
              </w:rPr>
            </w:pPr>
            <w:r>
              <w:rPr>
                <w:szCs w:val="21"/>
              </w:rPr>
              <w:t>2</w:t>
            </w:r>
          </w:p>
        </w:tc>
        <w:tc>
          <w:tcPr>
            <w:tcW w:w="2520" w:type="dxa"/>
            <w:vAlign w:val="center"/>
          </w:tcPr>
          <w:p w14:paraId="1532478E">
            <w:pPr>
              <w:tabs>
                <w:tab w:val="left" w:pos="360"/>
              </w:tabs>
              <w:jc w:val="center"/>
              <w:rPr>
                <w:szCs w:val="21"/>
              </w:rPr>
            </w:pPr>
            <w:r>
              <w:rPr>
                <w:kern w:val="0"/>
                <w:szCs w:val="21"/>
              </w:rPr>
              <w:t>线速度测试仪校准装置准确性引入</w:t>
            </w:r>
            <m:oMath>
              <m:r>
                <m:rPr/>
                <w:rPr>
                  <w:rFonts w:ascii="Cambria Math" w:hAnsi="Cambria Math"/>
                  <w:sz w:val="24"/>
                </w:rPr>
                <m:t>u</m:t>
              </m:r>
              <m:d>
                <m:dPr>
                  <m:ctrlPr>
                    <w:rPr>
                      <w:rFonts w:ascii="Cambria Math" w:hAnsi="Cambria Math"/>
                      <w:sz w:val="24"/>
                    </w:rPr>
                  </m:ctrlPr>
                </m:dPr>
                <m:e>
                  <m:r>
                    <m:rPr/>
                    <w:rPr>
                      <w:rFonts w:ascii="Cambria Math" w:hAnsi="Cambria Math"/>
                      <w:sz w:val="24"/>
                    </w:rPr>
                    <m:t>s</m:t>
                  </m:r>
                  <m:ctrlPr>
                    <w:rPr>
                      <w:rFonts w:ascii="Cambria Math" w:hAnsi="Cambria Math"/>
                      <w:sz w:val="24"/>
                    </w:rPr>
                  </m:ctrlPr>
                </m:e>
              </m:d>
            </m:oMath>
          </w:p>
        </w:tc>
        <w:tc>
          <w:tcPr>
            <w:tcW w:w="724" w:type="dxa"/>
            <w:vAlign w:val="center"/>
          </w:tcPr>
          <w:p w14:paraId="0E81A27E">
            <w:pPr>
              <w:tabs>
                <w:tab w:val="left" w:pos="360"/>
              </w:tabs>
              <w:jc w:val="center"/>
              <w:rPr>
                <w:szCs w:val="21"/>
              </w:rPr>
            </w:pPr>
            <w:r>
              <w:rPr>
                <w:sz w:val="24"/>
              </w:rPr>
              <w:t>-</w:t>
            </w:r>
            <m:oMath>
              <m:r>
                <m:rPr>
                  <m:sty m:val="p"/>
                </m:rPr>
                <w:rPr>
                  <w:rFonts w:ascii="Cambria Math" w:hAnsi="Cambria Math"/>
                  <w:sz w:val="24"/>
                </w:rPr>
                <m:t xml:space="preserve"> </m:t>
              </m:r>
              <m:f>
                <m:fPr>
                  <m:ctrlPr>
                    <w:rPr>
                      <w:rFonts w:ascii="Cambria Math" w:hAnsi="Cambria Math" w:eastAsiaTheme="minorEastAsia"/>
                      <w:sz w:val="24"/>
                      <w:szCs w:val="22"/>
                    </w:rPr>
                  </m:ctrlPr>
                </m:fPr>
                <m:num>
                  <m:acc>
                    <m:accPr>
                      <m:chr m:val="̅"/>
                      <m:ctrlPr>
                        <w:rPr>
                          <w:rFonts w:ascii="Cambria Math" w:hAnsi="Cambria Math" w:eastAsiaTheme="minorEastAsia"/>
                          <w:sz w:val="24"/>
                          <w:szCs w:val="22"/>
                        </w:rPr>
                      </m:ctrlPr>
                    </m:accPr>
                    <m:e>
                      <m:r>
                        <m:rPr/>
                        <w:rPr>
                          <w:rFonts w:ascii="Cambria Math" w:hAnsi="Cambria Math"/>
                          <w:sz w:val="24"/>
                        </w:rPr>
                        <m:t>s</m:t>
                      </m:r>
                      <m:ctrlPr>
                        <w:rPr>
                          <w:rFonts w:ascii="Cambria Math" w:hAnsi="Cambria Math" w:eastAsiaTheme="minorEastAsia"/>
                          <w:sz w:val="24"/>
                          <w:szCs w:val="22"/>
                        </w:rPr>
                      </m:ctrlPr>
                    </m:e>
                  </m:acc>
                  <m:ctrlPr>
                    <w:rPr>
                      <w:rFonts w:ascii="Cambria Math" w:hAnsi="Cambria Math" w:eastAsiaTheme="minorEastAsia"/>
                      <w:sz w:val="24"/>
                      <w:szCs w:val="22"/>
                    </w:rPr>
                  </m:ctrlPr>
                </m:num>
                <m:den>
                  <m:sSup>
                    <m:sSupPr>
                      <m:ctrlPr>
                        <w:rPr>
                          <w:rFonts w:ascii="Cambria Math" w:hAnsi="Cambria Math" w:eastAsiaTheme="minorEastAsia"/>
                          <w:sz w:val="24"/>
                          <w:szCs w:val="22"/>
                        </w:rPr>
                      </m:ctrlPr>
                    </m:sSupPr>
                    <m:e>
                      <m:r>
                        <m:rPr/>
                        <w:rPr>
                          <w:rFonts w:ascii="Cambria Math" w:hAnsi="Cambria Math"/>
                          <w:sz w:val="24"/>
                        </w:rPr>
                        <m:t>s</m:t>
                      </m:r>
                      <m:ctrlPr>
                        <w:rPr>
                          <w:rFonts w:ascii="Cambria Math" w:hAnsi="Cambria Math" w:eastAsiaTheme="minorEastAsia"/>
                          <w:sz w:val="24"/>
                          <w:szCs w:val="22"/>
                        </w:rPr>
                      </m:ctrlPr>
                    </m:e>
                    <m:sup>
                      <m:r>
                        <m:rPr>
                          <m:sty m:val="p"/>
                        </m:rPr>
                        <w:rPr>
                          <w:rFonts w:ascii="Cambria Math" w:hAnsi="Cambria Math"/>
                          <w:sz w:val="24"/>
                        </w:rPr>
                        <m:t>2</m:t>
                      </m:r>
                      <m:ctrlPr>
                        <w:rPr>
                          <w:rFonts w:ascii="Cambria Math" w:hAnsi="Cambria Math" w:eastAsiaTheme="minorEastAsia"/>
                          <w:sz w:val="24"/>
                          <w:szCs w:val="22"/>
                        </w:rPr>
                      </m:ctrlPr>
                    </m:sup>
                  </m:sSup>
                  <m:ctrlPr>
                    <w:rPr>
                      <w:rFonts w:ascii="Cambria Math" w:hAnsi="Cambria Math" w:eastAsiaTheme="minorEastAsia"/>
                      <w:sz w:val="24"/>
                      <w:szCs w:val="22"/>
                    </w:rPr>
                  </m:ctrlPr>
                </m:den>
              </m:f>
            </m:oMath>
          </w:p>
        </w:tc>
        <w:tc>
          <w:tcPr>
            <w:tcW w:w="1134" w:type="dxa"/>
            <w:vAlign w:val="center"/>
          </w:tcPr>
          <w:p w14:paraId="3034AAE7">
            <w:pPr>
              <w:tabs>
                <w:tab w:val="left" w:pos="360"/>
              </w:tabs>
              <w:jc w:val="center"/>
              <w:rPr>
                <w:szCs w:val="21"/>
              </w:rPr>
            </w:pPr>
            <w:r>
              <w:rPr>
                <w:sz w:val="24"/>
              </w:rPr>
              <w:t>2.1×10</w:t>
            </w:r>
            <w:r>
              <w:rPr>
                <w:sz w:val="24"/>
                <w:vertAlign w:val="superscript"/>
              </w:rPr>
              <w:t>-3</w:t>
            </w:r>
          </w:p>
        </w:tc>
        <w:tc>
          <w:tcPr>
            <w:tcW w:w="1134" w:type="dxa"/>
            <w:vAlign w:val="center"/>
          </w:tcPr>
          <w:p w14:paraId="79E45402">
            <w:pPr>
              <w:tabs>
                <w:tab w:val="left" w:pos="360"/>
              </w:tabs>
              <w:jc w:val="center"/>
              <w:rPr>
                <w:szCs w:val="21"/>
              </w:rPr>
            </w:pPr>
            <w:r>
              <w:rPr>
                <w:sz w:val="24"/>
              </w:rPr>
              <w:t>4.</w:t>
            </w:r>
            <w:r>
              <w:rPr>
                <w:rFonts w:hint="eastAsia"/>
                <w:sz w:val="24"/>
              </w:rPr>
              <w:t>3</w:t>
            </w:r>
            <w:r>
              <w:rPr>
                <w:sz w:val="24"/>
              </w:rPr>
              <w:t>×10</w:t>
            </w:r>
            <w:r>
              <w:rPr>
                <w:sz w:val="24"/>
                <w:vertAlign w:val="superscript"/>
              </w:rPr>
              <w:t>-3</w:t>
            </w:r>
          </w:p>
        </w:tc>
        <w:tc>
          <w:tcPr>
            <w:tcW w:w="1276" w:type="dxa"/>
            <w:vAlign w:val="center"/>
          </w:tcPr>
          <w:p w14:paraId="55164207">
            <w:pPr>
              <w:tabs>
                <w:tab w:val="left" w:pos="360"/>
              </w:tabs>
              <w:jc w:val="center"/>
              <w:rPr>
                <w:szCs w:val="21"/>
              </w:rPr>
            </w:pPr>
            <w:r>
              <w:rPr>
                <w:sz w:val="24"/>
              </w:rPr>
              <w:t>6.2×10</w:t>
            </w:r>
            <w:r>
              <w:rPr>
                <w:sz w:val="24"/>
                <w:vertAlign w:val="superscript"/>
              </w:rPr>
              <w:t>-3</w:t>
            </w:r>
          </w:p>
        </w:tc>
      </w:tr>
      <w:tr w14:paraId="5E1B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Align w:val="center"/>
          </w:tcPr>
          <w:p w14:paraId="00B0B025">
            <w:pPr>
              <w:tabs>
                <w:tab w:val="left" w:pos="360"/>
              </w:tabs>
              <w:jc w:val="center"/>
              <w:rPr>
                <w:szCs w:val="21"/>
              </w:rPr>
            </w:pPr>
            <w:r>
              <w:rPr>
                <w:rFonts w:hint="eastAsia"/>
                <w:szCs w:val="21"/>
              </w:rPr>
              <w:t>3</w:t>
            </w:r>
          </w:p>
        </w:tc>
        <w:tc>
          <w:tcPr>
            <w:tcW w:w="2520" w:type="dxa"/>
            <w:vAlign w:val="center"/>
          </w:tcPr>
          <w:p w14:paraId="2DD7B89A">
            <w:pPr>
              <w:tabs>
                <w:tab w:val="left" w:pos="360"/>
              </w:tabs>
              <w:jc w:val="center"/>
              <w:rPr>
                <w:szCs w:val="21"/>
              </w:rPr>
            </w:pPr>
            <w:r>
              <w:rPr>
                <w:szCs w:val="21"/>
              </w:rPr>
              <w:t>合成不确定度</w:t>
            </w:r>
            <m:oMath>
              <m:r>
                <m:rPr/>
                <w:rPr>
                  <w:rFonts w:ascii="Cambria Math" w:hAnsi="Cambria Math"/>
                  <w:szCs w:val="21"/>
                </w:rPr>
                <m:t>u</m:t>
              </m:r>
              <m:d>
                <m:dPr>
                  <m:ctrlPr>
                    <w:rPr>
                      <w:rFonts w:ascii="Cambria Math" w:hAnsi="Cambria Math"/>
                      <w:szCs w:val="21"/>
                    </w:rPr>
                  </m:ctrlPr>
                </m:dPr>
                <m:e>
                  <m:r>
                    <m:rPr/>
                    <w:rPr>
                      <w:rFonts w:ascii="Cambria Math" w:hAnsi="Cambria Math"/>
                      <w:szCs w:val="21"/>
                    </w:rPr>
                    <m:t>δ</m:t>
                  </m:r>
                  <m:ctrlPr>
                    <w:rPr>
                      <w:rFonts w:ascii="Cambria Math" w:hAnsi="Cambria Math"/>
                      <w:szCs w:val="21"/>
                    </w:rPr>
                  </m:ctrlPr>
                </m:e>
              </m:d>
            </m:oMath>
          </w:p>
        </w:tc>
        <w:tc>
          <w:tcPr>
            <w:tcW w:w="724" w:type="dxa"/>
            <w:vAlign w:val="center"/>
          </w:tcPr>
          <w:p w14:paraId="01BD3F3B">
            <w:pPr>
              <w:tabs>
                <w:tab w:val="left" w:pos="360"/>
              </w:tabs>
              <w:jc w:val="center"/>
              <w:rPr>
                <w:szCs w:val="21"/>
              </w:rPr>
            </w:pPr>
            <w:r>
              <w:rPr>
                <w:rFonts w:hint="eastAsia"/>
                <w:szCs w:val="21"/>
              </w:rPr>
              <w:t>/</w:t>
            </w:r>
          </w:p>
        </w:tc>
        <w:tc>
          <w:tcPr>
            <w:tcW w:w="1134" w:type="dxa"/>
            <w:vAlign w:val="center"/>
          </w:tcPr>
          <w:p w14:paraId="34224004">
            <w:pPr>
              <w:jc w:val="center"/>
              <w:rPr>
                <w:szCs w:val="21"/>
              </w:rPr>
            </w:pPr>
            <w:r>
              <w:rPr>
                <w:szCs w:val="21"/>
              </w:rPr>
              <w:t>0.4%</w:t>
            </w:r>
          </w:p>
        </w:tc>
        <w:tc>
          <w:tcPr>
            <w:tcW w:w="1134" w:type="dxa"/>
            <w:vAlign w:val="center"/>
          </w:tcPr>
          <w:p w14:paraId="297DFC6E">
            <w:pPr>
              <w:jc w:val="center"/>
              <w:rPr>
                <w:szCs w:val="21"/>
              </w:rPr>
            </w:pPr>
            <w:r>
              <w:rPr>
                <w:szCs w:val="21"/>
              </w:rPr>
              <w:t>0.3%</w:t>
            </w:r>
          </w:p>
        </w:tc>
        <w:tc>
          <w:tcPr>
            <w:tcW w:w="1276" w:type="dxa"/>
            <w:vAlign w:val="center"/>
          </w:tcPr>
          <w:p w14:paraId="28442164">
            <w:pPr>
              <w:jc w:val="center"/>
              <w:rPr>
                <w:szCs w:val="21"/>
              </w:rPr>
            </w:pPr>
            <w:r>
              <w:rPr>
                <w:szCs w:val="21"/>
              </w:rPr>
              <w:t>0.4%</w:t>
            </w:r>
          </w:p>
        </w:tc>
      </w:tr>
    </w:tbl>
    <w:p w14:paraId="4B98BD7A">
      <w:pPr>
        <w:spacing w:line="360" w:lineRule="auto"/>
        <w:ind w:left="420" w:firstLine="420"/>
        <w:rPr>
          <w:sz w:val="18"/>
          <w:szCs w:val="18"/>
        </w:rPr>
      </w:pPr>
      <w:r>
        <w:rPr>
          <w:rFonts w:hint="eastAsia"/>
          <w:sz w:val="18"/>
          <w:szCs w:val="18"/>
        </w:rPr>
        <w:t>注：计算中</w:t>
      </w:r>
      <m:oMath>
        <m:r>
          <m:rPr/>
          <w:rPr>
            <w:rFonts w:ascii="Cambria Math" w:hAnsi="Cambria Math"/>
            <w:sz w:val="18"/>
            <w:szCs w:val="18"/>
          </w:rPr>
          <m:t>s</m:t>
        </m:r>
      </m:oMath>
      <w:r>
        <w:rPr>
          <w:rFonts w:hint="eastAsia"/>
          <w:iCs/>
          <w:sz w:val="18"/>
          <w:szCs w:val="18"/>
        </w:rPr>
        <w:t>分别取</w:t>
      </w:r>
      <w:r>
        <w:rPr>
          <w:sz w:val="18"/>
          <w:szCs w:val="18"/>
        </w:rPr>
        <w:t>1.2km/h、2.</w:t>
      </w:r>
      <w:r>
        <w:rPr>
          <w:rFonts w:hint="eastAsia"/>
          <w:sz w:val="18"/>
          <w:szCs w:val="18"/>
        </w:rPr>
        <w:t>5</w:t>
      </w:r>
      <w:r>
        <w:rPr>
          <w:sz w:val="18"/>
          <w:szCs w:val="18"/>
        </w:rPr>
        <w:t>km/h、3.6km/h</w:t>
      </w:r>
      <w:r>
        <w:rPr>
          <w:rFonts w:hint="eastAsia"/>
          <w:sz w:val="18"/>
          <w:szCs w:val="18"/>
        </w:rPr>
        <w:t>，</w:t>
      </w:r>
      <m:oMath>
        <m:acc>
          <m:accPr>
            <m:chr m:val="̅"/>
            <m:ctrlPr>
              <w:rPr>
                <w:rFonts w:ascii="Cambria Math" w:hAnsi="Cambria Math" w:eastAsiaTheme="minorEastAsia"/>
                <w:sz w:val="18"/>
                <w:szCs w:val="18"/>
              </w:rPr>
            </m:ctrlPr>
          </m:accPr>
          <m:e>
            <m:r>
              <m:rPr/>
              <w:rPr>
                <w:rFonts w:ascii="Cambria Math" w:hAnsi="Cambria Math"/>
                <w:sz w:val="18"/>
                <w:szCs w:val="18"/>
              </w:rPr>
              <m:t>s</m:t>
            </m:r>
            <m:ctrlPr>
              <w:rPr>
                <w:rFonts w:ascii="Cambria Math" w:hAnsi="Cambria Math" w:eastAsiaTheme="minorEastAsia"/>
                <w:sz w:val="18"/>
                <w:szCs w:val="18"/>
              </w:rPr>
            </m:ctrlPr>
          </m:e>
        </m:acc>
      </m:oMath>
      <w:r>
        <w:rPr>
          <w:rFonts w:hint="eastAsia"/>
          <w:sz w:val="18"/>
          <w:szCs w:val="18"/>
        </w:rPr>
        <w:t>是十次测量值的平均值，分别取1.19</w:t>
      </w:r>
      <w:r>
        <w:rPr>
          <w:sz w:val="18"/>
          <w:szCs w:val="18"/>
        </w:rPr>
        <w:t xml:space="preserve"> km/h</w:t>
      </w:r>
      <w:r>
        <w:rPr>
          <w:rFonts w:hint="eastAsia"/>
          <w:sz w:val="18"/>
          <w:szCs w:val="18"/>
        </w:rPr>
        <w:t>、2.49</w:t>
      </w:r>
      <w:r>
        <w:rPr>
          <w:sz w:val="18"/>
          <w:szCs w:val="18"/>
        </w:rPr>
        <w:t xml:space="preserve"> km/h</w:t>
      </w:r>
      <w:r>
        <w:rPr>
          <w:rFonts w:hint="eastAsia"/>
          <w:sz w:val="18"/>
          <w:szCs w:val="18"/>
        </w:rPr>
        <w:t>、3.57</w:t>
      </w:r>
      <w:r>
        <w:rPr>
          <w:sz w:val="18"/>
          <w:szCs w:val="18"/>
        </w:rPr>
        <w:t xml:space="preserve"> km/h。</w:t>
      </w:r>
    </w:p>
    <w:p w14:paraId="4B1F14E4">
      <w:pPr>
        <w:spacing w:line="360" w:lineRule="auto"/>
        <w:rPr>
          <w:sz w:val="24"/>
        </w:rPr>
      </w:pPr>
      <w:r>
        <w:rPr>
          <w:rFonts w:hint="eastAsia"/>
          <w:sz w:val="24"/>
        </w:rPr>
        <w:t>C.</w:t>
      </w:r>
      <w:r>
        <w:rPr>
          <w:rFonts w:ascii="Cambria Math" w:hAnsi="Cambria Math"/>
          <w:sz w:val="24"/>
        </w:rPr>
        <w:t>1.</w:t>
      </w:r>
      <w:r>
        <w:rPr>
          <w:sz w:val="24"/>
        </w:rPr>
        <w:t>7 扩展不确定度</w:t>
      </w:r>
    </w:p>
    <w:p w14:paraId="5C2571C3">
      <w:pPr>
        <w:spacing w:line="360" w:lineRule="auto"/>
        <w:ind w:firstLine="420"/>
        <w:rPr>
          <w:sz w:val="24"/>
        </w:rPr>
      </w:pPr>
      <w:r>
        <w:rPr>
          <w:sz w:val="24"/>
        </w:rPr>
        <w:t>取</w:t>
      </w:r>
      <w:r>
        <w:rPr>
          <w:i/>
          <w:iCs/>
          <w:sz w:val="24"/>
        </w:rPr>
        <w:t>k</w:t>
      </w:r>
      <w:r>
        <w:rPr>
          <w:sz w:val="24"/>
        </w:rPr>
        <w:t xml:space="preserve"> = 2，故扩展不确定度为：</w:t>
      </w:r>
    </w:p>
    <w:p w14:paraId="2CCFD1D9">
      <w:pPr>
        <w:spacing w:line="360" w:lineRule="auto"/>
        <w:ind w:firstLine="420"/>
        <w:jc w:val="center"/>
        <w:rPr>
          <w:sz w:val="24"/>
        </w:rPr>
      </w:pPr>
      <w:r>
        <w:rPr>
          <w:i/>
          <w:iCs/>
          <w:sz w:val="24"/>
        </w:rPr>
        <w:t>U</w:t>
      </w:r>
      <w:r>
        <w:rPr>
          <w:i/>
          <w:iCs/>
          <w:sz w:val="24"/>
          <w:vertAlign w:val="subscript"/>
        </w:rPr>
        <w:t>rel</w:t>
      </w:r>
      <w:r>
        <w:rPr>
          <w:sz w:val="24"/>
        </w:rPr>
        <w:t xml:space="preserve"> = </w:t>
      </w:r>
      <m:oMath>
        <m:r>
          <m:rPr/>
          <w:rPr>
            <w:rFonts w:ascii="Cambria Math" w:hAnsi="Cambria Math"/>
            <w:szCs w:val="21"/>
          </w:rPr>
          <m:t>u</m:t>
        </m:r>
        <m:d>
          <m:dPr>
            <m:ctrlPr>
              <w:rPr>
                <w:rFonts w:ascii="Cambria Math" w:hAnsi="Cambria Math"/>
                <w:szCs w:val="21"/>
              </w:rPr>
            </m:ctrlPr>
          </m:dPr>
          <m:e>
            <m:r>
              <m:rPr/>
              <w:rPr>
                <w:rFonts w:ascii="Cambria Math" w:hAnsi="Cambria Math"/>
                <w:szCs w:val="21"/>
              </w:rPr>
              <m:t>δ</m:t>
            </m:r>
            <m:ctrlPr>
              <w:rPr>
                <w:rFonts w:ascii="Cambria Math" w:hAnsi="Cambria Math"/>
                <w:szCs w:val="21"/>
              </w:rPr>
            </m:ctrlPr>
          </m:e>
        </m:d>
      </m:oMath>
      <w:r>
        <w:rPr>
          <w:sz w:val="24"/>
        </w:rPr>
        <w:t>×</w:t>
      </w:r>
      <w:r>
        <w:rPr>
          <w:i/>
          <w:iCs/>
          <w:sz w:val="24"/>
        </w:rPr>
        <w:t xml:space="preserve"> k</w:t>
      </w:r>
    </w:p>
    <w:p w14:paraId="7728557E">
      <w:pPr>
        <w:tabs>
          <w:tab w:val="left" w:pos="360"/>
        </w:tabs>
        <w:spacing w:line="300" w:lineRule="auto"/>
        <w:jc w:val="center"/>
        <w:rPr>
          <w:rFonts w:ascii="黑体" w:hAnsi="黑体" w:eastAsia="黑体"/>
          <w:kern w:val="0"/>
          <w:szCs w:val="21"/>
        </w:rPr>
      </w:pPr>
      <w:r>
        <w:rPr>
          <w:rFonts w:hint="eastAsia" w:ascii="黑体" w:hAnsi="黑体" w:eastAsia="黑体"/>
          <w:kern w:val="0"/>
          <w:szCs w:val="21"/>
        </w:rPr>
        <w:t>表C.2</w:t>
      </w:r>
      <w:r>
        <w:rPr>
          <w:rFonts w:ascii="黑体" w:hAnsi="黑体" w:eastAsia="黑体"/>
          <w:kern w:val="0"/>
          <w:szCs w:val="21"/>
        </w:rPr>
        <w:t>测量</w:t>
      </w:r>
      <w:r>
        <w:rPr>
          <w:rFonts w:hint="eastAsia" w:ascii="黑体" w:hAnsi="黑体" w:eastAsia="黑体"/>
          <w:kern w:val="0"/>
          <w:szCs w:val="21"/>
        </w:rPr>
        <w:t>结果</w:t>
      </w:r>
      <w:r>
        <w:rPr>
          <w:rFonts w:ascii="黑体" w:hAnsi="黑体" w:eastAsia="黑体"/>
          <w:kern w:val="0"/>
          <w:szCs w:val="21"/>
        </w:rPr>
        <w:t>扩展不确定度</w:t>
      </w:r>
      <w:r>
        <w:rPr>
          <w:rFonts w:hint="eastAsia" w:ascii="黑体" w:hAnsi="黑体" w:eastAsia="黑体"/>
          <w:kern w:val="0"/>
          <w:szCs w:val="21"/>
        </w:rPr>
        <w:t>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5464"/>
      </w:tblGrid>
      <w:tr w14:paraId="0EC2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vAlign w:val="center"/>
          </w:tcPr>
          <w:p w14:paraId="436029DC">
            <w:pPr>
              <w:jc w:val="center"/>
              <w:rPr>
                <w:szCs w:val="21"/>
              </w:rPr>
            </w:pPr>
            <w:r>
              <w:rPr>
                <w:szCs w:val="21"/>
              </w:rPr>
              <w:t>校准点（</w:t>
            </w:r>
            <w:r>
              <w:rPr>
                <w:sz w:val="24"/>
              </w:rPr>
              <w:t>km/h</w:t>
            </w:r>
            <w:r>
              <w:rPr>
                <w:szCs w:val="21"/>
              </w:rPr>
              <w:t>）</w:t>
            </w:r>
          </w:p>
        </w:tc>
        <w:tc>
          <w:tcPr>
            <w:tcW w:w="5464" w:type="dxa"/>
            <w:vAlign w:val="center"/>
          </w:tcPr>
          <w:p w14:paraId="1A14C03A">
            <w:pPr>
              <w:jc w:val="center"/>
              <w:rPr>
                <w:szCs w:val="21"/>
              </w:rPr>
            </w:pPr>
            <w:r>
              <w:rPr>
                <w:szCs w:val="21"/>
              </w:rPr>
              <w:t>不确定度</w:t>
            </w:r>
            <w:r>
              <w:rPr>
                <w:i/>
                <w:iCs/>
                <w:sz w:val="24"/>
              </w:rPr>
              <w:t>U</w:t>
            </w:r>
            <w:r>
              <w:rPr>
                <w:i/>
                <w:iCs/>
                <w:sz w:val="24"/>
                <w:vertAlign w:val="subscript"/>
              </w:rPr>
              <w:t>rel</w:t>
            </w:r>
            <w:r>
              <w:rPr>
                <w:szCs w:val="21"/>
              </w:rPr>
              <w:t>，</w:t>
            </w:r>
            <w:r>
              <w:rPr>
                <w:i/>
                <w:szCs w:val="21"/>
              </w:rPr>
              <w:t>k</w:t>
            </w:r>
            <w:r>
              <w:rPr>
                <w:szCs w:val="21"/>
              </w:rPr>
              <w:t>=2</w:t>
            </w:r>
          </w:p>
        </w:tc>
      </w:tr>
      <w:tr w14:paraId="1D9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vAlign w:val="center"/>
          </w:tcPr>
          <w:p w14:paraId="1677B134">
            <w:pPr>
              <w:jc w:val="center"/>
              <w:rPr>
                <w:szCs w:val="21"/>
              </w:rPr>
            </w:pPr>
            <w:r>
              <w:rPr>
                <w:szCs w:val="21"/>
              </w:rPr>
              <w:t>1.2</w:t>
            </w:r>
          </w:p>
        </w:tc>
        <w:tc>
          <w:tcPr>
            <w:tcW w:w="5464" w:type="dxa"/>
            <w:vAlign w:val="center"/>
          </w:tcPr>
          <w:p w14:paraId="77634261">
            <w:pPr>
              <w:jc w:val="center"/>
              <w:rPr>
                <w:szCs w:val="21"/>
              </w:rPr>
            </w:pPr>
            <w:r>
              <w:rPr>
                <w:szCs w:val="21"/>
              </w:rPr>
              <w:t>0.8%</w:t>
            </w:r>
          </w:p>
        </w:tc>
      </w:tr>
      <w:tr w14:paraId="0603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vAlign w:val="center"/>
          </w:tcPr>
          <w:p w14:paraId="6905FB98">
            <w:pPr>
              <w:jc w:val="center"/>
              <w:rPr>
                <w:szCs w:val="21"/>
              </w:rPr>
            </w:pPr>
            <w:r>
              <w:rPr>
                <w:szCs w:val="21"/>
              </w:rPr>
              <w:t>2.</w:t>
            </w:r>
            <w:r>
              <w:rPr>
                <w:rFonts w:hint="eastAsia"/>
                <w:szCs w:val="21"/>
              </w:rPr>
              <w:t>5</w:t>
            </w:r>
          </w:p>
        </w:tc>
        <w:tc>
          <w:tcPr>
            <w:tcW w:w="5464" w:type="dxa"/>
            <w:vAlign w:val="center"/>
          </w:tcPr>
          <w:p w14:paraId="5D2D1B48">
            <w:pPr>
              <w:jc w:val="center"/>
              <w:rPr>
                <w:szCs w:val="21"/>
              </w:rPr>
            </w:pPr>
            <w:r>
              <w:rPr>
                <w:szCs w:val="21"/>
              </w:rPr>
              <w:t>0.6%</w:t>
            </w:r>
          </w:p>
        </w:tc>
      </w:tr>
      <w:tr w14:paraId="39B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6" w:type="dxa"/>
            <w:vAlign w:val="center"/>
          </w:tcPr>
          <w:p w14:paraId="054258B2">
            <w:pPr>
              <w:jc w:val="center"/>
              <w:rPr>
                <w:szCs w:val="21"/>
              </w:rPr>
            </w:pPr>
            <w:r>
              <w:rPr>
                <w:szCs w:val="21"/>
              </w:rPr>
              <w:t>3.6</w:t>
            </w:r>
          </w:p>
        </w:tc>
        <w:tc>
          <w:tcPr>
            <w:tcW w:w="5464" w:type="dxa"/>
            <w:vAlign w:val="center"/>
          </w:tcPr>
          <w:p w14:paraId="2D47504C">
            <w:pPr>
              <w:jc w:val="center"/>
              <w:rPr>
                <w:szCs w:val="21"/>
              </w:rPr>
            </w:pPr>
            <w:r>
              <w:rPr>
                <w:szCs w:val="21"/>
              </w:rPr>
              <w:t>0.8%</w:t>
            </w:r>
          </w:p>
        </w:tc>
      </w:tr>
    </w:tbl>
    <w:p w14:paraId="40ED715C">
      <w:pPr>
        <w:spacing w:line="360" w:lineRule="auto"/>
        <w:ind w:firstLine="420"/>
        <w:rPr>
          <w:sz w:val="24"/>
        </w:rPr>
      </w:pPr>
    </w:p>
    <w:p w14:paraId="018AAD25">
      <w:pPr>
        <w:spacing w:line="360" w:lineRule="auto"/>
        <w:rPr>
          <w:sz w:val="24"/>
        </w:rPr>
      </w:pPr>
      <w:r>
        <w:rPr>
          <w:sz w:val="24"/>
        </w:rPr>
        <w:t>C</w:t>
      </w:r>
      <w:r>
        <w:rPr>
          <w:rFonts w:hint="eastAsia"/>
          <w:sz w:val="24"/>
        </w:rPr>
        <w:t>.</w:t>
      </w:r>
      <w:r>
        <w:rPr>
          <w:sz w:val="24"/>
        </w:rPr>
        <w:t>2</w:t>
      </w:r>
      <w:r>
        <w:rPr>
          <w:rFonts w:hint="eastAsia"/>
          <w:sz w:val="24"/>
        </w:rPr>
        <w:t>汽车制动滑移率测量装置滑移率示值误差不确定度评定</w:t>
      </w:r>
    </w:p>
    <w:p w14:paraId="3277F28B">
      <w:pPr>
        <w:spacing w:line="360" w:lineRule="auto"/>
        <w:rPr>
          <w:sz w:val="24"/>
        </w:rPr>
      </w:pPr>
      <w:r>
        <w:rPr>
          <w:rFonts w:hint="eastAsia"/>
          <w:sz w:val="24"/>
        </w:rPr>
        <w:t>C.</w:t>
      </w:r>
      <w:r>
        <w:rPr>
          <w:sz w:val="24"/>
        </w:rPr>
        <w:t>2.1</w:t>
      </w:r>
      <w:r>
        <w:rPr>
          <w:rFonts w:hint="eastAsia"/>
          <w:sz w:val="24"/>
        </w:rPr>
        <w:t xml:space="preserve"> 概述</w:t>
      </w:r>
    </w:p>
    <w:p w14:paraId="387A9EB4">
      <w:pPr>
        <w:spacing w:line="360" w:lineRule="auto"/>
        <w:ind w:firstLine="480" w:firstLineChars="200"/>
        <w:rPr>
          <w:rFonts w:hint="eastAsia" w:ascii="Cambria Math" w:hAnsi="Cambria Math"/>
          <w:color w:val="000000" w:themeColor="text1"/>
          <w:sz w:val="24"/>
          <w:highlight w:val="none"/>
          <w14:textFill>
            <w14:solidFill>
              <w14:schemeClr w14:val="tx1"/>
            </w14:solidFill>
          </w14:textFill>
        </w:rPr>
      </w:pPr>
      <w:r>
        <w:rPr>
          <w:rFonts w:hint="eastAsia" w:ascii="Cambria Math" w:hAnsi="Cambria Math"/>
          <w:sz w:val="24"/>
        </w:rPr>
        <w:t>依照本校准规范中滑移率示值误差的校准方法，</w:t>
      </w:r>
      <w:r>
        <w:rPr>
          <w:rFonts w:hint="eastAsia"/>
          <w:sz w:val="24"/>
        </w:rPr>
        <w:t>将校准装置电流的开关信号接在滑移率测</w:t>
      </w:r>
      <w:r>
        <w:rPr>
          <w:rFonts w:hint="eastAsia"/>
          <w:color w:val="000000" w:themeColor="text1"/>
          <w:sz w:val="24"/>
          <w:highlight w:val="none"/>
          <w14:textFill>
            <w14:solidFill>
              <w14:schemeClr w14:val="tx1"/>
            </w14:solidFill>
          </w14:textFill>
        </w:rPr>
        <w:t>量装置上，驱动滚轮和测量滚轮紧贴校准装置测量滚筒，以此来测量滑移率示值误差</w:t>
      </w:r>
      <w:r>
        <w:rPr>
          <w:rFonts w:hint="eastAsia" w:ascii="Cambria Math" w:hAnsi="Cambria Math"/>
          <w:color w:val="000000" w:themeColor="text1"/>
          <w:sz w:val="24"/>
          <w:highlight w:val="none"/>
          <w14:textFill>
            <w14:solidFill>
              <w14:schemeClr w14:val="tx1"/>
            </w14:solidFill>
          </w14:textFill>
        </w:rPr>
        <w:t>。以</w:t>
      </w:r>
      <w:r>
        <w:rPr>
          <w:rFonts w:hint="eastAsia"/>
          <w:color w:val="000000" w:themeColor="text1"/>
          <w:sz w:val="24"/>
          <w:highlight w:val="none"/>
          <w14:textFill>
            <w14:solidFill>
              <w14:schemeClr w14:val="tx1"/>
            </w14:solidFill>
          </w14:textFill>
        </w:rPr>
        <w:t>30%</w:t>
      </w:r>
      <w:r>
        <w:rPr>
          <w:rFonts w:hint="eastAsia" w:ascii="Cambria Math" w:hAnsi="Cambria Math"/>
          <w:color w:val="000000" w:themeColor="text1"/>
          <w:sz w:val="24"/>
          <w:highlight w:val="none"/>
          <w14:textFill>
            <w14:solidFill>
              <w14:schemeClr w14:val="tx1"/>
            </w14:solidFill>
          </w14:textFill>
        </w:rPr>
        <w:t>校准点为例进行不确定度分析。</w:t>
      </w:r>
    </w:p>
    <w:p w14:paraId="22F71C3C">
      <w:pPr>
        <w:spacing w:line="360" w:lineRule="auto"/>
        <w:rPr>
          <w:rFonts w:hint="eastAsia" w:ascii="Cambria Math" w:hAnsi="Cambria Math"/>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C.2.</w:t>
      </w:r>
      <w:r>
        <w:rPr>
          <w:rFonts w:ascii="Cambria Math" w:hAnsi="Cambria Math"/>
          <w:color w:val="000000" w:themeColor="text1"/>
          <w:sz w:val="24"/>
          <w:highlight w:val="none"/>
          <w14:textFill>
            <w14:solidFill>
              <w14:schemeClr w14:val="tx1"/>
            </w14:solidFill>
          </w14:textFill>
        </w:rPr>
        <w:t>2</w:t>
      </w:r>
      <w:r>
        <w:rPr>
          <w:rFonts w:hint="eastAsia" w:ascii="Cambria Math" w:hAnsi="Cambria Math"/>
          <w:color w:val="000000" w:themeColor="text1"/>
          <w:sz w:val="24"/>
          <w:highlight w:val="none"/>
          <w14:textFill>
            <w14:solidFill>
              <w14:schemeClr w14:val="tx1"/>
            </w14:solidFill>
          </w14:textFill>
        </w:rPr>
        <w:t xml:space="preserve"> 测量模型</w:t>
      </w:r>
    </w:p>
    <w:p w14:paraId="2F245CFD">
      <w:pPr>
        <w:spacing w:line="360" w:lineRule="auto"/>
        <w:ind w:firstLine="420"/>
        <w:jc w:val="center"/>
        <w:rPr>
          <w:color w:val="000000" w:themeColor="text1"/>
          <w:sz w:val="24"/>
          <w:highlight w:val="none"/>
          <w14:textFill>
            <w14:solidFill>
              <w14:schemeClr w14:val="tx1"/>
            </w14:solidFill>
          </w14:textFill>
        </w:rPr>
      </w:pPr>
      <m:oMathPara>
        <m:oMath>
          <m:r>
            <m:rPr/>
            <w:rPr>
              <w:rFonts w:ascii="Cambria Math" w:hAnsi="Cambria Math"/>
              <w:color w:val="000000" w:themeColor="text1"/>
              <w:sz w:val="24"/>
              <w:highlight w:val="none"/>
              <w14:textFill>
                <w14:solidFill>
                  <w14:schemeClr w14:val="tx1"/>
                </w14:solidFill>
              </w14:textFill>
            </w:rPr>
            <m:t>∆</m:t>
          </m:r>
          <m:r>
            <m:rPr>
              <m:sty m:val="p"/>
            </m:rPr>
            <w:rPr>
              <w:rFonts w:hint="eastAsia" w:ascii="Cambria Math" w:hAnsi="Cambria Math"/>
              <w:color w:val="000000" w:themeColor="text1"/>
              <w:sz w:val="24"/>
              <w:highlight w:val="none"/>
              <w14:textFill>
                <w14:solidFill>
                  <w14:schemeClr w14:val="tx1"/>
                </w14:solidFill>
              </w14:textFill>
            </w:rPr>
            <m:t>=</m:t>
          </m:r>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r>
            <m:rPr>
              <m:sty m:val="p"/>
            </m:rPr>
            <w:rPr>
              <w:rFonts w:ascii="Cambria Math" w:hAnsi="Cambria Math"/>
              <w:color w:val="000000" w:themeColor="text1"/>
              <w:sz w:val="24"/>
              <w:highlight w:val="none"/>
              <w14:textFill>
                <w14:solidFill>
                  <w14:schemeClr w14:val="tx1"/>
                </w14:solidFill>
              </w14:textFill>
            </w:rPr>
            <m:t>−</m:t>
          </m:r>
          <m:r>
            <m:rPr>
              <m:sty m:val="p"/>
            </m:rPr>
            <w:rPr>
              <w:rFonts w:ascii="Cambria Math" w:hAnsi="Cambria Math" w:cs="Cambria Math"/>
              <w:color w:val="000000" w:themeColor="text1"/>
              <w:sz w:val="24"/>
              <w:highlight w:val="none"/>
              <w14:textFill>
                <w14:solidFill>
                  <w14:schemeClr w14:val="tx1"/>
                </w14:solidFill>
              </w14:textFill>
            </w:rPr>
            <m:t>ε</m:t>
          </m:r>
        </m:oMath>
      </m:oMathPara>
    </w:p>
    <w:p w14:paraId="41C1D344">
      <w:pPr>
        <w:pStyle w:val="52"/>
        <w:spacing w:line="400" w:lineRule="exact"/>
        <w:ind w:firstLine="480"/>
        <w:rPr>
          <w:color w:val="000000" w:themeColor="text1"/>
          <w:sz w:val="24"/>
          <w:highlight w:val="none"/>
          <w14:textFill>
            <w14:solidFill>
              <w14:schemeClr w14:val="tx1"/>
            </w14:solidFill>
          </w14:textFill>
        </w:rPr>
      </w:pPr>
      <m:oMath>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oMath>
      <w:r>
        <w:rPr>
          <w:rFonts w:hint="eastAsia"/>
          <w:color w:val="000000" w:themeColor="text1"/>
          <w:sz w:val="24"/>
          <w:highlight w:val="none"/>
          <w14:textFill>
            <w14:solidFill>
              <w14:schemeClr w14:val="tx1"/>
            </w14:solidFill>
          </w14:textFill>
        </w:rPr>
        <w:t>——第i测量点</w:t>
      </w:r>
      <w:r>
        <w:rPr>
          <w:rFonts w:hint="eastAsia" w:ascii="Times New Roman"/>
          <w:color w:val="000000" w:themeColor="text1"/>
          <w:kern w:val="2"/>
          <w:sz w:val="24"/>
          <w:szCs w:val="24"/>
          <w:highlight w:val="none"/>
          <w14:textFill>
            <w14:solidFill>
              <w14:schemeClr w14:val="tx1"/>
            </w14:solidFill>
          </w14:textFill>
        </w:rPr>
        <w:t>停机时刻滑移率测量装置显示的滑移率</w:t>
      </w:r>
      <w:r>
        <w:rPr>
          <w:rFonts w:hint="eastAsia"/>
          <w:color w:val="000000" w:themeColor="text1"/>
          <w:sz w:val="24"/>
          <w:highlight w:val="none"/>
          <w14:textFill>
            <w14:solidFill>
              <w14:schemeClr w14:val="tx1"/>
            </w14:solidFill>
          </w14:textFill>
        </w:rPr>
        <w:t>，单位为（%）；</w:t>
      </w:r>
    </w:p>
    <w:p w14:paraId="4D41D831">
      <w:pPr>
        <w:pStyle w:val="52"/>
        <w:spacing w:line="400" w:lineRule="exact"/>
        <w:ind w:firstLine="480"/>
        <w:rPr>
          <w:color w:val="000000" w:themeColor="text1"/>
          <w:sz w:val="24"/>
          <w:highlight w:val="none"/>
          <w14:textFill>
            <w14:solidFill>
              <w14:schemeClr w14:val="tx1"/>
            </w14:solidFill>
          </w14:textFill>
        </w:rPr>
      </w:pPr>
      <m:oMath>
        <m:r>
          <m:rPr>
            <m:sty m:val="p"/>
          </m:rPr>
          <w:rPr>
            <w:rFonts w:ascii="Cambria Math" w:hAnsi="Cambria Math" w:cs="Cambria Math"/>
            <w:color w:val="000000" w:themeColor="text1"/>
            <w:sz w:val="24"/>
            <w:highlight w:val="none"/>
            <w14:textFill>
              <w14:solidFill>
                <w14:schemeClr w14:val="tx1"/>
              </w14:solidFill>
            </w14:textFill>
          </w:rPr>
          <m:t>ε</m:t>
        </m:r>
      </m:oMath>
      <w:r>
        <w:rPr>
          <w:rFonts w:hint="eastAsia"/>
          <w:color w:val="000000" w:themeColor="text1"/>
          <w:sz w:val="24"/>
          <w:highlight w:val="none"/>
          <w14:textFill>
            <w14:solidFill>
              <w14:schemeClr w14:val="tx1"/>
            </w14:solidFill>
          </w14:textFill>
        </w:rPr>
        <w:t>——第i测量点</w:t>
      </w:r>
      <w:r>
        <w:rPr>
          <w:rFonts w:hint="eastAsia" w:ascii="Times New Roman"/>
          <w:color w:val="000000" w:themeColor="text1"/>
          <w:kern w:val="2"/>
          <w:sz w:val="24"/>
          <w:szCs w:val="24"/>
          <w:highlight w:val="none"/>
          <w14:textFill>
            <w14:solidFill>
              <w14:schemeClr w14:val="tx1"/>
            </w14:solidFill>
          </w14:textFill>
        </w:rPr>
        <w:t>停机时刻校准装置测得的滑移率</w:t>
      </w:r>
      <w:r>
        <w:rPr>
          <w:rFonts w:hint="eastAsia"/>
          <w:color w:val="000000" w:themeColor="text1"/>
          <w:sz w:val="24"/>
          <w:highlight w:val="none"/>
          <w14:textFill>
            <w14:solidFill>
              <w14:schemeClr w14:val="tx1"/>
            </w14:solidFill>
          </w14:textFill>
        </w:rPr>
        <w:t>，单位为（%）；</w:t>
      </w:r>
    </w:p>
    <w:p w14:paraId="2271E7F9">
      <w:pPr>
        <w:pStyle w:val="147"/>
        <w:rPr>
          <w:rFonts w:hint="eastAsia" w:ascii="Cambria Math" w:hAnsi="Cambria Math" w:eastAsiaTheme="minorEastAsia"/>
          <w:color w:val="000000" w:themeColor="text1"/>
          <w:szCs w:val="22"/>
          <w:highlight w:val="none"/>
          <w14:textFill>
            <w14:solidFill>
              <w14:schemeClr w14:val="tx1"/>
            </w14:solidFill>
          </w14:textFill>
        </w:rPr>
      </w:pPr>
      <w:r>
        <w:rPr>
          <w:rFonts w:hint="eastAsia" w:ascii="Cambria Math" w:hAnsi="Cambria Math" w:eastAsiaTheme="minorEastAsia"/>
          <w:color w:val="000000" w:themeColor="text1"/>
          <w:szCs w:val="22"/>
          <w:highlight w:val="none"/>
          <w14:textFill>
            <w14:solidFill>
              <w14:schemeClr w14:val="tx1"/>
            </w14:solidFill>
          </w14:textFill>
        </w:rPr>
        <w:t>C.2.3</w:t>
      </w:r>
      <w:r>
        <w:rPr>
          <w:rFonts w:ascii="Cambria Math" w:hAnsi="Cambria Math" w:eastAsiaTheme="minorEastAsia"/>
          <w:color w:val="000000" w:themeColor="text1"/>
          <w:szCs w:val="22"/>
          <w:highlight w:val="none"/>
          <w14:textFill>
            <w14:solidFill>
              <w14:schemeClr w14:val="tx1"/>
            </w14:solidFill>
          </w14:textFill>
        </w:rPr>
        <w:t xml:space="preserve"> 方差和</w:t>
      </w:r>
      <w:r>
        <w:rPr>
          <w:rFonts w:hint="eastAsia" w:ascii="Cambria Math" w:hAnsi="Cambria Math" w:eastAsiaTheme="minorEastAsia"/>
          <w:color w:val="000000" w:themeColor="text1"/>
          <w:szCs w:val="22"/>
          <w:highlight w:val="none"/>
          <w14:textFill>
            <w14:solidFill>
              <w14:schemeClr w14:val="tx1"/>
            </w14:solidFill>
          </w14:textFill>
        </w:rPr>
        <w:t>灵敏系数</w:t>
      </w:r>
    </w:p>
    <w:p w14:paraId="37FE679E">
      <w:pPr>
        <w:pStyle w:val="147"/>
        <w:ind w:firstLine="480" w:firstLineChars="200"/>
        <w:rPr>
          <w:rFonts w:hint="eastAsia" w:ascii="Cambria Math" w:hAnsi="Cambria Math"/>
          <w:color w:val="000000" w:themeColor="text1"/>
          <w:highlight w:val="none"/>
          <w14:textFill>
            <w14:solidFill>
              <w14:schemeClr w14:val="tx1"/>
            </w14:solidFill>
          </w14:textFill>
        </w:rPr>
      </w:pPr>
      <m:oMath>
        <m:sSub>
          <m:sSubPr>
            <m:ctrlPr>
              <w:rPr>
                <w:rFonts w:ascii="Cambria Math" w:hAnsi="Cambria Math"/>
                <w:color w:val="000000" w:themeColor="text1"/>
                <w:highlight w:val="none"/>
                <w14:textFill>
                  <w14:solidFill>
                    <w14:schemeClr w14:val="tx1"/>
                  </w14:solidFill>
                </w14:textFill>
              </w:rPr>
            </m:ctrlPr>
          </m:sSubPr>
          <m:e>
            <m:r>
              <m:rPr>
                <m:sty m:val="p"/>
              </m:rPr>
              <w:rPr>
                <w:rFonts w:ascii="Cambria Math" w:hAnsi="Cambria Math" w:cs="Cambria Math"/>
                <w:color w:val="000000" w:themeColor="text1"/>
                <w:highlight w:val="none"/>
                <w14:textFill>
                  <w14:solidFill>
                    <w14:schemeClr w14:val="tx1"/>
                  </w14:solidFill>
                </w14:textFill>
              </w:rPr>
              <m:t>ε</m:t>
            </m:r>
            <m:ctrlPr>
              <w:rPr>
                <w:rFonts w:ascii="Cambria Math" w:hAnsi="Cambria Math"/>
                <w:color w:val="000000" w:themeColor="text1"/>
                <w:highlight w:val="none"/>
                <w14:textFill>
                  <w14:solidFill>
                    <w14:schemeClr w14:val="tx1"/>
                  </w14:solidFill>
                </w14:textFill>
              </w:rPr>
            </m:ctrlPr>
          </m:e>
          <m:sub>
            <m:r>
              <m:rPr>
                <m:sty m:val="p"/>
              </m:rPr>
              <w:rPr>
                <w:rFonts w:hint="eastAsia" w:ascii="Cambria Math" w:hAnsi="Cambria Math"/>
                <w:color w:val="000000" w:themeColor="text1"/>
                <w:highlight w:val="none"/>
                <w14:textFill>
                  <w14:solidFill>
                    <w14:schemeClr w14:val="tx1"/>
                  </w14:solidFill>
                </w14:textFill>
              </w:rPr>
              <m:t>i</m:t>
            </m:r>
            <m:ctrlPr>
              <w:rPr>
                <w:rFonts w:ascii="Cambria Math" w:hAnsi="Cambria Math"/>
                <w:color w:val="000000" w:themeColor="text1"/>
                <w:highlight w:val="none"/>
                <w14:textFill>
                  <w14:solidFill>
                    <w14:schemeClr w14:val="tx1"/>
                  </w14:solidFill>
                </w14:textFill>
              </w:rPr>
            </m:ctrlPr>
          </m:sub>
        </m:sSub>
      </m:oMath>
      <w:r>
        <w:rPr>
          <w:rFonts w:ascii="Cambria Math" w:hAnsi="Cambria Math" w:eastAsiaTheme="minorEastAsia"/>
          <w:color w:val="000000" w:themeColor="text1"/>
          <w:szCs w:val="22"/>
          <w:highlight w:val="none"/>
          <w14:textFill>
            <w14:solidFill>
              <w14:schemeClr w14:val="tx1"/>
            </w14:solidFill>
          </w14:textFill>
        </w:rPr>
        <w:t>和</w:t>
      </w:r>
      <m:oMath>
        <m:r>
          <m:rPr>
            <m:sty m:val="p"/>
          </m:rPr>
          <w:rPr>
            <w:rFonts w:ascii="Cambria Math" w:hAnsi="Cambria Math" w:cs="Cambria Math"/>
            <w:color w:val="000000" w:themeColor="text1"/>
            <w:highlight w:val="none"/>
            <w14:textFill>
              <w14:solidFill>
                <w14:schemeClr w14:val="tx1"/>
              </w14:solidFill>
            </w14:textFill>
          </w:rPr>
          <m:t>ε</m:t>
        </m:r>
      </m:oMath>
      <w:r>
        <w:rPr>
          <w:rFonts w:ascii="Cambria Math" w:hAnsi="Cambria Math" w:eastAsiaTheme="minorEastAsia"/>
          <w:color w:val="000000" w:themeColor="text1"/>
          <w:szCs w:val="22"/>
          <w:highlight w:val="none"/>
          <w14:textFill>
            <w14:solidFill>
              <w14:schemeClr w14:val="tx1"/>
            </w14:solidFill>
          </w14:textFill>
        </w:rPr>
        <w:t>两者之间相互独立，</w:t>
      </w:r>
      <w:r>
        <w:rPr>
          <w:rFonts w:hint="eastAsia" w:ascii="Cambria Math" w:hAnsi="Cambria Math"/>
          <w:color w:val="000000" w:themeColor="text1"/>
          <w:highlight w:val="none"/>
          <w14:textFill>
            <w14:solidFill>
              <w14:schemeClr w14:val="tx1"/>
            </w14:solidFill>
          </w14:textFill>
        </w:rPr>
        <w:t>依据不确定度传播律合成标准不确定度公式：</w:t>
      </w:r>
    </w:p>
    <w:p w14:paraId="40097433">
      <w:pPr>
        <w:spacing w:line="360" w:lineRule="auto"/>
        <w:jc w:val="center"/>
        <w:rPr>
          <w:color w:val="000000" w:themeColor="text1"/>
          <w:sz w:val="24"/>
          <w:highlight w:val="none"/>
          <w14:textFill>
            <w14:solidFill>
              <w14:schemeClr w14:val="tx1"/>
            </w14:solidFill>
          </w14:textFill>
        </w:rPr>
      </w:pPr>
      <m:oMath>
        <m:sSup>
          <m:sSupPr>
            <m:ctrlPr>
              <w:rPr>
                <w:rFonts w:ascii="Cambria Math" w:hAnsi="Cambria Math"/>
                <w:color w:val="000000" w:themeColor="text1"/>
                <w:sz w:val="24"/>
                <w:highlight w:val="none"/>
                <w14:textFill>
                  <w14:solidFill>
                    <w14:schemeClr w14:val="tx1"/>
                  </w14:solidFill>
                </w14:textFill>
              </w:rPr>
            </m:ctrlPr>
          </m:sSup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p>
        <m:d>
          <m:dPr>
            <m:ctrlPr>
              <w:rPr>
                <w:rFonts w:ascii="Cambria Math" w:hAnsi="Cambria Math"/>
                <w:color w:val="000000" w:themeColor="text1"/>
                <w:sz w:val="24"/>
                <w:highlight w:val="none"/>
                <w14:textFill>
                  <w14:solidFill>
                    <w14:schemeClr w14:val="tx1"/>
                  </w14:solidFill>
                </w14:textFill>
              </w:rPr>
            </m:ctrlPr>
          </m:dPr>
          <m:e>
            <m:r>
              <m:rPr/>
              <w:rPr>
                <w:rFonts w:ascii="Cambria Math" w:hAnsi="Cambria Math"/>
                <w:color w:val="000000" w:themeColor="text1"/>
                <w:sz w:val="24"/>
                <w:highlight w:val="none"/>
                <w14:textFill>
                  <w14:solidFill>
                    <w14:schemeClr w14:val="tx1"/>
                  </w14:solidFill>
                </w14:textFill>
              </w:rPr>
              <m:t>∆</m:t>
            </m:r>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 </w:t>
      </w:r>
      <m:oMath>
        <m:sSup>
          <m:sSupPr>
            <m:ctrlPr>
              <w:rPr>
                <w:rFonts w:ascii="Cambria Math" w:hAnsi="Cambria Math"/>
                <w:color w:val="000000" w:themeColor="text1"/>
                <w:sz w:val="24"/>
                <w:highlight w:val="none"/>
                <w14:textFill>
                  <w14:solidFill>
                    <w14:schemeClr w14:val="tx1"/>
                  </w14:solidFill>
                </w14:textFill>
              </w:rPr>
            </m:ctrlPr>
          </m:sSupPr>
          <m:e>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ctrlPr>
              <w:rPr>
                <w:rFonts w:ascii="Cambria Math" w:hAnsi="Cambria Math"/>
                <w:color w:val="000000" w:themeColor="text1"/>
                <w:sz w:val="24"/>
                <w:highlight w:val="none"/>
                <w14:textFill>
                  <w14:solidFill>
                    <w14:schemeClr w14:val="tx1"/>
                  </w14:solidFill>
                </w14:textFill>
              </w:rPr>
            </m:ctrlPr>
          </m:e>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p>
      </m:oMath>
      <w:r>
        <w:rPr>
          <w:color w:val="000000" w:themeColor="text1"/>
          <w:sz w:val="24"/>
          <w:highlight w:val="none"/>
          <w14:textFill>
            <w14:solidFill>
              <w14:schemeClr w14:val="tx1"/>
            </w14:solidFill>
          </w14:textFill>
        </w:rPr>
        <w:t>×</w:t>
      </w:r>
      <m:oMath>
        <m:sSup>
          <m:sSupPr>
            <m:ctrlPr>
              <w:rPr>
                <w:rFonts w:ascii="Cambria Math" w:hAnsi="Cambria Math"/>
                <w:color w:val="000000" w:themeColor="text1"/>
                <w:sz w:val="24"/>
                <w:highlight w:val="none"/>
                <w14:textFill>
                  <w14:solidFill>
                    <w14:schemeClr w14:val="tx1"/>
                  </w14:solidFill>
                </w14:textFill>
              </w:rPr>
            </m:ctrlPr>
          </m:sSup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p>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w:t>
      </w:r>
      <m:oMath>
        <m:sSup>
          <m:sSupPr>
            <m:ctrlPr>
              <w:rPr>
                <w:rFonts w:ascii="Cambria Math" w:hAnsi="Cambria Math"/>
                <w:color w:val="000000" w:themeColor="text1"/>
                <w:sz w:val="24"/>
                <w:highlight w:val="none"/>
                <w14:textFill>
                  <w14:solidFill>
                    <w14:schemeClr w14:val="tx1"/>
                  </w14:solidFill>
                </w14:textFill>
              </w:rPr>
            </m:ctrlPr>
          </m:sSupPr>
          <m:e>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ctrlPr>
              <w:rPr>
                <w:rFonts w:ascii="Cambria Math" w:hAnsi="Cambria Math"/>
                <w:color w:val="000000" w:themeColor="text1"/>
                <w:sz w:val="24"/>
                <w:highlight w:val="none"/>
                <w14:textFill>
                  <w14:solidFill>
                    <w14:schemeClr w14:val="tx1"/>
                  </w14:solidFill>
                </w14:textFill>
              </w:rPr>
            </m:ctrlPr>
          </m:e>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p>
      </m:oMath>
      <w:r>
        <w:rPr>
          <w:color w:val="000000" w:themeColor="text1"/>
          <w:sz w:val="24"/>
          <w:highlight w:val="none"/>
          <w14:textFill>
            <w14:solidFill>
              <w14:schemeClr w14:val="tx1"/>
            </w14:solidFill>
          </w14:textFill>
        </w:rPr>
        <w:t>×</w:t>
      </w:r>
      <m:oMath>
        <m:sSup>
          <m:sSupPr>
            <m:ctrlPr>
              <w:rPr>
                <w:rFonts w:ascii="Cambria Math" w:hAnsi="Cambria Math"/>
                <w:color w:val="000000" w:themeColor="text1"/>
                <w:sz w:val="24"/>
                <w:highlight w:val="none"/>
                <w14:textFill>
                  <w14:solidFill>
                    <w14:schemeClr w14:val="tx1"/>
                  </w14:solidFill>
                </w14:textFill>
              </w:rPr>
            </m:ctrlPr>
          </m:sSup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p>
        <m:d>
          <m:dPr>
            <m:ctrlPr>
              <w:rPr>
                <w:rFonts w:ascii="Cambria Math" w:hAnsi="Cambria Math"/>
                <w:color w:val="000000" w:themeColor="text1"/>
                <w:sz w:val="24"/>
                <w:highlight w:val="none"/>
                <w14:textFill>
                  <w14:solidFill>
                    <w14:schemeClr w14:val="tx1"/>
                  </w14:solidFill>
                </w14:textFill>
              </w:rPr>
            </m:ctrlPr>
          </m:d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d>
      </m:oMath>
    </w:p>
    <w:p w14:paraId="0B0DB07C">
      <w:pPr>
        <w:spacing w:line="360" w:lineRule="auto"/>
        <w:jc w:val="center"/>
        <w:rPr>
          <w:color w:val="000000" w:themeColor="text1"/>
          <w:sz w:val="24"/>
          <w:highlight w:val="none"/>
          <w14:textFill>
            <w14:solidFill>
              <w14:schemeClr w14:val="tx1"/>
            </w14:solidFill>
          </w14:textFill>
        </w:rPr>
      </w:pP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oMath>
      <w:r>
        <w:rPr>
          <w:color w:val="000000" w:themeColor="text1"/>
          <w:sz w:val="24"/>
          <w:highlight w:val="none"/>
          <w14:textFill>
            <w14:solidFill>
              <w14:schemeClr w14:val="tx1"/>
            </w14:solidFill>
          </w14:textFill>
        </w:rPr>
        <w:t>=</w:t>
      </w:r>
      <m:oMath>
        <m:r>
          <m:rPr/>
          <w:rPr>
            <w:rFonts w:ascii="Cambria Math" w:hAnsi="Cambria Math"/>
            <w:color w:val="000000" w:themeColor="text1"/>
            <w:sz w:val="24"/>
            <w:highlight w:val="none"/>
            <w14:textFill>
              <w14:solidFill>
                <w14:schemeClr w14:val="tx1"/>
              </w14:solidFill>
            </w14:textFill>
          </w:rPr>
          <m:t>∂δ</m:t>
        </m:r>
        <m:r>
          <m:rPr>
            <m:sty m:val="p"/>
          </m:rPr>
          <w:rPr>
            <w:rFonts w:ascii="Cambria Math" w:hAnsi="Cambria Math"/>
            <w:color w:val="000000" w:themeColor="text1"/>
            <w:sz w:val="24"/>
            <w:highlight w:val="none"/>
            <w14:textFill>
              <w14:solidFill>
                <w14:schemeClr w14:val="tx1"/>
              </w14:solidFill>
            </w14:textFill>
          </w:rPr>
          <m:t>/</m:t>
        </m:r>
        <m:r>
          <m:rPr/>
          <w:rPr>
            <w:rFonts w:ascii="Cambria Math" w:hAnsi="Cambria Math"/>
            <w:color w:val="000000" w:themeColor="text1"/>
            <w:sz w:val="24"/>
            <w:highlight w:val="none"/>
            <w14:textFill>
              <w14:solidFill>
                <w14:schemeClr w14:val="tx1"/>
              </w14:solidFill>
            </w14:textFill>
          </w:rPr>
          <m:t>∂</m:t>
        </m:r>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oMath>
      <w:r>
        <w:rPr>
          <w:color w:val="000000" w:themeColor="text1"/>
          <w:sz w:val="24"/>
          <w:highlight w:val="none"/>
          <w14:textFill>
            <w14:solidFill>
              <w14:schemeClr w14:val="tx1"/>
            </w14:solidFill>
          </w14:textFill>
        </w:rPr>
        <w:t>=</w:t>
      </w:r>
      <m:oMath>
        <m:r>
          <m:rPr>
            <m:sty m:val="p"/>
          </m:rPr>
          <w:rPr>
            <w:rFonts w:ascii="Cambria Math" w:hAnsi="Cambria Math"/>
            <w:color w:val="000000" w:themeColor="text1"/>
            <w:sz w:val="24"/>
            <w:highlight w:val="none"/>
            <w14:textFill>
              <w14:solidFill>
                <w14:schemeClr w14:val="tx1"/>
              </w14:solidFill>
            </w14:textFill>
          </w:rPr>
          <m:t xml:space="preserve"> </m:t>
        </m:r>
      </m:oMath>
      <w:r>
        <w:rPr>
          <w:rFonts w:hint="eastAsia"/>
          <w:color w:val="000000" w:themeColor="text1"/>
          <w:sz w:val="24"/>
          <w:highlight w:val="none"/>
          <w14:textFill>
            <w14:solidFill>
              <w14:schemeClr w14:val="tx1"/>
            </w14:solidFill>
          </w14:textFill>
        </w:rPr>
        <w:t>1</w:t>
      </w:r>
    </w:p>
    <w:p w14:paraId="6C944F5E">
      <w:pPr>
        <w:spacing w:line="360" w:lineRule="auto"/>
        <w:jc w:val="center"/>
        <w:rPr>
          <w:color w:val="000000" w:themeColor="text1"/>
          <w:sz w:val="24"/>
          <w:highlight w:val="none"/>
          <w14:textFill>
            <w14:solidFill>
              <w14:schemeClr w14:val="tx1"/>
            </w14:solidFill>
          </w14:textFill>
        </w:rPr>
      </w:pP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b>
        </m:sSub>
      </m:oMath>
      <w:r>
        <w:rPr>
          <w:color w:val="000000" w:themeColor="text1"/>
          <w:sz w:val="24"/>
          <w:highlight w:val="none"/>
          <w14:textFill>
            <w14:solidFill>
              <w14:schemeClr w14:val="tx1"/>
            </w14:solidFill>
          </w14:textFill>
        </w:rPr>
        <w:t>=</w:t>
      </w:r>
      <m:oMath>
        <m:r>
          <m:rPr/>
          <w:rPr>
            <w:rFonts w:ascii="Cambria Math" w:hAnsi="Cambria Math"/>
            <w:color w:val="000000" w:themeColor="text1"/>
            <w:sz w:val="24"/>
            <w:highlight w:val="none"/>
            <w14:textFill>
              <w14:solidFill>
                <w14:schemeClr w14:val="tx1"/>
              </w14:solidFill>
            </w14:textFill>
          </w:rPr>
          <m:t>∂δ</m:t>
        </m:r>
        <m:r>
          <m:rPr>
            <m:sty m:val="p"/>
          </m:rPr>
          <w:rPr>
            <w:rFonts w:ascii="Cambria Math" w:hAnsi="Cambria Math"/>
            <w:color w:val="000000" w:themeColor="text1"/>
            <w:sz w:val="24"/>
            <w:highlight w:val="none"/>
            <w14:textFill>
              <w14:solidFill>
                <w14:schemeClr w14:val="tx1"/>
              </w14:solidFill>
            </w14:textFill>
          </w:rPr>
          <m:t>/</m:t>
        </m:r>
        <m:r>
          <m:rPr/>
          <w:rPr>
            <w:rFonts w:ascii="Cambria Math" w:hAnsi="Cambria Math"/>
            <w:color w:val="000000" w:themeColor="text1"/>
            <w:sz w:val="24"/>
            <w:highlight w:val="none"/>
            <w14:textFill>
              <w14:solidFill>
                <w14:schemeClr w14:val="tx1"/>
              </w14:solidFill>
            </w14:textFill>
          </w:rPr>
          <m:t>∂</m:t>
        </m:r>
        <m:r>
          <m:rPr>
            <m:sty m:val="p"/>
          </m:rPr>
          <w:rPr>
            <w:rFonts w:ascii="Cambria Math" w:hAnsi="Cambria Math" w:cs="Cambria Math"/>
            <w:color w:val="000000" w:themeColor="text1"/>
            <w:sz w:val="24"/>
            <w:highlight w:val="none"/>
            <w14:textFill>
              <w14:solidFill>
                <w14:schemeClr w14:val="tx1"/>
              </w14:solidFill>
            </w14:textFill>
          </w:rPr>
          <m:t>ε</m:t>
        </m:r>
      </m:oMath>
      <w:r>
        <w:rPr>
          <w:color w:val="000000" w:themeColor="text1"/>
          <w:sz w:val="24"/>
          <w:highlight w:val="none"/>
          <w14:textFill>
            <w14:solidFill>
              <w14:schemeClr w14:val="tx1"/>
            </w14:solidFill>
          </w14:textFill>
        </w:rPr>
        <w:t>=-1</w:t>
      </w:r>
    </w:p>
    <w:p w14:paraId="097B2BB8">
      <w:pPr>
        <w:spacing w:line="360" w:lineRule="auto"/>
        <w:rPr>
          <w:rFonts w:hint="eastAsia" w:ascii="Cambria Math" w:hAnsi="Cambria Math"/>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C.2.</w:t>
      </w:r>
      <w:r>
        <w:rPr>
          <w:rFonts w:ascii="Cambria Math" w:hAnsi="Cambria Math"/>
          <w:color w:val="000000" w:themeColor="text1"/>
          <w:sz w:val="24"/>
          <w:highlight w:val="none"/>
          <w14:textFill>
            <w14:solidFill>
              <w14:schemeClr w14:val="tx1"/>
            </w14:solidFill>
          </w14:textFill>
        </w:rPr>
        <w:t>4 输入量的不确定度来源</w:t>
      </w:r>
    </w:p>
    <w:p w14:paraId="096DA89C">
      <w:pPr>
        <w:spacing w:line="360" w:lineRule="auto"/>
        <w:jc w:val="center"/>
        <w:rPr>
          <w:rFonts w:hint="eastAsia" w:hAnsi="Cambria Math"/>
          <w:color w:val="000000" w:themeColor="text1"/>
          <w:sz w:val="24"/>
          <w:highlight w:val="none"/>
          <w14:textFill>
            <w14:solidFill>
              <w14:schemeClr w14:val="tx1"/>
            </w14:solidFill>
          </w14:textFill>
        </w:rPr>
      </w:pPr>
    </w:p>
    <w:p w14:paraId="72751C98">
      <w:pPr>
        <w:spacing w:line="360" w:lineRule="auto"/>
        <w:ind w:firstLine="420"/>
        <w:rPr>
          <w:rFonts w:hint="eastAsia" w:ascii="Cambria Math" w:hAnsi="Cambria Math"/>
          <w:color w:val="000000" w:themeColor="text1"/>
          <w:sz w:val="24"/>
          <w:highlight w:val="none"/>
          <w14:textFill>
            <w14:solidFill>
              <w14:schemeClr w14:val="tx1"/>
            </w14:solidFill>
          </w14:textFill>
        </w:rPr>
      </w:pPr>
      <w:r>
        <w:rPr>
          <w:rFonts w:ascii="Cambria Math" w:hAnsi="Cambria Math"/>
          <w:color w:val="000000" w:themeColor="text1"/>
          <w:sz w:val="24"/>
          <w:highlight w:val="none"/>
          <w14:textFill>
            <w14:solidFill>
              <w14:schemeClr w14:val="tx1"/>
            </w14:solidFill>
          </w14:textFill>
        </w:rPr>
        <w:t>（1）被校</w:t>
      </w:r>
      <w:r>
        <w:rPr>
          <w:rFonts w:hint="eastAsia" w:ascii="Cambria Math" w:hAnsi="Cambria Math"/>
          <w:color w:val="000000" w:themeColor="text1"/>
          <w:sz w:val="24"/>
          <w:highlight w:val="none"/>
          <w14:textFill>
            <w14:solidFill>
              <w14:schemeClr w14:val="tx1"/>
            </w14:solidFill>
          </w14:textFill>
        </w:rPr>
        <w:t>滑移率测量装置</w:t>
      </w:r>
      <w:r>
        <w:rPr>
          <w:rFonts w:ascii="Cambria Math" w:hAnsi="Cambria Math"/>
          <w:color w:val="000000" w:themeColor="text1"/>
          <w:sz w:val="24"/>
          <w:highlight w:val="none"/>
          <w14:textFill>
            <w14:solidFill>
              <w14:schemeClr w14:val="tx1"/>
            </w14:solidFill>
          </w14:textFill>
        </w:rPr>
        <w:t>的测量结果重复性</w:t>
      </w:r>
    </w:p>
    <w:p w14:paraId="60D5C1D7">
      <w:pPr>
        <w:spacing w:line="360" w:lineRule="auto"/>
        <w:ind w:firstLine="3600" w:firstLineChars="1500"/>
        <w:rPr>
          <w:rFonts w:hint="eastAsia" w:ascii="Cambria Math" w:hAnsi="Cambria Math"/>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oMath>
      <w:r>
        <w:rPr>
          <w:rFonts w:hint="eastAsia" w:ascii="Cambria Math" w:hAnsi="Cambria Math"/>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 </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w:rPr>
                <w:rFonts w:ascii="Cambria Math" w:hAnsi="Cambria Math"/>
                <w:color w:val="000000" w:themeColor="text1"/>
                <w:sz w:val="24"/>
                <w:highlight w:val="none"/>
                <w14:textFill>
                  <w14:solidFill>
                    <w14:schemeClr w14:val="tx1"/>
                  </w14:solidFill>
                </w14:textFill>
              </w:rPr>
              <m:t>A</m:t>
            </m:r>
            <m:ctrlPr>
              <w:rPr>
                <w:rFonts w:ascii="Cambria Math" w:hAnsi="Cambria Math"/>
                <w:color w:val="000000" w:themeColor="text1"/>
                <w:sz w:val="24"/>
                <w:highlight w:val="none"/>
                <w14:textFill>
                  <w14:solidFill>
                    <w14:schemeClr w14:val="tx1"/>
                  </w14:solidFill>
                </w14:textFill>
              </w:rPr>
            </m:ctrlPr>
          </m:sub>
        </m:sSub>
      </m:oMath>
    </w:p>
    <w:p w14:paraId="49E282E9">
      <w:pPr>
        <w:spacing w:line="360" w:lineRule="auto"/>
        <w:ind w:firstLine="420"/>
        <w:rPr>
          <w:rFonts w:hint="eastAsia" w:ascii="Cambria Math" w:hAnsi="Cambria Math"/>
          <w:color w:val="000000" w:themeColor="text1"/>
          <w:sz w:val="24"/>
          <w:highlight w:val="none"/>
          <w14:textFill>
            <w14:solidFill>
              <w14:schemeClr w14:val="tx1"/>
            </w14:solidFill>
          </w14:textFill>
        </w:rPr>
      </w:pPr>
      <w:r>
        <w:rPr>
          <w:rFonts w:ascii="Cambria Math" w:hAnsi="Cambria Math"/>
          <w:color w:val="000000" w:themeColor="text1"/>
          <w:sz w:val="24"/>
          <w:highlight w:val="none"/>
          <w14:textFill>
            <w14:solidFill>
              <w14:schemeClr w14:val="tx1"/>
            </w14:solidFill>
          </w14:textFill>
        </w:rPr>
        <w:t>（1）被校</w:t>
      </w:r>
      <w:r>
        <w:rPr>
          <w:rFonts w:hint="eastAsia" w:ascii="Cambria Math" w:hAnsi="Cambria Math"/>
          <w:color w:val="000000" w:themeColor="text1"/>
          <w:sz w:val="24"/>
          <w:highlight w:val="none"/>
          <w14:textFill>
            <w14:solidFill>
              <w14:schemeClr w14:val="tx1"/>
            </w14:solidFill>
          </w14:textFill>
        </w:rPr>
        <w:t>滑移率测量装置</w:t>
      </w:r>
      <w:r>
        <w:rPr>
          <w:rFonts w:ascii="Cambria Math" w:hAnsi="Cambria Math"/>
          <w:color w:val="000000" w:themeColor="text1"/>
          <w:sz w:val="24"/>
          <w:highlight w:val="none"/>
          <w14:textFill>
            <w14:solidFill>
              <w14:schemeClr w14:val="tx1"/>
            </w14:solidFill>
          </w14:textFill>
        </w:rPr>
        <w:t>的数显量化误差</w:t>
      </w:r>
    </w:p>
    <w:p w14:paraId="094D4D4E">
      <w:pPr>
        <w:spacing w:line="360" w:lineRule="auto"/>
        <w:jc w:val="center"/>
        <w:rPr>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oMath>
      <w:r>
        <w:rPr>
          <w:rFonts w:hint="eastAsia" w:ascii="Cambria Math" w:hAnsi="Cambria Math"/>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 </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B</m:t>
            </m:r>
            <m:ctrlPr>
              <w:rPr>
                <w:rFonts w:ascii="Cambria Math" w:hAnsi="Cambria Math"/>
                <w:color w:val="000000" w:themeColor="text1"/>
                <w:sz w:val="24"/>
                <w:highlight w:val="none"/>
                <w14:textFill>
                  <w14:solidFill>
                    <w14:schemeClr w14:val="tx1"/>
                  </w14:solidFill>
                </w14:textFill>
              </w:rPr>
            </m:ctrlPr>
          </m:sub>
        </m:sSub>
      </m:oMath>
    </w:p>
    <w:p w14:paraId="734FB8BF">
      <w:pPr>
        <w:spacing w:line="360" w:lineRule="auto"/>
        <w:ind w:firstLine="420"/>
        <w:rPr>
          <w:rFonts w:hint="eastAsia" w:ascii="Cambria Math" w:hAnsi="Cambria Math"/>
          <w:color w:val="000000" w:themeColor="text1"/>
          <w:sz w:val="24"/>
          <w:highlight w:val="none"/>
          <w14:textFill>
            <w14:solidFill>
              <w14:schemeClr w14:val="tx1"/>
            </w14:solidFill>
          </w14:textFill>
        </w:rPr>
      </w:pPr>
      <w:r>
        <w:rPr>
          <w:rFonts w:ascii="Cambria Math" w:hAnsi="Cambria Math"/>
          <w:color w:val="000000" w:themeColor="text1"/>
          <w:sz w:val="24"/>
          <w:highlight w:val="none"/>
          <w14:textFill>
            <w14:solidFill>
              <w14:schemeClr w14:val="tx1"/>
            </w14:solidFill>
          </w14:textFill>
        </w:rPr>
        <w:t>（2）</w:t>
      </w:r>
      <w:r>
        <w:rPr>
          <w:rFonts w:hint="eastAsia" w:ascii="Cambria Math" w:hAnsi="Cambria Math"/>
          <w:color w:val="000000" w:themeColor="text1"/>
          <w:sz w:val="24"/>
          <w:highlight w:val="none"/>
          <w14:textFill>
            <w14:solidFill>
              <w14:schemeClr w14:val="tx1"/>
            </w14:solidFill>
          </w14:textFill>
        </w:rPr>
        <w:t>滑移率校准装置</w:t>
      </w:r>
      <w:r>
        <w:rPr>
          <w:rFonts w:ascii="Cambria Math" w:hAnsi="Cambria Math"/>
          <w:color w:val="000000" w:themeColor="text1"/>
          <w:sz w:val="24"/>
          <w:highlight w:val="none"/>
          <w14:textFill>
            <w14:solidFill>
              <w14:schemeClr w14:val="tx1"/>
            </w14:solidFill>
          </w14:textFill>
        </w:rPr>
        <w:t>的准确性</w:t>
      </w:r>
    </w:p>
    <w:p w14:paraId="6076CEAE">
      <w:pPr>
        <w:spacing w:line="360" w:lineRule="auto"/>
        <w:jc w:val="center"/>
        <w:rPr>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b>
        </m:sSub>
      </m:oMath>
      <w:r>
        <w:rPr>
          <w:rFonts w:hint="eastAsia" w:ascii="Cambria Math" w:hAnsi="Cambria Math"/>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3</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 </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sub>
        </m:sSub>
      </m:oMath>
    </w:p>
    <w:p w14:paraId="34EFC263">
      <w:pPr>
        <w:spacing w:line="360" w:lineRule="auto"/>
        <w:rPr>
          <w:rFonts w:hint="eastAsia" w:ascii="Cambria Math" w:hAnsi="Cambria Math"/>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C.2.</w:t>
      </w:r>
      <w:r>
        <w:rPr>
          <w:rFonts w:ascii="Cambria Math" w:hAnsi="Cambria Math"/>
          <w:color w:val="000000" w:themeColor="text1"/>
          <w:sz w:val="24"/>
          <w:highlight w:val="none"/>
          <w14:textFill>
            <w14:solidFill>
              <w14:schemeClr w14:val="tx1"/>
            </w14:solidFill>
          </w14:textFill>
        </w:rPr>
        <w:t>5 输入量的标准不确定度评定</w:t>
      </w:r>
    </w:p>
    <w:p w14:paraId="5DEE8915">
      <w:pPr>
        <w:spacing w:line="360" w:lineRule="auto"/>
        <w:ind w:firstLine="420"/>
        <w:rPr>
          <w:rFonts w:hint="eastAsia" w:ascii="Cambria Math" w:hAnsi="Cambria Math"/>
          <w:color w:val="000000" w:themeColor="text1"/>
          <w:sz w:val="24"/>
          <w:highlight w:val="none"/>
          <w14:textFill>
            <w14:solidFill>
              <w14:schemeClr w14:val="tx1"/>
            </w14:solidFill>
          </w14:textFill>
        </w:rPr>
      </w:pPr>
      <w:r>
        <w:rPr>
          <w:rFonts w:ascii="Cambria Math" w:hAnsi="Cambria Math"/>
          <w:color w:val="000000" w:themeColor="text1"/>
          <w:sz w:val="24"/>
          <w:highlight w:val="none"/>
          <w14:textFill>
            <w14:solidFill>
              <w14:schemeClr w14:val="tx1"/>
            </w14:solidFill>
          </w14:textFill>
        </w:rPr>
        <w:t>（1）被校</w:t>
      </w:r>
      <w:r>
        <w:rPr>
          <w:rFonts w:hint="eastAsia" w:ascii="Cambria Math" w:hAnsi="Cambria Math"/>
          <w:color w:val="000000" w:themeColor="text1"/>
          <w:sz w:val="24"/>
          <w:highlight w:val="none"/>
          <w14:textFill>
            <w14:solidFill>
              <w14:schemeClr w14:val="tx1"/>
            </w14:solidFill>
          </w14:textFill>
        </w:rPr>
        <w:t>滑移率测量装置</w:t>
      </w:r>
      <w:r>
        <w:rPr>
          <w:rFonts w:ascii="Cambria Math" w:hAnsi="Cambria Math"/>
          <w:color w:val="000000" w:themeColor="text1"/>
          <w:sz w:val="24"/>
          <w:highlight w:val="none"/>
          <w14:textFill>
            <w14:solidFill>
              <w14:schemeClr w14:val="tx1"/>
            </w14:solidFill>
          </w14:textFill>
        </w:rPr>
        <w:t>的测量结果重复性</w:t>
      </w:r>
      <w:r>
        <w:rPr>
          <w:rFonts w:hint="eastAsia" w:ascii="Cambria Math" w:hAnsi="Cambria Math"/>
          <w:color w:val="000000" w:themeColor="text1"/>
          <w:sz w:val="24"/>
          <w:highlight w:val="none"/>
          <w14:textFill>
            <w14:solidFill>
              <w14:schemeClr w14:val="tx1"/>
            </w14:solidFill>
          </w14:textFill>
        </w:rPr>
        <w:t>引入的不确定度分量</w:t>
      </w:r>
    </w:p>
    <w:p w14:paraId="3B20192C">
      <w:pPr>
        <w:spacing w:line="360" w:lineRule="auto"/>
        <w:ind w:firstLine="420"/>
        <w:rPr>
          <w:rFonts w:hint="eastAsia" w:ascii="Cambria Math" w:hAnsi="Cambria Math"/>
          <w:color w:val="000000" w:themeColor="text1"/>
          <w:sz w:val="24"/>
          <w:highlight w:val="none"/>
          <w14:textFill>
            <w14:solidFill>
              <w14:schemeClr w14:val="tx1"/>
            </w14:solidFill>
          </w14:textFill>
        </w:rPr>
      </w:pPr>
      <w:r>
        <w:rPr>
          <w:rFonts w:hint="eastAsia" w:ascii="Cambria Math" w:hAnsi="Cambria Math"/>
          <w:color w:val="000000" w:themeColor="text1"/>
          <w:sz w:val="24"/>
          <w:highlight w:val="none"/>
          <w14:textFill>
            <w14:solidFill>
              <w14:schemeClr w14:val="tx1"/>
            </w14:solidFill>
          </w14:textFill>
        </w:rPr>
        <w:t>将</w:t>
      </w:r>
      <w:r>
        <w:rPr>
          <w:rFonts w:ascii="Cambria Math" w:hAnsi="Cambria Math"/>
          <w:color w:val="000000" w:themeColor="text1"/>
          <w:sz w:val="24"/>
          <w:highlight w:val="none"/>
          <w14:textFill>
            <w14:solidFill>
              <w14:schemeClr w14:val="tx1"/>
            </w14:solidFill>
          </w14:textFill>
        </w:rPr>
        <w:t>被校</w:t>
      </w:r>
      <w:r>
        <w:rPr>
          <w:rFonts w:hint="eastAsia" w:ascii="Cambria Math" w:hAnsi="Cambria Math"/>
          <w:color w:val="000000" w:themeColor="text1"/>
          <w:sz w:val="24"/>
          <w:highlight w:val="none"/>
          <w14:textFill>
            <w14:solidFill>
              <w14:schemeClr w14:val="tx1"/>
            </w14:solidFill>
          </w14:textFill>
        </w:rPr>
        <w:t>滑移率测量装置在各校准点进行十次重复性测量，</w:t>
      </w:r>
      <w:r>
        <w:rPr>
          <w:rFonts w:ascii="Cambria Math" w:hAnsi="Cambria Math"/>
          <w:color w:val="000000" w:themeColor="text1"/>
          <w:sz w:val="24"/>
          <w:highlight w:val="none"/>
          <w14:textFill>
            <w14:solidFill>
              <w14:schemeClr w14:val="tx1"/>
            </w14:solidFill>
          </w14:textFill>
        </w:rPr>
        <w:t>计算单次实验标准差</w:t>
      </w:r>
      <m:oMath>
        <m:r>
          <m:rPr/>
          <w:rPr>
            <w:rFonts w:ascii="Cambria Math" w:hAnsi="Cambria Math"/>
            <w:color w:val="000000" w:themeColor="text1"/>
            <w:sz w:val="24"/>
            <w:highlight w:val="none"/>
            <w14:textFill>
              <w14:solidFill>
                <w14:schemeClr w14:val="tx1"/>
              </w14:solidFill>
            </w14:textFill>
          </w:rPr>
          <m:t>σ</m:t>
        </m:r>
        <m:d>
          <m:dPr>
            <m:ctrlPr>
              <w:rPr>
                <w:rFonts w:ascii="Cambria Math" w:hAnsi="Cambria Math"/>
                <w:color w:val="000000" w:themeColor="text1"/>
                <w:sz w:val="24"/>
                <w:highlight w:val="none"/>
                <w14:textFill>
                  <w14:solidFill>
                    <w14:schemeClr w14:val="tx1"/>
                  </w14:solidFill>
                </w14:textFill>
              </w:rPr>
            </m:ctrlPr>
          </m:dPr>
          <m:e>
            <m:r>
              <m:rPr/>
              <w:rPr>
                <w:rFonts w:ascii="Cambria Math" w:hAnsi="Cambria Math"/>
                <w:color w:val="000000" w:themeColor="text1"/>
                <w:sz w:val="24"/>
                <w:highlight w:val="none"/>
                <w14:textFill>
                  <w14:solidFill>
                    <w14:schemeClr w14:val="tx1"/>
                  </w14:solidFill>
                </w14:textFill>
              </w:rPr>
              <m:t>s</m:t>
            </m:r>
            <m:ctrlPr>
              <w:rPr>
                <w:rFonts w:ascii="Cambria Math" w:hAnsi="Cambria Math"/>
                <w:color w:val="000000" w:themeColor="text1"/>
                <w:sz w:val="24"/>
                <w:highlight w:val="none"/>
                <w14:textFill>
                  <w14:solidFill>
                    <w14:schemeClr w14:val="tx1"/>
                  </w14:solidFill>
                </w14:textFill>
              </w:rPr>
            </m:ctrlPr>
          </m:e>
        </m:d>
      </m:oMath>
      <w:r>
        <w:rPr>
          <w:rFonts w:hint="eastAsia" w:hAnsi="Cambria Math"/>
          <w:color w:val="000000" w:themeColor="text1"/>
          <w:sz w:val="24"/>
          <w:highlight w:val="none"/>
          <w14:textFill>
            <w14:solidFill>
              <w14:schemeClr w14:val="tx1"/>
            </w14:solidFill>
          </w14:textFill>
        </w:rPr>
        <w:t>，</w:t>
      </w:r>
      <w:r>
        <w:rPr>
          <w:rFonts w:ascii="Cambria Math" w:hAnsi="Cambria Math"/>
          <w:color w:val="000000" w:themeColor="text1"/>
          <w:sz w:val="24"/>
          <w:highlight w:val="none"/>
          <w14:textFill>
            <w14:solidFill>
              <w14:schemeClr w14:val="tx1"/>
            </w14:solidFill>
          </w14:textFill>
        </w:rPr>
        <w:t>可得标准不确定度</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rFonts w:ascii="Cambria Math" w:hAnsi="Cambria Math"/>
          <w:color w:val="000000" w:themeColor="text1"/>
          <w:sz w:val="24"/>
          <w:highlight w:val="none"/>
          <w14:textFill>
            <w14:solidFill>
              <w14:schemeClr w14:val="tx1"/>
            </w14:solidFill>
          </w14:textFill>
        </w:rPr>
        <w:t>为</w:t>
      </w:r>
      <w:r>
        <w:rPr>
          <w:rFonts w:hint="eastAsia" w:ascii="Cambria Math" w:hAnsi="Cambria Math"/>
          <w:color w:val="000000" w:themeColor="text1"/>
          <w:sz w:val="24"/>
          <w:highlight w:val="none"/>
          <w14:textFill>
            <w14:solidFill>
              <w14:schemeClr w14:val="tx1"/>
            </w14:solidFill>
          </w14:textFill>
        </w:rPr>
        <w:t>：</w:t>
      </w:r>
    </w:p>
    <w:p w14:paraId="674B6C16">
      <w:pPr>
        <w:spacing w:line="360" w:lineRule="auto"/>
        <w:ind w:firstLine="420"/>
        <w:jc w:val="center"/>
        <w:rPr>
          <w:color w:val="000000" w:themeColor="text1"/>
          <w:sz w:val="24"/>
          <w:highlight w:val="none"/>
          <w14:textFill>
            <w14:solidFill>
              <w14:schemeClr w14:val="tx1"/>
            </w14:solidFill>
          </w14:textFill>
        </w:rPr>
      </w:pP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rFonts w:hint="eastAsia" w:hAnsi="Cambria Math"/>
          <w:color w:val="000000" w:themeColor="text1"/>
          <w:sz w:val="24"/>
          <w:highlight w:val="none"/>
          <w14:textFill>
            <w14:solidFill>
              <w14:schemeClr w14:val="tx1"/>
            </w14:solidFill>
          </w14:textFill>
        </w:rPr>
        <w:t>=</w:t>
      </w:r>
      <m:oMath>
        <m:r>
          <m:rPr/>
          <w:rPr>
            <w:rFonts w:ascii="Cambria Math" w:hAnsi="Cambria Math"/>
            <w:color w:val="000000" w:themeColor="text1"/>
            <w:sz w:val="24"/>
            <w:highlight w:val="none"/>
            <w14:textFill>
              <w14:solidFill>
                <w14:schemeClr w14:val="tx1"/>
              </w14:solidFill>
            </w14:textFill>
          </w:rPr>
          <m:t>σ</m:t>
        </m:r>
        <m:d>
          <m:dPr>
            <m:ctrlPr>
              <w:rPr>
                <w:rFonts w:ascii="Cambria Math" w:hAnsi="Cambria Math"/>
                <w:color w:val="000000" w:themeColor="text1"/>
                <w:sz w:val="24"/>
                <w:highlight w:val="none"/>
                <w14:textFill>
                  <w14:solidFill>
                    <w14:schemeClr w14:val="tx1"/>
                  </w14:solidFill>
                </w14:textFill>
              </w:rPr>
            </m:ctrlPr>
          </m:dPr>
          <m:e>
            <m:r>
              <m:rPr/>
              <w:rPr>
                <w:rFonts w:ascii="Cambria Math" w:hAnsi="Cambria Math"/>
                <w:color w:val="000000" w:themeColor="text1"/>
                <w:sz w:val="24"/>
                <w:highlight w:val="none"/>
                <w14:textFill>
                  <w14:solidFill>
                    <w14:schemeClr w14:val="tx1"/>
                  </w14:solidFill>
                </w14:textFill>
              </w:rPr>
              <m:t>s</m:t>
            </m:r>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 </w:t>
      </w:r>
      <m:oMath>
        <m:rad>
          <m:radPr>
            <m:degHide m:val="1"/>
            <m:ctrlPr>
              <w:rPr>
                <w:rFonts w:ascii="Cambria Math" w:hAnsi="Cambria Math"/>
                <w:color w:val="000000" w:themeColor="text1"/>
                <w:sz w:val="24"/>
                <w:highlight w:val="none"/>
                <w14:textFill>
                  <w14:solidFill>
                    <w14:schemeClr w14:val="tx1"/>
                  </w14:solidFill>
                </w14:textFill>
              </w:rPr>
            </m:ctrlPr>
          </m:radPr>
          <m:deg>
            <m:ctrlPr>
              <w:rPr>
                <w:rFonts w:ascii="Cambria Math" w:hAnsi="Cambria Math"/>
                <w:color w:val="000000" w:themeColor="text1"/>
                <w:sz w:val="24"/>
                <w:highlight w:val="none"/>
                <w14:textFill>
                  <w14:solidFill>
                    <w14:schemeClr w14:val="tx1"/>
                  </w14:solidFill>
                </w14:textFill>
              </w:rPr>
            </m:ctrlPr>
          </m:deg>
          <m:e>
            <m:f>
              <m:fPr>
                <m:ctrlPr>
                  <w:rPr>
                    <w:rFonts w:ascii="Cambria Math" w:hAnsi="Cambria Math"/>
                    <w:color w:val="000000" w:themeColor="text1"/>
                    <w:sz w:val="24"/>
                    <w:highlight w:val="none"/>
                    <w14:textFill>
                      <w14:solidFill>
                        <w14:schemeClr w14:val="tx1"/>
                      </w14:solidFill>
                    </w14:textFill>
                  </w:rPr>
                </m:ctrlPr>
              </m:fPr>
              <m:num>
                <m:nary>
                  <m:naryPr>
                    <m:chr m:val="∑"/>
                    <m:subHide m:val="1"/>
                    <m:supHide m:val="1"/>
                    <m:ctrlPr>
                      <w:rPr>
                        <w:rFonts w:ascii="Cambria Math" w:hAnsi="Cambria Math"/>
                        <w:color w:val="000000" w:themeColor="text1"/>
                        <w:sz w:val="24"/>
                        <w:highlight w:val="none"/>
                        <w14:textFill>
                          <w14:solidFill>
                            <w14:schemeClr w14:val="tx1"/>
                          </w14:solidFill>
                        </w14:textFill>
                      </w:rPr>
                    </m:ctrlPr>
                  </m:naryPr>
                  <m:sub>
                    <m:ctrlPr>
                      <w:rPr>
                        <w:rFonts w:ascii="Cambria Math" w:hAnsi="Cambria Math"/>
                        <w:color w:val="000000" w:themeColor="text1"/>
                        <w:sz w:val="24"/>
                        <w:highlight w:val="none"/>
                        <w14:textFill>
                          <w14:solidFill>
                            <w14:schemeClr w14:val="tx1"/>
                          </w14:solidFill>
                        </w14:textFill>
                      </w:rPr>
                    </m:ctrlPr>
                  </m:sub>
                  <m:sup>
                    <m:ctrlPr>
                      <w:rPr>
                        <w:rFonts w:ascii="Cambria Math" w:hAnsi="Cambria Math"/>
                        <w:color w:val="000000" w:themeColor="text1"/>
                        <w:sz w:val="24"/>
                        <w:highlight w:val="none"/>
                        <w14:textFill>
                          <w14:solidFill>
                            <w14:schemeClr w14:val="tx1"/>
                          </w14:solidFill>
                        </w14:textFill>
                      </w:rPr>
                    </m:ctrlPr>
                  </m:sup>
                  <m:e>
                    <m:sSup>
                      <m:sSupPr>
                        <m:ctrlPr>
                          <w:rPr>
                            <w:rFonts w:ascii="Cambria Math" w:hAnsi="Cambria Math"/>
                            <w:color w:val="000000" w:themeColor="text1"/>
                            <w:sz w:val="24"/>
                            <w:highlight w:val="none"/>
                            <w14:textFill>
                              <w14:solidFill>
                                <w14:schemeClr w14:val="tx1"/>
                              </w14:solidFill>
                            </w14:textFill>
                          </w:rPr>
                        </m:ctrlPr>
                      </m:sSupPr>
                      <m:e>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w:rPr>
                                    <w:rFonts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r>
                              <m:rPr>
                                <m:sty m:val="p"/>
                              </m:rPr>
                              <w:rPr>
                                <w:rFonts w:ascii="Cambria Math" w:hAnsi="Cambria Math"/>
                                <w:color w:val="000000" w:themeColor="text1"/>
                                <w:sz w:val="24"/>
                                <w:highlight w:val="none"/>
                                <w14:textFill>
                                  <w14:solidFill>
                                    <w14:schemeClr w14:val="tx1"/>
                                  </w14:solidFill>
                                </w14:textFill>
                              </w:rPr>
                              <m:t>−</m:t>
                            </m:r>
                            <m:acc>
                              <m:accPr>
                                <m:chr m:val="̅"/>
                                <m:ctrlPr>
                                  <w:rPr>
                                    <w:rFonts w:ascii="Cambria Math" w:hAnsi="Cambria Math" w:eastAsiaTheme="minorEastAsia"/>
                                    <w:color w:val="000000" w:themeColor="text1"/>
                                    <w:sz w:val="24"/>
                                    <w:szCs w:val="22"/>
                                    <w:highlight w:val="none"/>
                                    <w14:textFill>
                                      <w14:solidFill>
                                        <w14:schemeClr w14:val="tx1"/>
                                      </w14:solidFill>
                                    </w14:textFill>
                                  </w:rPr>
                                </m:ctrlPr>
                              </m:accPr>
                              <m:e>
                                <m:r>
                                  <m:rPr/>
                                  <w:rPr>
                                    <w:rFonts w:ascii="Cambria Math" w:hAnsi="Cambria Math"/>
                                    <w:color w:val="000000" w:themeColor="text1"/>
                                    <w:sz w:val="24"/>
                                    <w:szCs w:val="22"/>
                                    <w:highlight w:val="none"/>
                                    <w14:textFill>
                                      <w14:solidFill>
                                        <w14:schemeClr w14:val="tx1"/>
                                      </w14:solidFill>
                                    </w14:textFill>
                                  </w:rPr>
                                  <m:t>ε</m:t>
                                </m:r>
                                <m:ctrlPr>
                                  <w:rPr>
                                    <w:rFonts w:ascii="Cambria Math" w:hAnsi="Cambria Math" w:eastAsiaTheme="minorEastAsia"/>
                                    <w:color w:val="000000" w:themeColor="text1"/>
                                    <w:sz w:val="24"/>
                                    <w:szCs w:val="22"/>
                                    <w:highlight w:val="none"/>
                                    <w14:textFill>
                                      <w14:solidFill>
                                        <w14:schemeClr w14:val="tx1"/>
                                      </w14:solidFill>
                                    </w14:textFill>
                                  </w:rPr>
                                </m:ctrlPr>
                              </m:e>
                            </m:acc>
                            <m:ctrlPr>
                              <w:rPr>
                                <w:rFonts w:ascii="Cambria Math" w:hAnsi="Cambria Math"/>
                                <w:color w:val="000000" w:themeColor="text1"/>
                                <w:sz w:val="24"/>
                                <w:highlight w:val="none"/>
                                <w14:textFill>
                                  <w14:solidFill>
                                    <w14:schemeClr w14:val="tx1"/>
                                  </w14:solidFill>
                                </w14:textFill>
                              </w:rPr>
                            </m:ctrlPr>
                          </m:e>
                        </m:d>
                        <m:ctrlPr>
                          <w:rPr>
                            <w:rFonts w:ascii="Cambria Math" w:hAnsi="Cambria Math"/>
                            <w:color w:val="000000" w:themeColor="text1"/>
                            <w:sz w:val="24"/>
                            <w:highlight w:val="none"/>
                            <w14:textFill>
                              <w14:solidFill>
                                <w14:schemeClr w14:val="tx1"/>
                              </w14:solidFill>
                            </w14:textFill>
                          </w:rPr>
                        </m:ctrlPr>
                      </m:e>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p>
                    <m:ctrlPr>
                      <w:rPr>
                        <w:rFonts w:ascii="Cambria Math" w:hAnsi="Cambria Math"/>
                        <w:color w:val="000000" w:themeColor="text1"/>
                        <w:sz w:val="24"/>
                        <w:highlight w:val="none"/>
                        <w14:textFill>
                          <w14:solidFill>
                            <w14:schemeClr w14:val="tx1"/>
                          </w14:solidFill>
                        </w14:textFill>
                      </w:rPr>
                    </m:ctrlPr>
                  </m:e>
                </m:nary>
                <m:ctrlPr>
                  <w:rPr>
                    <w:rFonts w:ascii="Cambria Math" w:hAnsi="Cambria Math"/>
                    <w:color w:val="000000" w:themeColor="text1"/>
                    <w:sz w:val="24"/>
                    <w:highlight w:val="none"/>
                    <w14:textFill>
                      <w14:solidFill>
                        <w14:schemeClr w14:val="tx1"/>
                      </w14:solidFill>
                    </w14:textFill>
                  </w:rPr>
                </m:ctrlPr>
              </m:num>
              <m:den>
                <m:r>
                  <m:rPr>
                    <m:sty m:val="p"/>
                  </m:rPr>
                  <w:rPr>
                    <w:rFonts w:ascii="Cambria Math" w:hAnsi="Cambria Math"/>
                    <w:color w:val="000000" w:themeColor="text1"/>
                    <w:sz w:val="24"/>
                    <w:highlight w:val="none"/>
                    <w14:textFill>
                      <w14:solidFill>
                        <w14:schemeClr w14:val="tx1"/>
                      </w14:solidFill>
                    </w14:textFill>
                  </w:rPr>
                  <m:t>10−1</m:t>
                </m:r>
                <m:ctrlPr>
                  <w:rPr>
                    <w:rFonts w:ascii="Cambria Math" w:hAnsi="Cambria Math"/>
                    <w:color w:val="000000" w:themeColor="text1"/>
                    <w:sz w:val="24"/>
                    <w:highlight w:val="none"/>
                    <w14:textFill>
                      <w14:solidFill>
                        <w14:schemeClr w14:val="tx1"/>
                      </w14:solidFill>
                    </w14:textFill>
                  </w:rPr>
                </m:ctrlPr>
              </m:den>
            </m:f>
            <m:ctrlPr>
              <w:rPr>
                <w:rFonts w:ascii="Cambria Math" w:hAnsi="Cambria Math"/>
                <w:color w:val="000000" w:themeColor="text1"/>
                <w:sz w:val="24"/>
                <w:highlight w:val="none"/>
                <w14:textFill>
                  <w14:solidFill>
                    <w14:schemeClr w14:val="tx1"/>
                  </w14:solidFill>
                </w14:textFill>
              </w:rPr>
            </m:ctrlPr>
          </m:e>
        </m:rad>
      </m:oMath>
      <w:r>
        <w:rPr>
          <w:rFonts w:hAnsi="Cambria Math"/>
          <w:color w:val="000000" w:themeColor="text1"/>
          <w:sz w:val="24"/>
          <w:highlight w:val="none"/>
          <w14:textFill>
            <w14:solidFill>
              <w14:schemeClr w14:val="tx1"/>
            </w14:solidFill>
          </w14:textFill>
        </w:rPr>
        <w:t>=0.14%</w:t>
      </w:r>
    </w:p>
    <w:p w14:paraId="1D590B22">
      <w:pPr>
        <w:spacing w:line="360" w:lineRule="auto"/>
        <w:ind w:firstLine="420"/>
        <w:jc w:val="left"/>
        <w:rPr>
          <w:rFonts w:hint="eastAsia" w:ascii="Cambria Math" w:hAnsi="Cambria Math"/>
          <w:color w:val="000000" w:themeColor="text1"/>
          <w:sz w:val="24"/>
          <w:highlight w:val="none"/>
          <w14:textFill>
            <w14:solidFill>
              <w14:schemeClr w14:val="tx1"/>
            </w14:solidFill>
          </w14:textFill>
        </w:rPr>
      </w:pPr>
      <w:r>
        <w:rPr>
          <w:rFonts w:ascii="Cambria Math" w:hAnsi="Cambria Math"/>
          <w:color w:val="000000" w:themeColor="text1"/>
          <w:sz w:val="24"/>
          <w:highlight w:val="none"/>
          <w14:textFill>
            <w14:solidFill>
              <w14:schemeClr w14:val="tx1"/>
            </w14:solidFill>
          </w14:textFill>
        </w:rPr>
        <w:t>（2）</w:t>
      </w:r>
      <w:r>
        <w:rPr>
          <w:rFonts w:hint="eastAsia" w:ascii="Cambria Math" w:hAnsi="Cambria Math"/>
          <w:color w:val="000000" w:themeColor="text1"/>
          <w:sz w:val="24"/>
          <w:highlight w:val="none"/>
          <w14:textFill>
            <w14:solidFill>
              <w14:schemeClr w14:val="tx1"/>
            </w14:solidFill>
          </w14:textFill>
        </w:rPr>
        <w:t>被校滑移率测量装置</w:t>
      </w:r>
      <w:r>
        <w:rPr>
          <w:rFonts w:ascii="Cambria Math" w:hAnsi="Cambria Math"/>
          <w:color w:val="000000" w:themeColor="text1"/>
          <w:sz w:val="24"/>
          <w:highlight w:val="none"/>
          <w14:textFill>
            <w14:solidFill>
              <w14:schemeClr w14:val="tx1"/>
            </w14:solidFill>
          </w14:textFill>
        </w:rPr>
        <w:t>的数显量化误差</w:t>
      </w:r>
      <w:r>
        <w:rPr>
          <w:rFonts w:hint="eastAsia" w:ascii="Cambria Math" w:hAnsi="Cambria Math"/>
          <w:color w:val="000000" w:themeColor="text1"/>
          <w:sz w:val="24"/>
          <w:highlight w:val="none"/>
          <w14:textFill>
            <w14:solidFill>
              <w14:schemeClr w14:val="tx1"/>
            </w14:solidFill>
          </w14:textFill>
        </w:rPr>
        <w:t>引入的不确定度分量</w:t>
      </w:r>
    </w:p>
    <w:p w14:paraId="4D069BDB">
      <w:pPr>
        <w:spacing w:line="360" w:lineRule="auto"/>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滑移率测量装置的滑移率分辨力为0.1%，其量化误差以等概率分布（矩形分布）落在宽度为0.1% /2 = 0.05 %的区间内。考虑其引入的标准不确定度为：</w:t>
      </w:r>
    </w:p>
    <w:p w14:paraId="4AD1C292">
      <w:pPr>
        <w:spacing w:line="360" w:lineRule="auto"/>
        <w:jc w:val="center"/>
        <w:rPr>
          <w:color w:val="000000" w:themeColor="text1"/>
          <w:sz w:val="24"/>
          <w:highlight w:val="none"/>
          <w14:textFill>
            <w14:solidFill>
              <w14:schemeClr w14:val="tx1"/>
            </w14:solidFill>
          </w14:textFill>
        </w:rPr>
      </w:pP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 0.05%/</w:t>
      </w:r>
      <m:oMath>
        <m:rad>
          <m:radPr>
            <m:degHide m:val="1"/>
            <m:ctrlPr>
              <w:rPr>
                <w:rFonts w:ascii="Cambria Math" w:hAnsi="Cambria Math"/>
                <w:color w:val="000000" w:themeColor="text1"/>
                <w:sz w:val="24"/>
                <w:highlight w:val="none"/>
                <w14:textFill>
                  <w14:solidFill>
                    <w14:schemeClr w14:val="tx1"/>
                  </w14:solidFill>
                </w14:textFill>
              </w:rPr>
            </m:ctrlPr>
          </m:radPr>
          <m:deg>
            <m:ctrlPr>
              <w:rPr>
                <w:rFonts w:ascii="Cambria Math" w:hAnsi="Cambria Math"/>
                <w:color w:val="000000" w:themeColor="text1"/>
                <w:sz w:val="24"/>
                <w:highlight w:val="none"/>
                <w14:textFill>
                  <w14:solidFill>
                    <w14:schemeClr w14:val="tx1"/>
                  </w14:solidFill>
                </w14:textFill>
              </w:rPr>
            </m:ctrlPr>
          </m:deg>
          <m:e>
            <m:r>
              <m:rPr>
                <m:sty m:val="p"/>
              </m:rPr>
              <w:rPr>
                <w:rFonts w:ascii="Cambria Math" w:hAnsi="Cambria Math"/>
                <w:color w:val="000000" w:themeColor="text1"/>
                <w:sz w:val="24"/>
                <w:highlight w:val="none"/>
                <w14:textFill>
                  <w14:solidFill>
                    <w14:schemeClr w14:val="tx1"/>
                  </w14:solidFill>
                </w14:textFill>
              </w:rPr>
              <m:t>3</m:t>
            </m:r>
            <m:ctrlPr>
              <w:rPr>
                <w:rFonts w:ascii="Cambria Math" w:hAnsi="Cambria Math"/>
                <w:color w:val="000000" w:themeColor="text1"/>
                <w:sz w:val="24"/>
                <w:highlight w:val="none"/>
                <w14:textFill>
                  <w14:solidFill>
                    <w14:schemeClr w14:val="tx1"/>
                  </w14:solidFill>
                </w14:textFill>
              </w:rPr>
            </m:ctrlPr>
          </m:e>
        </m:rad>
      </m:oMath>
      <w:r>
        <w:rPr>
          <w:color w:val="000000" w:themeColor="text1"/>
          <w:sz w:val="24"/>
          <w:highlight w:val="none"/>
          <w14:textFill>
            <w14:solidFill>
              <w14:schemeClr w14:val="tx1"/>
            </w14:solidFill>
          </w14:textFill>
        </w:rPr>
        <w:t xml:space="preserve"> =0.029%</w:t>
      </w:r>
    </w:p>
    <w:p w14:paraId="1D15E805">
      <w:pPr>
        <w:spacing w:line="360" w:lineRule="auto"/>
        <w:ind w:firstLine="420"/>
        <w:jc w:val="left"/>
        <w:rPr>
          <w:rFonts w:asciiTheme="minorHAnsi" w:hAnsiTheme="minorHAnsi"/>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由于测量结果重复性、数显量化误差对测量不确定的贡献存在重复。因此，为避免重复计算，在计算合成不确定度时，只计最大影响量</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1</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rFonts w:hint="eastAsia"/>
          <w:color w:val="000000" w:themeColor="text1"/>
          <w:sz w:val="24"/>
          <w:highlight w:val="none"/>
          <w14:textFill>
            <w14:solidFill>
              <w14:schemeClr w14:val="tx1"/>
            </w14:solidFill>
          </w14:textFill>
        </w:rPr>
        <w:t>，舍弃</w:t>
      </w: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sSub>
              <m:sSubPr>
                <m:ctrlPr>
                  <w:rPr>
                    <w:rFonts w:ascii="Cambria Math" w:hAnsi="Cambria Math"/>
                    <w:color w:val="000000" w:themeColor="text1"/>
                    <w:sz w:val="24"/>
                    <w:highlight w:val="none"/>
                    <w14:textFill>
                      <w14:solidFill>
                        <w14:schemeClr w14:val="tx1"/>
                      </w14:solidFill>
                    </w14:textFill>
                  </w:rPr>
                </m:ctrlPr>
              </m:sSub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sub>
                <m:r>
                  <m:rPr>
                    <m:sty m:val="p"/>
                  </m:rPr>
                  <w:rPr>
                    <w:rFonts w:hint="eastAsia" w:ascii="Cambria Math" w:hAnsi="Cambria Math"/>
                    <w:color w:val="000000" w:themeColor="text1"/>
                    <w:sz w:val="24"/>
                    <w:highlight w:val="none"/>
                    <w14:textFill>
                      <w14:solidFill>
                        <w14:schemeClr w14:val="tx1"/>
                      </w14:solidFill>
                    </w14:textFill>
                  </w:rPr>
                  <m:t>i</m:t>
                </m:r>
                <m:ctrlPr>
                  <w:rPr>
                    <w:rFonts w:ascii="Cambria Math" w:hAnsi="Cambria Math"/>
                    <w:color w:val="000000" w:themeColor="text1"/>
                    <w:sz w:val="24"/>
                    <w:highlight w:val="none"/>
                    <w14:textFill>
                      <w14:solidFill>
                        <w14:schemeClr w14:val="tx1"/>
                      </w14:solidFill>
                    </w14:textFill>
                  </w:rPr>
                </m:ctrlPr>
              </m:sub>
            </m:sSub>
            <m:ctrlPr>
              <w:rPr>
                <w:rFonts w:ascii="Cambria Math" w:hAnsi="Cambria Math"/>
                <w:color w:val="000000" w:themeColor="text1"/>
                <w:sz w:val="24"/>
                <w:highlight w:val="none"/>
                <w14:textFill>
                  <w14:solidFill>
                    <w14:schemeClr w14:val="tx1"/>
                  </w14:solidFill>
                </w14:textFill>
              </w:rPr>
            </m:ctrlPr>
          </m:e>
        </m:d>
      </m:oMath>
      <w:r>
        <w:rPr>
          <w:rFonts w:hint="eastAsia"/>
          <w:color w:val="000000" w:themeColor="text1"/>
          <w:sz w:val="24"/>
          <w:highlight w:val="none"/>
          <w14:textFill>
            <w14:solidFill>
              <w14:schemeClr w14:val="tx1"/>
            </w14:solidFill>
          </w14:textFill>
        </w:rPr>
        <w:t>。</w:t>
      </w:r>
    </w:p>
    <w:p w14:paraId="6E1E9A7A">
      <w:pPr>
        <w:spacing w:line="360" w:lineRule="auto"/>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ascii="Cambria Math" w:hAnsi="Cambria Math"/>
          <w:color w:val="000000" w:themeColor="text1"/>
          <w:sz w:val="24"/>
          <w:highlight w:val="none"/>
          <w14:textFill>
            <w14:solidFill>
              <w14:schemeClr w14:val="tx1"/>
            </w14:solidFill>
          </w14:textFill>
        </w:rPr>
        <w:t>滑移率校准装置</w:t>
      </w:r>
      <w:r>
        <w:rPr>
          <w:rFonts w:ascii="Cambria Math" w:hAnsi="Cambria Math"/>
          <w:color w:val="000000" w:themeColor="text1"/>
          <w:sz w:val="24"/>
          <w:highlight w:val="none"/>
          <w14:textFill>
            <w14:solidFill>
              <w14:schemeClr w14:val="tx1"/>
            </w14:solidFill>
          </w14:textFill>
        </w:rPr>
        <w:t>的准确性</w:t>
      </w:r>
      <w:r>
        <w:rPr>
          <w:rFonts w:hint="eastAsia"/>
          <w:color w:val="000000" w:themeColor="text1"/>
          <w:sz w:val="24"/>
          <w:highlight w:val="none"/>
          <w14:textFill>
            <w14:solidFill>
              <w14:schemeClr w14:val="tx1"/>
            </w14:solidFill>
          </w14:textFill>
        </w:rPr>
        <w:t>引入的不确定度分量</w:t>
      </w:r>
    </w:p>
    <w:p w14:paraId="713AB035">
      <w:pPr>
        <w:spacing w:line="360" w:lineRule="auto"/>
        <w:ind w:firstLine="4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滑移率测量仪校准装置</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最大允许误差：</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。按正态分布计，则引入的标准不确定度为：</w:t>
      </w:r>
    </w:p>
    <w:p w14:paraId="1715AD97">
      <w:pPr>
        <w:spacing w:line="360" w:lineRule="auto"/>
        <w:jc w:val="center"/>
        <w:rPr>
          <w:color w:val="000000" w:themeColor="text1"/>
          <w:sz w:val="24"/>
          <w:highlight w:val="none"/>
          <w14:textFill>
            <w14:solidFill>
              <w14:schemeClr w14:val="tx1"/>
            </w14:solidFill>
          </w14:textFill>
        </w:rPr>
      </w:pPr>
      <m:oMath>
        <m:sSub>
          <m:sSubPr>
            <m:ctrlPr>
              <w:rPr>
                <w:rFonts w:ascii="Cambria Math" w:hAnsi="Cambria Math"/>
                <w:color w:val="000000" w:themeColor="text1"/>
                <w:sz w:val="24"/>
                <w:highlight w:val="none"/>
                <w14:textFill>
                  <w14:solidFill>
                    <w14:schemeClr w14:val="tx1"/>
                  </w14:solidFill>
                </w14:textFill>
              </w:rPr>
            </m:ctrlPr>
          </m:sSub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m:sty m:val="p"/>
              </m:rPr>
              <w:rPr>
                <w:rFonts w:ascii="Cambria Math" w:hAnsi="Cambria Math"/>
                <w:color w:val="000000" w:themeColor="text1"/>
                <w:sz w:val="24"/>
                <w:highlight w:val="none"/>
                <w14:textFill>
                  <w14:solidFill>
                    <w14:schemeClr w14:val="tx1"/>
                  </w14:solidFill>
                </w14:textFill>
              </w:rPr>
              <m:t>3</m:t>
            </m:r>
            <m:ctrlPr>
              <w:rPr>
                <w:rFonts w:ascii="Cambria Math" w:hAnsi="Cambria Math"/>
                <w:color w:val="000000" w:themeColor="text1"/>
                <w:sz w:val="24"/>
                <w:highlight w:val="none"/>
                <w14:textFill>
                  <w14:solidFill>
                    <w14:schemeClr w14:val="tx1"/>
                  </w14:solidFill>
                </w14:textFill>
              </w:rPr>
            </m:ctrlPr>
          </m:sub>
        </m:sSub>
        <m:d>
          <m:dPr>
            <m:ctrlPr>
              <w:rPr>
                <w:rFonts w:ascii="Cambria Math" w:hAnsi="Cambria Math"/>
                <w:color w:val="000000" w:themeColor="text1"/>
                <w:sz w:val="24"/>
                <w:highlight w:val="none"/>
                <w14:textFill>
                  <w14:solidFill>
                    <w14:schemeClr w14:val="tx1"/>
                  </w14:solidFill>
                </w14:textFill>
              </w:rPr>
            </m:ctrlPr>
          </m:dPr>
          <m:e>
            <m:r>
              <m:rPr>
                <m:sty m:val="p"/>
              </m:rPr>
              <w:rPr>
                <w:rFonts w:ascii="Cambria Math" w:hAnsi="Cambria Math" w:cs="Cambria Math"/>
                <w:color w:val="000000" w:themeColor="text1"/>
                <w:sz w:val="24"/>
                <w:highlight w:val="none"/>
                <w14:textFill>
                  <w14:solidFill>
                    <w14:schemeClr w14:val="tx1"/>
                  </w14:solidFill>
                </w14:textFill>
              </w:rPr>
              <m:t>ε</m:t>
            </m:r>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 xml:space="preserve">= </w:t>
      </w:r>
      <m:oMath>
        <m:r>
          <m:rPr/>
          <w:rPr>
            <w:rFonts w:ascii="Cambria Math" w:hAnsi="Cambria Math"/>
            <w:color w:val="000000" w:themeColor="text1"/>
            <w:sz w:val="24"/>
            <w:highlight w:val="none"/>
            <w14:textFill>
              <w14:solidFill>
                <w14:schemeClr w14:val="tx1"/>
              </w14:solidFill>
            </w14:textFill>
          </w:rPr>
          <m:t>d/</m:t>
        </m:r>
        <m:rad>
          <m:radPr>
            <m:degHide m:val="1"/>
            <m:ctrlPr>
              <w:rPr>
                <w:rFonts w:ascii="Cambria Math" w:hAnsi="Cambria Math"/>
                <w:color w:val="000000" w:themeColor="text1"/>
                <w:sz w:val="24"/>
                <w:highlight w:val="none"/>
                <w14:textFill>
                  <w14:solidFill>
                    <w14:schemeClr w14:val="tx1"/>
                  </w14:solidFill>
                </w14:textFill>
              </w:rPr>
            </m:ctrlPr>
          </m:radPr>
          <m:deg>
            <m:ctrlPr>
              <w:rPr>
                <w:rFonts w:ascii="Cambria Math" w:hAnsi="Cambria Math"/>
                <w:color w:val="000000" w:themeColor="text1"/>
                <w:sz w:val="24"/>
                <w:highlight w:val="none"/>
                <w14:textFill>
                  <w14:solidFill>
                    <w14:schemeClr w14:val="tx1"/>
                  </w14:solidFill>
                </w14:textFill>
              </w:rPr>
            </m:ctrlPr>
          </m:deg>
          <m:e>
            <m:r>
              <m:rPr>
                <m:sty m:val="p"/>
              </m:rPr>
              <w:rPr>
                <w:rFonts w:ascii="Cambria Math" w:hAnsi="Cambria Math"/>
                <w:color w:val="000000" w:themeColor="text1"/>
                <w:sz w:val="24"/>
                <w:highlight w:val="none"/>
                <w14:textFill>
                  <w14:solidFill>
                    <w14:schemeClr w14:val="tx1"/>
                  </w14:solidFill>
                </w14:textFill>
              </w:rPr>
              <m:t>3</m:t>
            </m:r>
            <m:ctrlPr>
              <w:rPr>
                <w:rFonts w:ascii="Cambria Math" w:hAnsi="Cambria Math"/>
                <w:color w:val="000000" w:themeColor="text1"/>
                <w:sz w:val="24"/>
                <w:highlight w:val="none"/>
                <w14:textFill>
                  <w14:solidFill>
                    <w14:schemeClr w14:val="tx1"/>
                  </w14:solidFill>
                </w14:textFill>
              </w:rPr>
            </m:ctrlPr>
          </m:e>
        </m:rad>
      </m:oMath>
      <w:r>
        <w:rPr>
          <w:color w:val="000000" w:themeColor="text1"/>
          <w:sz w:val="24"/>
          <w:highlight w:val="none"/>
          <w14:textFill>
            <w14:solidFill>
              <w14:schemeClr w14:val="tx1"/>
            </w14:solidFill>
          </w14:textFill>
        </w:rPr>
        <w:t>=0.5%×30%</w:t>
      </w:r>
      <m:oMath>
        <m:r>
          <m:rPr/>
          <w:rPr>
            <w:rFonts w:ascii="Cambria Math" w:hAnsi="Cambria Math"/>
            <w:color w:val="000000" w:themeColor="text1"/>
            <w:sz w:val="24"/>
            <w:highlight w:val="none"/>
            <w14:textFill>
              <w14:solidFill>
                <w14:schemeClr w14:val="tx1"/>
              </w14:solidFill>
            </w14:textFill>
          </w:rPr>
          <m:t>/</m:t>
        </m:r>
        <m:rad>
          <m:radPr>
            <m:degHide m:val="1"/>
            <m:ctrlPr>
              <w:rPr>
                <w:rFonts w:ascii="Cambria Math" w:hAnsi="Cambria Math"/>
                <w:color w:val="000000" w:themeColor="text1"/>
                <w:sz w:val="24"/>
                <w:highlight w:val="none"/>
                <w14:textFill>
                  <w14:solidFill>
                    <w14:schemeClr w14:val="tx1"/>
                  </w14:solidFill>
                </w14:textFill>
              </w:rPr>
            </m:ctrlPr>
          </m:radPr>
          <m:deg>
            <m:ctrlPr>
              <w:rPr>
                <w:rFonts w:ascii="Cambria Math" w:hAnsi="Cambria Math"/>
                <w:color w:val="000000" w:themeColor="text1"/>
                <w:sz w:val="24"/>
                <w:highlight w:val="none"/>
                <w14:textFill>
                  <w14:solidFill>
                    <w14:schemeClr w14:val="tx1"/>
                  </w14:solidFill>
                </w14:textFill>
              </w:rPr>
            </m:ctrlPr>
          </m:deg>
          <m:e>
            <m:r>
              <m:rPr>
                <m:sty m:val="p"/>
              </m:rPr>
              <w:rPr>
                <w:rFonts w:ascii="Cambria Math" w:hAnsi="Cambria Math"/>
                <w:color w:val="000000" w:themeColor="text1"/>
                <w:sz w:val="24"/>
                <w:highlight w:val="none"/>
                <w14:textFill>
                  <w14:solidFill>
                    <w14:schemeClr w14:val="tx1"/>
                  </w14:solidFill>
                </w14:textFill>
              </w:rPr>
              <m:t>3</m:t>
            </m:r>
            <m:ctrlPr>
              <w:rPr>
                <w:rFonts w:ascii="Cambria Math" w:hAnsi="Cambria Math"/>
                <w:color w:val="000000" w:themeColor="text1"/>
                <w:sz w:val="24"/>
                <w:highlight w:val="none"/>
                <w14:textFill>
                  <w14:solidFill>
                    <w14:schemeClr w14:val="tx1"/>
                  </w14:solidFill>
                </w14:textFill>
              </w:rPr>
            </m:ctrlPr>
          </m:e>
        </m:rad>
      </m:oMath>
      <w:r>
        <w:rPr>
          <w:color w:val="000000" w:themeColor="text1"/>
          <w:sz w:val="24"/>
          <w:highlight w:val="none"/>
          <w14:textFill>
            <w14:solidFill>
              <w14:schemeClr w14:val="tx1"/>
            </w14:solidFill>
          </w14:textFill>
        </w:rPr>
        <w:t xml:space="preserve"> =0.09%</w:t>
      </w:r>
    </w:p>
    <w:p w14:paraId="18AC131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C.2.6</w:t>
      </w:r>
      <w:r>
        <w:rPr>
          <w:color w:val="000000" w:themeColor="text1"/>
          <w:sz w:val="24"/>
          <w:highlight w:val="none"/>
          <w14:textFill>
            <w14:solidFill>
              <w14:schemeClr w14:val="tx1"/>
            </w14:solidFill>
          </w14:textFill>
        </w:rPr>
        <w:t xml:space="preserve"> 合成标准不确定度的</w:t>
      </w:r>
      <w:r>
        <w:rPr>
          <w:rFonts w:hint="eastAsia"/>
          <w:color w:val="000000" w:themeColor="text1"/>
          <w:sz w:val="24"/>
          <w:highlight w:val="none"/>
          <w14:textFill>
            <w14:solidFill>
              <w14:schemeClr w14:val="tx1"/>
            </w14:solidFill>
          </w14:textFill>
        </w:rPr>
        <w:t>计算</w:t>
      </w:r>
    </w:p>
    <w:p w14:paraId="3BF0535D">
      <w:pPr>
        <w:spacing w:line="360" w:lineRule="auto"/>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由于各标准不确定度分量相互无关，故合成标准不确定度为</w:t>
      </w:r>
      <w:r>
        <w:rPr>
          <w:rFonts w:hint="eastAsia"/>
          <w:color w:val="000000" w:themeColor="text1"/>
          <w:sz w:val="24"/>
          <w:highlight w:val="none"/>
          <w14:textFill>
            <w14:solidFill>
              <w14:schemeClr w14:val="tx1"/>
            </w14:solidFill>
          </w14:textFill>
        </w:rPr>
        <w:t>：</w:t>
      </w:r>
      <w:bookmarkStart w:id="38" w:name="_GoBack"/>
      <w:bookmarkEnd w:id="38"/>
    </w:p>
    <w:p w14:paraId="6E2A6696">
      <w:pPr>
        <w:spacing w:line="360" w:lineRule="auto"/>
        <w:ind w:firstLine="420"/>
        <w:jc w:val="center"/>
        <w:rPr>
          <w:color w:val="000000" w:themeColor="text1"/>
          <w:sz w:val="24"/>
          <w:highlight w:val="none"/>
          <w14:textFill>
            <w14:solidFill>
              <w14:schemeClr w14:val="tx1"/>
            </w14:solidFill>
          </w14:textFill>
        </w:rPr>
      </w:pPr>
      <m:oMath>
        <m:r>
          <m:rPr/>
          <w:rPr>
            <w:rFonts w:ascii="Cambria Math" w:hAnsi="Cambria Math"/>
            <w:color w:val="000000" w:themeColor="text1"/>
            <w:sz w:val="24"/>
            <w:highlight w:val="none"/>
            <w14:textFill>
              <w14:solidFill>
                <w14:schemeClr w14:val="tx1"/>
              </w14:solidFill>
            </w14:textFill>
          </w:rPr>
          <m:t>u</m:t>
        </m:r>
        <m:d>
          <m:dPr>
            <m:ctrlPr>
              <w:rPr>
                <w:rFonts w:ascii="Cambria Math" w:hAnsi="Cambria Math"/>
                <w:color w:val="000000" w:themeColor="text1"/>
                <w:sz w:val="24"/>
                <w:highlight w:val="none"/>
                <w14:textFill>
                  <w14:solidFill>
                    <w14:schemeClr w14:val="tx1"/>
                  </w14:solidFill>
                </w14:textFill>
              </w:rPr>
            </m:ctrlPr>
          </m:dPr>
          <m:e>
            <m:r>
              <m:rPr/>
              <w:rPr>
                <w:rFonts w:ascii="Cambria Math" w:hAnsi="Cambria Math"/>
                <w:color w:val="000000" w:themeColor="text1"/>
                <w:sz w:val="24"/>
                <w:highlight w:val="none"/>
                <w14:textFill>
                  <w14:solidFill>
                    <w14:schemeClr w14:val="tx1"/>
                  </w14:solidFill>
                </w14:textFill>
              </w:rPr>
              <m:t>∆</m:t>
            </m:r>
            <m:ctrlPr>
              <w:rPr>
                <w:rFonts w:ascii="Cambria Math" w:hAnsi="Cambria Math"/>
                <w:color w:val="000000" w:themeColor="text1"/>
                <w:sz w:val="24"/>
                <w:highlight w:val="none"/>
                <w14:textFill>
                  <w14:solidFill>
                    <w14:schemeClr w14:val="tx1"/>
                  </w14:solidFill>
                </w14:textFill>
              </w:rPr>
            </m:ctrlPr>
          </m:e>
        </m:d>
      </m:oMath>
      <w:r>
        <w:rPr>
          <w:color w:val="000000" w:themeColor="text1"/>
          <w:sz w:val="24"/>
          <w:highlight w:val="none"/>
          <w14:textFill>
            <w14:solidFill>
              <w14:schemeClr w14:val="tx1"/>
            </w14:solidFill>
          </w14:textFill>
        </w:rPr>
        <w:t>=</w:t>
      </w:r>
      <m:oMath>
        <m:rad>
          <m:radPr>
            <m:degHide m:val="1"/>
            <m:ctrlPr>
              <w:rPr>
                <w:rFonts w:ascii="Cambria Math" w:hAnsi="Cambria Math"/>
                <w:color w:val="000000" w:themeColor="text1"/>
                <w:sz w:val="24"/>
                <w:highlight w:val="none"/>
                <w14:textFill>
                  <w14:solidFill>
                    <w14:schemeClr w14:val="tx1"/>
                  </w14:solidFill>
                </w14:textFill>
              </w:rPr>
            </m:ctrlPr>
          </m:radPr>
          <m:deg>
            <m:ctrlPr>
              <w:rPr>
                <w:rFonts w:ascii="Cambria Math" w:hAnsi="Cambria Math"/>
                <w:color w:val="000000" w:themeColor="text1"/>
                <w:sz w:val="24"/>
                <w:highlight w:val="none"/>
                <w14:textFill>
                  <w14:solidFill>
                    <w14:schemeClr w14:val="tx1"/>
                  </w14:solidFill>
                </w14:textFill>
              </w:rPr>
            </m:ctrlPr>
          </m:deg>
          <m:e>
            <m:sSubSup>
              <m:sSubSupPr>
                <m:ctrlPr>
                  <w:rPr>
                    <w:rFonts w:ascii="Cambria Math" w:hAnsi="Cambria Math"/>
                    <w:color w:val="000000" w:themeColor="text1"/>
                    <w:sz w:val="24"/>
                    <w:highlight w:val="none"/>
                    <w14:textFill>
                      <w14:solidFill>
                        <w14:schemeClr w14:val="tx1"/>
                      </w14:solidFill>
                    </w14:textFill>
                  </w:rPr>
                </m:ctrlPr>
              </m:sSubSup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w:rPr>
                    <w:rFonts w:ascii="Cambria Math" w:hAnsi="Cambria Math"/>
                    <w:color w:val="000000" w:themeColor="text1"/>
                    <w:sz w:val="24"/>
                    <w:highlight w:val="none"/>
                    <w14:textFill>
                      <w14:solidFill>
                        <w14:schemeClr w14:val="tx1"/>
                      </w14:solidFill>
                    </w14:textFill>
                  </w:rPr>
                  <m:t>A</m:t>
                </m:r>
                <m:ctrlPr>
                  <w:rPr>
                    <w:rFonts w:ascii="Cambria Math" w:hAnsi="Cambria Math"/>
                    <w:color w:val="000000" w:themeColor="text1"/>
                    <w:sz w:val="24"/>
                    <w:highlight w:val="none"/>
                    <w14:textFill>
                      <w14:solidFill>
                        <w14:schemeClr w14:val="tx1"/>
                      </w14:solidFill>
                    </w14:textFill>
                  </w:rPr>
                </m:ctrlPr>
              </m:sub>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bSup>
            <m:r>
              <m:rPr>
                <m:sty m:val="p"/>
              </m:rPr>
              <w:rPr>
                <w:rFonts w:ascii="Cambria Math" w:hAnsi="Cambria Math"/>
                <w:color w:val="000000" w:themeColor="text1"/>
                <w:sz w:val="24"/>
                <w:highlight w:val="none"/>
                <w14:textFill>
                  <w14:solidFill>
                    <w14:schemeClr w14:val="tx1"/>
                  </w14:solidFill>
                </w14:textFill>
              </w:rPr>
              <m:t>+</m:t>
            </m:r>
            <m:sSubSup>
              <m:sSubSupPr>
                <m:ctrlPr>
                  <w:rPr>
                    <w:rFonts w:ascii="Cambria Math" w:hAnsi="Cambria Math"/>
                    <w:color w:val="000000" w:themeColor="text1"/>
                    <w:sz w:val="24"/>
                    <w:highlight w:val="none"/>
                    <w14:textFill>
                      <w14:solidFill>
                        <w14:schemeClr w14:val="tx1"/>
                      </w14:solidFill>
                    </w14:textFill>
                  </w:rPr>
                </m:ctrlPr>
              </m:sSubSupPr>
              <m:e>
                <m:r>
                  <m:rPr/>
                  <w:rPr>
                    <w:rFonts w:ascii="Cambria Math" w:hAnsi="Cambria Math"/>
                    <w:color w:val="000000" w:themeColor="text1"/>
                    <w:sz w:val="24"/>
                    <w:highlight w:val="none"/>
                    <w14:textFill>
                      <w14:solidFill>
                        <w14:schemeClr w14:val="tx1"/>
                      </w14:solidFill>
                    </w14:textFill>
                  </w:rPr>
                  <m:t>u</m:t>
                </m:r>
                <m:ctrlPr>
                  <w:rPr>
                    <w:rFonts w:ascii="Cambria Math" w:hAnsi="Cambria Math"/>
                    <w:color w:val="000000" w:themeColor="text1"/>
                    <w:sz w:val="24"/>
                    <w:highlight w:val="none"/>
                    <w14:textFill>
                      <w14:solidFill>
                        <w14:schemeClr w14:val="tx1"/>
                      </w14:solidFill>
                    </w14:textFill>
                  </w:rPr>
                </m:ctrlPr>
              </m:e>
              <m:sub>
                <m:r>
                  <m:rPr/>
                  <w:rPr>
                    <w:rFonts w:ascii="Cambria Math" w:hAnsi="Cambria Math"/>
                    <w:color w:val="000000" w:themeColor="text1"/>
                    <w:sz w:val="24"/>
                    <w:highlight w:val="none"/>
                    <w14:textFill>
                      <w14:solidFill>
                        <w14:schemeClr w14:val="tx1"/>
                      </w14:solidFill>
                    </w14:textFill>
                  </w:rPr>
                  <m:t>C</m:t>
                </m:r>
                <m:ctrlPr>
                  <w:rPr>
                    <w:rFonts w:ascii="Cambria Math" w:hAnsi="Cambria Math"/>
                    <w:color w:val="000000" w:themeColor="text1"/>
                    <w:sz w:val="24"/>
                    <w:highlight w:val="none"/>
                    <w14:textFill>
                      <w14:solidFill>
                        <w14:schemeClr w14:val="tx1"/>
                      </w14:solidFill>
                    </w14:textFill>
                  </w:rPr>
                </m:ctrlPr>
              </m:sub>
              <m:sup>
                <m:r>
                  <m:rPr>
                    <m:sty m:val="p"/>
                  </m:rPr>
                  <w:rPr>
                    <w:rFonts w:ascii="Cambria Math" w:hAnsi="Cambria Math"/>
                    <w:color w:val="000000" w:themeColor="text1"/>
                    <w:sz w:val="24"/>
                    <w:highlight w:val="none"/>
                    <w14:textFill>
                      <w14:solidFill>
                        <w14:schemeClr w14:val="tx1"/>
                      </w14:solidFill>
                    </w14:textFill>
                  </w:rPr>
                  <m:t>2</m:t>
                </m:r>
                <m:ctrlPr>
                  <w:rPr>
                    <w:rFonts w:ascii="Cambria Math" w:hAnsi="Cambria Math"/>
                    <w:color w:val="000000" w:themeColor="text1"/>
                    <w:sz w:val="24"/>
                    <w:highlight w:val="none"/>
                    <w14:textFill>
                      <w14:solidFill>
                        <w14:schemeClr w14:val="tx1"/>
                      </w14:solidFill>
                    </w14:textFill>
                  </w:rPr>
                </m:ctrlPr>
              </m:sup>
            </m:sSubSup>
            <m:ctrlPr>
              <w:rPr>
                <w:rFonts w:ascii="Cambria Math" w:hAnsi="Cambria Math"/>
                <w:color w:val="000000" w:themeColor="text1"/>
                <w:sz w:val="24"/>
                <w:highlight w:val="none"/>
                <w14:textFill>
                  <w14:solidFill>
                    <w14:schemeClr w14:val="tx1"/>
                  </w14:solidFill>
                </w14:textFill>
              </w:rPr>
            </m:ctrlPr>
          </m:e>
        </m:rad>
      </m:oMath>
      <w:r>
        <w:rPr>
          <w:color w:val="000000" w:themeColor="text1"/>
          <w:sz w:val="24"/>
          <w:highlight w:val="none"/>
          <w14:textFill>
            <w14:solidFill>
              <w14:schemeClr w14:val="tx1"/>
            </w14:solidFill>
          </w14:textFill>
        </w:rPr>
        <w:t>=0.17%</w:t>
      </w:r>
    </w:p>
    <w:p w14:paraId="5AEAE7F4">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C.2.7</w:t>
      </w:r>
      <w:r>
        <w:rPr>
          <w:color w:val="000000" w:themeColor="text1"/>
          <w:sz w:val="24"/>
          <w:highlight w:val="none"/>
          <w14:textFill>
            <w14:solidFill>
              <w14:schemeClr w14:val="tx1"/>
            </w14:solidFill>
          </w14:textFill>
        </w:rPr>
        <w:t xml:space="preserve"> 扩展不确定度</w:t>
      </w:r>
    </w:p>
    <w:p w14:paraId="24C88F7E">
      <w:pPr>
        <w:spacing w:line="360" w:lineRule="auto"/>
        <w:ind w:firstLine="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取</w:t>
      </w:r>
      <w:r>
        <w:rPr>
          <w:i/>
          <w:iCs/>
          <w:color w:val="000000" w:themeColor="text1"/>
          <w:sz w:val="24"/>
          <w:highlight w:val="none"/>
          <w14:textFill>
            <w14:solidFill>
              <w14:schemeClr w14:val="tx1"/>
            </w14:solidFill>
          </w14:textFill>
        </w:rPr>
        <w:t>k</w:t>
      </w:r>
      <w:r>
        <w:rPr>
          <w:color w:val="000000" w:themeColor="text1"/>
          <w:sz w:val="24"/>
          <w:highlight w:val="none"/>
          <w14:textFill>
            <w14:solidFill>
              <w14:schemeClr w14:val="tx1"/>
            </w14:solidFill>
          </w14:textFill>
        </w:rPr>
        <w:t xml:space="preserve"> = 2，故扩展不确定度为：</w:t>
      </w:r>
    </w:p>
    <w:p w14:paraId="0625184B">
      <w:pPr>
        <w:spacing w:line="360" w:lineRule="auto"/>
        <w:ind w:firstLine="420"/>
        <w:jc w:val="center"/>
        <w:rPr>
          <w:color w:val="000000" w:themeColor="text1"/>
          <w:sz w:val="24"/>
          <w:highlight w:val="none"/>
          <w14:textFill>
            <w14:solidFill>
              <w14:schemeClr w14:val="tx1"/>
            </w14:solidFill>
          </w14:textFill>
        </w:rPr>
      </w:pPr>
      <w:r>
        <w:rPr>
          <w:i/>
          <w:iCs/>
          <w:color w:val="000000" w:themeColor="text1"/>
          <w:sz w:val="24"/>
          <w:highlight w:val="none"/>
          <w14:textFill>
            <w14:solidFill>
              <w14:schemeClr w14:val="tx1"/>
            </w14:solidFill>
          </w14:textFill>
        </w:rPr>
        <w:t>U</w:t>
      </w:r>
      <w:r>
        <w:rPr>
          <w:color w:val="000000" w:themeColor="text1"/>
          <w:sz w:val="24"/>
          <w:highlight w:val="none"/>
          <w14:textFill>
            <w14:solidFill>
              <w14:schemeClr w14:val="tx1"/>
            </w14:solidFill>
          </w14:textFill>
        </w:rPr>
        <w:t xml:space="preserve"> = </w:t>
      </w:r>
      <m:oMath>
        <m:r>
          <m:rPr/>
          <w:rPr>
            <w:rFonts w:ascii="Cambria Math" w:hAnsi="Cambria Math"/>
            <w:color w:val="000000" w:themeColor="text1"/>
            <w:szCs w:val="21"/>
            <w:highlight w:val="none"/>
            <w14:textFill>
              <w14:solidFill>
                <w14:schemeClr w14:val="tx1"/>
              </w14:solidFill>
            </w14:textFill>
          </w:rPr>
          <m:t>u</m:t>
        </m:r>
        <m:d>
          <m:dPr>
            <m:ctrlPr>
              <w:rPr>
                <w:rFonts w:ascii="Cambria Math" w:hAnsi="Cambria Math"/>
                <w:color w:val="000000" w:themeColor="text1"/>
                <w:szCs w:val="21"/>
                <w:highlight w:val="none"/>
                <w14:textFill>
                  <w14:solidFill>
                    <w14:schemeClr w14:val="tx1"/>
                  </w14:solidFill>
                </w14:textFill>
              </w:rPr>
            </m:ctrlPr>
          </m:dPr>
          <m:e>
            <m:r>
              <m:rPr/>
              <w:rPr>
                <w:rFonts w:ascii="Cambria Math" w:hAnsi="Cambria Math"/>
                <w:color w:val="000000" w:themeColor="text1"/>
                <w:sz w:val="24"/>
                <w:highlight w:val="none"/>
                <w14:textFill>
                  <w14:solidFill>
                    <w14:schemeClr w14:val="tx1"/>
                  </w14:solidFill>
                </w14:textFill>
              </w:rPr>
              <m:t>∆</m:t>
            </m:r>
            <m:ctrlPr>
              <w:rPr>
                <w:rFonts w:ascii="Cambria Math" w:hAnsi="Cambria Math"/>
                <w:color w:val="000000" w:themeColor="text1"/>
                <w:szCs w:val="21"/>
                <w:highlight w:val="none"/>
                <w14:textFill>
                  <w14:solidFill>
                    <w14:schemeClr w14:val="tx1"/>
                  </w14:solidFill>
                </w14:textFill>
              </w:rPr>
            </m:ctrlPr>
          </m:e>
        </m:d>
      </m:oMath>
      <w:r>
        <w:rPr>
          <w:color w:val="000000" w:themeColor="text1"/>
          <w:sz w:val="24"/>
          <w:highlight w:val="none"/>
          <w14:textFill>
            <w14:solidFill>
              <w14:schemeClr w14:val="tx1"/>
            </w14:solidFill>
          </w14:textFill>
        </w:rPr>
        <w:t>×</w:t>
      </w:r>
      <w:r>
        <w:rPr>
          <w:i/>
          <w:iCs/>
          <w:color w:val="000000" w:themeColor="text1"/>
          <w:sz w:val="24"/>
          <w:highlight w:val="none"/>
          <w14:textFill>
            <w14:solidFill>
              <w14:schemeClr w14:val="tx1"/>
            </w14:solidFill>
          </w14:textFill>
        </w:rPr>
        <w:t xml:space="preserve"> k</w:t>
      </w:r>
      <w:r>
        <w:rPr>
          <w:iCs/>
          <w:color w:val="000000" w:themeColor="text1"/>
          <w:sz w:val="24"/>
          <w:highlight w:val="none"/>
          <w14:textFill>
            <w14:solidFill>
              <w14:schemeClr w14:val="tx1"/>
            </w14:solidFill>
          </w14:textFill>
        </w:rPr>
        <w:t xml:space="preserve">=0.34%  </w:t>
      </w:r>
      <w:r>
        <w:rPr>
          <w:i/>
          <w:iCs/>
          <w:color w:val="000000" w:themeColor="text1"/>
          <w:sz w:val="24"/>
          <w:highlight w:val="none"/>
          <w14:textFill>
            <w14:solidFill>
              <w14:schemeClr w14:val="tx1"/>
            </w14:solidFill>
          </w14:textFill>
        </w:rPr>
        <w:t>k</w:t>
      </w:r>
      <w:r>
        <w:rPr>
          <w:iCs/>
          <w:color w:val="000000" w:themeColor="text1"/>
          <w:sz w:val="24"/>
          <w:highlight w:val="none"/>
          <w14:textFill>
            <w14:solidFill>
              <w14:schemeClr w14:val="tx1"/>
            </w14:solidFill>
          </w14:textFill>
        </w:rPr>
        <w:t>=2</w:t>
      </w:r>
    </w:p>
    <w:p w14:paraId="7DC6EC98">
      <w:pPr>
        <w:spacing w:before="50" w:line="360" w:lineRule="auto"/>
        <w:ind w:firstLine="420" w:firstLineChars="200"/>
        <w:rPr>
          <w:color w:val="000000" w:themeColor="text1"/>
          <w:highlight w:val="none"/>
          <w:u w:val="single"/>
          <w14:textFill>
            <w14:solidFill>
              <w14:schemeClr w14:val="tx1"/>
            </w14:solidFill>
          </w14:textFill>
        </w:rPr>
      </w:pPr>
    </w:p>
    <w:p w14:paraId="66B5241C">
      <w:pPr>
        <w:spacing w:before="50" w:line="360" w:lineRule="auto"/>
        <w:ind w:firstLine="420" w:firstLineChars="200"/>
        <w:rPr>
          <w:u w:val="single"/>
        </w:rPr>
      </w:pPr>
      <w:r>
        <mc:AlternateContent>
          <mc:Choice Requires="wps">
            <w:drawing>
              <wp:anchor distT="0" distB="0" distL="114300" distR="114300" simplePos="0" relativeHeight="251664384" behindDoc="0" locked="0" layoutInCell="1" allowOverlap="1">
                <wp:simplePos x="0" y="0"/>
                <wp:positionH relativeFrom="column">
                  <wp:posOffset>1700530</wp:posOffset>
                </wp:positionH>
                <wp:positionV relativeFrom="paragraph">
                  <wp:posOffset>173990</wp:posOffset>
                </wp:positionV>
                <wp:extent cx="2125980" cy="0"/>
                <wp:effectExtent l="0" t="0" r="0" b="0"/>
                <wp:wrapNone/>
                <wp:docPr id="3" name="Line 86"/>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19050">
                          <a:solidFill>
                            <a:srgbClr val="000000"/>
                          </a:solidFill>
                          <a:round/>
                        </a:ln>
                      </wps:spPr>
                      <wps:bodyPr/>
                    </wps:wsp>
                  </a:graphicData>
                </a:graphic>
              </wp:anchor>
            </w:drawing>
          </mc:Choice>
          <mc:Fallback>
            <w:pict>
              <v:line id="Line 86" o:spid="_x0000_s1026" o:spt="20" style="position:absolute;left:0pt;margin-left:133.9pt;margin-top:13.7pt;height:0pt;width:167.4pt;z-index:251664384;mso-width-relative:page;mso-height-relative:page;" filled="f" stroked="t" coordsize="21600,21600" o:gfxdata="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ZQq4NYAAAAJAQAADwAAAAAAAAABACAAAAAiAAAAZHJzL2Rv&#10;d25yZXYueG1sUEsBAhQAFAAAAAgAh07iQCktayfKAQAAoQMAAA4AAAAAAAAAAQAgAAAAJQEAAGRy&#10;cy9lMm9Eb2MueG1sUEsFBgAAAAAGAAYAWQEAAGEFAAAAAA==&#10;">
                <v:fill on="f" focussize="0,0"/>
                <v:stroke weight="1.5pt" color="#000000" joinstyle="round"/>
                <v:imagedata o:title=""/>
                <o:lock v:ext="edit" aspectratio="f"/>
              </v:line>
            </w:pict>
          </mc:Fallback>
        </mc:AlternateContent>
      </w:r>
    </w:p>
    <w:sectPr>
      <w:footerReference r:id="rId9" w:type="first"/>
      <w:footerReference r:id="rId8" w:type="default"/>
      <w:pgSz w:w="11906" w:h="16838"/>
      <w:pgMar w:top="1304" w:right="1558" w:bottom="1304" w:left="130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950F">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990C9">
    <w:pPr>
      <w:pStyle w:val="24"/>
      <w:jc w:val="center"/>
    </w:pPr>
    <w:r>
      <w:fldChar w:fldCharType="begin"/>
    </w:r>
    <w:r>
      <w:instrText xml:space="preserve">PAGE   \* MERGEFORMAT</w:instrText>
    </w:r>
    <w:r>
      <w:fldChar w:fldCharType="separate"/>
    </w:r>
    <w:r>
      <w:rPr>
        <w:lang w:val="zh-CN"/>
      </w:rPr>
      <w:t>II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7F47">
    <w:pPr>
      <w:pStyle w:val="24"/>
      <w:jc w:val="center"/>
    </w:pPr>
    <w:r>
      <w:fldChar w:fldCharType="begin"/>
    </w:r>
    <w:r>
      <w:instrText xml:space="preserve">PAGE   \* MERGEFORMAT</w:instrText>
    </w:r>
    <w:r>
      <w:fldChar w:fldCharType="separate"/>
    </w:r>
    <w:r>
      <w:rPr>
        <w:lang w:val="zh-CN"/>
      </w:rPr>
      <w:t>I</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8420">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8B57B">
                          <w:pPr>
                            <w:pStyle w:val="24"/>
                            <w:jc w:val="center"/>
                          </w:pPr>
                          <w:r>
                            <w:fldChar w:fldCharType="begin"/>
                          </w:r>
                          <w:r>
                            <w:instrText xml:space="preserve">PAGE   \* MERGEFORMAT</w:instrText>
                          </w:r>
                          <w:r>
                            <w:fldChar w:fldCharType="separate"/>
                          </w:r>
                          <w:r>
                            <w:rPr>
                              <w:lang w:val="zh-CN"/>
                            </w:rPr>
                            <w:t>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tQylrzECAABSBAAADgAAAAAAAAABACAAAAAgAQAAZHJzL2Uyb0RvYy54bWxQSwUG&#10;AAAAAAYABgBZAQAAwwUAAAAA&#10;">
              <v:fill on="f" focussize="0,0"/>
              <v:stroke on="f" weight="0.5pt"/>
              <v:imagedata o:title=""/>
              <o:lock v:ext="edit" aspectratio="f"/>
              <v:textbox inset="0mm,0mm,0mm,0mm" style="mso-fit-shape-to-text:t;">
                <w:txbxContent>
                  <w:p w14:paraId="4618B57B">
                    <w:pPr>
                      <w:pStyle w:val="24"/>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0B96">
    <w:pPr>
      <w:pStyle w:val="2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BC6D5">
                          <w:pPr>
                            <w:pStyle w:val="24"/>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A6qyPGMAIAAFIEAAAOAAAAAAAAAAEAIAAAACABAABkcnMvZTJvRG9jLnhtbFBLBQYA&#10;AAAABgAGAFkBAADCBQAAAAA=&#10;">
              <v:fill on="f" focussize="0,0"/>
              <v:stroke on="f" weight="0.5pt"/>
              <v:imagedata o:title=""/>
              <o:lock v:ext="edit" aspectratio="f"/>
              <v:textbox inset="0mm,0mm,0mm,0mm" style="mso-fit-shape-to-text:t;">
                <w:txbxContent>
                  <w:p w14:paraId="090BC6D5">
                    <w:pPr>
                      <w:pStyle w:val="24"/>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B587">
    <w:pPr>
      <w:pStyle w:val="25"/>
    </w:pPr>
    <w:r>
      <w:rPr>
        <w:rFonts w:hint="eastAsia"/>
      </w:rPr>
      <w:t xml:space="preserve">JJF </w:t>
    </w:r>
    <w:r>
      <w:rPr>
        <w:rFonts w:eastAsia="黑体"/>
        <w:sz w:val="24"/>
      </w:rPr>
      <w:t>××××</w:t>
    </w:r>
    <w:r>
      <w:rPr>
        <w:rFonts w:hint="eastAsia"/>
      </w:rPr>
      <w:t>-20</w:t>
    </w:r>
    <w:r>
      <w:rPr>
        <w:rFonts w:eastAsia="黑体"/>
        <w:sz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93B4">
    <w:pPr>
      <w:pStyle w:val="25"/>
    </w:pPr>
    <w:r>
      <w:rPr>
        <w:rFonts w:hint="eastAsia"/>
      </w:rPr>
      <w:t xml:space="preserve">JJF </w:t>
    </w:r>
    <w:r>
      <w:rPr>
        <w:rFonts w:eastAsia="黑体"/>
        <w:sz w:val="24"/>
      </w:rPr>
      <w:t>××××</w:t>
    </w:r>
    <w:r>
      <w:rPr>
        <w:rFonts w:hint="eastAsia"/>
      </w:rPr>
      <w:t>-20</w:t>
    </w:r>
    <w:r>
      <w:rPr>
        <w:rFonts w:eastAsia="黑体"/>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14"/>
      <w:lvlText w:val="%1示例"/>
      <w:lvlJc w:val="left"/>
      <w:pPr>
        <w:tabs>
          <w:tab w:val="left" w:pos="1120"/>
        </w:tabs>
        <w:ind w:firstLine="400"/>
      </w:pPr>
      <w:rPr>
        <w:rFonts w:hint="eastAsia" w:ascii="宋体" w:eastAsia="宋体" w:cs="Times New Roman"/>
        <w:b w:val="0"/>
        <w:i w:val="0"/>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6806F7D"/>
    <w:multiLevelType w:val="multilevel"/>
    <w:tmpl w:val="46806F7D"/>
    <w:lvl w:ilvl="0" w:tentative="0">
      <w:start w:val="1"/>
      <w:numFmt w:val="none"/>
      <w:pStyle w:val="104"/>
      <w:lvlText w:val="图"/>
      <w:lvlJc w:val="left"/>
      <w:pPr>
        <w:tabs>
          <w:tab w:val="left" w:pos="360"/>
        </w:tabs>
      </w:pPr>
      <w:rPr>
        <w:rFonts w:hint="eastAsia" w:ascii="黑体" w:eastAsia="黑体" w:cs="Times New Roman"/>
        <w:b w:val="0"/>
        <w:i w:val="0"/>
        <w:sz w:val="21"/>
        <w:szCs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6D22D8F"/>
    <w:multiLevelType w:val="multilevel"/>
    <w:tmpl w:val="46D22D8F"/>
    <w:lvl w:ilvl="0" w:tentative="0">
      <w:start w:val="1"/>
      <w:numFmt w:val="none"/>
      <w:pStyle w:val="78"/>
      <w:lvlText w:val="%1◆　"/>
      <w:lvlJc w:val="left"/>
      <w:pPr>
        <w:tabs>
          <w:tab w:val="left" w:pos="960"/>
        </w:tabs>
        <w:ind w:left="917" w:hanging="317"/>
      </w:pPr>
      <w:rPr>
        <w:rFonts w:hint="eastAsia" w:ascii="宋体" w:hAnsi="Times New Roman" w:eastAsia="宋体" w:cs="Times New Roman"/>
        <w:b w:val="0"/>
        <w:i w:val="0"/>
        <w:position w:val="4"/>
        <w:sz w:val="11"/>
        <w:szCs w:val="1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96E4D7B"/>
    <w:multiLevelType w:val="multilevel"/>
    <w:tmpl w:val="496E4D7B"/>
    <w:lvl w:ilvl="0" w:tentative="0">
      <w:start w:val="1"/>
      <w:numFmt w:val="none"/>
      <w:pStyle w:val="122"/>
      <w:lvlText w:val="%1注"/>
      <w:lvlJc w:val="left"/>
      <w:pPr>
        <w:tabs>
          <w:tab w:val="left" w:pos="900"/>
        </w:tabs>
        <w:ind w:left="900" w:hanging="500"/>
      </w:pPr>
      <w:rPr>
        <w:rFonts w:hint="eastAsia" w:ascii="宋体" w:hAnsi="Times New Roman" w:eastAsia="宋体" w:cs="Times New Roman"/>
        <w:b w:val="0"/>
        <w:i w:val="0"/>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F302902"/>
    <w:multiLevelType w:val="multilevel"/>
    <w:tmpl w:val="4F302902"/>
    <w:lvl w:ilvl="0" w:tentative="0">
      <w:start w:val="1"/>
      <w:numFmt w:val="none"/>
      <w:pStyle w:val="79"/>
      <w:lvlText w:val="表"/>
      <w:lvlJc w:val="left"/>
      <w:pPr>
        <w:tabs>
          <w:tab w:val="left" w:pos="360"/>
        </w:tabs>
      </w:pPr>
      <w:rPr>
        <w:rFonts w:hint="eastAsia" w:ascii="黑体" w:eastAsia="黑体" w:cs="Times New Roman"/>
        <w:b w:val="0"/>
        <w:i w:val="0"/>
        <w:sz w:val="21"/>
        <w:szCs w:val="21"/>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57C2AF5"/>
    <w:multiLevelType w:val="multilevel"/>
    <w:tmpl w:val="557C2AF5"/>
    <w:lvl w:ilvl="0" w:tentative="0">
      <w:start w:val="1"/>
      <w:numFmt w:val="decimal"/>
      <w:pStyle w:val="120"/>
      <w:suff w:val="nothing"/>
      <w:lvlText w:val="图%1　"/>
      <w:lvlJc w:val="left"/>
      <w:rPr>
        <w:rFonts w:hint="eastAsia" w:ascii="黑体" w:hAnsi="Times New Roman" w:eastAsia="黑体" w:cs="Times New Roman"/>
        <w:b w:val="0"/>
        <w:i w:val="0"/>
        <w:sz w:val="21"/>
        <w:szCs w:val="21"/>
      </w:rPr>
    </w:lvl>
    <w:lvl w:ilvl="1" w:tentative="0">
      <w:start w:val="1"/>
      <w:numFmt w:val="decimal"/>
      <w:suff w:val="nothing"/>
      <w:lvlText w:val="%1%2　"/>
      <w:lvlJc w:val="left"/>
      <w:rPr>
        <w:rFonts w:hint="default" w:ascii="Times New Roman" w:hAnsi="Times New Roman" w:eastAsia="黑体" w:cs="Times New Roman"/>
        <w:b w:val="0"/>
        <w:i w:val="0"/>
        <w:sz w:val="21"/>
        <w:szCs w:val="21"/>
      </w:rPr>
    </w:lvl>
    <w:lvl w:ilvl="2" w:tentative="0">
      <w:start w:val="1"/>
      <w:numFmt w:val="decimal"/>
      <w:suff w:val="nothing"/>
      <w:lvlText w:val="%1%2.%3　"/>
      <w:lvlJc w:val="left"/>
      <w:rPr>
        <w:rFonts w:hint="default" w:ascii="Times New Roman" w:hAnsi="Times New Roman" w:eastAsia="黑体" w:cs="Times New Roman"/>
        <w:b w:val="0"/>
        <w:i w:val="0"/>
        <w:sz w:val="21"/>
        <w:szCs w:val="21"/>
      </w:rPr>
    </w:lvl>
    <w:lvl w:ilvl="3" w:tentative="0">
      <w:start w:val="1"/>
      <w:numFmt w:val="decimal"/>
      <w:suff w:val="nothing"/>
      <w:lvlText w:val="%1%2.%3.%4　"/>
      <w:lvlJc w:val="left"/>
      <w:rPr>
        <w:rFonts w:hint="default" w:ascii="Times New Roman" w:hAnsi="Times New Roman" w:eastAsia="黑体" w:cs="Times New Roman"/>
        <w:b w:val="0"/>
        <w:i w:val="0"/>
        <w:sz w:val="21"/>
        <w:szCs w:val="21"/>
      </w:rPr>
    </w:lvl>
    <w:lvl w:ilvl="4" w:tentative="0">
      <w:start w:val="1"/>
      <w:numFmt w:val="decimal"/>
      <w:suff w:val="nothing"/>
      <w:lvlText w:val="%1%2.%3.%4.%5　"/>
      <w:lvlJc w:val="left"/>
      <w:rPr>
        <w:rFonts w:hint="default" w:ascii="Times New Roman" w:hAnsi="Times New Roman" w:eastAsia="黑体" w:cs="Times New Roman"/>
        <w:b w:val="0"/>
        <w:i w:val="0"/>
        <w:sz w:val="21"/>
        <w:szCs w:val="21"/>
      </w:rPr>
    </w:lvl>
    <w:lvl w:ilvl="5" w:tentative="0">
      <w:start w:val="1"/>
      <w:numFmt w:val="decimal"/>
      <w:suff w:val="nothing"/>
      <w:lvlText w:val="%1%2.%3.%4.%5.%6　"/>
      <w:lvlJc w:val="left"/>
      <w:rPr>
        <w:rFonts w:hint="default" w:ascii="Times New Roman" w:hAnsi="Times New Roman" w:eastAsia="黑体" w:cs="Times New Roman"/>
        <w:b w:val="0"/>
        <w:i w:val="0"/>
        <w:sz w:val="21"/>
        <w:szCs w:val="21"/>
      </w:rPr>
    </w:lvl>
    <w:lvl w:ilvl="6" w:tentative="0">
      <w:start w:val="1"/>
      <w:numFmt w:val="decimal"/>
      <w:suff w:val="nothing"/>
      <w:lvlText w:val="%1%2.%3.%4.%5.%6.%7　"/>
      <w:lvlJc w:val="left"/>
      <w:rPr>
        <w:rFonts w:hint="default" w:ascii="Times New Roman" w:hAnsi="Times New Roman" w:eastAsia="黑体" w:cs="Times New Roman"/>
        <w:b w:val="0"/>
        <w:i w:val="0"/>
        <w:sz w:val="21"/>
        <w:szCs w:val="21"/>
      </w:rPr>
    </w:lvl>
    <w:lvl w:ilvl="7" w:tentative="0">
      <w:start w:val="1"/>
      <w:numFmt w:val="decimal"/>
      <w:lvlText w:val="%1.%2.%3.%4.%5.%6.%7.%8"/>
      <w:lvlJc w:val="left"/>
      <w:pPr>
        <w:tabs>
          <w:tab w:val="left" w:pos="15833"/>
        </w:tabs>
        <w:ind w:left="15451" w:hanging="1418"/>
      </w:pPr>
      <w:rPr>
        <w:rFonts w:hint="eastAsia" w:cs="Times New Roman"/>
      </w:rPr>
    </w:lvl>
    <w:lvl w:ilvl="8" w:tentative="0">
      <w:start w:val="1"/>
      <w:numFmt w:val="decimal"/>
      <w:lvlText w:val="%1.%2.%3.%4.%5.%6.%7.%8.%9"/>
      <w:lvlJc w:val="left"/>
      <w:pPr>
        <w:tabs>
          <w:tab w:val="left" w:pos="16259"/>
        </w:tabs>
        <w:ind w:left="16159" w:hanging="1700"/>
      </w:pPr>
      <w:rPr>
        <w:rFonts w:hint="eastAsia" w:cs="Times New Roman"/>
      </w:rPr>
    </w:lvl>
  </w:abstractNum>
  <w:abstractNum w:abstractNumId="6">
    <w:nsid w:val="6350366A"/>
    <w:multiLevelType w:val="multilevel"/>
    <w:tmpl w:val="6350366A"/>
    <w:lvl w:ilvl="0" w:tentative="0">
      <w:start w:val="1"/>
      <w:numFmt w:val="none"/>
      <w:pStyle w:val="109"/>
      <w:lvlText w:val="%1●　"/>
      <w:lvlJc w:val="left"/>
      <w:pPr>
        <w:tabs>
          <w:tab w:val="left" w:pos="760"/>
        </w:tabs>
        <w:ind w:left="717" w:hanging="317"/>
      </w:pPr>
      <w:rPr>
        <w:rFonts w:hint="eastAsia" w:ascii="宋体" w:hAnsi="Times New Roman" w:eastAsia="宋体" w:cs="Times New Roman"/>
        <w:b w:val="0"/>
        <w:i w:val="0"/>
        <w:position w:val="4"/>
        <w:sz w:val="13"/>
        <w:szCs w:val="13"/>
      </w:rPr>
    </w:lvl>
    <w:lvl w:ilvl="1" w:tentative="0">
      <w:start w:val="1"/>
      <w:numFmt w:val="lowerLetter"/>
      <w:lvlText w:val="%2)"/>
      <w:lvlJc w:val="left"/>
      <w:pPr>
        <w:tabs>
          <w:tab w:val="left" w:pos="780"/>
        </w:tabs>
        <w:ind w:left="780" w:hanging="360"/>
      </w:pPr>
      <w:rPr>
        <w:rFonts w:hint="eastAsia"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46260FA"/>
    <w:multiLevelType w:val="multilevel"/>
    <w:tmpl w:val="646260FA"/>
    <w:lvl w:ilvl="0" w:tentative="0">
      <w:start w:val="1"/>
      <w:numFmt w:val="decimal"/>
      <w:pStyle w:val="119"/>
      <w:suff w:val="nothing"/>
      <w:lvlText w:val="表%1　"/>
      <w:lvlJc w:val="left"/>
      <w:rPr>
        <w:rFonts w:hint="eastAsia" w:ascii="黑体" w:hAnsi="Times New Roman" w:eastAsia="黑体" w:cs="Times New Roman"/>
        <w:b w:val="0"/>
        <w:i w:val="0"/>
        <w:sz w:val="21"/>
        <w:szCs w:val="21"/>
      </w:rPr>
    </w:lvl>
    <w:lvl w:ilvl="1" w:tentative="0">
      <w:start w:val="1"/>
      <w:numFmt w:val="decimal"/>
      <w:lvlText w:val="%1.%2"/>
      <w:lvlJc w:val="left"/>
      <w:pPr>
        <w:tabs>
          <w:tab w:val="left" w:pos="4678"/>
        </w:tabs>
        <w:ind w:left="4678" w:hanging="567"/>
      </w:pPr>
      <w:rPr>
        <w:rFonts w:hint="eastAsia" w:cs="Times New Roman"/>
      </w:rPr>
    </w:lvl>
    <w:lvl w:ilvl="2" w:tentative="0">
      <w:start w:val="1"/>
      <w:numFmt w:val="decimal"/>
      <w:lvlText w:val="%1.%2.%3"/>
      <w:lvlJc w:val="left"/>
      <w:pPr>
        <w:tabs>
          <w:tab w:val="left" w:pos="5104"/>
        </w:tabs>
        <w:ind w:left="5104" w:hanging="567"/>
      </w:pPr>
      <w:rPr>
        <w:rFonts w:hint="eastAsia" w:cs="Times New Roman"/>
      </w:rPr>
    </w:lvl>
    <w:lvl w:ilvl="3" w:tentative="0">
      <w:start w:val="1"/>
      <w:numFmt w:val="decimal"/>
      <w:lvlText w:val="%1.%2.%3.%4"/>
      <w:lvlJc w:val="left"/>
      <w:pPr>
        <w:tabs>
          <w:tab w:val="left" w:pos="5670"/>
        </w:tabs>
        <w:ind w:left="5670" w:hanging="708"/>
      </w:pPr>
      <w:rPr>
        <w:rFonts w:hint="eastAsia" w:cs="Times New Roman"/>
      </w:rPr>
    </w:lvl>
    <w:lvl w:ilvl="4" w:tentative="0">
      <w:start w:val="1"/>
      <w:numFmt w:val="decimal"/>
      <w:lvlText w:val="%1.%2.%3.%4.%5"/>
      <w:lvlJc w:val="left"/>
      <w:pPr>
        <w:tabs>
          <w:tab w:val="left" w:pos="6237"/>
        </w:tabs>
        <w:ind w:left="6237" w:hanging="850"/>
      </w:pPr>
      <w:rPr>
        <w:rFonts w:hint="eastAsia" w:cs="Times New Roman"/>
      </w:rPr>
    </w:lvl>
    <w:lvl w:ilvl="5" w:tentative="0">
      <w:start w:val="1"/>
      <w:numFmt w:val="decimal"/>
      <w:lvlText w:val="%1.%2.%3.%4.%5.%6"/>
      <w:lvlJc w:val="left"/>
      <w:pPr>
        <w:tabs>
          <w:tab w:val="left" w:pos="6946"/>
        </w:tabs>
        <w:ind w:left="6946" w:hanging="1134"/>
      </w:pPr>
      <w:rPr>
        <w:rFonts w:hint="eastAsia" w:cs="Times New Roman"/>
      </w:rPr>
    </w:lvl>
    <w:lvl w:ilvl="6" w:tentative="0">
      <w:start w:val="1"/>
      <w:numFmt w:val="decimal"/>
      <w:lvlText w:val="%1.%2.%3.%4.%5.%6.%7"/>
      <w:lvlJc w:val="left"/>
      <w:pPr>
        <w:tabs>
          <w:tab w:val="left" w:pos="7513"/>
        </w:tabs>
        <w:ind w:left="7513" w:hanging="1276"/>
      </w:pPr>
      <w:rPr>
        <w:rFonts w:hint="eastAsia" w:cs="Times New Roman"/>
      </w:rPr>
    </w:lvl>
    <w:lvl w:ilvl="7" w:tentative="0">
      <w:start w:val="1"/>
      <w:numFmt w:val="decimal"/>
      <w:lvlText w:val="%1.%2.%3.%4.%5.%6.%7.%8"/>
      <w:lvlJc w:val="left"/>
      <w:pPr>
        <w:tabs>
          <w:tab w:val="left" w:pos="8080"/>
        </w:tabs>
        <w:ind w:left="8080" w:hanging="1418"/>
      </w:pPr>
      <w:rPr>
        <w:rFonts w:hint="eastAsia" w:cs="Times New Roman"/>
      </w:rPr>
    </w:lvl>
    <w:lvl w:ilvl="8" w:tentative="0">
      <w:start w:val="1"/>
      <w:numFmt w:val="decimal"/>
      <w:lvlText w:val="%1.%2.%3.%4.%5.%6.%7.%8.%9"/>
      <w:lvlJc w:val="left"/>
      <w:pPr>
        <w:tabs>
          <w:tab w:val="left" w:pos="8788"/>
        </w:tabs>
        <w:ind w:left="8788" w:hanging="1700"/>
      </w:pPr>
      <w:rPr>
        <w:rFonts w:hint="eastAsia" w:cs="Times New Roman"/>
      </w:rPr>
    </w:lvl>
  </w:abstractNum>
  <w:abstractNum w:abstractNumId="8">
    <w:nsid w:val="657D3FBC"/>
    <w:multiLevelType w:val="multilevel"/>
    <w:tmpl w:val="657D3FBC"/>
    <w:lvl w:ilvl="0" w:tentative="0">
      <w:start w:val="1"/>
      <w:numFmt w:val="upperLetter"/>
      <w:pStyle w:val="61"/>
      <w:suff w:val="nothing"/>
      <w:lvlText w:val="附　录　%1"/>
      <w:lvlJc w:val="left"/>
      <w:pPr>
        <w:ind w:left="0" w:firstLine="0"/>
      </w:pPr>
      <w:rPr>
        <w:rFonts w:hint="default" w:ascii="Arial" w:hAnsi="Arial" w:eastAsia="黑体" w:cs="Arial"/>
        <w:b w:val="0"/>
        <w:i w:val="0"/>
        <w:sz w:val="21"/>
      </w:rPr>
    </w:lvl>
    <w:lvl w:ilvl="1" w:tentative="0">
      <w:start w:val="1"/>
      <w:numFmt w:val="decimal"/>
      <w:pStyle w:val="62"/>
      <w:suff w:val="nothing"/>
      <w:lvlText w:val="%1.%2　"/>
      <w:lvlJc w:val="left"/>
      <w:pPr>
        <w:ind w:left="1260" w:firstLine="0"/>
      </w:pPr>
      <w:rPr>
        <w:rFonts w:hint="eastAsia" w:ascii="黑体" w:hAnsi="Times New Roman" w:eastAsia="黑体"/>
        <w:b w:val="0"/>
        <w:i w:val="0"/>
        <w:snapToGrid/>
        <w:spacing w:val="0"/>
        <w:w w:val="100"/>
        <w:kern w:val="21"/>
        <w:sz w:val="21"/>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64"/>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6"/>
      <w:suff w:val="nothing"/>
      <w:lvlText w:val="%1.%2.%3.%4.%5.%6　"/>
      <w:lvlJc w:val="left"/>
      <w:pPr>
        <w:ind w:left="0" w:firstLine="0"/>
      </w:pPr>
      <w:rPr>
        <w:rFonts w:hint="eastAsia" w:ascii="黑体" w:hAnsi="Times New Roman" w:eastAsia="黑体"/>
        <w:b w:val="0"/>
        <w:i w:val="0"/>
        <w:sz w:val="21"/>
      </w:rPr>
    </w:lvl>
    <w:lvl w:ilvl="6" w:tentative="0">
      <w:start w:val="1"/>
      <w:numFmt w:val="decimal"/>
      <w:pStyle w:val="6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51"/>
      <w:suff w:val="nothing"/>
      <w:lvlText w:val="%1"/>
      <w:lvlJc w:val="left"/>
      <w:pPr>
        <w:ind w:left="0" w:firstLine="0"/>
      </w:pPr>
      <w:rPr>
        <w:rFonts w:hint="default" w:ascii="Times New Roman" w:hAnsi="Times New Roman"/>
        <w:b/>
        <w:i w:val="0"/>
        <w:sz w:val="21"/>
      </w:rPr>
    </w:lvl>
    <w:lvl w:ilvl="1" w:tentative="0">
      <w:start w:val="1"/>
      <w:numFmt w:val="decimal"/>
      <w:pStyle w:val="53"/>
      <w:suff w:val="nothing"/>
      <w:lvlText w:val="%1%2　"/>
      <w:lvlJc w:val="left"/>
      <w:pPr>
        <w:ind w:left="0" w:firstLine="0"/>
      </w:pPr>
      <w:rPr>
        <w:rFonts w:hint="default" w:ascii="Arial" w:hAnsi="Arial" w:eastAsia="黑体" w:cs="Arial"/>
        <w:b w:val="0"/>
        <w:i w:val="0"/>
        <w:sz w:val="21"/>
      </w:rPr>
    </w:lvl>
    <w:lvl w:ilvl="2" w:tentative="0">
      <w:start w:val="1"/>
      <w:numFmt w:val="decimal"/>
      <w:pStyle w:val="54"/>
      <w:suff w:val="nothing"/>
      <w:lvlText w:val="%1%2.%3　"/>
      <w:lvlJc w:val="left"/>
      <w:pPr>
        <w:ind w:left="3570" w:firstLine="0"/>
      </w:pPr>
      <w:rPr>
        <w:rFonts w:hint="eastAsia" w:ascii="黑体" w:hAnsi="Times New Roman" w:eastAsia="黑体"/>
        <w:b w:val="0"/>
        <w:i w:val="0"/>
        <w:sz w:val="21"/>
      </w:rPr>
    </w:lvl>
    <w:lvl w:ilvl="3" w:tentative="0">
      <w:start w:val="1"/>
      <w:numFmt w:val="decimal"/>
      <w:pStyle w:val="55"/>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pStyle w:val="5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21"/>
      <w:lvlText w:val="%1注："/>
      <w:lvlJc w:val="left"/>
      <w:pPr>
        <w:tabs>
          <w:tab w:val="left" w:pos="1140"/>
        </w:tabs>
        <w:ind w:left="840" w:hanging="420"/>
      </w:pPr>
      <w:rPr>
        <w:rFonts w:hint="eastAsia" w:ascii="宋体" w:hAnsi="Times New Roman" w:eastAsia="宋体" w:cs="Times New Roman"/>
        <w:b w:val="0"/>
        <w:i w:val="0"/>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76933334"/>
    <w:multiLevelType w:val="multilevel"/>
    <w:tmpl w:val="76933334"/>
    <w:lvl w:ilvl="0" w:tentative="0">
      <w:start w:val="1"/>
      <w:numFmt w:val="none"/>
      <w:pStyle w:val="108"/>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9"/>
  </w:num>
  <w:num w:numId="2">
    <w:abstractNumId w:val="8"/>
  </w:num>
  <w:num w:numId="3">
    <w:abstractNumId w:val="2"/>
  </w:num>
  <w:num w:numId="4">
    <w:abstractNumId w:val="4"/>
  </w:num>
  <w:num w:numId="5">
    <w:abstractNumId w:val="1"/>
  </w:num>
  <w:num w:numId="6">
    <w:abstractNumId w:val="11"/>
  </w:num>
  <w:num w:numId="7">
    <w:abstractNumId w:val="6"/>
  </w:num>
  <w:num w:numId="8">
    <w:abstractNumId w:val="0"/>
  </w:num>
  <w:num w:numId="9">
    <w:abstractNumId w:val="7"/>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DB"/>
    <w:rsid w:val="00000465"/>
    <w:rsid w:val="00001AB1"/>
    <w:rsid w:val="00002DC7"/>
    <w:rsid w:val="00003446"/>
    <w:rsid w:val="00004C43"/>
    <w:rsid w:val="00006514"/>
    <w:rsid w:val="00007BC6"/>
    <w:rsid w:val="00007BCF"/>
    <w:rsid w:val="000112BE"/>
    <w:rsid w:val="000114DC"/>
    <w:rsid w:val="00011B73"/>
    <w:rsid w:val="00012755"/>
    <w:rsid w:val="00014B25"/>
    <w:rsid w:val="00015B00"/>
    <w:rsid w:val="00015E09"/>
    <w:rsid w:val="000202FC"/>
    <w:rsid w:val="00020A41"/>
    <w:rsid w:val="0002368F"/>
    <w:rsid w:val="00025054"/>
    <w:rsid w:val="0002687F"/>
    <w:rsid w:val="0002739F"/>
    <w:rsid w:val="00027B6C"/>
    <w:rsid w:val="0003095F"/>
    <w:rsid w:val="00031E2E"/>
    <w:rsid w:val="00032BAF"/>
    <w:rsid w:val="00034E03"/>
    <w:rsid w:val="0003543F"/>
    <w:rsid w:val="00036BED"/>
    <w:rsid w:val="00040457"/>
    <w:rsid w:val="0004071C"/>
    <w:rsid w:val="00040F6E"/>
    <w:rsid w:val="0004143D"/>
    <w:rsid w:val="000415B1"/>
    <w:rsid w:val="00042F47"/>
    <w:rsid w:val="00043ECE"/>
    <w:rsid w:val="00044024"/>
    <w:rsid w:val="000443A0"/>
    <w:rsid w:val="00044D1D"/>
    <w:rsid w:val="000453FF"/>
    <w:rsid w:val="00045A7B"/>
    <w:rsid w:val="00046E12"/>
    <w:rsid w:val="00050C1F"/>
    <w:rsid w:val="0005145A"/>
    <w:rsid w:val="00052E5E"/>
    <w:rsid w:val="00053BEF"/>
    <w:rsid w:val="00055391"/>
    <w:rsid w:val="000554A0"/>
    <w:rsid w:val="00056D5A"/>
    <w:rsid w:val="00056E5E"/>
    <w:rsid w:val="00060BF2"/>
    <w:rsid w:val="00061729"/>
    <w:rsid w:val="000634BA"/>
    <w:rsid w:val="00063A33"/>
    <w:rsid w:val="00064660"/>
    <w:rsid w:val="00064F75"/>
    <w:rsid w:val="000663E8"/>
    <w:rsid w:val="00070FEB"/>
    <w:rsid w:val="00073666"/>
    <w:rsid w:val="0007592E"/>
    <w:rsid w:val="00076890"/>
    <w:rsid w:val="00076A23"/>
    <w:rsid w:val="000801BB"/>
    <w:rsid w:val="000809BE"/>
    <w:rsid w:val="00080E4A"/>
    <w:rsid w:val="000817B3"/>
    <w:rsid w:val="00082AAE"/>
    <w:rsid w:val="00083318"/>
    <w:rsid w:val="0008576B"/>
    <w:rsid w:val="00086564"/>
    <w:rsid w:val="000876E9"/>
    <w:rsid w:val="00091106"/>
    <w:rsid w:val="00091971"/>
    <w:rsid w:val="00091FA8"/>
    <w:rsid w:val="00092251"/>
    <w:rsid w:val="00092430"/>
    <w:rsid w:val="00095BB4"/>
    <w:rsid w:val="00096F0A"/>
    <w:rsid w:val="00097736"/>
    <w:rsid w:val="000977D4"/>
    <w:rsid w:val="000A02BF"/>
    <w:rsid w:val="000A13DF"/>
    <w:rsid w:val="000A1A61"/>
    <w:rsid w:val="000A2FB0"/>
    <w:rsid w:val="000A33A4"/>
    <w:rsid w:val="000A3908"/>
    <w:rsid w:val="000A460C"/>
    <w:rsid w:val="000A4E8F"/>
    <w:rsid w:val="000A58C5"/>
    <w:rsid w:val="000A63C0"/>
    <w:rsid w:val="000B0A82"/>
    <w:rsid w:val="000B1B33"/>
    <w:rsid w:val="000B22BF"/>
    <w:rsid w:val="000B3412"/>
    <w:rsid w:val="000B3552"/>
    <w:rsid w:val="000B3696"/>
    <w:rsid w:val="000B4564"/>
    <w:rsid w:val="000B4E78"/>
    <w:rsid w:val="000B4EAD"/>
    <w:rsid w:val="000B527F"/>
    <w:rsid w:val="000B6FCA"/>
    <w:rsid w:val="000B7A8C"/>
    <w:rsid w:val="000B7B85"/>
    <w:rsid w:val="000C0240"/>
    <w:rsid w:val="000C3CED"/>
    <w:rsid w:val="000C3F86"/>
    <w:rsid w:val="000C5801"/>
    <w:rsid w:val="000C5ABA"/>
    <w:rsid w:val="000C61FC"/>
    <w:rsid w:val="000C73DC"/>
    <w:rsid w:val="000D33F6"/>
    <w:rsid w:val="000D3444"/>
    <w:rsid w:val="000D371D"/>
    <w:rsid w:val="000D4745"/>
    <w:rsid w:val="000D5100"/>
    <w:rsid w:val="000D52E6"/>
    <w:rsid w:val="000E1285"/>
    <w:rsid w:val="000E1790"/>
    <w:rsid w:val="000E203D"/>
    <w:rsid w:val="000E222E"/>
    <w:rsid w:val="000E2872"/>
    <w:rsid w:val="000E2EEE"/>
    <w:rsid w:val="000E71D6"/>
    <w:rsid w:val="000E7251"/>
    <w:rsid w:val="000F0344"/>
    <w:rsid w:val="000F0379"/>
    <w:rsid w:val="000F2036"/>
    <w:rsid w:val="000F2B78"/>
    <w:rsid w:val="000F4080"/>
    <w:rsid w:val="000F5F4E"/>
    <w:rsid w:val="000F6115"/>
    <w:rsid w:val="000F6832"/>
    <w:rsid w:val="000F6AEF"/>
    <w:rsid w:val="000F704C"/>
    <w:rsid w:val="001001F3"/>
    <w:rsid w:val="00101681"/>
    <w:rsid w:val="00101A92"/>
    <w:rsid w:val="00101CDC"/>
    <w:rsid w:val="00102AFE"/>
    <w:rsid w:val="00103B9E"/>
    <w:rsid w:val="0010564C"/>
    <w:rsid w:val="00105EA7"/>
    <w:rsid w:val="0010795B"/>
    <w:rsid w:val="00107B7A"/>
    <w:rsid w:val="00112A7F"/>
    <w:rsid w:val="00114EAF"/>
    <w:rsid w:val="00114F93"/>
    <w:rsid w:val="00115577"/>
    <w:rsid w:val="00115963"/>
    <w:rsid w:val="00116100"/>
    <w:rsid w:val="00117993"/>
    <w:rsid w:val="001208E5"/>
    <w:rsid w:val="00120CAD"/>
    <w:rsid w:val="00120D38"/>
    <w:rsid w:val="001216CB"/>
    <w:rsid w:val="00122415"/>
    <w:rsid w:val="00123DEE"/>
    <w:rsid w:val="00124E20"/>
    <w:rsid w:val="0012771B"/>
    <w:rsid w:val="001300C5"/>
    <w:rsid w:val="00130DCF"/>
    <w:rsid w:val="00132A0B"/>
    <w:rsid w:val="00132EAD"/>
    <w:rsid w:val="001355E5"/>
    <w:rsid w:val="00135EE3"/>
    <w:rsid w:val="00140FAC"/>
    <w:rsid w:val="001425F9"/>
    <w:rsid w:val="00142C8E"/>
    <w:rsid w:val="00143610"/>
    <w:rsid w:val="001453E4"/>
    <w:rsid w:val="001472B0"/>
    <w:rsid w:val="00147923"/>
    <w:rsid w:val="001502BD"/>
    <w:rsid w:val="001543C4"/>
    <w:rsid w:val="00154641"/>
    <w:rsid w:val="0015652F"/>
    <w:rsid w:val="00157D54"/>
    <w:rsid w:val="00160CE0"/>
    <w:rsid w:val="00160D2E"/>
    <w:rsid w:val="00161867"/>
    <w:rsid w:val="001618E3"/>
    <w:rsid w:val="00163115"/>
    <w:rsid w:val="001632B4"/>
    <w:rsid w:val="00163434"/>
    <w:rsid w:val="0016428C"/>
    <w:rsid w:val="00165CB2"/>
    <w:rsid w:val="00166FB6"/>
    <w:rsid w:val="00171024"/>
    <w:rsid w:val="001737F1"/>
    <w:rsid w:val="001751AC"/>
    <w:rsid w:val="001767D5"/>
    <w:rsid w:val="00176C1B"/>
    <w:rsid w:val="00176EF9"/>
    <w:rsid w:val="00177EA0"/>
    <w:rsid w:val="00177ECD"/>
    <w:rsid w:val="0018042D"/>
    <w:rsid w:val="00181C7D"/>
    <w:rsid w:val="0018237F"/>
    <w:rsid w:val="0018261B"/>
    <w:rsid w:val="00184616"/>
    <w:rsid w:val="0018728F"/>
    <w:rsid w:val="00190573"/>
    <w:rsid w:val="001912BD"/>
    <w:rsid w:val="00192C8C"/>
    <w:rsid w:val="00195BD4"/>
    <w:rsid w:val="0019610C"/>
    <w:rsid w:val="00197D10"/>
    <w:rsid w:val="001A0ABF"/>
    <w:rsid w:val="001A103A"/>
    <w:rsid w:val="001A10A5"/>
    <w:rsid w:val="001A234C"/>
    <w:rsid w:val="001A35FF"/>
    <w:rsid w:val="001A559C"/>
    <w:rsid w:val="001A7EC3"/>
    <w:rsid w:val="001B17A9"/>
    <w:rsid w:val="001B5086"/>
    <w:rsid w:val="001B5130"/>
    <w:rsid w:val="001C02EF"/>
    <w:rsid w:val="001C629D"/>
    <w:rsid w:val="001C6ADE"/>
    <w:rsid w:val="001C70B1"/>
    <w:rsid w:val="001C78CE"/>
    <w:rsid w:val="001D170B"/>
    <w:rsid w:val="001D2014"/>
    <w:rsid w:val="001D2481"/>
    <w:rsid w:val="001D3726"/>
    <w:rsid w:val="001D46CE"/>
    <w:rsid w:val="001D52E3"/>
    <w:rsid w:val="001D7032"/>
    <w:rsid w:val="001D7A1C"/>
    <w:rsid w:val="001E0423"/>
    <w:rsid w:val="001E0901"/>
    <w:rsid w:val="001E0FF8"/>
    <w:rsid w:val="001E1288"/>
    <w:rsid w:val="001E21F1"/>
    <w:rsid w:val="001E3827"/>
    <w:rsid w:val="001E6BBD"/>
    <w:rsid w:val="001E6C37"/>
    <w:rsid w:val="001F0D8F"/>
    <w:rsid w:val="001F0F5C"/>
    <w:rsid w:val="001F1A82"/>
    <w:rsid w:val="001F1C83"/>
    <w:rsid w:val="001F1DED"/>
    <w:rsid w:val="001F4D82"/>
    <w:rsid w:val="001F5901"/>
    <w:rsid w:val="001F6519"/>
    <w:rsid w:val="001F6657"/>
    <w:rsid w:val="001F7483"/>
    <w:rsid w:val="001F7917"/>
    <w:rsid w:val="00200C4A"/>
    <w:rsid w:val="00201F3E"/>
    <w:rsid w:val="002029A8"/>
    <w:rsid w:val="00203141"/>
    <w:rsid w:val="00204E1E"/>
    <w:rsid w:val="00206E8E"/>
    <w:rsid w:val="00206E93"/>
    <w:rsid w:val="002151EF"/>
    <w:rsid w:val="00221BBE"/>
    <w:rsid w:val="00222BFB"/>
    <w:rsid w:val="002233FA"/>
    <w:rsid w:val="00225E88"/>
    <w:rsid w:val="00226359"/>
    <w:rsid w:val="00226871"/>
    <w:rsid w:val="002302C8"/>
    <w:rsid w:val="00230992"/>
    <w:rsid w:val="00231E1D"/>
    <w:rsid w:val="00233364"/>
    <w:rsid w:val="00233775"/>
    <w:rsid w:val="00235A53"/>
    <w:rsid w:val="0023614D"/>
    <w:rsid w:val="002405CE"/>
    <w:rsid w:val="00243F0D"/>
    <w:rsid w:val="00244F05"/>
    <w:rsid w:val="00245440"/>
    <w:rsid w:val="00245520"/>
    <w:rsid w:val="00245874"/>
    <w:rsid w:val="00245EDF"/>
    <w:rsid w:val="00250252"/>
    <w:rsid w:val="00252D0A"/>
    <w:rsid w:val="0025315B"/>
    <w:rsid w:val="002540BE"/>
    <w:rsid w:val="00257765"/>
    <w:rsid w:val="00257C49"/>
    <w:rsid w:val="0026118C"/>
    <w:rsid w:val="0026193E"/>
    <w:rsid w:val="002647E9"/>
    <w:rsid w:val="00264EEF"/>
    <w:rsid w:val="0026664D"/>
    <w:rsid w:val="00266737"/>
    <w:rsid w:val="00266859"/>
    <w:rsid w:val="00266DD6"/>
    <w:rsid w:val="00272414"/>
    <w:rsid w:val="0027484B"/>
    <w:rsid w:val="00274B65"/>
    <w:rsid w:val="00275371"/>
    <w:rsid w:val="0027550A"/>
    <w:rsid w:val="0027749D"/>
    <w:rsid w:val="00277A3A"/>
    <w:rsid w:val="00277BC0"/>
    <w:rsid w:val="0028064C"/>
    <w:rsid w:val="002806B8"/>
    <w:rsid w:val="00280C11"/>
    <w:rsid w:val="0028196B"/>
    <w:rsid w:val="00282833"/>
    <w:rsid w:val="00282DAA"/>
    <w:rsid w:val="0028335F"/>
    <w:rsid w:val="002836AA"/>
    <w:rsid w:val="002836E8"/>
    <w:rsid w:val="0028434D"/>
    <w:rsid w:val="002863DB"/>
    <w:rsid w:val="00287FA7"/>
    <w:rsid w:val="002900F3"/>
    <w:rsid w:val="00290573"/>
    <w:rsid w:val="00290BDD"/>
    <w:rsid w:val="00291BD6"/>
    <w:rsid w:val="00294944"/>
    <w:rsid w:val="00294EB4"/>
    <w:rsid w:val="002955FE"/>
    <w:rsid w:val="00296022"/>
    <w:rsid w:val="0029680C"/>
    <w:rsid w:val="0029736D"/>
    <w:rsid w:val="002973B5"/>
    <w:rsid w:val="002973BC"/>
    <w:rsid w:val="0029775F"/>
    <w:rsid w:val="002A1497"/>
    <w:rsid w:val="002A186C"/>
    <w:rsid w:val="002A1A81"/>
    <w:rsid w:val="002A20CF"/>
    <w:rsid w:val="002A3778"/>
    <w:rsid w:val="002A62A2"/>
    <w:rsid w:val="002A6A44"/>
    <w:rsid w:val="002A799B"/>
    <w:rsid w:val="002A7EF2"/>
    <w:rsid w:val="002B085B"/>
    <w:rsid w:val="002B1096"/>
    <w:rsid w:val="002B23A8"/>
    <w:rsid w:val="002B299D"/>
    <w:rsid w:val="002B2F02"/>
    <w:rsid w:val="002B3493"/>
    <w:rsid w:val="002B4FA8"/>
    <w:rsid w:val="002B5E07"/>
    <w:rsid w:val="002B62E0"/>
    <w:rsid w:val="002C180B"/>
    <w:rsid w:val="002C2279"/>
    <w:rsid w:val="002C25D3"/>
    <w:rsid w:val="002C4145"/>
    <w:rsid w:val="002C4456"/>
    <w:rsid w:val="002C55A9"/>
    <w:rsid w:val="002C769C"/>
    <w:rsid w:val="002D04C8"/>
    <w:rsid w:val="002D0E65"/>
    <w:rsid w:val="002D116A"/>
    <w:rsid w:val="002D1E8C"/>
    <w:rsid w:val="002D29C0"/>
    <w:rsid w:val="002D3AE6"/>
    <w:rsid w:val="002D3DA5"/>
    <w:rsid w:val="002D4167"/>
    <w:rsid w:val="002D4EBA"/>
    <w:rsid w:val="002D626E"/>
    <w:rsid w:val="002D6437"/>
    <w:rsid w:val="002D7BE9"/>
    <w:rsid w:val="002E03C0"/>
    <w:rsid w:val="002E1379"/>
    <w:rsid w:val="002E19A7"/>
    <w:rsid w:val="002E1B01"/>
    <w:rsid w:val="002E2C95"/>
    <w:rsid w:val="002E4ABB"/>
    <w:rsid w:val="002E5EF4"/>
    <w:rsid w:val="002E6EC0"/>
    <w:rsid w:val="002E7105"/>
    <w:rsid w:val="002E7756"/>
    <w:rsid w:val="002F0B29"/>
    <w:rsid w:val="002F116D"/>
    <w:rsid w:val="002F1D3F"/>
    <w:rsid w:val="002F23EE"/>
    <w:rsid w:val="002F257E"/>
    <w:rsid w:val="002F3FFA"/>
    <w:rsid w:val="002F4A34"/>
    <w:rsid w:val="002F5210"/>
    <w:rsid w:val="00300A89"/>
    <w:rsid w:val="00300E44"/>
    <w:rsid w:val="0030443A"/>
    <w:rsid w:val="00304D9E"/>
    <w:rsid w:val="00306FB3"/>
    <w:rsid w:val="003079D8"/>
    <w:rsid w:val="00307B7D"/>
    <w:rsid w:val="00307F0E"/>
    <w:rsid w:val="0031051B"/>
    <w:rsid w:val="00310A9D"/>
    <w:rsid w:val="00310E24"/>
    <w:rsid w:val="00311062"/>
    <w:rsid w:val="003121F6"/>
    <w:rsid w:val="00312E53"/>
    <w:rsid w:val="003139D0"/>
    <w:rsid w:val="00313B12"/>
    <w:rsid w:val="00314062"/>
    <w:rsid w:val="00314713"/>
    <w:rsid w:val="003150AA"/>
    <w:rsid w:val="00315FF4"/>
    <w:rsid w:val="00316292"/>
    <w:rsid w:val="00316552"/>
    <w:rsid w:val="00317730"/>
    <w:rsid w:val="00317759"/>
    <w:rsid w:val="0031779D"/>
    <w:rsid w:val="00320CE4"/>
    <w:rsid w:val="00321ADE"/>
    <w:rsid w:val="00321DFA"/>
    <w:rsid w:val="00323F03"/>
    <w:rsid w:val="00323F22"/>
    <w:rsid w:val="0032771B"/>
    <w:rsid w:val="00327AC6"/>
    <w:rsid w:val="003320FC"/>
    <w:rsid w:val="00333095"/>
    <w:rsid w:val="00334A91"/>
    <w:rsid w:val="00334B39"/>
    <w:rsid w:val="0033535D"/>
    <w:rsid w:val="00335ADA"/>
    <w:rsid w:val="00336E91"/>
    <w:rsid w:val="003370BC"/>
    <w:rsid w:val="00337DDA"/>
    <w:rsid w:val="0034055C"/>
    <w:rsid w:val="003418E7"/>
    <w:rsid w:val="00343E24"/>
    <w:rsid w:val="00344568"/>
    <w:rsid w:val="00345107"/>
    <w:rsid w:val="00345434"/>
    <w:rsid w:val="003460DF"/>
    <w:rsid w:val="003468C0"/>
    <w:rsid w:val="00350833"/>
    <w:rsid w:val="003508BA"/>
    <w:rsid w:val="0035141F"/>
    <w:rsid w:val="003517D1"/>
    <w:rsid w:val="003543B4"/>
    <w:rsid w:val="003548E4"/>
    <w:rsid w:val="0036098F"/>
    <w:rsid w:val="00360B0B"/>
    <w:rsid w:val="00360C9D"/>
    <w:rsid w:val="00360CDB"/>
    <w:rsid w:val="00360DAA"/>
    <w:rsid w:val="003610D9"/>
    <w:rsid w:val="00361285"/>
    <w:rsid w:val="0036218A"/>
    <w:rsid w:val="00363467"/>
    <w:rsid w:val="003635F1"/>
    <w:rsid w:val="00364389"/>
    <w:rsid w:val="0036482F"/>
    <w:rsid w:val="003651FC"/>
    <w:rsid w:val="00365B91"/>
    <w:rsid w:val="00365C09"/>
    <w:rsid w:val="00372584"/>
    <w:rsid w:val="00373191"/>
    <w:rsid w:val="00373FBA"/>
    <w:rsid w:val="00375FC9"/>
    <w:rsid w:val="003762C8"/>
    <w:rsid w:val="00376A90"/>
    <w:rsid w:val="00376B38"/>
    <w:rsid w:val="00376E55"/>
    <w:rsid w:val="00376F2C"/>
    <w:rsid w:val="00381B62"/>
    <w:rsid w:val="00381C93"/>
    <w:rsid w:val="003821C9"/>
    <w:rsid w:val="0038231C"/>
    <w:rsid w:val="003830B7"/>
    <w:rsid w:val="00383A63"/>
    <w:rsid w:val="003858B5"/>
    <w:rsid w:val="00385C85"/>
    <w:rsid w:val="00386F09"/>
    <w:rsid w:val="0039222B"/>
    <w:rsid w:val="0039222D"/>
    <w:rsid w:val="00392CFD"/>
    <w:rsid w:val="00393EDD"/>
    <w:rsid w:val="00395514"/>
    <w:rsid w:val="003A03F6"/>
    <w:rsid w:val="003A08CE"/>
    <w:rsid w:val="003A0DA0"/>
    <w:rsid w:val="003A20C4"/>
    <w:rsid w:val="003A2E39"/>
    <w:rsid w:val="003A325A"/>
    <w:rsid w:val="003A3351"/>
    <w:rsid w:val="003A3D43"/>
    <w:rsid w:val="003A3FD7"/>
    <w:rsid w:val="003B02F0"/>
    <w:rsid w:val="003B0878"/>
    <w:rsid w:val="003B0B10"/>
    <w:rsid w:val="003B56C2"/>
    <w:rsid w:val="003B5C6F"/>
    <w:rsid w:val="003B63A0"/>
    <w:rsid w:val="003C13FD"/>
    <w:rsid w:val="003C1DAF"/>
    <w:rsid w:val="003C20C0"/>
    <w:rsid w:val="003C2B72"/>
    <w:rsid w:val="003C366F"/>
    <w:rsid w:val="003C3EFB"/>
    <w:rsid w:val="003C54FD"/>
    <w:rsid w:val="003C5B74"/>
    <w:rsid w:val="003C5D4F"/>
    <w:rsid w:val="003C6A23"/>
    <w:rsid w:val="003C6E5D"/>
    <w:rsid w:val="003D058C"/>
    <w:rsid w:val="003D266E"/>
    <w:rsid w:val="003D279F"/>
    <w:rsid w:val="003D3E50"/>
    <w:rsid w:val="003D50BD"/>
    <w:rsid w:val="003D5D9F"/>
    <w:rsid w:val="003D765A"/>
    <w:rsid w:val="003D76CC"/>
    <w:rsid w:val="003D774B"/>
    <w:rsid w:val="003D7B46"/>
    <w:rsid w:val="003E0612"/>
    <w:rsid w:val="003E0E3F"/>
    <w:rsid w:val="003E1F26"/>
    <w:rsid w:val="003E2FD9"/>
    <w:rsid w:val="003E31FC"/>
    <w:rsid w:val="003E5704"/>
    <w:rsid w:val="003F0B6A"/>
    <w:rsid w:val="003F0DC3"/>
    <w:rsid w:val="003F1617"/>
    <w:rsid w:val="003F2AB1"/>
    <w:rsid w:val="003F42B0"/>
    <w:rsid w:val="003F56F6"/>
    <w:rsid w:val="003F5D70"/>
    <w:rsid w:val="003F5ED5"/>
    <w:rsid w:val="003F6157"/>
    <w:rsid w:val="003F61B0"/>
    <w:rsid w:val="003F6327"/>
    <w:rsid w:val="003F72AE"/>
    <w:rsid w:val="00401B38"/>
    <w:rsid w:val="00402FD6"/>
    <w:rsid w:val="00404C9E"/>
    <w:rsid w:val="00412355"/>
    <w:rsid w:val="0041362D"/>
    <w:rsid w:val="004137A0"/>
    <w:rsid w:val="00413CD5"/>
    <w:rsid w:val="00414AB4"/>
    <w:rsid w:val="00414E26"/>
    <w:rsid w:val="004160F2"/>
    <w:rsid w:val="00417893"/>
    <w:rsid w:val="00420CB8"/>
    <w:rsid w:val="0042158E"/>
    <w:rsid w:val="004225A7"/>
    <w:rsid w:val="00425E2F"/>
    <w:rsid w:val="00426397"/>
    <w:rsid w:val="00426C1B"/>
    <w:rsid w:val="00427C61"/>
    <w:rsid w:val="00427EB0"/>
    <w:rsid w:val="0043047F"/>
    <w:rsid w:val="00430539"/>
    <w:rsid w:val="004307ED"/>
    <w:rsid w:val="0043154A"/>
    <w:rsid w:val="00432741"/>
    <w:rsid w:val="004328D9"/>
    <w:rsid w:val="00432ECC"/>
    <w:rsid w:val="00435808"/>
    <w:rsid w:val="0043630F"/>
    <w:rsid w:val="00437E45"/>
    <w:rsid w:val="0044126A"/>
    <w:rsid w:val="00443051"/>
    <w:rsid w:val="0044402B"/>
    <w:rsid w:val="00444C5E"/>
    <w:rsid w:val="00445D83"/>
    <w:rsid w:val="004463C9"/>
    <w:rsid w:val="00446B90"/>
    <w:rsid w:val="00447DFE"/>
    <w:rsid w:val="00447E19"/>
    <w:rsid w:val="0045004E"/>
    <w:rsid w:val="004509CC"/>
    <w:rsid w:val="00450B64"/>
    <w:rsid w:val="00452355"/>
    <w:rsid w:val="00452434"/>
    <w:rsid w:val="00452956"/>
    <w:rsid w:val="004530C4"/>
    <w:rsid w:val="004534C2"/>
    <w:rsid w:val="0045367D"/>
    <w:rsid w:val="004541B4"/>
    <w:rsid w:val="00454B60"/>
    <w:rsid w:val="00455506"/>
    <w:rsid w:val="00455E36"/>
    <w:rsid w:val="004564B1"/>
    <w:rsid w:val="00457CD2"/>
    <w:rsid w:val="004621B0"/>
    <w:rsid w:val="004653DE"/>
    <w:rsid w:val="00465BC0"/>
    <w:rsid w:val="00466D15"/>
    <w:rsid w:val="00472302"/>
    <w:rsid w:val="00472A88"/>
    <w:rsid w:val="004738CE"/>
    <w:rsid w:val="00473C92"/>
    <w:rsid w:val="00474A35"/>
    <w:rsid w:val="004752DA"/>
    <w:rsid w:val="00475C0A"/>
    <w:rsid w:val="004813B1"/>
    <w:rsid w:val="00481906"/>
    <w:rsid w:val="00483952"/>
    <w:rsid w:val="004859D3"/>
    <w:rsid w:val="004867B0"/>
    <w:rsid w:val="00487809"/>
    <w:rsid w:val="004918D5"/>
    <w:rsid w:val="00491914"/>
    <w:rsid w:val="00492B06"/>
    <w:rsid w:val="00492B6A"/>
    <w:rsid w:val="00493AB2"/>
    <w:rsid w:val="00494157"/>
    <w:rsid w:val="00495145"/>
    <w:rsid w:val="004961AF"/>
    <w:rsid w:val="004A0D43"/>
    <w:rsid w:val="004A4566"/>
    <w:rsid w:val="004A6839"/>
    <w:rsid w:val="004A6B92"/>
    <w:rsid w:val="004A7C05"/>
    <w:rsid w:val="004B0B34"/>
    <w:rsid w:val="004B115A"/>
    <w:rsid w:val="004B331B"/>
    <w:rsid w:val="004B3691"/>
    <w:rsid w:val="004B4120"/>
    <w:rsid w:val="004B498F"/>
    <w:rsid w:val="004B4B84"/>
    <w:rsid w:val="004B4F7D"/>
    <w:rsid w:val="004B61BA"/>
    <w:rsid w:val="004C00C7"/>
    <w:rsid w:val="004C0ED4"/>
    <w:rsid w:val="004C167C"/>
    <w:rsid w:val="004C2650"/>
    <w:rsid w:val="004C2D6B"/>
    <w:rsid w:val="004C403C"/>
    <w:rsid w:val="004C505E"/>
    <w:rsid w:val="004C5BD3"/>
    <w:rsid w:val="004C6073"/>
    <w:rsid w:val="004C6BD2"/>
    <w:rsid w:val="004C7F17"/>
    <w:rsid w:val="004D0352"/>
    <w:rsid w:val="004D0C2A"/>
    <w:rsid w:val="004D1272"/>
    <w:rsid w:val="004D14E7"/>
    <w:rsid w:val="004D287F"/>
    <w:rsid w:val="004D43EF"/>
    <w:rsid w:val="004D44E0"/>
    <w:rsid w:val="004D7484"/>
    <w:rsid w:val="004D749B"/>
    <w:rsid w:val="004E0141"/>
    <w:rsid w:val="004E08C0"/>
    <w:rsid w:val="004E09B5"/>
    <w:rsid w:val="004E28C5"/>
    <w:rsid w:val="004E33B4"/>
    <w:rsid w:val="004E55F2"/>
    <w:rsid w:val="004E5AF4"/>
    <w:rsid w:val="004E7858"/>
    <w:rsid w:val="004F0BA4"/>
    <w:rsid w:val="004F14A3"/>
    <w:rsid w:val="004F1E21"/>
    <w:rsid w:val="004F3249"/>
    <w:rsid w:val="004F3405"/>
    <w:rsid w:val="004F36EB"/>
    <w:rsid w:val="004F68BE"/>
    <w:rsid w:val="0050033B"/>
    <w:rsid w:val="005003A8"/>
    <w:rsid w:val="00501A31"/>
    <w:rsid w:val="00501E90"/>
    <w:rsid w:val="00501EE1"/>
    <w:rsid w:val="0050248F"/>
    <w:rsid w:val="005037A8"/>
    <w:rsid w:val="005046CE"/>
    <w:rsid w:val="00504B6C"/>
    <w:rsid w:val="0050548E"/>
    <w:rsid w:val="005054F4"/>
    <w:rsid w:val="00507241"/>
    <w:rsid w:val="00507A1C"/>
    <w:rsid w:val="00507DE2"/>
    <w:rsid w:val="00510434"/>
    <w:rsid w:val="005104F7"/>
    <w:rsid w:val="005109E4"/>
    <w:rsid w:val="00511541"/>
    <w:rsid w:val="00511EFF"/>
    <w:rsid w:val="00512E05"/>
    <w:rsid w:val="005136F5"/>
    <w:rsid w:val="0051540B"/>
    <w:rsid w:val="00516948"/>
    <w:rsid w:val="00520803"/>
    <w:rsid w:val="00520841"/>
    <w:rsid w:val="00520A0F"/>
    <w:rsid w:val="00521138"/>
    <w:rsid w:val="0052227B"/>
    <w:rsid w:val="00522320"/>
    <w:rsid w:val="005224E0"/>
    <w:rsid w:val="00523692"/>
    <w:rsid w:val="00523860"/>
    <w:rsid w:val="00523B54"/>
    <w:rsid w:val="00523E84"/>
    <w:rsid w:val="00524B3C"/>
    <w:rsid w:val="00524C18"/>
    <w:rsid w:val="00525B48"/>
    <w:rsid w:val="00526C9F"/>
    <w:rsid w:val="00526DE6"/>
    <w:rsid w:val="00527DA9"/>
    <w:rsid w:val="00530844"/>
    <w:rsid w:val="005316FD"/>
    <w:rsid w:val="00533276"/>
    <w:rsid w:val="005332E5"/>
    <w:rsid w:val="00534960"/>
    <w:rsid w:val="0053616A"/>
    <w:rsid w:val="00536BB3"/>
    <w:rsid w:val="00536F07"/>
    <w:rsid w:val="005400CC"/>
    <w:rsid w:val="00540A07"/>
    <w:rsid w:val="00542CF7"/>
    <w:rsid w:val="0054354E"/>
    <w:rsid w:val="00551886"/>
    <w:rsid w:val="005519F3"/>
    <w:rsid w:val="00551FE7"/>
    <w:rsid w:val="00552461"/>
    <w:rsid w:val="00552988"/>
    <w:rsid w:val="00552B33"/>
    <w:rsid w:val="00554C84"/>
    <w:rsid w:val="00556AC8"/>
    <w:rsid w:val="005578DB"/>
    <w:rsid w:val="00560279"/>
    <w:rsid w:val="005615C5"/>
    <w:rsid w:val="00562AAA"/>
    <w:rsid w:val="005655D8"/>
    <w:rsid w:val="0056657B"/>
    <w:rsid w:val="0056708B"/>
    <w:rsid w:val="00567AC6"/>
    <w:rsid w:val="0057348D"/>
    <w:rsid w:val="0057641D"/>
    <w:rsid w:val="00582F76"/>
    <w:rsid w:val="00584663"/>
    <w:rsid w:val="00584885"/>
    <w:rsid w:val="00584FE4"/>
    <w:rsid w:val="00585C7B"/>
    <w:rsid w:val="00590DBC"/>
    <w:rsid w:val="00590F9F"/>
    <w:rsid w:val="00591A5E"/>
    <w:rsid w:val="005929F2"/>
    <w:rsid w:val="00594626"/>
    <w:rsid w:val="00594ECA"/>
    <w:rsid w:val="0059723F"/>
    <w:rsid w:val="005A008A"/>
    <w:rsid w:val="005A13EE"/>
    <w:rsid w:val="005A1BBB"/>
    <w:rsid w:val="005A1C1F"/>
    <w:rsid w:val="005A1E71"/>
    <w:rsid w:val="005A2996"/>
    <w:rsid w:val="005A382E"/>
    <w:rsid w:val="005A54C6"/>
    <w:rsid w:val="005A557D"/>
    <w:rsid w:val="005A5AF9"/>
    <w:rsid w:val="005A648E"/>
    <w:rsid w:val="005A6FBA"/>
    <w:rsid w:val="005A7560"/>
    <w:rsid w:val="005B0183"/>
    <w:rsid w:val="005B0250"/>
    <w:rsid w:val="005B0BB7"/>
    <w:rsid w:val="005B1FDD"/>
    <w:rsid w:val="005B212C"/>
    <w:rsid w:val="005B3153"/>
    <w:rsid w:val="005B473F"/>
    <w:rsid w:val="005B569A"/>
    <w:rsid w:val="005C1426"/>
    <w:rsid w:val="005C24D1"/>
    <w:rsid w:val="005C3624"/>
    <w:rsid w:val="005C3747"/>
    <w:rsid w:val="005C3A24"/>
    <w:rsid w:val="005C3FCC"/>
    <w:rsid w:val="005C3FCD"/>
    <w:rsid w:val="005C5B32"/>
    <w:rsid w:val="005C6F75"/>
    <w:rsid w:val="005D020B"/>
    <w:rsid w:val="005D09B9"/>
    <w:rsid w:val="005D1659"/>
    <w:rsid w:val="005D1A56"/>
    <w:rsid w:val="005D1C18"/>
    <w:rsid w:val="005D1DDE"/>
    <w:rsid w:val="005D5037"/>
    <w:rsid w:val="005D596B"/>
    <w:rsid w:val="005D5FCB"/>
    <w:rsid w:val="005E0BB6"/>
    <w:rsid w:val="005E19AC"/>
    <w:rsid w:val="005E2ED5"/>
    <w:rsid w:val="005E3405"/>
    <w:rsid w:val="005E49D7"/>
    <w:rsid w:val="005E78EE"/>
    <w:rsid w:val="005E7FDD"/>
    <w:rsid w:val="005F0F12"/>
    <w:rsid w:val="005F13D1"/>
    <w:rsid w:val="005F3D89"/>
    <w:rsid w:val="005F3EB1"/>
    <w:rsid w:val="005F4ABA"/>
    <w:rsid w:val="005F4C90"/>
    <w:rsid w:val="005F57CD"/>
    <w:rsid w:val="005F61B4"/>
    <w:rsid w:val="005F71F9"/>
    <w:rsid w:val="006022C3"/>
    <w:rsid w:val="00602450"/>
    <w:rsid w:val="006027D0"/>
    <w:rsid w:val="00602D34"/>
    <w:rsid w:val="00604A8F"/>
    <w:rsid w:val="00605748"/>
    <w:rsid w:val="00605771"/>
    <w:rsid w:val="00605C83"/>
    <w:rsid w:val="0060612C"/>
    <w:rsid w:val="0060648C"/>
    <w:rsid w:val="006068C8"/>
    <w:rsid w:val="006070B6"/>
    <w:rsid w:val="0060728D"/>
    <w:rsid w:val="00607B13"/>
    <w:rsid w:val="006103BA"/>
    <w:rsid w:val="00611F54"/>
    <w:rsid w:val="006124E6"/>
    <w:rsid w:val="006133CE"/>
    <w:rsid w:val="006139CC"/>
    <w:rsid w:val="006149C8"/>
    <w:rsid w:val="00614BEA"/>
    <w:rsid w:val="00614E17"/>
    <w:rsid w:val="00615056"/>
    <w:rsid w:val="006162E6"/>
    <w:rsid w:val="00616508"/>
    <w:rsid w:val="00616784"/>
    <w:rsid w:val="00617761"/>
    <w:rsid w:val="00617DA0"/>
    <w:rsid w:val="00620918"/>
    <w:rsid w:val="006217D5"/>
    <w:rsid w:val="00621A30"/>
    <w:rsid w:val="00621E19"/>
    <w:rsid w:val="00623279"/>
    <w:rsid w:val="006258ED"/>
    <w:rsid w:val="006265BA"/>
    <w:rsid w:val="0062692B"/>
    <w:rsid w:val="00626BA8"/>
    <w:rsid w:val="00626E98"/>
    <w:rsid w:val="00627306"/>
    <w:rsid w:val="0063010F"/>
    <w:rsid w:val="006310AE"/>
    <w:rsid w:val="00633800"/>
    <w:rsid w:val="006352CC"/>
    <w:rsid w:val="006358CB"/>
    <w:rsid w:val="00635D54"/>
    <w:rsid w:val="0063694B"/>
    <w:rsid w:val="00637388"/>
    <w:rsid w:val="00637D9D"/>
    <w:rsid w:val="00637F0E"/>
    <w:rsid w:val="00640552"/>
    <w:rsid w:val="0064071A"/>
    <w:rsid w:val="00640735"/>
    <w:rsid w:val="00641CF8"/>
    <w:rsid w:val="00642108"/>
    <w:rsid w:val="006424A1"/>
    <w:rsid w:val="0064407A"/>
    <w:rsid w:val="006452FA"/>
    <w:rsid w:val="006456AF"/>
    <w:rsid w:val="00645D0F"/>
    <w:rsid w:val="0064746F"/>
    <w:rsid w:val="00647537"/>
    <w:rsid w:val="006506A2"/>
    <w:rsid w:val="00652E04"/>
    <w:rsid w:val="00653D0F"/>
    <w:rsid w:val="00654136"/>
    <w:rsid w:val="0065427E"/>
    <w:rsid w:val="0065484E"/>
    <w:rsid w:val="00654A5C"/>
    <w:rsid w:val="00660043"/>
    <w:rsid w:val="0066064E"/>
    <w:rsid w:val="00661910"/>
    <w:rsid w:val="00661990"/>
    <w:rsid w:val="00662A06"/>
    <w:rsid w:val="006632F8"/>
    <w:rsid w:val="0066474A"/>
    <w:rsid w:val="006652B0"/>
    <w:rsid w:val="006655CA"/>
    <w:rsid w:val="006704AD"/>
    <w:rsid w:val="00671174"/>
    <w:rsid w:val="00672143"/>
    <w:rsid w:val="00672D27"/>
    <w:rsid w:val="00673533"/>
    <w:rsid w:val="00673577"/>
    <w:rsid w:val="0067376E"/>
    <w:rsid w:val="006760E0"/>
    <w:rsid w:val="00676741"/>
    <w:rsid w:val="00682730"/>
    <w:rsid w:val="006830BA"/>
    <w:rsid w:val="006836BC"/>
    <w:rsid w:val="0068389E"/>
    <w:rsid w:val="00684EFD"/>
    <w:rsid w:val="0068558A"/>
    <w:rsid w:val="00685ACC"/>
    <w:rsid w:val="00686E05"/>
    <w:rsid w:val="00687349"/>
    <w:rsid w:val="006914EF"/>
    <w:rsid w:val="0069208F"/>
    <w:rsid w:val="0069214C"/>
    <w:rsid w:val="0069310C"/>
    <w:rsid w:val="00695CDF"/>
    <w:rsid w:val="006A0427"/>
    <w:rsid w:val="006A05A0"/>
    <w:rsid w:val="006A0AAD"/>
    <w:rsid w:val="006A152A"/>
    <w:rsid w:val="006A1B01"/>
    <w:rsid w:val="006A23FE"/>
    <w:rsid w:val="006A332D"/>
    <w:rsid w:val="006A3B13"/>
    <w:rsid w:val="006A52FB"/>
    <w:rsid w:val="006A6DAD"/>
    <w:rsid w:val="006A773A"/>
    <w:rsid w:val="006B1AA7"/>
    <w:rsid w:val="006B36ED"/>
    <w:rsid w:val="006B4F36"/>
    <w:rsid w:val="006B6368"/>
    <w:rsid w:val="006B7D9C"/>
    <w:rsid w:val="006B7F9D"/>
    <w:rsid w:val="006C1A32"/>
    <w:rsid w:val="006C351E"/>
    <w:rsid w:val="006C41DC"/>
    <w:rsid w:val="006C4578"/>
    <w:rsid w:val="006C4D54"/>
    <w:rsid w:val="006C5DE5"/>
    <w:rsid w:val="006D09BA"/>
    <w:rsid w:val="006D4773"/>
    <w:rsid w:val="006D5634"/>
    <w:rsid w:val="006D6278"/>
    <w:rsid w:val="006D7E80"/>
    <w:rsid w:val="006E0A06"/>
    <w:rsid w:val="006E0B1D"/>
    <w:rsid w:val="006E0D18"/>
    <w:rsid w:val="006E1537"/>
    <w:rsid w:val="006E216A"/>
    <w:rsid w:val="006E2FB5"/>
    <w:rsid w:val="006E40DB"/>
    <w:rsid w:val="006E4CD1"/>
    <w:rsid w:val="006E587B"/>
    <w:rsid w:val="006E6217"/>
    <w:rsid w:val="006E680C"/>
    <w:rsid w:val="006E6D69"/>
    <w:rsid w:val="006E7087"/>
    <w:rsid w:val="006E7ECB"/>
    <w:rsid w:val="006F0CA9"/>
    <w:rsid w:val="006F0EDF"/>
    <w:rsid w:val="006F1B4F"/>
    <w:rsid w:val="006F24A6"/>
    <w:rsid w:val="006F2C7F"/>
    <w:rsid w:val="006F37E3"/>
    <w:rsid w:val="006F398C"/>
    <w:rsid w:val="006F5BE4"/>
    <w:rsid w:val="006F7095"/>
    <w:rsid w:val="006F7196"/>
    <w:rsid w:val="007000FA"/>
    <w:rsid w:val="00701710"/>
    <w:rsid w:val="00702399"/>
    <w:rsid w:val="007047B8"/>
    <w:rsid w:val="007058B9"/>
    <w:rsid w:val="00707187"/>
    <w:rsid w:val="007079E6"/>
    <w:rsid w:val="0071142B"/>
    <w:rsid w:val="00711DA0"/>
    <w:rsid w:val="00714093"/>
    <w:rsid w:val="00715A41"/>
    <w:rsid w:val="00716A7B"/>
    <w:rsid w:val="00716CE0"/>
    <w:rsid w:val="00717563"/>
    <w:rsid w:val="00720BCE"/>
    <w:rsid w:val="007234B7"/>
    <w:rsid w:val="00723E5B"/>
    <w:rsid w:val="0072481E"/>
    <w:rsid w:val="007274E6"/>
    <w:rsid w:val="00727DFC"/>
    <w:rsid w:val="0073011D"/>
    <w:rsid w:val="0073303B"/>
    <w:rsid w:val="007330EE"/>
    <w:rsid w:val="00734246"/>
    <w:rsid w:val="0073583D"/>
    <w:rsid w:val="007367DC"/>
    <w:rsid w:val="007367E7"/>
    <w:rsid w:val="00736C6F"/>
    <w:rsid w:val="00737328"/>
    <w:rsid w:val="00737829"/>
    <w:rsid w:val="00740FC7"/>
    <w:rsid w:val="00741284"/>
    <w:rsid w:val="007416DF"/>
    <w:rsid w:val="007417E3"/>
    <w:rsid w:val="0074192F"/>
    <w:rsid w:val="00744237"/>
    <w:rsid w:val="007501B5"/>
    <w:rsid w:val="00751188"/>
    <w:rsid w:val="00754866"/>
    <w:rsid w:val="00756729"/>
    <w:rsid w:val="00756AEA"/>
    <w:rsid w:val="00756E0E"/>
    <w:rsid w:val="00757E9A"/>
    <w:rsid w:val="00757EE2"/>
    <w:rsid w:val="0076104B"/>
    <w:rsid w:val="00761954"/>
    <w:rsid w:val="007621AA"/>
    <w:rsid w:val="00762697"/>
    <w:rsid w:val="00762CA0"/>
    <w:rsid w:val="00762CDC"/>
    <w:rsid w:val="007636D8"/>
    <w:rsid w:val="007638CE"/>
    <w:rsid w:val="007639D3"/>
    <w:rsid w:val="007644AA"/>
    <w:rsid w:val="00764A5A"/>
    <w:rsid w:val="007650F2"/>
    <w:rsid w:val="0076732A"/>
    <w:rsid w:val="007674CC"/>
    <w:rsid w:val="007708CB"/>
    <w:rsid w:val="00770B81"/>
    <w:rsid w:val="007716D5"/>
    <w:rsid w:val="00771966"/>
    <w:rsid w:val="00771BBC"/>
    <w:rsid w:val="007733F6"/>
    <w:rsid w:val="00774D9F"/>
    <w:rsid w:val="007754DD"/>
    <w:rsid w:val="007757CC"/>
    <w:rsid w:val="00777669"/>
    <w:rsid w:val="00781D62"/>
    <w:rsid w:val="00781EFF"/>
    <w:rsid w:val="0078226B"/>
    <w:rsid w:val="007843B4"/>
    <w:rsid w:val="00784946"/>
    <w:rsid w:val="00790C36"/>
    <w:rsid w:val="00791B81"/>
    <w:rsid w:val="00792351"/>
    <w:rsid w:val="00792574"/>
    <w:rsid w:val="00793668"/>
    <w:rsid w:val="00793A11"/>
    <w:rsid w:val="00794369"/>
    <w:rsid w:val="00796C6A"/>
    <w:rsid w:val="007A38AF"/>
    <w:rsid w:val="007A4807"/>
    <w:rsid w:val="007A4822"/>
    <w:rsid w:val="007A5308"/>
    <w:rsid w:val="007A6FC4"/>
    <w:rsid w:val="007B04EE"/>
    <w:rsid w:val="007B0B01"/>
    <w:rsid w:val="007B25DD"/>
    <w:rsid w:val="007B2AFD"/>
    <w:rsid w:val="007B3828"/>
    <w:rsid w:val="007B7DA6"/>
    <w:rsid w:val="007B7E59"/>
    <w:rsid w:val="007C1677"/>
    <w:rsid w:val="007C2579"/>
    <w:rsid w:val="007C3119"/>
    <w:rsid w:val="007C46E7"/>
    <w:rsid w:val="007C48BB"/>
    <w:rsid w:val="007C5A24"/>
    <w:rsid w:val="007C67FB"/>
    <w:rsid w:val="007C68FA"/>
    <w:rsid w:val="007D0755"/>
    <w:rsid w:val="007D1B26"/>
    <w:rsid w:val="007D317C"/>
    <w:rsid w:val="007D3C0C"/>
    <w:rsid w:val="007D68F5"/>
    <w:rsid w:val="007D69D6"/>
    <w:rsid w:val="007D7406"/>
    <w:rsid w:val="007D788C"/>
    <w:rsid w:val="007D7F38"/>
    <w:rsid w:val="007E0508"/>
    <w:rsid w:val="007E1A8D"/>
    <w:rsid w:val="007E1B59"/>
    <w:rsid w:val="007E2FE2"/>
    <w:rsid w:val="007E3DA9"/>
    <w:rsid w:val="007E496F"/>
    <w:rsid w:val="007E5CBA"/>
    <w:rsid w:val="007E6B94"/>
    <w:rsid w:val="007E7DD8"/>
    <w:rsid w:val="007F0950"/>
    <w:rsid w:val="007F1B0D"/>
    <w:rsid w:val="007F1E46"/>
    <w:rsid w:val="007F303B"/>
    <w:rsid w:val="007F43EB"/>
    <w:rsid w:val="007F5806"/>
    <w:rsid w:val="007F7BAD"/>
    <w:rsid w:val="0080019D"/>
    <w:rsid w:val="008033BD"/>
    <w:rsid w:val="0080368B"/>
    <w:rsid w:val="0080523A"/>
    <w:rsid w:val="008073F5"/>
    <w:rsid w:val="008074D3"/>
    <w:rsid w:val="008101AB"/>
    <w:rsid w:val="00810238"/>
    <w:rsid w:val="008103F4"/>
    <w:rsid w:val="008123FC"/>
    <w:rsid w:val="00813C46"/>
    <w:rsid w:val="00817610"/>
    <w:rsid w:val="00817856"/>
    <w:rsid w:val="0082118F"/>
    <w:rsid w:val="0082137E"/>
    <w:rsid w:val="00821B02"/>
    <w:rsid w:val="008220A6"/>
    <w:rsid w:val="00822625"/>
    <w:rsid w:val="0082380F"/>
    <w:rsid w:val="00825F98"/>
    <w:rsid w:val="00827B97"/>
    <w:rsid w:val="0083093A"/>
    <w:rsid w:val="00831827"/>
    <w:rsid w:val="0083243B"/>
    <w:rsid w:val="00832B9D"/>
    <w:rsid w:val="0083386A"/>
    <w:rsid w:val="0083410F"/>
    <w:rsid w:val="00834352"/>
    <w:rsid w:val="00834D0E"/>
    <w:rsid w:val="00834FC1"/>
    <w:rsid w:val="00835017"/>
    <w:rsid w:val="00836D74"/>
    <w:rsid w:val="00837416"/>
    <w:rsid w:val="008378A6"/>
    <w:rsid w:val="008410E6"/>
    <w:rsid w:val="0084294F"/>
    <w:rsid w:val="008429E0"/>
    <w:rsid w:val="00844416"/>
    <w:rsid w:val="008447CF"/>
    <w:rsid w:val="008461BB"/>
    <w:rsid w:val="008472C9"/>
    <w:rsid w:val="008477C4"/>
    <w:rsid w:val="00847FE8"/>
    <w:rsid w:val="0085304E"/>
    <w:rsid w:val="0085524F"/>
    <w:rsid w:val="00855898"/>
    <w:rsid w:val="00855C43"/>
    <w:rsid w:val="00855C83"/>
    <w:rsid w:val="008567C5"/>
    <w:rsid w:val="00856E14"/>
    <w:rsid w:val="00862714"/>
    <w:rsid w:val="00863FF7"/>
    <w:rsid w:val="00865A44"/>
    <w:rsid w:val="008676A5"/>
    <w:rsid w:val="00867753"/>
    <w:rsid w:val="00871C18"/>
    <w:rsid w:val="00872E2C"/>
    <w:rsid w:val="00873B60"/>
    <w:rsid w:val="00874418"/>
    <w:rsid w:val="00874A86"/>
    <w:rsid w:val="00875D15"/>
    <w:rsid w:val="00876261"/>
    <w:rsid w:val="0087701A"/>
    <w:rsid w:val="00880D56"/>
    <w:rsid w:val="00881068"/>
    <w:rsid w:val="00881B7C"/>
    <w:rsid w:val="008825B2"/>
    <w:rsid w:val="00883422"/>
    <w:rsid w:val="008838BF"/>
    <w:rsid w:val="0088568D"/>
    <w:rsid w:val="00890807"/>
    <w:rsid w:val="00891BC2"/>
    <w:rsid w:val="00894B38"/>
    <w:rsid w:val="00895186"/>
    <w:rsid w:val="008967FF"/>
    <w:rsid w:val="00896A10"/>
    <w:rsid w:val="00897E97"/>
    <w:rsid w:val="008A090C"/>
    <w:rsid w:val="008A15A3"/>
    <w:rsid w:val="008A1787"/>
    <w:rsid w:val="008A1D7C"/>
    <w:rsid w:val="008A28B2"/>
    <w:rsid w:val="008A2E98"/>
    <w:rsid w:val="008A2FD9"/>
    <w:rsid w:val="008A3541"/>
    <w:rsid w:val="008A3CD9"/>
    <w:rsid w:val="008A3E22"/>
    <w:rsid w:val="008A665A"/>
    <w:rsid w:val="008B095E"/>
    <w:rsid w:val="008B0ED5"/>
    <w:rsid w:val="008B1DD6"/>
    <w:rsid w:val="008B396F"/>
    <w:rsid w:val="008B4EEB"/>
    <w:rsid w:val="008B52DD"/>
    <w:rsid w:val="008B6A5F"/>
    <w:rsid w:val="008B730B"/>
    <w:rsid w:val="008B7EEF"/>
    <w:rsid w:val="008C0458"/>
    <w:rsid w:val="008C0842"/>
    <w:rsid w:val="008C25D2"/>
    <w:rsid w:val="008C3B98"/>
    <w:rsid w:val="008C447F"/>
    <w:rsid w:val="008C569E"/>
    <w:rsid w:val="008C7E71"/>
    <w:rsid w:val="008D0044"/>
    <w:rsid w:val="008D0DE3"/>
    <w:rsid w:val="008D1484"/>
    <w:rsid w:val="008D1979"/>
    <w:rsid w:val="008D1B58"/>
    <w:rsid w:val="008D4532"/>
    <w:rsid w:val="008D5052"/>
    <w:rsid w:val="008D7D4D"/>
    <w:rsid w:val="008D7DFB"/>
    <w:rsid w:val="008E1E40"/>
    <w:rsid w:val="008E2425"/>
    <w:rsid w:val="008E65F2"/>
    <w:rsid w:val="008F121C"/>
    <w:rsid w:val="008F2400"/>
    <w:rsid w:val="008F566A"/>
    <w:rsid w:val="008F7DDB"/>
    <w:rsid w:val="009005AD"/>
    <w:rsid w:val="009016E7"/>
    <w:rsid w:val="00903128"/>
    <w:rsid w:val="009032C5"/>
    <w:rsid w:val="009039E0"/>
    <w:rsid w:val="00907861"/>
    <w:rsid w:val="009101B0"/>
    <w:rsid w:val="00911740"/>
    <w:rsid w:val="00912BB8"/>
    <w:rsid w:val="00912BC2"/>
    <w:rsid w:val="009133EE"/>
    <w:rsid w:val="0091376B"/>
    <w:rsid w:val="00915462"/>
    <w:rsid w:val="00915528"/>
    <w:rsid w:val="00915BDA"/>
    <w:rsid w:val="009160BC"/>
    <w:rsid w:val="00917F35"/>
    <w:rsid w:val="009203E8"/>
    <w:rsid w:val="00920BA9"/>
    <w:rsid w:val="00920D22"/>
    <w:rsid w:val="00920E0A"/>
    <w:rsid w:val="009225AA"/>
    <w:rsid w:val="00923479"/>
    <w:rsid w:val="009247A0"/>
    <w:rsid w:val="009265D5"/>
    <w:rsid w:val="009267D3"/>
    <w:rsid w:val="009305C5"/>
    <w:rsid w:val="00931958"/>
    <w:rsid w:val="00931B24"/>
    <w:rsid w:val="0093257D"/>
    <w:rsid w:val="00934924"/>
    <w:rsid w:val="00935647"/>
    <w:rsid w:val="00935B9F"/>
    <w:rsid w:val="009363E1"/>
    <w:rsid w:val="009378D3"/>
    <w:rsid w:val="0094082E"/>
    <w:rsid w:val="009420C4"/>
    <w:rsid w:val="00943407"/>
    <w:rsid w:val="00943743"/>
    <w:rsid w:val="009449D1"/>
    <w:rsid w:val="00944B9B"/>
    <w:rsid w:val="009456C2"/>
    <w:rsid w:val="00945D53"/>
    <w:rsid w:val="00947415"/>
    <w:rsid w:val="00947FB1"/>
    <w:rsid w:val="00950217"/>
    <w:rsid w:val="00950D03"/>
    <w:rsid w:val="0095188C"/>
    <w:rsid w:val="009546EA"/>
    <w:rsid w:val="00954F88"/>
    <w:rsid w:val="00957A31"/>
    <w:rsid w:val="00960F54"/>
    <w:rsid w:val="00961CEE"/>
    <w:rsid w:val="00963D61"/>
    <w:rsid w:val="009656A1"/>
    <w:rsid w:val="00965EB6"/>
    <w:rsid w:val="00965F68"/>
    <w:rsid w:val="00966066"/>
    <w:rsid w:val="0096685D"/>
    <w:rsid w:val="00966AB7"/>
    <w:rsid w:val="00966B25"/>
    <w:rsid w:val="009702F2"/>
    <w:rsid w:val="009707F8"/>
    <w:rsid w:val="00972416"/>
    <w:rsid w:val="00973357"/>
    <w:rsid w:val="009736B6"/>
    <w:rsid w:val="009743AD"/>
    <w:rsid w:val="00975BFF"/>
    <w:rsid w:val="00975D5E"/>
    <w:rsid w:val="00976B26"/>
    <w:rsid w:val="00976BA2"/>
    <w:rsid w:val="00976BA7"/>
    <w:rsid w:val="00976BAB"/>
    <w:rsid w:val="009818BB"/>
    <w:rsid w:val="0098217A"/>
    <w:rsid w:val="00982E38"/>
    <w:rsid w:val="00985A86"/>
    <w:rsid w:val="00985CA3"/>
    <w:rsid w:val="00986449"/>
    <w:rsid w:val="00987A54"/>
    <w:rsid w:val="00990A89"/>
    <w:rsid w:val="00993B53"/>
    <w:rsid w:val="009948FE"/>
    <w:rsid w:val="00995FAE"/>
    <w:rsid w:val="00996E05"/>
    <w:rsid w:val="009A137F"/>
    <w:rsid w:val="009A3849"/>
    <w:rsid w:val="009A39B5"/>
    <w:rsid w:val="009A3BE6"/>
    <w:rsid w:val="009A47D0"/>
    <w:rsid w:val="009A551F"/>
    <w:rsid w:val="009A5CDD"/>
    <w:rsid w:val="009A674E"/>
    <w:rsid w:val="009A7958"/>
    <w:rsid w:val="009B01CF"/>
    <w:rsid w:val="009B1364"/>
    <w:rsid w:val="009B4E48"/>
    <w:rsid w:val="009B5086"/>
    <w:rsid w:val="009B54F8"/>
    <w:rsid w:val="009B7340"/>
    <w:rsid w:val="009B7D27"/>
    <w:rsid w:val="009C214F"/>
    <w:rsid w:val="009C30D5"/>
    <w:rsid w:val="009C4310"/>
    <w:rsid w:val="009C537E"/>
    <w:rsid w:val="009C549A"/>
    <w:rsid w:val="009C5520"/>
    <w:rsid w:val="009C5FE7"/>
    <w:rsid w:val="009C7077"/>
    <w:rsid w:val="009D150F"/>
    <w:rsid w:val="009D2061"/>
    <w:rsid w:val="009D37B3"/>
    <w:rsid w:val="009D45F2"/>
    <w:rsid w:val="009D576F"/>
    <w:rsid w:val="009D722E"/>
    <w:rsid w:val="009D757A"/>
    <w:rsid w:val="009E0202"/>
    <w:rsid w:val="009E05B9"/>
    <w:rsid w:val="009E3309"/>
    <w:rsid w:val="009E34D1"/>
    <w:rsid w:val="009E3877"/>
    <w:rsid w:val="009E40A4"/>
    <w:rsid w:val="009E4148"/>
    <w:rsid w:val="009E452E"/>
    <w:rsid w:val="009E4751"/>
    <w:rsid w:val="009E4874"/>
    <w:rsid w:val="009E5762"/>
    <w:rsid w:val="009E771B"/>
    <w:rsid w:val="009F0568"/>
    <w:rsid w:val="009F0666"/>
    <w:rsid w:val="009F0B88"/>
    <w:rsid w:val="009F4728"/>
    <w:rsid w:val="009F6A38"/>
    <w:rsid w:val="009F7AFE"/>
    <w:rsid w:val="00A00937"/>
    <w:rsid w:val="00A00BD7"/>
    <w:rsid w:val="00A012CE"/>
    <w:rsid w:val="00A0132A"/>
    <w:rsid w:val="00A013D3"/>
    <w:rsid w:val="00A01CDB"/>
    <w:rsid w:val="00A01D9A"/>
    <w:rsid w:val="00A06D36"/>
    <w:rsid w:val="00A06FE5"/>
    <w:rsid w:val="00A07EDF"/>
    <w:rsid w:val="00A125DA"/>
    <w:rsid w:val="00A12D00"/>
    <w:rsid w:val="00A12FC4"/>
    <w:rsid w:val="00A13938"/>
    <w:rsid w:val="00A14016"/>
    <w:rsid w:val="00A1486A"/>
    <w:rsid w:val="00A149EC"/>
    <w:rsid w:val="00A16C80"/>
    <w:rsid w:val="00A17792"/>
    <w:rsid w:val="00A17812"/>
    <w:rsid w:val="00A17C66"/>
    <w:rsid w:val="00A20A1B"/>
    <w:rsid w:val="00A20D93"/>
    <w:rsid w:val="00A22609"/>
    <w:rsid w:val="00A22C36"/>
    <w:rsid w:val="00A23F8F"/>
    <w:rsid w:val="00A250B2"/>
    <w:rsid w:val="00A26D95"/>
    <w:rsid w:val="00A2731A"/>
    <w:rsid w:val="00A318C0"/>
    <w:rsid w:val="00A32A93"/>
    <w:rsid w:val="00A33A94"/>
    <w:rsid w:val="00A33FFB"/>
    <w:rsid w:val="00A3427F"/>
    <w:rsid w:val="00A34620"/>
    <w:rsid w:val="00A351C8"/>
    <w:rsid w:val="00A35BCF"/>
    <w:rsid w:val="00A36EF7"/>
    <w:rsid w:val="00A37C44"/>
    <w:rsid w:val="00A37DF6"/>
    <w:rsid w:val="00A411CF"/>
    <w:rsid w:val="00A419CE"/>
    <w:rsid w:val="00A425AA"/>
    <w:rsid w:val="00A42759"/>
    <w:rsid w:val="00A43A74"/>
    <w:rsid w:val="00A44B7C"/>
    <w:rsid w:val="00A452FF"/>
    <w:rsid w:val="00A50438"/>
    <w:rsid w:val="00A50CA8"/>
    <w:rsid w:val="00A51739"/>
    <w:rsid w:val="00A51FB2"/>
    <w:rsid w:val="00A52856"/>
    <w:rsid w:val="00A53F32"/>
    <w:rsid w:val="00A549F4"/>
    <w:rsid w:val="00A54EC5"/>
    <w:rsid w:val="00A55C58"/>
    <w:rsid w:val="00A560A1"/>
    <w:rsid w:val="00A6001C"/>
    <w:rsid w:val="00A60937"/>
    <w:rsid w:val="00A62046"/>
    <w:rsid w:val="00A62121"/>
    <w:rsid w:val="00A63865"/>
    <w:rsid w:val="00A63C10"/>
    <w:rsid w:val="00A63EFC"/>
    <w:rsid w:val="00A64A2F"/>
    <w:rsid w:val="00A65599"/>
    <w:rsid w:val="00A67F0D"/>
    <w:rsid w:val="00A71738"/>
    <w:rsid w:val="00A720EB"/>
    <w:rsid w:val="00A730E9"/>
    <w:rsid w:val="00A7550F"/>
    <w:rsid w:val="00A759E6"/>
    <w:rsid w:val="00A75B17"/>
    <w:rsid w:val="00A75C48"/>
    <w:rsid w:val="00A77A9D"/>
    <w:rsid w:val="00A825D1"/>
    <w:rsid w:val="00A828EE"/>
    <w:rsid w:val="00A83B94"/>
    <w:rsid w:val="00A8450E"/>
    <w:rsid w:val="00A84871"/>
    <w:rsid w:val="00A87054"/>
    <w:rsid w:val="00A878D4"/>
    <w:rsid w:val="00A87924"/>
    <w:rsid w:val="00A87BBC"/>
    <w:rsid w:val="00A87DD9"/>
    <w:rsid w:val="00A9045C"/>
    <w:rsid w:val="00A90C9C"/>
    <w:rsid w:val="00A91121"/>
    <w:rsid w:val="00A91FE3"/>
    <w:rsid w:val="00A944B2"/>
    <w:rsid w:val="00A94F39"/>
    <w:rsid w:val="00A9505A"/>
    <w:rsid w:val="00A951AC"/>
    <w:rsid w:val="00A952CD"/>
    <w:rsid w:val="00A97523"/>
    <w:rsid w:val="00A97F45"/>
    <w:rsid w:val="00AA07CB"/>
    <w:rsid w:val="00AA1540"/>
    <w:rsid w:val="00AA2620"/>
    <w:rsid w:val="00AA2D00"/>
    <w:rsid w:val="00AA39E8"/>
    <w:rsid w:val="00AA44C4"/>
    <w:rsid w:val="00AA46D0"/>
    <w:rsid w:val="00AA49CE"/>
    <w:rsid w:val="00AA6C74"/>
    <w:rsid w:val="00AB0A02"/>
    <w:rsid w:val="00AB0F8B"/>
    <w:rsid w:val="00AB2924"/>
    <w:rsid w:val="00AB2BBC"/>
    <w:rsid w:val="00AB3929"/>
    <w:rsid w:val="00AB5A55"/>
    <w:rsid w:val="00AB64FC"/>
    <w:rsid w:val="00AB6AB7"/>
    <w:rsid w:val="00AB6D83"/>
    <w:rsid w:val="00AC37D8"/>
    <w:rsid w:val="00AC3C1A"/>
    <w:rsid w:val="00AC4289"/>
    <w:rsid w:val="00AC451E"/>
    <w:rsid w:val="00AC498D"/>
    <w:rsid w:val="00AC52FD"/>
    <w:rsid w:val="00AC532D"/>
    <w:rsid w:val="00AC6934"/>
    <w:rsid w:val="00AC6A84"/>
    <w:rsid w:val="00AD0DE2"/>
    <w:rsid w:val="00AD23FC"/>
    <w:rsid w:val="00AD2BF5"/>
    <w:rsid w:val="00AD3C82"/>
    <w:rsid w:val="00AD5449"/>
    <w:rsid w:val="00AD560F"/>
    <w:rsid w:val="00AD5D10"/>
    <w:rsid w:val="00AD73C9"/>
    <w:rsid w:val="00AE0425"/>
    <w:rsid w:val="00AE1438"/>
    <w:rsid w:val="00AE5172"/>
    <w:rsid w:val="00AE5AC5"/>
    <w:rsid w:val="00AE6EF7"/>
    <w:rsid w:val="00AE7205"/>
    <w:rsid w:val="00AF1202"/>
    <w:rsid w:val="00AF1895"/>
    <w:rsid w:val="00AF1A84"/>
    <w:rsid w:val="00AF222D"/>
    <w:rsid w:val="00AF2A3C"/>
    <w:rsid w:val="00AF303A"/>
    <w:rsid w:val="00AF36FC"/>
    <w:rsid w:val="00AF3C01"/>
    <w:rsid w:val="00AF3DE3"/>
    <w:rsid w:val="00AF45A8"/>
    <w:rsid w:val="00AF5236"/>
    <w:rsid w:val="00AF5DA9"/>
    <w:rsid w:val="00AF66B2"/>
    <w:rsid w:val="00AF69D1"/>
    <w:rsid w:val="00B015BF"/>
    <w:rsid w:val="00B04A52"/>
    <w:rsid w:val="00B060C4"/>
    <w:rsid w:val="00B07BBE"/>
    <w:rsid w:val="00B104C8"/>
    <w:rsid w:val="00B10EF1"/>
    <w:rsid w:val="00B127C6"/>
    <w:rsid w:val="00B13DC9"/>
    <w:rsid w:val="00B13E57"/>
    <w:rsid w:val="00B13E8F"/>
    <w:rsid w:val="00B142DA"/>
    <w:rsid w:val="00B14E57"/>
    <w:rsid w:val="00B170D8"/>
    <w:rsid w:val="00B17751"/>
    <w:rsid w:val="00B17CF0"/>
    <w:rsid w:val="00B2065D"/>
    <w:rsid w:val="00B20843"/>
    <w:rsid w:val="00B20C5B"/>
    <w:rsid w:val="00B21288"/>
    <w:rsid w:val="00B21445"/>
    <w:rsid w:val="00B21DA8"/>
    <w:rsid w:val="00B24A60"/>
    <w:rsid w:val="00B24A63"/>
    <w:rsid w:val="00B255E0"/>
    <w:rsid w:val="00B25A18"/>
    <w:rsid w:val="00B26FB0"/>
    <w:rsid w:val="00B2786A"/>
    <w:rsid w:val="00B31164"/>
    <w:rsid w:val="00B326D4"/>
    <w:rsid w:val="00B32803"/>
    <w:rsid w:val="00B3527A"/>
    <w:rsid w:val="00B35419"/>
    <w:rsid w:val="00B378DC"/>
    <w:rsid w:val="00B37A0D"/>
    <w:rsid w:val="00B40AF3"/>
    <w:rsid w:val="00B410CC"/>
    <w:rsid w:val="00B41A50"/>
    <w:rsid w:val="00B41AFC"/>
    <w:rsid w:val="00B41D49"/>
    <w:rsid w:val="00B42FED"/>
    <w:rsid w:val="00B4342D"/>
    <w:rsid w:val="00B43AD4"/>
    <w:rsid w:val="00B43C50"/>
    <w:rsid w:val="00B44062"/>
    <w:rsid w:val="00B44D4B"/>
    <w:rsid w:val="00B45EFD"/>
    <w:rsid w:val="00B47C22"/>
    <w:rsid w:val="00B513DF"/>
    <w:rsid w:val="00B526A8"/>
    <w:rsid w:val="00B55CD5"/>
    <w:rsid w:val="00B5609D"/>
    <w:rsid w:val="00B5674F"/>
    <w:rsid w:val="00B610AE"/>
    <w:rsid w:val="00B61369"/>
    <w:rsid w:val="00B61D71"/>
    <w:rsid w:val="00B61E41"/>
    <w:rsid w:val="00B62E77"/>
    <w:rsid w:val="00B63880"/>
    <w:rsid w:val="00B64C3E"/>
    <w:rsid w:val="00B65EA9"/>
    <w:rsid w:val="00B67A91"/>
    <w:rsid w:val="00B67B2E"/>
    <w:rsid w:val="00B703D5"/>
    <w:rsid w:val="00B71730"/>
    <w:rsid w:val="00B7343D"/>
    <w:rsid w:val="00B74AA0"/>
    <w:rsid w:val="00B7534F"/>
    <w:rsid w:val="00B766C5"/>
    <w:rsid w:val="00B76FAD"/>
    <w:rsid w:val="00B80C57"/>
    <w:rsid w:val="00B81120"/>
    <w:rsid w:val="00B81A1A"/>
    <w:rsid w:val="00B81BDE"/>
    <w:rsid w:val="00B81E49"/>
    <w:rsid w:val="00B82776"/>
    <w:rsid w:val="00B83056"/>
    <w:rsid w:val="00B839FF"/>
    <w:rsid w:val="00B86B2E"/>
    <w:rsid w:val="00B86FCB"/>
    <w:rsid w:val="00B91041"/>
    <w:rsid w:val="00B940D8"/>
    <w:rsid w:val="00B95B6C"/>
    <w:rsid w:val="00B95BC2"/>
    <w:rsid w:val="00B95D0A"/>
    <w:rsid w:val="00BA1CD2"/>
    <w:rsid w:val="00BA1D3E"/>
    <w:rsid w:val="00BA27E9"/>
    <w:rsid w:val="00BA2FEA"/>
    <w:rsid w:val="00BA3592"/>
    <w:rsid w:val="00BA362C"/>
    <w:rsid w:val="00BA4615"/>
    <w:rsid w:val="00BA4F9F"/>
    <w:rsid w:val="00BA615F"/>
    <w:rsid w:val="00BA6DC3"/>
    <w:rsid w:val="00BA7A6E"/>
    <w:rsid w:val="00BA7F82"/>
    <w:rsid w:val="00BB08DF"/>
    <w:rsid w:val="00BB1CB2"/>
    <w:rsid w:val="00BB383D"/>
    <w:rsid w:val="00BB42A5"/>
    <w:rsid w:val="00BB43C4"/>
    <w:rsid w:val="00BB63AD"/>
    <w:rsid w:val="00BB6403"/>
    <w:rsid w:val="00BC1B67"/>
    <w:rsid w:val="00BC1DD3"/>
    <w:rsid w:val="00BC2209"/>
    <w:rsid w:val="00BC3B85"/>
    <w:rsid w:val="00BC464B"/>
    <w:rsid w:val="00BC48CA"/>
    <w:rsid w:val="00BC5B71"/>
    <w:rsid w:val="00BC7C29"/>
    <w:rsid w:val="00BD02D0"/>
    <w:rsid w:val="00BD0C78"/>
    <w:rsid w:val="00BD273E"/>
    <w:rsid w:val="00BD2F4B"/>
    <w:rsid w:val="00BD5D46"/>
    <w:rsid w:val="00BD5FF5"/>
    <w:rsid w:val="00BD795F"/>
    <w:rsid w:val="00BD7BF1"/>
    <w:rsid w:val="00BE069B"/>
    <w:rsid w:val="00BE0C31"/>
    <w:rsid w:val="00BE1050"/>
    <w:rsid w:val="00BE2487"/>
    <w:rsid w:val="00BE2BB9"/>
    <w:rsid w:val="00BE351E"/>
    <w:rsid w:val="00BE39C7"/>
    <w:rsid w:val="00BE3BCC"/>
    <w:rsid w:val="00BE429B"/>
    <w:rsid w:val="00BE5177"/>
    <w:rsid w:val="00BE58F3"/>
    <w:rsid w:val="00BE678E"/>
    <w:rsid w:val="00BE70F9"/>
    <w:rsid w:val="00BE7275"/>
    <w:rsid w:val="00BF021F"/>
    <w:rsid w:val="00BF1F02"/>
    <w:rsid w:val="00BF45C8"/>
    <w:rsid w:val="00BF504A"/>
    <w:rsid w:val="00BF54EC"/>
    <w:rsid w:val="00BF5B0F"/>
    <w:rsid w:val="00BF63CA"/>
    <w:rsid w:val="00BF67FC"/>
    <w:rsid w:val="00BF6A09"/>
    <w:rsid w:val="00C00FD4"/>
    <w:rsid w:val="00C05054"/>
    <w:rsid w:val="00C055B5"/>
    <w:rsid w:val="00C06640"/>
    <w:rsid w:val="00C073ED"/>
    <w:rsid w:val="00C07F5A"/>
    <w:rsid w:val="00C10326"/>
    <w:rsid w:val="00C113A9"/>
    <w:rsid w:val="00C13913"/>
    <w:rsid w:val="00C15881"/>
    <w:rsid w:val="00C174B3"/>
    <w:rsid w:val="00C177AF"/>
    <w:rsid w:val="00C17946"/>
    <w:rsid w:val="00C17AB0"/>
    <w:rsid w:val="00C207F9"/>
    <w:rsid w:val="00C2181A"/>
    <w:rsid w:val="00C21835"/>
    <w:rsid w:val="00C22606"/>
    <w:rsid w:val="00C24C60"/>
    <w:rsid w:val="00C2532B"/>
    <w:rsid w:val="00C26058"/>
    <w:rsid w:val="00C26C26"/>
    <w:rsid w:val="00C2748C"/>
    <w:rsid w:val="00C33729"/>
    <w:rsid w:val="00C3463E"/>
    <w:rsid w:val="00C34E80"/>
    <w:rsid w:val="00C3537F"/>
    <w:rsid w:val="00C35381"/>
    <w:rsid w:val="00C377C5"/>
    <w:rsid w:val="00C40485"/>
    <w:rsid w:val="00C4119E"/>
    <w:rsid w:val="00C412E7"/>
    <w:rsid w:val="00C4241E"/>
    <w:rsid w:val="00C424DF"/>
    <w:rsid w:val="00C432E4"/>
    <w:rsid w:val="00C43F38"/>
    <w:rsid w:val="00C472B9"/>
    <w:rsid w:val="00C50493"/>
    <w:rsid w:val="00C517F1"/>
    <w:rsid w:val="00C52108"/>
    <w:rsid w:val="00C55157"/>
    <w:rsid w:val="00C5668B"/>
    <w:rsid w:val="00C5715C"/>
    <w:rsid w:val="00C61A4C"/>
    <w:rsid w:val="00C62D6E"/>
    <w:rsid w:val="00C65194"/>
    <w:rsid w:val="00C65631"/>
    <w:rsid w:val="00C65C38"/>
    <w:rsid w:val="00C65E7F"/>
    <w:rsid w:val="00C70098"/>
    <w:rsid w:val="00C70814"/>
    <w:rsid w:val="00C71272"/>
    <w:rsid w:val="00C71948"/>
    <w:rsid w:val="00C72ECC"/>
    <w:rsid w:val="00C73D30"/>
    <w:rsid w:val="00C74D58"/>
    <w:rsid w:val="00C76F34"/>
    <w:rsid w:val="00C80239"/>
    <w:rsid w:val="00C8112A"/>
    <w:rsid w:val="00C82B4B"/>
    <w:rsid w:val="00C82BB1"/>
    <w:rsid w:val="00C845AD"/>
    <w:rsid w:val="00C85A24"/>
    <w:rsid w:val="00C85D13"/>
    <w:rsid w:val="00C85FEB"/>
    <w:rsid w:val="00C8685B"/>
    <w:rsid w:val="00C8688A"/>
    <w:rsid w:val="00C86BEA"/>
    <w:rsid w:val="00C86E21"/>
    <w:rsid w:val="00C8720D"/>
    <w:rsid w:val="00C87340"/>
    <w:rsid w:val="00C87979"/>
    <w:rsid w:val="00C90692"/>
    <w:rsid w:val="00C91576"/>
    <w:rsid w:val="00C91D77"/>
    <w:rsid w:val="00C922F8"/>
    <w:rsid w:val="00C9372E"/>
    <w:rsid w:val="00C94063"/>
    <w:rsid w:val="00C94420"/>
    <w:rsid w:val="00C94BF6"/>
    <w:rsid w:val="00C94EEB"/>
    <w:rsid w:val="00C95B13"/>
    <w:rsid w:val="00C95BA3"/>
    <w:rsid w:val="00C9665F"/>
    <w:rsid w:val="00C96B06"/>
    <w:rsid w:val="00C97002"/>
    <w:rsid w:val="00CA08BF"/>
    <w:rsid w:val="00CA0FFD"/>
    <w:rsid w:val="00CA35B5"/>
    <w:rsid w:val="00CA5750"/>
    <w:rsid w:val="00CA5CA0"/>
    <w:rsid w:val="00CA5D99"/>
    <w:rsid w:val="00CA70DE"/>
    <w:rsid w:val="00CB2D8F"/>
    <w:rsid w:val="00CB33D8"/>
    <w:rsid w:val="00CB34A0"/>
    <w:rsid w:val="00CB4C55"/>
    <w:rsid w:val="00CC2F25"/>
    <w:rsid w:val="00CC336A"/>
    <w:rsid w:val="00CC396E"/>
    <w:rsid w:val="00CC4B14"/>
    <w:rsid w:val="00CC688D"/>
    <w:rsid w:val="00CC7639"/>
    <w:rsid w:val="00CC765E"/>
    <w:rsid w:val="00CC79B0"/>
    <w:rsid w:val="00CD09C4"/>
    <w:rsid w:val="00CD0AB1"/>
    <w:rsid w:val="00CD2A1E"/>
    <w:rsid w:val="00CD38E0"/>
    <w:rsid w:val="00CD4D3F"/>
    <w:rsid w:val="00CD5721"/>
    <w:rsid w:val="00CD5D0F"/>
    <w:rsid w:val="00CE00F4"/>
    <w:rsid w:val="00CE06A4"/>
    <w:rsid w:val="00CE203C"/>
    <w:rsid w:val="00CE342A"/>
    <w:rsid w:val="00CE39B7"/>
    <w:rsid w:val="00CE3E8F"/>
    <w:rsid w:val="00CE3F70"/>
    <w:rsid w:val="00CE4373"/>
    <w:rsid w:val="00CE677E"/>
    <w:rsid w:val="00CE6A3F"/>
    <w:rsid w:val="00CE79AD"/>
    <w:rsid w:val="00CF1B42"/>
    <w:rsid w:val="00CF2243"/>
    <w:rsid w:val="00CF4D61"/>
    <w:rsid w:val="00CF5092"/>
    <w:rsid w:val="00CF6478"/>
    <w:rsid w:val="00CF6CD7"/>
    <w:rsid w:val="00CF7CF4"/>
    <w:rsid w:val="00D024B0"/>
    <w:rsid w:val="00D06720"/>
    <w:rsid w:val="00D078FC"/>
    <w:rsid w:val="00D10A53"/>
    <w:rsid w:val="00D10CFB"/>
    <w:rsid w:val="00D121B7"/>
    <w:rsid w:val="00D142EA"/>
    <w:rsid w:val="00D14BC3"/>
    <w:rsid w:val="00D154AB"/>
    <w:rsid w:val="00D17345"/>
    <w:rsid w:val="00D2072B"/>
    <w:rsid w:val="00D208BE"/>
    <w:rsid w:val="00D22277"/>
    <w:rsid w:val="00D22611"/>
    <w:rsid w:val="00D23A36"/>
    <w:rsid w:val="00D24758"/>
    <w:rsid w:val="00D247AA"/>
    <w:rsid w:val="00D248BA"/>
    <w:rsid w:val="00D25FC7"/>
    <w:rsid w:val="00D26A47"/>
    <w:rsid w:val="00D3051C"/>
    <w:rsid w:val="00D30ED0"/>
    <w:rsid w:val="00D31277"/>
    <w:rsid w:val="00D32FDF"/>
    <w:rsid w:val="00D33545"/>
    <w:rsid w:val="00D33970"/>
    <w:rsid w:val="00D33C91"/>
    <w:rsid w:val="00D349F8"/>
    <w:rsid w:val="00D34DF2"/>
    <w:rsid w:val="00D3612C"/>
    <w:rsid w:val="00D36D07"/>
    <w:rsid w:val="00D37C6F"/>
    <w:rsid w:val="00D407C5"/>
    <w:rsid w:val="00D40C87"/>
    <w:rsid w:val="00D41947"/>
    <w:rsid w:val="00D42C4A"/>
    <w:rsid w:val="00D43D09"/>
    <w:rsid w:val="00D44471"/>
    <w:rsid w:val="00D45075"/>
    <w:rsid w:val="00D45BFB"/>
    <w:rsid w:val="00D46DFF"/>
    <w:rsid w:val="00D47D16"/>
    <w:rsid w:val="00D50761"/>
    <w:rsid w:val="00D524E8"/>
    <w:rsid w:val="00D549A9"/>
    <w:rsid w:val="00D54B2F"/>
    <w:rsid w:val="00D55B65"/>
    <w:rsid w:val="00D5627D"/>
    <w:rsid w:val="00D57395"/>
    <w:rsid w:val="00D57B56"/>
    <w:rsid w:val="00D604E2"/>
    <w:rsid w:val="00D60B98"/>
    <w:rsid w:val="00D60BFE"/>
    <w:rsid w:val="00D614E4"/>
    <w:rsid w:val="00D62EAE"/>
    <w:rsid w:val="00D63543"/>
    <w:rsid w:val="00D63BD2"/>
    <w:rsid w:val="00D64BA3"/>
    <w:rsid w:val="00D64BBD"/>
    <w:rsid w:val="00D64BC4"/>
    <w:rsid w:val="00D65D31"/>
    <w:rsid w:val="00D668A9"/>
    <w:rsid w:val="00D66EC0"/>
    <w:rsid w:val="00D679F2"/>
    <w:rsid w:val="00D67BBD"/>
    <w:rsid w:val="00D67CE2"/>
    <w:rsid w:val="00D70102"/>
    <w:rsid w:val="00D71D76"/>
    <w:rsid w:val="00D723BF"/>
    <w:rsid w:val="00D73CFE"/>
    <w:rsid w:val="00D746EA"/>
    <w:rsid w:val="00D7536F"/>
    <w:rsid w:val="00D768C7"/>
    <w:rsid w:val="00D77AD5"/>
    <w:rsid w:val="00D83D36"/>
    <w:rsid w:val="00D84AE3"/>
    <w:rsid w:val="00D85329"/>
    <w:rsid w:val="00D85733"/>
    <w:rsid w:val="00D863BB"/>
    <w:rsid w:val="00D864BB"/>
    <w:rsid w:val="00D872C6"/>
    <w:rsid w:val="00D874DE"/>
    <w:rsid w:val="00D94210"/>
    <w:rsid w:val="00D94B31"/>
    <w:rsid w:val="00D957B6"/>
    <w:rsid w:val="00D96054"/>
    <w:rsid w:val="00D960FB"/>
    <w:rsid w:val="00D96214"/>
    <w:rsid w:val="00D97A97"/>
    <w:rsid w:val="00D97FA0"/>
    <w:rsid w:val="00DA1F64"/>
    <w:rsid w:val="00DA21DF"/>
    <w:rsid w:val="00DA4707"/>
    <w:rsid w:val="00DA4B53"/>
    <w:rsid w:val="00DA572F"/>
    <w:rsid w:val="00DA6F90"/>
    <w:rsid w:val="00DA7128"/>
    <w:rsid w:val="00DA7412"/>
    <w:rsid w:val="00DB0753"/>
    <w:rsid w:val="00DB2A34"/>
    <w:rsid w:val="00DB2EB4"/>
    <w:rsid w:val="00DB39C0"/>
    <w:rsid w:val="00DB4F1C"/>
    <w:rsid w:val="00DB5057"/>
    <w:rsid w:val="00DC08F0"/>
    <w:rsid w:val="00DC1293"/>
    <w:rsid w:val="00DC135C"/>
    <w:rsid w:val="00DC1FCD"/>
    <w:rsid w:val="00DC2A7A"/>
    <w:rsid w:val="00DC2BB9"/>
    <w:rsid w:val="00DC2FDC"/>
    <w:rsid w:val="00DC4199"/>
    <w:rsid w:val="00DC4288"/>
    <w:rsid w:val="00DC42CE"/>
    <w:rsid w:val="00DC4998"/>
    <w:rsid w:val="00DC4C4F"/>
    <w:rsid w:val="00DC4E5D"/>
    <w:rsid w:val="00DC5DE9"/>
    <w:rsid w:val="00DC7322"/>
    <w:rsid w:val="00DD0E1E"/>
    <w:rsid w:val="00DD2677"/>
    <w:rsid w:val="00DD4993"/>
    <w:rsid w:val="00DD57BC"/>
    <w:rsid w:val="00DD5C8A"/>
    <w:rsid w:val="00DD5D79"/>
    <w:rsid w:val="00DD73F1"/>
    <w:rsid w:val="00DE11DB"/>
    <w:rsid w:val="00DE473D"/>
    <w:rsid w:val="00DE489D"/>
    <w:rsid w:val="00DE6D23"/>
    <w:rsid w:val="00DE76AE"/>
    <w:rsid w:val="00DE7B4E"/>
    <w:rsid w:val="00DF0239"/>
    <w:rsid w:val="00DF0691"/>
    <w:rsid w:val="00DF0E51"/>
    <w:rsid w:val="00DF1470"/>
    <w:rsid w:val="00DF29C5"/>
    <w:rsid w:val="00DF2E64"/>
    <w:rsid w:val="00DF5569"/>
    <w:rsid w:val="00DF70BC"/>
    <w:rsid w:val="00DF7489"/>
    <w:rsid w:val="00DF7510"/>
    <w:rsid w:val="00E00247"/>
    <w:rsid w:val="00E019E7"/>
    <w:rsid w:val="00E03B36"/>
    <w:rsid w:val="00E03EF2"/>
    <w:rsid w:val="00E04698"/>
    <w:rsid w:val="00E04B16"/>
    <w:rsid w:val="00E05F84"/>
    <w:rsid w:val="00E05FF7"/>
    <w:rsid w:val="00E0776E"/>
    <w:rsid w:val="00E0783F"/>
    <w:rsid w:val="00E11B67"/>
    <w:rsid w:val="00E14DF8"/>
    <w:rsid w:val="00E16AD3"/>
    <w:rsid w:val="00E1789C"/>
    <w:rsid w:val="00E17AA2"/>
    <w:rsid w:val="00E205C0"/>
    <w:rsid w:val="00E20BB5"/>
    <w:rsid w:val="00E20FAE"/>
    <w:rsid w:val="00E2114A"/>
    <w:rsid w:val="00E212B6"/>
    <w:rsid w:val="00E231E4"/>
    <w:rsid w:val="00E2327D"/>
    <w:rsid w:val="00E23E54"/>
    <w:rsid w:val="00E252D4"/>
    <w:rsid w:val="00E25CEC"/>
    <w:rsid w:val="00E266DA"/>
    <w:rsid w:val="00E2724E"/>
    <w:rsid w:val="00E312EB"/>
    <w:rsid w:val="00E3423A"/>
    <w:rsid w:val="00E35858"/>
    <w:rsid w:val="00E37E0A"/>
    <w:rsid w:val="00E40AD4"/>
    <w:rsid w:val="00E41D84"/>
    <w:rsid w:val="00E42537"/>
    <w:rsid w:val="00E42FE6"/>
    <w:rsid w:val="00E4354B"/>
    <w:rsid w:val="00E43A74"/>
    <w:rsid w:val="00E43D85"/>
    <w:rsid w:val="00E44761"/>
    <w:rsid w:val="00E45CC7"/>
    <w:rsid w:val="00E46C11"/>
    <w:rsid w:val="00E50783"/>
    <w:rsid w:val="00E510AF"/>
    <w:rsid w:val="00E51B41"/>
    <w:rsid w:val="00E521C3"/>
    <w:rsid w:val="00E52A80"/>
    <w:rsid w:val="00E52C07"/>
    <w:rsid w:val="00E540CE"/>
    <w:rsid w:val="00E54B96"/>
    <w:rsid w:val="00E54EAB"/>
    <w:rsid w:val="00E55B4C"/>
    <w:rsid w:val="00E56EEE"/>
    <w:rsid w:val="00E56F91"/>
    <w:rsid w:val="00E570CD"/>
    <w:rsid w:val="00E57390"/>
    <w:rsid w:val="00E5763C"/>
    <w:rsid w:val="00E57EC2"/>
    <w:rsid w:val="00E60DEE"/>
    <w:rsid w:val="00E656A0"/>
    <w:rsid w:val="00E705BA"/>
    <w:rsid w:val="00E70AD9"/>
    <w:rsid w:val="00E713E9"/>
    <w:rsid w:val="00E730AE"/>
    <w:rsid w:val="00E73E6B"/>
    <w:rsid w:val="00E74B92"/>
    <w:rsid w:val="00E77D0A"/>
    <w:rsid w:val="00E81063"/>
    <w:rsid w:val="00E81FA7"/>
    <w:rsid w:val="00E82C0C"/>
    <w:rsid w:val="00E833C9"/>
    <w:rsid w:val="00E8355D"/>
    <w:rsid w:val="00E83B16"/>
    <w:rsid w:val="00E849A4"/>
    <w:rsid w:val="00E85453"/>
    <w:rsid w:val="00E858F7"/>
    <w:rsid w:val="00E85BF3"/>
    <w:rsid w:val="00E86059"/>
    <w:rsid w:val="00E864E8"/>
    <w:rsid w:val="00E8684F"/>
    <w:rsid w:val="00E87186"/>
    <w:rsid w:val="00E87E1A"/>
    <w:rsid w:val="00E90518"/>
    <w:rsid w:val="00E90949"/>
    <w:rsid w:val="00E90D8E"/>
    <w:rsid w:val="00E91197"/>
    <w:rsid w:val="00E91D3B"/>
    <w:rsid w:val="00E923FA"/>
    <w:rsid w:val="00E9255D"/>
    <w:rsid w:val="00E928D0"/>
    <w:rsid w:val="00E93E23"/>
    <w:rsid w:val="00E94A32"/>
    <w:rsid w:val="00E954AE"/>
    <w:rsid w:val="00E9613D"/>
    <w:rsid w:val="00EA04E2"/>
    <w:rsid w:val="00EA0AE2"/>
    <w:rsid w:val="00EA11E7"/>
    <w:rsid w:val="00EA3F57"/>
    <w:rsid w:val="00EA3F7C"/>
    <w:rsid w:val="00EA418E"/>
    <w:rsid w:val="00EA4AC3"/>
    <w:rsid w:val="00EA6415"/>
    <w:rsid w:val="00EA69A4"/>
    <w:rsid w:val="00EA6A9C"/>
    <w:rsid w:val="00EA719D"/>
    <w:rsid w:val="00EA741C"/>
    <w:rsid w:val="00EB1999"/>
    <w:rsid w:val="00EB3287"/>
    <w:rsid w:val="00EB6D2C"/>
    <w:rsid w:val="00EB6DB9"/>
    <w:rsid w:val="00EB75CB"/>
    <w:rsid w:val="00EC190A"/>
    <w:rsid w:val="00EC272F"/>
    <w:rsid w:val="00EC570F"/>
    <w:rsid w:val="00ED1D7F"/>
    <w:rsid w:val="00ED2A7A"/>
    <w:rsid w:val="00ED45B9"/>
    <w:rsid w:val="00ED583F"/>
    <w:rsid w:val="00ED6D69"/>
    <w:rsid w:val="00ED6FCF"/>
    <w:rsid w:val="00EE18E6"/>
    <w:rsid w:val="00EE3161"/>
    <w:rsid w:val="00EE31A8"/>
    <w:rsid w:val="00EE327B"/>
    <w:rsid w:val="00EE33BC"/>
    <w:rsid w:val="00EE569C"/>
    <w:rsid w:val="00EE6A2A"/>
    <w:rsid w:val="00EE70F5"/>
    <w:rsid w:val="00EF3CBD"/>
    <w:rsid w:val="00EF3F31"/>
    <w:rsid w:val="00EF42D2"/>
    <w:rsid w:val="00EF77D2"/>
    <w:rsid w:val="00F016D9"/>
    <w:rsid w:val="00F02E6D"/>
    <w:rsid w:val="00F039A1"/>
    <w:rsid w:val="00F053D6"/>
    <w:rsid w:val="00F06B33"/>
    <w:rsid w:val="00F102D1"/>
    <w:rsid w:val="00F1054E"/>
    <w:rsid w:val="00F106B4"/>
    <w:rsid w:val="00F10DBF"/>
    <w:rsid w:val="00F11671"/>
    <w:rsid w:val="00F116F2"/>
    <w:rsid w:val="00F120C8"/>
    <w:rsid w:val="00F12A96"/>
    <w:rsid w:val="00F12BC0"/>
    <w:rsid w:val="00F130F3"/>
    <w:rsid w:val="00F142FD"/>
    <w:rsid w:val="00F14AE2"/>
    <w:rsid w:val="00F17C87"/>
    <w:rsid w:val="00F20069"/>
    <w:rsid w:val="00F207CF"/>
    <w:rsid w:val="00F2140C"/>
    <w:rsid w:val="00F21E5B"/>
    <w:rsid w:val="00F23817"/>
    <w:rsid w:val="00F268F0"/>
    <w:rsid w:val="00F2741C"/>
    <w:rsid w:val="00F30DA2"/>
    <w:rsid w:val="00F317C5"/>
    <w:rsid w:val="00F31F5F"/>
    <w:rsid w:val="00F32977"/>
    <w:rsid w:val="00F33F96"/>
    <w:rsid w:val="00F34D7B"/>
    <w:rsid w:val="00F34EA7"/>
    <w:rsid w:val="00F35626"/>
    <w:rsid w:val="00F35648"/>
    <w:rsid w:val="00F35F2E"/>
    <w:rsid w:val="00F364EE"/>
    <w:rsid w:val="00F37209"/>
    <w:rsid w:val="00F4099F"/>
    <w:rsid w:val="00F40EE2"/>
    <w:rsid w:val="00F421E8"/>
    <w:rsid w:val="00F42496"/>
    <w:rsid w:val="00F432C6"/>
    <w:rsid w:val="00F4504B"/>
    <w:rsid w:val="00F457D4"/>
    <w:rsid w:val="00F469DE"/>
    <w:rsid w:val="00F47030"/>
    <w:rsid w:val="00F47439"/>
    <w:rsid w:val="00F47A3A"/>
    <w:rsid w:val="00F47F41"/>
    <w:rsid w:val="00F504AD"/>
    <w:rsid w:val="00F55885"/>
    <w:rsid w:val="00F55BB1"/>
    <w:rsid w:val="00F57B0C"/>
    <w:rsid w:val="00F60876"/>
    <w:rsid w:val="00F609FD"/>
    <w:rsid w:val="00F60D0A"/>
    <w:rsid w:val="00F60E29"/>
    <w:rsid w:val="00F60E84"/>
    <w:rsid w:val="00F6113D"/>
    <w:rsid w:val="00F6149D"/>
    <w:rsid w:val="00F61D7C"/>
    <w:rsid w:val="00F62EFB"/>
    <w:rsid w:val="00F6378A"/>
    <w:rsid w:val="00F64447"/>
    <w:rsid w:val="00F649CB"/>
    <w:rsid w:val="00F64E5D"/>
    <w:rsid w:val="00F65D75"/>
    <w:rsid w:val="00F671AA"/>
    <w:rsid w:val="00F7108F"/>
    <w:rsid w:val="00F728AD"/>
    <w:rsid w:val="00F7399C"/>
    <w:rsid w:val="00F73C92"/>
    <w:rsid w:val="00F76A81"/>
    <w:rsid w:val="00F76E4B"/>
    <w:rsid w:val="00F80C99"/>
    <w:rsid w:val="00F8194C"/>
    <w:rsid w:val="00F834C2"/>
    <w:rsid w:val="00F83930"/>
    <w:rsid w:val="00F84AED"/>
    <w:rsid w:val="00F85683"/>
    <w:rsid w:val="00F85F3F"/>
    <w:rsid w:val="00F87773"/>
    <w:rsid w:val="00F910D2"/>
    <w:rsid w:val="00F91EFE"/>
    <w:rsid w:val="00F923F6"/>
    <w:rsid w:val="00F934ED"/>
    <w:rsid w:val="00F945CD"/>
    <w:rsid w:val="00F9478D"/>
    <w:rsid w:val="00F95B50"/>
    <w:rsid w:val="00F95E8F"/>
    <w:rsid w:val="00F9686E"/>
    <w:rsid w:val="00F97A58"/>
    <w:rsid w:val="00FA0925"/>
    <w:rsid w:val="00FA3C54"/>
    <w:rsid w:val="00FA4A8F"/>
    <w:rsid w:val="00FA4F5F"/>
    <w:rsid w:val="00FA5884"/>
    <w:rsid w:val="00FA67EB"/>
    <w:rsid w:val="00FA7A4E"/>
    <w:rsid w:val="00FB134F"/>
    <w:rsid w:val="00FB14EF"/>
    <w:rsid w:val="00FB3F4B"/>
    <w:rsid w:val="00FC5164"/>
    <w:rsid w:val="00FC5942"/>
    <w:rsid w:val="00FC60CB"/>
    <w:rsid w:val="00FC61E3"/>
    <w:rsid w:val="00FC6D1D"/>
    <w:rsid w:val="00FC6ECA"/>
    <w:rsid w:val="00FD0D1E"/>
    <w:rsid w:val="00FD32BA"/>
    <w:rsid w:val="00FD34DB"/>
    <w:rsid w:val="00FD35BD"/>
    <w:rsid w:val="00FD382B"/>
    <w:rsid w:val="00FD41A4"/>
    <w:rsid w:val="00FD5262"/>
    <w:rsid w:val="00FD604F"/>
    <w:rsid w:val="00FD7DCB"/>
    <w:rsid w:val="00FE2A8A"/>
    <w:rsid w:val="00FE3116"/>
    <w:rsid w:val="00FE3D40"/>
    <w:rsid w:val="00FE52C8"/>
    <w:rsid w:val="00FE562E"/>
    <w:rsid w:val="00FE6607"/>
    <w:rsid w:val="00FE745B"/>
    <w:rsid w:val="00FF296D"/>
    <w:rsid w:val="00FF2CCD"/>
    <w:rsid w:val="00FF4B86"/>
    <w:rsid w:val="00FF74C3"/>
    <w:rsid w:val="00FF7912"/>
    <w:rsid w:val="00FF7999"/>
    <w:rsid w:val="05C62623"/>
    <w:rsid w:val="061834A6"/>
    <w:rsid w:val="075E0CE2"/>
    <w:rsid w:val="07F35492"/>
    <w:rsid w:val="08787370"/>
    <w:rsid w:val="08D5718A"/>
    <w:rsid w:val="0E0724CB"/>
    <w:rsid w:val="0E1228FC"/>
    <w:rsid w:val="0E477E26"/>
    <w:rsid w:val="10275011"/>
    <w:rsid w:val="12437F2C"/>
    <w:rsid w:val="1516451F"/>
    <w:rsid w:val="15603729"/>
    <w:rsid w:val="1DA1006D"/>
    <w:rsid w:val="22A17182"/>
    <w:rsid w:val="23C9404C"/>
    <w:rsid w:val="25D047CB"/>
    <w:rsid w:val="27481A26"/>
    <w:rsid w:val="289F6C7A"/>
    <w:rsid w:val="2BA57AF7"/>
    <w:rsid w:val="2BB735A6"/>
    <w:rsid w:val="33A17811"/>
    <w:rsid w:val="38C268F9"/>
    <w:rsid w:val="441F3CB8"/>
    <w:rsid w:val="483C50D5"/>
    <w:rsid w:val="4DA37439"/>
    <w:rsid w:val="4FF10AAF"/>
    <w:rsid w:val="52B94985"/>
    <w:rsid w:val="5426228D"/>
    <w:rsid w:val="5787274B"/>
    <w:rsid w:val="580615B7"/>
    <w:rsid w:val="5B2E7D76"/>
    <w:rsid w:val="5D03027D"/>
    <w:rsid w:val="5F95366F"/>
    <w:rsid w:val="621A39E7"/>
    <w:rsid w:val="6C1C6B12"/>
    <w:rsid w:val="6E143AA8"/>
    <w:rsid w:val="6E9061F9"/>
    <w:rsid w:val="728A0BDA"/>
    <w:rsid w:val="747270C4"/>
    <w:rsid w:val="74995F86"/>
    <w:rsid w:val="78D915CC"/>
    <w:rsid w:val="7CB62EA9"/>
    <w:rsid w:val="7D7D1502"/>
    <w:rsid w:val="7F092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7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3"/>
    <w:qFormat/>
    <w:uiPriority w:val="0"/>
    <w:pPr>
      <w:keepNext/>
      <w:keepLines/>
      <w:spacing w:before="280" w:after="290" w:line="376" w:lineRule="auto"/>
      <w:outlineLvl w:val="4"/>
    </w:pPr>
    <w:rPr>
      <w:b/>
      <w:bCs/>
      <w:sz w:val="28"/>
      <w:szCs w:val="28"/>
    </w:rPr>
  </w:style>
  <w:style w:type="paragraph" w:styleId="7">
    <w:name w:val="heading 6"/>
    <w:basedOn w:val="1"/>
    <w:next w:val="1"/>
    <w:link w:val="74"/>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5"/>
    <w:qFormat/>
    <w:uiPriority w:val="0"/>
    <w:pPr>
      <w:keepNext/>
      <w:keepLines/>
      <w:spacing w:before="240" w:after="64" w:line="320" w:lineRule="auto"/>
      <w:outlineLvl w:val="6"/>
    </w:pPr>
    <w:rPr>
      <w:b/>
      <w:bCs/>
      <w:sz w:val="24"/>
    </w:rPr>
  </w:style>
  <w:style w:type="paragraph" w:styleId="9">
    <w:name w:val="heading 8"/>
    <w:basedOn w:val="1"/>
    <w:next w:val="1"/>
    <w:link w:val="76"/>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77"/>
    <w:qFormat/>
    <w:uiPriority w:val="0"/>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1"/>
    </w:rPr>
  </w:style>
  <w:style w:type="paragraph" w:styleId="12">
    <w:name w:val="Normal Indent"/>
    <w:basedOn w:val="1"/>
    <w:qFormat/>
    <w:uiPriority w:val="0"/>
    <w:pPr>
      <w:ind w:firstLine="420" w:firstLineChars="200"/>
    </w:pPr>
    <w:rPr>
      <w:szCs w:val="21"/>
    </w:rPr>
  </w:style>
  <w:style w:type="paragraph" w:styleId="13">
    <w:name w:val="annotation text"/>
    <w:basedOn w:val="1"/>
    <w:semiHidden/>
    <w:qFormat/>
    <w:uiPriority w:val="0"/>
    <w:pPr>
      <w:jc w:val="left"/>
    </w:pPr>
  </w:style>
  <w:style w:type="paragraph" w:styleId="14">
    <w:name w:val="Body Text"/>
    <w:basedOn w:val="1"/>
    <w:link w:val="69"/>
    <w:qFormat/>
    <w:uiPriority w:val="0"/>
    <w:pPr>
      <w:spacing w:after="120"/>
    </w:pPr>
    <w:rPr>
      <w:szCs w:val="21"/>
    </w:rPr>
  </w:style>
  <w:style w:type="paragraph" w:styleId="15">
    <w:name w:val="Body Text Indent"/>
    <w:basedOn w:val="1"/>
    <w:qFormat/>
    <w:uiPriority w:val="0"/>
    <w:pPr>
      <w:spacing w:after="120"/>
      <w:ind w:left="420" w:leftChars="200"/>
    </w:pPr>
  </w:style>
  <w:style w:type="paragraph" w:styleId="16">
    <w:name w:val="HTML Address"/>
    <w:basedOn w:val="1"/>
    <w:link w:val="80"/>
    <w:qFormat/>
    <w:uiPriority w:val="0"/>
    <w:rPr>
      <w:i/>
      <w:iCs/>
      <w:szCs w:val="21"/>
    </w:rPr>
  </w:style>
  <w:style w:type="paragraph" w:styleId="17">
    <w:name w:val="toc 5"/>
    <w:basedOn w:val="1"/>
    <w:next w:val="1"/>
    <w:qFormat/>
    <w:uiPriority w:val="0"/>
    <w:pPr>
      <w:ind w:left="1680" w:leftChars="800"/>
    </w:pPr>
    <w:rPr>
      <w:szCs w:val="21"/>
    </w:rPr>
  </w:style>
  <w:style w:type="paragraph" w:styleId="18">
    <w:name w:val="toc 3"/>
    <w:basedOn w:val="1"/>
    <w:next w:val="1"/>
    <w:qFormat/>
    <w:uiPriority w:val="39"/>
    <w:pPr>
      <w:ind w:left="840" w:leftChars="400"/>
    </w:pPr>
    <w:rPr>
      <w:szCs w:val="21"/>
    </w:rPr>
  </w:style>
  <w:style w:type="paragraph" w:styleId="19">
    <w:name w:val="Plain Text"/>
    <w:basedOn w:val="1"/>
    <w:qFormat/>
    <w:uiPriority w:val="0"/>
    <w:rPr>
      <w:rFonts w:ascii="宋体" w:hAnsi="Courier New" w:cs="Courier New"/>
      <w:szCs w:val="21"/>
    </w:rPr>
  </w:style>
  <w:style w:type="paragraph" w:styleId="20">
    <w:name w:val="toc 8"/>
    <w:basedOn w:val="1"/>
    <w:next w:val="1"/>
    <w:qFormat/>
    <w:uiPriority w:val="0"/>
    <w:pPr>
      <w:ind w:left="2940" w:leftChars="1400"/>
    </w:pPr>
    <w:rPr>
      <w:szCs w:val="21"/>
    </w:rPr>
  </w:style>
  <w:style w:type="paragraph" w:styleId="21">
    <w:name w:val="Date"/>
    <w:basedOn w:val="1"/>
    <w:next w:val="1"/>
    <w:qFormat/>
    <w:uiPriority w:val="0"/>
    <w:pPr>
      <w:ind w:left="100" w:leftChars="2500"/>
    </w:pPr>
  </w:style>
  <w:style w:type="paragraph" w:styleId="22">
    <w:name w:val="Body Text Indent 2"/>
    <w:basedOn w:val="1"/>
    <w:qFormat/>
    <w:uiPriority w:val="0"/>
    <w:pPr>
      <w:ind w:firstLine="600" w:firstLineChars="200"/>
      <w:jc w:val="left"/>
    </w:pPr>
    <w:rPr>
      <w:sz w:val="30"/>
    </w:rPr>
  </w:style>
  <w:style w:type="paragraph" w:styleId="23">
    <w:name w:val="Balloon Text"/>
    <w:basedOn w:val="1"/>
    <w:qFormat/>
    <w:uiPriority w:val="0"/>
    <w:rPr>
      <w:sz w:val="18"/>
      <w:szCs w:val="18"/>
    </w:rPr>
  </w:style>
  <w:style w:type="paragraph" w:styleId="24">
    <w:name w:val="footer"/>
    <w:basedOn w:val="1"/>
    <w:link w:val="139"/>
    <w:qFormat/>
    <w:uiPriority w:val="0"/>
    <w:pPr>
      <w:tabs>
        <w:tab w:val="center" w:pos="4153"/>
        <w:tab w:val="right" w:pos="8306"/>
      </w:tabs>
      <w:snapToGrid w:val="0"/>
      <w:jc w:val="left"/>
    </w:pPr>
    <w:rPr>
      <w:sz w:val="18"/>
      <w:szCs w:val="18"/>
    </w:rPr>
  </w:style>
  <w:style w:type="paragraph" w:styleId="25">
    <w:name w:val="header"/>
    <w:basedOn w:val="1"/>
    <w:link w:val="144"/>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link w:val="150"/>
    <w:qFormat/>
    <w:uiPriority w:val="39"/>
    <w:rPr>
      <w:szCs w:val="21"/>
    </w:rPr>
  </w:style>
  <w:style w:type="paragraph" w:styleId="27">
    <w:name w:val="toc 4"/>
    <w:basedOn w:val="1"/>
    <w:next w:val="1"/>
    <w:qFormat/>
    <w:uiPriority w:val="0"/>
    <w:pPr>
      <w:ind w:left="1260" w:leftChars="600"/>
    </w:pPr>
    <w:rPr>
      <w:szCs w:val="21"/>
    </w:rPr>
  </w:style>
  <w:style w:type="paragraph" w:styleId="28">
    <w:name w:val="footnote text"/>
    <w:basedOn w:val="1"/>
    <w:link w:val="107"/>
    <w:qFormat/>
    <w:uiPriority w:val="0"/>
    <w:pPr>
      <w:snapToGrid w:val="0"/>
      <w:jc w:val="left"/>
    </w:pPr>
    <w:rPr>
      <w:sz w:val="18"/>
      <w:szCs w:val="18"/>
    </w:rPr>
  </w:style>
  <w:style w:type="paragraph" w:styleId="29">
    <w:name w:val="toc 6"/>
    <w:basedOn w:val="1"/>
    <w:next w:val="1"/>
    <w:qFormat/>
    <w:uiPriority w:val="0"/>
    <w:pPr>
      <w:ind w:left="2100" w:leftChars="1000"/>
    </w:pPr>
    <w:rPr>
      <w:szCs w:val="21"/>
    </w:rPr>
  </w:style>
  <w:style w:type="paragraph" w:styleId="30">
    <w:name w:val="toc 2"/>
    <w:basedOn w:val="1"/>
    <w:next w:val="1"/>
    <w:qFormat/>
    <w:uiPriority w:val="0"/>
    <w:pPr>
      <w:ind w:left="420" w:leftChars="200"/>
    </w:pPr>
    <w:rPr>
      <w:szCs w:val="21"/>
    </w:rPr>
  </w:style>
  <w:style w:type="paragraph" w:styleId="31">
    <w:name w:val="toc 9"/>
    <w:basedOn w:val="1"/>
    <w:next w:val="1"/>
    <w:qFormat/>
    <w:uiPriority w:val="0"/>
    <w:pPr>
      <w:ind w:left="3360" w:leftChars="1600"/>
    </w:pPr>
    <w:rPr>
      <w:szCs w:val="21"/>
    </w:rPr>
  </w:style>
  <w:style w:type="paragraph" w:styleId="32">
    <w:name w:val="HTML Preformatted"/>
    <w:basedOn w:val="1"/>
    <w:link w:val="81"/>
    <w:qFormat/>
    <w:uiPriority w:val="0"/>
    <w:rPr>
      <w:rFonts w:ascii="Courier New" w:hAnsi="Courier New"/>
      <w:sz w:val="20"/>
      <w:szCs w:val="20"/>
    </w:rPr>
  </w:style>
  <w:style w:type="paragraph" w:styleId="33">
    <w:name w:val="Title"/>
    <w:basedOn w:val="1"/>
    <w:link w:val="82"/>
    <w:qFormat/>
    <w:uiPriority w:val="0"/>
    <w:pPr>
      <w:spacing w:before="240" w:after="60"/>
      <w:jc w:val="center"/>
      <w:outlineLvl w:val="0"/>
    </w:pPr>
    <w:rPr>
      <w:rFonts w:ascii="Arial" w:hAnsi="Arial"/>
      <w:b/>
      <w:bCs/>
      <w:sz w:val="32"/>
      <w:szCs w:val="32"/>
    </w:rPr>
  </w:style>
  <w:style w:type="paragraph" w:styleId="34">
    <w:name w:val="annotation subject"/>
    <w:basedOn w:val="13"/>
    <w:next w:val="13"/>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HTML Definition"/>
    <w:qFormat/>
    <w:uiPriority w:val="0"/>
    <w:rPr>
      <w:rFonts w:cs="Times New Roman"/>
      <w:i/>
      <w:iCs/>
    </w:rPr>
  </w:style>
  <w:style w:type="character" w:styleId="41">
    <w:name w:val="HTML Typewriter"/>
    <w:qFormat/>
    <w:uiPriority w:val="0"/>
    <w:rPr>
      <w:rFonts w:ascii="Courier New" w:hAnsi="Courier New" w:cs="Courier New"/>
      <w:sz w:val="20"/>
      <w:szCs w:val="20"/>
    </w:rPr>
  </w:style>
  <w:style w:type="character" w:styleId="42">
    <w:name w:val="HTML Acronym"/>
    <w:qFormat/>
    <w:uiPriority w:val="0"/>
    <w:rPr>
      <w:rFonts w:cs="Times New Roman"/>
    </w:rPr>
  </w:style>
  <w:style w:type="character" w:styleId="43">
    <w:name w:val="HTML Variable"/>
    <w:qFormat/>
    <w:uiPriority w:val="0"/>
    <w:rPr>
      <w:rFonts w:cs="Times New Roman"/>
      <w:i/>
      <w:iCs/>
    </w:rPr>
  </w:style>
  <w:style w:type="character" w:styleId="44">
    <w:name w:val="Hyperlink"/>
    <w:qFormat/>
    <w:uiPriority w:val="99"/>
    <w:rPr>
      <w:rFonts w:cs="Times New Roman"/>
      <w:color w:val="0000FF"/>
      <w:u w:val="single"/>
    </w:rPr>
  </w:style>
  <w:style w:type="character" w:styleId="45">
    <w:name w:val="HTML Code"/>
    <w:qFormat/>
    <w:uiPriority w:val="0"/>
    <w:rPr>
      <w:rFonts w:ascii="Courier New" w:hAnsi="Courier New" w:cs="Courier New"/>
      <w:sz w:val="20"/>
      <w:szCs w:val="20"/>
    </w:rPr>
  </w:style>
  <w:style w:type="character" w:styleId="46">
    <w:name w:val="annotation reference"/>
    <w:semiHidden/>
    <w:qFormat/>
    <w:uiPriority w:val="0"/>
    <w:rPr>
      <w:sz w:val="21"/>
      <w:szCs w:val="21"/>
    </w:rPr>
  </w:style>
  <w:style w:type="character" w:styleId="47">
    <w:name w:val="HTML Cite"/>
    <w:qFormat/>
    <w:uiPriority w:val="0"/>
    <w:rPr>
      <w:rFonts w:cs="Times New Roman"/>
      <w:i/>
      <w:iCs/>
    </w:rPr>
  </w:style>
  <w:style w:type="character" w:styleId="48">
    <w:name w:val="footnote reference"/>
    <w:qFormat/>
    <w:uiPriority w:val="0"/>
    <w:rPr>
      <w:rFonts w:cs="Times New Roman"/>
      <w:vertAlign w:val="superscript"/>
    </w:rPr>
  </w:style>
  <w:style w:type="character" w:styleId="49">
    <w:name w:val="HTML Keyboard"/>
    <w:qFormat/>
    <w:uiPriority w:val="0"/>
    <w:rPr>
      <w:rFonts w:ascii="Courier New" w:hAnsi="Courier New" w:cs="Courier New"/>
      <w:sz w:val="20"/>
      <w:szCs w:val="20"/>
    </w:rPr>
  </w:style>
  <w:style w:type="character" w:styleId="50">
    <w:name w:val="HTML Sample"/>
    <w:qFormat/>
    <w:uiPriority w:val="0"/>
    <w:rPr>
      <w:rFonts w:ascii="Courier New" w:hAnsi="Courier New" w:cs="Courier New"/>
    </w:rPr>
  </w:style>
  <w:style w:type="paragraph" w:customStyle="1" w:styleId="5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2">
    <w:name w:val="段"/>
    <w:link w:val="6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章标题"/>
    <w:next w:val="52"/>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54">
    <w:name w:val="一级条标题"/>
    <w:basedOn w:val="53"/>
    <w:next w:val="52"/>
    <w:qFormat/>
    <w:uiPriority w:val="0"/>
    <w:pPr>
      <w:numPr>
        <w:ilvl w:val="2"/>
      </w:numPr>
      <w:spacing w:beforeLines="0" w:afterLines="0"/>
      <w:outlineLvl w:val="2"/>
    </w:pPr>
  </w:style>
  <w:style w:type="paragraph" w:customStyle="1" w:styleId="55">
    <w:name w:val="二级条标题"/>
    <w:basedOn w:val="54"/>
    <w:next w:val="52"/>
    <w:qFormat/>
    <w:uiPriority w:val="0"/>
    <w:pPr>
      <w:numPr>
        <w:ilvl w:val="3"/>
      </w:numPr>
      <w:outlineLvl w:val="3"/>
    </w:pPr>
  </w:style>
  <w:style w:type="paragraph" w:customStyle="1" w:styleId="56">
    <w:name w:val="目次、标准名称标题"/>
    <w:basedOn w:val="51"/>
    <w:next w:val="52"/>
    <w:qFormat/>
    <w:uiPriority w:val="0"/>
    <w:pPr>
      <w:numPr>
        <w:numId w:val="0"/>
      </w:numPr>
      <w:spacing w:line="460" w:lineRule="exact"/>
    </w:pPr>
  </w:style>
  <w:style w:type="paragraph" w:customStyle="1" w:styleId="57">
    <w:name w:val="三级条标题"/>
    <w:basedOn w:val="55"/>
    <w:next w:val="52"/>
    <w:qFormat/>
    <w:uiPriority w:val="0"/>
    <w:pPr>
      <w:numPr>
        <w:ilvl w:val="4"/>
      </w:numPr>
      <w:outlineLvl w:val="4"/>
    </w:pPr>
  </w:style>
  <w:style w:type="paragraph" w:customStyle="1" w:styleId="58">
    <w:name w:val="四级条标题"/>
    <w:basedOn w:val="57"/>
    <w:next w:val="52"/>
    <w:qFormat/>
    <w:uiPriority w:val="0"/>
    <w:pPr>
      <w:numPr>
        <w:ilvl w:val="5"/>
      </w:numPr>
      <w:outlineLvl w:val="5"/>
    </w:pPr>
  </w:style>
  <w:style w:type="paragraph" w:customStyle="1" w:styleId="59">
    <w:name w:val="五级条标题"/>
    <w:basedOn w:val="58"/>
    <w:next w:val="52"/>
    <w:qFormat/>
    <w:uiPriority w:val="0"/>
    <w:pPr>
      <w:numPr>
        <w:ilvl w:val="6"/>
      </w:numPr>
      <w:outlineLvl w:val="6"/>
    </w:pPr>
  </w:style>
  <w:style w:type="character" w:customStyle="1" w:styleId="60">
    <w:name w:val="段 Char"/>
    <w:link w:val="52"/>
    <w:qFormat/>
    <w:uiPriority w:val="0"/>
    <w:rPr>
      <w:rFonts w:ascii="宋体"/>
      <w:sz w:val="21"/>
      <w:lang w:val="en-US" w:eastAsia="zh-CN" w:bidi="ar-SA"/>
    </w:rPr>
  </w:style>
  <w:style w:type="paragraph" w:customStyle="1" w:styleId="61">
    <w:name w:val="附录标识"/>
    <w:basedOn w:val="51"/>
    <w:qFormat/>
    <w:uiPriority w:val="0"/>
    <w:pPr>
      <w:numPr>
        <w:ilvl w:val="0"/>
        <w:numId w:val="2"/>
      </w:numPr>
      <w:tabs>
        <w:tab w:val="left" w:pos="6405"/>
      </w:tabs>
      <w:spacing w:after="200"/>
    </w:pPr>
    <w:rPr>
      <w:sz w:val="21"/>
    </w:rPr>
  </w:style>
  <w:style w:type="paragraph" w:customStyle="1" w:styleId="62">
    <w:name w:val="附录章标题"/>
    <w:next w:val="52"/>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3">
    <w:name w:val="附录一级条标题"/>
    <w:basedOn w:val="62"/>
    <w:next w:val="52"/>
    <w:qFormat/>
    <w:uiPriority w:val="0"/>
    <w:pPr>
      <w:numPr>
        <w:ilvl w:val="2"/>
      </w:numPr>
      <w:autoSpaceDN w:val="0"/>
      <w:spacing w:beforeLines="0" w:afterLines="0"/>
      <w:outlineLvl w:val="2"/>
    </w:pPr>
  </w:style>
  <w:style w:type="paragraph" w:customStyle="1" w:styleId="64">
    <w:name w:val="附录二级条标题"/>
    <w:basedOn w:val="63"/>
    <w:next w:val="52"/>
    <w:qFormat/>
    <w:uiPriority w:val="0"/>
    <w:pPr>
      <w:numPr>
        <w:ilvl w:val="3"/>
      </w:numPr>
      <w:outlineLvl w:val="3"/>
    </w:pPr>
  </w:style>
  <w:style w:type="paragraph" w:customStyle="1" w:styleId="65">
    <w:name w:val="附录三级条标题"/>
    <w:basedOn w:val="64"/>
    <w:next w:val="52"/>
    <w:qFormat/>
    <w:uiPriority w:val="0"/>
    <w:pPr>
      <w:numPr>
        <w:ilvl w:val="4"/>
      </w:numPr>
      <w:outlineLvl w:val="4"/>
    </w:pPr>
  </w:style>
  <w:style w:type="paragraph" w:customStyle="1" w:styleId="66">
    <w:name w:val="附录四级条标题"/>
    <w:basedOn w:val="65"/>
    <w:next w:val="52"/>
    <w:qFormat/>
    <w:uiPriority w:val="0"/>
    <w:pPr>
      <w:numPr>
        <w:ilvl w:val="5"/>
      </w:numPr>
      <w:outlineLvl w:val="5"/>
    </w:pPr>
  </w:style>
  <w:style w:type="paragraph" w:customStyle="1" w:styleId="67">
    <w:name w:val="附录五级条标题"/>
    <w:basedOn w:val="66"/>
    <w:next w:val="52"/>
    <w:qFormat/>
    <w:uiPriority w:val="0"/>
    <w:pPr>
      <w:numPr>
        <w:ilvl w:val="6"/>
      </w:numPr>
      <w:outlineLvl w:val="6"/>
    </w:pPr>
  </w:style>
  <w:style w:type="character" w:customStyle="1" w:styleId="68">
    <w:name w:val="标题 1 Char"/>
    <w:link w:val="2"/>
    <w:qFormat/>
    <w:uiPriority w:val="0"/>
    <w:rPr>
      <w:b/>
      <w:bCs/>
      <w:kern w:val="44"/>
      <w:sz w:val="44"/>
      <w:szCs w:val="44"/>
    </w:rPr>
  </w:style>
  <w:style w:type="character" w:customStyle="1" w:styleId="69">
    <w:name w:val="正文文本 Char"/>
    <w:link w:val="14"/>
    <w:qFormat/>
    <w:uiPriority w:val="0"/>
    <w:rPr>
      <w:kern w:val="2"/>
      <w:sz w:val="21"/>
      <w:szCs w:val="21"/>
    </w:rPr>
  </w:style>
  <w:style w:type="character" w:customStyle="1" w:styleId="70">
    <w:name w:val="标题 2 Char"/>
    <w:link w:val="3"/>
    <w:qFormat/>
    <w:uiPriority w:val="0"/>
    <w:rPr>
      <w:rFonts w:ascii="Arial" w:hAnsi="Arial" w:eastAsia="黑体"/>
      <w:b/>
      <w:bCs/>
      <w:kern w:val="2"/>
      <w:sz w:val="32"/>
      <w:szCs w:val="32"/>
    </w:rPr>
  </w:style>
  <w:style w:type="character" w:customStyle="1" w:styleId="71">
    <w:name w:val="标题 3 Char"/>
    <w:link w:val="4"/>
    <w:qFormat/>
    <w:uiPriority w:val="0"/>
    <w:rPr>
      <w:b/>
      <w:bCs/>
      <w:kern w:val="2"/>
      <w:sz w:val="32"/>
      <w:szCs w:val="32"/>
    </w:rPr>
  </w:style>
  <w:style w:type="character" w:customStyle="1" w:styleId="72">
    <w:name w:val="标题 4 Char"/>
    <w:link w:val="5"/>
    <w:qFormat/>
    <w:uiPriority w:val="0"/>
    <w:rPr>
      <w:rFonts w:ascii="Arial" w:hAnsi="Arial" w:eastAsia="黑体"/>
      <w:b/>
      <w:bCs/>
      <w:kern w:val="2"/>
      <w:sz w:val="28"/>
      <w:szCs w:val="28"/>
    </w:rPr>
  </w:style>
  <w:style w:type="character" w:customStyle="1" w:styleId="73">
    <w:name w:val="标题 5 Char"/>
    <w:link w:val="6"/>
    <w:qFormat/>
    <w:uiPriority w:val="0"/>
    <w:rPr>
      <w:b/>
      <w:bCs/>
      <w:kern w:val="2"/>
      <w:sz w:val="28"/>
      <w:szCs w:val="28"/>
    </w:rPr>
  </w:style>
  <w:style w:type="character" w:customStyle="1" w:styleId="74">
    <w:name w:val="标题 6 Char"/>
    <w:link w:val="7"/>
    <w:qFormat/>
    <w:uiPriority w:val="0"/>
    <w:rPr>
      <w:rFonts w:ascii="Arial" w:hAnsi="Arial" w:eastAsia="黑体"/>
      <w:b/>
      <w:bCs/>
      <w:kern w:val="2"/>
      <w:sz w:val="24"/>
      <w:szCs w:val="24"/>
    </w:rPr>
  </w:style>
  <w:style w:type="character" w:customStyle="1" w:styleId="75">
    <w:name w:val="标题 7 Char"/>
    <w:link w:val="8"/>
    <w:qFormat/>
    <w:uiPriority w:val="0"/>
    <w:rPr>
      <w:b/>
      <w:bCs/>
      <w:kern w:val="2"/>
      <w:sz w:val="24"/>
      <w:szCs w:val="24"/>
    </w:rPr>
  </w:style>
  <w:style w:type="character" w:customStyle="1" w:styleId="76">
    <w:name w:val="标题 8 Char"/>
    <w:link w:val="9"/>
    <w:qFormat/>
    <w:uiPriority w:val="0"/>
    <w:rPr>
      <w:rFonts w:ascii="Arial" w:hAnsi="Arial" w:eastAsia="黑体"/>
      <w:kern w:val="2"/>
      <w:sz w:val="24"/>
      <w:szCs w:val="24"/>
    </w:rPr>
  </w:style>
  <w:style w:type="character" w:customStyle="1" w:styleId="77">
    <w:name w:val="标题 9 Char"/>
    <w:link w:val="10"/>
    <w:qFormat/>
    <w:uiPriority w:val="0"/>
    <w:rPr>
      <w:rFonts w:ascii="Arial" w:hAnsi="Arial" w:eastAsia="黑体"/>
      <w:kern w:val="2"/>
      <w:sz w:val="21"/>
      <w:szCs w:val="21"/>
    </w:rPr>
  </w:style>
  <w:style w:type="paragraph" w:customStyle="1" w:styleId="78">
    <w:name w:val="列项◆（三级）"/>
    <w:qFormat/>
    <w:uiPriority w:val="0"/>
    <w:pPr>
      <w:numPr>
        <w:ilvl w:val="0"/>
        <w:numId w:val="3"/>
      </w:numPr>
      <w:ind w:left="800" w:leftChars="600" w:hanging="200" w:hangingChars="200"/>
    </w:pPr>
    <w:rPr>
      <w:rFonts w:ascii="宋体" w:hAnsi="Times New Roman" w:eastAsia="宋体" w:cs="Times New Roman"/>
      <w:sz w:val="21"/>
      <w:szCs w:val="21"/>
      <w:lang w:val="en-US" w:eastAsia="zh-CN" w:bidi="ar-SA"/>
    </w:rPr>
  </w:style>
  <w:style w:type="paragraph" w:customStyle="1" w:styleId="79">
    <w:name w:val="附录表标题"/>
    <w:next w:val="52"/>
    <w:qFormat/>
    <w:uiPriority w:val="0"/>
    <w:pPr>
      <w:numPr>
        <w:ilvl w:val="0"/>
        <w:numId w:val="4"/>
      </w:numPr>
      <w:jc w:val="center"/>
      <w:textAlignment w:val="baseline"/>
    </w:pPr>
    <w:rPr>
      <w:rFonts w:ascii="黑体" w:hAnsi="Times New Roman" w:eastAsia="黑体" w:cs="Times New Roman"/>
      <w:kern w:val="21"/>
      <w:sz w:val="21"/>
      <w:szCs w:val="21"/>
      <w:lang w:val="en-US" w:eastAsia="zh-CN" w:bidi="ar-SA"/>
    </w:rPr>
  </w:style>
  <w:style w:type="character" w:customStyle="1" w:styleId="80">
    <w:name w:val="HTML 地址 Char"/>
    <w:link w:val="16"/>
    <w:qFormat/>
    <w:uiPriority w:val="0"/>
    <w:rPr>
      <w:i/>
      <w:iCs/>
      <w:kern w:val="2"/>
      <w:sz w:val="21"/>
      <w:szCs w:val="21"/>
    </w:rPr>
  </w:style>
  <w:style w:type="character" w:customStyle="1" w:styleId="81">
    <w:name w:val="HTML 预设格式 Char"/>
    <w:link w:val="32"/>
    <w:qFormat/>
    <w:uiPriority w:val="0"/>
    <w:rPr>
      <w:rFonts w:ascii="Courier New" w:hAnsi="Courier New"/>
      <w:kern w:val="2"/>
    </w:rPr>
  </w:style>
  <w:style w:type="character" w:customStyle="1" w:styleId="82">
    <w:name w:val="标题 Char"/>
    <w:link w:val="33"/>
    <w:qFormat/>
    <w:uiPriority w:val="0"/>
    <w:rPr>
      <w:rFonts w:ascii="Arial" w:hAnsi="Arial"/>
      <w:b/>
      <w:bCs/>
      <w:kern w:val="2"/>
      <w:sz w:val="32"/>
      <w:szCs w:val="32"/>
    </w:rPr>
  </w:style>
  <w:style w:type="paragraph" w:customStyle="1" w:styleId="83">
    <w:name w:val="标准标志"/>
    <w:next w:val="1"/>
    <w:qFormat/>
    <w:uiPriority w:val="0"/>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84">
    <w:name w:val="标准称谓"/>
    <w:next w:val="1"/>
    <w:qFormat/>
    <w:uiPriority w:val="0"/>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szCs w:val="52"/>
      <w:lang w:val="en-US" w:eastAsia="zh-CN" w:bidi="ar-SA"/>
    </w:rPr>
  </w:style>
  <w:style w:type="paragraph" w:customStyle="1" w:styleId="85">
    <w:name w:val="标准书脚_偶数页"/>
    <w:qFormat/>
    <w:uiPriority w:val="0"/>
    <w:pPr>
      <w:spacing w:before="120"/>
    </w:pPr>
    <w:rPr>
      <w:rFonts w:ascii="Times New Roman" w:hAnsi="Times New Roman" w:eastAsia="宋体" w:cs="Times New Roman"/>
      <w:sz w:val="18"/>
      <w:szCs w:val="18"/>
      <w:lang w:val="en-US" w:eastAsia="zh-CN" w:bidi="ar-SA"/>
    </w:rPr>
  </w:style>
  <w:style w:type="paragraph" w:customStyle="1" w:styleId="86">
    <w:name w:val="标准书脚_奇数页"/>
    <w:qFormat/>
    <w:uiPriority w:val="0"/>
    <w:pPr>
      <w:spacing w:before="120"/>
      <w:jc w:val="right"/>
    </w:pPr>
    <w:rPr>
      <w:rFonts w:ascii="Times New Roman" w:hAnsi="Times New Roman" w:eastAsia="宋体" w:cs="Times New Roman"/>
      <w:sz w:val="18"/>
      <w:szCs w:val="18"/>
      <w:lang w:val="en-US" w:eastAsia="zh-CN" w:bidi="ar-SA"/>
    </w:rPr>
  </w:style>
  <w:style w:type="paragraph" w:customStyle="1" w:styleId="8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paragraph" w:customStyle="1" w:styleId="88">
    <w:name w:val="标准书眉_偶数页"/>
    <w:basedOn w:val="87"/>
    <w:next w:val="1"/>
    <w:qFormat/>
    <w:uiPriority w:val="0"/>
    <w:pPr>
      <w:jc w:val="left"/>
    </w:pPr>
  </w:style>
  <w:style w:type="paragraph" w:customStyle="1" w:styleId="89">
    <w:name w:val="标准书眉一"/>
    <w:qFormat/>
    <w:uiPriority w:val="0"/>
    <w:pPr>
      <w:jc w:val="both"/>
    </w:pPr>
    <w:rPr>
      <w:rFonts w:ascii="Times New Roman" w:hAnsi="Times New Roman" w:eastAsia="宋体" w:cs="Times New Roman"/>
      <w:lang w:val="en-US" w:eastAsia="zh-CN" w:bidi="ar-SA"/>
    </w:rPr>
  </w:style>
  <w:style w:type="paragraph" w:customStyle="1" w:styleId="90">
    <w:name w:val="参考文献、索引标题"/>
    <w:basedOn w:val="51"/>
    <w:next w:val="1"/>
    <w:qFormat/>
    <w:uiPriority w:val="0"/>
  </w:style>
  <w:style w:type="paragraph" w:customStyle="1" w:styleId="91">
    <w:name w:val="样式"/>
    <w:basedOn w:val="1"/>
    <w:next w:val="12"/>
    <w:qFormat/>
    <w:uiPriority w:val="0"/>
    <w:pPr>
      <w:adjustRightInd w:val="0"/>
      <w:spacing w:after="60" w:line="360" w:lineRule="atLeast"/>
      <w:ind w:firstLine="420"/>
      <w:textAlignment w:val="baseline"/>
    </w:pPr>
    <w:rPr>
      <w:rFonts w:ascii="宋体"/>
      <w:kern w:val="21"/>
      <w:szCs w:val="21"/>
    </w:rPr>
  </w:style>
  <w:style w:type="character" w:customStyle="1" w:styleId="92">
    <w:name w:val="发布"/>
    <w:qFormat/>
    <w:uiPriority w:val="0"/>
    <w:rPr>
      <w:rFonts w:ascii="黑体" w:eastAsia="黑体" w:cs="Times New Roman"/>
      <w:spacing w:val="22"/>
      <w:w w:val="100"/>
      <w:position w:val="3"/>
      <w:sz w:val="28"/>
      <w:szCs w:val="28"/>
    </w:rPr>
  </w:style>
  <w:style w:type="paragraph" w:customStyle="1" w:styleId="93">
    <w:name w:val="发布部门"/>
    <w:next w:val="52"/>
    <w:qFormat/>
    <w:uiPriority w:val="0"/>
    <w:pPr>
      <w:framePr w:w="7433" w:h="585" w:hRule="exact" w:hSpace="180" w:vSpace="180" w:wrap="auto" w:vAnchor="margin" w:hAnchor="margin" w:xAlign="center" w:y="14401" w:anchorLock="1"/>
      <w:jc w:val="center"/>
    </w:pPr>
    <w:rPr>
      <w:rFonts w:ascii="宋体" w:hAnsi="Times New Roman" w:eastAsia="宋体" w:cs="Times New Roman"/>
      <w:b/>
      <w:bCs/>
      <w:spacing w:val="20"/>
      <w:w w:val="135"/>
      <w:sz w:val="36"/>
      <w:szCs w:val="36"/>
      <w:lang w:val="en-US" w:eastAsia="zh-CN" w:bidi="ar-SA"/>
    </w:rPr>
  </w:style>
  <w:style w:type="paragraph" w:customStyle="1" w:styleId="94">
    <w:name w:val="发布日期"/>
    <w:qFormat/>
    <w:uiPriority w:val="0"/>
    <w:pPr>
      <w:framePr w:w="4000" w:h="473" w:hRule="exact" w:hSpace="180" w:vSpace="180" w:wrap="auto" w:vAnchor="margin" w:hAnchor="margin" w:y="13511" w:anchorLock="1"/>
    </w:pPr>
    <w:rPr>
      <w:rFonts w:ascii="Times New Roman" w:hAnsi="Times New Roman" w:eastAsia="黑体" w:cs="Times New Roman"/>
      <w:sz w:val="28"/>
      <w:szCs w:val="28"/>
      <w:lang w:val="en-US" w:eastAsia="zh-CN" w:bidi="ar-SA"/>
    </w:rPr>
  </w:style>
  <w:style w:type="paragraph" w:customStyle="1" w:styleId="9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96">
    <w:name w:val="封面标准号2"/>
    <w:basedOn w:val="95"/>
    <w:qFormat/>
    <w:uiPriority w:val="0"/>
    <w:pPr>
      <w:framePr w:w="9138" w:h="1244" w:hRule="exact" w:wrap="auto" w:vAnchor="page" w:hAnchor="margin" w:y="2908"/>
      <w:adjustRightInd w:val="0"/>
      <w:spacing w:before="357" w:line="280" w:lineRule="exact"/>
    </w:pPr>
  </w:style>
  <w:style w:type="paragraph" w:customStyle="1" w:styleId="97">
    <w:name w:val="封面标准代替信息"/>
    <w:basedOn w:val="96"/>
    <w:qFormat/>
    <w:uiPriority w:val="0"/>
    <w:pPr>
      <w:framePr/>
      <w:spacing w:before="57"/>
    </w:pPr>
    <w:rPr>
      <w:rFonts w:ascii="宋体"/>
      <w:sz w:val="21"/>
      <w:szCs w:val="21"/>
    </w:rPr>
  </w:style>
  <w:style w:type="paragraph" w:customStyle="1" w:styleId="98">
    <w:name w:val="封面标准名称"/>
    <w:qFormat/>
    <w:uiPriority w:val="0"/>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Times New Roman"/>
      <w:sz w:val="52"/>
      <w:szCs w:val="52"/>
      <w:lang w:val="en-US" w:eastAsia="zh-CN" w:bidi="ar-SA"/>
    </w:rPr>
  </w:style>
  <w:style w:type="paragraph" w:customStyle="1" w:styleId="99">
    <w:name w:val="封面标准文稿编辑信息"/>
    <w:qFormat/>
    <w:uiPriority w:val="0"/>
    <w:pPr>
      <w:spacing w:before="180" w:line="180" w:lineRule="exact"/>
      <w:jc w:val="center"/>
    </w:pPr>
    <w:rPr>
      <w:rFonts w:ascii="宋体" w:hAnsi="Times New Roman" w:eastAsia="宋体" w:cs="Times New Roman"/>
      <w:sz w:val="21"/>
      <w:szCs w:val="21"/>
      <w:lang w:val="en-US" w:eastAsia="zh-CN" w:bidi="ar-SA"/>
    </w:rPr>
  </w:style>
  <w:style w:type="paragraph" w:customStyle="1" w:styleId="100">
    <w:name w:val="封面标准文稿类别"/>
    <w:qFormat/>
    <w:uiPriority w:val="0"/>
    <w:pPr>
      <w:spacing w:before="440" w:line="400" w:lineRule="exact"/>
      <w:jc w:val="center"/>
    </w:pPr>
    <w:rPr>
      <w:rFonts w:ascii="宋体" w:hAnsi="Times New Roman" w:eastAsia="宋体" w:cs="Times New Roman"/>
      <w:sz w:val="24"/>
      <w:szCs w:val="24"/>
      <w:lang w:val="en-US" w:eastAsia="zh-CN" w:bidi="ar-SA"/>
    </w:rPr>
  </w:style>
  <w:style w:type="paragraph" w:customStyle="1" w:styleId="101">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02">
    <w:name w:val="封面一致性程度标识"/>
    <w:qFormat/>
    <w:uiPriority w:val="0"/>
    <w:pPr>
      <w:spacing w:before="440" w:line="400" w:lineRule="exact"/>
      <w:jc w:val="center"/>
    </w:pPr>
    <w:rPr>
      <w:rFonts w:ascii="宋体" w:hAnsi="Times New Roman" w:eastAsia="宋体" w:cs="Times New Roman"/>
      <w:sz w:val="28"/>
      <w:szCs w:val="28"/>
      <w:lang w:val="en-US" w:eastAsia="zh-CN" w:bidi="ar-SA"/>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图标题"/>
    <w:next w:val="52"/>
    <w:qFormat/>
    <w:uiPriority w:val="0"/>
    <w:pPr>
      <w:numPr>
        <w:ilvl w:val="0"/>
        <w:numId w:val="5"/>
      </w:numPr>
      <w:jc w:val="center"/>
    </w:pPr>
    <w:rPr>
      <w:rFonts w:ascii="黑体" w:hAnsi="Times New Roman" w:eastAsia="黑体" w:cs="Times New Roman"/>
      <w:sz w:val="21"/>
      <w:szCs w:val="21"/>
      <w:lang w:val="en-US" w:eastAsia="zh-CN" w:bidi="ar-SA"/>
    </w:rPr>
  </w:style>
  <w:style w:type="character" w:customStyle="1" w:styleId="105">
    <w:name w:val="EmailStyle801"/>
    <w:qFormat/>
    <w:uiPriority w:val="0"/>
    <w:rPr>
      <w:rFonts w:ascii="Arial" w:hAnsi="Arial" w:eastAsia="宋体" w:cs="Times New Roman"/>
      <w:color w:val="auto"/>
      <w:sz w:val="20"/>
      <w:szCs w:val="20"/>
    </w:rPr>
  </w:style>
  <w:style w:type="character" w:customStyle="1" w:styleId="106">
    <w:name w:val="EmailStyle811"/>
    <w:qFormat/>
    <w:uiPriority w:val="0"/>
    <w:rPr>
      <w:rFonts w:ascii="Arial" w:hAnsi="Arial" w:eastAsia="宋体" w:cs="Times New Roman"/>
      <w:color w:val="auto"/>
      <w:sz w:val="20"/>
      <w:szCs w:val="20"/>
    </w:rPr>
  </w:style>
  <w:style w:type="character" w:customStyle="1" w:styleId="107">
    <w:name w:val="脚注文本 Char"/>
    <w:link w:val="28"/>
    <w:qFormat/>
    <w:uiPriority w:val="0"/>
    <w:rPr>
      <w:kern w:val="2"/>
      <w:sz w:val="18"/>
      <w:szCs w:val="18"/>
    </w:rPr>
  </w:style>
  <w:style w:type="paragraph" w:customStyle="1" w:styleId="108">
    <w:name w:val="列项——（一级）"/>
    <w:qFormat/>
    <w:uiPriority w:val="0"/>
    <w:pPr>
      <w:widowControl w:val="0"/>
      <w:numPr>
        <w:ilvl w:val="0"/>
        <w:numId w:val="6"/>
      </w:numPr>
      <w:tabs>
        <w:tab w:val="left" w:pos="854"/>
      </w:tabs>
      <w:ind w:left="200" w:leftChars="200" w:hanging="200" w:hangingChars="200"/>
      <w:jc w:val="both"/>
    </w:pPr>
    <w:rPr>
      <w:rFonts w:ascii="宋体" w:hAnsi="Times New Roman" w:eastAsia="宋体" w:cs="Times New Roman"/>
      <w:sz w:val="21"/>
      <w:szCs w:val="21"/>
      <w:lang w:val="en-US" w:eastAsia="zh-CN" w:bidi="ar-SA"/>
    </w:rPr>
  </w:style>
  <w:style w:type="paragraph" w:customStyle="1" w:styleId="109">
    <w:name w:val="列项●（二级）"/>
    <w:qFormat/>
    <w:uiPriority w:val="0"/>
    <w:pPr>
      <w:numPr>
        <w:ilvl w:val="0"/>
        <w:numId w:val="7"/>
      </w:numPr>
      <w:tabs>
        <w:tab w:val="left" w:pos="840"/>
      </w:tabs>
      <w:ind w:left="600" w:leftChars="400" w:hanging="200" w:hangingChars="200"/>
      <w:jc w:val="both"/>
    </w:pPr>
    <w:rPr>
      <w:rFonts w:ascii="宋体" w:hAnsi="Times New Roman" w:eastAsia="宋体" w:cs="Times New Roman"/>
      <w:sz w:val="21"/>
      <w:szCs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szCs w:val="21"/>
      <w:lang w:val="en-US" w:eastAsia="zh-CN" w:bidi="ar-SA"/>
    </w:rPr>
  </w:style>
  <w:style w:type="paragraph" w:customStyle="1" w:styleId="111">
    <w:name w:val="其他标准称谓"/>
    <w:qFormat/>
    <w:uiPriority w:val="0"/>
    <w:pPr>
      <w:spacing w:line="240" w:lineRule="atLeast"/>
      <w:jc w:val="distribute"/>
    </w:pPr>
    <w:rPr>
      <w:rFonts w:ascii="黑体" w:hAnsi="宋体" w:eastAsia="黑体" w:cs="Times New Roman"/>
      <w:sz w:val="52"/>
      <w:szCs w:val="52"/>
      <w:lang w:val="en-US" w:eastAsia="zh-CN" w:bidi="ar-SA"/>
    </w:rPr>
  </w:style>
  <w:style w:type="paragraph" w:customStyle="1" w:styleId="112">
    <w:name w:val="其他发布部门"/>
    <w:basedOn w:val="93"/>
    <w:qFormat/>
    <w:uiPriority w:val="0"/>
    <w:pPr>
      <w:framePr/>
      <w:spacing w:line="240" w:lineRule="atLeast"/>
    </w:pPr>
    <w:rPr>
      <w:rFonts w:ascii="黑体" w:eastAsia="黑体"/>
      <w:b w:val="0"/>
      <w:bCs w:val="0"/>
    </w:rPr>
  </w:style>
  <w:style w:type="paragraph" w:customStyle="1" w:styleId="113">
    <w:name w:val="实施日期"/>
    <w:basedOn w:val="94"/>
    <w:qFormat/>
    <w:uiPriority w:val="0"/>
    <w:pPr>
      <w:framePr w:hSpace="0" w:xAlign="right"/>
      <w:jc w:val="right"/>
    </w:pPr>
  </w:style>
  <w:style w:type="paragraph" w:customStyle="1" w:styleId="114">
    <w:name w:val="示例"/>
    <w:next w:val="52"/>
    <w:qFormat/>
    <w:uiPriority w:val="0"/>
    <w:pPr>
      <w:numPr>
        <w:ilvl w:val="0"/>
        <w:numId w:val="8"/>
      </w:numPr>
      <w:tabs>
        <w:tab w:val="left" w:pos="816"/>
      </w:tabs>
      <w:ind w:firstLine="419" w:firstLineChars="233"/>
      <w:jc w:val="both"/>
    </w:pPr>
    <w:rPr>
      <w:rFonts w:ascii="宋体" w:hAnsi="Times New Roman" w:eastAsia="宋体" w:cs="Times New Roman"/>
      <w:sz w:val="18"/>
      <w:szCs w:val="18"/>
      <w:lang w:val="en-US" w:eastAsia="zh-CN" w:bidi="ar-SA"/>
    </w:rPr>
  </w:style>
  <w:style w:type="paragraph" w:customStyle="1" w:styleId="115">
    <w:name w:val="数字编号列项（二级）"/>
    <w:qFormat/>
    <w:uiPriority w:val="0"/>
    <w:pPr>
      <w:ind w:left="1260" w:leftChars="400" w:hanging="420" w:hangingChars="200"/>
      <w:jc w:val="both"/>
    </w:pPr>
    <w:rPr>
      <w:rFonts w:ascii="宋体" w:hAnsi="Times New Roman" w:eastAsia="宋体" w:cs="Times New Roman"/>
      <w:sz w:val="21"/>
      <w:szCs w:val="21"/>
      <w:lang w:val="en-US" w:eastAsia="zh-CN" w:bidi="ar-SA"/>
    </w:rPr>
  </w:style>
  <w:style w:type="paragraph" w:customStyle="1" w:styleId="116">
    <w:name w:val="条文脚注"/>
    <w:basedOn w:val="28"/>
    <w:qFormat/>
    <w:uiPriority w:val="0"/>
    <w:pPr>
      <w:ind w:left="780" w:leftChars="200" w:hanging="360" w:hangingChars="200"/>
      <w:jc w:val="both"/>
    </w:pPr>
    <w:rPr>
      <w:rFonts w:ascii="宋体"/>
    </w:rPr>
  </w:style>
  <w:style w:type="paragraph" w:customStyle="1" w:styleId="117">
    <w:name w:val="图表脚注"/>
    <w:next w:val="52"/>
    <w:qFormat/>
    <w:uiPriority w:val="0"/>
    <w:pPr>
      <w:ind w:left="300" w:leftChars="200" w:hanging="100" w:hangingChars="100"/>
      <w:jc w:val="both"/>
    </w:pPr>
    <w:rPr>
      <w:rFonts w:ascii="宋体" w:hAnsi="Times New Roman" w:eastAsia="宋体" w:cs="Times New Roman"/>
      <w:sz w:val="18"/>
      <w:szCs w:val="18"/>
      <w:lang w:val="en-US" w:eastAsia="zh-CN" w:bidi="ar-SA"/>
    </w:rPr>
  </w:style>
  <w:style w:type="paragraph" w:customStyle="1" w:styleId="118">
    <w:name w:val="文献分类号"/>
    <w:qFormat/>
    <w:uiPriority w:val="0"/>
    <w:pPr>
      <w:framePr w:hSpace="180" w:vSpace="180" w:wrap="auto" w:vAnchor="margin" w:hAnchor="margin" w:y="1" w:anchorLock="1"/>
      <w:widowControl w:val="0"/>
      <w:textAlignment w:val="center"/>
    </w:pPr>
    <w:rPr>
      <w:rFonts w:ascii="Times New Roman" w:hAnsi="Times New Roman" w:eastAsia="黑体" w:cs="Times New Roman"/>
      <w:sz w:val="21"/>
      <w:szCs w:val="21"/>
      <w:lang w:val="en-US" w:eastAsia="zh-CN" w:bidi="ar-SA"/>
    </w:rPr>
  </w:style>
  <w:style w:type="paragraph" w:customStyle="1" w:styleId="119">
    <w:name w:val="正文表标题"/>
    <w:next w:val="52"/>
    <w:qFormat/>
    <w:uiPriority w:val="0"/>
    <w:pPr>
      <w:numPr>
        <w:ilvl w:val="0"/>
        <w:numId w:val="9"/>
      </w:numPr>
      <w:jc w:val="center"/>
    </w:pPr>
    <w:rPr>
      <w:rFonts w:ascii="黑体" w:hAnsi="Times New Roman" w:eastAsia="黑体" w:cs="Times New Roman"/>
      <w:sz w:val="21"/>
      <w:szCs w:val="21"/>
      <w:lang w:val="en-US" w:eastAsia="zh-CN" w:bidi="ar-SA"/>
    </w:rPr>
  </w:style>
  <w:style w:type="paragraph" w:customStyle="1" w:styleId="120">
    <w:name w:val="正文图标题"/>
    <w:next w:val="52"/>
    <w:qFormat/>
    <w:uiPriority w:val="0"/>
    <w:pPr>
      <w:numPr>
        <w:ilvl w:val="0"/>
        <w:numId w:val="10"/>
      </w:numPr>
      <w:jc w:val="center"/>
    </w:pPr>
    <w:rPr>
      <w:rFonts w:ascii="黑体" w:hAnsi="Times New Roman" w:eastAsia="黑体" w:cs="Times New Roman"/>
      <w:sz w:val="21"/>
      <w:szCs w:val="21"/>
      <w:lang w:val="en-US" w:eastAsia="zh-CN" w:bidi="ar-SA"/>
    </w:rPr>
  </w:style>
  <w:style w:type="paragraph" w:customStyle="1" w:styleId="121">
    <w:name w:val="注："/>
    <w:next w:val="52"/>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122">
    <w:name w:val="注×："/>
    <w:qFormat/>
    <w:uiPriority w:val="0"/>
    <w:pPr>
      <w:widowControl w:val="0"/>
      <w:numPr>
        <w:ilvl w:val="0"/>
        <w:numId w:val="12"/>
      </w:numPr>
      <w:tabs>
        <w:tab w:val="left" w:pos="630"/>
      </w:tabs>
      <w:autoSpaceDE w:val="0"/>
      <w:autoSpaceDN w:val="0"/>
      <w:jc w:val="both"/>
    </w:pPr>
    <w:rPr>
      <w:rFonts w:ascii="宋体" w:hAnsi="Times New Roman" w:eastAsia="宋体" w:cs="Times New Roman"/>
      <w:sz w:val="18"/>
      <w:szCs w:val="18"/>
      <w:lang w:val="en-US" w:eastAsia="zh-CN" w:bidi="ar-SA"/>
    </w:rPr>
  </w:style>
  <w:style w:type="paragraph" w:customStyle="1" w:styleId="123">
    <w:name w:val="字母编号列项（一级）"/>
    <w:qFormat/>
    <w:uiPriority w:val="0"/>
    <w:pPr>
      <w:ind w:left="840" w:leftChars="200" w:hanging="420" w:hangingChars="200"/>
      <w:jc w:val="both"/>
    </w:pPr>
    <w:rPr>
      <w:rFonts w:ascii="宋体" w:hAnsi="Times New Roman" w:eastAsia="宋体" w:cs="Times New Roman"/>
      <w:sz w:val="21"/>
      <w:szCs w:val="21"/>
      <w:lang w:val="en-US" w:eastAsia="zh-CN" w:bidi="ar-SA"/>
    </w:rPr>
  </w:style>
  <w:style w:type="paragraph" w:customStyle="1" w:styleId="124">
    <w:name w:val="编号列项（三级）"/>
    <w:qFormat/>
    <w:uiPriority w:val="0"/>
    <w:pPr>
      <w:ind w:left="800" w:leftChars="600" w:hanging="200" w:hangingChars="200"/>
    </w:pPr>
    <w:rPr>
      <w:rFonts w:ascii="宋体" w:hAnsi="Times New Roman" w:eastAsia="宋体" w:cs="Times New Roman"/>
      <w:sz w:val="21"/>
      <w:szCs w:val="21"/>
      <w:lang w:val="en-US" w:eastAsia="zh-CN" w:bidi="ar-SA"/>
    </w:rPr>
  </w:style>
  <w:style w:type="paragraph" w:customStyle="1" w:styleId="125">
    <w:name w:val="样式1"/>
    <w:basedOn w:val="1"/>
    <w:next w:val="12"/>
    <w:qFormat/>
    <w:uiPriority w:val="0"/>
    <w:pPr>
      <w:adjustRightInd w:val="0"/>
      <w:spacing w:after="60" w:line="360" w:lineRule="atLeast"/>
      <w:ind w:firstLine="420"/>
      <w:textAlignment w:val="baseline"/>
    </w:pPr>
    <w:rPr>
      <w:rFonts w:ascii="宋体"/>
      <w:kern w:val="21"/>
      <w:szCs w:val="21"/>
    </w:rPr>
  </w:style>
  <w:style w:type="paragraph" w:customStyle="1" w:styleId="126">
    <w:name w:val="测功机标题2"/>
    <w:basedOn w:val="4"/>
    <w:qFormat/>
    <w:uiPriority w:val="0"/>
    <w:pPr>
      <w:keepLines w:val="0"/>
      <w:spacing w:beforeLines="50" w:afterLines="50" w:line="240" w:lineRule="auto"/>
      <w:ind w:left="100" w:leftChars="100"/>
    </w:pPr>
    <w:rPr>
      <w:rFonts w:ascii="黑体" w:eastAsia="黑体"/>
      <w:b w:val="0"/>
      <w:bCs w:val="0"/>
      <w:i/>
      <w:sz w:val="24"/>
      <w:szCs w:val="18"/>
    </w:rPr>
  </w:style>
  <w:style w:type="character" w:customStyle="1" w:styleId="127">
    <w:name w:val="样式 测功机标题2 + Times New Roman Char"/>
    <w:qFormat/>
    <w:uiPriority w:val="0"/>
    <w:rPr>
      <w:rFonts w:ascii="宋体" w:eastAsia="黑体" w:cs="Times New Roman"/>
      <w:i/>
      <w:iCs/>
      <w:kern w:val="2"/>
      <w:sz w:val="18"/>
      <w:szCs w:val="18"/>
      <w:lang w:val="en-US" w:eastAsia="zh-CN" w:bidi="ar-SA"/>
    </w:rPr>
  </w:style>
  <w:style w:type="paragraph" w:customStyle="1" w:styleId="128">
    <w:name w:val="测功机标题3级"/>
    <w:basedOn w:val="5"/>
    <w:qFormat/>
    <w:uiPriority w:val="0"/>
    <w:pPr>
      <w:spacing w:beforeLines="50" w:afterLines="50" w:line="360" w:lineRule="auto"/>
      <w:ind w:left="150" w:leftChars="150"/>
    </w:pPr>
    <w:rPr>
      <w:rFonts w:ascii="Times New Roman"/>
      <w:b w:val="0"/>
      <w:sz w:val="24"/>
      <w:szCs w:val="24"/>
    </w:rPr>
  </w:style>
  <w:style w:type="character" w:customStyle="1" w:styleId="129">
    <w:name w:val="校准方法的项目 Char"/>
    <w:qFormat/>
    <w:uiPriority w:val="0"/>
    <w:rPr>
      <w:rFonts w:ascii="宋体" w:eastAsia="黑体" w:cs="Times New Roman"/>
      <w:i/>
      <w:iCs/>
      <w:kern w:val="2"/>
      <w:sz w:val="18"/>
      <w:szCs w:val="18"/>
      <w:lang w:val="en-US" w:eastAsia="zh-CN" w:bidi="ar-SA"/>
    </w:rPr>
  </w:style>
  <w:style w:type="character" w:customStyle="1" w:styleId="130">
    <w:name w:val="样式 样式 样式 校准方法的项目 + 首行缩进:  2 字符 + 倾斜 + 倾斜 Char"/>
    <w:qFormat/>
    <w:uiPriority w:val="0"/>
    <w:rPr>
      <w:rFonts w:ascii="宋体" w:eastAsia="黑体" w:cs="宋体"/>
      <w:i/>
      <w:iCs/>
      <w:kern w:val="2"/>
      <w:sz w:val="18"/>
      <w:szCs w:val="18"/>
      <w:lang w:val="en-US" w:eastAsia="zh-CN" w:bidi="ar-SA"/>
    </w:rPr>
  </w:style>
  <w:style w:type="character" w:customStyle="1" w:styleId="131">
    <w:name w:val="样式 样式 校准方法的项目 + 首行缩进:  2 字符 + 倾斜 Char"/>
    <w:qFormat/>
    <w:uiPriority w:val="0"/>
    <w:rPr>
      <w:rFonts w:ascii="宋体" w:eastAsia="黑体" w:cs="宋体"/>
      <w:i/>
      <w:iCs/>
      <w:kern w:val="2"/>
      <w:sz w:val="18"/>
      <w:szCs w:val="18"/>
      <w:lang w:val="en-US" w:eastAsia="zh-CN" w:bidi="ar-SA"/>
    </w:rPr>
  </w:style>
  <w:style w:type="paragraph" w:customStyle="1" w:styleId="132">
    <w:name w:val="样式 样式 样式 样式 校准方法的项目 + 首行缩进:  2 字符 + 倾斜 + 倾斜 + (西文) 宋体"/>
    <w:basedOn w:val="1"/>
    <w:qFormat/>
    <w:uiPriority w:val="0"/>
    <w:pPr>
      <w:keepNext/>
      <w:jc w:val="left"/>
      <w:outlineLvl w:val="2"/>
    </w:pPr>
    <w:rPr>
      <w:rFonts w:ascii="宋体" w:hAnsi="宋体" w:eastAsia="黑体" w:cs="宋体"/>
      <w:i/>
      <w:iCs/>
      <w:sz w:val="24"/>
    </w:rPr>
  </w:style>
  <w:style w:type="paragraph" w:customStyle="1" w:styleId="133">
    <w:name w:val="测功机标题1"/>
    <w:basedOn w:val="3"/>
    <w:qFormat/>
    <w:uiPriority w:val="0"/>
    <w:pPr>
      <w:keepLines w:val="0"/>
      <w:tabs>
        <w:tab w:val="left" w:pos="1365"/>
        <w:tab w:val="left" w:pos="7665"/>
        <w:tab w:val="left" w:pos="7980"/>
        <w:tab w:val="left" w:pos="9030"/>
      </w:tabs>
      <w:spacing w:before="120" w:after="0" w:line="240" w:lineRule="auto"/>
    </w:pPr>
    <w:rPr>
      <w:rFonts w:ascii="黑体" w:hAnsi="Times New Roman"/>
      <w:b w:val="0"/>
      <w:bCs w:val="0"/>
      <w:sz w:val="28"/>
      <w:szCs w:val="20"/>
    </w:rPr>
  </w:style>
  <w:style w:type="paragraph" w:customStyle="1" w:styleId="134">
    <w:name w:val="五级无标题条"/>
    <w:basedOn w:val="1"/>
    <w:qFormat/>
    <w:uiPriority w:val="0"/>
  </w:style>
  <w:style w:type="character" w:customStyle="1" w:styleId="135">
    <w:name w:val="content"/>
    <w:basedOn w:val="37"/>
    <w:qFormat/>
    <w:uiPriority w:val="0"/>
  </w:style>
  <w:style w:type="paragraph" w:customStyle="1" w:styleId="136">
    <w:name w:val="三级无标题条"/>
    <w:basedOn w:val="1"/>
    <w:qFormat/>
    <w:uiPriority w:val="0"/>
  </w:style>
  <w:style w:type="paragraph" w:customStyle="1" w:styleId="137">
    <w:name w:val="四级无标题条"/>
    <w:basedOn w:val="1"/>
    <w:qFormat/>
    <w:uiPriority w:val="0"/>
  </w:style>
  <w:style w:type="paragraph" w:customStyle="1" w:styleId="138">
    <w:name w:val="一级无标题条"/>
    <w:basedOn w:val="1"/>
    <w:qFormat/>
    <w:uiPriority w:val="0"/>
    <w:pPr>
      <w:ind w:left="3570"/>
    </w:pPr>
  </w:style>
  <w:style w:type="character" w:customStyle="1" w:styleId="139">
    <w:name w:val="页脚 Char"/>
    <w:link w:val="24"/>
    <w:qFormat/>
    <w:uiPriority w:val="0"/>
    <w:rPr>
      <w:kern w:val="2"/>
      <w:sz w:val="18"/>
      <w:szCs w:val="18"/>
    </w:rPr>
  </w:style>
  <w:style w:type="paragraph" w:customStyle="1" w:styleId="140">
    <w:name w:val="注：（正文）"/>
    <w:basedOn w:val="121"/>
    <w:next w:val="52"/>
    <w:qFormat/>
    <w:uiPriority w:val="0"/>
    <w:pPr>
      <w:numPr>
        <w:numId w:val="0"/>
      </w:numPr>
      <w:ind w:left="726" w:hanging="363"/>
    </w:pPr>
  </w:style>
  <w:style w:type="paragraph" w:customStyle="1" w:styleId="141">
    <w:name w:val="其他发布日期"/>
    <w:basedOn w:val="94"/>
    <w:qFormat/>
    <w:uiPriority w:val="0"/>
    <w:pPr>
      <w:framePr w:w="3997" w:h="471" w:hRule="exact" w:hSpace="0" w:vSpace="181" w:wrap="around" w:vAnchor="page" w:hAnchor="page" w:x="1419" w:y="14097"/>
    </w:pPr>
    <w:rPr>
      <w:szCs w:val="20"/>
    </w:rPr>
  </w:style>
  <w:style w:type="paragraph" w:styleId="142">
    <w:name w:val="List Paragraph"/>
    <w:basedOn w:val="1"/>
    <w:qFormat/>
    <w:uiPriority w:val="34"/>
    <w:pPr>
      <w:ind w:firstLine="420" w:firstLineChars="200"/>
    </w:pPr>
  </w:style>
  <w:style w:type="paragraph" w:customStyle="1" w:styleId="143">
    <w:name w:val="正文公式编号制表符"/>
    <w:basedOn w:val="52"/>
    <w:next w:val="52"/>
    <w:qFormat/>
    <w:uiPriority w:val="0"/>
    <w:pPr>
      <w:tabs>
        <w:tab w:val="center" w:pos="4201"/>
        <w:tab w:val="right" w:leader="dot" w:pos="9298"/>
      </w:tabs>
      <w:ind w:firstLine="0" w:firstLineChars="0"/>
    </w:pPr>
  </w:style>
  <w:style w:type="character" w:customStyle="1" w:styleId="144">
    <w:name w:val="页眉 Char"/>
    <w:link w:val="25"/>
    <w:qFormat/>
    <w:uiPriority w:val="0"/>
    <w:rPr>
      <w:kern w:val="2"/>
      <w:sz w:val="18"/>
      <w:szCs w:val="18"/>
    </w:rPr>
  </w:style>
  <w:style w:type="character" w:styleId="145">
    <w:name w:val="Placeholder Text"/>
    <w:semiHidden/>
    <w:qFormat/>
    <w:uiPriority w:val="99"/>
    <w:rPr>
      <w:color w:val="808080"/>
    </w:rPr>
  </w:style>
  <w:style w:type="paragraph" w:customStyle="1" w:styleId="146">
    <w:name w:val="标准文件_段"/>
    <w:qFormat/>
    <w:uiPriority w:val="0"/>
    <w:pPr>
      <w:autoSpaceDE w:val="0"/>
      <w:autoSpaceDN w:val="0"/>
      <w:adjustRightInd w:val="0"/>
      <w:snapToGrid w:val="0"/>
      <w:spacing w:line="276" w:lineRule="auto"/>
      <w:ind w:left="-126" w:leftChars="-60" w:right="-105" w:rightChars="-50" w:firstLine="419" w:firstLineChars="196"/>
      <w:jc w:val="both"/>
    </w:pPr>
    <w:rPr>
      <w:rFonts w:ascii="Times New Roman" w:hAnsi="Times New Roman" w:eastAsia="宋体" w:cs="Times New Roman"/>
      <w:spacing w:val="2"/>
      <w:sz w:val="21"/>
      <w:lang w:val="en-US" w:eastAsia="zh-CN" w:bidi="ar-SA"/>
    </w:rPr>
  </w:style>
  <w:style w:type="paragraph" w:customStyle="1" w:styleId="147">
    <w:name w:val="正1"/>
    <w:basedOn w:val="1"/>
    <w:link w:val="148"/>
    <w:qFormat/>
    <w:uiPriority w:val="0"/>
    <w:pPr>
      <w:spacing w:line="360" w:lineRule="auto"/>
    </w:pPr>
    <w:rPr>
      <w:rFonts w:ascii="宋体" w:hAnsi="宋体"/>
      <w:sz w:val="24"/>
    </w:rPr>
  </w:style>
  <w:style w:type="character" w:customStyle="1" w:styleId="148">
    <w:name w:val="正1 字符"/>
    <w:basedOn w:val="37"/>
    <w:link w:val="147"/>
    <w:qFormat/>
    <w:uiPriority w:val="0"/>
    <w:rPr>
      <w:rFonts w:ascii="宋体" w:hAnsi="宋体"/>
      <w:kern w:val="2"/>
      <w:sz w:val="24"/>
      <w:szCs w:val="24"/>
    </w:rPr>
  </w:style>
  <w:style w:type="paragraph" w:customStyle="1" w:styleId="14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0">
    <w:name w:val="目录 1 Char"/>
    <w:basedOn w:val="37"/>
    <w:link w:val="26"/>
    <w:qFormat/>
    <w:uiPriority w:val="3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4C7C9-1CFB-4797-85F1-C550A9FAF86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2929</Words>
  <Characters>3467</Characters>
  <Lines>54</Lines>
  <Paragraphs>15</Paragraphs>
  <TotalTime>47</TotalTime>
  <ScaleCrop>false</ScaleCrop>
  <LinksUpToDate>false</LinksUpToDate>
  <CharactersWithSpaces>3748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2024-09-30T07:10:00Z</dcterms:created>
  <dc:creator>piggy</dc:creator>
  <cp:lastModifiedBy>啊高（Z洲）</cp:lastModifiedBy>
  <cp:lastPrinted>2018-04-10T08:02:00Z</cp:lastPrinted>
  <dcterms:modified xsi:type="dcterms:W3CDTF">2026-04-09T03:45:23Z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2DB61C7A85644ACC9A3BCEAE2B604AEE_13</vt:lpwstr>
  </property>
  <property fmtid="{D5CDD505-2E9C-101B-9397-08002B2CF9AE}" pid="4" name="KSOTemplateDocerSaveRecord">
    <vt:lpwstr>eyJoZGlkIjoiMWRlZjg0MzA0NzgzZDQwYmI2OTg1ODEzNTRlMDkzMDMiLCJ1c2VySWQiOiI1NzYyMzg3NTYifQ==</vt:lpwstr>
  </property>
</Properties>
</file>