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9DF77">
      <w:pPr>
        <w:jc w:val="left"/>
        <w:rPr>
          <w:rFonts w:ascii="黑体" w:hAnsi="黑体" w:eastAsia="黑体"/>
          <w:sz w:val="28"/>
          <w:szCs w:val="28"/>
        </w:rPr>
      </w:pPr>
      <w:r>
        <w:rPr>
          <w:rFonts w:hint="eastAsia" w:ascii="黑体" w:hAnsi="黑体" w:eastAsia="黑体"/>
          <w:sz w:val="28"/>
          <w:szCs w:val="28"/>
        </w:rPr>
        <w:t>附件二</w:t>
      </w:r>
    </w:p>
    <w:p w14:paraId="14385C07">
      <w:pPr>
        <w:rPr>
          <w:rFonts w:ascii="宋体" w:hAnsi="宋体"/>
          <w:szCs w:val="21"/>
        </w:rPr>
      </w:pPr>
    </w:p>
    <w:p w14:paraId="278D70C3">
      <w:pPr>
        <w:rPr>
          <w:rFonts w:ascii="宋体" w:hAnsi="宋体"/>
          <w:szCs w:val="21"/>
        </w:rPr>
      </w:pPr>
    </w:p>
    <w:p w14:paraId="2F5FFCC9">
      <w:pPr>
        <w:rPr>
          <w:rFonts w:ascii="宋体" w:hAnsi="宋体"/>
          <w:szCs w:val="21"/>
        </w:rPr>
      </w:pPr>
    </w:p>
    <w:p w14:paraId="2A4DA083">
      <w:pPr>
        <w:rPr>
          <w:rFonts w:ascii="宋体" w:hAnsi="宋体"/>
          <w:szCs w:val="21"/>
        </w:rPr>
      </w:pPr>
    </w:p>
    <w:p w14:paraId="75B49CB9">
      <w:pPr>
        <w:spacing w:beforeLines="50" w:afterLines="50" w:line="0" w:lineRule="atLeast"/>
        <w:jc w:val="center"/>
        <w:rPr>
          <w:rFonts w:ascii="黑体" w:hAnsi="黑体" w:eastAsia="黑体"/>
          <w:sz w:val="32"/>
          <w:szCs w:val="32"/>
        </w:rPr>
      </w:pPr>
      <w:r>
        <w:rPr>
          <w:rFonts w:hint="eastAsia" w:ascii="黑体" w:eastAsia="黑体"/>
          <w:sz w:val="52"/>
        </w:rPr>
        <w:t>电子钢包秤校准规范</w:t>
      </w:r>
    </w:p>
    <w:p w14:paraId="4D4F0C18">
      <w:pPr>
        <w:spacing w:beforeLines="50" w:afterLines="50" w:line="0" w:lineRule="atLeast"/>
        <w:jc w:val="center"/>
        <w:rPr>
          <w:rFonts w:ascii="黑体" w:hAnsi="黑体" w:eastAsia="黑体"/>
          <w:sz w:val="32"/>
          <w:szCs w:val="32"/>
        </w:rPr>
      </w:pPr>
    </w:p>
    <w:p w14:paraId="60C3CC8B">
      <w:pPr>
        <w:jc w:val="center"/>
        <w:rPr>
          <w:rFonts w:ascii="宋体" w:hAnsi="宋体"/>
          <w:sz w:val="30"/>
          <w:szCs w:val="30"/>
        </w:rPr>
      </w:pPr>
      <w:r>
        <w:rPr>
          <w:rFonts w:hint="eastAsia" w:ascii="宋体" w:hAnsi="宋体"/>
          <w:sz w:val="30"/>
          <w:szCs w:val="30"/>
        </w:rPr>
        <w:t>（征求意见稿）</w:t>
      </w:r>
    </w:p>
    <w:p w14:paraId="71937F2C">
      <w:pPr>
        <w:jc w:val="center"/>
        <w:rPr>
          <w:rFonts w:ascii="黑体" w:hAnsi="黑体" w:eastAsia="黑体"/>
          <w:sz w:val="52"/>
          <w:szCs w:val="52"/>
        </w:rPr>
      </w:pPr>
    </w:p>
    <w:p w14:paraId="1BE64AFE">
      <w:pPr>
        <w:jc w:val="center"/>
        <w:rPr>
          <w:rFonts w:ascii="黑体" w:hAnsi="黑体" w:eastAsia="黑体"/>
          <w:sz w:val="52"/>
          <w:szCs w:val="52"/>
        </w:rPr>
      </w:pPr>
      <w:r>
        <w:rPr>
          <w:rFonts w:hint="eastAsia" w:ascii="黑体" w:hAnsi="黑体" w:eastAsia="黑体"/>
          <w:sz w:val="52"/>
          <w:szCs w:val="52"/>
        </w:rPr>
        <w:t>编 制 说 明</w:t>
      </w:r>
    </w:p>
    <w:p w14:paraId="5AC41C82">
      <w:pPr>
        <w:jc w:val="center"/>
        <w:rPr>
          <w:rFonts w:ascii="宋体" w:hAnsi="宋体"/>
          <w:szCs w:val="21"/>
        </w:rPr>
      </w:pPr>
    </w:p>
    <w:p w14:paraId="7AFF0B7B">
      <w:pPr>
        <w:jc w:val="center"/>
        <w:rPr>
          <w:rFonts w:ascii="宋体" w:hAnsi="宋体"/>
          <w:szCs w:val="21"/>
        </w:rPr>
      </w:pPr>
    </w:p>
    <w:p w14:paraId="09B4713A">
      <w:pPr>
        <w:rPr>
          <w:rFonts w:ascii="宋体" w:hAnsi="宋体"/>
          <w:szCs w:val="21"/>
        </w:rPr>
      </w:pPr>
    </w:p>
    <w:p w14:paraId="595B6681">
      <w:pPr>
        <w:jc w:val="center"/>
        <w:rPr>
          <w:rFonts w:ascii="宋体" w:hAnsi="宋体"/>
          <w:szCs w:val="21"/>
        </w:rPr>
      </w:pPr>
    </w:p>
    <w:p w14:paraId="0976443E">
      <w:pPr>
        <w:jc w:val="center"/>
        <w:rPr>
          <w:rFonts w:ascii="宋体" w:hAnsi="宋体"/>
          <w:szCs w:val="21"/>
        </w:rPr>
      </w:pPr>
    </w:p>
    <w:p w14:paraId="3686A8A4">
      <w:pPr>
        <w:jc w:val="center"/>
        <w:rPr>
          <w:rFonts w:ascii="宋体" w:hAnsi="宋体"/>
          <w:szCs w:val="21"/>
        </w:rPr>
      </w:pPr>
    </w:p>
    <w:p w14:paraId="239EFF68">
      <w:pPr>
        <w:jc w:val="center"/>
        <w:rPr>
          <w:rFonts w:ascii="宋体" w:hAnsi="宋体"/>
          <w:szCs w:val="21"/>
        </w:rPr>
      </w:pPr>
    </w:p>
    <w:p w14:paraId="66B80121">
      <w:pPr>
        <w:jc w:val="center"/>
        <w:rPr>
          <w:rFonts w:ascii="宋体" w:hAnsi="宋体"/>
          <w:szCs w:val="21"/>
        </w:rPr>
      </w:pPr>
    </w:p>
    <w:p w14:paraId="6C3A0C71">
      <w:pPr>
        <w:jc w:val="center"/>
        <w:rPr>
          <w:rFonts w:ascii="宋体" w:hAnsi="宋体"/>
          <w:szCs w:val="21"/>
        </w:rPr>
      </w:pPr>
    </w:p>
    <w:p w14:paraId="108DE441">
      <w:pPr>
        <w:jc w:val="center"/>
        <w:rPr>
          <w:rFonts w:ascii="宋体" w:hAnsi="宋体"/>
          <w:szCs w:val="21"/>
        </w:rPr>
      </w:pPr>
    </w:p>
    <w:p w14:paraId="3FC221A7">
      <w:pPr>
        <w:jc w:val="center"/>
        <w:rPr>
          <w:rFonts w:ascii="宋体" w:hAnsi="宋体"/>
          <w:szCs w:val="21"/>
        </w:rPr>
      </w:pPr>
    </w:p>
    <w:p w14:paraId="440AE3E5">
      <w:pPr>
        <w:jc w:val="center"/>
        <w:rPr>
          <w:rFonts w:ascii="宋体" w:hAnsi="宋体"/>
          <w:szCs w:val="21"/>
        </w:rPr>
      </w:pPr>
    </w:p>
    <w:p w14:paraId="1373BF9B">
      <w:pPr>
        <w:jc w:val="center"/>
        <w:rPr>
          <w:rFonts w:ascii="宋体" w:hAnsi="宋体"/>
          <w:szCs w:val="21"/>
        </w:rPr>
      </w:pPr>
    </w:p>
    <w:p w14:paraId="079DF6F1">
      <w:pPr>
        <w:rPr>
          <w:rFonts w:ascii="宋体" w:hAnsi="宋体"/>
          <w:szCs w:val="21"/>
        </w:rPr>
      </w:pPr>
    </w:p>
    <w:p w14:paraId="1EC21E3E">
      <w:pPr>
        <w:jc w:val="center"/>
        <w:rPr>
          <w:rFonts w:ascii="宋体" w:hAnsi="宋体"/>
          <w:szCs w:val="21"/>
        </w:rPr>
      </w:pPr>
    </w:p>
    <w:p w14:paraId="2E16C318">
      <w:pPr>
        <w:rPr>
          <w:rFonts w:ascii="宋体" w:hAnsi="宋体" w:cs="宋体"/>
          <w:sz w:val="32"/>
          <w:szCs w:val="32"/>
        </w:rPr>
      </w:pPr>
    </w:p>
    <w:p w14:paraId="195F3FB2">
      <w:pPr>
        <w:jc w:val="center"/>
        <w:rPr>
          <w:rFonts w:ascii="宋体" w:hAnsi="宋体" w:cs="宋体"/>
          <w:sz w:val="32"/>
          <w:szCs w:val="32"/>
        </w:rPr>
      </w:pPr>
      <w:r>
        <w:rPr>
          <w:rFonts w:hint="eastAsia" w:ascii="宋体" w:hAnsi="宋体" w:cs="宋体"/>
          <w:sz w:val="32"/>
          <w:szCs w:val="32"/>
        </w:rPr>
        <w:t>《</w:t>
      </w:r>
      <w:r>
        <w:rPr>
          <w:rFonts w:hint="eastAsia" w:ascii="宋体" w:hAnsi="宋体" w:cs="宋体"/>
          <w:sz w:val="32"/>
        </w:rPr>
        <w:t>电子钢包秤校准规范</w:t>
      </w:r>
      <w:r>
        <w:rPr>
          <w:rFonts w:hint="eastAsia" w:ascii="宋体" w:hAnsi="宋体" w:cs="宋体"/>
          <w:sz w:val="32"/>
          <w:szCs w:val="32"/>
        </w:rPr>
        <w:t>》编制组</w:t>
      </w:r>
    </w:p>
    <w:p w14:paraId="227FE1E8">
      <w:pPr>
        <w:jc w:val="center"/>
        <w:rPr>
          <w:rFonts w:ascii="宋体" w:hAnsi="宋体"/>
          <w:kern w:val="0"/>
          <w:position w:val="-14"/>
          <w:sz w:val="28"/>
          <w:szCs w:val="28"/>
        </w:rPr>
      </w:pPr>
    </w:p>
    <w:p w14:paraId="4AFDADC3">
      <w:pPr>
        <w:jc w:val="center"/>
        <w:rPr>
          <w:rFonts w:ascii="宋体" w:hAnsi="宋体"/>
          <w:color w:val="000000"/>
          <w:kern w:val="0"/>
          <w:position w:val="-14"/>
          <w:sz w:val="30"/>
          <w:szCs w:val="30"/>
        </w:rPr>
        <w:sectPr>
          <w:footerReference r:id="rId5" w:type="first"/>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ascii="宋体" w:hAnsi="宋体"/>
          <w:kern w:val="0"/>
          <w:position w:val="-14"/>
          <w:sz w:val="30"/>
          <w:szCs w:val="30"/>
        </w:rPr>
        <w:t xml:space="preserve"> 2026年4月</w:t>
      </w:r>
    </w:p>
    <w:p w14:paraId="3C5A10F0">
      <w:pPr>
        <w:numPr>
          <w:ilvl w:val="0"/>
          <w:numId w:val="1"/>
        </w:numPr>
        <w:rPr>
          <w:rFonts w:ascii="黑体" w:hAnsi="黑体" w:eastAsia="黑体" w:cs="黑体"/>
          <w:color w:val="000000" w:themeColor="text1"/>
          <w:sz w:val="28"/>
          <w:szCs w:val="28"/>
        </w:rPr>
      </w:pPr>
      <w:r>
        <w:rPr>
          <w:rFonts w:hint="eastAsia" w:ascii="黑体" w:hAnsi="黑体" w:eastAsia="黑体" w:cs="黑体"/>
          <w:sz w:val="28"/>
          <w:szCs w:val="28"/>
        </w:rPr>
        <w:t>项目背景</w:t>
      </w:r>
    </w:p>
    <w:p w14:paraId="537251BB">
      <w:pPr>
        <w:spacing w:line="360" w:lineRule="auto"/>
        <w:ind w:firstLine="560" w:firstLineChars="200"/>
        <w:rPr>
          <w:rFonts w:ascii="宋体" w:hAnsi="宋体" w:cs="宋体"/>
          <w:color w:val="000000" w:themeColor="text1"/>
          <w:sz w:val="28"/>
          <w:szCs w:val="28"/>
        </w:rPr>
      </w:pPr>
      <w:r>
        <w:rPr>
          <w:rFonts w:ascii="宋体" w:hAnsi="宋体" w:cs="宋体"/>
          <w:color w:val="000000" w:themeColor="text1"/>
          <w:sz w:val="28"/>
          <w:szCs w:val="28"/>
        </w:rPr>
        <w:t>钢铁工业是国民经济重要基础产业，钢（铁）水称重计量直接关系冶炼工艺控制、生产成本核算、产品质量稳定与生产运行安全。电子钢包秤作为高温、大称量、小承载器工况下的专用称重设备，工作环境恶劣、结构特殊，现有通用衡器检定 / 校准规范无法完全覆盖其技术特性与使用要求。</w:t>
      </w:r>
    </w:p>
    <w:p w14:paraId="0ECC7DA5">
      <w:pPr>
        <w:spacing w:line="360" w:lineRule="auto"/>
        <w:ind w:firstLine="560" w:firstLineChars="200"/>
        <w:rPr>
          <w:rFonts w:ascii="宋体" w:hAnsi="宋体" w:cs="宋体"/>
          <w:color w:val="000000" w:themeColor="text1"/>
          <w:sz w:val="28"/>
          <w:szCs w:val="28"/>
        </w:rPr>
      </w:pPr>
      <w:r>
        <w:rPr>
          <w:rFonts w:ascii="宋体" w:hAnsi="宋体" w:cs="宋体"/>
          <w:color w:val="000000" w:themeColor="text1"/>
          <w:sz w:val="28"/>
          <w:szCs w:val="28"/>
        </w:rPr>
        <w:t>目前我国尚无统一的国家计量校准规范，各地校准方法不统一、结果不可比，难以满足冶金行业高质量发展与法制计量监管需求，导致以下问题亟待解决：</w:t>
      </w:r>
    </w:p>
    <w:p w14:paraId="476E9E64">
      <w:pPr>
        <w:spacing w:line="360" w:lineRule="auto"/>
        <w:ind w:firstLine="562" w:firstLineChars="200"/>
        <w:rPr>
          <w:rFonts w:ascii="宋体" w:hAnsi="宋体" w:cs="宋体"/>
          <w:color w:val="000000" w:themeColor="text1"/>
          <w:sz w:val="28"/>
          <w:szCs w:val="28"/>
        </w:rPr>
      </w:pPr>
      <w:r>
        <w:rPr>
          <w:rFonts w:hint="eastAsia" w:ascii="宋体" w:hAnsi="宋体" w:cs="宋体"/>
          <w:b/>
          <w:bCs/>
          <w:color w:val="000000" w:themeColor="text1"/>
          <w:sz w:val="28"/>
          <w:szCs w:val="28"/>
        </w:rPr>
        <w:t>1）</w:t>
      </w:r>
      <w:r>
        <w:rPr>
          <w:rFonts w:ascii="宋体" w:hAnsi="宋体" w:cs="宋体"/>
          <w:b/>
          <w:bCs/>
          <w:color w:val="000000" w:themeColor="text1"/>
          <w:sz w:val="28"/>
          <w:szCs w:val="28"/>
        </w:rPr>
        <w:t>行业需求</w:t>
      </w:r>
      <w:r>
        <w:rPr>
          <w:rFonts w:ascii="宋体" w:hAnsi="宋体" w:cs="宋体"/>
          <w:color w:val="000000" w:themeColor="text1"/>
          <w:sz w:val="28"/>
          <w:szCs w:val="28"/>
        </w:rPr>
        <w:t>：</w:t>
      </w:r>
      <w:r>
        <w:rPr>
          <w:rFonts w:hint="eastAsia" w:ascii="宋体" w:hAnsi="宋体" w:cs="宋体"/>
          <w:color w:val="000000" w:themeColor="text1"/>
          <w:sz w:val="28"/>
          <w:szCs w:val="28"/>
        </w:rPr>
        <w:t>在钢铁生产过程中，钢包秤对于准确称量钢水重量至关重要，其数据的准确性直接影响到生产工艺控制、成本核算、产品质量等，因此需要有专门的校准规范来确保其性能可靠。</w:t>
      </w:r>
      <w:r>
        <w:rPr>
          <w:rFonts w:ascii="宋体" w:hAnsi="宋体" w:cs="宋体"/>
          <w:color w:val="000000" w:themeColor="text1"/>
          <w:sz w:val="28"/>
          <w:szCs w:val="28"/>
        </w:rPr>
        <w:t>钢包秤的高温、大称量、小承载器等特性需专项校准方法，现有通用规范（如JJG 539）无法完全覆盖。</w:t>
      </w:r>
    </w:p>
    <w:p w14:paraId="7E1A2285">
      <w:pPr>
        <w:spacing w:line="360" w:lineRule="auto"/>
        <w:ind w:firstLine="562" w:firstLineChars="200"/>
        <w:rPr>
          <w:rFonts w:ascii="宋体" w:hAnsi="宋体" w:cs="宋体"/>
          <w:color w:val="000000" w:themeColor="text1"/>
          <w:sz w:val="28"/>
          <w:szCs w:val="28"/>
        </w:rPr>
      </w:pPr>
      <w:r>
        <w:rPr>
          <w:rFonts w:hint="eastAsia" w:ascii="宋体" w:hAnsi="宋体" w:cs="宋体"/>
          <w:b/>
          <w:bCs/>
          <w:color w:val="000000" w:themeColor="text1"/>
          <w:sz w:val="28"/>
          <w:szCs w:val="28"/>
        </w:rPr>
        <w:t>2）</w:t>
      </w:r>
      <w:r>
        <w:rPr>
          <w:rFonts w:ascii="宋体" w:hAnsi="宋体" w:cs="宋体"/>
          <w:b/>
          <w:bCs/>
          <w:color w:val="000000" w:themeColor="text1"/>
          <w:sz w:val="28"/>
          <w:szCs w:val="28"/>
        </w:rPr>
        <w:t>技术发展</w:t>
      </w:r>
      <w:r>
        <w:rPr>
          <w:rFonts w:ascii="宋体" w:hAnsi="宋体" w:cs="宋体"/>
          <w:color w:val="000000" w:themeColor="text1"/>
          <w:sz w:val="28"/>
          <w:szCs w:val="28"/>
        </w:rPr>
        <w:t>：</w:t>
      </w:r>
      <w:r>
        <w:rPr>
          <w:rFonts w:hint="eastAsia" w:ascii="宋体" w:hAnsi="宋体" w:cs="宋体"/>
          <w:color w:val="000000" w:themeColor="text1"/>
          <w:sz w:val="28"/>
          <w:szCs w:val="28"/>
        </w:rPr>
        <w:t>随着电子技术的不断进步，电子钢包秤的类型和功能不断丰富和更新，原有的校准方法可能不再完全适用，需要与时俱进地制定新的规范来适应新技术的要求。</w:t>
      </w:r>
      <w:r>
        <w:rPr>
          <w:rFonts w:ascii="宋体" w:hAnsi="宋体" w:cs="宋体"/>
          <w:color w:val="000000" w:themeColor="text1"/>
          <w:sz w:val="28"/>
          <w:szCs w:val="28"/>
        </w:rPr>
        <w:t>耐高温传感器、无线传输等新技术的应用，要求校准规范与时俱进。</w:t>
      </w:r>
    </w:p>
    <w:p w14:paraId="1B910AD2">
      <w:pPr>
        <w:spacing w:line="360" w:lineRule="auto"/>
        <w:ind w:firstLine="562" w:firstLineChars="200"/>
        <w:rPr>
          <w:rFonts w:ascii="宋体" w:hAnsi="宋体" w:cs="宋体"/>
          <w:color w:val="000000" w:themeColor="text1"/>
          <w:sz w:val="28"/>
          <w:szCs w:val="28"/>
        </w:rPr>
      </w:pPr>
      <w:r>
        <w:rPr>
          <w:rFonts w:hint="eastAsia" w:ascii="宋体" w:hAnsi="宋体" w:cs="宋体"/>
          <w:b/>
          <w:bCs/>
          <w:color w:val="000000" w:themeColor="text1"/>
          <w:sz w:val="28"/>
          <w:szCs w:val="28"/>
        </w:rPr>
        <w:t>3）</w:t>
      </w:r>
      <w:r>
        <w:rPr>
          <w:rFonts w:ascii="宋体" w:hAnsi="宋体" w:cs="宋体"/>
          <w:b/>
          <w:bCs/>
          <w:color w:val="000000" w:themeColor="text1"/>
          <w:sz w:val="28"/>
          <w:szCs w:val="28"/>
        </w:rPr>
        <w:t>质量控制</w:t>
      </w:r>
      <w:r>
        <w:rPr>
          <w:rFonts w:ascii="宋体" w:hAnsi="宋体" w:cs="宋体"/>
          <w:color w:val="000000" w:themeColor="text1"/>
          <w:sz w:val="28"/>
          <w:szCs w:val="28"/>
        </w:rPr>
        <w:t>：钢水重量误判可能引发安全事故，需通过规范校准流程确保数据可靠性。</w:t>
      </w:r>
    </w:p>
    <w:p w14:paraId="0F3451E0">
      <w:pPr>
        <w:spacing w:line="360" w:lineRule="auto"/>
        <w:ind w:firstLine="562" w:firstLineChars="200"/>
        <w:rPr>
          <w:rFonts w:ascii="宋体" w:hAnsi="宋体" w:cs="宋体"/>
          <w:color w:val="000000" w:themeColor="text1"/>
          <w:sz w:val="28"/>
          <w:szCs w:val="28"/>
        </w:rPr>
      </w:pPr>
      <w:r>
        <w:rPr>
          <w:rFonts w:hint="eastAsia" w:ascii="宋体" w:hAnsi="宋体" w:cs="宋体"/>
          <w:b/>
          <w:bCs/>
          <w:color w:val="000000" w:themeColor="text1"/>
          <w:sz w:val="28"/>
          <w:szCs w:val="28"/>
        </w:rPr>
        <w:t>4）</w:t>
      </w:r>
      <w:r>
        <w:rPr>
          <w:rFonts w:ascii="宋体" w:hAnsi="宋体" w:cs="宋体"/>
          <w:b/>
          <w:bCs/>
          <w:color w:val="000000" w:themeColor="text1"/>
          <w:sz w:val="28"/>
          <w:szCs w:val="28"/>
        </w:rPr>
        <w:t>标准统一</w:t>
      </w:r>
      <w:r>
        <w:rPr>
          <w:rFonts w:ascii="宋体" w:hAnsi="宋体" w:cs="宋体"/>
          <w:color w:val="000000" w:themeColor="text1"/>
          <w:sz w:val="28"/>
          <w:szCs w:val="28"/>
        </w:rPr>
        <w:t>：地区间校准差异影响计量一致性，亟需国家级规范。</w:t>
      </w:r>
    </w:p>
    <w:p w14:paraId="23EDD0EB">
      <w:pPr>
        <w:spacing w:line="360" w:lineRule="auto"/>
        <w:ind w:firstLine="562" w:firstLineChars="200"/>
        <w:rPr>
          <w:rFonts w:ascii="宋体" w:hAnsi="宋体" w:cs="宋体"/>
          <w:color w:val="000000" w:themeColor="text1"/>
          <w:sz w:val="28"/>
          <w:szCs w:val="28"/>
        </w:rPr>
      </w:pPr>
      <w:r>
        <w:rPr>
          <w:rFonts w:hint="eastAsia" w:ascii="宋体" w:hAnsi="宋体" w:cs="宋体"/>
          <w:b/>
          <w:bCs/>
          <w:color w:val="000000" w:themeColor="text1"/>
          <w:sz w:val="28"/>
          <w:szCs w:val="28"/>
        </w:rPr>
        <w:t>5)安全生产</w:t>
      </w:r>
      <w:r>
        <w:rPr>
          <w:rFonts w:hint="eastAsia" w:ascii="宋体" w:hAnsi="宋体" w:cs="宋体"/>
          <w:color w:val="000000" w:themeColor="text1"/>
          <w:sz w:val="28"/>
          <w:szCs w:val="28"/>
        </w:rPr>
        <w:t>：准确的钢包秤读数对于保障生产安全也有重要意义，例如避免钢水重量误判可能导致的安全隐患，校准规范的制定有助于强化这方面的保障。</w:t>
      </w:r>
    </w:p>
    <w:p w14:paraId="2DA23E24">
      <w:pPr>
        <w:spacing w:line="360" w:lineRule="auto"/>
        <w:ind w:firstLine="560" w:firstLineChars="200"/>
        <w:rPr>
          <w:rFonts w:ascii="宋体" w:hAnsi="宋体" w:cs="宋体"/>
          <w:color w:val="000000" w:themeColor="text1"/>
          <w:sz w:val="28"/>
          <w:szCs w:val="28"/>
        </w:rPr>
      </w:pPr>
      <w:r>
        <w:rPr>
          <w:rFonts w:ascii="宋体" w:hAnsi="宋体" w:cs="宋体"/>
          <w:color w:val="000000" w:themeColor="text1"/>
          <w:sz w:val="28"/>
          <w:szCs w:val="28"/>
        </w:rPr>
        <w:t>为统一校准方法、规范校准流程、保证量值准确可靠，制定适用于全国的《电子钢包秤校准规范》具有迫切必要性与重要现实意义。</w:t>
      </w:r>
    </w:p>
    <w:p w14:paraId="304F449E">
      <w:pPr>
        <w:numPr>
          <w:ilvl w:val="0"/>
          <w:numId w:val="1"/>
        </w:numPr>
        <w:spacing w:line="360" w:lineRule="auto"/>
        <w:rPr>
          <w:rFonts w:ascii="黑体" w:hAnsi="黑体" w:eastAsia="黑体" w:cs="黑体"/>
          <w:color w:val="000000" w:themeColor="text1"/>
          <w:sz w:val="28"/>
          <w:szCs w:val="28"/>
        </w:rPr>
      </w:pPr>
      <w:r>
        <w:rPr>
          <w:rFonts w:hint="eastAsia" w:ascii="黑体" w:hAnsi="黑体" w:eastAsia="黑体" w:cs="黑体"/>
          <w:color w:val="000000" w:themeColor="text1"/>
          <w:sz w:val="28"/>
          <w:szCs w:val="28"/>
        </w:rPr>
        <w:t>任务来源</w:t>
      </w:r>
    </w:p>
    <w:p w14:paraId="3E8D7155">
      <w:pPr>
        <w:spacing w:line="360" w:lineRule="auto"/>
        <w:ind w:firstLine="482"/>
        <w:rPr>
          <w:rFonts w:ascii="宋体" w:hAnsi="宋体" w:cs="Arial"/>
          <w:sz w:val="28"/>
          <w:szCs w:val="28"/>
        </w:rPr>
      </w:pPr>
      <w:r>
        <w:rPr>
          <w:rFonts w:hint="eastAsia" w:ascii="宋体" w:hAnsi="宋体" w:cs="Arial"/>
          <w:sz w:val="28"/>
          <w:szCs w:val="28"/>
        </w:rPr>
        <w:t>根据</w:t>
      </w:r>
      <w:r>
        <w:rPr>
          <w:rFonts w:ascii="宋体" w:hAnsi="宋体" w:cs="Arial"/>
          <w:sz w:val="28"/>
          <w:szCs w:val="28"/>
        </w:rPr>
        <w:t>国家市场监督管理总局</w:t>
      </w:r>
      <w:r>
        <w:rPr>
          <w:rFonts w:hint="eastAsia" w:ascii="宋体" w:hAnsi="宋体" w:cs="Arial"/>
          <w:sz w:val="28"/>
          <w:szCs w:val="28"/>
        </w:rPr>
        <w:t>市监计量发</w:t>
      </w:r>
      <w:r>
        <w:rPr>
          <w:rFonts w:ascii="宋体" w:hAnsi="宋体" w:cs="Arial"/>
          <w:sz w:val="28"/>
          <w:szCs w:val="28"/>
        </w:rPr>
        <w:t xml:space="preserve">〔2024〕40 </w:t>
      </w:r>
      <w:r>
        <w:rPr>
          <w:rFonts w:hint="eastAsia" w:ascii="宋体" w:hAnsi="宋体" w:cs="Arial"/>
          <w:sz w:val="28"/>
          <w:szCs w:val="28"/>
        </w:rPr>
        <w:t>号 《</w:t>
      </w:r>
      <w:r>
        <w:rPr>
          <w:rFonts w:ascii="宋体" w:hAnsi="宋体" w:cs="Arial"/>
          <w:sz w:val="28"/>
          <w:szCs w:val="28"/>
        </w:rPr>
        <w:t>市场监管总局办公厅关于印发2024年国家计量技术规范制定、修订及宣贯计划的通知</w:t>
      </w:r>
      <w:r>
        <w:rPr>
          <w:rFonts w:hint="eastAsia" w:ascii="宋体" w:hAnsi="宋体" w:cs="Arial"/>
          <w:sz w:val="28"/>
          <w:szCs w:val="28"/>
        </w:rPr>
        <w:t>》（序号71，项目编号</w:t>
      </w:r>
      <w:r>
        <w:rPr>
          <w:rFonts w:ascii="TimesNewRomanPSMT" w:hAnsi="TimesNewRomanPSMT"/>
          <w:color w:val="000000"/>
          <w:sz w:val="28"/>
          <w:szCs w:val="28"/>
        </w:rPr>
        <w:t>MTC10 -2024-06</w:t>
      </w:r>
      <w:r>
        <w:rPr>
          <w:rFonts w:hint="eastAsia" w:ascii="TimesNewRomanPSMT" w:hAnsi="TimesNewRomanPSMT"/>
          <w:color w:val="000000"/>
          <w:sz w:val="28"/>
          <w:szCs w:val="28"/>
        </w:rPr>
        <w:t>）</w:t>
      </w:r>
      <w:r>
        <w:rPr>
          <w:rFonts w:hint="eastAsia" w:ascii="宋体" w:hAnsi="宋体" w:cs="Arial"/>
          <w:sz w:val="28"/>
          <w:szCs w:val="28"/>
        </w:rPr>
        <w:t xml:space="preserve">要求, </w:t>
      </w:r>
      <w:r>
        <w:rPr>
          <w:rFonts w:ascii="宋体" w:hAnsi="宋体" w:cs="Arial"/>
          <w:sz w:val="28"/>
          <w:szCs w:val="28"/>
        </w:rPr>
        <w:t>由</w:t>
      </w:r>
      <w:r>
        <w:rPr>
          <w:rFonts w:ascii="宋体" w:hAnsi="宋体"/>
          <w:bCs/>
          <w:sz w:val="28"/>
          <w:szCs w:val="28"/>
        </w:rPr>
        <w:t>湖南省计量检测研究院</w:t>
      </w:r>
      <w:r>
        <w:rPr>
          <w:rFonts w:ascii="宋体" w:hAnsi="宋体" w:cs="Arial"/>
          <w:sz w:val="28"/>
          <w:szCs w:val="28"/>
        </w:rPr>
        <w:t>牵头，联合相关单位承担《电子钢包秤》国家计量校准规范制定工作。</w:t>
      </w:r>
    </w:p>
    <w:p w14:paraId="7F883394">
      <w:pPr>
        <w:spacing w:line="360" w:lineRule="auto"/>
        <w:ind w:firstLine="482"/>
        <w:rPr>
          <w:rFonts w:ascii="宋体" w:hAnsi="宋体" w:cs="Arial"/>
          <w:sz w:val="28"/>
          <w:szCs w:val="28"/>
        </w:rPr>
      </w:pPr>
      <w:r>
        <w:rPr>
          <w:rFonts w:hint="eastAsia" w:ascii="宋体" w:hAnsi="宋体" w:cs="Arial"/>
          <w:sz w:val="28"/>
          <w:szCs w:val="28"/>
        </w:rPr>
        <w:t>此校准规范由</w:t>
      </w:r>
      <w:bookmarkStart w:id="0" w:name="_GoBack"/>
      <w:bookmarkEnd w:id="0"/>
      <w:r>
        <w:rPr>
          <w:rFonts w:ascii="宋体" w:hAnsi="宋体" w:cs="Arial"/>
          <w:sz w:val="28"/>
          <w:szCs w:val="28"/>
        </w:rPr>
        <w:t>全国</w:t>
      </w:r>
      <w:r>
        <w:rPr>
          <w:rFonts w:hint="eastAsia" w:ascii="宋体" w:hAnsi="宋体" w:cs="Arial"/>
          <w:sz w:val="28"/>
          <w:szCs w:val="28"/>
        </w:rPr>
        <w:t>衡器</w:t>
      </w:r>
      <w:r>
        <w:rPr>
          <w:rFonts w:ascii="宋体" w:hAnsi="宋体" w:cs="Arial"/>
          <w:sz w:val="28"/>
          <w:szCs w:val="28"/>
        </w:rPr>
        <w:t>计量技术委员会</w:t>
      </w:r>
      <w:r>
        <w:rPr>
          <w:rFonts w:hint="eastAsia" w:ascii="宋体" w:hAnsi="宋体" w:cs="Arial"/>
          <w:sz w:val="28"/>
          <w:szCs w:val="28"/>
        </w:rPr>
        <w:t>归口。</w:t>
      </w:r>
    </w:p>
    <w:p w14:paraId="70F85BB3">
      <w:pPr>
        <w:spacing w:line="360" w:lineRule="auto"/>
        <w:ind w:firstLine="482"/>
        <w:rPr>
          <w:rFonts w:ascii="宋体" w:hAnsi="宋体" w:cs="Arial"/>
          <w:sz w:val="28"/>
          <w:szCs w:val="28"/>
        </w:rPr>
      </w:pPr>
      <w:r>
        <w:rPr>
          <w:rFonts w:hint="eastAsia" w:ascii="宋体" w:hAnsi="宋体" w:cs="Arial"/>
          <w:sz w:val="28"/>
          <w:szCs w:val="28"/>
        </w:rPr>
        <w:t>起草单位：湖南省计量检测研究院、山西省检验检测中心、山东省计量科学研究院、湘潭市工矿电传动车辆质量检验中心、湖南华菱湘潭钢铁有限公司。</w:t>
      </w:r>
    </w:p>
    <w:p w14:paraId="1F370F76">
      <w:pPr>
        <w:numPr>
          <w:ilvl w:val="0"/>
          <w:numId w:val="1"/>
        </w:numPr>
        <w:rPr>
          <w:rFonts w:ascii="黑体" w:hAnsi="黑体" w:eastAsia="黑体" w:cs="黑体"/>
          <w:sz w:val="28"/>
          <w:szCs w:val="28"/>
        </w:rPr>
      </w:pPr>
      <w:r>
        <w:rPr>
          <w:rFonts w:hint="eastAsia" w:ascii="黑体" w:hAnsi="黑体" w:eastAsia="黑体" w:cs="黑体"/>
          <w:sz w:val="28"/>
          <w:szCs w:val="28"/>
        </w:rPr>
        <w:t>编制依据</w:t>
      </w:r>
    </w:p>
    <w:p w14:paraId="5F258259">
      <w:pPr>
        <w:spacing w:line="480" w:lineRule="exact"/>
        <w:ind w:firstLine="490" w:firstLineChars="175"/>
        <w:rPr>
          <w:rFonts w:ascii="宋体" w:hAnsi="宋体" w:cs="Arial"/>
          <w:sz w:val="28"/>
          <w:szCs w:val="28"/>
        </w:rPr>
      </w:pPr>
      <w:r>
        <w:rPr>
          <w:rFonts w:ascii="宋体" w:hAnsi="宋体" w:cs="Arial"/>
          <w:bCs/>
          <w:sz w:val="28"/>
          <w:szCs w:val="28"/>
        </w:rPr>
        <w:t>格式规范</w:t>
      </w:r>
      <w:r>
        <w:rPr>
          <w:rFonts w:ascii="宋体" w:hAnsi="宋体" w:cs="Arial"/>
          <w:sz w:val="28"/>
          <w:szCs w:val="28"/>
        </w:rPr>
        <w:t>：</w:t>
      </w:r>
      <w:r>
        <w:rPr>
          <w:rFonts w:hint="eastAsia" w:ascii="宋体" w:hAnsi="宋体" w:cs="Arial"/>
          <w:sz w:val="28"/>
          <w:szCs w:val="28"/>
        </w:rPr>
        <w:t>本规范的编写格式依据</w:t>
      </w:r>
      <w:r>
        <w:rPr>
          <w:sz w:val="28"/>
          <w:szCs w:val="28"/>
        </w:rPr>
        <w:t>JJF1071-2010《国家计量校准规范编写规则》的规定起草</w:t>
      </w:r>
      <w:r>
        <w:rPr>
          <w:rFonts w:hint="eastAsia"/>
          <w:sz w:val="28"/>
          <w:szCs w:val="28"/>
        </w:rPr>
        <w:t>。</w:t>
      </w:r>
    </w:p>
    <w:p w14:paraId="280C57F2">
      <w:pPr>
        <w:spacing w:line="480" w:lineRule="exact"/>
        <w:ind w:firstLine="490" w:firstLineChars="175"/>
        <w:rPr>
          <w:rFonts w:hint="eastAsia" w:ascii="宋体" w:hAnsi="宋体" w:cs="Arial"/>
          <w:sz w:val="28"/>
          <w:szCs w:val="28"/>
        </w:rPr>
      </w:pPr>
      <w:r>
        <w:rPr>
          <w:rFonts w:ascii="宋体" w:hAnsi="宋体" w:cs="Arial"/>
          <w:bCs/>
          <w:sz w:val="28"/>
          <w:szCs w:val="28"/>
        </w:rPr>
        <w:t>技术标准</w:t>
      </w:r>
      <w:r>
        <w:rPr>
          <w:rFonts w:ascii="宋体" w:hAnsi="宋体" w:cs="Arial"/>
          <w:sz w:val="28"/>
          <w:szCs w:val="28"/>
        </w:rPr>
        <w:t>：参考JJG 99-2022《砝码》</w:t>
      </w:r>
    </w:p>
    <w:p w14:paraId="3F209BDE">
      <w:pPr>
        <w:spacing w:line="480" w:lineRule="exact"/>
        <w:ind w:firstLine="490" w:firstLineChars="175"/>
        <w:rPr>
          <w:rFonts w:hint="eastAsia" w:ascii="宋体" w:hAnsi="宋体" w:cs="Arial"/>
          <w:sz w:val="28"/>
          <w:szCs w:val="28"/>
        </w:rPr>
      </w:pPr>
      <w:r>
        <w:rPr>
          <w:rFonts w:ascii="宋体" w:hAnsi="宋体" w:cs="Arial"/>
          <w:sz w:val="28"/>
          <w:szCs w:val="28"/>
        </w:rPr>
        <w:t>JJG 539-2016《数字指示秤》</w:t>
      </w:r>
    </w:p>
    <w:p w14:paraId="21FEEFE6">
      <w:pPr>
        <w:spacing w:line="480" w:lineRule="exact"/>
        <w:ind w:firstLine="490" w:firstLineChars="175"/>
        <w:rPr>
          <w:rFonts w:ascii="宋体" w:hAnsi="宋体" w:cs="Arial"/>
          <w:sz w:val="28"/>
          <w:szCs w:val="28"/>
        </w:rPr>
      </w:pPr>
      <w:r>
        <w:rPr>
          <w:rFonts w:ascii="宋体" w:hAnsi="宋体" w:cs="Arial"/>
          <w:sz w:val="28"/>
          <w:szCs w:val="28"/>
        </w:rPr>
        <w:t>JJF 1834-2020《非自动衡器通用技术要求》及T/CWIAS 0003-2023《耐高温电子钢包秤》团体标准。</w:t>
      </w:r>
    </w:p>
    <w:p w14:paraId="4B0651B9">
      <w:pPr>
        <w:spacing w:line="480" w:lineRule="exact"/>
        <w:ind w:firstLine="490" w:firstLineChars="175"/>
        <w:rPr>
          <w:rFonts w:ascii="宋体" w:hAnsi="宋体" w:cs="Arial"/>
          <w:sz w:val="28"/>
          <w:szCs w:val="28"/>
        </w:rPr>
      </w:pPr>
      <w:r>
        <w:rPr>
          <w:rFonts w:ascii="宋体" w:hAnsi="宋体" w:cs="Arial"/>
          <w:bCs/>
          <w:sz w:val="28"/>
          <w:szCs w:val="28"/>
        </w:rPr>
        <w:t>不确定度评定</w:t>
      </w:r>
      <w:r>
        <w:rPr>
          <w:rFonts w:ascii="宋体" w:hAnsi="宋体" w:cs="Arial"/>
          <w:sz w:val="28"/>
          <w:szCs w:val="28"/>
        </w:rPr>
        <w:t>：符合JJF 1059.1-2012《测量不确定度评定与表示》。</w:t>
      </w:r>
    </w:p>
    <w:p w14:paraId="47B48CCA">
      <w:pPr>
        <w:spacing w:line="360" w:lineRule="auto"/>
        <w:ind w:firstLine="560" w:firstLineChars="200"/>
        <w:rPr>
          <w:rFonts w:ascii="宋体" w:hAnsi="宋体" w:cs="Arial"/>
          <w:sz w:val="28"/>
          <w:szCs w:val="28"/>
        </w:rPr>
      </w:pPr>
      <w:r>
        <w:rPr>
          <w:rFonts w:hint="eastAsia" w:ascii="宋体" w:hAnsi="宋体" w:cs="Arial"/>
          <w:sz w:val="28"/>
          <w:szCs w:val="28"/>
        </w:rPr>
        <w:t>本校准规范属于首次制定。</w:t>
      </w:r>
    </w:p>
    <w:p w14:paraId="5107F4A7">
      <w:pPr>
        <w:numPr>
          <w:ilvl w:val="0"/>
          <w:numId w:val="1"/>
        </w:numPr>
        <w:spacing w:line="360" w:lineRule="auto"/>
        <w:rPr>
          <w:rFonts w:ascii="黑体" w:hAnsi="黑体" w:eastAsia="黑体" w:cs="黑体"/>
          <w:sz w:val="28"/>
          <w:szCs w:val="28"/>
        </w:rPr>
      </w:pPr>
      <w:r>
        <w:rPr>
          <w:rFonts w:hint="eastAsia" w:ascii="黑体" w:hAnsi="黑体" w:eastAsia="黑体" w:cs="黑体"/>
          <w:sz w:val="28"/>
          <w:szCs w:val="28"/>
        </w:rPr>
        <w:t>编制过程</w:t>
      </w:r>
    </w:p>
    <w:p w14:paraId="79F86A71">
      <w:pPr>
        <w:spacing w:line="360" w:lineRule="auto"/>
        <w:ind w:firstLine="560" w:firstLineChars="200"/>
        <w:rPr>
          <w:rFonts w:ascii="宋体" w:hAnsi="宋体" w:cs="宋体"/>
          <w:sz w:val="28"/>
          <w:szCs w:val="28"/>
        </w:rPr>
      </w:pPr>
      <w:r>
        <w:rPr>
          <w:rFonts w:hint="eastAsia"/>
          <w:sz w:val="28"/>
          <w:szCs w:val="28"/>
        </w:rPr>
        <w:t>钢包电子秤是冶金行业钢（铁）水冶炼过程中必不可少的重要生产工艺设备之一，广泛用于冶金厂、铸造厂、钢铁厂对钢（铁）水包的自动称量和监控，具有独特的使用要求和特征，是固定安装式电子衡器中较为特殊的一种形式，其称重传感器及结构设计、安装方式都与其他电子秤有所不同，是在钢包支承座底下设计的特殊结构的电子秤，主要特点如下：1）在高温环境中完成称重计量，其称重传感器适应的环境温度要求特别高，因此在传感器的选择上通常需要耐高温传感器，2）钢包电子秤的使用受到场地和钢（铁）水包的限制，承载器通常比一般固定式衡器小得多，这样就导致钢包电子秤量程大，承载器小的特点。</w:t>
      </w:r>
      <w:r>
        <w:rPr>
          <w:rFonts w:hint="eastAsia" w:ascii="宋体" w:hAnsi="宋体" w:cs="宋体"/>
          <w:sz w:val="28"/>
          <w:szCs w:val="28"/>
        </w:rPr>
        <w:t>对此应该有更进一步的研究的调研。基于此，本项目组在查阅大量的文献的基础上，考察了多家电子钢包秤的生产厂家，包括对仪表、传感器等方面也做了大量的调研工作，与这些领域的专家学者进行了广泛的交流和探讨，为</w:t>
      </w:r>
      <w:r>
        <w:rPr>
          <w:rFonts w:hint="eastAsia" w:ascii="宋体" w:hAnsi="宋体" w:cs="Arial"/>
          <w:sz w:val="28"/>
          <w:szCs w:val="28"/>
        </w:rPr>
        <w:t>《电子钢包秤》国</w:t>
      </w:r>
      <w:r>
        <w:rPr>
          <w:rFonts w:hint="eastAsia" w:ascii="宋体" w:hAnsi="宋体" w:cs="宋体"/>
          <w:sz w:val="28"/>
          <w:szCs w:val="28"/>
        </w:rPr>
        <w:t>家校准规范的起草奠定了坚实的基础。整个起草项目的进展为：</w:t>
      </w:r>
    </w:p>
    <w:p w14:paraId="49CB2A67">
      <w:pPr>
        <w:pStyle w:val="15"/>
        <w:shd w:val="clear" w:color="auto" w:fill="FFFFFF"/>
        <w:spacing w:before="0" w:beforeAutospacing="0" w:after="40" w:afterAutospacing="0"/>
        <w:rPr>
          <w:sz w:val="28"/>
          <w:szCs w:val="28"/>
        </w:rPr>
      </w:pPr>
      <w:r>
        <w:rPr>
          <w:rFonts w:hint="eastAsia"/>
          <w:sz w:val="28"/>
          <w:szCs w:val="28"/>
        </w:rPr>
        <w:t>4.1</w:t>
      </w:r>
      <w:r>
        <w:rPr>
          <w:sz w:val="28"/>
          <w:szCs w:val="28"/>
        </w:rPr>
        <w:t>调研阶段（2024年4月—</w:t>
      </w:r>
      <w:r>
        <w:rPr>
          <w:rFonts w:hint="eastAsia"/>
          <w:sz w:val="28"/>
          <w:szCs w:val="28"/>
        </w:rPr>
        <w:t>9</w:t>
      </w:r>
      <w:r>
        <w:rPr>
          <w:sz w:val="28"/>
          <w:szCs w:val="28"/>
        </w:rPr>
        <w:t>月）</w:t>
      </w:r>
    </w:p>
    <w:p w14:paraId="644861CB">
      <w:pPr>
        <w:pStyle w:val="16"/>
        <w:autoSpaceDE w:val="0"/>
        <w:autoSpaceDN w:val="0"/>
        <w:adjustRightInd w:val="0"/>
        <w:spacing w:line="360" w:lineRule="auto"/>
        <w:ind w:firstLine="700" w:firstLineChars="250"/>
        <w:jc w:val="left"/>
        <w:rPr>
          <w:rFonts w:ascii="宋体" w:hAnsi="宋体" w:cs="宋体"/>
          <w:sz w:val="28"/>
          <w:szCs w:val="28"/>
        </w:rPr>
      </w:pPr>
      <w:r>
        <w:rPr>
          <w:rFonts w:ascii="宋体" w:hAnsi="宋体" w:cs="宋体"/>
          <w:sz w:val="28"/>
          <w:szCs w:val="28"/>
        </w:rPr>
        <w:t>赴湖南湘钢、涟钢、衡阳钢管等使用单位，及余姚通用仪表、余姚太平洋称重等生产企业开展实地调研；收集主流产品技术参数、现场工况与校准需求；梳理国内外相关标准与技术资料，确定规范总体框架与核心技术内容。</w:t>
      </w:r>
    </w:p>
    <w:p w14:paraId="161A4AB6">
      <w:pPr>
        <w:pStyle w:val="15"/>
        <w:shd w:val="clear" w:color="auto" w:fill="FFFFFF"/>
        <w:spacing w:before="0" w:beforeAutospacing="0" w:after="40" w:afterAutospacing="0"/>
        <w:rPr>
          <w:rFonts w:ascii="Segoe UI" w:hAnsi="Segoe UI" w:cs="Segoe UI"/>
          <w:color w:val="404040"/>
          <w:sz w:val="28"/>
          <w:szCs w:val="28"/>
        </w:rPr>
      </w:pPr>
      <w:r>
        <w:rPr>
          <w:rFonts w:hint="eastAsia"/>
          <w:sz w:val="28"/>
          <w:szCs w:val="28"/>
        </w:rPr>
        <w:t xml:space="preserve">4.2 </w:t>
      </w:r>
      <w:r>
        <w:rPr>
          <w:bCs/>
          <w:kern w:val="2"/>
          <w:sz w:val="28"/>
          <w:szCs w:val="28"/>
        </w:rPr>
        <w:t>起草阶段（2024年9月—</w:t>
      </w:r>
      <w:r>
        <w:rPr>
          <w:rFonts w:hint="eastAsia"/>
          <w:bCs/>
          <w:kern w:val="2"/>
          <w:sz w:val="28"/>
          <w:szCs w:val="28"/>
        </w:rPr>
        <w:t>2025年4</w:t>
      </w:r>
      <w:r>
        <w:rPr>
          <w:bCs/>
          <w:kern w:val="2"/>
          <w:sz w:val="28"/>
          <w:szCs w:val="28"/>
        </w:rPr>
        <w:t>月）</w:t>
      </w:r>
    </w:p>
    <w:p w14:paraId="23539F27">
      <w:pPr>
        <w:snapToGrid w:val="0"/>
        <w:spacing w:line="360" w:lineRule="auto"/>
        <w:ind w:firstLine="560" w:firstLineChars="200"/>
        <w:rPr>
          <w:rFonts w:hint="eastAsia" w:ascii="宋体" w:hAnsi="宋体" w:cs="宋体"/>
          <w:sz w:val="28"/>
          <w:szCs w:val="28"/>
        </w:rPr>
      </w:pPr>
      <w:r>
        <w:rPr>
          <w:rFonts w:ascii="宋体" w:hAnsi="宋体" w:cs="宋体"/>
          <w:sz w:val="28"/>
          <w:szCs w:val="28"/>
        </w:rPr>
        <w:t>2024 年 9—10 月成立起草组，明确分工与进度计划；2024 年 10—12 月2025 年 1—4 月组织内部多轮研讨，完善条款表述、记录格式与技术要求。</w:t>
      </w:r>
    </w:p>
    <w:p w14:paraId="578F722F">
      <w:pPr>
        <w:snapToGrid w:val="0"/>
        <w:spacing w:line="360" w:lineRule="auto"/>
        <w:ind w:firstLine="560" w:firstLineChars="200"/>
        <w:rPr>
          <w:rFonts w:hAnsi="宋体"/>
          <w:sz w:val="28"/>
          <w:szCs w:val="28"/>
        </w:rPr>
      </w:pPr>
      <w:r>
        <w:rPr>
          <w:rFonts w:hint="eastAsia" w:ascii="宋体" w:hAnsi="宋体" w:cs="宋体"/>
          <w:sz w:val="28"/>
          <w:szCs w:val="28"/>
        </w:rPr>
        <w:t>2024年9月-2024年10月。组成技术规范起草组，各个起草单位开展了深入调研，并就规范所包含内容、主要计量特性、校准方法等问题进行了讨论。</w:t>
      </w:r>
    </w:p>
    <w:p w14:paraId="07715363">
      <w:pPr>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2024年10月-2024年12月。</w:t>
      </w:r>
      <w:r>
        <w:rPr>
          <w:rFonts w:hint="eastAsia"/>
          <w:color w:val="000000"/>
          <w:sz w:val="28"/>
          <w:szCs w:val="28"/>
        </w:rPr>
        <w:t>各个起草单位根据分工</w:t>
      </w:r>
      <w:r>
        <w:rPr>
          <w:rFonts w:hint="eastAsia" w:hAnsi="宋体"/>
          <w:sz w:val="28"/>
          <w:szCs w:val="28"/>
        </w:rPr>
        <w:t>，</w:t>
      </w:r>
      <w:r>
        <w:rPr>
          <w:rFonts w:ascii="宋体" w:hAnsi="宋体" w:cs="宋体"/>
          <w:sz w:val="28"/>
          <w:szCs w:val="28"/>
        </w:rPr>
        <w:t>完成规范初稿，确定计量特性（如分度值、示值误差）、校准条件、校准项目与方法；</w:t>
      </w:r>
    </w:p>
    <w:p w14:paraId="2DBC2356">
      <w:pPr>
        <w:snapToGrid w:val="0"/>
        <w:spacing w:line="360" w:lineRule="auto"/>
        <w:ind w:firstLine="560" w:firstLineChars="200"/>
        <w:rPr>
          <w:rFonts w:hAnsi="宋体"/>
          <w:sz w:val="28"/>
          <w:szCs w:val="28"/>
        </w:rPr>
      </w:pPr>
      <w:r>
        <w:rPr>
          <w:rFonts w:hint="eastAsia" w:ascii="宋体" w:hAnsi="宋体" w:cs="宋体"/>
          <w:sz w:val="28"/>
          <w:szCs w:val="28"/>
        </w:rPr>
        <w:t xml:space="preserve"> 2025年1月-2025年4月。</w:t>
      </w:r>
      <w:r>
        <w:rPr>
          <w:rFonts w:hint="eastAsia" w:hAnsi="宋体"/>
          <w:sz w:val="28"/>
          <w:szCs w:val="28"/>
        </w:rPr>
        <w:t>起草小组进行了多次探讨会议，内部讨论征求意见，对初稿进行进一步完善，对记录格式进行了修改和完善，并进行了部分试验和不确定度分析。</w:t>
      </w:r>
    </w:p>
    <w:p w14:paraId="13FB6DCE">
      <w:pPr>
        <w:spacing w:line="360" w:lineRule="auto"/>
        <w:rPr>
          <w:rStyle w:val="9"/>
          <w:rFonts w:ascii="Segoe UI" w:hAnsi="Segoe UI" w:cs="Segoe UI"/>
          <w:color w:val="404040"/>
          <w:sz w:val="28"/>
          <w:szCs w:val="28"/>
          <w:shd w:val="clear" w:color="auto" w:fill="FFFFFF"/>
        </w:rPr>
      </w:pPr>
      <w:r>
        <w:rPr>
          <w:rFonts w:hint="eastAsia"/>
          <w:color w:val="000000"/>
          <w:sz w:val="28"/>
          <w:szCs w:val="28"/>
        </w:rPr>
        <w:t xml:space="preserve">4.3 </w:t>
      </w:r>
      <w:r>
        <w:rPr>
          <w:bCs/>
          <w:color w:val="000000"/>
          <w:sz w:val="28"/>
          <w:szCs w:val="28"/>
        </w:rPr>
        <w:t>试验验证（2025年</w:t>
      </w:r>
      <w:r>
        <w:rPr>
          <w:rFonts w:hint="eastAsia"/>
          <w:bCs/>
          <w:color w:val="000000"/>
          <w:sz w:val="28"/>
          <w:szCs w:val="28"/>
        </w:rPr>
        <w:t>4</w:t>
      </w:r>
      <w:r>
        <w:rPr>
          <w:bCs/>
          <w:color w:val="000000"/>
          <w:sz w:val="28"/>
          <w:szCs w:val="28"/>
        </w:rPr>
        <w:t>月—</w:t>
      </w:r>
      <w:r>
        <w:rPr>
          <w:rFonts w:hint="eastAsia"/>
          <w:bCs/>
          <w:color w:val="000000"/>
          <w:sz w:val="28"/>
          <w:szCs w:val="28"/>
        </w:rPr>
        <w:t>9</w:t>
      </w:r>
      <w:r>
        <w:rPr>
          <w:bCs/>
          <w:color w:val="000000"/>
          <w:sz w:val="28"/>
          <w:szCs w:val="28"/>
        </w:rPr>
        <w:t>月）</w:t>
      </w:r>
    </w:p>
    <w:p w14:paraId="76EBBCAB">
      <w:pPr>
        <w:spacing w:line="360" w:lineRule="auto"/>
        <w:ind w:firstLine="560" w:firstLineChars="200"/>
        <w:rPr>
          <w:rFonts w:ascii="宋体" w:hAnsi="宋体"/>
          <w:sz w:val="28"/>
          <w:szCs w:val="28"/>
        </w:rPr>
      </w:pPr>
      <w:r>
        <w:rPr>
          <w:rFonts w:hint="eastAsia" w:ascii="宋体" w:hAnsi="宋体" w:cs="宋体"/>
          <w:sz w:val="28"/>
          <w:szCs w:val="28"/>
        </w:rPr>
        <w:t>2025年4月-2025年4月。</w:t>
      </w:r>
      <w:r>
        <w:rPr>
          <w:color w:val="000000"/>
          <w:sz w:val="28"/>
          <w:szCs w:val="28"/>
        </w:rPr>
        <w:t>在湖南、山西等地开展重复性、偏载误差试验，补充高温漂移校准项目。</w:t>
      </w:r>
      <w:r>
        <w:rPr>
          <w:rFonts w:hint="eastAsia"/>
          <w:color w:val="000000"/>
          <w:sz w:val="28"/>
          <w:szCs w:val="28"/>
        </w:rPr>
        <w:t>各个起草单位在对实验数据分析的基础上，进行了试验验证，完成试验报告和不确定度的分析和评定，进一步完善了校准条件、校准方法的修正，并完成了起草小组会议的全套资料。再次形成征求意见稿（2</w:t>
      </w:r>
      <w:r>
        <w:rPr>
          <w:color w:val="000000"/>
          <w:sz w:val="28"/>
          <w:szCs w:val="28"/>
        </w:rPr>
        <w:t>025年6月版</w:t>
      </w:r>
      <w:r>
        <w:rPr>
          <w:rFonts w:hint="eastAsia"/>
          <w:color w:val="000000"/>
          <w:sz w:val="28"/>
          <w:szCs w:val="28"/>
        </w:rPr>
        <w:t>），发布于起草小组工作群，征集起草小组意见。</w:t>
      </w:r>
    </w:p>
    <w:p w14:paraId="71ABCC20">
      <w:pPr>
        <w:spacing w:line="360" w:lineRule="auto"/>
        <w:ind w:firstLine="560" w:firstLineChars="200"/>
        <w:rPr>
          <w:color w:val="000000"/>
          <w:sz w:val="28"/>
          <w:szCs w:val="28"/>
        </w:rPr>
      </w:pPr>
      <w:r>
        <w:rPr>
          <w:rFonts w:hint="eastAsia" w:ascii="宋体" w:hAnsi="宋体" w:cs="宋体"/>
          <w:sz w:val="28"/>
          <w:szCs w:val="28"/>
        </w:rPr>
        <w:t>2025年5月-2025年6月。</w:t>
      </w:r>
      <w:r>
        <w:rPr>
          <w:rFonts w:hint="eastAsia"/>
          <w:color w:val="000000"/>
          <w:sz w:val="28"/>
          <w:szCs w:val="28"/>
        </w:rPr>
        <w:t>起草小组组织再次进行试验，获取试验数据，对校准项目和方法进行验证，并出具结果，形成试验验证报告。并将征求意见稿发给鲁主任，进行审核，最终形成意见稿。</w:t>
      </w:r>
    </w:p>
    <w:p w14:paraId="16946FD5">
      <w:pPr>
        <w:spacing w:line="360" w:lineRule="auto"/>
        <w:ind w:firstLine="560" w:firstLineChars="200"/>
        <w:rPr>
          <w:color w:val="000000"/>
          <w:sz w:val="28"/>
          <w:szCs w:val="28"/>
        </w:rPr>
      </w:pPr>
      <w:r>
        <w:rPr>
          <w:rFonts w:hint="eastAsia" w:ascii="宋体" w:hAnsi="宋体" w:cs="宋体"/>
          <w:sz w:val="28"/>
          <w:szCs w:val="28"/>
        </w:rPr>
        <w:t xml:space="preserve"> 2025年7月-2025年9月。</w:t>
      </w:r>
      <w:r>
        <w:rPr>
          <w:rFonts w:hint="eastAsia"/>
          <w:color w:val="000000"/>
          <w:sz w:val="28"/>
          <w:szCs w:val="28"/>
        </w:rPr>
        <w:t>起草小组组织进行不确定度评定，确定不确定度评定方法并给出示例，并出具不确定度报告。</w:t>
      </w:r>
    </w:p>
    <w:p w14:paraId="7777EDA4">
      <w:pPr>
        <w:snapToGrid w:val="0"/>
        <w:spacing w:line="360" w:lineRule="auto"/>
        <w:rPr>
          <w:rFonts w:ascii="宋体" w:hAnsi="宋体" w:cs="宋体"/>
          <w:bCs/>
          <w:sz w:val="28"/>
          <w:szCs w:val="28"/>
        </w:rPr>
      </w:pPr>
      <w:r>
        <w:rPr>
          <w:rFonts w:hint="eastAsia" w:ascii="宋体" w:hAnsi="宋体" w:cs="宋体"/>
          <w:sz w:val="28"/>
          <w:szCs w:val="28"/>
        </w:rPr>
        <w:t xml:space="preserve">4.4 </w:t>
      </w:r>
      <w:r>
        <w:rPr>
          <w:rFonts w:ascii="宋体" w:hAnsi="宋体" w:cs="宋体"/>
          <w:bCs/>
          <w:sz w:val="28"/>
          <w:szCs w:val="28"/>
        </w:rPr>
        <w:t>征求意见与修改（2025年10月—</w:t>
      </w:r>
      <w:r>
        <w:rPr>
          <w:rFonts w:hint="eastAsia" w:ascii="宋体" w:hAnsi="宋体" w:cs="宋体"/>
          <w:bCs/>
          <w:sz w:val="28"/>
          <w:szCs w:val="28"/>
        </w:rPr>
        <w:t>2026年4</w:t>
      </w:r>
      <w:r>
        <w:rPr>
          <w:rFonts w:ascii="宋体" w:hAnsi="宋体" w:cs="宋体"/>
          <w:bCs/>
          <w:sz w:val="28"/>
          <w:szCs w:val="28"/>
        </w:rPr>
        <w:t>月）</w:t>
      </w:r>
    </w:p>
    <w:p w14:paraId="0CF30ECD">
      <w:pPr>
        <w:snapToGrid w:val="0"/>
        <w:spacing w:line="360" w:lineRule="auto"/>
        <w:ind w:firstLine="560" w:firstLineChars="200"/>
        <w:rPr>
          <w:color w:val="000000"/>
          <w:sz w:val="28"/>
          <w:szCs w:val="28"/>
        </w:rPr>
      </w:pPr>
      <w:r>
        <w:rPr>
          <w:color w:val="000000"/>
          <w:sz w:val="28"/>
          <w:szCs w:val="28"/>
        </w:rPr>
        <w:t>面向行业、企业、科研院所与计量技术机构广泛征求意见；针对反馈意见逐条梳理、修改完善；进一步优化校准流程、附录格式与表述规范性，形成本次提交</w:t>
      </w:r>
      <w:r>
        <w:rPr>
          <w:bCs/>
          <w:sz w:val="28"/>
          <w:szCs w:val="28"/>
        </w:rPr>
        <w:t>衡器计量技术委</w:t>
      </w:r>
      <w:r>
        <w:rPr>
          <w:b/>
          <w:bCs/>
          <w:sz w:val="28"/>
          <w:szCs w:val="28"/>
        </w:rPr>
        <w:t>员会</w:t>
      </w:r>
      <w:r>
        <w:rPr>
          <w:color w:val="000000"/>
          <w:sz w:val="28"/>
          <w:szCs w:val="28"/>
        </w:rPr>
        <w:t>的征求意见稿。</w:t>
      </w:r>
    </w:p>
    <w:p w14:paraId="29C5031D">
      <w:pPr>
        <w:snapToGrid w:val="0"/>
        <w:spacing w:line="360" w:lineRule="auto"/>
        <w:rPr>
          <w:rFonts w:hint="eastAsia"/>
          <w:sz w:val="28"/>
          <w:szCs w:val="28"/>
        </w:rPr>
      </w:pPr>
      <w:r>
        <w:rPr>
          <w:rFonts w:hint="eastAsia" w:ascii="宋体" w:hAnsi="宋体" w:cs="宋体"/>
          <w:bCs/>
          <w:sz w:val="28"/>
          <w:szCs w:val="28"/>
        </w:rPr>
        <w:t xml:space="preserve">4.5 </w:t>
      </w:r>
      <w:r>
        <w:rPr>
          <w:sz w:val="28"/>
          <w:szCs w:val="28"/>
        </w:rPr>
        <w:t>后续计划</w:t>
      </w:r>
    </w:p>
    <w:p w14:paraId="3BEC6349">
      <w:pPr>
        <w:snapToGrid w:val="0"/>
        <w:spacing w:line="360" w:lineRule="auto"/>
        <w:ind w:firstLine="435"/>
        <w:rPr>
          <w:color w:val="000000"/>
          <w:sz w:val="28"/>
          <w:szCs w:val="28"/>
        </w:rPr>
      </w:pPr>
      <w:r>
        <w:rPr>
          <w:rFonts w:hint="eastAsia"/>
          <w:color w:val="000000"/>
          <w:sz w:val="28"/>
          <w:szCs w:val="28"/>
        </w:rPr>
        <w:t>2</w:t>
      </w:r>
      <w:r>
        <w:rPr>
          <w:color w:val="000000"/>
          <w:sz w:val="28"/>
          <w:szCs w:val="28"/>
        </w:rPr>
        <w:t>026 年 4—6 月再次征求委员与行业意见；2026 年 7—11 月提交技术委员会审议，通过后形成报批稿；2026 年 12 月完成规范报批。</w:t>
      </w:r>
      <w:r>
        <w:rPr>
          <w:rFonts w:hint="eastAsia"/>
          <w:color w:val="000000"/>
          <w:sz w:val="28"/>
          <w:szCs w:val="28"/>
        </w:rPr>
        <w:t xml:space="preserve">  </w:t>
      </w:r>
    </w:p>
    <w:p w14:paraId="5E8461E3">
      <w:pPr>
        <w:numPr>
          <w:ilvl w:val="0"/>
          <w:numId w:val="1"/>
        </w:numPr>
        <w:snapToGrid w:val="0"/>
        <w:spacing w:line="360" w:lineRule="auto"/>
        <w:rPr>
          <w:rFonts w:ascii="黑体" w:hAnsi="黑体" w:eastAsia="黑体" w:cs="黑体"/>
          <w:sz w:val="28"/>
          <w:szCs w:val="28"/>
        </w:rPr>
      </w:pPr>
      <w:r>
        <w:rPr>
          <w:rFonts w:hint="eastAsia" w:ascii="黑体" w:hAnsi="黑体" w:eastAsia="黑体" w:cs="黑体"/>
          <w:sz w:val="28"/>
          <w:szCs w:val="28"/>
        </w:rPr>
        <w:t>校准规范的主要内容</w:t>
      </w:r>
    </w:p>
    <w:p w14:paraId="380D18F5">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本规范依据 JJF 1071-2010 编制，共9 章正文、4 个附录，核心内容如下：</w:t>
      </w:r>
    </w:p>
    <w:p w14:paraId="617D249B">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(1)</w:t>
      </w:r>
      <w:r>
        <w:rPr>
          <w:snapToGrid w:val="0"/>
          <w:color w:val="000000" w:themeColor="text1"/>
          <w:kern w:val="0"/>
          <w:sz w:val="28"/>
          <w:szCs w:val="28"/>
        </w:rPr>
        <w:t>范围：明确适用于冶金、铸造等行业电子钢包秤的校准。</w:t>
      </w:r>
    </w:p>
    <w:p w14:paraId="5E71112B">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(2)</w:t>
      </w:r>
      <w:r>
        <w:rPr>
          <w:snapToGrid w:val="0"/>
          <w:color w:val="000000" w:themeColor="text1"/>
          <w:kern w:val="0"/>
          <w:sz w:val="28"/>
          <w:szCs w:val="28"/>
        </w:rPr>
        <w:t>引用文件：列出规范实施所依据的国家计量技术法规与相关标准。</w:t>
      </w:r>
    </w:p>
    <w:p w14:paraId="0A285FF0">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(3)</w:t>
      </w:r>
      <w:r>
        <w:rPr>
          <w:snapToGrid w:val="0"/>
          <w:color w:val="000000" w:themeColor="text1"/>
          <w:kern w:val="0"/>
          <w:sz w:val="28"/>
          <w:szCs w:val="28"/>
        </w:rPr>
        <w:t>术语和计量单位：界定电子钢包秤相关术语，统一计量单位。</w:t>
      </w:r>
    </w:p>
    <w:p w14:paraId="4672DC44">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(4)</w:t>
      </w:r>
      <w:r>
        <w:rPr>
          <w:snapToGrid w:val="0"/>
          <w:color w:val="000000" w:themeColor="text1"/>
          <w:kern w:val="0"/>
          <w:sz w:val="28"/>
          <w:szCs w:val="28"/>
        </w:rPr>
        <w:t>概述：说明设备结构、工作原理与高温、大称量、小承载器的使用特点。</w:t>
      </w:r>
    </w:p>
    <w:p w14:paraId="6BF89E6D">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(5)</w:t>
      </w:r>
      <w:r>
        <w:rPr>
          <w:snapToGrid w:val="0"/>
          <w:color w:val="000000" w:themeColor="text1"/>
          <w:kern w:val="0"/>
          <w:sz w:val="28"/>
          <w:szCs w:val="28"/>
        </w:rPr>
        <w:t>计量特性：规定示值误差、偏载误差、重复性、蠕变、高温漂移等关键指标。</w:t>
      </w:r>
    </w:p>
    <w:p w14:paraId="4AB858BA">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 xml:space="preserve">(6) </w:t>
      </w:r>
      <w:r>
        <w:rPr>
          <w:snapToGrid w:val="0"/>
          <w:color w:val="000000" w:themeColor="text1"/>
          <w:kern w:val="0"/>
          <w:sz w:val="28"/>
          <w:szCs w:val="28"/>
        </w:rPr>
        <w:t>校准条件：明确环境条件、安装状态、标准器具及配套设备要求。</w:t>
      </w:r>
    </w:p>
    <w:p w14:paraId="1E9ABE5C">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(7)</w:t>
      </w:r>
      <w:r>
        <w:rPr>
          <w:snapToGrid w:val="0"/>
          <w:color w:val="000000" w:themeColor="text1"/>
          <w:kern w:val="0"/>
          <w:sz w:val="28"/>
          <w:szCs w:val="28"/>
        </w:rPr>
        <w:t>校准项目和校准方法：规范校准前准备、示值误差、偏载、重复性、蠕变、高温漂移等项目的操作步骤。</w:t>
      </w:r>
    </w:p>
    <w:p w14:paraId="09EFC0D0">
      <w:pPr>
        <w:pStyle w:val="11"/>
        <w:adjustRightInd w:val="0"/>
        <w:snapToGrid w:val="0"/>
        <w:spacing w:line="360" w:lineRule="auto"/>
        <w:ind w:firstLine="495" w:firstLineChars="177"/>
        <w:rPr>
          <w:snapToGrid w:val="0"/>
          <w:color w:val="000000" w:themeColor="text1"/>
          <w:kern w:val="0"/>
          <w:sz w:val="28"/>
          <w:szCs w:val="28"/>
        </w:rPr>
      </w:pPr>
      <w:r>
        <w:rPr>
          <w:rFonts w:hint="eastAsia"/>
          <w:snapToGrid w:val="0"/>
          <w:color w:val="000000" w:themeColor="text1"/>
          <w:kern w:val="0"/>
          <w:sz w:val="28"/>
          <w:szCs w:val="28"/>
        </w:rPr>
        <w:t>(8)</w:t>
      </w:r>
      <w:r>
        <w:rPr>
          <w:snapToGrid w:val="0"/>
          <w:color w:val="000000" w:themeColor="text1"/>
          <w:kern w:val="0"/>
          <w:sz w:val="28"/>
          <w:szCs w:val="28"/>
        </w:rPr>
        <w:t>校准结果：规定校准记录、校准证书的内容与出具要求。</w:t>
      </w:r>
    </w:p>
    <w:p w14:paraId="15464869">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(9)复校时间间隔：建议复校周期，由使用单位根据实际工况确定。</w:t>
      </w:r>
    </w:p>
    <w:p w14:paraId="7E1368E1">
      <w:pPr>
        <w:pStyle w:val="11"/>
        <w:adjustRightInd w:val="0"/>
        <w:snapToGrid w:val="0"/>
        <w:spacing w:line="360" w:lineRule="auto"/>
        <w:ind w:firstLine="495" w:firstLineChars="177"/>
        <w:rPr>
          <w:rFonts w:hint="eastAsia"/>
          <w:snapToGrid w:val="0"/>
          <w:color w:val="000000" w:themeColor="text1"/>
          <w:kern w:val="0"/>
          <w:sz w:val="28"/>
          <w:szCs w:val="28"/>
        </w:rPr>
      </w:pPr>
      <w:r>
        <w:rPr>
          <w:snapToGrid w:val="0"/>
          <w:color w:val="000000" w:themeColor="text1"/>
          <w:kern w:val="0"/>
          <w:sz w:val="28"/>
          <w:szCs w:val="28"/>
        </w:rPr>
        <w:t>(</w:t>
      </w:r>
      <w:r>
        <w:rPr>
          <w:rFonts w:hint="eastAsia"/>
          <w:snapToGrid w:val="0"/>
          <w:color w:val="000000" w:themeColor="text1"/>
          <w:kern w:val="0"/>
          <w:sz w:val="28"/>
          <w:szCs w:val="28"/>
        </w:rPr>
        <w:t>10</w:t>
      </w:r>
      <w:r>
        <w:rPr>
          <w:snapToGrid w:val="0"/>
          <w:color w:val="000000" w:themeColor="text1"/>
          <w:kern w:val="0"/>
          <w:sz w:val="28"/>
          <w:szCs w:val="28"/>
        </w:rPr>
        <w:t>)附录包括：校准记录格式、校准证书内页格式、测量不确定度评定(示例)。</w:t>
      </w:r>
    </w:p>
    <w:p w14:paraId="18047472">
      <w:pPr>
        <w:numPr>
          <w:ilvl w:val="0"/>
          <w:numId w:val="1"/>
        </w:numPr>
        <w:snapToGrid w:val="0"/>
        <w:spacing w:line="520" w:lineRule="exact"/>
        <w:rPr>
          <w:rFonts w:ascii="黑体" w:hAnsi="黑体" w:eastAsia="黑体" w:cs="黑体"/>
          <w:snapToGrid w:val="0"/>
          <w:color w:val="000000"/>
          <w:kern w:val="0"/>
          <w:sz w:val="28"/>
          <w:szCs w:val="28"/>
        </w:rPr>
      </w:pPr>
      <w:r>
        <w:rPr>
          <w:rFonts w:ascii="黑体" w:hAnsi="黑体" w:eastAsia="黑体" w:cs="黑体"/>
          <w:snapToGrid w:val="0"/>
          <w:color w:val="000000"/>
          <w:kern w:val="0"/>
          <w:sz w:val="28"/>
          <w:szCs w:val="28"/>
        </w:rPr>
        <w:t>技术说明</w:t>
      </w:r>
    </w:p>
    <w:p w14:paraId="0F287A4F">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适用场景：聚焦高温、大称量、小承载器的冶金现场电子钢包秤，区别于通用数字指示秤。</w:t>
      </w:r>
    </w:p>
    <w:p w14:paraId="57B0732B">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校准项目：新增高温漂移等特色项目，适配现场高温工况。</w:t>
      </w:r>
    </w:p>
    <w:p w14:paraId="021331E8">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校准方法：采用行业公认的闪变点法、扩展指示法，保证可操作性与结果一致性。</w:t>
      </w:r>
    </w:p>
    <w:p w14:paraId="1D2E027E">
      <w:pPr>
        <w:pStyle w:val="11"/>
        <w:adjustRightInd w:val="0"/>
        <w:snapToGrid w:val="0"/>
        <w:spacing w:line="360" w:lineRule="auto"/>
        <w:ind w:firstLine="495" w:firstLineChars="177"/>
        <w:rPr>
          <w:snapToGrid w:val="0"/>
          <w:color w:val="000000" w:themeColor="text1"/>
          <w:kern w:val="0"/>
          <w:sz w:val="28"/>
          <w:szCs w:val="28"/>
        </w:rPr>
      </w:pPr>
      <w:r>
        <w:rPr>
          <w:snapToGrid w:val="0"/>
          <w:color w:val="000000" w:themeColor="text1"/>
          <w:kern w:val="0"/>
          <w:sz w:val="28"/>
          <w:szCs w:val="28"/>
        </w:rPr>
        <w:t>不确定度：给出完整评定示例，便于各级计量机构使用</w:t>
      </w:r>
    </w:p>
    <w:p w14:paraId="3BA67B67">
      <w:pPr>
        <w:numPr>
          <w:ilvl w:val="0"/>
          <w:numId w:val="1"/>
        </w:numPr>
        <w:snapToGrid w:val="0"/>
        <w:spacing w:line="520" w:lineRule="exact"/>
        <w:rPr>
          <w:rFonts w:ascii="黑体" w:hAnsi="黑体" w:eastAsia="黑体" w:cs="黑体"/>
          <w:snapToGrid w:val="0"/>
          <w:color w:val="000000"/>
          <w:kern w:val="0"/>
          <w:sz w:val="28"/>
          <w:szCs w:val="28"/>
        </w:rPr>
      </w:pPr>
      <w:r>
        <w:rPr>
          <w:rFonts w:hint="eastAsia" w:ascii="黑体" w:hAnsi="黑体" w:eastAsia="黑体" w:cs="黑体"/>
          <w:snapToGrid w:val="0"/>
          <w:color w:val="000000"/>
          <w:kern w:val="0"/>
          <w:sz w:val="28"/>
          <w:szCs w:val="28"/>
        </w:rPr>
        <w:t>工作小结</w:t>
      </w:r>
    </w:p>
    <w:p w14:paraId="6549151D">
      <w:pPr>
        <w:snapToGrid w:val="0"/>
        <w:spacing w:line="520" w:lineRule="exact"/>
        <w:ind w:firstLine="560" w:firstLineChars="200"/>
        <w:rPr>
          <w:rFonts w:ascii="宋体" w:hAnsi="宋体" w:cs="Arial"/>
          <w:sz w:val="28"/>
          <w:szCs w:val="28"/>
        </w:rPr>
      </w:pPr>
      <w:r>
        <w:rPr>
          <w:rFonts w:ascii="宋体" w:hAnsi="宋体" w:cs="Arial"/>
          <w:sz w:val="28"/>
          <w:szCs w:val="28"/>
        </w:rPr>
        <w:t>本规范为首次制定的国家计量校准规范，填补了我国电子钢包秤无统一国家校准依据的空白，能够有效统一全国校准方法、保障量值准确可靠。编制组经广泛调研、试验验证与多轮修改，已形成技术科学、内容完整、可操作性强的征求意见稿。</w:t>
      </w:r>
    </w:p>
    <w:p w14:paraId="53578CF1">
      <w:pPr>
        <w:snapToGrid w:val="0"/>
        <w:spacing w:line="520" w:lineRule="exact"/>
        <w:ind w:firstLine="560" w:firstLineChars="200"/>
        <w:rPr>
          <w:rFonts w:ascii="宋体" w:hAnsi="宋体"/>
          <w:snapToGrid w:val="0"/>
          <w:color w:val="000000"/>
          <w:kern w:val="0"/>
          <w:sz w:val="28"/>
          <w:szCs w:val="28"/>
        </w:rPr>
      </w:pPr>
      <w:r>
        <w:rPr>
          <w:rFonts w:hint="eastAsia" w:ascii="宋体" w:hAnsi="宋体"/>
          <w:snapToGrid w:val="0"/>
          <w:color w:val="000000"/>
          <w:kern w:val="0"/>
          <w:sz w:val="28"/>
          <w:szCs w:val="28"/>
        </w:rPr>
        <w:t>由于我们的水平和能力有限，难免有些差错和考虑不周之处，</w:t>
      </w:r>
      <w:r>
        <w:rPr>
          <w:rFonts w:ascii="宋体" w:hAnsi="宋体" w:cs="Arial"/>
          <w:sz w:val="28"/>
          <w:szCs w:val="28"/>
        </w:rPr>
        <w:t>恳请衡器计量技术委员会各位委员、专家提出修改意见，起草组将按程序认真吸纳、完善内容，按期完成规范制定工作。</w:t>
      </w:r>
      <w:r>
        <w:rPr>
          <w:rFonts w:hint="eastAsia" w:ascii="宋体" w:hAnsi="宋体"/>
          <w:snapToGrid w:val="0"/>
          <w:color w:val="000000"/>
          <w:kern w:val="0"/>
          <w:sz w:val="28"/>
          <w:szCs w:val="28"/>
        </w:rPr>
        <w:t>在此，向为我们提出意见并付出辛勤劳动的专家委员和有关单位致以真诚感谢。</w:t>
      </w:r>
    </w:p>
    <w:p w14:paraId="26B6EE68">
      <w:pPr>
        <w:snapToGrid w:val="0"/>
        <w:spacing w:line="520" w:lineRule="exact"/>
        <w:ind w:firstLine="560" w:firstLineChars="200"/>
        <w:jc w:val="right"/>
        <w:rPr>
          <w:rFonts w:hint="eastAsia" w:ascii="宋体" w:hAnsi="宋体"/>
          <w:snapToGrid w:val="0"/>
          <w:color w:val="000000"/>
          <w:kern w:val="0"/>
          <w:sz w:val="28"/>
          <w:szCs w:val="28"/>
        </w:rPr>
      </w:pPr>
    </w:p>
    <w:p w14:paraId="1179140F">
      <w:pPr>
        <w:snapToGrid w:val="0"/>
        <w:spacing w:line="520" w:lineRule="exact"/>
        <w:ind w:firstLine="560" w:firstLineChars="200"/>
        <w:jc w:val="right"/>
        <w:rPr>
          <w:rFonts w:ascii="宋体" w:hAnsi="宋体"/>
          <w:snapToGrid w:val="0"/>
          <w:color w:val="000000"/>
          <w:kern w:val="0"/>
          <w:sz w:val="28"/>
          <w:szCs w:val="28"/>
        </w:rPr>
      </w:pPr>
      <w:r>
        <w:rPr>
          <w:rFonts w:ascii="宋体" w:hAnsi="宋体"/>
          <w:snapToGrid w:val="0"/>
          <w:color w:val="000000"/>
          <w:kern w:val="0"/>
          <w:sz w:val="28"/>
          <w:szCs w:val="28"/>
        </w:rPr>
        <w:t>《</w:t>
      </w:r>
      <w:r>
        <w:rPr>
          <w:rFonts w:hint="eastAsia" w:ascii="宋体" w:hAnsi="宋体"/>
          <w:snapToGrid w:val="0"/>
          <w:color w:val="000000"/>
          <w:kern w:val="0"/>
          <w:sz w:val="28"/>
          <w:szCs w:val="28"/>
        </w:rPr>
        <w:t>电子钢包秤校准规范</w:t>
      </w:r>
      <w:r>
        <w:rPr>
          <w:rFonts w:ascii="宋体" w:hAnsi="宋体"/>
          <w:snapToGrid w:val="0"/>
          <w:color w:val="000000"/>
          <w:kern w:val="0"/>
          <w:sz w:val="28"/>
          <w:szCs w:val="28"/>
        </w:rPr>
        <w:t>》起草小组</w:t>
      </w:r>
    </w:p>
    <w:p w14:paraId="0EDECB34">
      <w:pPr>
        <w:snapToGrid w:val="0"/>
        <w:spacing w:line="360" w:lineRule="auto"/>
        <w:ind w:right="560" w:firstLine="560" w:firstLineChars="200"/>
        <w:rPr>
          <w:rFonts w:hint="eastAsia" w:ascii="宋体" w:hAnsi="宋体"/>
          <w:snapToGrid w:val="0"/>
          <w:color w:val="000000"/>
          <w:kern w:val="0"/>
          <w:sz w:val="28"/>
          <w:szCs w:val="28"/>
        </w:rPr>
      </w:pPr>
      <w:r>
        <w:rPr>
          <w:rFonts w:hint="eastAsia" w:ascii="宋体" w:hAnsi="宋体"/>
          <w:snapToGrid w:val="0"/>
          <w:color w:val="000000"/>
          <w:kern w:val="0"/>
          <w:sz w:val="28"/>
          <w:szCs w:val="28"/>
        </w:rPr>
        <w:t xml:space="preserve">                                   </w:t>
      </w:r>
    </w:p>
    <w:p w14:paraId="15D5D437">
      <w:pPr>
        <w:snapToGrid w:val="0"/>
        <w:spacing w:line="360" w:lineRule="auto"/>
        <w:ind w:right="560" w:firstLine="560" w:firstLineChars="200"/>
        <w:rPr>
          <w:rFonts w:ascii="宋体" w:hAnsi="宋体"/>
          <w:snapToGrid w:val="0"/>
          <w:color w:val="000000"/>
          <w:kern w:val="0"/>
          <w:sz w:val="28"/>
          <w:szCs w:val="28"/>
        </w:rPr>
      </w:pPr>
      <w:r>
        <w:rPr>
          <w:rFonts w:hint="eastAsia" w:ascii="宋体" w:hAnsi="宋体"/>
          <w:snapToGrid w:val="0"/>
          <w:color w:val="000000"/>
          <w:kern w:val="0"/>
          <w:sz w:val="28"/>
          <w:szCs w:val="28"/>
        </w:rPr>
        <w:t xml:space="preserve">                                  </w:t>
      </w:r>
      <w:r>
        <w:rPr>
          <w:rFonts w:ascii="宋体" w:hAnsi="宋体"/>
          <w:snapToGrid w:val="0"/>
          <w:color w:val="000000"/>
          <w:kern w:val="0"/>
          <w:sz w:val="28"/>
          <w:szCs w:val="28"/>
        </w:rPr>
        <w:t>20</w:t>
      </w:r>
      <w:r>
        <w:rPr>
          <w:rFonts w:hint="eastAsia" w:ascii="宋体" w:hAnsi="宋体"/>
          <w:snapToGrid w:val="0"/>
          <w:color w:val="000000"/>
          <w:kern w:val="0"/>
          <w:sz w:val="28"/>
          <w:szCs w:val="28"/>
        </w:rPr>
        <w:t>26</w:t>
      </w:r>
      <w:r>
        <w:rPr>
          <w:rFonts w:ascii="宋体" w:hAnsi="宋体"/>
          <w:snapToGrid w:val="0"/>
          <w:color w:val="000000"/>
          <w:kern w:val="0"/>
          <w:sz w:val="28"/>
          <w:szCs w:val="28"/>
        </w:rPr>
        <w:t>年</w:t>
      </w:r>
      <w:r>
        <w:rPr>
          <w:rFonts w:hint="eastAsia" w:ascii="宋体" w:hAnsi="宋体"/>
          <w:snapToGrid w:val="0"/>
          <w:color w:val="000000"/>
          <w:kern w:val="0"/>
          <w:sz w:val="28"/>
          <w:szCs w:val="28"/>
        </w:rPr>
        <w:t>4</w:t>
      </w:r>
      <w:r>
        <w:rPr>
          <w:rFonts w:ascii="宋体" w:hAnsi="宋体"/>
          <w:snapToGrid w:val="0"/>
          <w:color w:val="000000"/>
          <w:kern w:val="0"/>
          <w:sz w:val="28"/>
          <w:szCs w:val="28"/>
        </w:rPr>
        <w:t>月</w:t>
      </w:r>
    </w:p>
    <w:p w14:paraId="40F32EDC">
      <w:pPr>
        <w:snapToGrid w:val="0"/>
        <w:spacing w:line="360" w:lineRule="auto"/>
        <w:ind w:firstLine="560" w:firstLineChars="200"/>
        <w:rPr>
          <w:rFonts w:ascii="黑体" w:hAnsi="黑体" w:eastAsia="黑体" w:cs="黑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imesNewRomanPSMT">
    <w:altName w:val="Times New Roman"/>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E1165">
    <w:pPr>
      <w:pStyle w:val="5"/>
      <w:jc w:val="center"/>
    </w:pPr>
    <w:r>
      <w:rPr>
        <w:rStyle w:val="10"/>
      </w:rPr>
      <w:fldChar w:fldCharType="begin"/>
    </w:r>
    <w:r>
      <w:rPr>
        <w:rStyle w:val="10"/>
      </w:rPr>
      <w:instrText xml:space="preserve"> PAGE </w:instrText>
    </w:r>
    <w:r>
      <w:rPr>
        <w:rStyle w:val="10"/>
      </w:rPr>
      <w:fldChar w:fldCharType="separate"/>
    </w:r>
    <w:r>
      <w:rPr>
        <w:rStyle w:val="10"/>
      </w:rPr>
      <w:t>7</w:t>
    </w:r>
    <w:r>
      <w:rPr>
        <w:rStyle w:val="1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F1C12">
    <w:pPr>
      <w:pStyle w:val="5"/>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14:paraId="0072E9A9">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8092">
    <w:pPr>
      <w:pStyle w:val="5"/>
      <w:jc w:val="center"/>
    </w:pPr>
    <w:r>
      <w:rPr>
        <w:rStyle w:val="10"/>
      </w:rPr>
      <w:fldChar w:fldCharType="begin"/>
    </w:r>
    <w:r>
      <w:rPr>
        <w:rStyle w:val="10"/>
      </w:rPr>
      <w:instrText xml:space="preserve"> PAGE </w:instrText>
    </w:r>
    <w:r>
      <w:rPr>
        <w:rStyle w:val="10"/>
      </w:rPr>
      <w:fldChar w:fldCharType="separate"/>
    </w:r>
    <w:r>
      <w:rPr>
        <w:rStyle w:val="10"/>
      </w:rPr>
      <w:t>1</w:t>
    </w:r>
    <w:r>
      <w:rPr>
        <w:rStyle w:val="10"/>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D29EAF"/>
    <w:multiLevelType w:val="multilevel"/>
    <w:tmpl w:val="78D29EAF"/>
    <w:lvl w:ilvl="0" w:tentative="0">
      <w:start w:val="1"/>
      <w:numFmt w:val="decimal"/>
      <w:lvlText w:val="%1."/>
      <w:lvlJc w:val="left"/>
      <w:pPr>
        <w:ind w:left="425" w:hanging="425"/>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B822B05"/>
    <w:rsid w:val="0002209A"/>
    <w:rsid w:val="00122028"/>
    <w:rsid w:val="00150CC3"/>
    <w:rsid w:val="00253475"/>
    <w:rsid w:val="00282850"/>
    <w:rsid w:val="002E32EF"/>
    <w:rsid w:val="003059BD"/>
    <w:rsid w:val="0033243C"/>
    <w:rsid w:val="003A590C"/>
    <w:rsid w:val="003F6F12"/>
    <w:rsid w:val="004F4E87"/>
    <w:rsid w:val="00504944"/>
    <w:rsid w:val="005B1F2E"/>
    <w:rsid w:val="005F65BF"/>
    <w:rsid w:val="005F7FF2"/>
    <w:rsid w:val="00607F9C"/>
    <w:rsid w:val="006727A6"/>
    <w:rsid w:val="006B53A7"/>
    <w:rsid w:val="00771764"/>
    <w:rsid w:val="007B51F2"/>
    <w:rsid w:val="007D0D4F"/>
    <w:rsid w:val="008668DB"/>
    <w:rsid w:val="008A04B2"/>
    <w:rsid w:val="008A59F9"/>
    <w:rsid w:val="008B6CEB"/>
    <w:rsid w:val="008C0734"/>
    <w:rsid w:val="008C6578"/>
    <w:rsid w:val="008F6702"/>
    <w:rsid w:val="009204AD"/>
    <w:rsid w:val="00934A02"/>
    <w:rsid w:val="00936859"/>
    <w:rsid w:val="00952A83"/>
    <w:rsid w:val="009D5363"/>
    <w:rsid w:val="00A80D37"/>
    <w:rsid w:val="00A92DA2"/>
    <w:rsid w:val="00A96965"/>
    <w:rsid w:val="00AB0D81"/>
    <w:rsid w:val="00AB6AA4"/>
    <w:rsid w:val="00AD078F"/>
    <w:rsid w:val="00AE5E13"/>
    <w:rsid w:val="00AF7967"/>
    <w:rsid w:val="00B51147"/>
    <w:rsid w:val="00B84F91"/>
    <w:rsid w:val="00BE3737"/>
    <w:rsid w:val="00C11F86"/>
    <w:rsid w:val="00C17A2C"/>
    <w:rsid w:val="00CE201F"/>
    <w:rsid w:val="00DB1711"/>
    <w:rsid w:val="00DF6769"/>
    <w:rsid w:val="00E06C0A"/>
    <w:rsid w:val="00E81DC5"/>
    <w:rsid w:val="00EC5A98"/>
    <w:rsid w:val="00EF0ED6"/>
    <w:rsid w:val="00F05102"/>
    <w:rsid w:val="00F22BE9"/>
    <w:rsid w:val="00F950FF"/>
    <w:rsid w:val="00FD544A"/>
    <w:rsid w:val="0F0F4602"/>
    <w:rsid w:val="0F92329F"/>
    <w:rsid w:val="26A26E53"/>
    <w:rsid w:val="2D307341"/>
    <w:rsid w:val="323D4E62"/>
    <w:rsid w:val="3F2A531C"/>
    <w:rsid w:val="44391587"/>
    <w:rsid w:val="498A5D35"/>
    <w:rsid w:val="4B822B05"/>
    <w:rsid w:val="522F7A76"/>
    <w:rsid w:val="697C1F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link w:val="17"/>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3"/>
    <w:unhideWhenUsed/>
    <w:qFormat/>
    <w:uiPriority w:val="99"/>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styleId="10">
    <w:name w:val="page number"/>
    <w:basedOn w:val="8"/>
    <w:qFormat/>
    <w:uiPriority w:val="0"/>
  </w:style>
  <w:style w:type="paragraph" w:customStyle="1" w:styleId="11">
    <w:name w:val="大纲正文样式"/>
    <w:basedOn w:val="1"/>
    <w:qFormat/>
    <w:uiPriority w:val="0"/>
    <w:pPr>
      <w:tabs>
        <w:tab w:val="left" w:pos="540"/>
      </w:tabs>
      <w:spacing w:line="300" w:lineRule="auto"/>
      <w:ind w:firstLine="200" w:firstLineChars="200"/>
    </w:pPr>
    <w:rPr>
      <w:color w:val="000000"/>
      <w:sz w:val="24"/>
    </w:rPr>
  </w:style>
  <w:style w:type="character" w:customStyle="1" w:styleId="12">
    <w:name w:val="页眉 Char"/>
    <w:basedOn w:val="8"/>
    <w:link w:val="6"/>
    <w:uiPriority w:val="0"/>
    <w:rPr>
      <w:rFonts w:ascii="Times New Roman" w:hAnsi="Times New Roman"/>
      <w:kern w:val="2"/>
      <w:sz w:val="18"/>
      <w:szCs w:val="18"/>
    </w:rPr>
  </w:style>
  <w:style w:type="character" w:customStyle="1" w:styleId="13">
    <w:name w:val="批注文字 Char"/>
    <w:basedOn w:val="8"/>
    <w:link w:val="3"/>
    <w:qFormat/>
    <w:uiPriority w:val="99"/>
    <w:rPr>
      <w:rFonts w:ascii="Times New Roman" w:hAnsi="Times New Roman"/>
      <w:kern w:val="2"/>
      <w:sz w:val="21"/>
      <w:szCs w:val="24"/>
    </w:rPr>
  </w:style>
  <w:style w:type="character" w:customStyle="1" w:styleId="14">
    <w:name w:val="批注框文本 Char"/>
    <w:basedOn w:val="8"/>
    <w:link w:val="4"/>
    <w:uiPriority w:val="0"/>
    <w:rPr>
      <w:rFonts w:ascii="Times New Roman" w:hAnsi="Times New Roman"/>
      <w:kern w:val="2"/>
      <w:sz w:val="18"/>
      <w:szCs w:val="18"/>
    </w:rPr>
  </w:style>
  <w:style w:type="paragraph" w:customStyle="1" w:styleId="15">
    <w:name w:val="ds-markdown-paragraph"/>
    <w:basedOn w:val="1"/>
    <w:qFormat/>
    <w:uiPriority w:val="0"/>
    <w:pPr>
      <w:widowControl/>
      <w:spacing w:before="100" w:beforeAutospacing="1" w:after="100" w:afterAutospacing="1"/>
      <w:jc w:val="left"/>
    </w:pPr>
    <w:rPr>
      <w:rFonts w:ascii="宋体" w:hAnsi="宋体" w:cs="宋体"/>
      <w:kern w:val="0"/>
      <w:sz w:val="24"/>
    </w:rPr>
  </w:style>
  <w:style w:type="paragraph" w:styleId="16">
    <w:name w:val="List Paragraph"/>
    <w:basedOn w:val="1"/>
    <w:unhideWhenUsed/>
    <w:uiPriority w:val="99"/>
    <w:pPr>
      <w:ind w:firstLine="420" w:firstLineChars="200"/>
    </w:pPr>
  </w:style>
  <w:style w:type="character" w:customStyle="1" w:styleId="17">
    <w:name w:val="标题 2 Char"/>
    <w:basedOn w:val="8"/>
    <w:link w:val="2"/>
    <w:qFormat/>
    <w:uiPriority w:val="9"/>
    <w:rPr>
      <w:rFonts w:ascii="宋体" w:hAnsi="宋体" w:cs="宋体"/>
      <w:b/>
      <w:bCs/>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3053</Words>
  <Characters>3283</Characters>
  <Lines>24</Lines>
  <Paragraphs>6</Paragraphs>
  <TotalTime>166</TotalTime>
  <ScaleCrop>false</ScaleCrop>
  <LinksUpToDate>false</LinksUpToDate>
  <CharactersWithSpaces>3408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2026-04-15T06:22:00Z</dcterms:created>
  <dc:creator>-</dc:creator>
  <cp:lastModifiedBy>sdb163</cp:lastModifiedBy>
  <cp:lastPrinted>2020-04-15T05:13:00Z</cp:lastPrinted>
  <dcterms:modified xsi:type="dcterms:W3CDTF">2026-04-28T10:17:59Z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eyJoZGlkIjoiMmQwOTg0MDViMTIxZDkwMGYwMzk2ZTY3MjMyOTc3OTQiLCJ1c2VySWQiOiI0MzM0MDQzNjgifQ==</vt:lpwstr>
  </property>
  <property fmtid="{D5CDD505-2E9C-101B-9397-08002B2CF9AE}" pid="4" name="ICV">
    <vt:lpwstr>9A3DCCF0302B4E4EAFB685B0942D9BF4_12</vt:lpwstr>
  </property>
</Properties>
</file>