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F8BC2">
      <w:pPr>
        <w:keepNext w:val="0"/>
        <w:keepLines w:val="0"/>
        <w:pageBreakBefore w:val="0"/>
        <w:kinsoku/>
        <w:wordWrap/>
        <w:overflowPunct/>
        <w:topLinePunct w:val="0"/>
        <w:bidi w:val="0"/>
        <w:spacing w:line="240" w:lineRule="auto"/>
        <w:textAlignment w:val="auto"/>
        <w:rPr>
          <w:rFonts w:eastAsia="黑体"/>
          <w:sz w:val="28"/>
          <w:szCs w:val="28"/>
        </w:rPr>
      </w:pPr>
    </w:p>
    <w:p w14:paraId="17FDC019">
      <w:pPr>
        <w:keepNext w:val="0"/>
        <w:keepLines w:val="0"/>
        <w:pageBreakBefore w:val="0"/>
        <w:kinsoku/>
        <w:wordWrap/>
        <w:overflowPunct/>
        <w:topLinePunct w:val="0"/>
        <w:bidi w:val="0"/>
        <w:spacing w:line="240" w:lineRule="auto"/>
        <w:jc w:val="center"/>
        <w:textAlignment w:val="auto"/>
        <w:rPr>
          <w:b/>
          <w:sz w:val="28"/>
          <w:szCs w:val="28"/>
        </w:rPr>
      </w:pPr>
    </w:p>
    <w:p w14:paraId="364AB3AF">
      <w:pPr>
        <w:keepNext w:val="0"/>
        <w:keepLines w:val="0"/>
        <w:pageBreakBefore w:val="0"/>
        <w:kinsoku/>
        <w:wordWrap/>
        <w:overflowPunct/>
        <w:topLinePunct w:val="0"/>
        <w:bidi w:val="0"/>
        <w:spacing w:line="240" w:lineRule="auto"/>
        <w:jc w:val="center"/>
        <w:textAlignment w:val="auto"/>
        <w:rPr>
          <w:b/>
          <w:sz w:val="28"/>
          <w:szCs w:val="28"/>
        </w:rPr>
      </w:pPr>
    </w:p>
    <w:p w14:paraId="4CD69B78">
      <w:pPr>
        <w:keepNext w:val="0"/>
        <w:keepLines w:val="0"/>
        <w:pageBreakBefore w:val="0"/>
        <w:kinsoku/>
        <w:wordWrap/>
        <w:overflowPunct/>
        <w:topLinePunct w:val="0"/>
        <w:bidi w:val="0"/>
        <w:spacing w:line="240" w:lineRule="auto"/>
        <w:jc w:val="center"/>
        <w:textAlignment w:val="auto"/>
        <w:rPr>
          <w:rFonts w:asciiTheme="majorEastAsia" w:hAnsiTheme="majorEastAsia" w:eastAsiaTheme="majorEastAsia" w:cstheme="majorEastAsia"/>
          <w:b/>
          <w:sz w:val="44"/>
          <w:szCs w:val="44"/>
        </w:rPr>
      </w:pPr>
      <w:r>
        <w:rPr>
          <w:rFonts w:hint="eastAsia" w:asciiTheme="majorEastAsia" w:hAnsiTheme="majorEastAsia" w:eastAsiaTheme="majorEastAsia" w:cstheme="majorEastAsia"/>
          <w:b/>
          <w:sz w:val="44"/>
          <w:szCs w:val="44"/>
        </w:rPr>
        <w:t>《数字指示秤》国家计量检定规程</w:t>
      </w:r>
    </w:p>
    <w:p w14:paraId="0F8D3E28">
      <w:pPr>
        <w:keepNext w:val="0"/>
        <w:keepLines w:val="0"/>
        <w:pageBreakBefore w:val="0"/>
        <w:kinsoku/>
        <w:wordWrap/>
        <w:overflowPunct/>
        <w:topLinePunct w:val="0"/>
        <w:bidi w:val="0"/>
        <w:spacing w:line="240" w:lineRule="auto"/>
        <w:jc w:val="center"/>
        <w:textAlignment w:val="auto"/>
        <w:rPr>
          <w:rFonts w:ascii="黑体"/>
          <w:sz w:val="44"/>
          <w:szCs w:val="44"/>
        </w:rPr>
      </w:pPr>
    </w:p>
    <w:p w14:paraId="27EB15DE">
      <w:pPr>
        <w:keepNext w:val="0"/>
        <w:keepLines w:val="0"/>
        <w:pageBreakBefore w:val="0"/>
        <w:kinsoku/>
        <w:wordWrap/>
        <w:overflowPunct/>
        <w:topLinePunct w:val="0"/>
        <w:bidi w:val="0"/>
        <w:spacing w:line="240" w:lineRule="auto"/>
        <w:jc w:val="center"/>
        <w:textAlignment w:val="auto"/>
        <w:rPr>
          <w:rFonts w:ascii="黑体" w:eastAsia="黑体"/>
          <w:sz w:val="44"/>
          <w:szCs w:val="44"/>
        </w:rPr>
      </w:pPr>
      <w:r>
        <w:rPr>
          <w:rFonts w:hint="eastAsia" w:ascii="黑体" w:eastAsia="黑体"/>
          <w:sz w:val="44"/>
          <w:szCs w:val="44"/>
        </w:rPr>
        <w:t>编制说明</w:t>
      </w:r>
    </w:p>
    <w:p w14:paraId="007D0EF3">
      <w:pPr>
        <w:keepNext w:val="0"/>
        <w:keepLines w:val="0"/>
        <w:pageBreakBefore w:val="0"/>
        <w:kinsoku/>
        <w:wordWrap/>
        <w:overflowPunct/>
        <w:topLinePunct w:val="0"/>
        <w:bidi w:val="0"/>
        <w:spacing w:line="240" w:lineRule="auto"/>
        <w:jc w:val="center"/>
        <w:textAlignment w:val="auto"/>
        <w:rPr>
          <w:rFonts w:ascii="黑体" w:eastAsia="黑体"/>
          <w:sz w:val="44"/>
          <w:szCs w:val="44"/>
        </w:rPr>
      </w:pPr>
    </w:p>
    <w:p w14:paraId="2E9335FE">
      <w:pPr>
        <w:keepNext w:val="0"/>
        <w:keepLines w:val="0"/>
        <w:pageBreakBefore w:val="0"/>
        <w:kinsoku/>
        <w:wordWrap/>
        <w:overflowPunct/>
        <w:topLinePunct w:val="0"/>
        <w:bidi w:val="0"/>
        <w:spacing w:line="240" w:lineRule="auto"/>
        <w:ind w:left="1399" w:firstLine="562"/>
        <w:textAlignment w:val="auto"/>
        <w:rPr>
          <w:rFonts w:ascii="黑体" w:eastAsia="黑体"/>
          <w:sz w:val="44"/>
          <w:szCs w:val="44"/>
        </w:rPr>
      </w:pPr>
    </w:p>
    <w:p w14:paraId="2C1C95C9">
      <w:pPr>
        <w:keepNext w:val="0"/>
        <w:keepLines w:val="0"/>
        <w:pageBreakBefore w:val="0"/>
        <w:kinsoku/>
        <w:wordWrap/>
        <w:overflowPunct/>
        <w:topLinePunct w:val="0"/>
        <w:bidi w:val="0"/>
        <w:spacing w:line="240" w:lineRule="auto"/>
        <w:ind w:left="1399" w:firstLine="562"/>
        <w:textAlignment w:val="auto"/>
        <w:rPr>
          <w:rFonts w:ascii="黑体" w:eastAsia="黑体"/>
          <w:sz w:val="28"/>
          <w:szCs w:val="28"/>
        </w:rPr>
      </w:pPr>
    </w:p>
    <w:p w14:paraId="05AE0349">
      <w:pPr>
        <w:keepNext w:val="0"/>
        <w:keepLines w:val="0"/>
        <w:pageBreakBefore w:val="0"/>
        <w:kinsoku/>
        <w:wordWrap/>
        <w:overflowPunct/>
        <w:topLinePunct w:val="0"/>
        <w:bidi w:val="0"/>
        <w:spacing w:line="240" w:lineRule="auto"/>
        <w:ind w:left="1399" w:firstLine="562"/>
        <w:textAlignment w:val="auto"/>
        <w:rPr>
          <w:rFonts w:ascii="黑体" w:eastAsia="黑体"/>
          <w:sz w:val="28"/>
          <w:szCs w:val="28"/>
        </w:rPr>
      </w:pPr>
    </w:p>
    <w:p w14:paraId="472BEED7">
      <w:pPr>
        <w:keepNext w:val="0"/>
        <w:keepLines w:val="0"/>
        <w:pageBreakBefore w:val="0"/>
        <w:kinsoku/>
        <w:wordWrap/>
        <w:overflowPunct/>
        <w:topLinePunct w:val="0"/>
        <w:bidi w:val="0"/>
        <w:spacing w:line="240" w:lineRule="auto"/>
        <w:ind w:left="1399" w:firstLine="562"/>
        <w:textAlignment w:val="auto"/>
        <w:rPr>
          <w:rFonts w:ascii="黑体" w:eastAsia="黑体"/>
          <w:sz w:val="28"/>
          <w:szCs w:val="28"/>
        </w:rPr>
      </w:pPr>
    </w:p>
    <w:p w14:paraId="16DE7767">
      <w:pPr>
        <w:keepNext w:val="0"/>
        <w:keepLines w:val="0"/>
        <w:pageBreakBefore w:val="0"/>
        <w:kinsoku/>
        <w:wordWrap/>
        <w:overflowPunct/>
        <w:topLinePunct w:val="0"/>
        <w:bidi w:val="0"/>
        <w:spacing w:line="240" w:lineRule="auto"/>
        <w:textAlignment w:val="auto"/>
        <w:rPr>
          <w:rFonts w:ascii="黑体" w:eastAsia="黑体"/>
          <w:sz w:val="28"/>
          <w:szCs w:val="28"/>
        </w:rPr>
      </w:pPr>
    </w:p>
    <w:p w14:paraId="76118636">
      <w:pPr>
        <w:keepNext w:val="0"/>
        <w:keepLines w:val="0"/>
        <w:pageBreakBefore w:val="0"/>
        <w:kinsoku/>
        <w:wordWrap/>
        <w:overflowPunct/>
        <w:topLinePunct w:val="0"/>
        <w:bidi w:val="0"/>
        <w:spacing w:line="240" w:lineRule="auto"/>
        <w:ind w:firstLine="562"/>
        <w:textAlignment w:val="auto"/>
        <w:rPr>
          <w:rFonts w:eastAsia="黑体"/>
          <w:sz w:val="28"/>
          <w:szCs w:val="28"/>
        </w:rPr>
      </w:pPr>
    </w:p>
    <w:p w14:paraId="545805A9">
      <w:pPr>
        <w:keepNext w:val="0"/>
        <w:keepLines w:val="0"/>
        <w:pageBreakBefore w:val="0"/>
        <w:kinsoku/>
        <w:wordWrap/>
        <w:overflowPunct/>
        <w:topLinePunct w:val="0"/>
        <w:bidi w:val="0"/>
        <w:spacing w:line="240" w:lineRule="auto"/>
        <w:ind w:firstLine="3500" w:firstLineChars="1250"/>
        <w:textAlignment w:val="auto"/>
        <w:rPr>
          <w:rFonts w:eastAsia="黑体"/>
          <w:sz w:val="28"/>
          <w:szCs w:val="28"/>
        </w:rPr>
      </w:pPr>
    </w:p>
    <w:p w14:paraId="7E1CB057">
      <w:pPr>
        <w:keepNext w:val="0"/>
        <w:keepLines w:val="0"/>
        <w:pageBreakBefore w:val="0"/>
        <w:kinsoku/>
        <w:wordWrap/>
        <w:overflowPunct/>
        <w:topLinePunct w:val="0"/>
        <w:bidi w:val="0"/>
        <w:spacing w:line="240" w:lineRule="auto"/>
        <w:ind w:firstLine="3500" w:firstLineChars="1250"/>
        <w:textAlignment w:val="auto"/>
        <w:rPr>
          <w:rFonts w:eastAsia="黑体"/>
          <w:sz w:val="28"/>
          <w:szCs w:val="28"/>
        </w:rPr>
      </w:pPr>
    </w:p>
    <w:p w14:paraId="227F2474">
      <w:pPr>
        <w:keepNext w:val="0"/>
        <w:keepLines w:val="0"/>
        <w:pageBreakBefore w:val="0"/>
        <w:kinsoku/>
        <w:wordWrap/>
        <w:overflowPunct/>
        <w:topLinePunct w:val="0"/>
        <w:bidi w:val="0"/>
        <w:spacing w:line="240" w:lineRule="auto"/>
        <w:ind w:firstLine="3500" w:firstLineChars="1250"/>
        <w:textAlignment w:val="auto"/>
        <w:rPr>
          <w:rFonts w:eastAsia="黑体"/>
          <w:sz w:val="28"/>
          <w:szCs w:val="28"/>
        </w:rPr>
      </w:pPr>
    </w:p>
    <w:p w14:paraId="2282A3DC">
      <w:pPr>
        <w:keepNext w:val="0"/>
        <w:keepLines w:val="0"/>
        <w:pageBreakBefore w:val="0"/>
        <w:kinsoku/>
        <w:wordWrap/>
        <w:overflowPunct/>
        <w:topLinePunct w:val="0"/>
        <w:bidi w:val="0"/>
        <w:spacing w:line="240" w:lineRule="auto"/>
        <w:jc w:val="center"/>
        <w:textAlignment w:val="auto"/>
        <w:rPr>
          <w:rFonts w:eastAsia="黑体"/>
          <w:b/>
          <w:sz w:val="28"/>
          <w:szCs w:val="28"/>
        </w:rPr>
      </w:pPr>
      <w:r>
        <w:rPr>
          <w:rFonts w:hint="eastAsia"/>
          <w:b/>
          <w:sz w:val="28"/>
          <w:szCs w:val="28"/>
        </w:rPr>
        <w:t>《数字指示秤》国家计量检定规程</w:t>
      </w:r>
      <w:r>
        <w:rPr>
          <w:rFonts w:hint="eastAsia" w:ascii="宋体" w:hAnsi="宋体"/>
          <w:b/>
          <w:sz w:val="28"/>
          <w:szCs w:val="28"/>
        </w:rPr>
        <w:t>起草小组</w:t>
      </w:r>
    </w:p>
    <w:p w14:paraId="4B4150E2">
      <w:pPr>
        <w:keepNext w:val="0"/>
        <w:keepLines w:val="0"/>
        <w:pageBreakBefore w:val="0"/>
        <w:kinsoku/>
        <w:wordWrap/>
        <w:overflowPunct/>
        <w:topLinePunct w:val="0"/>
        <w:bidi w:val="0"/>
        <w:spacing w:line="240" w:lineRule="auto"/>
        <w:jc w:val="center"/>
        <w:textAlignment w:val="auto"/>
        <w:rPr>
          <w:rFonts w:ascii="宋体" w:hAnsi="宋体"/>
          <w:b/>
          <w:sz w:val="28"/>
          <w:szCs w:val="28"/>
        </w:rPr>
      </w:pPr>
      <w:r>
        <w:rPr>
          <w:rFonts w:ascii="宋体" w:hAnsi="宋体"/>
          <w:b/>
          <w:sz w:val="28"/>
          <w:szCs w:val="28"/>
        </w:rPr>
        <w:t>202</w:t>
      </w:r>
      <w:r>
        <w:rPr>
          <w:rFonts w:hint="eastAsia" w:ascii="宋体" w:hAnsi="宋体"/>
          <w:b/>
          <w:sz w:val="28"/>
          <w:szCs w:val="28"/>
        </w:rPr>
        <w:t>6</w:t>
      </w:r>
      <w:r>
        <w:rPr>
          <w:rFonts w:ascii="宋体" w:hAnsi="宋体"/>
          <w:b/>
          <w:sz w:val="28"/>
          <w:szCs w:val="28"/>
        </w:rPr>
        <w:t>年4月</w:t>
      </w:r>
    </w:p>
    <w:p w14:paraId="68F98B0A">
      <w:pPr>
        <w:keepNext w:val="0"/>
        <w:keepLines w:val="0"/>
        <w:pageBreakBefore w:val="0"/>
        <w:kinsoku/>
        <w:wordWrap/>
        <w:overflowPunct/>
        <w:topLinePunct w:val="0"/>
        <w:bidi w:val="0"/>
        <w:spacing w:line="240" w:lineRule="auto"/>
        <w:textAlignment w:val="auto"/>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077" w:left="1191" w:header="851" w:footer="992" w:gutter="0"/>
          <w:pgNumType w:start="1" w:chapStyle="1"/>
          <w:cols w:space="425" w:num="1"/>
          <w:titlePg/>
          <w:docGrid w:type="linesAndChars" w:linePitch="468" w:charSpace="0"/>
        </w:sectPr>
      </w:pPr>
    </w:p>
    <w:p w14:paraId="2B348D8C">
      <w:pPr>
        <w:keepNext w:val="0"/>
        <w:keepLines w:val="0"/>
        <w:pageBreakBefore w:val="0"/>
        <w:kinsoku/>
        <w:wordWrap/>
        <w:overflowPunct/>
        <w:topLinePunct w:val="0"/>
        <w:bidi w:val="0"/>
        <w:spacing w:after="240" w:line="240" w:lineRule="auto"/>
        <w:ind w:firstLine="643"/>
        <w:jc w:val="center"/>
        <w:textAlignment w:val="auto"/>
        <w:rPr>
          <w:rFonts w:eastAsia="黑体"/>
          <w:sz w:val="32"/>
          <w:szCs w:val="32"/>
        </w:rPr>
      </w:pPr>
      <w:r>
        <w:rPr>
          <w:rFonts w:eastAsia="黑体"/>
          <w:sz w:val="32"/>
          <w:szCs w:val="32"/>
        </w:rPr>
        <w:t>《</w:t>
      </w:r>
      <w:r>
        <w:rPr>
          <w:rFonts w:hint="eastAsia" w:eastAsia="黑体"/>
          <w:sz w:val="32"/>
          <w:szCs w:val="32"/>
        </w:rPr>
        <w:t>数字指示秤</w:t>
      </w:r>
      <w:r>
        <w:rPr>
          <w:rFonts w:eastAsia="黑体"/>
          <w:sz w:val="32"/>
          <w:szCs w:val="32"/>
        </w:rPr>
        <w:t>》</w:t>
      </w:r>
      <w:r>
        <w:rPr>
          <w:rFonts w:hint="eastAsia" w:eastAsia="黑体"/>
          <w:sz w:val="32"/>
          <w:szCs w:val="32"/>
        </w:rPr>
        <w:t>国家计量检定规程</w:t>
      </w:r>
      <w:r>
        <w:rPr>
          <w:rFonts w:eastAsia="黑体"/>
          <w:sz w:val="32"/>
          <w:szCs w:val="32"/>
        </w:rPr>
        <w:t>编制说明</w:t>
      </w:r>
    </w:p>
    <w:p w14:paraId="1CC5B1D3">
      <w:pPr>
        <w:keepNext w:val="0"/>
        <w:keepLines w:val="0"/>
        <w:pageBreakBefore w:val="0"/>
        <w:numPr>
          <w:ilvl w:val="0"/>
          <w:numId w:val="1"/>
        </w:numPr>
        <w:kinsoku/>
        <w:wordWrap/>
        <w:overflowPunct/>
        <w:topLinePunct w:val="0"/>
        <w:bidi w:val="0"/>
        <w:spacing w:before="156" w:beforeLines="50" w:after="156" w:afterLines="50" w:line="240" w:lineRule="auto"/>
        <w:ind w:firstLine="551" w:firstLineChars="196"/>
        <w:textAlignment w:val="auto"/>
        <w:rPr>
          <w:rFonts w:hAnsi="宋体"/>
          <w:b/>
          <w:bCs/>
          <w:sz w:val="28"/>
          <w:szCs w:val="28"/>
        </w:rPr>
      </w:pPr>
      <w:r>
        <w:rPr>
          <w:rFonts w:hint="eastAsia" w:hAnsi="宋体"/>
          <w:b/>
          <w:bCs/>
          <w:sz w:val="28"/>
          <w:szCs w:val="28"/>
        </w:rPr>
        <w:t>项目背景</w:t>
      </w:r>
    </w:p>
    <w:p w14:paraId="6884FF0A">
      <w:pPr>
        <w:keepNext w:val="0"/>
        <w:keepLines w:val="0"/>
        <w:pageBreakBefore w:val="0"/>
        <w:kinsoku/>
        <w:wordWrap/>
        <w:overflowPunct/>
        <w:topLinePunct w:val="0"/>
        <w:bidi w:val="0"/>
        <w:adjustRightInd w:val="0"/>
        <w:snapToGrid w:val="0"/>
        <w:spacing w:line="240" w:lineRule="auto"/>
        <w:ind w:firstLine="560" w:firstLineChars="200"/>
        <w:jc w:val="left"/>
        <w:textAlignment w:val="auto"/>
        <w:rPr>
          <w:rFonts w:ascii="宋体" w:hAnsi="宋体"/>
          <w:sz w:val="28"/>
          <w:szCs w:val="28"/>
        </w:rPr>
      </w:pPr>
      <w:r>
        <w:rPr>
          <w:rFonts w:hint="eastAsia" w:ascii="宋体" w:hAnsi="宋体"/>
          <w:sz w:val="28"/>
          <w:szCs w:val="28"/>
        </w:rPr>
        <w:t>数字指示秤作为一种装有电子装置的数字指示称量结果的非自动衡器，种类繁多、应用广泛，涵盖计重秤等多种类型，广泛应用于商贸、港口、仓储、冶金等各类场景，是应用最广泛的民生用计量器具之一，其量值准确直接关系到市场公平、企业管理及民生权益，也是市场监管的核心管控对象。近年来，“互联网+称重计量”理念深度融入，数字指示秤在传统功能基础上扩展出多元功能，向智能化、数字化方向快速发展，技术形态和应用场景发生显著变化，对检定规程适配性提出新要求。</w:t>
      </w:r>
    </w:p>
    <w:p w14:paraId="7A163417">
      <w:pPr>
        <w:keepNext w:val="0"/>
        <w:keepLines w:val="0"/>
        <w:pageBreakBefore w:val="0"/>
        <w:kinsoku/>
        <w:wordWrap/>
        <w:overflowPunct/>
        <w:topLinePunct w:val="0"/>
        <w:bidi w:val="0"/>
        <w:adjustRightInd w:val="0"/>
        <w:snapToGrid w:val="0"/>
        <w:spacing w:line="240" w:lineRule="auto"/>
        <w:ind w:firstLine="560" w:firstLineChars="200"/>
        <w:jc w:val="left"/>
        <w:textAlignment w:val="auto"/>
        <w:rPr>
          <w:rFonts w:ascii="宋体" w:hAnsi="宋体"/>
          <w:sz w:val="28"/>
          <w:szCs w:val="28"/>
        </w:rPr>
      </w:pPr>
      <w:r>
        <w:rPr>
          <w:rFonts w:hint="eastAsia" w:ascii="宋体" w:hAnsi="宋体"/>
          <w:sz w:val="28"/>
          <w:szCs w:val="28"/>
        </w:rPr>
        <w:t>同时，市场需求升级推动多分度秤、多范围秤使用日益广泛，但JJG539-2016规程未明确多范围秤计量性能附加要求及两类秤的具体检定方法，难以满足检定实际需求。计量监管层面，尽管JJG539-2016规程增加了安全性要求和厂家声明，但部分产品作弊行为呈现隐蔽化趋势，需进一步强化。政策法规方面，2017年国家取消制造、修理计量器具许可审批，后续相关法规也删除了对应条款，而JJG539-2016规程中“制造计量器具许可证的标志和编号”要求已与现行法规不符，亟需修改。</w:t>
      </w:r>
    </w:p>
    <w:p w14:paraId="14CEFCE0">
      <w:pPr>
        <w:keepNext w:val="0"/>
        <w:keepLines w:val="0"/>
        <w:pageBreakBefore w:val="0"/>
        <w:kinsoku/>
        <w:wordWrap/>
        <w:overflowPunct/>
        <w:topLinePunct w:val="0"/>
        <w:bidi w:val="0"/>
        <w:adjustRightInd w:val="0"/>
        <w:snapToGrid w:val="0"/>
        <w:spacing w:line="240" w:lineRule="auto"/>
        <w:ind w:firstLine="560" w:firstLineChars="200"/>
        <w:jc w:val="left"/>
        <w:textAlignment w:val="auto"/>
        <w:rPr>
          <w:rFonts w:ascii="宋体" w:hAnsi="宋体"/>
          <w:sz w:val="28"/>
          <w:szCs w:val="28"/>
        </w:rPr>
      </w:pPr>
      <w:r>
        <w:rPr>
          <w:rFonts w:hint="eastAsia" w:ascii="宋体" w:hAnsi="宋体"/>
          <w:sz w:val="28"/>
          <w:szCs w:val="28"/>
        </w:rPr>
        <w:t>需要说明的是，电子计价秤作为数字指示秤的重要细分品类，《电子计价秤检定规程（试行）》（JJG 1204—2025）已发布，JJG539-2016《数字指示秤检定规程》在范围界定、术语、技术要求等方面与该专项规程实现衔接匹配。</w:t>
      </w:r>
    </w:p>
    <w:p w14:paraId="48735FB7">
      <w:pPr>
        <w:keepNext w:val="0"/>
        <w:keepLines w:val="0"/>
        <w:pageBreakBefore w:val="0"/>
        <w:kinsoku/>
        <w:wordWrap/>
        <w:overflowPunct/>
        <w:topLinePunct w:val="0"/>
        <w:bidi w:val="0"/>
        <w:adjustRightInd w:val="0"/>
        <w:snapToGrid w:val="0"/>
        <w:spacing w:line="240" w:lineRule="auto"/>
        <w:ind w:firstLine="560" w:firstLineChars="200"/>
        <w:jc w:val="left"/>
        <w:textAlignment w:val="auto"/>
        <w:rPr>
          <w:rFonts w:ascii="宋体" w:hAnsi="宋体"/>
          <w:sz w:val="28"/>
          <w:szCs w:val="28"/>
        </w:rPr>
      </w:pPr>
      <w:r>
        <w:rPr>
          <w:rFonts w:hint="eastAsia" w:ascii="宋体" w:hAnsi="宋体"/>
          <w:sz w:val="28"/>
          <w:szCs w:val="28"/>
        </w:rPr>
        <w:t>综上，随着技术发展、市场拓展、政策调整，结合电子计价秤专项规程的衔接需求，现行JJG539-2016规程已难以适配实际需求，亟需修订以规范检定工作、强化监管效能、保障量值准确，维护市场公平和民生权益。</w:t>
      </w:r>
    </w:p>
    <w:p w14:paraId="1AB8561D">
      <w:pPr>
        <w:keepNext w:val="0"/>
        <w:keepLines w:val="0"/>
        <w:pageBreakBefore w:val="0"/>
        <w:kinsoku/>
        <w:wordWrap/>
        <w:overflowPunct/>
        <w:topLinePunct w:val="0"/>
        <w:bidi w:val="0"/>
        <w:spacing w:before="156" w:beforeLines="50" w:after="156" w:afterLines="50" w:line="240" w:lineRule="auto"/>
        <w:ind w:firstLine="551" w:firstLineChars="196"/>
        <w:textAlignment w:val="auto"/>
        <w:rPr>
          <w:b/>
          <w:bCs/>
          <w:sz w:val="28"/>
          <w:szCs w:val="28"/>
        </w:rPr>
      </w:pPr>
      <w:r>
        <w:rPr>
          <w:rFonts w:hint="eastAsia" w:hAnsi="宋体"/>
          <w:b/>
          <w:bCs/>
          <w:sz w:val="28"/>
          <w:szCs w:val="28"/>
        </w:rPr>
        <w:t>二、</w:t>
      </w:r>
      <w:r>
        <w:rPr>
          <w:rFonts w:hAnsi="宋体"/>
          <w:b/>
          <w:bCs/>
          <w:sz w:val="28"/>
          <w:szCs w:val="28"/>
        </w:rPr>
        <w:t>任务来源</w:t>
      </w:r>
    </w:p>
    <w:p w14:paraId="0428ECCA">
      <w:pPr>
        <w:keepNext w:val="0"/>
        <w:keepLines w:val="0"/>
        <w:pageBreakBefore w:val="0"/>
        <w:kinsoku/>
        <w:wordWrap/>
        <w:overflowPunct/>
        <w:topLinePunct w:val="0"/>
        <w:bidi w:val="0"/>
        <w:spacing w:line="240" w:lineRule="auto"/>
        <w:textAlignment w:val="auto"/>
        <w:rPr>
          <w:color w:val="0000FF"/>
          <w:sz w:val="24"/>
        </w:rPr>
      </w:pPr>
      <w:r>
        <w:rPr>
          <w:rFonts w:hint="eastAsia" w:ascii="宋体" w:hAnsi="宋体"/>
          <w:sz w:val="28"/>
          <w:szCs w:val="28"/>
        </w:rPr>
        <w:t>根据国家市场监督管理总局</w:t>
      </w:r>
      <w:r>
        <w:rPr>
          <w:rFonts w:ascii="宋体" w:hAnsi="宋体"/>
          <w:sz w:val="28"/>
          <w:szCs w:val="28"/>
        </w:rPr>
        <w:t>《</w:t>
      </w:r>
      <w:r>
        <w:rPr>
          <w:rFonts w:hint="eastAsia" w:ascii="宋体" w:hAnsi="宋体"/>
          <w:sz w:val="28"/>
          <w:szCs w:val="28"/>
        </w:rPr>
        <w:t>市场监管总局办公厅关于印发2022年国家计量技术规范项目制定、修订及宣贯计划的通知</w:t>
      </w:r>
      <w:r>
        <w:rPr>
          <w:rFonts w:ascii="宋体" w:hAnsi="宋体"/>
          <w:sz w:val="28"/>
          <w:szCs w:val="28"/>
        </w:rPr>
        <w:t>》（市监计量发〔202</w:t>
      </w:r>
      <w:r>
        <w:rPr>
          <w:rFonts w:hint="eastAsia" w:ascii="宋体" w:hAnsi="宋体"/>
          <w:sz w:val="28"/>
          <w:szCs w:val="28"/>
        </w:rPr>
        <w:t>2</w:t>
      </w:r>
      <w:r>
        <w:rPr>
          <w:rFonts w:ascii="宋体" w:hAnsi="宋体"/>
          <w:sz w:val="28"/>
          <w:szCs w:val="28"/>
        </w:rPr>
        <w:t>〕</w:t>
      </w:r>
      <w:r>
        <w:rPr>
          <w:rFonts w:hint="eastAsia" w:ascii="宋体" w:hAnsi="宋体"/>
          <w:sz w:val="28"/>
          <w:szCs w:val="28"/>
        </w:rPr>
        <w:t>70</w:t>
      </w:r>
      <w:r>
        <w:rPr>
          <w:rFonts w:ascii="宋体" w:hAnsi="宋体"/>
          <w:sz w:val="28"/>
          <w:szCs w:val="28"/>
        </w:rPr>
        <w:t xml:space="preserve"> 号）和计量司工作要求</w:t>
      </w:r>
      <w:r>
        <w:rPr>
          <w:rFonts w:hint="eastAsia" w:hAnsi="宋体"/>
          <w:sz w:val="28"/>
          <w:szCs w:val="28"/>
        </w:rPr>
        <w:t>，由</w:t>
      </w:r>
      <w:r>
        <w:rPr>
          <w:rFonts w:hint="eastAsia"/>
          <w:sz w:val="28"/>
        </w:rPr>
        <w:t>北京市计量检测科学研究院</w:t>
      </w:r>
      <w:r>
        <w:rPr>
          <w:rFonts w:hint="eastAsia" w:hAnsi="宋体"/>
          <w:sz w:val="28"/>
          <w:szCs w:val="28"/>
        </w:rPr>
        <w:t>牵头负责起草制定《数字指示秤》国家计量检定规程，参加单位有：北京市计量检测科学研究院、福建省计量科学研究院、山东省计量科学研究院、浙</w:t>
      </w:r>
      <w:r>
        <w:rPr>
          <w:rFonts w:hint="eastAsia" w:hAnsi="宋体"/>
          <w:color w:val="auto"/>
          <w:sz w:val="28"/>
          <w:szCs w:val="28"/>
        </w:rPr>
        <w:t>江省质量科学研究院、</w:t>
      </w:r>
      <w:r>
        <w:rPr>
          <w:rFonts w:hint="eastAsia"/>
          <w:color w:val="auto"/>
          <w:sz w:val="28"/>
        </w:rPr>
        <w:t>辽宁省计量科学研究院</w:t>
      </w:r>
      <w:r>
        <w:rPr>
          <w:rFonts w:hint="eastAsia" w:hAnsi="宋体"/>
          <w:color w:val="auto"/>
          <w:sz w:val="28"/>
          <w:szCs w:val="28"/>
        </w:rPr>
        <w:t>、</w:t>
      </w:r>
      <w:r>
        <w:rPr>
          <w:rFonts w:hint="eastAsia"/>
          <w:color w:val="auto"/>
          <w:sz w:val="28"/>
        </w:rPr>
        <w:t xml:space="preserve"> 江苏省计量科学研究院（江苏省能源计量数据中心）</w:t>
      </w:r>
      <w:r>
        <w:rPr>
          <w:rFonts w:hint="eastAsia" w:hAnsi="宋体"/>
          <w:color w:val="auto"/>
          <w:sz w:val="28"/>
          <w:szCs w:val="28"/>
        </w:rPr>
        <w:t>、</w:t>
      </w:r>
      <w:r>
        <w:rPr>
          <w:rFonts w:hint="eastAsia"/>
          <w:color w:val="auto"/>
          <w:sz w:val="28"/>
        </w:rPr>
        <w:t>永康市华鹰衡器有限公司</w:t>
      </w:r>
      <w:r>
        <w:rPr>
          <w:rFonts w:hint="eastAsia" w:hAnsi="宋体"/>
          <w:color w:val="auto"/>
          <w:sz w:val="28"/>
          <w:szCs w:val="28"/>
        </w:rPr>
        <w:t>。</w:t>
      </w:r>
    </w:p>
    <w:p w14:paraId="70098B96">
      <w:pPr>
        <w:keepNext w:val="0"/>
        <w:keepLines w:val="0"/>
        <w:pageBreakBefore w:val="0"/>
        <w:kinsoku/>
        <w:wordWrap/>
        <w:overflowPunct/>
        <w:topLinePunct w:val="0"/>
        <w:bidi w:val="0"/>
        <w:spacing w:before="156" w:beforeLines="50" w:after="156" w:afterLines="50" w:line="240" w:lineRule="auto"/>
        <w:ind w:firstLine="562" w:firstLineChars="200"/>
        <w:textAlignment w:val="auto"/>
        <w:rPr>
          <w:b/>
          <w:kern w:val="0"/>
          <w:sz w:val="28"/>
          <w:szCs w:val="28"/>
        </w:rPr>
      </w:pPr>
      <w:r>
        <w:rPr>
          <w:rFonts w:hint="eastAsia" w:hAnsi="宋体"/>
          <w:b/>
          <w:kern w:val="0"/>
          <w:sz w:val="28"/>
          <w:szCs w:val="28"/>
        </w:rPr>
        <w:t>三</w:t>
      </w:r>
      <w:r>
        <w:rPr>
          <w:rFonts w:hAnsi="宋体"/>
          <w:b/>
          <w:kern w:val="0"/>
          <w:sz w:val="28"/>
          <w:szCs w:val="28"/>
        </w:rPr>
        <w:t>、编制依据</w:t>
      </w:r>
    </w:p>
    <w:p w14:paraId="23AA5CFA">
      <w:pPr>
        <w:pStyle w:val="4"/>
        <w:keepNext w:val="0"/>
        <w:keepLines w:val="0"/>
        <w:pageBreakBefore w:val="0"/>
        <w:kinsoku/>
        <w:wordWrap/>
        <w:overflowPunct/>
        <w:topLinePunct w:val="0"/>
        <w:bidi w:val="0"/>
        <w:snapToGrid w:val="0"/>
        <w:spacing w:line="240" w:lineRule="auto"/>
        <w:ind w:left="0" w:leftChars="0" w:firstLine="649" w:firstLineChars="232"/>
        <w:textAlignment w:val="auto"/>
        <w:rPr>
          <w:rFonts w:hAnsi="宋体"/>
          <w:sz w:val="28"/>
          <w:szCs w:val="28"/>
        </w:rPr>
      </w:pPr>
      <w:r>
        <w:rPr>
          <w:rFonts w:hint="eastAsia" w:hAnsi="宋体"/>
          <w:sz w:val="28"/>
          <w:szCs w:val="28"/>
        </w:rPr>
        <w:t>本规程在编制格式上执行了JJF 1002-2010 《国家计量检定规程编写规则》。本规程引用了下列文件包括：</w:t>
      </w:r>
    </w:p>
    <w:p w14:paraId="499B80DB">
      <w:pPr>
        <w:keepNext w:val="0"/>
        <w:keepLines w:val="0"/>
        <w:pageBreakBefore w:val="0"/>
        <w:kinsoku/>
        <w:wordWrap/>
        <w:overflowPunct/>
        <w:topLinePunct w:val="0"/>
        <w:bidi w:val="0"/>
        <w:spacing w:line="240" w:lineRule="auto"/>
        <w:ind w:firstLine="560" w:firstLineChars="200"/>
        <w:textAlignment w:val="auto"/>
        <w:rPr>
          <w:rFonts w:hAnsi="宋体"/>
          <w:sz w:val="28"/>
          <w:szCs w:val="28"/>
        </w:rPr>
      </w:pPr>
      <w:r>
        <w:rPr>
          <w:rFonts w:hint="eastAsia" w:hAnsi="宋体"/>
          <w:sz w:val="28"/>
          <w:szCs w:val="28"/>
        </w:rPr>
        <w:t>JJG 99         砝码</w:t>
      </w:r>
    </w:p>
    <w:p w14:paraId="1C83D033">
      <w:pPr>
        <w:keepNext w:val="0"/>
        <w:keepLines w:val="0"/>
        <w:pageBreakBefore w:val="0"/>
        <w:kinsoku/>
        <w:wordWrap/>
        <w:overflowPunct/>
        <w:topLinePunct w:val="0"/>
        <w:bidi w:val="0"/>
        <w:spacing w:line="240" w:lineRule="auto"/>
        <w:ind w:firstLine="560" w:firstLineChars="200"/>
        <w:textAlignment w:val="auto"/>
        <w:rPr>
          <w:rFonts w:hAnsi="宋体"/>
          <w:sz w:val="28"/>
          <w:szCs w:val="28"/>
        </w:rPr>
      </w:pPr>
      <w:r>
        <w:rPr>
          <w:rFonts w:hint="eastAsia" w:hAnsi="宋体"/>
          <w:sz w:val="28"/>
          <w:szCs w:val="28"/>
        </w:rPr>
        <w:t>JJG1204-2025   电子计价秤检定规程（试行）</w:t>
      </w:r>
    </w:p>
    <w:p w14:paraId="44E912F3">
      <w:pPr>
        <w:keepNext w:val="0"/>
        <w:keepLines w:val="0"/>
        <w:pageBreakBefore w:val="0"/>
        <w:kinsoku/>
        <w:wordWrap/>
        <w:overflowPunct/>
        <w:topLinePunct w:val="0"/>
        <w:bidi w:val="0"/>
        <w:spacing w:line="240" w:lineRule="auto"/>
        <w:ind w:firstLine="560" w:firstLineChars="200"/>
        <w:textAlignment w:val="auto"/>
        <w:rPr>
          <w:rFonts w:hAnsi="宋体"/>
          <w:sz w:val="28"/>
          <w:szCs w:val="28"/>
        </w:rPr>
      </w:pPr>
      <w:r>
        <w:rPr>
          <w:rFonts w:hint="eastAsia" w:hAnsi="宋体"/>
          <w:sz w:val="28"/>
          <w:szCs w:val="28"/>
        </w:rPr>
        <w:t>JJF 1181        衡器计量名词术语及定义</w:t>
      </w:r>
    </w:p>
    <w:p w14:paraId="32B08F89">
      <w:pPr>
        <w:keepNext w:val="0"/>
        <w:keepLines w:val="0"/>
        <w:pageBreakBefore w:val="0"/>
        <w:kinsoku/>
        <w:wordWrap/>
        <w:overflowPunct/>
        <w:topLinePunct w:val="0"/>
        <w:autoSpaceDE w:val="0"/>
        <w:autoSpaceDN w:val="0"/>
        <w:bidi w:val="0"/>
        <w:adjustRightInd w:val="0"/>
        <w:spacing w:before="156" w:beforeLines="50" w:after="156" w:afterLines="50" w:line="240" w:lineRule="auto"/>
        <w:ind w:firstLine="562" w:firstLineChars="200"/>
        <w:jc w:val="left"/>
        <w:textAlignment w:val="auto"/>
        <w:rPr>
          <w:b/>
          <w:bCs/>
          <w:color w:val="000000"/>
          <w:sz w:val="28"/>
          <w:szCs w:val="28"/>
        </w:rPr>
      </w:pPr>
      <w:r>
        <w:rPr>
          <w:rFonts w:hAnsi="宋体"/>
          <w:b/>
          <w:bCs/>
          <w:color w:val="000000"/>
          <w:sz w:val="28"/>
          <w:szCs w:val="28"/>
        </w:rPr>
        <w:t>四、编制过程</w:t>
      </w:r>
    </w:p>
    <w:p w14:paraId="3AF66E10">
      <w:pPr>
        <w:keepNext w:val="0"/>
        <w:keepLines w:val="0"/>
        <w:pageBreakBefore w:val="0"/>
        <w:kinsoku/>
        <w:wordWrap/>
        <w:overflowPunct/>
        <w:topLinePunct w:val="0"/>
        <w:bidi w:val="0"/>
        <w:spacing w:line="240" w:lineRule="auto"/>
        <w:ind w:firstLine="560" w:firstLineChars="200"/>
        <w:textAlignment w:val="auto"/>
        <w:rPr>
          <w:rFonts w:hAnsi="宋体"/>
          <w:sz w:val="28"/>
          <w:szCs w:val="28"/>
        </w:rPr>
      </w:pPr>
      <w:r>
        <w:rPr>
          <w:rFonts w:hint="eastAsia" w:hAnsi="宋体"/>
          <w:sz w:val="28"/>
          <w:szCs w:val="28"/>
        </w:rPr>
        <w:t>本检定规程的修订，充分参考了JJG 539-2016《数字指示秤》国家计量检定规程、JJF 1181-2007《衡器计量名词术语及定义》，同时结合数字指示秤行业发展现状、计量监管实际及国际校准标准要求，整个修订编写项目的进展为：</w:t>
      </w:r>
    </w:p>
    <w:p w14:paraId="1F73885C">
      <w:pPr>
        <w:keepNext w:val="0"/>
        <w:keepLines w:val="0"/>
        <w:pageBreakBefore w:val="0"/>
        <w:kinsoku/>
        <w:wordWrap/>
        <w:overflowPunct/>
        <w:topLinePunct w:val="0"/>
        <w:bidi w:val="0"/>
        <w:spacing w:line="240" w:lineRule="auto"/>
        <w:ind w:firstLine="560" w:firstLineChars="200"/>
        <w:textAlignment w:val="auto"/>
        <w:rPr>
          <w:rFonts w:hAnsi="宋体"/>
          <w:sz w:val="28"/>
          <w:szCs w:val="28"/>
        </w:rPr>
      </w:pPr>
      <w:r>
        <w:rPr>
          <w:rFonts w:hint="eastAsia" w:hAnsi="宋体"/>
          <w:sz w:val="28"/>
          <w:szCs w:val="28"/>
        </w:rPr>
        <w:t>1）2022年8月2日，召开JJG539数字指示秤检定规程第一次修订会（腾讯会议），刘伟介绍国家市场监督管理总局下达的修订任务并成立修订小组，会议提出铅封、关键零部件核实、标识内容等修订要点，成员讨论后确定完善标识、解决铅封安全、优化试验等修订内容，并分配各成员负责项目及时间节点；</w:t>
      </w:r>
    </w:p>
    <w:p w14:paraId="064B6C2F">
      <w:pPr>
        <w:keepNext w:val="0"/>
        <w:keepLines w:val="0"/>
        <w:pageBreakBefore w:val="0"/>
        <w:kinsoku/>
        <w:wordWrap/>
        <w:overflowPunct/>
        <w:topLinePunct w:val="0"/>
        <w:bidi w:val="0"/>
        <w:spacing w:line="240" w:lineRule="auto"/>
        <w:ind w:firstLine="560" w:firstLineChars="200"/>
        <w:textAlignment w:val="auto"/>
        <w:rPr>
          <w:rFonts w:hAnsi="宋体"/>
          <w:sz w:val="28"/>
          <w:szCs w:val="28"/>
        </w:rPr>
      </w:pPr>
      <w:r>
        <w:rPr>
          <w:rFonts w:hint="eastAsia" w:hAnsi="宋体"/>
          <w:sz w:val="28"/>
          <w:szCs w:val="28"/>
        </w:rPr>
        <w:t>2）2022年8月至2023年6月，修订小组围绕既定修订内容，开展技术调研、条款论证，梳理数字指示秤在实际使用和检定中的突出问题，细化多范围秤、多分度秤检定方法等核心内容，为规程文本起草做好准备；</w:t>
      </w:r>
    </w:p>
    <w:p w14:paraId="3AF8BE31">
      <w:pPr>
        <w:keepNext w:val="0"/>
        <w:keepLines w:val="0"/>
        <w:pageBreakBefore w:val="0"/>
        <w:kinsoku/>
        <w:wordWrap/>
        <w:overflowPunct/>
        <w:topLinePunct w:val="0"/>
        <w:bidi w:val="0"/>
        <w:spacing w:line="240" w:lineRule="auto"/>
        <w:ind w:firstLine="560" w:firstLineChars="200"/>
        <w:textAlignment w:val="auto"/>
        <w:rPr>
          <w:rFonts w:hAnsi="宋体"/>
          <w:sz w:val="28"/>
          <w:szCs w:val="28"/>
        </w:rPr>
      </w:pPr>
      <w:r>
        <w:rPr>
          <w:rFonts w:hint="eastAsia" w:hAnsi="宋体"/>
          <w:sz w:val="28"/>
          <w:szCs w:val="28"/>
        </w:rPr>
        <w:t>3）2023年6月26日，在绍兴召开JJG539数字指示秤检定规程第二次修订会（现场会议），审议规程起草内容，对使用中检查、印封标记、鉴别力等术语进行确认完善，调整多范围秤附加要求、最大允许误差、鉴别阈表述等关键条款，规范计量单位和检定记录格式；</w:t>
      </w:r>
    </w:p>
    <w:p w14:paraId="356FC00D">
      <w:pPr>
        <w:keepNext w:val="0"/>
        <w:keepLines w:val="0"/>
        <w:pageBreakBefore w:val="0"/>
        <w:kinsoku/>
        <w:wordWrap/>
        <w:overflowPunct/>
        <w:topLinePunct w:val="0"/>
        <w:bidi w:val="0"/>
        <w:spacing w:line="240" w:lineRule="auto"/>
        <w:ind w:firstLine="560" w:firstLineChars="200"/>
        <w:textAlignment w:val="auto"/>
        <w:rPr>
          <w:rFonts w:hAnsi="宋体"/>
          <w:sz w:val="28"/>
          <w:szCs w:val="28"/>
        </w:rPr>
      </w:pPr>
      <w:r>
        <w:rPr>
          <w:rFonts w:hint="eastAsia" w:hAnsi="宋体"/>
          <w:sz w:val="28"/>
          <w:szCs w:val="28"/>
        </w:rPr>
        <w:t>4）2023年7月至2026年2月，修订小组根据绍兴会议审议意见，开展文本起草、条款优化工作，同步结合政策法规调整修改计量法制标志相关表述。期间，因电子计价秤作为数字指示秤的重要细分品类，其检定规程立项推进中，修订小组同步等待总局计量司针对《电子计价秤检定规程（试行）》（JJG 1204—2025）的制定与发布，重点关注该专项规程的条款设置、术语定义等内容，为后续数字指示秤规程与电子计价秤规程的衔接匹配预留空间、做好准备，同步完成数字指示秤规程文本初稿编写及多轮内部修改；</w:t>
      </w:r>
    </w:p>
    <w:p w14:paraId="1BFEA6C1">
      <w:pPr>
        <w:keepNext w:val="0"/>
        <w:keepLines w:val="0"/>
        <w:pageBreakBefore w:val="0"/>
        <w:widowControl/>
        <w:kinsoku/>
        <w:wordWrap/>
        <w:overflowPunct/>
        <w:topLinePunct w:val="0"/>
        <w:bidi w:val="0"/>
        <w:spacing w:line="240" w:lineRule="auto"/>
        <w:ind w:firstLine="560" w:firstLineChars="200"/>
        <w:jc w:val="left"/>
        <w:textAlignment w:val="auto"/>
        <w:rPr>
          <w:rFonts w:hAnsi="宋体"/>
          <w:sz w:val="28"/>
          <w:szCs w:val="28"/>
        </w:rPr>
      </w:pPr>
      <w:r>
        <w:rPr>
          <w:rFonts w:hint="eastAsia" w:hAnsi="宋体"/>
          <w:sz w:val="28"/>
          <w:szCs w:val="28"/>
        </w:rPr>
        <w:t>5）2026年3月11日召开JJG 539-2016规程修订第三次小组会议（腾讯会议），围绕规程修订关键条款充分讨论，形成核心意见：修改适用范围（不适用于最大秤量不大于100kg的中准确度级和普通准确度级电子计价秤，网联电子计价秤适用期至2030年1月7日）；增加和修改电子计价秤、网联电子计价秤等相关术语（参考JJG 1204对应条款）；完善计量安全性要求，将铅封描述修改为铅封和印封；修改说明性标志，与JJG 1204等相关规范保持一致；在有依据前提下减少或优化鉴别力、旋转等检定项目；细化多分度、多范围秤技术要求（参考JJG 1204相关条款），同时明确工作时间节点和起草组任务分工；</w:t>
      </w:r>
    </w:p>
    <w:p w14:paraId="111DFB06">
      <w:pPr>
        <w:keepNext w:val="0"/>
        <w:keepLines w:val="0"/>
        <w:pageBreakBefore w:val="0"/>
        <w:kinsoku/>
        <w:wordWrap/>
        <w:overflowPunct/>
        <w:topLinePunct w:val="0"/>
        <w:bidi w:val="0"/>
        <w:spacing w:line="240" w:lineRule="auto"/>
        <w:ind w:firstLine="560" w:firstLineChars="200"/>
        <w:textAlignment w:val="auto"/>
        <w:rPr>
          <w:rFonts w:hAnsi="宋体"/>
          <w:sz w:val="28"/>
          <w:szCs w:val="28"/>
        </w:rPr>
      </w:pPr>
      <w:r>
        <w:rPr>
          <w:rFonts w:hint="eastAsia" w:hAnsi="宋体"/>
          <w:sz w:val="28"/>
          <w:szCs w:val="28"/>
        </w:rPr>
        <w:t>6）2026年3月16日，召开JJG 539-2016规程修订第四次小组会议（腾讯会议），与会专家和起草组成员充分讨论，确定修改适用范围，明确增加和修改相关术语、优化通用技术要求、调整检定项目等关键意见；</w:t>
      </w:r>
    </w:p>
    <w:p w14:paraId="6B70B7D9">
      <w:pPr>
        <w:keepNext w:val="0"/>
        <w:keepLines w:val="0"/>
        <w:pageBreakBefore w:val="0"/>
        <w:kinsoku/>
        <w:wordWrap/>
        <w:overflowPunct/>
        <w:topLinePunct w:val="0"/>
        <w:bidi w:val="0"/>
        <w:spacing w:line="240" w:lineRule="auto"/>
        <w:ind w:firstLine="560" w:firstLineChars="200"/>
        <w:textAlignment w:val="auto"/>
        <w:rPr>
          <w:rFonts w:hAnsi="宋体"/>
          <w:sz w:val="28"/>
          <w:szCs w:val="28"/>
        </w:rPr>
      </w:pPr>
      <w:r>
        <w:rPr>
          <w:rFonts w:hint="eastAsia" w:hAnsi="宋体"/>
          <w:sz w:val="28"/>
          <w:szCs w:val="28"/>
        </w:rPr>
        <w:t>7）2026年3月16日至3月30日，按照第四次小组会议讨论内容，在JJG 539-2016版基础上修改文本，完善相关条款表述；同时进行多范围秤、多分度秤、吊秤及替代法的试验验证，并提交试验记录及不确定度评定，修订小组结合验证结果进一步修改文本，形成小组讨论稿；</w:t>
      </w:r>
    </w:p>
    <w:p w14:paraId="3AD43C1F">
      <w:pPr>
        <w:keepNext w:val="0"/>
        <w:keepLines w:val="0"/>
        <w:pageBreakBefore w:val="0"/>
        <w:kinsoku/>
        <w:wordWrap/>
        <w:overflowPunct/>
        <w:topLinePunct w:val="0"/>
        <w:bidi w:val="0"/>
        <w:spacing w:line="240" w:lineRule="auto"/>
        <w:ind w:firstLine="560" w:firstLineChars="200"/>
        <w:textAlignment w:val="auto"/>
        <w:rPr>
          <w:rFonts w:hAnsi="宋体"/>
          <w:sz w:val="28"/>
          <w:szCs w:val="28"/>
        </w:rPr>
      </w:pPr>
      <w:r>
        <w:rPr>
          <w:rFonts w:hint="eastAsia" w:hAnsi="宋体"/>
          <w:sz w:val="28"/>
          <w:szCs w:val="28"/>
        </w:rPr>
        <w:t>8）2026年3月30日，起草组将征求意见稿提交至秘书处，后续将根据秘书处反馈意见、行业专家建议及现场试验验证情况，进一步修改完善文本，推进规程修订后续工作，确保修订内容科学、合理、实用，贴合计量检定实际需求。</w:t>
      </w:r>
    </w:p>
    <w:p w14:paraId="6ABF1054">
      <w:pPr>
        <w:keepNext w:val="0"/>
        <w:keepLines w:val="0"/>
        <w:pageBreakBefore w:val="0"/>
        <w:kinsoku/>
        <w:wordWrap/>
        <w:overflowPunct/>
        <w:topLinePunct w:val="0"/>
        <w:bidi w:val="0"/>
        <w:spacing w:line="240" w:lineRule="auto"/>
        <w:ind w:firstLine="560" w:firstLineChars="200"/>
        <w:textAlignment w:val="auto"/>
        <w:rPr>
          <w:rFonts w:hint="eastAsia" w:hAnsi="宋体"/>
          <w:color w:val="auto"/>
          <w:sz w:val="28"/>
          <w:szCs w:val="28"/>
        </w:rPr>
      </w:pPr>
      <w:r>
        <w:rPr>
          <w:rFonts w:hAnsi="宋体"/>
          <w:color w:val="auto"/>
          <w:sz w:val="28"/>
          <w:szCs w:val="28"/>
        </w:rPr>
        <w:t>9</w:t>
      </w:r>
      <w:r>
        <w:rPr>
          <w:rFonts w:hint="eastAsia" w:hAnsi="宋体"/>
          <w:color w:val="auto"/>
          <w:sz w:val="28"/>
          <w:szCs w:val="28"/>
        </w:rPr>
        <w:t>）2026年4月3日，起草组</w:t>
      </w:r>
      <w:bookmarkStart w:id="0" w:name="_GoBack"/>
      <w:bookmarkEnd w:id="0"/>
      <w:r>
        <w:rPr>
          <w:rFonts w:hint="eastAsia" w:hAnsi="宋体"/>
          <w:color w:val="auto"/>
          <w:sz w:val="28"/>
          <w:szCs w:val="28"/>
        </w:rPr>
        <w:t>依据会议研讨意见，增补多分度秤局部示值计算示例，修订置零准确度操作流程，优化理顺检定步骤逻辑。后续持续完善文本内容，有序推进规程修订工作，保障条款科学规范、贴合现场检定实操。</w:t>
      </w:r>
    </w:p>
    <w:p w14:paraId="4A63A6F4">
      <w:pPr>
        <w:keepNext w:val="0"/>
        <w:keepLines w:val="0"/>
        <w:pageBreakBefore w:val="0"/>
        <w:kinsoku/>
        <w:wordWrap/>
        <w:overflowPunct/>
        <w:topLinePunct w:val="0"/>
        <w:bidi w:val="0"/>
        <w:spacing w:before="156" w:beforeLines="50" w:after="156" w:afterLines="50" w:line="240" w:lineRule="auto"/>
        <w:ind w:firstLine="562" w:firstLineChars="200"/>
        <w:textAlignment w:val="auto"/>
        <w:outlineLvl w:val="0"/>
        <w:rPr>
          <w:b/>
          <w:bCs/>
          <w:sz w:val="28"/>
          <w:szCs w:val="28"/>
        </w:rPr>
      </w:pPr>
      <w:r>
        <w:rPr>
          <w:rFonts w:hAnsi="宋体"/>
          <w:b/>
          <w:bCs/>
          <w:sz w:val="28"/>
          <w:szCs w:val="28"/>
        </w:rPr>
        <w:t>五、</w:t>
      </w:r>
      <w:r>
        <w:rPr>
          <w:rFonts w:hint="eastAsia" w:hAnsi="宋体"/>
          <w:b/>
          <w:bCs/>
          <w:sz w:val="28"/>
          <w:szCs w:val="28"/>
        </w:rPr>
        <w:t>检定规程</w:t>
      </w:r>
      <w:r>
        <w:rPr>
          <w:rFonts w:hAnsi="宋体"/>
          <w:b/>
          <w:sz w:val="28"/>
          <w:szCs w:val="28"/>
        </w:rPr>
        <w:t>的主要</w:t>
      </w:r>
      <w:r>
        <w:rPr>
          <w:rFonts w:hAnsi="宋体"/>
          <w:b/>
          <w:bCs/>
          <w:sz w:val="28"/>
          <w:szCs w:val="28"/>
        </w:rPr>
        <w:t>内容</w:t>
      </w:r>
    </w:p>
    <w:p w14:paraId="2E0E6AD5">
      <w:pPr>
        <w:keepNext w:val="0"/>
        <w:keepLines w:val="0"/>
        <w:pageBreakBefore w:val="0"/>
        <w:kinsoku/>
        <w:wordWrap/>
        <w:overflowPunct/>
        <w:topLinePunct w:val="0"/>
        <w:bidi w:val="0"/>
        <w:snapToGrid w:val="0"/>
        <w:spacing w:line="240" w:lineRule="auto"/>
        <w:ind w:firstLine="560" w:firstLineChars="200"/>
        <w:textAlignment w:val="auto"/>
        <w:rPr>
          <w:sz w:val="28"/>
          <w:szCs w:val="28"/>
        </w:rPr>
      </w:pPr>
      <w:r>
        <w:rPr>
          <w:rFonts w:hint="eastAsia" w:hAnsi="宋体"/>
          <w:sz w:val="28"/>
          <w:szCs w:val="28"/>
        </w:rPr>
        <w:t>本规程编制格式上执行了JJF 1002—2010《国家计量检定规程编写规则》</w:t>
      </w:r>
      <w:r>
        <w:rPr>
          <w:rFonts w:hint="eastAsia"/>
          <w:sz w:val="28"/>
          <w:szCs w:val="28"/>
        </w:rPr>
        <w:t>，包括八个章节和三个附录：1范围，</w:t>
      </w:r>
      <w:r>
        <w:rPr>
          <w:sz w:val="28"/>
          <w:szCs w:val="28"/>
        </w:rPr>
        <w:t>2</w:t>
      </w:r>
      <w:r>
        <w:rPr>
          <w:rFonts w:hint="eastAsia"/>
          <w:sz w:val="28"/>
          <w:szCs w:val="28"/>
        </w:rPr>
        <w:t>引用文件，</w:t>
      </w:r>
      <w:r>
        <w:rPr>
          <w:sz w:val="28"/>
          <w:szCs w:val="28"/>
        </w:rPr>
        <w:t>3</w:t>
      </w:r>
      <w:r>
        <w:rPr>
          <w:rFonts w:hint="eastAsia"/>
          <w:sz w:val="28"/>
          <w:szCs w:val="28"/>
        </w:rPr>
        <w:t>术语和计量单位，</w:t>
      </w:r>
      <w:r>
        <w:rPr>
          <w:sz w:val="28"/>
          <w:szCs w:val="28"/>
        </w:rPr>
        <w:t>4</w:t>
      </w:r>
      <w:r>
        <w:rPr>
          <w:rFonts w:hint="eastAsia"/>
          <w:sz w:val="28"/>
          <w:szCs w:val="28"/>
        </w:rPr>
        <w:t>概述，5计量性能要求（准确度等级的划分、检定分度值、多范围秤的附加要求、多分度秤的附加要求、秤的最大允许误差、重复性、偏载、鉴别力、置零准确度及除皮准确度），6通用技术要求（计量的安全性、扩展显示装置、多指示装置、称量结果的指示、计量法制标志和计量器具标识），7计量器具控制（检定用标准器具、检定条件、检定项目、通用技术要求的检查、计量性能检定、检定结果的处理、检定周期），8实施。附录A检定记录格式，附录B检定证书内页格式，附录C检定结果通知书内页格式。</w:t>
      </w:r>
    </w:p>
    <w:p w14:paraId="7571BDC3">
      <w:pPr>
        <w:keepNext w:val="0"/>
        <w:keepLines w:val="0"/>
        <w:pageBreakBefore w:val="0"/>
        <w:kinsoku/>
        <w:wordWrap/>
        <w:overflowPunct/>
        <w:topLinePunct w:val="0"/>
        <w:bidi w:val="0"/>
        <w:snapToGrid w:val="0"/>
        <w:spacing w:line="240" w:lineRule="auto"/>
        <w:ind w:firstLine="562" w:firstLineChars="200"/>
        <w:textAlignment w:val="auto"/>
        <w:rPr>
          <w:rFonts w:hAnsi="宋体"/>
          <w:b/>
          <w:bCs/>
          <w:sz w:val="28"/>
          <w:szCs w:val="28"/>
        </w:rPr>
      </w:pPr>
      <w:r>
        <w:rPr>
          <w:rFonts w:hint="eastAsia" w:hAnsi="宋体"/>
          <w:b/>
          <w:bCs/>
          <w:sz w:val="28"/>
          <w:szCs w:val="28"/>
        </w:rPr>
        <w:t>六、工作小结</w:t>
      </w:r>
    </w:p>
    <w:p w14:paraId="464A3B6D">
      <w:pPr>
        <w:keepNext w:val="0"/>
        <w:keepLines w:val="0"/>
        <w:pageBreakBefore w:val="0"/>
        <w:kinsoku/>
        <w:wordWrap/>
        <w:overflowPunct/>
        <w:topLinePunct w:val="0"/>
        <w:bidi w:val="0"/>
        <w:snapToGrid w:val="0"/>
        <w:spacing w:line="240" w:lineRule="auto"/>
        <w:ind w:firstLine="560" w:firstLineChars="200"/>
        <w:textAlignment w:val="auto"/>
        <w:rPr>
          <w:sz w:val="28"/>
          <w:szCs w:val="28"/>
        </w:rPr>
      </w:pPr>
      <w:r>
        <w:rPr>
          <w:rFonts w:hint="eastAsia"/>
          <w:sz w:val="28"/>
          <w:szCs w:val="28"/>
        </w:rPr>
        <w:t>本次《数字指示秤》检定规程的修订，起草小组严格按照国家市场监管总局要求，联合各参与单位，对数字指示秤的行业发展现状、检定工作中的突出问题进行了深入调研，重点研究了规程与相关政策、专项规程的衔接的问题，在计量性能要求、检定方法等方面开展了大量的试验和验证工作。我们坚持科学、合理、实用的原则，结合数字指示秤智能化发展趋势及实际检定需求，完善规程相关条款，确保其能够有效指导数字指示秤的计量检定工作，适配行业发展和监管要求。由于我们水平有限，规程中难免存在不妥之处，敬请各位专家提出宝贵意见和建议，使之更加完善。</w:t>
      </w:r>
    </w:p>
    <w:p w14:paraId="475FBEB6">
      <w:pPr>
        <w:keepNext w:val="0"/>
        <w:keepLines w:val="0"/>
        <w:pageBreakBefore w:val="0"/>
        <w:kinsoku/>
        <w:wordWrap/>
        <w:overflowPunct/>
        <w:topLinePunct w:val="0"/>
        <w:bidi w:val="0"/>
        <w:spacing w:line="240" w:lineRule="auto"/>
        <w:ind w:firstLine="630" w:firstLineChars="225"/>
        <w:textAlignment w:val="auto"/>
        <w:rPr>
          <w:sz w:val="28"/>
          <w:szCs w:val="28"/>
        </w:rPr>
      </w:pPr>
    </w:p>
    <w:p w14:paraId="44B78162">
      <w:pPr>
        <w:keepNext w:val="0"/>
        <w:keepLines w:val="0"/>
        <w:pageBreakBefore w:val="0"/>
        <w:kinsoku/>
        <w:wordWrap/>
        <w:overflowPunct/>
        <w:topLinePunct w:val="0"/>
        <w:bidi w:val="0"/>
        <w:spacing w:line="240" w:lineRule="auto"/>
        <w:ind w:firstLine="630" w:firstLineChars="225"/>
        <w:textAlignment w:val="auto"/>
        <w:rPr>
          <w:sz w:val="28"/>
          <w:szCs w:val="28"/>
        </w:rPr>
      </w:pPr>
    </w:p>
    <w:p w14:paraId="516C941F">
      <w:pPr>
        <w:keepNext w:val="0"/>
        <w:keepLines w:val="0"/>
        <w:pageBreakBefore w:val="0"/>
        <w:kinsoku/>
        <w:wordWrap/>
        <w:overflowPunct/>
        <w:topLinePunct w:val="0"/>
        <w:bidi w:val="0"/>
        <w:spacing w:line="240" w:lineRule="auto"/>
        <w:ind w:firstLine="630" w:firstLineChars="225"/>
        <w:textAlignment w:val="auto"/>
        <w:rPr>
          <w:sz w:val="28"/>
          <w:szCs w:val="28"/>
        </w:rPr>
      </w:pPr>
    </w:p>
    <w:p w14:paraId="6CC8F771">
      <w:pPr>
        <w:keepNext w:val="0"/>
        <w:keepLines w:val="0"/>
        <w:pageBreakBefore w:val="0"/>
        <w:kinsoku/>
        <w:wordWrap/>
        <w:overflowPunct/>
        <w:topLinePunct w:val="0"/>
        <w:bidi w:val="0"/>
        <w:spacing w:line="240" w:lineRule="auto"/>
        <w:ind w:left="4" w:leftChars="2"/>
        <w:jc w:val="right"/>
        <w:textAlignment w:val="auto"/>
        <w:rPr>
          <w:sz w:val="28"/>
          <w:szCs w:val="28"/>
        </w:rPr>
      </w:pPr>
      <w:r>
        <w:rPr>
          <w:rFonts w:hAnsi="宋体"/>
          <w:sz w:val="28"/>
          <w:szCs w:val="28"/>
        </w:rPr>
        <w:t>《</w:t>
      </w:r>
      <w:r>
        <w:rPr>
          <w:rFonts w:hint="eastAsia" w:hAnsi="宋体"/>
          <w:sz w:val="28"/>
          <w:szCs w:val="28"/>
        </w:rPr>
        <w:t>数字指示秤</w:t>
      </w:r>
      <w:r>
        <w:rPr>
          <w:rFonts w:hAnsi="宋体"/>
          <w:sz w:val="28"/>
          <w:szCs w:val="28"/>
        </w:rPr>
        <w:t>》</w:t>
      </w:r>
      <w:r>
        <w:rPr>
          <w:rFonts w:hint="eastAsia" w:hAnsi="宋体"/>
          <w:sz w:val="28"/>
          <w:szCs w:val="28"/>
        </w:rPr>
        <w:t>计量检定规程</w:t>
      </w:r>
      <w:r>
        <w:rPr>
          <w:rFonts w:hAnsi="宋体"/>
          <w:sz w:val="28"/>
          <w:szCs w:val="28"/>
        </w:rPr>
        <w:t>起草小组</w:t>
      </w:r>
    </w:p>
    <w:p w14:paraId="2B6F04DA">
      <w:pPr>
        <w:keepNext w:val="0"/>
        <w:keepLines w:val="0"/>
        <w:pageBreakBefore w:val="0"/>
        <w:kinsoku/>
        <w:wordWrap/>
        <w:overflowPunct/>
        <w:topLinePunct w:val="0"/>
        <w:bidi w:val="0"/>
        <w:spacing w:line="240" w:lineRule="auto"/>
        <w:ind w:left="4" w:leftChars="2"/>
        <w:jc w:val="right"/>
        <w:textAlignment w:val="auto"/>
        <w:rPr>
          <w:sz w:val="28"/>
          <w:szCs w:val="28"/>
        </w:rPr>
      </w:pPr>
      <w:r>
        <w:rPr>
          <w:sz w:val="28"/>
          <w:szCs w:val="28"/>
        </w:rPr>
        <w:t>20</w:t>
      </w:r>
      <w:r>
        <w:rPr>
          <w:rFonts w:hint="eastAsia"/>
          <w:sz w:val="28"/>
          <w:szCs w:val="28"/>
        </w:rPr>
        <w:t>26</w:t>
      </w:r>
      <w:r>
        <w:rPr>
          <w:rFonts w:hAnsi="宋体"/>
          <w:sz w:val="28"/>
          <w:szCs w:val="28"/>
        </w:rPr>
        <w:t>年</w:t>
      </w:r>
      <w:r>
        <w:rPr>
          <w:rFonts w:hint="eastAsia" w:hAnsi="宋体"/>
          <w:sz w:val="28"/>
          <w:szCs w:val="28"/>
        </w:rPr>
        <w:t>3</w:t>
      </w:r>
      <w:r>
        <w:rPr>
          <w:rFonts w:hAnsi="宋体"/>
          <w:sz w:val="28"/>
          <w:szCs w:val="28"/>
        </w:rPr>
        <w:t>月</w:t>
      </w:r>
    </w:p>
    <w:sectPr>
      <w:footerReference r:id="rId9"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F60E3">
    <w:pPr>
      <w:pStyle w:val="7"/>
      <w:jc w:val="center"/>
    </w:pPr>
    <w:r>
      <mc:AlternateContent>
        <mc:Choice Requires="wps">
          <w:drawing>
            <wp:anchor distT="0" distB="0" distL="114300" distR="114300" simplePos="0" relativeHeight="251660288" behindDoc="0" locked="0" layoutInCell="1" allowOverlap="1">
              <wp:simplePos x="0" y="0"/>
              <wp:positionH relativeFrom="margin">
                <wp:posOffset>5873115</wp:posOffset>
              </wp:positionH>
              <wp:positionV relativeFrom="paragraph">
                <wp:posOffset>133985</wp:posOffset>
              </wp:positionV>
              <wp:extent cx="208915" cy="131445"/>
              <wp:effectExtent l="0" t="0" r="635" b="14605"/>
              <wp:wrapNone/>
              <wp:docPr id="3" name="文本框 2"/>
              <wp:cNvGraphicFramePr/>
              <a:graphic xmlns:a="http://schemas.openxmlformats.org/drawingml/2006/main">
                <a:graphicData uri="http://schemas.microsoft.com/office/word/2010/wordprocessingShape">
                  <wps:wsp>
                    <wps:cNvSpPr txBox="1"/>
                    <wps:spPr>
                      <a:xfrm>
                        <a:off x="0" y="0"/>
                        <a:ext cx="208915" cy="131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31FD20">
                          <w:pPr>
                            <w:pStyle w:val="7"/>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left:462.45pt;margin-top:10.55pt;height:10.35pt;width:16.45pt;mso-position-horizontal-relative:margin;z-index:251660288;mso-width-relative:page;mso-height-relative:page;" filled="f" stroked="f" coordsize="21600,21600" o:gfxdata="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5gcql2AAAAAkBAAAPAAAAAAAAAAEAIAAAACIAAABkcnMvZG93bnJldi54&#10;bWxQSwECFAAUAAAACACHTuJA+94pHDMCAABVBAAADgAAAAAAAAABACAAAAAnAQAAZHJzL2Uyb0Rv&#10;Yy54bWxQSwUGAAAAAAYABgBZAQAAzAUAAAAA&#10;">
              <v:fill on="f" focussize="0,0"/>
              <v:stroke on="f" weight="0.5pt"/>
              <v:imagedata o:title=""/>
              <o:lock v:ext="edit" aspectratio="f"/>
              <v:textbox inset="0mm,0mm,0mm,0mm" style="mso-fit-shape-to-text:t;">
                <w:txbxContent>
                  <w:p w14:paraId="2231FD20">
                    <w:pPr>
                      <w:pStyle w:val="7"/>
                      <w:jc w:val="center"/>
                    </w:pPr>
                    <w:r>
                      <w:fldChar w:fldCharType="begin"/>
                    </w:r>
                    <w:r>
                      <w:instrText xml:space="preserve"> PAGE   \* MERGEFORMAT </w:instrText>
                    </w:r>
                    <w:r>
                      <w:fldChar w:fldCharType="separate"/>
                    </w:r>
                    <w:r>
                      <w:t>1</w:t>
                    </w:r>
                    <w:r>
                      <w:fldChar w:fldCharType="end"/>
                    </w:r>
                  </w:p>
                </w:txbxContent>
              </v:textbox>
            </v:shape>
          </w:pict>
        </mc:Fallback>
      </mc:AlternateContent>
    </w:r>
  </w:p>
  <w:p w14:paraId="23FF81F8">
    <w:pPr>
      <w:pStyle w:val="7"/>
      <w:jc w:val="center"/>
    </w:pPr>
  </w:p>
  <w:p w14:paraId="1D9558A7">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F4613">
    <w:pPr>
      <w:pStyle w:val="7"/>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5</w:t>
    </w:r>
    <w:r>
      <w:rPr>
        <w:rStyle w:val="11"/>
      </w:rPr>
      <w:fldChar w:fldCharType="end"/>
    </w:r>
  </w:p>
  <w:p w14:paraId="0F623A04">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C0515">
    <w:pPr>
      <w:pStyle w:val="7"/>
      <w:jc w:val="center"/>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57785" cy="131445"/>
              <wp:effectExtent l="0" t="0" r="12065" b="14605"/>
              <wp:wrapNone/>
              <wp:docPr id="2" name="文本框 1"/>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C778E2">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0.35pt;width:4.55pt;mso-position-horizontal:right;mso-position-horizontal-relative:margin;mso-wrap-style:none;z-index:251661312;mso-width-relative:page;mso-height-relative:page;" filled="f" stroked="f" coordsize="21600,21600" o:gfxdata="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rvABY0QAAAAIBAAAPAAAAAAAAAAEAIAAAACIAAABkcnMvZG93bnJldi54bWxQSwECFAAU&#10;AAAACACHTuJA6pEjnjECAABSBAAADgAAAAAAAAABACAAAAAgAQAAZHJzL2Uyb0RvYy54bWxQSwUG&#10;AAAAAAYABgBZAQAAwwUAAAAA&#10;">
              <v:fill on="f" focussize="0,0"/>
              <v:stroke on="f" weight="0.5pt"/>
              <v:imagedata o:title=""/>
              <o:lock v:ext="edit" aspectratio="f"/>
              <v:textbox inset="0mm,0mm,0mm,0mm" style="mso-fit-shape-to-text:t;">
                <w:txbxContent>
                  <w:p w14:paraId="59C778E2">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52305">
    <w:pPr>
      <w:pStyle w:val="7"/>
      <w:ind w:firstLine="36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12065" b="14605"/>
              <wp:wrapNone/>
              <wp:docPr id="1" name="文本框 1"/>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6350">
                        <a:noFill/>
                      </a:ln>
                    </wps:spPr>
                    <wps:txbx>
                      <w:txbxContent>
                        <w:p w14:paraId="4037A5D5">
                          <w:pPr>
                            <w:pStyle w:val="7"/>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Ou8AFjRAAAAAgEAAA8AAAAAAAAAAQAgAAAAIgAAAGRycy9kb3ducmV2LnhtbFBLAQIUABQA&#10;AAAIAIdO4kDR5yYzMAIAAFIEAAAOAAAAAAAAAAEAIAAAACABAABkcnMvZTJvRG9jLnhtbFBLBQYA&#10;AAAABgAGAFkBAADCBQAAAAA=&#10;">
              <v:fill on="f" focussize="0,0"/>
              <v:stroke on="f" weight="0.5pt"/>
              <v:imagedata o:title=""/>
              <o:lock v:ext="edit" aspectratio="f"/>
              <v:textbox inset="0mm,0mm,0mm,0mm" style="mso-fit-shape-to-text:t;">
                <w:txbxContent>
                  <w:p w14:paraId="4037A5D5">
                    <w:pPr>
                      <w:pStyle w:val="7"/>
                    </w:pPr>
                    <w:r>
                      <w:fldChar w:fldCharType="begin"/>
                    </w:r>
                    <w:r>
                      <w:instrText xml:space="preserve"> PAGE  \* MERGEFORMAT </w:instrText>
                    </w:r>
                    <w:r>
                      <w:fldChar w:fldCharType="separate"/>
                    </w:r>
                    <w: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6B2B4">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80769">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9EE30">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E2D781"/>
    <w:multiLevelType w:val="singleLevel"/>
    <w:tmpl w:val="BAE2D78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C45806"/>
    <w:rsid w:val="00021BE4"/>
    <w:rsid w:val="00060AEA"/>
    <w:rsid w:val="0006249D"/>
    <w:rsid w:val="00065315"/>
    <w:rsid w:val="0009403B"/>
    <w:rsid w:val="00096548"/>
    <w:rsid w:val="000A0F26"/>
    <w:rsid w:val="000B21DF"/>
    <w:rsid w:val="000E5B06"/>
    <w:rsid w:val="000F4702"/>
    <w:rsid w:val="00100510"/>
    <w:rsid w:val="001075D1"/>
    <w:rsid w:val="001114A3"/>
    <w:rsid w:val="001172E2"/>
    <w:rsid w:val="001463A2"/>
    <w:rsid w:val="00161352"/>
    <w:rsid w:val="001778DF"/>
    <w:rsid w:val="00180E82"/>
    <w:rsid w:val="001A7006"/>
    <w:rsid w:val="001B17AE"/>
    <w:rsid w:val="001E0FEA"/>
    <w:rsid w:val="001F5E74"/>
    <w:rsid w:val="002129BB"/>
    <w:rsid w:val="002170DB"/>
    <w:rsid w:val="00224F7C"/>
    <w:rsid w:val="00242C0C"/>
    <w:rsid w:val="00261E9F"/>
    <w:rsid w:val="00287967"/>
    <w:rsid w:val="00292BE2"/>
    <w:rsid w:val="002C024B"/>
    <w:rsid w:val="002C4F5D"/>
    <w:rsid w:val="002F3226"/>
    <w:rsid w:val="00304E79"/>
    <w:rsid w:val="0033069C"/>
    <w:rsid w:val="00341FB4"/>
    <w:rsid w:val="00350825"/>
    <w:rsid w:val="00383C44"/>
    <w:rsid w:val="00385FA0"/>
    <w:rsid w:val="003A382E"/>
    <w:rsid w:val="003E203F"/>
    <w:rsid w:val="003E30F6"/>
    <w:rsid w:val="003E3EAD"/>
    <w:rsid w:val="003E4C2E"/>
    <w:rsid w:val="00423436"/>
    <w:rsid w:val="00432A53"/>
    <w:rsid w:val="00445985"/>
    <w:rsid w:val="00446EAE"/>
    <w:rsid w:val="00474494"/>
    <w:rsid w:val="00481F64"/>
    <w:rsid w:val="0049129D"/>
    <w:rsid w:val="004A0799"/>
    <w:rsid w:val="004C0AA5"/>
    <w:rsid w:val="004C230B"/>
    <w:rsid w:val="004E53DF"/>
    <w:rsid w:val="00526DE9"/>
    <w:rsid w:val="0053496B"/>
    <w:rsid w:val="00535EE8"/>
    <w:rsid w:val="00561E22"/>
    <w:rsid w:val="00575464"/>
    <w:rsid w:val="00587B0E"/>
    <w:rsid w:val="005A6464"/>
    <w:rsid w:val="005B595C"/>
    <w:rsid w:val="005C7821"/>
    <w:rsid w:val="005F72C7"/>
    <w:rsid w:val="006157D9"/>
    <w:rsid w:val="006241B9"/>
    <w:rsid w:val="0063729F"/>
    <w:rsid w:val="006535EA"/>
    <w:rsid w:val="0065746B"/>
    <w:rsid w:val="00661976"/>
    <w:rsid w:val="00671B7A"/>
    <w:rsid w:val="006730DD"/>
    <w:rsid w:val="006C1181"/>
    <w:rsid w:val="006D0614"/>
    <w:rsid w:val="006D1094"/>
    <w:rsid w:val="006F2966"/>
    <w:rsid w:val="006F5AA6"/>
    <w:rsid w:val="0070001A"/>
    <w:rsid w:val="00702274"/>
    <w:rsid w:val="00755B52"/>
    <w:rsid w:val="007646E0"/>
    <w:rsid w:val="007671C2"/>
    <w:rsid w:val="00774A0C"/>
    <w:rsid w:val="0079774C"/>
    <w:rsid w:val="007A7BC8"/>
    <w:rsid w:val="007B7E9C"/>
    <w:rsid w:val="007C2BE7"/>
    <w:rsid w:val="007D625F"/>
    <w:rsid w:val="007F0E50"/>
    <w:rsid w:val="007F7B10"/>
    <w:rsid w:val="00807591"/>
    <w:rsid w:val="00811F3E"/>
    <w:rsid w:val="008125BA"/>
    <w:rsid w:val="008148C3"/>
    <w:rsid w:val="00876147"/>
    <w:rsid w:val="008B565D"/>
    <w:rsid w:val="008C179A"/>
    <w:rsid w:val="008D4C0A"/>
    <w:rsid w:val="008D69BA"/>
    <w:rsid w:val="008E4A7D"/>
    <w:rsid w:val="009266FE"/>
    <w:rsid w:val="009309E1"/>
    <w:rsid w:val="009771CC"/>
    <w:rsid w:val="00981448"/>
    <w:rsid w:val="00983929"/>
    <w:rsid w:val="00992331"/>
    <w:rsid w:val="00993D50"/>
    <w:rsid w:val="009B4DE3"/>
    <w:rsid w:val="009D0C8C"/>
    <w:rsid w:val="00A1009B"/>
    <w:rsid w:val="00A158EA"/>
    <w:rsid w:val="00A416F2"/>
    <w:rsid w:val="00A44E85"/>
    <w:rsid w:val="00A53035"/>
    <w:rsid w:val="00A55EC8"/>
    <w:rsid w:val="00A613AF"/>
    <w:rsid w:val="00A639B0"/>
    <w:rsid w:val="00A7741D"/>
    <w:rsid w:val="00AA6011"/>
    <w:rsid w:val="00AA7D8B"/>
    <w:rsid w:val="00AC74B7"/>
    <w:rsid w:val="00AD3AE9"/>
    <w:rsid w:val="00AD6091"/>
    <w:rsid w:val="00B2338A"/>
    <w:rsid w:val="00B2498D"/>
    <w:rsid w:val="00B32E28"/>
    <w:rsid w:val="00B43131"/>
    <w:rsid w:val="00B45F9E"/>
    <w:rsid w:val="00B504BA"/>
    <w:rsid w:val="00B537B9"/>
    <w:rsid w:val="00B62E51"/>
    <w:rsid w:val="00B979E2"/>
    <w:rsid w:val="00BA101E"/>
    <w:rsid w:val="00BC4DE8"/>
    <w:rsid w:val="00BD2A1F"/>
    <w:rsid w:val="00BE1411"/>
    <w:rsid w:val="00BF30A7"/>
    <w:rsid w:val="00BF74A8"/>
    <w:rsid w:val="00C17155"/>
    <w:rsid w:val="00C17DAC"/>
    <w:rsid w:val="00C30960"/>
    <w:rsid w:val="00C4200D"/>
    <w:rsid w:val="00C45806"/>
    <w:rsid w:val="00C7080F"/>
    <w:rsid w:val="00C76051"/>
    <w:rsid w:val="00C822E4"/>
    <w:rsid w:val="00C9132D"/>
    <w:rsid w:val="00C92F86"/>
    <w:rsid w:val="00C95EBD"/>
    <w:rsid w:val="00C97873"/>
    <w:rsid w:val="00CA1CDF"/>
    <w:rsid w:val="00CB0182"/>
    <w:rsid w:val="00CB62BB"/>
    <w:rsid w:val="00CE025C"/>
    <w:rsid w:val="00CE3E38"/>
    <w:rsid w:val="00CF0047"/>
    <w:rsid w:val="00CF2771"/>
    <w:rsid w:val="00D06E65"/>
    <w:rsid w:val="00D30ED4"/>
    <w:rsid w:val="00D348C2"/>
    <w:rsid w:val="00D42389"/>
    <w:rsid w:val="00D662FC"/>
    <w:rsid w:val="00DB2C85"/>
    <w:rsid w:val="00DC0272"/>
    <w:rsid w:val="00DE2454"/>
    <w:rsid w:val="00E07601"/>
    <w:rsid w:val="00E359FC"/>
    <w:rsid w:val="00E53B3D"/>
    <w:rsid w:val="00E54E98"/>
    <w:rsid w:val="00E57D5A"/>
    <w:rsid w:val="00E770AD"/>
    <w:rsid w:val="00E877D3"/>
    <w:rsid w:val="00EA4D51"/>
    <w:rsid w:val="00EB03AF"/>
    <w:rsid w:val="00EC4F74"/>
    <w:rsid w:val="00ED1894"/>
    <w:rsid w:val="00ED2C35"/>
    <w:rsid w:val="00F03539"/>
    <w:rsid w:val="00F12CD9"/>
    <w:rsid w:val="00F17DD1"/>
    <w:rsid w:val="00F2499D"/>
    <w:rsid w:val="00F32AF4"/>
    <w:rsid w:val="00F372F4"/>
    <w:rsid w:val="00F72F84"/>
    <w:rsid w:val="00F752E1"/>
    <w:rsid w:val="00F801F9"/>
    <w:rsid w:val="00F8572B"/>
    <w:rsid w:val="00F943B0"/>
    <w:rsid w:val="00FB5BCA"/>
    <w:rsid w:val="04514368"/>
    <w:rsid w:val="056145E3"/>
    <w:rsid w:val="27DA63B5"/>
    <w:rsid w:val="2CD038EE"/>
    <w:rsid w:val="2F8A246F"/>
    <w:rsid w:val="38F22A73"/>
    <w:rsid w:val="3B8A60E4"/>
    <w:rsid w:val="3C1745A9"/>
    <w:rsid w:val="452503C0"/>
    <w:rsid w:val="486F26F2"/>
    <w:rsid w:val="4A1B73C5"/>
    <w:rsid w:val="4A562C5D"/>
    <w:rsid w:val="5C9127DF"/>
    <w:rsid w:val="5E455F5D"/>
    <w:rsid w:val="65344C2B"/>
    <w:rsid w:val="65416DF6"/>
    <w:rsid w:val="6D875C64"/>
    <w:rsid w:val="7012197C"/>
    <w:rsid w:val="74B72AE2"/>
    <w:rsid w:val="76264C32"/>
    <w:rsid w:val="792B78C2"/>
    <w:rsid w:val="79B55907"/>
    <w:rsid w:val="7E3A63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9"/>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semiHidden/>
    <w:unhideWhenUsed/>
    <w:qFormat/>
    <w:uiPriority w:val="99"/>
    <w:pPr>
      <w:spacing w:after="120"/>
    </w:pPr>
  </w:style>
  <w:style w:type="paragraph" w:styleId="4">
    <w:name w:val="Body Text Indent"/>
    <w:basedOn w:val="1"/>
    <w:link w:val="20"/>
    <w:qFormat/>
    <w:uiPriority w:val="0"/>
    <w:pPr>
      <w:spacing w:after="120" w:line="360" w:lineRule="auto"/>
      <w:ind w:left="420" w:leftChars="200" w:firstLine="200" w:firstLineChars="200"/>
    </w:pPr>
    <w:rPr>
      <w:sz w:val="22"/>
    </w:rPr>
  </w:style>
  <w:style w:type="paragraph" w:styleId="5">
    <w:name w:val="Date"/>
    <w:basedOn w:val="1"/>
    <w:next w:val="1"/>
    <w:link w:val="17"/>
    <w:semiHidden/>
    <w:unhideWhenUsed/>
    <w:qFormat/>
    <w:uiPriority w:val="99"/>
    <w:pPr>
      <w:ind w:left="100" w:leftChars="2500"/>
    </w:pPr>
  </w:style>
  <w:style w:type="paragraph" w:styleId="6">
    <w:name w:val="Balloon Text"/>
    <w:basedOn w:val="1"/>
    <w:link w:val="18"/>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styleId="12">
    <w:name w:val="Emphasis"/>
    <w:basedOn w:val="10"/>
    <w:qFormat/>
    <w:uiPriority w:val="20"/>
    <w:rPr>
      <w:i/>
      <w:iCs/>
    </w:rPr>
  </w:style>
  <w:style w:type="character" w:styleId="13">
    <w:name w:val="Hyperlink"/>
    <w:basedOn w:val="10"/>
    <w:semiHidden/>
    <w:unhideWhenUsed/>
    <w:qFormat/>
    <w:uiPriority w:val="99"/>
    <w:rPr>
      <w:color w:val="0000FF"/>
      <w:u w:val="single"/>
    </w:rPr>
  </w:style>
  <w:style w:type="character" w:customStyle="1" w:styleId="14">
    <w:name w:val="页眉 字符"/>
    <w:basedOn w:val="10"/>
    <w:link w:val="8"/>
    <w:qFormat/>
    <w:uiPriority w:val="0"/>
    <w:rPr>
      <w:sz w:val="18"/>
      <w:szCs w:val="18"/>
    </w:rPr>
  </w:style>
  <w:style w:type="character" w:customStyle="1" w:styleId="15">
    <w:name w:val="页脚 字符"/>
    <w:basedOn w:val="10"/>
    <w:link w:val="7"/>
    <w:qFormat/>
    <w:uiPriority w:val="99"/>
    <w:rPr>
      <w:sz w:val="18"/>
      <w:szCs w:val="18"/>
    </w:rPr>
  </w:style>
  <w:style w:type="paragraph" w:customStyle="1" w:styleId="16">
    <w:name w:val="大纲正文样式"/>
    <w:basedOn w:val="1"/>
    <w:qFormat/>
    <w:uiPriority w:val="0"/>
    <w:pPr>
      <w:tabs>
        <w:tab w:val="left" w:pos="540"/>
      </w:tabs>
      <w:spacing w:line="300" w:lineRule="auto"/>
      <w:ind w:firstLine="200" w:firstLineChars="200"/>
    </w:pPr>
    <w:rPr>
      <w:color w:val="000000"/>
      <w:sz w:val="24"/>
    </w:rPr>
  </w:style>
  <w:style w:type="character" w:customStyle="1" w:styleId="17">
    <w:name w:val="日期 字符"/>
    <w:basedOn w:val="10"/>
    <w:link w:val="5"/>
    <w:semiHidden/>
    <w:qFormat/>
    <w:uiPriority w:val="99"/>
    <w:rPr>
      <w:rFonts w:ascii="Times New Roman" w:hAnsi="Times New Roman" w:eastAsia="宋体" w:cs="Times New Roman"/>
      <w:szCs w:val="24"/>
    </w:rPr>
  </w:style>
  <w:style w:type="character" w:customStyle="1" w:styleId="18">
    <w:name w:val="批注框文本 字符"/>
    <w:basedOn w:val="10"/>
    <w:link w:val="6"/>
    <w:semiHidden/>
    <w:qFormat/>
    <w:uiPriority w:val="99"/>
    <w:rPr>
      <w:rFonts w:ascii="Times New Roman" w:hAnsi="Times New Roman" w:eastAsia="宋体" w:cs="Times New Roman"/>
      <w:sz w:val="18"/>
      <w:szCs w:val="18"/>
    </w:rPr>
  </w:style>
  <w:style w:type="character" w:customStyle="1" w:styleId="19">
    <w:name w:val="标题 3 字符"/>
    <w:basedOn w:val="10"/>
    <w:link w:val="2"/>
    <w:qFormat/>
    <w:uiPriority w:val="9"/>
    <w:rPr>
      <w:rFonts w:ascii="宋体" w:hAnsi="宋体" w:eastAsia="宋体" w:cs="宋体"/>
      <w:b/>
      <w:bCs/>
      <w:kern w:val="0"/>
      <w:sz w:val="27"/>
      <w:szCs w:val="27"/>
    </w:rPr>
  </w:style>
  <w:style w:type="character" w:customStyle="1" w:styleId="20">
    <w:name w:val="正文文本缩进 字符"/>
    <w:basedOn w:val="10"/>
    <w:link w:val="4"/>
    <w:qFormat/>
    <w:uiPriority w:val="0"/>
    <w:rPr>
      <w:rFonts w:ascii="Times New Roman" w:hAnsi="Times New Roman" w:eastAsia="宋体" w:cs="Times New Roman"/>
      <w:sz w:val="22"/>
      <w:szCs w:val="24"/>
    </w:rPr>
  </w:style>
  <w:style w:type="character" w:customStyle="1" w:styleId="21">
    <w:name w:val="正文文本 字符"/>
    <w:basedOn w:val="10"/>
    <w:link w:val="3"/>
    <w:semiHidden/>
    <w:qFormat/>
    <w:uiPriority w:val="99"/>
    <w:rPr>
      <w:rFonts w:ascii="Times New Roman" w:hAnsi="Times New Roman" w:eastAsia="宋体" w:cs="Times New Roman"/>
      <w:szCs w:val="24"/>
    </w:rPr>
  </w:style>
  <w:style w:type="paragraph" w:styleId="22">
    <w:name w:val="List Paragraph"/>
    <w:basedOn w:val="1"/>
    <w:unhideWhenUsed/>
    <w:qFormat/>
    <w:uiPriority w:val="99"/>
    <w:pPr>
      <w:ind w:firstLine="420" w:firstLineChars="200"/>
    </w:pPr>
  </w:style>
  <w:style w:type="paragraph" w:customStyle="1" w:styleId="23">
    <w:name w:val="Char Char Char Char"/>
    <w:basedOn w:val="1"/>
    <w:qFormat/>
    <w:uiPriority w:val="0"/>
    <w:pPr>
      <w:widowControl/>
      <w:spacing w:after="160" w:line="240" w:lineRule="exact"/>
      <w:jc w:val="left"/>
    </w:pPr>
    <w:rPr>
      <w:rFonts w:ascii="Verdana" w:hAnsi="Verdana"/>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548D7B-1F1B-4AA1-B80E-6DEC33CB8F97}">
  <ds:schemaRefs/>
</ds:datastoreItem>
</file>

<file path=docProps/app.xml><?xml version="1.0" encoding="utf-8"?>
<Properties xmlns="http://schemas.openxmlformats.org/officeDocument/2006/extended-properties" xmlns:vt="http://schemas.openxmlformats.org/officeDocument/2006/docPropsVTypes">
  <Template>Normal</Template>
  <Company>2012dnd.com</Company>
  <Pages>6</Pages>
  <Words>2861</Words>
  <Characters>3097</Characters>
  <Lines>22</Lines>
  <Paragraphs>6</Paragraphs>
  <TotalTime>1</TotalTime>
  <ScaleCrop>false</ScaleCrop>
  <LinksUpToDate>false</LinksUpToDate>
  <CharactersWithSpaces>3134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2024-09-25T07:49:00Z</dcterms:created>
  <dc:creator>马丙辉</dc:creator>
  <cp:lastModifiedBy>sdb163</cp:lastModifiedBy>
  <dcterms:modified xsi:type="dcterms:W3CDTF">2026-04-29T01:07:45Z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E4138ECE02444FF6AFBB4A0E498D9E7D_12</vt:lpwstr>
  </property>
  <property fmtid="{D5CDD505-2E9C-101B-9397-08002B2CF9AE}" pid="4" name="KSOTemplateDocerSaveRecord">
    <vt:lpwstr>eyJoZGlkIjoiMmQwOTg0MDViMTIxZDkwMGYwMzk2ZTY3MjMyOTc3OTQiLCJ1c2VySWQiOiI0MzM0MDQzNjgifQ==</vt:lpwstr>
  </property>
</Properties>
</file>