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9F00D">
      <w:pPr>
        <w:jc w:val="center"/>
        <w:rPr>
          <w:rFonts w:ascii="黑体" w:eastAsia="黑体"/>
          <w:sz w:val="36"/>
          <w:szCs w:val="36"/>
        </w:rPr>
      </w:pPr>
      <w:bookmarkStart w:id="0" w:name="_Toc87445933"/>
    </w:p>
    <w:p w14:paraId="44ECFA38">
      <w:pPr>
        <w:jc w:val="center"/>
        <w:rPr>
          <w:rFonts w:ascii="黑体" w:eastAsia="黑体"/>
          <w:sz w:val="36"/>
          <w:szCs w:val="36"/>
        </w:rPr>
      </w:pPr>
    </w:p>
    <w:p w14:paraId="2673AB75">
      <w:pPr>
        <w:jc w:val="center"/>
        <w:rPr>
          <w:rFonts w:hint="default" w:ascii="黑体" w:eastAsia="黑体"/>
          <w:sz w:val="36"/>
          <w:szCs w:val="36"/>
          <w:lang w:val="en-US" w:eastAsia="zh-CN"/>
        </w:rPr>
      </w:pPr>
      <w:r>
        <w:rPr>
          <w:rFonts w:hint="eastAsia" w:ascii="黑体" w:eastAsia="黑体"/>
          <w:sz w:val="36"/>
          <w:szCs w:val="36"/>
        </w:rPr>
        <w:t>《仓储货物输送称重系统校准规范》不确定度评定报告</w:t>
      </w:r>
    </w:p>
    <w:p w14:paraId="134BCF67">
      <w:pPr>
        <w:jc w:val="center"/>
        <w:rPr>
          <w:rFonts w:hint="eastAsia" w:ascii="宋体" w:hAnsi="宋体" w:cs="宋体"/>
          <w:sz w:val="28"/>
          <w:szCs w:val="28"/>
        </w:rPr>
      </w:pPr>
    </w:p>
    <w:p w14:paraId="0DEA1F92">
      <w:pPr>
        <w:jc w:val="center"/>
        <w:rPr>
          <w:rFonts w:hint="eastAsia" w:ascii="黑体" w:hAnsi="黑体" w:eastAsia="黑体" w:cs="黑体"/>
          <w:sz w:val="28"/>
          <w:szCs w:val="28"/>
        </w:rPr>
      </w:pPr>
    </w:p>
    <w:p w14:paraId="1446DD49">
      <w:pPr>
        <w:jc w:val="center"/>
        <w:rPr>
          <w:rFonts w:hint="eastAsia" w:ascii="宋体" w:hAnsi="宋体" w:cs="宋体"/>
          <w:sz w:val="28"/>
          <w:szCs w:val="28"/>
        </w:rPr>
      </w:pPr>
    </w:p>
    <w:p w14:paraId="73B372B3">
      <w:pPr>
        <w:jc w:val="center"/>
        <w:rPr>
          <w:rFonts w:hint="eastAsia" w:ascii="宋体" w:hAnsi="宋体" w:cs="宋体"/>
          <w:sz w:val="28"/>
          <w:szCs w:val="28"/>
        </w:rPr>
      </w:pPr>
    </w:p>
    <w:p w14:paraId="3E3A0432">
      <w:pPr>
        <w:jc w:val="center"/>
        <w:rPr>
          <w:rFonts w:hint="eastAsia" w:ascii="宋体" w:hAnsi="宋体" w:cs="宋体"/>
          <w:sz w:val="28"/>
          <w:szCs w:val="28"/>
        </w:rPr>
      </w:pPr>
    </w:p>
    <w:p w14:paraId="531FB2CE">
      <w:pPr>
        <w:jc w:val="center"/>
        <w:rPr>
          <w:rFonts w:hint="eastAsia" w:ascii="宋体" w:hAnsi="宋体" w:cs="宋体"/>
          <w:sz w:val="28"/>
          <w:szCs w:val="28"/>
        </w:rPr>
      </w:pPr>
    </w:p>
    <w:p w14:paraId="1B2BAF72">
      <w:pPr>
        <w:jc w:val="center"/>
        <w:rPr>
          <w:rFonts w:hint="eastAsia" w:ascii="宋体" w:hAnsi="宋体" w:cs="宋体"/>
          <w:sz w:val="28"/>
          <w:szCs w:val="28"/>
        </w:rPr>
      </w:pPr>
    </w:p>
    <w:p w14:paraId="747D5993">
      <w:pPr>
        <w:jc w:val="center"/>
        <w:rPr>
          <w:rFonts w:hint="eastAsia" w:ascii="宋体" w:hAnsi="宋体" w:cs="宋体"/>
          <w:sz w:val="28"/>
          <w:szCs w:val="28"/>
        </w:rPr>
      </w:pPr>
    </w:p>
    <w:p w14:paraId="4089BEFD">
      <w:pPr>
        <w:rPr>
          <w:rFonts w:hint="eastAsia" w:ascii="宋体" w:hAnsi="宋体" w:cs="宋体"/>
          <w:sz w:val="28"/>
          <w:szCs w:val="28"/>
        </w:rPr>
      </w:pPr>
    </w:p>
    <w:p w14:paraId="3980944A">
      <w:pPr>
        <w:rPr>
          <w:rFonts w:hint="eastAsia" w:ascii="宋体" w:hAnsi="宋体" w:cs="宋体"/>
          <w:sz w:val="28"/>
          <w:szCs w:val="28"/>
        </w:rPr>
      </w:pPr>
    </w:p>
    <w:p w14:paraId="21A82F17">
      <w:pPr>
        <w:rPr>
          <w:rFonts w:hint="eastAsia" w:ascii="宋体" w:hAnsi="宋体" w:cs="宋体"/>
          <w:sz w:val="28"/>
          <w:szCs w:val="28"/>
        </w:rPr>
      </w:pPr>
    </w:p>
    <w:p w14:paraId="41A6B55D">
      <w:pPr>
        <w:jc w:val="center"/>
        <w:rPr>
          <w:rFonts w:hint="default" w:ascii="Times New Roman" w:hAnsi="Times New Roman" w:cs="Times New Roman"/>
          <w:sz w:val="28"/>
          <w:szCs w:val="28"/>
        </w:rPr>
      </w:pPr>
      <w:r>
        <w:rPr>
          <w:rFonts w:hint="default" w:ascii="Times New Roman" w:hAnsi="Times New Roman" w:cs="Times New Roman"/>
          <w:sz w:val="28"/>
          <w:szCs w:val="28"/>
        </w:rPr>
        <w:t>《仓储货物输送称重系统校准规范》起草小组</w:t>
      </w:r>
    </w:p>
    <w:p w14:paraId="15A47FE7">
      <w:pPr>
        <w:rPr>
          <w:rFonts w:hint="default" w:ascii="Times New Roman" w:hAnsi="Times New Roman" w:cs="Times New Roman"/>
        </w:rPr>
      </w:pPr>
    </w:p>
    <w:p w14:paraId="1E7587CC">
      <w:pPr>
        <w:jc w:val="center"/>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2026年4月</w:t>
      </w:r>
      <w:r>
        <w:rPr>
          <w:rFonts w:hint="eastAsia" w:ascii="Times New Roman" w:hAnsi="Times New Roman" w:cs="Times New Roman"/>
          <w:sz w:val="28"/>
          <w:szCs w:val="28"/>
          <w:lang w:val="en-US" w:eastAsia="zh-CN"/>
        </w:rPr>
        <w:t>17日</w:t>
      </w:r>
    </w:p>
    <w:p w14:paraId="4146FB51">
      <w:pPr>
        <w:widowControl/>
        <w:jc w:val="left"/>
        <w:rPr>
          <w:rFonts w:hint="default" w:ascii="Times New Roman" w:hAnsi="Times New Roman" w:cs="Times New Roman"/>
          <w:sz w:val="28"/>
          <w:szCs w:val="28"/>
        </w:rPr>
      </w:pPr>
      <w:r>
        <w:rPr>
          <w:rFonts w:hint="default" w:ascii="Times New Roman" w:hAnsi="Times New Roman" w:cs="Times New Roman"/>
          <w:sz w:val="28"/>
          <w:szCs w:val="28"/>
        </w:rPr>
        <w:br w:type="page"/>
      </w:r>
    </w:p>
    <w:bookmarkEnd w:id="0"/>
    <w:p w14:paraId="46F5D2A7">
      <w:pPr>
        <w:spacing w:after="156" w:afterLines="50"/>
        <w:jc w:val="center"/>
        <w:rPr>
          <w:rFonts w:hint="default" w:ascii="Times New Roman" w:hAnsi="Times New Roman" w:cs="Times New Roman" w:eastAsiaTheme="majorEastAsia"/>
          <w:b/>
          <w:bCs/>
          <w:kern w:val="2"/>
          <w:sz w:val="32"/>
          <w:szCs w:val="32"/>
          <w:lang w:val="en-US" w:eastAsia="zh-CN" w:bidi="ar-SA"/>
        </w:rPr>
      </w:pPr>
      <w:r>
        <w:rPr>
          <w:rFonts w:hint="default" w:ascii="Times New Roman" w:hAnsi="Times New Roman" w:cs="Times New Roman" w:eastAsiaTheme="majorEastAsia"/>
          <w:b/>
          <w:bCs/>
          <w:kern w:val="2"/>
          <w:sz w:val="32"/>
          <w:szCs w:val="32"/>
          <w:lang w:val="en-US" w:eastAsia="zh-CN" w:bidi="ar-SA"/>
        </w:rPr>
        <w:t>仓储货物输送称重系统测量结果</w:t>
      </w:r>
      <w:r>
        <w:rPr>
          <w:rFonts w:hint="eastAsia" w:ascii="Times New Roman" w:hAnsi="Times New Roman" w:cs="Times New Roman" w:eastAsiaTheme="majorEastAsia"/>
          <w:b/>
          <w:bCs/>
          <w:kern w:val="2"/>
          <w:sz w:val="32"/>
          <w:szCs w:val="32"/>
          <w:lang w:val="en-US" w:eastAsia="zh-CN" w:bidi="ar-SA"/>
        </w:rPr>
        <w:t>不确定度评定方法及</w:t>
      </w:r>
      <w:r>
        <w:rPr>
          <w:rFonts w:hint="default" w:ascii="Times New Roman" w:hAnsi="Times New Roman" w:cs="Times New Roman" w:eastAsiaTheme="majorEastAsia"/>
          <w:b/>
          <w:bCs/>
          <w:kern w:val="2"/>
          <w:sz w:val="32"/>
          <w:szCs w:val="32"/>
          <w:lang w:val="en-US" w:eastAsia="zh-CN" w:bidi="ar-SA"/>
        </w:rPr>
        <w:t>示例</w:t>
      </w:r>
    </w:p>
    <w:p w14:paraId="139E5837">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lang w:val="en-US" w:eastAsia="zh-CN"/>
        </w:rPr>
        <w:t xml:space="preserve">1 </w:t>
      </w:r>
      <w:r>
        <w:rPr>
          <w:rFonts w:hint="default" w:ascii="Times New Roman" w:hAnsi="Times New Roman" w:cs="Times New Roman"/>
          <w:color w:val="000000"/>
          <w:sz w:val="24"/>
        </w:rPr>
        <w:t>测量方法</w:t>
      </w:r>
    </w:p>
    <w:p w14:paraId="22A787EA">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1.1  测量对象：仓储货物输送称重系统；</w:t>
      </w:r>
    </w:p>
    <w:p w14:paraId="5A90148E">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1.2  测量标准：砝码或标准质量块；</w:t>
      </w:r>
    </w:p>
    <w:p w14:paraId="4DB67404">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1.3  测量依据：JJF XXXX-202X《仓储货物输送称重系统校准规范》；</w:t>
      </w:r>
    </w:p>
    <w:p w14:paraId="3BD2AF5F">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1.4  环境条件：（0~40）℃。</w:t>
      </w:r>
    </w:p>
    <w:p w14:paraId="18509F66">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1.5  测量过程：在规定的环境条件下，用标准器对称重系统进行校准，分别测定各校准点称量的示值误差。</w:t>
      </w:r>
    </w:p>
    <w:p w14:paraId="5E665890">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2  测量模型</w:t>
      </w:r>
    </w:p>
    <w:p w14:paraId="0E025DE3">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2.1  建模</w:t>
      </w:r>
    </w:p>
    <w:p w14:paraId="22AB8739">
      <w:pPr>
        <w:pStyle w:val="15"/>
        <w:spacing w:before="0" w:beforeAutospacing="0" w:after="0" w:afterAutospacing="0" w:line="360" w:lineRule="auto"/>
        <w:ind w:firstLine="480" w:firstLineChars="200"/>
        <w:jc w:val="both"/>
        <w:rPr>
          <w:rFonts w:hint="default" w:ascii="Times New Roman" w:hAnsi="Times New Roman" w:cs="Times New Roman"/>
          <w:color w:val="000000"/>
        </w:rPr>
      </w:pPr>
      <w:r>
        <w:rPr>
          <w:rFonts w:hint="default" w:ascii="Times New Roman" w:hAnsi="Times New Roman" w:cs="Times New Roman"/>
          <w:color w:val="000000"/>
        </w:rPr>
        <w:t>根据《仓储货物输送称重系统校准规范》中的要求和称量方法，建立测量模型：</w:t>
      </w:r>
    </w:p>
    <w:p w14:paraId="5F2A4AFA">
      <w:pPr>
        <w:autoSpaceDE w:val="0"/>
        <w:autoSpaceDN w:val="0"/>
        <w:adjustRightInd w:val="0"/>
        <w:spacing w:line="360" w:lineRule="auto"/>
        <w:jc w:val="right"/>
        <w:rPr>
          <w:rFonts w:hint="default" w:ascii="Times New Roman" w:hAnsi="Times New Roman" w:eastAsia="仿宋_GB2312" w:cs="Times New Roman"/>
          <w:position w:val="-6"/>
          <w:sz w:val="24"/>
        </w:rPr>
      </w:pPr>
      <w:r>
        <w:rPr>
          <w:rFonts w:hint="default" w:ascii="Times New Roman" w:hAnsi="Times New Roman" w:eastAsia="仿宋_GB2312" w:cs="Times New Roman"/>
          <w:position w:val="-6"/>
          <w:sz w:val="24"/>
        </w:rPr>
        <w:object>
          <v:shape id="_x0000_i1025" o:spt="75" type="#_x0000_t75" style="height:13.95pt;width:143.3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r>
        <w:rPr>
          <w:rFonts w:hint="default" w:ascii="Times New Roman" w:hAnsi="Times New Roman" w:eastAsia="仿宋_GB2312" w:cs="Times New Roman"/>
          <w:position w:val="-6"/>
          <w:sz w:val="24"/>
        </w:rPr>
        <w:t xml:space="preserve">                      （1）</w:t>
      </w:r>
    </w:p>
    <w:p w14:paraId="4F054150">
      <w:pPr>
        <w:autoSpaceDE w:val="0"/>
        <w:autoSpaceDN w:val="0"/>
        <w:adjustRightIn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式中：</w:t>
      </w:r>
    </w:p>
    <w:p w14:paraId="55673614">
      <w:pPr>
        <w:autoSpaceDE w:val="0"/>
        <w:autoSpaceDN w:val="0"/>
        <w:adjustRightInd w:val="0"/>
        <w:spacing w:line="360" w:lineRule="auto"/>
        <w:ind w:firstLine="960" w:firstLineChars="400"/>
        <w:rPr>
          <w:rFonts w:hint="default" w:ascii="Times New Roman" w:hAnsi="Times New Roman" w:cs="Times New Roman"/>
          <w:sz w:val="24"/>
        </w:rPr>
      </w:pPr>
      <w:r>
        <w:rPr>
          <w:rFonts w:hint="default" w:ascii="Times New Roman" w:hAnsi="Times New Roman" w:cs="Times New Roman"/>
          <w:i/>
          <w:iCs/>
          <w:sz w:val="24"/>
        </w:rPr>
        <w:t>E</w:t>
      </w:r>
      <w:r>
        <w:rPr>
          <w:rFonts w:hint="default" w:ascii="Times New Roman" w:hAnsi="Times New Roman" w:cs="Times New Roman"/>
          <w:sz w:val="24"/>
        </w:rPr>
        <w:t>——化整前的误差，kg</w:t>
      </w:r>
      <w:r>
        <w:rPr>
          <w:rFonts w:hint="default" w:ascii="Times New Roman" w:hAnsi="Times New Roman" w:cs="Times New Roman"/>
          <w:bCs/>
          <w:sz w:val="24"/>
        </w:rPr>
        <w:t>或</w:t>
      </w:r>
      <w:r>
        <w:rPr>
          <w:rFonts w:hint="default" w:ascii="Times New Roman" w:hAnsi="Times New Roman" w:cs="Times New Roman"/>
          <w:sz w:val="24"/>
        </w:rPr>
        <w:t>g</w:t>
      </w:r>
      <w:r>
        <w:rPr>
          <w:rFonts w:hint="default" w:ascii="Times New Roman" w:hAnsi="Times New Roman" w:cs="Times New Roman"/>
          <w:iCs/>
          <w:sz w:val="24"/>
        </w:rPr>
        <w:t>、t</w:t>
      </w:r>
      <w:r>
        <w:rPr>
          <w:rFonts w:hint="default" w:ascii="Times New Roman" w:hAnsi="Times New Roman" w:cs="Times New Roman"/>
          <w:sz w:val="24"/>
        </w:rPr>
        <w:t>；</w:t>
      </w:r>
    </w:p>
    <w:p w14:paraId="4E559350">
      <w:pPr>
        <w:autoSpaceDE w:val="0"/>
        <w:autoSpaceDN w:val="0"/>
        <w:adjustRightInd w:val="0"/>
        <w:spacing w:line="360" w:lineRule="auto"/>
        <w:ind w:firstLine="960" w:firstLineChars="400"/>
        <w:rPr>
          <w:rFonts w:hint="default" w:ascii="Times New Roman" w:hAnsi="Times New Roman" w:cs="Times New Roman"/>
          <w:sz w:val="24"/>
        </w:rPr>
      </w:pPr>
      <w:r>
        <w:rPr>
          <w:rFonts w:hint="default" w:ascii="Times New Roman" w:hAnsi="Times New Roman" w:cs="Times New Roman"/>
          <w:i/>
          <w:iCs/>
          <w:sz w:val="24"/>
        </w:rPr>
        <w:t>P</w:t>
      </w:r>
      <w:r>
        <w:rPr>
          <w:rFonts w:hint="default" w:ascii="Times New Roman" w:hAnsi="Times New Roman" w:cs="Times New Roman"/>
          <w:sz w:val="24"/>
        </w:rPr>
        <w:t>——化整前的示值，kg</w:t>
      </w:r>
      <w:r>
        <w:rPr>
          <w:rFonts w:hint="default" w:ascii="Times New Roman" w:hAnsi="Times New Roman" w:cs="Times New Roman"/>
          <w:bCs/>
          <w:sz w:val="24"/>
        </w:rPr>
        <w:t>或</w:t>
      </w:r>
      <w:r>
        <w:rPr>
          <w:rFonts w:hint="default" w:ascii="Times New Roman" w:hAnsi="Times New Roman" w:cs="Times New Roman"/>
          <w:sz w:val="24"/>
        </w:rPr>
        <w:t>g</w:t>
      </w:r>
      <w:r>
        <w:rPr>
          <w:rFonts w:hint="default" w:ascii="Times New Roman" w:hAnsi="Times New Roman" w:cs="Times New Roman"/>
          <w:iCs/>
          <w:sz w:val="24"/>
        </w:rPr>
        <w:t>、t</w:t>
      </w:r>
      <w:r>
        <w:rPr>
          <w:rFonts w:hint="default" w:ascii="Times New Roman" w:hAnsi="Times New Roman" w:cs="Times New Roman"/>
          <w:sz w:val="24"/>
        </w:rPr>
        <w:t>；</w:t>
      </w:r>
    </w:p>
    <w:p w14:paraId="3F62C785">
      <w:pPr>
        <w:autoSpaceDE w:val="0"/>
        <w:autoSpaceDN w:val="0"/>
        <w:adjustRightInd w:val="0"/>
        <w:spacing w:line="360" w:lineRule="auto"/>
        <w:ind w:firstLine="960" w:firstLineChars="400"/>
        <w:rPr>
          <w:rFonts w:hint="default" w:ascii="Times New Roman" w:hAnsi="Times New Roman" w:cs="Times New Roman"/>
          <w:sz w:val="24"/>
        </w:rPr>
      </w:pPr>
      <w:r>
        <w:rPr>
          <w:rFonts w:hint="default" w:ascii="Times New Roman" w:hAnsi="Times New Roman" w:cs="Times New Roman"/>
          <w:i/>
          <w:iCs/>
          <w:sz w:val="24"/>
        </w:rPr>
        <w:t>I</w:t>
      </w:r>
      <w:r>
        <w:rPr>
          <w:rFonts w:hint="default" w:ascii="Times New Roman" w:hAnsi="Times New Roman" w:cs="Times New Roman"/>
          <w:sz w:val="24"/>
        </w:rPr>
        <w:t>——示值，kg</w:t>
      </w:r>
      <w:r>
        <w:rPr>
          <w:rFonts w:hint="default" w:ascii="Times New Roman" w:hAnsi="Times New Roman" w:cs="Times New Roman"/>
          <w:bCs/>
          <w:sz w:val="24"/>
        </w:rPr>
        <w:t>或</w:t>
      </w:r>
      <w:r>
        <w:rPr>
          <w:rFonts w:hint="default" w:ascii="Times New Roman" w:hAnsi="Times New Roman" w:cs="Times New Roman"/>
          <w:sz w:val="24"/>
        </w:rPr>
        <w:t>g</w:t>
      </w:r>
      <w:r>
        <w:rPr>
          <w:rFonts w:hint="default" w:ascii="Times New Roman" w:hAnsi="Times New Roman" w:cs="Times New Roman"/>
          <w:iCs/>
          <w:sz w:val="24"/>
        </w:rPr>
        <w:t>、t</w:t>
      </w:r>
      <w:r>
        <w:rPr>
          <w:rFonts w:hint="default" w:ascii="Times New Roman" w:hAnsi="Times New Roman" w:cs="Times New Roman"/>
          <w:sz w:val="24"/>
        </w:rPr>
        <w:t>；</w:t>
      </w:r>
    </w:p>
    <w:p w14:paraId="49090D75">
      <w:pPr>
        <w:autoSpaceDE w:val="0"/>
        <w:autoSpaceDN w:val="0"/>
        <w:adjustRightInd w:val="0"/>
        <w:spacing w:line="360" w:lineRule="auto"/>
        <w:ind w:firstLine="960" w:firstLineChars="400"/>
        <w:rPr>
          <w:rFonts w:hint="default" w:ascii="Times New Roman" w:hAnsi="Times New Roman" w:cs="Times New Roman"/>
          <w:sz w:val="24"/>
        </w:rPr>
      </w:pPr>
      <w:r>
        <w:rPr>
          <w:rFonts w:hint="default" w:ascii="Times New Roman" w:hAnsi="Times New Roman" w:cs="Times New Roman"/>
          <w:i/>
          <w:iCs/>
          <w:sz w:val="24"/>
        </w:rPr>
        <w:t>L</w:t>
      </w:r>
      <w:r>
        <w:rPr>
          <w:rFonts w:hint="default" w:ascii="Times New Roman" w:hAnsi="Times New Roman" w:cs="Times New Roman"/>
          <w:sz w:val="24"/>
        </w:rPr>
        <w:t>——载荷，kg</w:t>
      </w:r>
      <w:r>
        <w:rPr>
          <w:rFonts w:hint="default" w:ascii="Times New Roman" w:hAnsi="Times New Roman" w:cs="Times New Roman"/>
          <w:bCs/>
          <w:sz w:val="24"/>
        </w:rPr>
        <w:t>或</w:t>
      </w:r>
      <w:r>
        <w:rPr>
          <w:rFonts w:hint="default" w:ascii="Times New Roman" w:hAnsi="Times New Roman" w:cs="Times New Roman"/>
          <w:sz w:val="24"/>
        </w:rPr>
        <w:t>g</w:t>
      </w:r>
      <w:r>
        <w:rPr>
          <w:rFonts w:hint="default" w:ascii="Times New Roman" w:hAnsi="Times New Roman" w:cs="Times New Roman"/>
          <w:iCs/>
          <w:sz w:val="24"/>
        </w:rPr>
        <w:t>、t</w:t>
      </w:r>
      <w:r>
        <w:rPr>
          <w:rFonts w:hint="default" w:ascii="Times New Roman" w:hAnsi="Times New Roman" w:cs="Times New Roman"/>
          <w:sz w:val="24"/>
        </w:rPr>
        <w:t>；</w:t>
      </w:r>
    </w:p>
    <w:p w14:paraId="1410F8E7">
      <w:pPr>
        <w:autoSpaceDE w:val="0"/>
        <w:autoSpaceDN w:val="0"/>
        <w:adjustRightInd w:val="0"/>
        <w:spacing w:line="360" w:lineRule="auto"/>
        <w:ind w:firstLine="960" w:firstLineChars="400"/>
        <w:rPr>
          <w:rFonts w:hint="default" w:ascii="Times New Roman" w:hAnsi="Times New Roman" w:cs="Times New Roman"/>
          <w:sz w:val="24"/>
        </w:rPr>
      </w:pPr>
      <w:r>
        <w:rPr>
          <w:rFonts w:hint="default" w:ascii="Times New Roman" w:hAnsi="Times New Roman" w:cs="Times New Roman"/>
          <w:i/>
          <w:iCs/>
          <w:sz w:val="24"/>
        </w:rPr>
        <w:t>ΔL</w:t>
      </w:r>
      <w:r>
        <w:rPr>
          <w:rFonts w:hint="default" w:ascii="Times New Roman" w:hAnsi="Times New Roman" w:cs="Times New Roman"/>
          <w:sz w:val="24"/>
        </w:rPr>
        <w:t>——附加载荷，kg</w:t>
      </w:r>
      <w:r>
        <w:rPr>
          <w:rFonts w:hint="default" w:ascii="Times New Roman" w:hAnsi="Times New Roman" w:cs="Times New Roman"/>
          <w:bCs/>
          <w:sz w:val="24"/>
        </w:rPr>
        <w:t>或</w:t>
      </w:r>
      <w:r>
        <w:rPr>
          <w:rFonts w:hint="default" w:ascii="Times New Roman" w:hAnsi="Times New Roman" w:cs="Times New Roman"/>
          <w:sz w:val="24"/>
        </w:rPr>
        <w:t>g</w:t>
      </w:r>
      <w:r>
        <w:rPr>
          <w:rFonts w:hint="default" w:ascii="Times New Roman" w:hAnsi="Times New Roman" w:cs="Times New Roman"/>
          <w:iCs/>
          <w:sz w:val="24"/>
        </w:rPr>
        <w:t>、t</w:t>
      </w:r>
      <w:r>
        <w:rPr>
          <w:rFonts w:hint="default" w:ascii="Times New Roman" w:hAnsi="Times New Roman" w:cs="Times New Roman"/>
          <w:sz w:val="24"/>
        </w:rPr>
        <w:t>；</w:t>
      </w:r>
    </w:p>
    <w:p w14:paraId="258FDBCF">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当称重系统具备扩展指示装置且在校准中使用时，上述公式可直接简化为</w:t>
      </w:r>
      <w:r>
        <w:rPr>
          <w:rFonts w:hint="default" w:ascii="Times New Roman" w:hAnsi="Times New Roman" w:cs="Times New Roman"/>
          <w:i/>
          <w:iCs/>
          <w:color w:val="000000"/>
          <w:sz w:val="24"/>
        </w:rPr>
        <w:t>E</w:t>
      </w:r>
      <w:r>
        <w:rPr>
          <w:rFonts w:hint="default" w:ascii="Times New Roman" w:hAnsi="Times New Roman" w:cs="Times New Roman"/>
          <w:color w:val="000000"/>
          <w:sz w:val="24"/>
        </w:rPr>
        <w:t>=</w:t>
      </w:r>
      <w:r>
        <w:rPr>
          <w:rFonts w:hint="default" w:ascii="Times New Roman" w:hAnsi="Times New Roman" w:cs="Times New Roman"/>
          <w:i/>
          <w:iCs/>
          <w:color w:val="000000"/>
          <w:sz w:val="24"/>
        </w:rPr>
        <w:t>I</w:t>
      </w:r>
      <w:r>
        <w:rPr>
          <w:rFonts w:hint="default" w:ascii="Times New Roman" w:hAnsi="Times New Roman" w:cs="Times New Roman"/>
          <w:color w:val="000000"/>
          <w:sz w:val="24"/>
        </w:rPr>
        <w:t>-</w:t>
      </w:r>
      <w:r>
        <w:rPr>
          <w:rFonts w:hint="default" w:ascii="Times New Roman" w:hAnsi="Times New Roman" w:cs="Times New Roman"/>
          <w:i/>
          <w:iCs/>
          <w:color w:val="000000"/>
          <w:sz w:val="24"/>
        </w:rPr>
        <w:t>L</w:t>
      </w:r>
      <w:r>
        <w:rPr>
          <w:rFonts w:hint="default" w:ascii="Times New Roman" w:hAnsi="Times New Roman" w:cs="Times New Roman"/>
          <w:color w:val="000000"/>
          <w:sz w:val="24"/>
        </w:rPr>
        <w:t>。</w:t>
      </w:r>
    </w:p>
    <w:p w14:paraId="33081D3A">
      <w:pPr>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如果称重系统不具备扩展指示装置，采用（1）式计算误差，考虑不确定度评定时，0.5</w:t>
      </w:r>
      <w:r>
        <w:rPr>
          <w:rFonts w:hint="default" w:ascii="Times New Roman" w:hAnsi="Times New Roman" w:cs="Times New Roman"/>
          <w:i/>
          <w:iCs/>
          <w:color w:val="000000"/>
          <w:sz w:val="24"/>
        </w:rPr>
        <w:t>d</w:t>
      </w:r>
      <w:r>
        <w:rPr>
          <w:rFonts w:hint="default" w:ascii="Times New Roman" w:hAnsi="Times New Roman" w:cs="Times New Roman"/>
          <w:color w:val="000000"/>
          <w:sz w:val="24"/>
        </w:rPr>
        <w:t>为常量，不产生不确定度分量，</w:t>
      </w:r>
      <w:r>
        <w:rPr>
          <w:rFonts w:hint="default" w:ascii="Times New Roman" w:hAnsi="Times New Roman" w:cs="Times New Roman"/>
          <w:i/>
          <w:iCs/>
          <w:sz w:val="24"/>
        </w:rPr>
        <w:t>ΔL</w:t>
      </w:r>
      <w:r>
        <w:rPr>
          <w:rFonts w:hint="default" w:ascii="Times New Roman" w:hAnsi="Times New Roman" w:cs="Times New Roman"/>
          <w:color w:val="000000"/>
          <w:sz w:val="24"/>
        </w:rPr>
        <w:t>为附加砝码，相对</w:t>
      </w:r>
      <w:r>
        <w:rPr>
          <w:rFonts w:hint="default" w:ascii="Times New Roman" w:hAnsi="Times New Roman" w:cs="Times New Roman"/>
          <w:i/>
          <w:color w:val="000000"/>
          <w:sz w:val="24"/>
        </w:rPr>
        <w:t>I</w:t>
      </w:r>
      <w:r>
        <w:rPr>
          <w:rFonts w:hint="default" w:ascii="Times New Roman" w:hAnsi="Times New Roman" w:cs="Times New Roman"/>
          <w:color w:val="000000"/>
          <w:sz w:val="24"/>
        </w:rPr>
        <w:t>和</w:t>
      </w:r>
      <w:r>
        <w:rPr>
          <w:rFonts w:hint="default" w:ascii="Times New Roman" w:hAnsi="Times New Roman" w:cs="Times New Roman"/>
          <w:i/>
          <w:color w:val="000000"/>
          <w:sz w:val="24"/>
        </w:rPr>
        <w:t>L</w:t>
      </w:r>
      <w:r>
        <w:rPr>
          <w:rFonts w:hint="default" w:ascii="Times New Roman" w:hAnsi="Times New Roman" w:cs="Times New Roman"/>
          <w:color w:val="000000"/>
          <w:sz w:val="24"/>
        </w:rPr>
        <w:t>至少小一个数量级，也可忽略，因此对于称重系统的测量误差，进行不确定评定的测量模型为：</w:t>
      </w:r>
    </w:p>
    <w:p w14:paraId="6CE8D9EA">
      <w:pPr>
        <w:autoSpaceDE w:val="0"/>
        <w:autoSpaceDN w:val="0"/>
        <w:adjustRightInd w:val="0"/>
        <w:spacing w:line="360" w:lineRule="auto"/>
        <w:jc w:val="right"/>
        <w:rPr>
          <w:rFonts w:hint="default" w:ascii="Times New Roman" w:hAnsi="Times New Roman" w:cs="Times New Roman"/>
          <w:sz w:val="24"/>
        </w:rPr>
      </w:pPr>
      <w:r>
        <w:rPr>
          <w:rFonts w:hint="default" w:ascii="Times New Roman" w:hAnsi="Times New Roman" w:cs="Times New Roman"/>
          <w:color w:val="000000"/>
          <w:sz w:val="24"/>
        </w:rPr>
        <w:object>
          <v:shape id="_x0000_i1026" o:spt="75" type="#_x0000_t75" style="height:14.25pt;width:57.75pt;" o:ole="t" filled="f" o:preferrelative="t" stroked="f" coordsize="21600,21600">
            <v:path/>
            <v:fill on="f" focussize="0,0"/>
            <v:stroke on="f"/>
            <v:imagedata r:id="rId8" o:title=""/>
            <o:lock v:ext="edit" aspectratio="t"/>
            <w10:wrap type="none"/>
            <w10:anchorlock/>
          </v:shape>
          <o:OLEObject Type="Embed" ProgID="Equation.DSMT4" ShapeID="_x0000_i1026" DrawAspect="Content" ObjectID="_1468075726" r:id="rId7">
            <o:LockedField>false</o:LockedField>
          </o:OLEObject>
        </w:object>
      </w:r>
      <w:r>
        <w:rPr>
          <w:rFonts w:hint="default" w:ascii="Times New Roman" w:hAnsi="Times New Roman" w:cs="Times New Roman"/>
          <w:color w:val="000000"/>
          <w:sz w:val="24"/>
        </w:rPr>
        <w:t xml:space="preserve">                            (2)</w:t>
      </w:r>
    </w:p>
    <w:p w14:paraId="217709DF">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2.2  方差传递公式</w:t>
      </w:r>
    </w:p>
    <w:p w14:paraId="47FD3C96">
      <w:pPr>
        <w:widowControl/>
        <w:spacing w:line="400" w:lineRule="exact"/>
        <w:jc w:val="right"/>
        <w:rPr>
          <w:rFonts w:hint="default" w:ascii="Times New Roman" w:hAnsi="Times New Roman" w:cs="Times New Roman"/>
          <w:color w:val="000000"/>
          <w:sz w:val="24"/>
        </w:rPr>
      </w:pPr>
      <w:r>
        <w:rPr>
          <w:rFonts w:hint="default" w:ascii="Times New Roman" w:hAnsi="Times New Roman" w:cs="Times New Roman"/>
          <w:color w:val="000000"/>
          <w:position w:val="-12"/>
          <w:sz w:val="24"/>
        </w:rPr>
        <w:object>
          <v:shape id="_x0000_i1027" o:spt="75" type="#_x0000_t75" style="height:19pt;width:128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r>
        <w:rPr>
          <w:rFonts w:hint="default" w:ascii="Times New Roman" w:hAnsi="Times New Roman" w:cs="Times New Roman"/>
          <w:color w:val="000000"/>
          <w:sz w:val="24"/>
        </w:rPr>
        <w:t xml:space="preserve">                     (3)</w:t>
      </w:r>
    </w:p>
    <w:p w14:paraId="5483E210">
      <w:pPr>
        <w:spacing w:line="360" w:lineRule="auto"/>
        <w:jc w:val="left"/>
        <w:rPr>
          <w:rFonts w:hint="default" w:ascii="Times New Roman" w:hAnsi="Times New Roman" w:cs="Times New Roman"/>
          <w:color w:val="000000"/>
          <w:sz w:val="24"/>
        </w:rPr>
      </w:pPr>
      <w:r>
        <w:rPr>
          <w:rFonts w:hint="default" w:ascii="Times New Roman" w:hAnsi="Times New Roman" w:cs="Times New Roman"/>
          <w:color w:val="000000"/>
          <w:sz w:val="24"/>
        </w:rPr>
        <w:t>2.3  方差和灵敏系数</w:t>
      </w:r>
    </w:p>
    <w:p w14:paraId="6F718A0C">
      <w:pPr>
        <w:widowControl/>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I</w:t>
      </w:r>
      <w:r>
        <w:rPr>
          <w:rFonts w:hint="default" w:ascii="Times New Roman" w:hAnsi="Times New Roman" w:cs="Times New Roman"/>
          <w:sz w:val="24"/>
        </w:rPr>
        <w:t>的灵敏系数：</w:t>
      </w:r>
    </w:p>
    <w:p w14:paraId="2DBAEC9E">
      <w:pPr>
        <w:widowControl/>
        <w:spacing w:line="400" w:lineRule="exact"/>
        <w:jc w:val="right"/>
        <w:rPr>
          <w:rFonts w:hint="default" w:ascii="Times New Roman" w:hAnsi="Times New Roman" w:cs="Times New Roman"/>
          <w:color w:val="000000"/>
          <w:sz w:val="24"/>
        </w:rPr>
      </w:pPr>
      <w:r>
        <w:rPr>
          <w:rFonts w:hint="default" w:ascii="Times New Roman" w:hAnsi="Times New Roman" w:cs="Times New Roman"/>
          <w:i/>
          <w:sz w:val="24"/>
        </w:rPr>
        <w:t>c</w:t>
      </w:r>
      <w:r>
        <w:rPr>
          <w:rFonts w:hint="default" w:ascii="Times New Roman" w:hAnsi="Times New Roman" w:cs="Times New Roman"/>
          <w:sz w:val="24"/>
          <w:vertAlign w:val="subscript"/>
        </w:rPr>
        <w:t>1</w:t>
      </w:r>
      <w:r>
        <w:rPr>
          <w:rFonts w:hint="default" w:ascii="Times New Roman" w:hAnsi="Times New Roman" w:cs="Times New Roman"/>
          <w:sz w:val="24"/>
        </w:rPr>
        <w:t xml:space="preserve"> = ∂E/ ∂</w:t>
      </w:r>
      <w:r>
        <w:rPr>
          <w:rFonts w:hint="default" w:ascii="Times New Roman" w:hAnsi="Times New Roman" w:cs="Times New Roman"/>
          <w:i/>
          <w:sz w:val="24"/>
        </w:rPr>
        <w:t>I</w:t>
      </w:r>
      <w:r>
        <w:rPr>
          <w:rFonts w:hint="default" w:ascii="Times New Roman" w:hAnsi="Times New Roman" w:cs="Times New Roman"/>
          <w:sz w:val="24"/>
        </w:rPr>
        <w:t xml:space="preserve"> =1</w:t>
      </w:r>
      <w:r>
        <w:rPr>
          <w:rFonts w:hint="default" w:ascii="Times New Roman" w:hAnsi="Times New Roman" w:cs="Times New Roman"/>
          <w:bCs/>
          <w:sz w:val="24"/>
        </w:rPr>
        <w:t xml:space="preserve">                          </w:t>
      </w:r>
      <w:r>
        <w:rPr>
          <w:rFonts w:hint="default" w:ascii="Times New Roman" w:hAnsi="Times New Roman" w:cs="Times New Roman"/>
          <w:color w:val="000000"/>
          <w:sz w:val="24"/>
        </w:rPr>
        <w:t xml:space="preserve"> (4)</w:t>
      </w:r>
    </w:p>
    <w:p w14:paraId="583F0CD7">
      <w:pPr>
        <w:widowControl/>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i/>
          <w:sz w:val="24"/>
        </w:rPr>
        <w:t>L</w:t>
      </w:r>
      <w:r>
        <w:rPr>
          <w:rFonts w:hint="default" w:ascii="Times New Roman" w:hAnsi="Times New Roman" w:cs="Times New Roman"/>
          <w:sz w:val="24"/>
        </w:rPr>
        <w:t>的灵敏系数：</w:t>
      </w:r>
    </w:p>
    <w:p w14:paraId="1587425C">
      <w:pPr>
        <w:widowControl/>
        <w:spacing w:line="400" w:lineRule="exact"/>
        <w:jc w:val="right"/>
        <w:rPr>
          <w:rFonts w:hint="default" w:ascii="Times New Roman" w:hAnsi="Times New Roman" w:cs="Times New Roman"/>
          <w:color w:val="000000"/>
          <w:sz w:val="24"/>
        </w:rPr>
      </w:pPr>
      <w:r>
        <w:rPr>
          <w:rFonts w:hint="default" w:ascii="Times New Roman" w:hAnsi="Times New Roman" w:cs="Times New Roman"/>
          <w:i/>
          <w:sz w:val="24"/>
        </w:rPr>
        <w:t>c</w:t>
      </w:r>
      <w:r>
        <w:rPr>
          <w:rFonts w:hint="default" w:ascii="Times New Roman" w:hAnsi="Times New Roman" w:cs="Times New Roman"/>
          <w:sz w:val="24"/>
          <w:vertAlign w:val="subscript"/>
        </w:rPr>
        <w:t>2</w:t>
      </w:r>
      <w:r>
        <w:rPr>
          <w:rFonts w:hint="default" w:ascii="Times New Roman" w:hAnsi="Times New Roman" w:cs="Times New Roman"/>
          <w:sz w:val="24"/>
        </w:rPr>
        <w:t xml:space="preserve"> = ∂E/ ∂</w:t>
      </w:r>
      <w:r>
        <w:rPr>
          <w:rFonts w:hint="default" w:ascii="Times New Roman" w:hAnsi="Times New Roman" w:cs="Times New Roman"/>
          <w:i/>
          <w:sz w:val="24"/>
        </w:rPr>
        <w:t>L</w:t>
      </w:r>
      <w:r>
        <w:rPr>
          <w:rFonts w:hint="default" w:ascii="Times New Roman" w:hAnsi="Times New Roman" w:cs="Times New Roman"/>
          <w:sz w:val="24"/>
        </w:rPr>
        <w:t xml:space="preserve"> =-1</w:t>
      </w:r>
      <w:r>
        <w:rPr>
          <w:rFonts w:hint="default" w:ascii="Times New Roman" w:hAnsi="Times New Roman" w:cs="Times New Roman"/>
          <w:bCs/>
          <w:sz w:val="24"/>
        </w:rPr>
        <w:t xml:space="preserve">                         </w:t>
      </w:r>
      <w:r>
        <w:rPr>
          <w:rFonts w:hint="default" w:ascii="Times New Roman" w:hAnsi="Times New Roman" w:cs="Times New Roman"/>
          <w:color w:val="000000"/>
          <w:sz w:val="24"/>
        </w:rPr>
        <w:t>(5)</w:t>
      </w:r>
    </w:p>
    <w:p w14:paraId="2531016B">
      <w:pPr>
        <w:ind w:firstLine="480" w:firstLineChars="200"/>
        <w:rPr>
          <w:rFonts w:hint="default" w:ascii="Times New Roman" w:hAnsi="Times New Roman" w:cs="Times New Roman"/>
          <w:sz w:val="24"/>
        </w:rPr>
      </w:pPr>
      <w:r>
        <w:rPr>
          <w:rFonts w:hint="default" w:ascii="Times New Roman" w:hAnsi="Times New Roman" w:cs="Times New Roman"/>
          <w:color w:val="000000"/>
          <w:sz w:val="24"/>
        </w:rPr>
        <w:t xml:space="preserve">因此 </w:t>
      </w:r>
    </w:p>
    <w:p w14:paraId="0B50A935">
      <w:pPr>
        <w:spacing w:line="360" w:lineRule="auto"/>
        <w:ind w:firstLine="2760" w:firstLineChars="1150"/>
        <w:jc w:val="right"/>
        <w:rPr>
          <w:rFonts w:hint="default" w:ascii="Times New Roman" w:hAnsi="Times New Roman" w:cs="Times New Roman"/>
          <w:color w:val="000000"/>
          <w:sz w:val="24"/>
        </w:rPr>
      </w:pPr>
      <w:r>
        <w:rPr>
          <w:rFonts w:hint="eastAsia" w:ascii="Times New Roman" w:hAnsi="Times New Roman" w:eastAsia="黑体" w:cs="Times New Roman"/>
          <w:color w:val="000000"/>
          <w:sz w:val="24"/>
          <w:szCs w:val="22"/>
          <w:lang w:val="en-US" w:eastAsia="zh-CN"/>
        </w:rPr>
        <w:t xml:space="preserve">  </w:t>
      </w:r>
      <w:r>
        <w:rPr>
          <w:rFonts w:hint="default" w:ascii="Times New Roman" w:hAnsi="Times New Roman" w:eastAsia="黑体" w:cs="Times New Roman"/>
          <w:color w:val="000000"/>
          <w:position w:val="-12"/>
          <w:sz w:val="24"/>
          <w:szCs w:val="22"/>
        </w:rPr>
        <w:object>
          <v:shape id="_x0000_i1028" o:spt="75" type="#_x0000_t75" style="height:19pt;width:108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r>
        <w:rPr>
          <w:rFonts w:hint="default" w:ascii="Times New Roman" w:hAnsi="Times New Roman" w:eastAsia="黑体" w:cs="Times New Roman"/>
          <w:color w:val="000000"/>
          <w:sz w:val="24"/>
          <w:szCs w:val="22"/>
        </w:rPr>
        <w:t xml:space="preserve">            </w:t>
      </w:r>
      <w:r>
        <w:rPr>
          <w:rFonts w:hint="eastAsia" w:ascii="Times New Roman" w:hAnsi="Times New Roman" w:eastAsia="黑体" w:cs="Times New Roman"/>
          <w:color w:val="000000"/>
          <w:sz w:val="24"/>
          <w:szCs w:val="22"/>
          <w:lang w:val="en-US" w:eastAsia="zh-CN"/>
        </w:rPr>
        <w:t xml:space="preserve">   </w:t>
      </w:r>
      <w:r>
        <w:rPr>
          <w:rFonts w:hint="default" w:ascii="Times New Roman" w:hAnsi="Times New Roman" w:eastAsia="黑体" w:cs="Times New Roman"/>
          <w:color w:val="000000"/>
          <w:sz w:val="24"/>
          <w:szCs w:val="22"/>
        </w:rPr>
        <w:t xml:space="preserve">       </w:t>
      </w:r>
      <w:r>
        <w:rPr>
          <w:rFonts w:hint="default" w:ascii="Times New Roman" w:hAnsi="Times New Roman" w:cs="Times New Roman"/>
          <w:color w:val="000000"/>
          <w:sz w:val="24"/>
        </w:rPr>
        <w:t>(6)</w:t>
      </w:r>
    </w:p>
    <w:p w14:paraId="52D1074E">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3  不确定度的分量评定</w:t>
      </w:r>
    </w:p>
    <w:p w14:paraId="43498B60">
      <w:pPr>
        <w:widowControl/>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不确定度来源主要包括：</w:t>
      </w:r>
    </w:p>
    <w:p w14:paraId="6B69D054">
      <w:pPr>
        <w:widowControl/>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——测量重复性引入的标准不确定度</w:t>
      </w:r>
      <w:r>
        <w:rPr>
          <w:rFonts w:hint="default" w:ascii="Times New Roman" w:hAnsi="Times New Roman" w:cs="Times New Roman"/>
          <w:i/>
          <w:sz w:val="24"/>
        </w:rPr>
        <w:t>u</w:t>
      </w:r>
      <w:r>
        <w:rPr>
          <w:rFonts w:hint="default" w:ascii="Times New Roman" w:hAnsi="Times New Roman" w:cs="Times New Roman"/>
          <w:sz w:val="24"/>
          <w:vertAlign w:val="subscript"/>
        </w:rPr>
        <w:t>1</w:t>
      </w:r>
      <w:r>
        <w:rPr>
          <w:rFonts w:hint="default" w:ascii="Times New Roman" w:hAnsi="Times New Roman" w:cs="Times New Roman"/>
          <w:sz w:val="24"/>
        </w:rPr>
        <w:t xml:space="preserve"> ; </w:t>
      </w:r>
    </w:p>
    <w:p w14:paraId="582374F6">
      <w:pPr>
        <w:widowControl/>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——称重系统分辨力引入的标准不确定度</w:t>
      </w:r>
      <w:r>
        <w:rPr>
          <w:rFonts w:hint="default" w:ascii="Times New Roman" w:hAnsi="Times New Roman" w:cs="Times New Roman"/>
          <w:i/>
          <w:sz w:val="24"/>
        </w:rPr>
        <w:t>u</w:t>
      </w:r>
      <w:r>
        <w:rPr>
          <w:rFonts w:hint="default" w:ascii="Times New Roman" w:hAnsi="Times New Roman" w:cs="Times New Roman"/>
          <w:sz w:val="24"/>
          <w:vertAlign w:val="subscript"/>
        </w:rPr>
        <w:t>2</w:t>
      </w:r>
      <w:r>
        <w:rPr>
          <w:rFonts w:hint="default" w:ascii="Times New Roman" w:hAnsi="Times New Roman" w:cs="Times New Roman"/>
          <w:sz w:val="24"/>
        </w:rPr>
        <w:t xml:space="preserve"> ;  </w:t>
      </w:r>
    </w:p>
    <w:p w14:paraId="4F9248DE">
      <w:pPr>
        <w:widowControl/>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——同一载荷在不同位置的示值偏差引入的标准不确定度</w:t>
      </w:r>
      <w:r>
        <w:rPr>
          <w:rFonts w:hint="default" w:ascii="Times New Roman" w:hAnsi="Times New Roman" w:cs="Times New Roman"/>
          <w:i/>
          <w:sz w:val="24"/>
        </w:rPr>
        <w:t>u</w:t>
      </w:r>
      <w:r>
        <w:rPr>
          <w:rFonts w:hint="default" w:ascii="Times New Roman" w:hAnsi="Times New Roman" w:cs="Times New Roman"/>
          <w:sz w:val="24"/>
          <w:vertAlign w:val="subscript"/>
        </w:rPr>
        <w:t>3</w:t>
      </w:r>
      <w:r>
        <w:rPr>
          <w:rFonts w:hint="default" w:ascii="Times New Roman" w:hAnsi="Times New Roman" w:cs="Times New Roman"/>
          <w:sz w:val="24"/>
        </w:rPr>
        <w:t xml:space="preserve"> ; </w:t>
      </w:r>
    </w:p>
    <w:p w14:paraId="002FED17">
      <w:pPr>
        <w:spacing w:line="360" w:lineRule="auto"/>
        <w:ind w:left="-51" w:right="-85" w:firstLine="480" w:firstLineChars="200"/>
        <w:rPr>
          <w:rFonts w:hint="default" w:ascii="Times New Roman" w:hAnsi="Times New Roman" w:cs="Times New Roman"/>
          <w:sz w:val="24"/>
        </w:rPr>
      </w:pPr>
      <w:r>
        <w:rPr>
          <w:rFonts w:hint="default" w:ascii="Times New Roman" w:hAnsi="Times New Roman" w:cs="Times New Roman"/>
          <w:sz w:val="24"/>
        </w:rPr>
        <w:t>——标准器引入的标准不确定度</w:t>
      </w:r>
      <w:r>
        <w:rPr>
          <w:rFonts w:hint="default" w:ascii="Times New Roman" w:hAnsi="Times New Roman" w:cs="Times New Roman"/>
          <w:i/>
          <w:sz w:val="24"/>
        </w:rPr>
        <w:t>u</w:t>
      </w:r>
      <w:r>
        <w:rPr>
          <w:rFonts w:hint="default" w:ascii="Times New Roman" w:hAnsi="Times New Roman" w:cs="Times New Roman"/>
          <w:sz w:val="24"/>
          <w:vertAlign w:val="subscript"/>
        </w:rPr>
        <w:t>4</w:t>
      </w:r>
      <w:r>
        <w:rPr>
          <w:rFonts w:hint="default" w:ascii="Times New Roman" w:hAnsi="Times New Roman" w:cs="Times New Roman"/>
          <w:sz w:val="24"/>
        </w:rPr>
        <w:t>。</w:t>
      </w:r>
    </w:p>
    <w:p w14:paraId="65AE2160">
      <w:pPr>
        <w:spacing w:line="360" w:lineRule="auto"/>
        <w:jc w:val="left"/>
        <w:rPr>
          <w:rFonts w:hint="default" w:ascii="Times New Roman" w:hAnsi="Times New Roman" w:cs="Times New Roman"/>
          <w:color w:val="000000"/>
        </w:rPr>
      </w:pPr>
      <w:r>
        <w:rPr>
          <w:rFonts w:hint="default" w:ascii="Times New Roman" w:hAnsi="Times New Roman" w:cs="Times New Roman"/>
          <w:color w:val="000000"/>
          <w:sz w:val="24"/>
        </w:rPr>
        <w:t>4  标准不确定度评定</w:t>
      </w:r>
    </w:p>
    <w:p w14:paraId="1332D806">
      <w:pPr>
        <w:pStyle w:val="15"/>
        <w:spacing w:before="0" w:beforeAutospacing="0" w:after="0" w:afterAutospacing="0" w:line="360" w:lineRule="auto"/>
        <w:rPr>
          <w:rFonts w:hint="default" w:ascii="Times New Roman" w:hAnsi="Times New Roman" w:cs="Times New Roman"/>
          <w:bCs/>
        </w:rPr>
      </w:pPr>
      <w:r>
        <w:rPr>
          <w:rFonts w:hint="default" w:ascii="Times New Roman" w:hAnsi="Times New Roman" w:cs="Times New Roman"/>
          <w:color w:val="000000"/>
        </w:rPr>
        <w:t>4.1  重复性引入的不确定度</w:t>
      </w:r>
      <w:r>
        <w:rPr>
          <w:rFonts w:hint="default" w:ascii="Times New Roman" w:hAnsi="Times New Roman" w:cs="Times New Roman"/>
          <w:bCs/>
          <w:i/>
        </w:rPr>
        <w:t>u</w:t>
      </w:r>
      <w:r>
        <w:rPr>
          <w:rFonts w:hint="default" w:ascii="Times New Roman" w:hAnsi="Times New Roman" w:cs="Times New Roman"/>
          <w:bCs/>
          <w:vertAlign w:val="subscript"/>
        </w:rPr>
        <w:t>1</w:t>
      </w:r>
    </w:p>
    <w:p w14:paraId="4A308E97">
      <w:pPr>
        <w:pStyle w:val="15"/>
        <w:spacing w:before="0" w:beforeAutospacing="0" w:after="0" w:afterAutospacing="0" w:line="360" w:lineRule="auto"/>
        <w:ind w:firstLine="480" w:firstLineChars="200"/>
        <w:jc w:val="both"/>
        <w:rPr>
          <w:rFonts w:hint="default" w:ascii="Times New Roman" w:hAnsi="Times New Roman" w:cs="Times New Roman"/>
          <w:bCs/>
        </w:rPr>
      </w:pPr>
      <w:r>
        <w:rPr>
          <w:rFonts w:hint="default" w:ascii="Times New Roman" w:hAnsi="Times New Roman" w:cs="Times New Roman"/>
          <w:color w:val="000000"/>
        </w:rPr>
        <w:t>重复性引入的标准不确定采用A类不确定度的评定方法，由极差法确定：</w:t>
      </w:r>
    </w:p>
    <w:p w14:paraId="33CD4348">
      <w:pPr>
        <w:widowControl/>
        <w:jc w:val="right"/>
        <w:rPr>
          <w:rFonts w:hint="default" w:ascii="Times New Roman" w:hAnsi="Times New Roman" w:eastAsia="等线" w:cs="Times New Roman"/>
          <w:bCs/>
          <w:sz w:val="24"/>
        </w:rPr>
      </w:pPr>
      <w:r>
        <w:rPr>
          <w:rFonts w:hint="default" w:ascii="Times New Roman" w:hAnsi="Times New Roman" w:cs="Times New Roman"/>
          <w:position w:val="-30"/>
          <w:sz w:val="24"/>
        </w:rPr>
        <w:t xml:space="preserve">                                </w:t>
      </w:r>
      <w:r>
        <w:rPr>
          <w:rFonts w:hint="default" w:ascii="Times New Roman" w:hAnsi="Times New Roman" w:cs="Times New Roman"/>
          <w:color w:val="FF0000"/>
          <w:position w:val="-30"/>
          <w:sz w:val="24"/>
        </w:rPr>
        <w:t xml:space="preserve"> </w:t>
      </w:r>
      <w:r>
        <w:rPr>
          <w:rFonts w:hint="default" w:ascii="Times New Roman" w:hAnsi="Times New Roman" w:cs="Times New Roman"/>
          <w:i/>
          <w:color w:val="FF0000"/>
          <w:position w:val="-24"/>
          <w:sz w:val="24"/>
        </w:rPr>
        <w:object>
          <v:shape id="_x0000_i1029" o:spt="75" type="#_x0000_t75" style="height:31pt;width:42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default" w:ascii="Times New Roman" w:hAnsi="Times New Roman" w:cs="Times New Roman"/>
          <w:color w:val="FF0000"/>
          <w:position w:val="-30"/>
          <w:sz w:val="24"/>
        </w:rPr>
        <w:t xml:space="preserve">                         </w:t>
      </w:r>
      <w:r>
        <w:rPr>
          <w:rFonts w:hint="default" w:ascii="Times New Roman" w:hAnsi="Times New Roman" w:cs="Times New Roman"/>
          <w:position w:val="-30"/>
          <w:sz w:val="24"/>
        </w:rPr>
        <w:t xml:space="preserve">    </w:t>
      </w:r>
      <w:r>
        <w:rPr>
          <w:rFonts w:hint="default" w:ascii="Times New Roman" w:hAnsi="Times New Roman" w:cs="Times New Roman"/>
          <w:sz w:val="24"/>
        </w:rPr>
        <w:t>(7)</w:t>
      </w:r>
    </w:p>
    <w:p w14:paraId="05E63E9E">
      <w:pPr>
        <w:autoSpaceDE w:val="0"/>
        <w:autoSpaceDN w:val="0"/>
        <w:spacing w:line="400" w:lineRule="exact"/>
        <w:ind w:firstLine="480" w:firstLineChars="200"/>
        <w:jc w:val="left"/>
        <w:rPr>
          <w:rFonts w:hint="default" w:ascii="Times New Roman" w:hAnsi="Times New Roman" w:cs="Times New Roman"/>
          <w:bCs/>
          <w:sz w:val="24"/>
        </w:rPr>
      </w:pPr>
      <w:r>
        <w:rPr>
          <w:rFonts w:hint="default" w:ascii="Times New Roman" w:hAnsi="Times New Roman" w:cs="Times New Roman"/>
          <w:bCs/>
          <w:sz w:val="24"/>
        </w:rPr>
        <w:t>式中：</w:t>
      </w:r>
    </w:p>
    <w:p w14:paraId="38D6FBFA">
      <w:pPr>
        <w:autoSpaceDE w:val="0"/>
        <w:autoSpaceDN w:val="0"/>
        <w:spacing w:line="400" w:lineRule="exact"/>
        <w:ind w:firstLine="480" w:firstLineChars="200"/>
        <w:jc w:val="left"/>
        <w:rPr>
          <w:rFonts w:hint="default" w:ascii="Times New Roman" w:hAnsi="Times New Roman" w:cs="Times New Roman"/>
          <w:bCs/>
          <w:sz w:val="24"/>
        </w:rPr>
      </w:pPr>
      <w:r>
        <w:rPr>
          <w:rFonts w:hint="default" w:ascii="Times New Roman" w:hAnsi="Times New Roman" w:cs="Times New Roman"/>
          <w:i/>
          <w:sz w:val="24"/>
        </w:rPr>
        <w:t>E</w:t>
      </w:r>
      <w:r>
        <w:rPr>
          <w:rFonts w:hint="default" w:ascii="Times New Roman" w:hAnsi="Times New Roman" w:cs="Times New Roman"/>
          <w:iCs/>
          <w:sz w:val="24"/>
          <w:vertAlign w:val="subscript"/>
        </w:rPr>
        <w:t>R</w:t>
      </w:r>
      <w:r>
        <w:rPr>
          <w:rFonts w:hint="default" w:ascii="Times New Roman" w:hAnsi="Times New Roman" w:cs="Times New Roman"/>
          <w:i/>
        </w:rPr>
        <w:t>—</w:t>
      </w:r>
      <w:r>
        <w:rPr>
          <w:rFonts w:hint="default" w:ascii="Times New Roman" w:hAnsi="Times New Roman" w:cs="Times New Roman"/>
          <w:iCs/>
        </w:rPr>
        <w:t>—</w:t>
      </w:r>
      <w:r>
        <w:rPr>
          <w:rFonts w:hint="default" w:ascii="Times New Roman" w:hAnsi="Times New Roman" w:cs="Times New Roman"/>
          <w:sz w:val="24"/>
        </w:rPr>
        <w:t>重复性</w:t>
      </w:r>
      <w:r>
        <w:rPr>
          <w:rFonts w:hint="default" w:ascii="Times New Roman" w:hAnsi="Times New Roman" w:cs="Times New Roman"/>
          <w:kern w:val="0"/>
          <w:sz w:val="24"/>
        </w:rPr>
        <w:t>，</w:t>
      </w:r>
      <w:r>
        <w:rPr>
          <w:rFonts w:hint="default" w:ascii="Times New Roman" w:hAnsi="Times New Roman" w:cs="Times New Roman"/>
          <w:sz w:val="24"/>
        </w:rPr>
        <w:t>kg、g或t</w:t>
      </w:r>
      <w:r>
        <w:rPr>
          <w:rFonts w:hint="default" w:ascii="Times New Roman" w:hAnsi="Times New Roman" w:cs="Times New Roman"/>
          <w:kern w:val="0"/>
          <w:sz w:val="24"/>
        </w:rPr>
        <w:t>；</w:t>
      </w:r>
    </w:p>
    <w:p w14:paraId="1E32584D">
      <w:pPr>
        <w:widowControl/>
        <w:autoSpaceDE w:val="0"/>
        <w:autoSpaceDN w:val="0"/>
        <w:spacing w:line="400" w:lineRule="exact"/>
        <w:ind w:firstLine="480" w:firstLineChars="200"/>
        <w:jc w:val="left"/>
        <w:rPr>
          <w:rFonts w:hint="default" w:ascii="Times New Roman" w:hAnsi="Times New Roman" w:eastAsia="等线" w:cs="Times New Roman"/>
          <w:bCs/>
          <w:sz w:val="24"/>
        </w:rPr>
      </w:pPr>
      <w:r>
        <w:rPr>
          <w:rFonts w:hint="default" w:ascii="Times New Roman" w:hAnsi="Times New Roman" w:cs="Times New Roman"/>
          <w:bCs/>
          <w:i/>
          <w:sz w:val="24"/>
        </w:rPr>
        <w:t>C</w:t>
      </w:r>
      <w:r>
        <w:rPr>
          <w:rFonts w:hint="default" w:ascii="Times New Roman" w:hAnsi="Times New Roman" w:cs="Times New Roman"/>
          <w:i/>
        </w:rPr>
        <w:t>—</w:t>
      </w:r>
      <w:r>
        <w:rPr>
          <w:rFonts w:hint="default" w:ascii="Times New Roman" w:hAnsi="Times New Roman" w:cs="Times New Roman"/>
          <w:iCs/>
        </w:rPr>
        <w:t>—</w:t>
      </w:r>
      <w:r>
        <w:rPr>
          <w:rFonts w:hint="default" w:ascii="Times New Roman" w:hAnsi="Times New Roman" w:cs="Times New Roman"/>
          <w:sz w:val="24"/>
        </w:rPr>
        <w:t>极差系数。</w:t>
      </w:r>
    </w:p>
    <w:p w14:paraId="3D3C2A4A">
      <w:pPr>
        <w:spacing w:line="360" w:lineRule="auto"/>
        <w:rPr>
          <w:rFonts w:hint="default" w:ascii="Times New Roman" w:hAnsi="Times New Roman" w:cs="Times New Roman"/>
          <w:bCs/>
          <w:sz w:val="24"/>
        </w:rPr>
      </w:pPr>
      <w:r>
        <w:rPr>
          <w:rFonts w:hint="default" w:ascii="Times New Roman" w:hAnsi="Times New Roman" w:cs="Times New Roman"/>
          <w:color w:val="000000"/>
          <w:sz w:val="24"/>
        </w:rPr>
        <w:t xml:space="preserve">4.2  </w:t>
      </w:r>
      <w:r>
        <w:rPr>
          <w:rFonts w:hint="default" w:ascii="Times New Roman" w:hAnsi="Times New Roman" w:cs="Times New Roman"/>
          <w:bCs/>
          <w:sz w:val="24"/>
        </w:rPr>
        <w:t>称重系统分辨力引入的不确定度为</w:t>
      </w:r>
      <w:r>
        <w:rPr>
          <w:rFonts w:hint="default" w:ascii="Times New Roman" w:hAnsi="Times New Roman" w:cs="Times New Roman"/>
          <w:bCs/>
          <w:i/>
          <w:iCs/>
          <w:sz w:val="24"/>
        </w:rPr>
        <w:t>u</w:t>
      </w:r>
      <w:r>
        <w:rPr>
          <w:rFonts w:hint="default" w:ascii="Times New Roman" w:hAnsi="Times New Roman" w:cs="Times New Roman"/>
          <w:bCs/>
          <w:sz w:val="24"/>
          <w:vertAlign w:val="subscript"/>
        </w:rPr>
        <w:t>2</w:t>
      </w:r>
    </w:p>
    <w:p w14:paraId="713CA2A6">
      <w:pPr>
        <w:autoSpaceDE w:val="0"/>
        <w:autoSpaceDN w:val="0"/>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称重系统分辨力为</w:t>
      </w:r>
      <w:r>
        <w:rPr>
          <w:rFonts w:hint="default" w:ascii="Times New Roman" w:hAnsi="Times New Roman" w:cs="Times New Roman"/>
          <w:i/>
          <w:sz w:val="24"/>
        </w:rPr>
        <w:t>d</w:t>
      </w:r>
      <w:r>
        <w:rPr>
          <w:rFonts w:hint="default" w:ascii="Times New Roman" w:hAnsi="Times New Roman" w:cs="Times New Roman"/>
          <w:sz w:val="24"/>
        </w:rPr>
        <w:t>，服从均匀分布，</w:t>
      </w:r>
      <w:r>
        <w:rPr>
          <w:rFonts w:hint="default" w:ascii="Times New Roman" w:hAnsi="Times New Roman" w:cs="Times New Roman"/>
          <w:position w:val="-8"/>
          <w:sz w:val="24"/>
        </w:rPr>
        <w:object>
          <v:shape id="_x0000_i1030" o:spt="75" type="#_x0000_t75" style="height:18pt;width:36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r>
        <w:rPr>
          <w:rFonts w:hint="default" w:ascii="Times New Roman" w:hAnsi="Times New Roman" w:cs="Times New Roman"/>
          <w:sz w:val="24"/>
        </w:rPr>
        <w:t>，则其标准不确定度</w:t>
      </w:r>
      <w:r>
        <w:rPr>
          <w:rFonts w:hint="default" w:ascii="Times New Roman" w:hAnsi="Times New Roman" w:cs="Times New Roman"/>
          <w:bCs/>
          <w:i/>
          <w:iCs/>
          <w:sz w:val="24"/>
        </w:rPr>
        <w:t>u</w:t>
      </w:r>
      <w:r>
        <w:rPr>
          <w:rFonts w:hint="default" w:ascii="Times New Roman" w:hAnsi="Times New Roman" w:cs="Times New Roman"/>
          <w:bCs/>
          <w:sz w:val="24"/>
          <w:vertAlign w:val="subscript"/>
        </w:rPr>
        <w:t>2</w:t>
      </w:r>
      <w:r>
        <w:rPr>
          <w:rFonts w:hint="default" w:ascii="Times New Roman" w:hAnsi="Times New Roman" w:cs="Times New Roman"/>
          <w:sz w:val="24"/>
        </w:rPr>
        <w:t>为：</w:t>
      </w:r>
    </w:p>
    <w:p w14:paraId="07CCA8D0">
      <w:pPr>
        <w:widowControl/>
        <w:jc w:val="right"/>
        <w:rPr>
          <w:rFonts w:hint="default" w:ascii="Times New Roman" w:hAnsi="Times New Roman" w:cs="Times New Roman"/>
          <w:bCs/>
          <w:sz w:val="24"/>
        </w:rPr>
      </w:pPr>
      <w:r>
        <w:rPr>
          <w:rFonts w:hint="default" w:ascii="Times New Roman" w:hAnsi="Times New Roman" w:cs="Times New Roman"/>
          <w:i/>
          <w:position w:val="-10"/>
          <w:sz w:val="24"/>
        </w:rPr>
        <w:t xml:space="preserve">        </w:t>
      </w:r>
      <w:r>
        <w:rPr>
          <w:rFonts w:hint="default" w:ascii="Times New Roman" w:hAnsi="Times New Roman" w:cs="Times New Roman"/>
          <w:i/>
          <w:position w:val="-28"/>
          <w:sz w:val="24"/>
        </w:rPr>
        <w:object>
          <v:shape id="_x0000_i1031" o:spt="75" type="#_x0000_t75" style="height:33.1pt;width:96.35pt;" o:ole="t" filled="f" o:preferrelative="t" stroked="f" coordsize="21600,21600">
            <v:path/>
            <v:fill on="f" focussize="0,0"/>
            <v:stroke on="f"/>
            <v:imagedata r:id="rId18" o:title=""/>
            <o:lock v:ext="edit" aspectratio="t"/>
            <w10:wrap type="none"/>
            <w10:anchorlock/>
          </v:shape>
          <o:OLEObject Type="Embed" ProgID="Equation.KSEE3" ShapeID="_x0000_i1031" DrawAspect="Content" ObjectID="_1468075731" r:id="rId17">
            <o:LockedField>false</o:LockedField>
          </o:OLEObject>
        </w:object>
      </w:r>
      <w:r>
        <w:rPr>
          <w:rFonts w:hint="default" w:ascii="Times New Roman" w:hAnsi="Times New Roman" w:eastAsia="等线" w:cs="Times New Roman"/>
          <w:bCs/>
          <w:sz w:val="24"/>
        </w:rPr>
        <w:t xml:space="preserve">                        </w:t>
      </w:r>
      <w:bookmarkStart w:id="1" w:name="_Toc438025706"/>
      <w:bookmarkEnd w:id="1"/>
      <w:r>
        <w:rPr>
          <w:rFonts w:hint="default" w:ascii="Times New Roman" w:hAnsi="Times New Roman" w:cs="Times New Roman"/>
          <w:color w:val="000000"/>
          <w:sz w:val="24"/>
        </w:rPr>
        <w:t>(8)</w:t>
      </w:r>
    </w:p>
    <w:p w14:paraId="18EB2067">
      <w:pPr>
        <w:spacing w:line="360" w:lineRule="auto"/>
        <w:rPr>
          <w:rFonts w:hint="default" w:ascii="Times New Roman" w:hAnsi="Times New Roman" w:cs="Times New Roman"/>
          <w:sz w:val="24"/>
          <w:vertAlign w:val="subscript"/>
        </w:rPr>
      </w:pPr>
      <w:r>
        <w:rPr>
          <w:rFonts w:hint="default" w:ascii="Times New Roman" w:hAnsi="Times New Roman" w:cs="Times New Roman"/>
          <w:color w:val="000000"/>
          <w:sz w:val="24"/>
        </w:rPr>
        <w:t xml:space="preserve">4.3  </w:t>
      </w:r>
      <w:r>
        <w:rPr>
          <w:rFonts w:hint="default" w:ascii="Times New Roman" w:hAnsi="Times New Roman" w:cs="Times New Roman"/>
          <w:sz w:val="24"/>
        </w:rPr>
        <w:t>同一载荷在不同位置的示值偏差引入的标准不确定度</w:t>
      </w:r>
      <w:r>
        <w:rPr>
          <w:rFonts w:hint="default" w:ascii="Times New Roman" w:hAnsi="Times New Roman" w:cs="Times New Roman"/>
          <w:i/>
          <w:sz w:val="24"/>
        </w:rPr>
        <w:t>u</w:t>
      </w:r>
      <w:r>
        <w:rPr>
          <w:rFonts w:hint="default" w:ascii="Times New Roman" w:hAnsi="Times New Roman" w:cs="Times New Roman"/>
          <w:sz w:val="24"/>
          <w:vertAlign w:val="subscript"/>
        </w:rPr>
        <w:t>3</w:t>
      </w:r>
    </w:p>
    <w:p w14:paraId="49EB2F29">
      <w:pPr>
        <w:spacing w:line="360" w:lineRule="auto"/>
        <w:ind w:firstLine="480" w:firstLineChars="200"/>
        <w:rPr>
          <w:rFonts w:hint="default" w:ascii="Times New Roman" w:hAnsi="Times New Roman" w:cs="Times New Roman"/>
          <w:sz w:val="24"/>
          <w:vertAlign w:val="subscript"/>
        </w:rPr>
      </w:pPr>
      <w:r>
        <w:rPr>
          <w:rFonts w:hint="default" w:ascii="Times New Roman" w:hAnsi="Times New Roman" w:cs="Times New Roman"/>
          <w:sz w:val="24"/>
        </w:rPr>
        <w:t>取三个不同位置的示值偏差绝对值最大值，每个称量点对应的不同位置的示值偏差与该称量点的试验载荷标准值成比例，假设为均匀分布，</w:t>
      </w:r>
      <w:r>
        <w:rPr>
          <w:rFonts w:hint="default" w:ascii="Times New Roman" w:hAnsi="Times New Roman" w:cs="Times New Roman"/>
          <w:position w:val="-8"/>
          <w:sz w:val="24"/>
        </w:rPr>
        <w:object>
          <v:shape id="_x0000_i1032" o:spt="75" type="#_x0000_t75" style="height:18pt;width:36pt;" o:ole="t" filled="f" o:preferrelative="t" stroked="f" coordsize="21600,21600">
            <v:path/>
            <v:fill on="f" focussize="0,0"/>
            <v:stroke on="f"/>
            <v:imagedata r:id="rId16" o:title=""/>
            <o:lock v:ext="edit" aspectratio="t"/>
            <w10:wrap type="none"/>
            <w10:anchorlock/>
          </v:shape>
          <o:OLEObject Type="Embed" ProgID="Equation.KSEE3" ShapeID="_x0000_i1032" DrawAspect="Content" ObjectID="_1468075732" r:id="rId19">
            <o:LockedField>false</o:LockedField>
          </o:OLEObject>
        </w:object>
      </w:r>
      <w:r>
        <w:rPr>
          <w:rFonts w:hint="default" w:ascii="Times New Roman" w:hAnsi="Times New Roman" w:cs="Times New Roman"/>
          <w:sz w:val="24"/>
        </w:rPr>
        <w:t>，则其标准不确定度</w:t>
      </w:r>
      <w:r>
        <w:rPr>
          <w:rFonts w:hint="default" w:ascii="Times New Roman" w:hAnsi="Times New Roman" w:cs="Times New Roman"/>
          <w:bCs/>
          <w:i/>
          <w:iCs/>
          <w:sz w:val="24"/>
        </w:rPr>
        <w:t>u</w:t>
      </w:r>
      <w:r>
        <w:rPr>
          <w:rFonts w:hint="default" w:ascii="Times New Roman" w:hAnsi="Times New Roman" w:cs="Times New Roman"/>
          <w:bCs/>
          <w:sz w:val="24"/>
          <w:vertAlign w:val="subscript"/>
        </w:rPr>
        <w:t>3</w:t>
      </w:r>
      <w:r>
        <w:rPr>
          <w:rFonts w:hint="default" w:ascii="Times New Roman" w:hAnsi="Times New Roman" w:cs="Times New Roman"/>
          <w:sz w:val="24"/>
        </w:rPr>
        <w:t>为：</w:t>
      </w:r>
    </w:p>
    <w:p w14:paraId="4DA9DB4F">
      <w:pPr>
        <w:spacing w:line="360" w:lineRule="auto"/>
        <w:jc w:val="right"/>
        <w:rPr>
          <w:rFonts w:hint="default" w:ascii="Times New Roman" w:hAnsi="Times New Roman" w:cs="Times New Roman"/>
          <w:color w:val="000000"/>
          <w:sz w:val="24"/>
        </w:rPr>
      </w:pPr>
      <w:r>
        <w:rPr>
          <w:rFonts w:hint="default" w:ascii="Times New Roman" w:hAnsi="Times New Roman" w:cs="Times New Roman"/>
          <w:i/>
          <w:position w:val="-12"/>
          <w:sz w:val="24"/>
        </w:rPr>
        <w:object>
          <v:shape id="_x0000_i1033" o:spt="75" type="#_x0000_t75" style="height:20.1pt;width:120.55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3" r:id="rId20">
            <o:LockedField>false</o:LockedField>
          </o:OLEObject>
        </w:object>
      </w:r>
      <w:r>
        <w:rPr>
          <w:rFonts w:hint="default" w:ascii="Times New Roman" w:hAnsi="Times New Roman" w:cs="Times New Roman"/>
          <w:i/>
          <w:position w:val="-10"/>
          <w:sz w:val="24"/>
        </w:rPr>
        <w:t xml:space="preserve">                        </w:t>
      </w:r>
      <w:r>
        <w:rPr>
          <w:rFonts w:hint="default" w:ascii="Times New Roman" w:hAnsi="Times New Roman" w:cs="Times New Roman"/>
          <w:color w:val="000000"/>
          <w:sz w:val="24"/>
        </w:rPr>
        <w:t>(9)</w:t>
      </w:r>
    </w:p>
    <w:p w14:paraId="6A100CC1">
      <w:pPr>
        <w:pStyle w:val="72"/>
        <w:tabs>
          <w:tab w:val="left" w:pos="4425"/>
        </w:tabs>
        <w:spacing w:line="300" w:lineRule="auto"/>
        <w:ind w:right="140" w:firstLine="480" w:firstLineChars="200"/>
        <w:jc w:val="left"/>
        <w:rPr>
          <w:rFonts w:hint="default" w:ascii="Times New Roman" w:hAnsi="Times New Roman" w:cs="Times New Roman"/>
          <w:i/>
          <w:iCs/>
          <w:sz w:val="24"/>
          <w:szCs w:val="24"/>
        </w:rPr>
      </w:pPr>
      <w:r>
        <w:rPr>
          <w:rFonts w:hint="default" w:ascii="Times New Roman" w:hAnsi="Times New Roman" w:cs="Times New Roman"/>
          <w:sz w:val="24"/>
          <w:szCs w:val="24"/>
        </w:rPr>
        <w:t>式中：</w:t>
      </w:r>
    </w:p>
    <w:p w14:paraId="6E9C7F61">
      <w:pPr>
        <w:pStyle w:val="73"/>
        <w:spacing w:after="0" w:line="300" w:lineRule="auto"/>
        <w:ind w:firstLine="480" w:firstLineChars="200"/>
        <w:jc w:val="left"/>
        <w:rPr>
          <w:rFonts w:hint="default" w:ascii="Times New Roman" w:hAnsi="Times New Roman" w:cs="Times New Roman"/>
          <w:position w:val="-6"/>
          <w:sz w:val="24"/>
          <w:szCs w:val="24"/>
          <w:lang w:val="en-US" w:eastAsia="zh-CN"/>
        </w:rPr>
      </w:pPr>
      <w:r>
        <w:rPr>
          <w:rFonts w:hint="default" w:ascii="Times New Roman" w:hAnsi="Times New Roman" w:cs="Times New Roman"/>
          <w:i/>
          <w:iCs/>
          <w:sz w:val="24"/>
          <w:szCs w:val="24"/>
          <w:lang w:val="en-US" w:eastAsia="zh-CN"/>
        </w:rPr>
        <w:t>I</w:t>
      </w:r>
      <w:r>
        <w:rPr>
          <w:rFonts w:hint="default" w:ascii="Times New Roman" w:hAnsi="Times New Roman" w:cs="Times New Roman"/>
          <w:sz w:val="24"/>
          <w:szCs w:val="24"/>
          <w:lang w:val="en-US" w:eastAsia="zh-CN"/>
        </w:rPr>
        <w:t>——示值，kg或g、t；</w:t>
      </w:r>
    </w:p>
    <w:p w14:paraId="7AB70A69">
      <w:pPr>
        <w:pStyle w:val="73"/>
        <w:spacing w:after="0" w:line="300" w:lineRule="auto"/>
        <w:ind w:firstLine="480" w:firstLineChars="200"/>
        <w:jc w:val="left"/>
        <w:rPr>
          <w:rFonts w:hint="default" w:ascii="Times New Roman" w:hAnsi="Times New Roman" w:cs="Times New Roman"/>
          <w:sz w:val="24"/>
          <w:szCs w:val="24"/>
          <w:lang w:val="en-US" w:eastAsia="zh-CN"/>
        </w:rPr>
      </w:pPr>
      <w:r>
        <w:rPr>
          <w:rFonts w:hint="default" w:ascii="Times New Roman" w:hAnsi="Times New Roman" w:cs="Times New Roman"/>
          <w:bCs/>
          <w:i/>
          <w:iCs/>
          <w:sz w:val="24"/>
          <w:lang w:val="en-US" w:eastAsia="zh-CN"/>
        </w:rPr>
        <w:t>|E</w:t>
      </w:r>
      <w:r>
        <w:rPr>
          <w:rFonts w:hint="default" w:ascii="Times New Roman" w:hAnsi="Times New Roman" w:cs="Times New Roman"/>
          <w:bCs/>
          <w:i/>
          <w:iCs/>
          <w:sz w:val="24"/>
          <w:vertAlign w:val="subscript"/>
          <w:lang w:val="en-US" w:eastAsia="zh-CN"/>
        </w:rPr>
        <w:t>L</w:t>
      </w:r>
      <w:r>
        <w:rPr>
          <w:rFonts w:hint="default" w:ascii="Times New Roman" w:hAnsi="Times New Roman" w:cs="Times New Roman"/>
          <w:bCs/>
          <w:sz w:val="24"/>
          <w:vertAlign w:val="subscript"/>
          <w:lang w:val="en-US" w:eastAsia="zh-CN"/>
        </w:rPr>
        <w:t>i</w:t>
      </w:r>
      <w:r>
        <w:rPr>
          <w:rFonts w:hint="default" w:ascii="Times New Roman" w:hAnsi="Times New Roman" w:cs="Times New Roman"/>
          <w:bCs/>
          <w:sz w:val="24"/>
          <w:lang w:val="en-US" w:eastAsia="zh-CN"/>
        </w:rPr>
        <w:t>|</w:t>
      </w:r>
      <w:r>
        <w:rPr>
          <w:rFonts w:hint="default" w:ascii="Times New Roman" w:hAnsi="Times New Roman" w:cs="Times New Roman"/>
          <w:bCs/>
          <w:sz w:val="24"/>
          <w:vertAlign w:val="subscript"/>
          <w:lang w:val="en-US" w:eastAsia="zh-CN"/>
        </w:rPr>
        <w:t>max</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同一载荷在不同位置</w:t>
      </w:r>
      <w:r>
        <w:rPr>
          <w:rFonts w:hint="default" w:ascii="Times New Roman" w:hAnsi="Times New Roman" w:cs="Times New Roman"/>
          <w:sz w:val="24"/>
          <w:szCs w:val="24"/>
          <w:lang w:val="en-US" w:eastAsia="zh-CN"/>
        </w:rPr>
        <w:t>的示值偏差</w:t>
      </w:r>
      <w:r>
        <w:rPr>
          <w:rFonts w:hint="default" w:ascii="Times New Roman" w:hAnsi="Times New Roman" w:cs="Times New Roman"/>
          <w:sz w:val="24"/>
          <w:lang w:val="en-US" w:eastAsia="zh-CN"/>
        </w:rPr>
        <w:t>绝对值最大值</w:t>
      </w:r>
      <w:r>
        <w:rPr>
          <w:rFonts w:hint="default" w:ascii="Times New Roman" w:hAnsi="Times New Roman" w:cs="Times New Roman"/>
          <w:sz w:val="24"/>
          <w:szCs w:val="24"/>
          <w:lang w:val="en-US" w:eastAsia="zh-CN"/>
        </w:rPr>
        <w:t>，kg或g、t；</w:t>
      </w:r>
    </w:p>
    <w:p w14:paraId="6C9DF8CD">
      <w:pPr>
        <w:pStyle w:val="73"/>
        <w:spacing w:line="300" w:lineRule="auto"/>
        <w:ind w:firstLine="480" w:firstLineChars="200"/>
        <w:jc w:val="left"/>
        <w:rPr>
          <w:rFonts w:hint="default" w:ascii="Times New Roman" w:hAnsi="Times New Roman" w:cs="Times New Roman"/>
          <w:color w:val="000000"/>
          <w:sz w:val="24"/>
        </w:rPr>
      </w:pPr>
      <w:r>
        <w:rPr>
          <w:rFonts w:hint="eastAsia" w:ascii="Times New Roman" w:hAnsi="Times New Roman" w:cs="Times New Roman"/>
          <w:i/>
          <w:iCs/>
          <w:color w:val="auto"/>
          <w:sz w:val="24"/>
          <w:szCs w:val="24"/>
          <w:lang w:val="en-US" w:eastAsia="zh-CN"/>
        </w:rPr>
        <w:t>L</w:t>
      </w:r>
      <w:r>
        <w:rPr>
          <w:rFonts w:hint="eastAsia" w:ascii="Times New Roman" w:hAnsi="Times New Roman" w:cs="Times New Roman"/>
          <w:color w:val="auto"/>
          <w:sz w:val="24"/>
          <w:szCs w:val="24"/>
          <w:vertAlign w:val="subscript"/>
          <w:lang w:val="en-US" w:eastAsia="zh-CN"/>
        </w:rPr>
        <w:t>el</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同一载荷在不同位置</w:t>
      </w:r>
      <w:r>
        <w:rPr>
          <w:rFonts w:hint="default" w:ascii="Times New Roman" w:hAnsi="Times New Roman" w:cs="Times New Roman"/>
          <w:sz w:val="24"/>
          <w:szCs w:val="24"/>
          <w:lang w:val="en-US" w:eastAsia="zh-CN"/>
        </w:rPr>
        <w:t>的载荷标准值，kg或g、t。</w:t>
      </w:r>
    </w:p>
    <w:p w14:paraId="2AD3460C">
      <w:pPr>
        <w:spacing w:line="360" w:lineRule="auto"/>
        <w:rPr>
          <w:rFonts w:hint="default" w:ascii="Times New Roman" w:hAnsi="Times New Roman" w:cs="Times New Roman"/>
          <w:bCs/>
          <w:sz w:val="24"/>
        </w:rPr>
      </w:pPr>
      <w:r>
        <w:rPr>
          <w:rFonts w:hint="default" w:ascii="Times New Roman" w:hAnsi="Times New Roman" w:cs="Times New Roman"/>
          <w:sz w:val="24"/>
        </w:rPr>
        <w:t xml:space="preserve">4.4  </w:t>
      </w:r>
      <w:r>
        <w:rPr>
          <w:rFonts w:hint="default" w:ascii="Times New Roman" w:hAnsi="Times New Roman" w:cs="Times New Roman"/>
          <w:bCs/>
          <w:sz w:val="24"/>
        </w:rPr>
        <w:t>由标准器引入的不确定度</w:t>
      </w:r>
      <w:r>
        <w:rPr>
          <w:rFonts w:hint="default" w:ascii="Times New Roman" w:hAnsi="Times New Roman" w:cs="Times New Roman"/>
          <w:i/>
          <w:sz w:val="24"/>
        </w:rPr>
        <w:t>u</w:t>
      </w:r>
      <w:r>
        <w:rPr>
          <w:rFonts w:hint="default" w:ascii="Times New Roman" w:hAnsi="Times New Roman" w:cs="Times New Roman"/>
          <w:sz w:val="24"/>
          <w:vertAlign w:val="subscript"/>
        </w:rPr>
        <w:t>3</w:t>
      </w:r>
    </w:p>
    <w:p w14:paraId="52F087E2">
      <w:pPr>
        <w:pStyle w:val="15"/>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标准器的最大允许误差为其区间半宽度，服从均匀分布，其标准不确定度</w:t>
      </w:r>
      <w:r>
        <w:rPr>
          <w:rFonts w:hint="default" w:ascii="Times New Roman" w:hAnsi="Times New Roman" w:cs="Times New Roman"/>
          <w:bCs/>
          <w:i/>
          <w:iCs/>
        </w:rPr>
        <w:t>u</w:t>
      </w:r>
      <w:r>
        <w:rPr>
          <w:rFonts w:hint="default" w:ascii="Times New Roman" w:hAnsi="Times New Roman" w:cs="Times New Roman"/>
          <w:bCs/>
          <w:vertAlign w:val="subscript"/>
        </w:rPr>
        <w:t>4</w:t>
      </w:r>
      <w:r>
        <w:rPr>
          <w:rFonts w:hint="default" w:ascii="Times New Roman" w:hAnsi="Times New Roman" w:cs="Times New Roman"/>
        </w:rPr>
        <w:t>为：</w:t>
      </w:r>
    </w:p>
    <w:p w14:paraId="51AC0C8C">
      <w:pPr>
        <w:spacing w:line="360" w:lineRule="auto"/>
        <w:ind w:firstLine="480" w:firstLineChars="200"/>
        <w:jc w:val="right"/>
        <w:rPr>
          <w:rFonts w:hint="default" w:ascii="Times New Roman" w:hAnsi="Times New Roman" w:cs="Times New Roman"/>
          <w:bCs/>
          <w:sz w:val="24"/>
        </w:rPr>
      </w:pPr>
      <w:r>
        <w:rPr>
          <w:rFonts w:hint="default" w:ascii="Times New Roman" w:hAnsi="Times New Roman" w:cs="Times New Roman"/>
          <w:i/>
          <w:position w:val="-28"/>
          <w:sz w:val="24"/>
        </w:rPr>
        <w:object>
          <v:shape id="_x0000_i1034" o:spt="75" type="#_x0000_t75" style="height:33pt;width:62pt;" o:ole="t" filled="f" o:preferrelative="t" stroked="f" coordsize="21600,21600">
            <v:path/>
            <v:fill on="f" focussize="0,0"/>
            <v:stroke on="f"/>
            <v:imagedata r:id="rId23" o:title=""/>
            <o:lock v:ext="edit" aspectratio="t"/>
            <w10:wrap type="none"/>
            <w10:anchorlock/>
          </v:shape>
          <o:OLEObject Type="Embed" ProgID="Equation.KSEE3" ShapeID="_x0000_i1034" DrawAspect="Content" ObjectID="_1468075734" r:id="rId22">
            <o:LockedField>false</o:LockedField>
          </o:OLEObject>
        </w:object>
      </w:r>
      <w:r>
        <w:rPr>
          <w:rFonts w:hint="default" w:ascii="Times New Roman" w:hAnsi="Times New Roman" w:eastAsia="等线" w:cs="Times New Roman"/>
          <w:bCs/>
          <w:sz w:val="24"/>
        </w:rPr>
        <w:t xml:space="preserve">                           </w:t>
      </w:r>
      <w:r>
        <w:rPr>
          <w:rFonts w:hint="default" w:ascii="Times New Roman" w:hAnsi="Times New Roman" w:cs="Times New Roman"/>
          <w:sz w:val="24"/>
        </w:rPr>
        <w:t>(10)</w:t>
      </w:r>
    </w:p>
    <w:p w14:paraId="7E296D98">
      <w:pPr>
        <w:spacing w:line="360" w:lineRule="auto"/>
        <w:jc w:val="left"/>
        <w:rPr>
          <w:rFonts w:hint="default" w:ascii="Times New Roman" w:hAnsi="Times New Roman" w:cs="Times New Roman"/>
          <w:sz w:val="24"/>
        </w:rPr>
      </w:pPr>
      <w:r>
        <w:rPr>
          <w:rFonts w:hint="default" w:ascii="Times New Roman" w:hAnsi="Times New Roman" w:cs="Times New Roman"/>
          <w:sz w:val="24"/>
        </w:rPr>
        <w:t>4.5  标准不确定度汇总</w:t>
      </w:r>
    </w:p>
    <w:p w14:paraId="1E33E145">
      <w:pPr>
        <w:autoSpaceDE w:val="0"/>
        <w:autoSpaceDN w:val="0"/>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标准不确定度分量汇总见表1。</w:t>
      </w:r>
    </w:p>
    <w:p w14:paraId="1FE3A87C">
      <w:pPr>
        <w:autoSpaceDE w:val="0"/>
        <w:autoSpaceDN w:val="0"/>
        <w:spacing w:line="400" w:lineRule="exact"/>
        <w:jc w:val="center"/>
        <w:rPr>
          <w:rFonts w:hint="default" w:ascii="Times New Roman" w:hAnsi="Times New Roman" w:cs="Times New Roman"/>
          <w:sz w:val="24"/>
        </w:rPr>
      </w:pPr>
      <w:r>
        <w:rPr>
          <w:rFonts w:hint="default" w:ascii="Times New Roman" w:hAnsi="Times New Roman" w:cs="Times New Roman"/>
          <w:sz w:val="24"/>
        </w:rPr>
        <w:t>表 1 标准不确定度分量汇总表</w:t>
      </w:r>
    </w:p>
    <w:tbl>
      <w:tblPr>
        <w:tblStyle w:val="18"/>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4732"/>
        <w:gridCol w:w="1984"/>
      </w:tblGrid>
      <w:tr w14:paraId="2454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8" w:type="pct"/>
            <w:noWrap w:val="0"/>
            <w:vAlign w:val="center"/>
          </w:tcPr>
          <w:p w14:paraId="3E3D145D">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标准不确定度分量</w:t>
            </w:r>
            <w:r>
              <w:rPr>
                <w:rFonts w:hint="default" w:ascii="Times New Roman" w:hAnsi="Times New Roman" w:cs="Times New Roman"/>
                <w:position w:val="-6"/>
                <w:sz w:val="24"/>
              </w:rPr>
              <w:object>
                <v:shape id="_x0000_i1035" o:spt="75" type="#_x0000_t75" style="height:11.55pt;width:9.5pt;" o:ole="t" filled="f" o:preferrelative="t" stroked="f" coordsize="21600,21600">
                  <v:path/>
                  <v:fill on="f" focussize="0,0"/>
                  <v:stroke on="f"/>
                  <v:imagedata r:id="rId25" o:title=""/>
                  <o:lock v:ext="edit" aspectratio="t"/>
                  <w10:wrap type="none"/>
                  <w10:anchorlock/>
                </v:shape>
                <o:OLEObject Type="Embed" ProgID="Equation.DSMT4" ShapeID="_x0000_i1035" DrawAspect="Content" ObjectID="_1468075735" r:id="rId24">
                  <o:LockedField>false</o:LockedField>
                </o:OLEObject>
              </w:object>
            </w:r>
          </w:p>
        </w:tc>
        <w:tc>
          <w:tcPr>
            <w:tcW w:w="2607" w:type="pct"/>
            <w:noWrap w:val="0"/>
            <w:vAlign w:val="center"/>
          </w:tcPr>
          <w:p w14:paraId="61B3D3CF">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不确定度来源</w:t>
            </w:r>
          </w:p>
        </w:tc>
        <w:tc>
          <w:tcPr>
            <w:tcW w:w="1093" w:type="pct"/>
            <w:noWrap w:val="0"/>
            <w:vAlign w:val="center"/>
          </w:tcPr>
          <w:p w14:paraId="125D5506">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灵敏系数</w:t>
            </w:r>
          </w:p>
        </w:tc>
      </w:tr>
      <w:tr w14:paraId="49DE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298" w:type="pct"/>
            <w:noWrap w:val="0"/>
            <w:vAlign w:val="center"/>
          </w:tcPr>
          <w:p w14:paraId="20617A0C">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i/>
                <w:sz w:val="24"/>
              </w:rPr>
              <w:t>u</w:t>
            </w:r>
            <w:r>
              <w:rPr>
                <w:rFonts w:hint="default" w:ascii="Times New Roman" w:hAnsi="Times New Roman" w:cs="Times New Roman"/>
                <w:sz w:val="24"/>
                <w:vertAlign w:val="subscript"/>
              </w:rPr>
              <w:t>1</w:t>
            </w:r>
          </w:p>
        </w:tc>
        <w:tc>
          <w:tcPr>
            <w:tcW w:w="2607" w:type="pct"/>
            <w:noWrap w:val="0"/>
            <w:vAlign w:val="center"/>
          </w:tcPr>
          <w:p w14:paraId="392631E8">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sz w:val="24"/>
              </w:rPr>
              <w:t>测量重复性</w:t>
            </w:r>
          </w:p>
        </w:tc>
        <w:tc>
          <w:tcPr>
            <w:tcW w:w="1093" w:type="pct"/>
            <w:vMerge w:val="restart"/>
            <w:noWrap w:val="0"/>
            <w:vAlign w:val="center"/>
          </w:tcPr>
          <w:p w14:paraId="65C02C5B">
            <w:pPr>
              <w:adjustRightInd w:val="0"/>
              <w:snapToGrid w:val="0"/>
              <w:jc w:val="center"/>
              <w:rPr>
                <w:rFonts w:hint="default" w:ascii="Times New Roman" w:hAnsi="Times New Roman" w:cs="Times New Roman"/>
                <w:position w:val="-12"/>
                <w:sz w:val="24"/>
              </w:rPr>
            </w:pPr>
            <w:r>
              <w:rPr>
                <w:rFonts w:hint="default" w:ascii="Times New Roman" w:hAnsi="Times New Roman" w:cs="Times New Roman"/>
                <w:i/>
                <w:iCs/>
                <w:position w:val="-12"/>
                <w:sz w:val="24"/>
              </w:rPr>
              <w:t>c</w:t>
            </w:r>
            <w:r>
              <w:rPr>
                <w:rFonts w:hint="default" w:ascii="Times New Roman" w:hAnsi="Times New Roman" w:cs="Times New Roman"/>
                <w:position w:val="-12"/>
                <w:sz w:val="24"/>
                <w:vertAlign w:val="subscript"/>
              </w:rPr>
              <w:t>1</w:t>
            </w:r>
            <w:r>
              <w:rPr>
                <w:rFonts w:hint="default" w:ascii="Times New Roman" w:hAnsi="Times New Roman" w:cs="Times New Roman"/>
                <w:position w:val="-12"/>
                <w:sz w:val="24"/>
              </w:rPr>
              <w:t>=1</w:t>
            </w:r>
          </w:p>
        </w:tc>
      </w:tr>
      <w:tr w14:paraId="283C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98" w:type="pct"/>
            <w:noWrap w:val="0"/>
            <w:vAlign w:val="center"/>
          </w:tcPr>
          <w:p w14:paraId="0525F34F">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i/>
                <w:sz w:val="24"/>
              </w:rPr>
              <w:t>u</w:t>
            </w:r>
            <w:r>
              <w:rPr>
                <w:rFonts w:hint="default" w:ascii="Times New Roman" w:hAnsi="Times New Roman" w:cs="Times New Roman"/>
                <w:sz w:val="24"/>
                <w:vertAlign w:val="subscript"/>
              </w:rPr>
              <w:t>2</w:t>
            </w:r>
          </w:p>
        </w:tc>
        <w:tc>
          <w:tcPr>
            <w:tcW w:w="2607" w:type="pct"/>
            <w:noWrap w:val="0"/>
            <w:vAlign w:val="center"/>
          </w:tcPr>
          <w:p w14:paraId="3C154D15">
            <w:pPr>
              <w:adjustRightInd w:val="0"/>
              <w:snapToGrid w:val="0"/>
              <w:spacing w:line="400" w:lineRule="exact"/>
              <w:jc w:val="center"/>
              <w:rPr>
                <w:rFonts w:hint="default" w:ascii="Times New Roman" w:hAnsi="Times New Roman" w:cs="Times New Roman"/>
                <w:position w:val="-10"/>
                <w:sz w:val="24"/>
              </w:rPr>
            </w:pPr>
            <w:r>
              <w:rPr>
                <w:rFonts w:hint="default" w:ascii="Times New Roman" w:hAnsi="Times New Roman" w:cs="Times New Roman"/>
                <w:sz w:val="24"/>
              </w:rPr>
              <w:t>称重系统分辨力</w:t>
            </w:r>
          </w:p>
        </w:tc>
        <w:tc>
          <w:tcPr>
            <w:tcW w:w="1093" w:type="pct"/>
            <w:vMerge w:val="continue"/>
            <w:noWrap w:val="0"/>
            <w:vAlign w:val="center"/>
          </w:tcPr>
          <w:p w14:paraId="5E5A5F57">
            <w:pPr>
              <w:adjustRightInd w:val="0"/>
              <w:snapToGrid w:val="0"/>
              <w:jc w:val="center"/>
              <w:rPr>
                <w:rFonts w:hint="default" w:ascii="Times New Roman" w:hAnsi="Times New Roman" w:cs="Times New Roman"/>
                <w:position w:val="-12"/>
                <w:sz w:val="24"/>
              </w:rPr>
            </w:pPr>
          </w:p>
        </w:tc>
      </w:tr>
      <w:tr w14:paraId="28FB0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298" w:type="pct"/>
            <w:noWrap w:val="0"/>
            <w:vAlign w:val="center"/>
          </w:tcPr>
          <w:p w14:paraId="7C10C03E">
            <w:pPr>
              <w:adjustRightInd w:val="0"/>
              <w:snapToGrid w:val="0"/>
              <w:spacing w:line="400" w:lineRule="exact"/>
              <w:jc w:val="center"/>
              <w:rPr>
                <w:rFonts w:hint="default" w:ascii="Times New Roman" w:hAnsi="Times New Roman" w:cs="Times New Roman"/>
                <w:sz w:val="24"/>
              </w:rPr>
            </w:pPr>
            <w:r>
              <w:rPr>
                <w:rFonts w:hint="default" w:ascii="Times New Roman" w:hAnsi="Times New Roman" w:cs="Times New Roman"/>
                <w:i/>
                <w:sz w:val="24"/>
              </w:rPr>
              <w:t>u</w:t>
            </w:r>
            <w:r>
              <w:rPr>
                <w:rFonts w:hint="default" w:ascii="Times New Roman" w:hAnsi="Times New Roman" w:cs="Times New Roman"/>
                <w:sz w:val="24"/>
                <w:vertAlign w:val="subscript"/>
              </w:rPr>
              <w:t>3</w:t>
            </w:r>
          </w:p>
        </w:tc>
        <w:tc>
          <w:tcPr>
            <w:tcW w:w="2607" w:type="pct"/>
            <w:noWrap w:val="0"/>
            <w:vAlign w:val="center"/>
          </w:tcPr>
          <w:p w14:paraId="516118A0">
            <w:pPr>
              <w:adjustRightInd w:val="0"/>
              <w:snapToGrid w:val="0"/>
              <w:spacing w:line="400" w:lineRule="exact"/>
              <w:jc w:val="center"/>
              <w:rPr>
                <w:rFonts w:hint="default" w:ascii="Times New Roman" w:hAnsi="Times New Roman" w:cs="Times New Roman"/>
                <w:position w:val="-10"/>
                <w:sz w:val="24"/>
              </w:rPr>
            </w:pPr>
            <w:r>
              <w:rPr>
                <w:rFonts w:hint="default" w:ascii="Times New Roman" w:hAnsi="Times New Roman" w:cs="Times New Roman"/>
                <w:sz w:val="24"/>
              </w:rPr>
              <w:t>同一载荷在不同位置的示值偏差</w:t>
            </w:r>
          </w:p>
        </w:tc>
        <w:tc>
          <w:tcPr>
            <w:tcW w:w="1093" w:type="pct"/>
            <w:vMerge w:val="continue"/>
            <w:noWrap w:val="0"/>
            <w:vAlign w:val="center"/>
          </w:tcPr>
          <w:p w14:paraId="36D037EE">
            <w:pPr>
              <w:adjustRightInd w:val="0"/>
              <w:snapToGrid w:val="0"/>
              <w:jc w:val="center"/>
              <w:rPr>
                <w:rFonts w:hint="default" w:ascii="Times New Roman" w:hAnsi="Times New Roman" w:cs="Times New Roman"/>
                <w:position w:val="-12"/>
                <w:sz w:val="24"/>
              </w:rPr>
            </w:pPr>
          </w:p>
        </w:tc>
      </w:tr>
      <w:tr w14:paraId="7C30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98" w:type="pct"/>
            <w:noWrap w:val="0"/>
            <w:vAlign w:val="center"/>
          </w:tcPr>
          <w:p w14:paraId="0538A763">
            <w:pPr>
              <w:adjustRightInd w:val="0"/>
              <w:snapToGrid w:val="0"/>
              <w:spacing w:line="400" w:lineRule="exact"/>
              <w:jc w:val="center"/>
              <w:rPr>
                <w:rFonts w:hint="default" w:ascii="Times New Roman" w:hAnsi="Times New Roman" w:cs="Times New Roman"/>
              </w:rPr>
            </w:pPr>
            <w:r>
              <w:rPr>
                <w:rFonts w:hint="default" w:ascii="Times New Roman" w:hAnsi="Times New Roman" w:cs="Times New Roman"/>
                <w:i/>
                <w:sz w:val="24"/>
              </w:rPr>
              <w:t>u</w:t>
            </w:r>
            <w:r>
              <w:rPr>
                <w:rFonts w:hint="default" w:ascii="Times New Roman" w:hAnsi="Times New Roman" w:cs="Times New Roman"/>
                <w:iCs/>
                <w:sz w:val="24"/>
                <w:vertAlign w:val="subscript"/>
              </w:rPr>
              <w:t>4</w:t>
            </w:r>
          </w:p>
        </w:tc>
        <w:tc>
          <w:tcPr>
            <w:tcW w:w="2607" w:type="pct"/>
            <w:noWrap w:val="0"/>
            <w:vAlign w:val="center"/>
          </w:tcPr>
          <w:p w14:paraId="6234559D">
            <w:pPr>
              <w:tabs>
                <w:tab w:val="left" w:pos="0"/>
              </w:tabs>
              <w:spacing w:line="400" w:lineRule="exact"/>
              <w:jc w:val="center"/>
              <w:rPr>
                <w:rFonts w:hint="default" w:ascii="Times New Roman" w:hAnsi="Times New Roman" w:cs="Times New Roman"/>
                <w:sz w:val="24"/>
              </w:rPr>
            </w:pPr>
            <w:r>
              <w:rPr>
                <w:rFonts w:hint="default" w:ascii="Times New Roman" w:hAnsi="Times New Roman" w:cs="Times New Roman"/>
                <w:sz w:val="24"/>
              </w:rPr>
              <w:t>标准器</w:t>
            </w:r>
          </w:p>
        </w:tc>
        <w:tc>
          <w:tcPr>
            <w:tcW w:w="1093" w:type="pct"/>
            <w:noWrap w:val="0"/>
            <w:vAlign w:val="center"/>
          </w:tcPr>
          <w:p w14:paraId="0BC16F39">
            <w:pPr>
              <w:adjustRightInd w:val="0"/>
              <w:snapToGrid w:val="0"/>
              <w:jc w:val="center"/>
              <w:rPr>
                <w:rFonts w:hint="default" w:ascii="Times New Roman" w:hAnsi="Times New Roman" w:cs="Times New Roman"/>
                <w:position w:val="-12"/>
                <w:sz w:val="24"/>
              </w:rPr>
            </w:pPr>
            <w:r>
              <w:rPr>
                <w:rFonts w:hint="default" w:ascii="Times New Roman" w:hAnsi="Times New Roman" w:cs="Times New Roman"/>
                <w:i/>
                <w:iCs/>
                <w:position w:val="-12"/>
                <w:sz w:val="24"/>
              </w:rPr>
              <w:t>c</w:t>
            </w:r>
            <w:r>
              <w:rPr>
                <w:rFonts w:hint="default" w:ascii="Times New Roman" w:hAnsi="Times New Roman" w:cs="Times New Roman"/>
                <w:position w:val="-12"/>
                <w:sz w:val="24"/>
                <w:vertAlign w:val="subscript"/>
              </w:rPr>
              <w:t>2</w:t>
            </w:r>
            <w:r>
              <w:rPr>
                <w:rFonts w:hint="default" w:ascii="Times New Roman" w:hAnsi="Times New Roman" w:cs="Times New Roman"/>
                <w:position w:val="-12"/>
                <w:sz w:val="24"/>
              </w:rPr>
              <w:t>=</w:t>
            </w:r>
            <w:r>
              <w:rPr>
                <w:rFonts w:hint="eastAsia" w:ascii="Times New Roman" w:hAnsi="Times New Roman" w:cs="Times New Roman"/>
                <w:position w:val="-12"/>
                <w:sz w:val="24"/>
                <w:lang w:val="en-US" w:eastAsia="zh-CN"/>
              </w:rPr>
              <w:t>-</w:t>
            </w:r>
            <w:bookmarkStart w:id="2" w:name="_GoBack"/>
            <w:bookmarkEnd w:id="2"/>
            <w:r>
              <w:rPr>
                <w:rFonts w:hint="default" w:ascii="Times New Roman" w:hAnsi="Times New Roman" w:cs="Times New Roman"/>
                <w:position w:val="-12"/>
                <w:sz w:val="24"/>
              </w:rPr>
              <w:t>1</w:t>
            </w:r>
          </w:p>
        </w:tc>
      </w:tr>
    </w:tbl>
    <w:p w14:paraId="616D51DF">
      <w:pPr>
        <w:spacing w:line="360" w:lineRule="auto"/>
        <w:jc w:val="left"/>
        <w:rPr>
          <w:rFonts w:hint="default" w:ascii="Times New Roman" w:hAnsi="Times New Roman" w:cs="Times New Roman"/>
          <w:sz w:val="24"/>
        </w:rPr>
      </w:pPr>
      <w:r>
        <w:rPr>
          <w:rFonts w:hint="eastAsia" w:ascii="Times New Roman" w:hAnsi="Times New Roman" w:cs="Times New Roman"/>
          <w:sz w:val="24"/>
          <w:lang w:val="en-US" w:eastAsia="zh-CN"/>
        </w:rPr>
        <w:t>5</w:t>
      </w:r>
      <w:r>
        <w:rPr>
          <w:rFonts w:hint="default" w:ascii="Times New Roman" w:hAnsi="Times New Roman" w:cs="Times New Roman"/>
          <w:sz w:val="24"/>
        </w:rPr>
        <w:t xml:space="preserve">  合成标准不确定度</w:t>
      </w:r>
      <w:r>
        <w:rPr>
          <w:rFonts w:hint="default" w:ascii="Times New Roman" w:hAnsi="Times New Roman" w:cs="Times New Roman"/>
          <w:i/>
          <w:iCs/>
          <w:sz w:val="24"/>
        </w:rPr>
        <w:t>u</w:t>
      </w:r>
      <w:r>
        <w:rPr>
          <w:rFonts w:hint="default" w:ascii="Times New Roman" w:hAnsi="Times New Roman" w:cs="Times New Roman"/>
          <w:sz w:val="24"/>
          <w:vertAlign w:val="subscript"/>
        </w:rPr>
        <w:t>c</w:t>
      </w:r>
      <w:r>
        <w:rPr>
          <w:rFonts w:hint="default" w:ascii="Times New Roman" w:hAnsi="Times New Roman" w:cs="Times New Roman"/>
          <w:sz w:val="24"/>
        </w:rPr>
        <w:t>(</w:t>
      </w:r>
      <w:r>
        <w:rPr>
          <w:rFonts w:hint="default" w:ascii="Times New Roman" w:hAnsi="Times New Roman" w:cs="Times New Roman"/>
          <w:i/>
          <w:iCs/>
          <w:sz w:val="24"/>
        </w:rPr>
        <w:t>E</w:t>
      </w:r>
      <w:r>
        <w:rPr>
          <w:rFonts w:hint="default" w:ascii="Times New Roman" w:hAnsi="Times New Roman" w:cs="Times New Roman"/>
          <w:sz w:val="24"/>
        </w:rPr>
        <w:t>)</w:t>
      </w:r>
    </w:p>
    <w:p w14:paraId="471FBDA4">
      <w:pPr>
        <w:autoSpaceDE w:val="0"/>
        <w:autoSpaceDN w:val="0"/>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上述标准不确定分量均不相关，则合成不确定度为：</w:t>
      </w:r>
    </w:p>
    <w:p w14:paraId="6EC6FEA1">
      <w:pPr>
        <w:spacing w:line="360" w:lineRule="auto"/>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bCs/>
          <w:sz w:val="24"/>
        </w:rPr>
        <w:t xml:space="preserve">   </w:t>
      </w:r>
      <w:r>
        <w:rPr>
          <w:rFonts w:hint="default" w:ascii="Times New Roman" w:hAnsi="Times New Roman" w:cs="Times New Roman"/>
          <w:position w:val="-14"/>
          <w:sz w:val="24"/>
        </w:rPr>
        <w:object>
          <v:shape id="_x0000_i1036" o:spt="75" type="#_x0000_t75" style="height:23.1pt;width:213.95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26">
            <o:LockedField>false</o:LockedField>
          </o:OLEObject>
        </w:object>
      </w:r>
      <w:r>
        <w:rPr>
          <w:rFonts w:hint="default"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 xml:space="preserve">      (11)         </w:t>
      </w:r>
    </w:p>
    <w:p w14:paraId="1A386020">
      <w:pPr>
        <w:spacing w:line="360" w:lineRule="auto"/>
        <w:rPr>
          <w:rFonts w:hint="default" w:ascii="Times New Roman" w:hAnsi="Times New Roman" w:cs="Times New Roman"/>
          <w:sz w:val="24"/>
        </w:rPr>
      </w:pPr>
      <w:r>
        <w:rPr>
          <w:rFonts w:hint="eastAsia" w:ascii="Times New Roman" w:hAnsi="Times New Roman" w:cs="Times New Roman"/>
          <w:sz w:val="24"/>
          <w:lang w:val="en-US" w:eastAsia="zh-CN"/>
        </w:rPr>
        <w:t>6</w:t>
      </w:r>
      <w:r>
        <w:rPr>
          <w:rFonts w:hint="default" w:ascii="Times New Roman" w:hAnsi="Times New Roman" w:cs="Times New Roman"/>
          <w:sz w:val="24"/>
        </w:rPr>
        <w:t xml:space="preserve">  扩展不确定度</w:t>
      </w:r>
    </w:p>
    <w:p w14:paraId="4A83A5DA">
      <w:pPr>
        <w:autoSpaceDE w:val="0"/>
        <w:autoSpaceDN w:val="0"/>
        <w:spacing w:line="4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取包含因子</w:t>
      </w:r>
      <w:r>
        <w:rPr>
          <w:rFonts w:hint="default" w:ascii="Times New Roman" w:hAnsi="Times New Roman" w:cs="Times New Roman"/>
          <w:i/>
          <w:sz w:val="24"/>
        </w:rPr>
        <w:t>k</w:t>
      </w:r>
      <w:r>
        <w:rPr>
          <w:rFonts w:hint="default" w:ascii="Times New Roman" w:hAnsi="Times New Roman" w:cs="Times New Roman"/>
          <w:sz w:val="24"/>
        </w:rPr>
        <w:t>=2，则扩展不确定度为：</w:t>
      </w:r>
    </w:p>
    <w:p w14:paraId="16E3BEA1">
      <w:pPr>
        <w:wordWrap w:val="0"/>
        <w:spacing w:line="360" w:lineRule="auto"/>
        <w:jc w:val="right"/>
        <w:rPr>
          <w:rFonts w:hint="eastAsia" w:ascii="Times New Roman" w:hAnsi="Times New Roman" w:cs="Times New Roman" w:eastAsiaTheme="minorEastAsia"/>
          <w:sz w:val="24"/>
          <w:lang w:val="en-US" w:eastAsia="zh-CN"/>
        </w:rPr>
      </w:pPr>
      <w:r>
        <w:rPr>
          <w:rFonts w:hint="default" w:ascii="Times New Roman" w:hAnsi="Times New Roman" w:cs="Times New Roman"/>
          <w:i/>
          <w:position w:val="-12"/>
          <w:sz w:val="24"/>
        </w:rPr>
        <w:object>
          <v:shape id="_x0000_i1037" o:spt="75" type="#_x0000_t75" style="height:18pt;width:120pt;" o:ole="t" filled="f" o:preferrelative="t" stroked="f" coordsize="21600,21600">
            <v:path/>
            <v:fill on="f" focussize="0,0"/>
            <v:stroke on="f"/>
            <v:imagedata r:id="rId29" o:title=""/>
            <o:lock v:ext="edit" aspectratio="t"/>
            <w10:wrap type="none"/>
            <w10:anchorlock/>
          </v:shape>
          <o:OLEObject Type="Embed" ProgID="Equation.KSEE3" ShapeID="_x0000_i1037" DrawAspect="Content" ObjectID="_1468075737" r:id="rId28">
            <o:LockedField>false</o:LockedField>
          </o:OLEObject>
        </w:object>
      </w:r>
      <w:r>
        <w:rPr>
          <w:rFonts w:hint="default" w:ascii="Times New Roman" w:hAnsi="Times New Roman" w:cs="Times New Roman"/>
          <w:i/>
          <w:sz w:val="24"/>
        </w:rPr>
        <w:t xml:space="preserve">     </w:t>
      </w:r>
      <w:r>
        <w:rPr>
          <w:rFonts w:hint="eastAsia" w:ascii="Times New Roman" w:hAnsi="Times New Roman" w:cs="Times New Roman"/>
          <w:i/>
          <w:sz w:val="24"/>
          <w:lang w:val="en-US" w:eastAsia="zh-CN"/>
        </w:rPr>
        <w:t xml:space="preserve">  </w:t>
      </w:r>
      <w:r>
        <w:rPr>
          <w:rFonts w:hint="default" w:ascii="Times New Roman" w:hAnsi="Times New Roman" w:cs="Times New Roman"/>
          <w:i/>
          <w:sz w:val="24"/>
        </w:rPr>
        <w:t xml:space="preserve">               </w:t>
      </w:r>
      <w:r>
        <w:rPr>
          <w:rFonts w:hint="default" w:ascii="Times New Roman" w:hAnsi="Times New Roman" w:eastAsia="等线" w:cs="Times New Roman"/>
          <w:bCs/>
          <w:sz w:val="24"/>
        </w:rPr>
        <w:t xml:space="preserve"> </w:t>
      </w:r>
      <w:r>
        <w:rPr>
          <w:rFonts w:hint="default" w:ascii="Times New Roman" w:hAnsi="Times New Roman" w:cs="Times New Roman"/>
          <w:sz w:val="24"/>
        </w:rPr>
        <w:t>(12)</w:t>
      </w:r>
      <w:r>
        <w:rPr>
          <w:rFonts w:hint="eastAsia" w:ascii="Times New Roman" w:hAnsi="Times New Roman" w:cs="Times New Roman"/>
          <w:sz w:val="24"/>
          <w:lang w:val="en-US" w:eastAsia="zh-CN"/>
        </w:rPr>
        <w:t xml:space="preserve"> </w:t>
      </w:r>
    </w:p>
    <w:p w14:paraId="399DB7A0">
      <w:pPr>
        <w:widowControl/>
        <w:jc w:val="left"/>
        <w:rPr>
          <w:rFonts w:hint="eastAsia" w:ascii="黑体" w:hAnsi="黑体" w:eastAsia="黑体" w:cs="黑体"/>
          <w:sz w:val="24"/>
        </w:rPr>
      </w:pPr>
      <w:r>
        <w:rPr>
          <w:rFonts w:hint="eastAsia" w:ascii="黑体" w:hAnsi="黑体" w:eastAsia="黑体" w:cs="黑体"/>
          <w:sz w:val="24"/>
        </w:rPr>
        <w:t xml:space="preserve">7  </w:t>
      </w:r>
      <w:r>
        <w:rPr>
          <w:rFonts w:ascii="黑体" w:hAnsi="黑体" w:eastAsia="黑体" w:cs="黑体"/>
          <w:sz w:val="24"/>
        </w:rPr>
        <w:t>评定示例</w:t>
      </w:r>
    </w:p>
    <w:p w14:paraId="0DC33B9B">
      <w:pPr>
        <w:spacing w:line="360" w:lineRule="auto"/>
        <w:rPr>
          <w:rFonts w:ascii="Times New Roman" w:hAnsi="Times New Roman" w:cs="Times New Roman"/>
          <w:color w:val="000000"/>
          <w:sz w:val="24"/>
          <w:szCs w:val="20"/>
        </w:rPr>
      </w:pPr>
      <w:r>
        <w:rPr>
          <w:rFonts w:hint="eastAsia" w:ascii="Times New Roman" w:hAnsi="Times New Roman" w:cs="Times New Roman"/>
          <w:color w:val="000000"/>
          <w:sz w:val="24"/>
          <w:szCs w:val="20"/>
          <w:lang w:val="en-US" w:eastAsia="zh-CN"/>
        </w:rPr>
        <w:t>7</w:t>
      </w:r>
      <w:r>
        <w:rPr>
          <w:rFonts w:hint="default" w:ascii="Times New Roman" w:hAnsi="Times New Roman" w:cs="Times New Roman"/>
          <w:color w:val="000000"/>
          <w:sz w:val="24"/>
          <w:szCs w:val="20"/>
        </w:rPr>
        <w:t>.1  校准对象</w:t>
      </w:r>
    </w:p>
    <w:p w14:paraId="51B52ED9">
      <w:pPr>
        <w:spacing w:line="360" w:lineRule="auto"/>
        <w:ind w:firstLine="480" w:firstLineChars="200"/>
        <w:rPr>
          <w:rFonts w:ascii="Times New Roman" w:hAnsi="Times New Roman" w:cs="Times New Roman"/>
          <w:color w:val="000000"/>
          <w:sz w:val="24"/>
          <w:szCs w:val="20"/>
        </w:rPr>
      </w:pPr>
      <w:r>
        <w:rPr>
          <w:rFonts w:ascii="Times New Roman" w:hAnsi="Times New Roman" w:cs="Times New Roman"/>
          <w:color w:val="000000"/>
          <w:sz w:val="24"/>
          <w:szCs w:val="20"/>
        </w:rPr>
        <w:t>以最大量程</w:t>
      </w:r>
      <w:r>
        <w:rPr>
          <w:rFonts w:hint="eastAsia" w:ascii="Times New Roman" w:hAnsi="Times New Roman" w:cs="Times New Roman"/>
          <w:color w:val="000000"/>
          <w:sz w:val="24"/>
          <w:szCs w:val="20"/>
          <w:lang w:val="en-US" w:eastAsia="zh-CN"/>
        </w:rPr>
        <w:t>1</w:t>
      </w:r>
      <w:r>
        <w:rPr>
          <w:rFonts w:hint="default" w:ascii="Times New Roman" w:hAnsi="Times New Roman" w:cs="Times New Roman"/>
          <w:color w:val="000000"/>
          <w:sz w:val="24"/>
          <w:szCs w:val="20"/>
        </w:rPr>
        <w:t>0</w:t>
      </w:r>
      <w:r>
        <w:rPr>
          <w:rFonts w:ascii="Times New Roman" w:hAnsi="Times New Roman" w:cs="Times New Roman"/>
          <w:color w:val="000000"/>
          <w:sz w:val="24"/>
          <w:szCs w:val="20"/>
        </w:rPr>
        <w:t>0kg，分度值</w:t>
      </w:r>
      <w:r>
        <w:rPr>
          <w:rFonts w:ascii="Times New Roman" w:hAnsi="Times New Roman" w:cs="Times New Roman"/>
          <w:i/>
          <w:iCs/>
          <w:color w:val="000000"/>
          <w:sz w:val="24"/>
          <w:szCs w:val="20"/>
        </w:rPr>
        <w:t>d</w:t>
      </w:r>
      <w:r>
        <w:rPr>
          <w:rFonts w:ascii="Times New Roman" w:hAnsi="Times New Roman" w:cs="Times New Roman"/>
          <w:color w:val="000000"/>
          <w:sz w:val="24"/>
          <w:szCs w:val="20"/>
        </w:rPr>
        <w:t>为</w:t>
      </w:r>
      <w:r>
        <w:rPr>
          <w:rFonts w:hint="eastAsia" w:ascii="Times New Roman" w:hAnsi="Times New Roman" w:cs="Times New Roman"/>
          <w:color w:val="000000"/>
          <w:sz w:val="24"/>
          <w:szCs w:val="20"/>
          <w:lang w:val="en-US" w:eastAsia="zh-CN"/>
        </w:rPr>
        <w:t>50</w:t>
      </w:r>
      <w:r>
        <w:rPr>
          <w:rFonts w:ascii="Times New Roman" w:hAnsi="Times New Roman" w:cs="Times New Roman"/>
          <w:color w:val="000000"/>
          <w:sz w:val="24"/>
          <w:szCs w:val="20"/>
        </w:rPr>
        <w:t>g的</w:t>
      </w:r>
      <w:r>
        <w:rPr>
          <w:rFonts w:ascii="Times New Roman" w:hAnsi="Times New Roman" w:cs="Times New Roman"/>
          <w:sz w:val="24"/>
        </w:rPr>
        <w:t>仓储货物输送称重系统</w:t>
      </w:r>
      <w:r>
        <w:rPr>
          <w:rFonts w:ascii="Times New Roman" w:hAnsi="Times New Roman" w:cs="Times New Roman"/>
          <w:color w:val="000000"/>
          <w:sz w:val="24"/>
          <w:szCs w:val="20"/>
        </w:rPr>
        <w:t>为校准对象，进行测量不确定度评定</w:t>
      </w:r>
      <w:r>
        <w:rPr>
          <w:rFonts w:hint="default" w:ascii="Times New Roman" w:hAnsi="Times New Roman" w:cs="Times New Roman"/>
          <w:color w:val="000000"/>
          <w:sz w:val="24"/>
          <w:szCs w:val="20"/>
        </w:rPr>
        <w:t>。</w:t>
      </w:r>
    </w:p>
    <w:p w14:paraId="073DF821">
      <w:pPr>
        <w:spacing w:line="360" w:lineRule="auto"/>
        <w:rPr>
          <w:rFonts w:ascii="Times New Roman" w:hAnsi="Times New Roman" w:cs="Times New Roman"/>
          <w:color w:val="000000"/>
          <w:sz w:val="24"/>
          <w:szCs w:val="20"/>
        </w:rPr>
      </w:pPr>
      <w:r>
        <w:rPr>
          <w:rFonts w:hint="eastAsia" w:ascii="Times New Roman" w:hAnsi="Times New Roman" w:cs="Times New Roman"/>
          <w:color w:val="000000"/>
          <w:sz w:val="24"/>
          <w:szCs w:val="20"/>
          <w:lang w:val="en-US" w:eastAsia="zh-CN"/>
        </w:rPr>
        <w:t>7</w:t>
      </w:r>
      <w:r>
        <w:rPr>
          <w:rFonts w:hint="default" w:ascii="Times New Roman" w:hAnsi="Times New Roman" w:cs="Times New Roman"/>
          <w:color w:val="000000"/>
          <w:sz w:val="24"/>
          <w:szCs w:val="20"/>
        </w:rPr>
        <w:t>.</w:t>
      </w:r>
      <w:r>
        <w:rPr>
          <w:rFonts w:ascii="Times New Roman" w:hAnsi="Times New Roman" w:cs="Times New Roman"/>
          <w:color w:val="000000"/>
          <w:sz w:val="24"/>
          <w:szCs w:val="20"/>
        </w:rPr>
        <w:t>2</w:t>
      </w:r>
      <w:r>
        <w:rPr>
          <w:rFonts w:hint="default" w:ascii="Times New Roman" w:hAnsi="Times New Roman" w:cs="Times New Roman"/>
          <w:color w:val="000000"/>
          <w:sz w:val="24"/>
          <w:szCs w:val="20"/>
        </w:rPr>
        <w:t xml:space="preserve">  称量点选取</w:t>
      </w:r>
    </w:p>
    <w:p w14:paraId="33B86BE2">
      <w:pPr>
        <w:spacing w:line="360" w:lineRule="auto"/>
        <w:ind w:firstLine="480"/>
        <w:rPr>
          <w:rFonts w:ascii="Times New Roman" w:hAnsi="Times New Roman" w:cs="Times New Roman"/>
          <w:color w:val="000000"/>
          <w:sz w:val="24"/>
          <w:szCs w:val="20"/>
        </w:rPr>
      </w:pPr>
      <w:r>
        <w:rPr>
          <w:rFonts w:ascii="Times New Roman" w:hAnsi="Times New Roman" w:cs="Times New Roman"/>
          <w:color w:val="000000"/>
          <w:sz w:val="24"/>
          <w:szCs w:val="20"/>
        </w:rPr>
        <w:t>选取试验载荷为</w:t>
      </w:r>
      <w:r>
        <w:rPr>
          <w:rFonts w:hint="eastAsia" w:ascii="Times New Roman" w:hAnsi="Times New Roman" w:cs="Times New Roman"/>
          <w:color w:val="000000"/>
          <w:sz w:val="24"/>
          <w:szCs w:val="20"/>
          <w:lang w:val="en-US" w:eastAsia="zh-CN"/>
        </w:rPr>
        <w:t>5</w:t>
      </w:r>
      <w:r>
        <w:rPr>
          <w:rFonts w:ascii="Times New Roman" w:hAnsi="Times New Roman" w:cs="Times New Roman"/>
          <w:color w:val="000000"/>
          <w:sz w:val="24"/>
          <w:szCs w:val="20"/>
        </w:rPr>
        <w:t>0kg称量点进行评定。</w:t>
      </w:r>
    </w:p>
    <w:p w14:paraId="09BD116D">
      <w:pPr>
        <w:pStyle w:val="15"/>
        <w:spacing w:before="0" w:beforeAutospacing="0" w:after="0" w:afterAutospacing="0" w:line="360" w:lineRule="auto"/>
        <w:rPr>
          <w:rFonts w:hint="eastAsia"/>
          <w:color w:val="000000"/>
        </w:rPr>
      </w:pPr>
      <w:r>
        <w:rPr>
          <w:rFonts w:hint="eastAsia"/>
          <w:color w:val="000000"/>
          <w:lang w:val="en-US" w:eastAsia="zh-CN"/>
        </w:rPr>
        <w:t>7</w:t>
      </w:r>
      <w:r>
        <w:rPr>
          <w:rFonts w:hint="default" w:ascii="Times New Roman" w:hAnsi="Times New Roman"/>
          <w:color w:val="000000"/>
        </w:rPr>
        <w:t>.</w:t>
      </w:r>
      <w:r>
        <w:rPr>
          <w:rFonts w:ascii="Times New Roman" w:hAnsi="Times New Roman"/>
          <w:color w:val="000000"/>
        </w:rPr>
        <w:t xml:space="preserve">2.1  </w:t>
      </w:r>
      <w:r>
        <w:rPr>
          <w:rFonts w:hint="default" w:ascii="Times New Roman" w:hAnsi="Times New Roman"/>
          <w:color w:val="000000"/>
        </w:rPr>
        <w:t>重复性引入的不确定度</w:t>
      </w:r>
      <w:r>
        <w:rPr>
          <w:bCs/>
          <w:i/>
          <w:iCs/>
        </w:rPr>
        <w:t>u</w:t>
      </w:r>
      <w:r>
        <w:rPr>
          <w:rFonts w:hint="eastAsia"/>
          <w:bCs/>
          <w:vertAlign w:val="subscript"/>
        </w:rPr>
        <w:t>1</w:t>
      </w:r>
    </w:p>
    <w:p w14:paraId="58CF08EE">
      <w:pPr>
        <w:pStyle w:val="15"/>
        <w:spacing w:before="0" w:beforeAutospacing="0" w:after="0" w:afterAutospacing="0" w:line="360" w:lineRule="auto"/>
        <w:ind w:firstLine="480" w:firstLineChars="200"/>
        <w:jc w:val="both"/>
        <w:rPr>
          <w:color w:val="000000"/>
        </w:rPr>
      </w:pPr>
      <w:r>
        <w:rPr>
          <w:color w:val="000000"/>
        </w:rPr>
        <w:t>用</w:t>
      </w:r>
      <w:r>
        <w:rPr>
          <w:rFonts w:hint="eastAsia"/>
          <w:color w:val="000000"/>
          <w:lang w:val="en-US" w:eastAsia="zh-CN"/>
        </w:rPr>
        <w:t>5</w:t>
      </w:r>
      <w:r>
        <w:rPr>
          <w:color w:val="000000"/>
        </w:rPr>
        <w:t>0kg标准砝码对</w:t>
      </w:r>
      <w:r>
        <w:rPr>
          <w:rFonts w:hint="eastAsia"/>
          <w:color w:val="000000"/>
        </w:rPr>
        <w:t>称重系统</w:t>
      </w:r>
      <w:r>
        <w:rPr>
          <w:color w:val="000000"/>
        </w:rPr>
        <w:t>重复测量</w:t>
      </w:r>
      <w:r>
        <w:rPr>
          <w:rFonts w:hint="eastAsia"/>
          <w:color w:val="000000"/>
          <w:lang w:val="en-US" w:eastAsia="zh-CN"/>
        </w:rPr>
        <w:t>6</w:t>
      </w:r>
      <w:r>
        <w:rPr>
          <w:color w:val="000000"/>
        </w:rPr>
        <w:t>次得到实测值如表</w:t>
      </w:r>
      <w:r>
        <w:rPr>
          <w:rFonts w:hint="eastAsia"/>
          <w:color w:val="000000"/>
          <w:lang w:val="en-US" w:eastAsia="zh-CN"/>
        </w:rPr>
        <w:t>2</w:t>
      </w:r>
      <w:r>
        <w:rPr>
          <w:color w:val="000000"/>
        </w:rPr>
        <w:t>所示：</w:t>
      </w:r>
    </w:p>
    <w:p w14:paraId="6380AC18">
      <w:pPr>
        <w:pStyle w:val="15"/>
        <w:spacing w:before="0" w:beforeAutospacing="0" w:after="0" w:afterAutospacing="0" w:line="360" w:lineRule="auto"/>
        <w:ind w:firstLine="420" w:firstLineChars="200"/>
        <w:jc w:val="center"/>
        <w:rPr>
          <w:color w:val="000000"/>
          <w:sz w:val="21"/>
          <w:szCs w:val="21"/>
        </w:rPr>
      </w:pPr>
      <w:r>
        <w:rPr>
          <w:rFonts w:hint="default" w:ascii="Times New Roman" w:hAnsi="Times New Roman" w:eastAsia="黑体"/>
          <w:color w:val="000000"/>
          <w:sz w:val="21"/>
          <w:szCs w:val="21"/>
        </w:rPr>
        <w:t>表D.1  重复性实测数据</w:t>
      </w:r>
    </w:p>
    <w:tbl>
      <w:tblPr>
        <w:tblStyle w:val="18"/>
        <w:tblW w:w="44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4"/>
        <w:gridCol w:w="1101"/>
        <w:gridCol w:w="1167"/>
        <w:gridCol w:w="1223"/>
        <w:gridCol w:w="1194"/>
        <w:gridCol w:w="1107"/>
        <w:gridCol w:w="1256"/>
      </w:tblGrid>
      <w:tr w14:paraId="0562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88" w:type="dxa"/>
            <w:gridSpan w:val="6"/>
            <w:noWrap w:val="0"/>
            <w:vAlign w:val="center"/>
          </w:tcPr>
          <w:p w14:paraId="7E376551">
            <w:pPr>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示值（kg）</w:t>
            </w:r>
          </w:p>
        </w:tc>
        <w:tc>
          <w:tcPr>
            <w:tcW w:w="1275" w:type="dxa"/>
            <w:vMerge w:val="restart"/>
            <w:noWrap w:val="0"/>
            <w:vAlign w:val="center"/>
          </w:tcPr>
          <w:p w14:paraId="0F4C04C1">
            <w:pPr>
              <w:spacing w:line="360" w:lineRule="auto"/>
              <w:jc w:val="center"/>
              <w:rPr>
                <w:rFonts w:ascii="Times New Roman" w:hAnsi="Times New Roman" w:cs="Times New Roman"/>
                <w:color w:val="000000"/>
                <w:szCs w:val="21"/>
              </w:rPr>
            </w:pPr>
            <w:r>
              <w:rPr>
                <w:rFonts w:hint="default" w:ascii="Times New Roman" w:hAnsi="Times New Roman" w:cs="Times New Roman"/>
                <w:color w:val="000000"/>
                <w:szCs w:val="21"/>
              </w:rPr>
              <w:t>重复性（g）</w:t>
            </w:r>
          </w:p>
        </w:tc>
      </w:tr>
      <w:tr w14:paraId="2ACDD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1229" w:type="dxa"/>
            <w:noWrap w:val="0"/>
            <w:vAlign w:val="center"/>
          </w:tcPr>
          <w:p w14:paraId="514C563C">
            <w:pPr>
              <w:spacing w:line="360" w:lineRule="auto"/>
              <w:jc w:val="center"/>
              <w:rPr>
                <w:rFonts w:ascii="Times New Roman" w:hAnsi="Times New Roman" w:cs="Times New Roman"/>
                <w:color w:val="000000"/>
                <w:szCs w:val="21"/>
              </w:rPr>
            </w:pPr>
            <w:r>
              <w:rPr>
                <w:rFonts w:hint="default" w:ascii="Times New Roman" w:hAnsi="Times New Roman" w:cs="Times New Roman"/>
                <w:color w:val="000000"/>
                <w:szCs w:val="21"/>
              </w:rPr>
              <w:t>1</w:t>
            </w:r>
          </w:p>
        </w:tc>
        <w:tc>
          <w:tcPr>
            <w:tcW w:w="1112" w:type="dxa"/>
            <w:noWrap w:val="0"/>
            <w:vAlign w:val="center"/>
          </w:tcPr>
          <w:p w14:paraId="5E58BB4F">
            <w:pPr>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1181" w:type="dxa"/>
            <w:noWrap w:val="0"/>
            <w:vAlign w:val="center"/>
          </w:tcPr>
          <w:p w14:paraId="2516A52F">
            <w:pPr>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1239" w:type="dxa"/>
            <w:noWrap w:val="0"/>
            <w:vAlign w:val="center"/>
          </w:tcPr>
          <w:p w14:paraId="32EE60E2">
            <w:pPr>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1209" w:type="dxa"/>
            <w:noWrap w:val="0"/>
            <w:vAlign w:val="center"/>
          </w:tcPr>
          <w:p w14:paraId="33A99221">
            <w:pPr>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1118" w:type="dxa"/>
            <w:noWrap w:val="0"/>
            <w:vAlign w:val="center"/>
          </w:tcPr>
          <w:p w14:paraId="5EBB35E8">
            <w:pPr>
              <w:spacing w:line="360"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1275" w:type="dxa"/>
            <w:vMerge w:val="continue"/>
            <w:noWrap w:val="0"/>
            <w:vAlign w:val="center"/>
          </w:tcPr>
          <w:p w14:paraId="7A5F5070">
            <w:pPr>
              <w:spacing w:line="360" w:lineRule="auto"/>
              <w:jc w:val="center"/>
              <w:rPr>
                <w:rFonts w:ascii="Times New Roman" w:hAnsi="Times New Roman" w:cs="Times New Roman"/>
                <w:color w:val="000000"/>
                <w:szCs w:val="21"/>
              </w:rPr>
            </w:pPr>
          </w:p>
        </w:tc>
      </w:tr>
      <w:tr w14:paraId="5B8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29" w:type="dxa"/>
            <w:noWrap w:val="0"/>
            <w:vAlign w:val="center"/>
          </w:tcPr>
          <w:p w14:paraId="54FC12CC">
            <w:pPr>
              <w:spacing w:line="360" w:lineRule="auto"/>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5</w:t>
            </w:r>
            <w:r>
              <w:rPr>
                <w:rFonts w:hint="default" w:ascii="Times New Roman" w:hAnsi="Times New Roman" w:cs="Times New Roman"/>
                <w:color w:val="000000"/>
                <w:szCs w:val="21"/>
              </w:rPr>
              <w:t>0.</w:t>
            </w:r>
            <w:r>
              <w:rPr>
                <w:rFonts w:hint="eastAsia" w:ascii="Times New Roman" w:hAnsi="Times New Roman" w:cs="Times New Roman"/>
                <w:color w:val="000000"/>
                <w:szCs w:val="21"/>
                <w:lang w:val="en-US" w:eastAsia="zh-CN"/>
              </w:rPr>
              <w:t>005</w:t>
            </w:r>
          </w:p>
        </w:tc>
        <w:tc>
          <w:tcPr>
            <w:tcW w:w="1112" w:type="dxa"/>
            <w:noWrap w:val="0"/>
            <w:vAlign w:val="center"/>
          </w:tcPr>
          <w:p w14:paraId="5490AF66">
            <w:pPr>
              <w:spacing w:line="360" w:lineRule="auto"/>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50.010</w:t>
            </w:r>
          </w:p>
        </w:tc>
        <w:tc>
          <w:tcPr>
            <w:tcW w:w="1181" w:type="dxa"/>
            <w:noWrap w:val="0"/>
            <w:vAlign w:val="center"/>
          </w:tcPr>
          <w:p w14:paraId="04ECC7FB">
            <w:pPr>
              <w:spacing w:line="360" w:lineRule="auto"/>
              <w:jc w:val="center"/>
              <w:rPr>
                <w:rFonts w:hint="default" w:ascii="Times New Roman" w:hAnsi="Times New Roman" w:cs="Times New Roman"/>
                <w:color w:val="000000"/>
                <w:szCs w:val="21"/>
              </w:rPr>
            </w:pPr>
            <w:r>
              <w:rPr>
                <w:rFonts w:hint="eastAsia" w:ascii="Times New Roman" w:hAnsi="Times New Roman" w:cs="Times New Roman"/>
                <w:color w:val="000000"/>
                <w:szCs w:val="21"/>
                <w:lang w:val="en-US" w:eastAsia="zh-CN"/>
              </w:rPr>
              <w:t>50.015</w:t>
            </w:r>
          </w:p>
        </w:tc>
        <w:tc>
          <w:tcPr>
            <w:tcW w:w="1239" w:type="dxa"/>
            <w:noWrap w:val="0"/>
            <w:vAlign w:val="center"/>
          </w:tcPr>
          <w:p w14:paraId="5CA83100">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lang w:val="en-US" w:eastAsia="zh-CN"/>
              </w:rPr>
              <w:t>50.010</w:t>
            </w:r>
          </w:p>
        </w:tc>
        <w:tc>
          <w:tcPr>
            <w:tcW w:w="1209" w:type="dxa"/>
            <w:noWrap w:val="0"/>
            <w:vAlign w:val="center"/>
          </w:tcPr>
          <w:p w14:paraId="3C178B95">
            <w:pPr>
              <w:spacing w:line="360" w:lineRule="auto"/>
              <w:jc w:val="center"/>
              <w:rPr>
                <w:rFonts w:hint="default" w:ascii="Times New Roman" w:hAnsi="Times New Roman" w:cs="Times New Roman"/>
                <w:color w:val="000000"/>
                <w:szCs w:val="21"/>
              </w:rPr>
            </w:pPr>
            <w:r>
              <w:rPr>
                <w:rFonts w:hint="eastAsia" w:ascii="Times New Roman" w:hAnsi="Times New Roman" w:cs="Times New Roman"/>
                <w:color w:val="000000"/>
                <w:szCs w:val="21"/>
                <w:lang w:val="en-US" w:eastAsia="zh-CN"/>
              </w:rPr>
              <w:t>50.015</w:t>
            </w:r>
          </w:p>
        </w:tc>
        <w:tc>
          <w:tcPr>
            <w:tcW w:w="1118" w:type="dxa"/>
            <w:noWrap w:val="0"/>
            <w:vAlign w:val="center"/>
          </w:tcPr>
          <w:p w14:paraId="6901938A">
            <w:pPr>
              <w:spacing w:line="360" w:lineRule="auto"/>
              <w:jc w:val="center"/>
              <w:rPr>
                <w:rFonts w:ascii="Times New Roman" w:hAnsi="Times New Roman" w:cs="Times New Roman"/>
                <w:color w:val="000000"/>
                <w:szCs w:val="21"/>
              </w:rPr>
            </w:pPr>
            <w:r>
              <w:rPr>
                <w:rFonts w:hint="eastAsia" w:ascii="Times New Roman" w:hAnsi="Times New Roman" w:cs="Times New Roman"/>
                <w:color w:val="000000"/>
                <w:szCs w:val="21"/>
                <w:lang w:val="en-US" w:eastAsia="zh-CN"/>
              </w:rPr>
              <w:t>50.015</w:t>
            </w:r>
          </w:p>
        </w:tc>
        <w:tc>
          <w:tcPr>
            <w:tcW w:w="1275" w:type="dxa"/>
            <w:noWrap w:val="0"/>
            <w:vAlign w:val="center"/>
          </w:tcPr>
          <w:p w14:paraId="2E7F7E48">
            <w:pPr>
              <w:spacing w:line="360" w:lineRule="auto"/>
              <w:jc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10</w:t>
            </w:r>
          </w:p>
        </w:tc>
      </w:tr>
    </w:tbl>
    <w:p w14:paraId="4AD10889">
      <w:pPr>
        <w:pStyle w:val="15"/>
        <w:spacing w:before="0" w:beforeAutospacing="0" w:after="0" w:afterAutospacing="0" w:line="360" w:lineRule="auto"/>
        <w:ind w:firstLine="480" w:firstLineChars="200"/>
        <w:jc w:val="both"/>
        <w:rPr>
          <w:i/>
          <w:position w:val="-12"/>
        </w:rPr>
      </w:pPr>
      <w:r>
        <w:rPr>
          <w:color w:val="000000"/>
        </w:rPr>
        <w:t>根据公式（7）重复性引入的标准不确定</w:t>
      </w:r>
      <w:r>
        <w:rPr>
          <w:bCs/>
          <w:i/>
          <w:iCs/>
        </w:rPr>
        <w:t>u</w:t>
      </w:r>
      <w:r>
        <w:rPr>
          <w:bCs/>
          <w:vertAlign w:val="subscript"/>
        </w:rPr>
        <w:t>1</w:t>
      </w:r>
      <w:r>
        <w:rPr>
          <w:color w:val="000000"/>
        </w:rPr>
        <w:t>：</w:t>
      </w:r>
    </w:p>
    <w:p w14:paraId="09F380D9">
      <w:pPr>
        <w:widowControl/>
        <w:jc w:val="center"/>
        <w:rPr>
          <w:rFonts w:ascii="Times New Roman" w:hAnsi="Times New Roman" w:cs="Times New Roman"/>
          <w:i/>
          <w:position w:val="-10"/>
          <w:sz w:val="24"/>
        </w:rPr>
      </w:pPr>
      <w:r>
        <w:rPr>
          <w:rFonts w:ascii="Times New Roman" w:hAnsi="Times New Roman" w:cs="Times New Roman"/>
          <w:i/>
          <w:position w:val="-24"/>
          <w:sz w:val="24"/>
        </w:rPr>
        <w:object>
          <v:shape id="_x0000_i1038" o:spt="75" type="#_x0000_t75" style="height:31pt;width:124.85pt;" o:ole="t" filled="f" o:preferrelative="t" stroked="f" coordsize="21600,21600">
            <v:path/>
            <v:fill on="f" focussize="0,0"/>
            <v:stroke on="f"/>
            <v:imagedata r:id="rId31" o:title=""/>
            <o:lock v:ext="edit" aspectratio="t"/>
            <w10:wrap type="none"/>
            <w10:anchorlock/>
          </v:shape>
          <o:OLEObject Type="Embed" ProgID="Equation.KSEE3" ShapeID="_x0000_i1038" DrawAspect="Content" ObjectID="_1468075738" r:id="rId30">
            <o:LockedField>false</o:LockedField>
          </o:OLEObject>
        </w:object>
      </w:r>
    </w:p>
    <w:p w14:paraId="74389B69">
      <w:pPr>
        <w:pStyle w:val="15"/>
        <w:spacing w:before="0" w:beforeAutospacing="0" w:after="0" w:afterAutospacing="0" w:line="360" w:lineRule="auto"/>
        <w:rPr>
          <w:rFonts w:ascii="Times New Roman" w:hAnsi="Times New Roman"/>
          <w:color w:val="000000"/>
        </w:rPr>
      </w:pPr>
      <w:r>
        <w:rPr>
          <w:rFonts w:hint="eastAsia"/>
          <w:color w:val="000000"/>
          <w:lang w:val="en-US" w:eastAsia="zh-CN"/>
        </w:rPr>
        <w:t>7</w:t>
      </w:r>
      <w:r>
        <w:rPr>
          <w:rFonts w:hint="default" w:ascii="Times New Roman" w:hAnsi="Times New Roman"/>
          <w:color w:val="000000"/>
        </w:rPr>
        <w:t>.</w:t>
      </w:r>
      <w:r>
        <w:rPr>
          <w:rFonts w:ascii="Times New Roman" w:hAnsi="Times New Roman"/>
          <w:color w:val="000000"/>
        </w:rPr>
        <w:t>2.</w:t>
      </w:r>
      <w:r>
        <w:rPr>
          <w:rFonts w:hint="default" w:ascii="Times New Roman" w:hAnsi="Times New Roman"/>
          <w:color w:val="000000"/>
        </w:rPr>
        <w:t>2</w:t>
      </w:r>
      <w:r>
        <w:rPr>
          <w:rFonts w:ascii="Times New Roman" w:hAnsi="Times New Roman"/>
          <w:color w:val="000000"/>
        </w:rPr>
        <w:t xml:space="preserve">  称重系统分辨力引入的不确定度分量</w:t>
      </w:r>
      <w:r>
        <w:rPr>
          <w:bCs/>
          <w:i/>
          <w:iCs/>
        </w:rPr>
        <w:t>u</w:t>
      </w:r>
      <w:r>
        <w:rPr>
          <w:rFonts w:hint="eastAsia"/>
          <w:bCs/>
          <w:vertAlign w:val="subscript"/>
        </w:rPr>
        <w:t>2</w:t>
      </w:r>
    </w:p>
    <w:p w14:paraId="2A513E06">
      <w:pPr>
        <w:widowControl/>
        <w:spacing w:line="400" w:lineRule="exact"/>
        <w:ind w:firstLine="480" w:firstLineChars="200"/>
        <w:rPr>
          <w:rFonts w:ascii="Times New Roman" w:hAnsi="Times New Roman" w:cs="Times New Roman"/>
          <w:sz w:val="24"/>
        </w:rPr>
      </w:pPr>
      <w:r>
        <w:rPr>
          <w:rFonts w:ascii="Times New Roman" w:hAnsi="Times New Roman" w:cs="Times New Roman"/>
          <w:sz w:val="24"/>
        </w:rPr>
        <w:t>称重系统分辨力</w:t>
      </w:r>
      <w:r>
        <w:rPr>
          <w:rFonts w:ascii="Times New Roman" w:hAnsi="Times New Roman" w:cs="Times New Roman"/>
          <w:i/>
          <w:sz w:val="24"/>
        </w:rPr>
        <w:t>d</w:t>
      </w:r>
      <w:r>
        <w:rPr>
          <w:rFonts w:ascii="Times New Roman" w:hAnsi="Times New Roman" w:cs="Times New Roman"/>
          <w:sz w:val="24"/>
        </w:rPr>
        <w:t>=</w:t>
      </w:r>
      <w:r>
        <w:rPr>
          <w:rFonts w:hint="eastAsia" w:ascii="Times New Roman" w:hAnsi="Times New Roman" w:cs="Times New Roman"/>
          <w:sz w:val="24"/>
          <w:lang w:val="en-US" w:eastAsia="zh-CN"/>
        </w:rPr>
        <w:t>50</w:t>
      </w:r>
      <w:r>
        <w:rPr>
          <w:rFonts w:ascii="Times New Roman" w:hAnsi="Times New Roman" w:cs="Times New Roman"/>
          <w:sz w:val="24"/>
        </w:rPr>
        <w:t>g，扩展显示</w:t>
      </w:r>
      <w:r>
        <w:rPr>
          <w:rFonts w:hint="eastAsia" w:ascii="Times New Roman" w:hAnsi="Times New Roman" w:cs="Times New Roman"/>
          <w:sz w:val="24"/>
          <w:lang w:val="en-US" w:eastAsia="zh-CN"/>
        </w:rPr>
        <w:t>5</w:t>
      </w:r>
      <w:r>
        <w:rPr>
          <w:rFonts w:ascii="Times New Roman" w:hAnsi="Times New Roman" w:cs="Times New Roman"/>
          <w:sz w:val="24"/>
        </w:rPr>
        <w:t>g，服从均匀分布，</w:t>
      </w:r>
      <w:r>
        <w:rPr>
          <w:rFonts w:ascii="Times New Roman" w:hAnsi="Times New Roman" w:cs="Times New Roman"/>
          <w:position w:val="-8"/>
          <w:sz w:val="24"/>
        </w:rPr>
        <w:object>
          <v:shape id="_x0000_i1039" o:spt="75" type="#_x0000_t75" style="height:18pt;width:36pt;" o:ole="t" filled="f" o:preferrelative="t" stroked="f" coordsize="21600,21600">
            <v:path/>
            <v:fill on="f" focussize="0,0"/>
            <v:stroke on="f"/>
            <v:imagedata r:id="rId16" o:title=""/>
            <o:lock v:ext="edit" aspectratio="t"/>
            <w10:wrap type="none"/>
            <w10:anchorlock/>
          </v:shape>
          <o:OLEObject Type="Embed" ProgID="Equation.KSEE3" ShapeID="_x0000_i1039" DrawAspect="Content" ObjectID="_1468075739" r:id="rId32">
            <o:LockedField>false</o:LockedField>
          </o:OLEObject>
        </w:object>
      </w:r>
      <w:r>
        <w:rPr>
          <w:rFonts w:ascii="Times New Roman" w:hAnsi="Times New Roman" w:cs="Times New Roman"/>
          <w:sz w:val="24"/>
        </w:rPr>
        <w:t>，</w:t>
      </w:r>
      <w:r>
        <w:rPr>
          <w:rFonts w:ascii="Times New Roman" w:hAnsi="Times New Roman" w:cs="Times New Roman"/>
          <w:color w:val="000000"/>
          <w:sz w:val="24"/>
        </w:rPr>
        <w:t>根据公式（8）</w:t>
      </w:r>
      <w:r>
        <w:rPr>
          <w:rFonts w:ascii="Times New Roman" w:hAnsi="Times New Roman" w:cs="Times New Roman"/>
          <w:sz w:val="24"/>
        </w:rPr>
        <w:t>分辨力引入的不确定度</w:t>
      </w:r>
      <w:r>
        <w:rPr>
          <w:rFonts w:ascii="Times New Roman" w:hAnsi="Times New Roman" w:cs="Times New Roman"/>
          <w:i/>
          <w:sz w:val="24"/>
        </w:rPr>
        <w:t>u</w:t>
      </w:r>
      <w:r>
        <w:rPr>
          <w:rFonts w:ascii="Times New Roman" w:hAnsi="Times New Roman" w:cs="Times New Roman"/>
          <w:sz w:val="24"/>
          <w:vertAlign w:val="subscript"/>
        </w:rPr>
        <w:t>2</w:t>
      </w:r>
      <w:r>
        <w:rPr>
          <w:rFonts w:ascii="Times New Roman" w:hAnsi="Times New Roman" w:cs="Times New Roman"/>
          <w:sz w:val="24"/>
        </w:rPr>
        <w:t>为：</w:t>
      </w:r>
    </w:p>
    <w:p w14:paraId="00E1E8BE">
      <w:pPr>
        <w:widowControl/>
        <w:jc w:val="center"/>
        <w:rPr>
          <w:rFonts w:ascii="Times New Roman" w:hAnsi="Times New Roman" w:cs="Times New Roman"/>
          <w:i/>
          <w:position w:val="-10"/>
          <w:sz w:val="24"/>
        </w:rPr>
      </w:pPr>
      <w:r>
        <w:rPr>
          <w:rFonts w:ascii="Times New Roman" w:hAnsi="Times New Roman" w:cs="Times New Roman"/>
          <w:i/>
          <w:position w:val="-28"/>
          <w:sz w:val="24"/>
        </w:rPr>
        <w:object>
          <v:shape id="_x0000_i1040" o:spt="75" type="#_x0000_t75" style="height:33.05pt;width:145.6pt;" o:ole="t" filled="f" o:preferrelative="t" stroked="f" coordsize="21600,21600">
            <v:path/>
            <v:fill on="f" focussize="0,0"/>
            <v:stroke on="f"/>
            <v:imagedata r:id="rId34" o:title=""/>
            <o:lock v:ext="edit" aspectratio="t"/>
            <w10:wrap type="none"/>
            <w10:anchorlock/>
          </v:shape>
          <o:OLEObject Type="Embed" ProgID="Equation.KSEE3" ShapeID="_x0000_i1040" DrawAspect="Content" ObjectID="_1468075740" r:id="rId33">
            <o:LockedField>false</o:LockedField>
          </o:OLEObject>
        </w:object>
      </w:r>
    </w:p>
    <w:p w14:paraId="73EF291F">
      <w:pPr>
        <w:autoSpaceDE w:val="0"/>
        <w:autoSpaceDN w:val="0"/>
        <w:spacing w:line="360" w:lineRule="auto"/>
        <w:jc w:val="left"/>
        <w:rPr>
          <w:rFonts w:hint="default" w:ascii="Times New Roman" w:hAnsi="Times New Roman" w:cs="Times New Roman"/>
          <w:sz w:val="24"/>
          <w:vertAlign w:val="subscript"/>
        </w:rPr>
      </w:pPr>
      <w:r>
        <w:rPr>
          <w:rFonts w:hint="eastAsia" w:ascii="Times New Roman" w:hAnsi="Times New Roman" w:cs="Times New Roman"/>
          <w:color w:val="000000"/>
          <w:sz w:val="24"/>
          <w:lang w:val="en-US" w:eastAsia="zh-CN"/>
        </w:rPr>
        <w:t>7</w:t>
      </w:r>
      <w:r>
        <w:rPr>
          <w:rFonts w:hint="default" w:ascii="Times New Roman" w:hAnsi="Times New Roman" w:cs="Times New Roman"/>
          <w:color w:val="000000"/>
          <w:sz w:val="24"/>
        </w:rPr>
        <w:t>.</w:t>
      </w:r>
      <w:r>
        <w:rPr>
          <w:rFonts w:ascii="Times New Roman" w:hAnsi="Times New Roman" w:cs="Times New Roman"/>
          <w:color w:val="000000"/>
          <w:sz w:val="24"/>
        </w:rPr>
        <w:t>2.</w:t>
      </w:r>
      <w:r>
        <w:rPr>
          <w:rFonts w:hint="default" w:ascii="Times New Roman" w:hAnsi="Times New Roman" w:cs="Times New Roman"/>
          <w:color w:val="000000"/>
          <w:sz w:val="24"/>
        </w:rPr>
        <w:t>3</w:t>
      </w:r>
      <w:r>
        <w:rPr>
          <w:rFonts w:ascii="Times New Roman" w:hAnsi="Times New Roman" w:cs="Times New Roman"/>
          <w:color w:val="000000"/>
        </w:rPr>
        <w:t xml:space="preserve"> </w:t>
      </w:r>
      <w:r>
        <w:rPr>
          <w:rFonts w:hint="default" w:ascii="Times New Roman" w:hAnsi="Times New Roman" w:cs="Times New Roman"/>
          <w:color w:val="000000"/>
        </w:rPr>
        <w:t xml:space="preserve"> </w:t>
      </w:r>
      <w:r>
        <w:rPr>
          <w:rFonts w:ascii="Times New Roman" w:hAnsi="Times New Roman" w:cs="Times New Roman"/>
          <w:sz w:val="24"/>
        </w:rPr>
        <w:t>同一载荷在不同位置的示值偏差引入的标准不确定度</w:t>
      </w:r>
      <w:r>
        <w:rPr>
          <w:rFonts w:ascii="Times New Roman" w:hAnsi="Times New Roman" w:cs="Times New Roman"/>
          <w:i/>
          <w:sz w:val="24"/>
        </w:rPr>
        <w:t>u</w:t>
      </w:r>
      <w:r>
        <w:rPr>
          <w:rFonts w:hint="default" w:ascii="Times New Roman" w:hAnsi="Times New Roman" w:cs="Times New Roman"/>
          <w:sz w:val="24"/>
          <w:vertAlign w:val="subscript"/>
        </w:rPr>
        <w:t>3</w:t>
      </w:r>
    </w:p>
    <w:p w14:paraId="75D7AF20">
      <w:pPr>
        <w:pStyle w:val="73"/>
        <w:spacing w:after="0" w:line="360" w:lineRule="auto"/>
        <w:ind w:firstLine="480" w:firstLineChars="200"/>
        <w:jc w:val="left"/>
        <w:rPr>
          <w:rFonts w:hint="eastAsia" w:ascii="Times New Roman" w:hAnsi="Times New Roman" w:cs="Times New Roman"/>
          <w:sz w:val="24"/>
          <w:szCs w:val="24"/>
          <w:lang w:val="en-US" w:eastAsia="zh-CN" w:bidi="ar-SA"/>
        </w:rPr>
      </w:pPr>
      <w:r>
        <w:rPr>
          <w:rFonts w:hint="eastAsia" w:ascii="Times New Roman" w:hAnsi="Times New Roman" w:cs="Times New Roman"/>
          <w:sz w:val="24"/>
          <w:szCs w:val="24"/>
          <w:lang w:val="en-US" w:eastAsia="zh-CN"/>
        </w:rPr>
        <w:t>按照用</w:t>
      </w:r>
      <w:r>
        <w:rPr>
          <w:rFonts w:ascii="Times New Roman" w:hAnsi="Times New Roman" w:cs="Times New Roman"/>
          <w:sz w:val="24"/>
          <w:szCs w:val="24"/>
          <w:lang w:val="en-US" w:eastAsia="zh-CN" w:bidi="ar-SA"/>
        </w:rPr>
        <w:t>同一载荷在不同位置的</w:t>
      </w:r>
      <w:r>
        <w:rPr>
          <w:rFonts w:hint="eastAsia" w:ascii="Times New Roman" w:hAnsi="Times New Roman" w:cs="Times New Roman"/>
          <w:sz w:val="24"/>
          <w:szCs w:val="24"/>
          <w:lang w:val="en-US" w:eastAsia="zh-CN"/>
        </w:rPr>
        <w:t>载荷标准值</w:t>
      </w:r>
      <w:r>
        <w:rPr>
          <w:rFonts w:hint="eastAsia" w:ascii="Times New Roman" w:hAnsi="Times New Roman" w:cs="Times New Roman"/>
          <w:i/>
          <w:iCs/>
          <w:sz w:val="24"/>
          <w:szCs w:val="24"/>
          <w:lang w:val="en-US" w:eastAsia="zh-CN"/>
        </w:rPr>
        <w:t>L</w:t>
      </w:r>
      <w:r>
        <w:rPr>
          <w:rFonts w:hint="eastAsia" w:ascii="Times New Roman" w:hAnsi="Times New Roman" w:cs="Times New Roman"/>
          <w:sz w:val="24"/>
          <w:szCs w:val="24"/>
          <w:vertAlign w:val="subscript"/>
          <w:lang w:val="en-US" w:eastAsia="zh-CN"/>
        </w:rPr>
        <w:t>el</w:t>
      </w:r>
      <w:r>
        <w:rPr>
          <w:rFonts w:hint="eastAsia" w:ascii="Times New Roman" w:hAnsi="Times New Roman" w:cs="Times New Roman"/>
          <w:sz w:val="24"/>
          <w:szCs w:val="24"/>
          <w:lang w:val="en-US" w:eastAsia="zh-CN"/>
        </w:rPr>
        <w:t>=40kg确定载荷在不同位置的示值偏差</w:t>
      </w:r>
      <w:r>
        <w:rPr>
          <w:rFonts w:hint="default" w:ascii="Times New Roman" w:hAnsi="Times New Roman" w:cs="Times New Roman"/>
          <w:sz w:val="24"/>
          <w:lang w:val="en-US" w:eastAsia="zh-CN"/>
        </w:rPr>
        <w:t>绝对值最大值</w:t>
      </w:r>
      <w:r>
        <w:rPr>
          <w:rFonts w:hint="eastAsia" w:ascii="Times New Roman" w:hAnsi="Times New Roman" w:cs="Times New Roman"/>
          <w:bCs/>
          <w:i/>
          <w:iCs/>
          <w:sz w:val="24"/>
          <w:lang w:val="en-US" w:eastAsia="zh-CN"/>
        </w:rPr>
        <w:t>|</w:t>
      </w:r>
      <w:r>
        <w:rPr>
          <w:rFonts w:ascii="Times New Roman" w:hAnsi="Times New Roman" w:cs="Times New Roman"/>
          <w:bCs/>
          <w:i/>
          <w:iCs/>
          <w:sz w:val="24"/>
          <w:lang w:val="en-US" w:eastAsia="zh-CN"/>
        </w:rPr>
        <w:t>E</w:t>
      </w:r>
      <w:r>
        <w:rPr>
          <w:rFonts w:ascii="Times New Roman" w:hAnsi="Times New Roman" w:cs="Times New Roman"/>
          <w:bCs/>
          <w:i/>
          <w:iCs/>
          <w:sz w:val="24"/>
          <w:vertAlign w:val="subscript"/>
          <w:lang w:val="en-US" w:eastAsia="zh-CN"/>
        </w:rPr>
        <w:t>L</w:t>
      </w:r>
      <w:r>
        <w:rPr>
          <w:rFonts w:ascii="Times New Roman" w:hAnsi="Times New Roman" w:cs="Times New Roman"/>
          <w:bCs/>
          <w:sz w:val="24"/>
          <w:vertAlign w:val="subscript"/>
          <w:lang w:val="en-US" w:eastAsia="zh-CN"/>
        </w:rPr>
        <w:t>i</w:t>
      </w:r>
      <w:r>
        <w:rPr>
          <w:rFonts w:hint="eastAsia" w:ascii="Times New Roman" w:hAnsi="Times New Roman" w:cs="Times New Roman"/>
          <w:bCs/>
          <w:sz w:val="24"/>
          <w:lang w:val="en-US" w:eastAsia="zh-CN"/>
        </w:rPr>
        <w:t>|</w:t>
      </w:r>
      <w:r>
        <w:rPr>
          <w:rFonts w:hint="eastAsia" w:ascii="Times New Roman" w:hAnsi="Times New Roman" w:cs="Times New Roman"/>
          <w:bCs/>
          <w:sz w:val="24"/>
          <w:vertAlign w:val="subscript"/>
          <w:lang w:val="en-US" w:eastAsia="zh-CN"/>
        </w:rPr>
        <w:t>max</w:t>
      </w:r>
      <w:r>
        <w:rPr>
          <w:rFonts w:hint="eastAsia" w:ascii="Times New Roman" w:hAnsi="Times New Roman" w:cs="Times New Roman"/>
          <w:sz w:val="24"/>
          <w:szCs w:val="24"/>
          <w:lang w:val="en-US" w:eastAsia="zh-CN"/>
        </w:rPr>
        <w:t>，</w:t>
      </w:r>
      <w:r>
        <w:rPr>
          <w:rFonts w:ascii="Times New Roman" w:hAnsi="Times New Roman" w:cs="Times New Roman"/>
          <w:sz w:val="24"/>
          <w:szCs w:val="24"/>
          <w:lang w:val="en-US" w:eastAsia="zh-CN" w:bidi="ar-SA"/>
        </w:rPr>
        <w:t>得到实测值如表</w:t>
      </w:r>
      <w:r>
        <w:rPr>
          <w:rFonts w:hint="eastAsia" w:ascii="Times New Roman" w:hAnsi="Times New Roman" w:cs="Times New Roman"/>
          <w:sz w:val="24"/>
          <w:szCs w:val="24"/>
          <w:lang w:val="en-US" w:eastAsia="zh-CN" w:bidi="ar-SA"/>
        </w:rPr>
        <w:t>3</w:t>
      </w:r>
      <w:r>
        <w:rPr>
          <w:rFonts w:ascii="Times New Roman" w:hAnsi="Times New Roman" w:cs="Times New Roman"/>
          <w:sz w:val="24"/>
          <w:szCs w:val="24"/>
          <w:lang w:val="en-US" w:eastAsia="zh-CN" w:bidi="ar-SA"/>
        </w:rPr>
        <w:t>所示</w:t>
      </w:r>
      <w:r>
        <w:rPr>
          <w:rFonts w:hint="eastAsia" w:ascii="Times New Roman" w:hAnsi="Times New Roman" w:cs="Times New Roman"/>
          <w:sz w:val="24"/>
          <w:szCs w:val="24"/>
          <w:lang w:val="en-US" w:eastAsia="zh-CN" w:bidi="ar-SA"/>
        </w:rPr>
        <w:t>。</w:t>
      </w:r>
    </w:p>
    <w:p w14:paraId="17C00D9C">
      <w:pPr>
        <w:pStyle w:val="15"/>
        <w:spacing w:before="0" w:beforeAutospacing="0" w:after="0" w:afterAutospacing="0" w:line="360" w:lineRule="auto"/>
        <w:ind w:firstLine="480" w:firstLineChars="200"/>
        <w:jc w:val="center"/>
        <w:rPr>
          <w:kern w:val="2"/>
          <w:szCs w:val="24"/>
        </w:rPr>
      </w:pPr>
      <w:r>
        <w:rPr>
          <w:kern w:val="2"/>
          <w:szCs w:val="24"/>
        </w:rPr>
        <w:t>表</w:t>
      </w:r>
      <w:r>
        <w:rPr>
          <w:rFonts w:hint="eastAsia"/>
          <w:kern w:val="2"/>
          <w:szCs w:val="24"/>
          <w:lang w:val="en-US" w:eastAsia="zh-CN"/>
        </w:rPr>
        <w:t>3</w:t>
      </w:r>
      <w:r>
        <w:rPr>
          <w:kern w:val="2"/>
          <w:szCs w:val="24"/>
        </w:rPr>
        <w:t xml:space="preserve">  同一载荷在不同位置的示值偏差</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566"/>
        <w:gridCol w:w="1567"/>
        <w:gridCol w:w="1419"/>
        <w:gridCol w:w="1567"/>
      </w:tblGrid>
      <w:tr w14:paraId="7FDC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66" w:type="dxa"/>
            <w:noWrap w:val="0"/>
            <w:vAlign w:val="center"/>
          </w:tcPr>
          <w:p w14:paraId="2D9A8646">
            <w:pPr>
              <w:jc w:val="center"/>
              <w:rPr>
                <w:rFonts w:ascii="Times New Roman" w:hAnsi="Times New Roman" w:cs="Times New Roman"/>
                <w:bCs/>
                <w:szCs w:val="21"/>
              </w:rPr>
            </w:pPr>
            <w:r>
              <w:rPr>
                <w:rFonts w:hint="default" w:ascii="Times New Roman" w:hAnsi="Times New Roman" w:cs="Times New Roman"/>
                <w:bCs/>
                <w:szCs w:val="21"/>
              </w:rPr>
              <w:t>位置</w:t>
            </w:r>
          </w:p>
        </w:tc>
        <w:tc>
          <w:tcPr>
            <w:tcW w:w="1566" w:type="dxa"/>
            <w:noWrap w:val="0"/>
            <w:vAlign w:val="center"/>
          </w:tcPr>
          <w:p w14:paraId="2BB4ED03">
            <w:pPr>
              <w:jc w:val="center"/>
              <w:rPr>
                <w:rFonts w:ascii="Times New Roman" w:hAnsi="Times New Roman" w:cs="Times New Roman"/>
                <w:bCs/>
                <w:szCs w:val="21"/>
              </w:rPr>
            </w:pPr>
            <w:r>
              <w:rPr>
                <w:rFonts w:hint="default" w:ascii="Times New Roman" w:hAnsi="Times New Roman" w:cs="Times New Roman"/>
                <w:szCs w:val="21"/>
              </w:rPr>
              <w:t>载荷</w:t>
            </w:r>
            <w:r>
              <w:rPr>
                <w:rFonts w:ascii="Times New Roman" w:hAnsi="Times New Roman" w:cs="Times New Roman"/>
                <w:i/>
                <w:iCs/>
                <w:szCs w:val="21"/>
              </w:rPr>
              <w:t>L</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default" w:ascii="Times New Roman" w:hAnsi="Times New Roman" w:cs="Times New Roman"/>
                <w:sz w:val="24"/>
              </w:rPr>
              <w:t>kg</w:t>
            </w:r>
            <w:r>
              <w:rPr>
                <w:rFonts w:hint="default" w:ascii="Times New Roman" w:hAnsi="Times New Roman" w:cs="Times New Roman"/>
                <w:szCs w:val="21"/>
              </w:rPr>
              <w:t>)</w:t>
            </w:r>
          </w:p>
        </w:tc>
        <w:tc>
          <w:tcPr>
            <w:tcW w:w="1567" w:type="dxa"/>
            <w:noWrap w:val="0"/>
            <w:vAlign w:val="center"/>
          </w:tcPr>
          <w:p w14:paraId="3E63FBBE">
            <w:pPr>
              <w:jc w:val="center"/>
              <w:rPr>
                <w:rFonts w:ascii="Times New Roman" w:hAnsi="Times New Roman" w:cs="Times New Roman"/>
                <w:szCs w:val="21"/>
              </w:rPr>
            </w:pPr>
            <w:r>
              <w:rPr>
                <w:rFonts w:hint="default" w:ascii="Times New Roman" w:hAnsi="Times New Roman" w:cs="Times New Roman"/>
                <w:szCs w:val="21"/>
              </w:rPr>
              <w:t>示值</w:t>
            </w:r>
            <w:r>
              <w:rPr>
                <w:rFonts w:ascii="Times New Roman" w:hAnsi="Times New Roman" w:cs="Times New Roman"/>
                <w:i/>
                <w:iCs/>
                <w:szCs w:val="21"/>
              </w:rPr>
              <w:t>I</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default" w:ascii="Times New Roman" w:hAnsi="Times New Roman" w:cs="Times New Roman"/>
                <w:sz w:val="24"/>
              </w:rPr>
              <w:t>kg</w:t>
            </w:r>
            <w:r>
              <w:rPr>
                <w:rFonts w:hint="default" w:ascii="Times New Roman" w:hAnsi="Times New Roman" w:cs="Times New Roman"/>
                <w:szCs w:val="21"/>
              </w:rPr>
              <w:t>)</w:t>
            </w:r>
          </w:p>
        </w:tc>
        <w:tc>
          <w:tcPr>
            <w:tcW w:w="1419" w:type="dxa"/>
            <w:noWrap w:val="0"/>
            <w:vAlign w:val="center"/>
          </w:tcPr>
          <w:p w14:paraId="1F77A0CC">
            <w:pPr>
              <w:jc w:val="center"/>
              <w:rPr>
                <w:rFonts w:ascii="Times New Roman" w:hAnsi="Times New Roman" w:cs="Times New Roman"/>
                <w:szCs w:val="21"/>
              </w:rPr>
            </w:pPr>
            <w:r>
              <w:rPr>
                <w:rFonts w:hint="default" w:ascii="Times New Roman" w:hAnsi="Times New Roman" w:cs="Times New Roman"/>
                <w:szCs w:val="21"/>
              </w:rPr>
              <w:t>误差</w:t>
            </w:r>
            <w:r>
              <w:rPr>
                <w:rFonts w:ascii="Times New Roman" w:hAnsi="Times New Roman" w:cs="Times New Roman"/>
                <w:i/>
                <w:iCs/>
                <w:szCs w:val="21"/>
              </w:rPr>
              <w:t>E</w:t>
            </w:r>
            <w:r>
              <w:rPr>
                <w:rFonts w:hint="default" w:ascii="Times New Roman" w:hAnsi="Times New Roman" w:cs="Times New Roman"/>
                <w:i/>
                <w:iCs/>
                <w:szCs w:val="21"/>
                <w:vertAlign w:val="subscript"/>
              </w:rPr>
              <w:t>Li</w:t>
            </w:r>
            <w:r>
              <w:rPr>
                <w:rFonts w:hint="default" w:ascii="Times New Roman" w:hAnsi="Times New Roman" w:cs="Times New Roman"/>
                <w:i/>
                <w:iCs/>
                <w:szCs w:val="21"/>
              </w:rPr>
              <w:t xml:space="preserve"> </w:t>
            </w:r>
            <w:r>
              <w:rPr>
                <w:rFonts w:hint="default" w:ascii="Times New Roman" w:hAnsi="Times New Roman" w:cs="Times New Roman"/>
                <w:szCs w:val="21"/>
              </w:rPr>
              <w:t>(</w:t>
            </w:r>
            <w:r>
              <w:rPr>
                <w:rFonts w:hint="default" w:ascii="Times New Roman" w:hAnsi="Times New Roman" w:cs="Times New Roman"/>
                <w:sz w:val="24"/>
              </w:rPr>
              <w:t>g</w:t>
            </w:r>
            <w:r>
              <w:rPr>
                <w:rFonts w:hint="default" w:ascii="Times New Roman" w:hAnsi="Times New Roman" w:cs="Times New Roman"/>
                <w:szCs w:val="21"/>
              </w:rPr>
              <w:t>)</w:t>
            </w:r>
          </w:p>
        </w:tc>
        <w:tc>
          <w:tcPr>
            <w:tcW w:w="1567" w:type="dxa"/>
            <w:noWrap w:val="0"/>
            <w:vAlign w:val="center"/>
          </w:tcPr>
          <w:p w14:paraId="136B486A">
            <w:pPr>
              <w:jc w:val="center"/>
              <w:rPr>
                <w:rFonts w:ascii="Times New Roman" w:hAnsi="Times New Roman" w:cs="Times New Roman"/>
                <w:bCs/>
                <w:szCs w:val="21"/>
              </w:rPr>
            </w:pPr>
            <w:r>
              <w:rPr>
                <w:rFonts w:hint="default" w:ascii="Times New Roman" w:hAnsi="Times New Roman" w:cs="Times New Roman"/>
                <w:szCs w:val="21"/>
              </w:rPr>
              <w:t>|</w:t>
            </w:r>
            <w:r>
              <w:rPr>
                <w:rFonts w:ascii="Times New Roman" w:hAnsi="Times New Roman" w:cs="Times New Roman"/>
                <w:i/>
                <w:iCs/>
                <w:szCs w:val="21"/>
              </w:rPr>
              <w:t>E</w:t>
            </w:r>
            <w:r>
              <w:rPr>
                <w:rFonts w:hint="default" w:ascii="Times New Roman" w:hAnsi="Times New Roman" w:cs="Times New Roman"/>
                <w:i/>
                <w:iCs/>
                <w:szCs w:val="21"/>
                <w:vertAlign w:val="subscript"/>
              </w:rPr>
              <w:t>L</w:t>
            </w:r>
            <w:r>
              <w:rPr>
                <w:rFonts w:hint="default" w:ascii="Times New Roman" w:hAnsi="Times New Roman" w:cs="Times New Roman"/>
                <w:i w:val="0"/>
                <w:iCs w:val="0"/>
                <w:szCs w:val="21"/>
                <w:vertAlign w:val="subscript"/>
              </w:rPr>
              <w:t>i</w:t>
            </w:r>
            <w:r>
              <w:rPr>
                <w:rFonts w:hint="default" w:ascii="Times New Roman" w:hAnsi="Times New Roman" w:cs="Times New Roman"/>
                <w:i/>
                <w:iCs/>
                <w:szCs w:val="21"/>
              </w:rPr>
              <w:t>|</w:t>
            </w:r>
            <w:r>
              <w:rPr>
                <w:rFonts w:hint="default" w:ascii="Times New Roman" w:hAnsi="Times New Roman" w:cs="Times New Roman"/>
                <w:i w:val="0"/>
                <w:iCs w:val="0"/>
                <w:szCs w:val="21"/>
                <w:vertAlign w:val="subscript"/>
              </w:rPr>
              <w:t>max</w:t>
            </w:r>
            <w:r>
              <w:rPr>
                <w:rFonts w:hint="default" w:ascii="Times New Roman" w:hAnsi="Times New Roman" w:cs="Times New Roman"/>
                <w:i w:val="0"/>
                <w:iCs w:val="0"/>
                <w:szCs w:val="21"/>
              </w:rPr>
              <w:t xml:space="preserve"> </w:t>
            </w:r>
            <w:r>
              <w:rPr>
                <w:rFonts w:hint="default" w:ascii="Times New Roman" w:hAnsi="Times New Roman" w:cs="Times New Roman"/>
                <w:szCs w:val="21"/>
              </w:rPr>
              <w:t>(</w:t>
            </w:r>
            <w:r>
              <w:rPr>
                <w:rFonts w:hint="default" w:ascii="Times New Roman" w:hAnsi="Times New Roman" w:cs="Times New Roman"/>
                <w:sz w:val="24"/>
              </w:rPr>
              <w:t>g</w:t>
            </w:r>
            <w:r>
              <w:rPr>
                <w:rFonts w:hint="default" w:ascii="Times New Roman" w:hAnsi="Times New Roman" w:cs="Times New Roman"/>
                <w:szCs w:val="21"/>
              </w:rPr>
              <w:t>)</w:t>
            </w:r>
          </w:p>
        </w:tc>
      </w:tr>
      <w:tr w14:paraId="73E2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66" w:type="dxa"/>
            <w:noWrap w:val="0"/>
            <w:vAlign w:val="center"/>
          </w:tcPr>
          <w:p w14:paraId="682F33DC">
            <w:pPr>
              <w:jc w:val="center"/>
              <w:rPr>
                <w:rFonts w:hint="default" w:ascii="Times New Roman" w:hAnsi="Times New Roman" w:cs="Times New Roman"/>
                <w:bCs/>
                <w:szCs w:val="21"/>
              </w:rPr>
            </w:pPr>
            <w:r>
              <w:rPr>
                <w:rFonts w:hint="default" w:ascii="Times New Roman" w:hAnsi="Times New Roman" w:cs="Times New Roman"/>
                <w:bCs/>
                <w:szCs w:val="21"/>
              </w:rPr>
              <w:t>1</w:t>
            </w:r>
          </w:p>
        </w:tc>
        <w:tc>
          <w:tcPr>
            <w:tcW w:w="1566" w:type="dxa"/>
            <w:vMerge w:val="restart"/>
            <w:noWrap w:val="0"/>
            <w:vAlign w:val="center"/>
          </w:tcPr>
          <w:p w14:paraId="187C2F6A">
            <w:pPr>
              <w:jc w:val="center"/>
              <w:rPr>
                <w:rFonts w:ascii="Times New Roman" w:hAnsi="Times New Roman" w:cs="Times New Roman"/>
                <w:bCs/>
                <w:szCs w:val="21"/>
              </w:rPr>
            </w:pPr>
            <w:r>
              <w:rPr>
                <w:rFonts w:hint="eastAsia" w:ascii="Times New Roman" w:hAnsi="Times New Roman" w:cs="Times New Roman"/>
                <w:bCs/>
                <w:szCs w:val="21"/>
                <w:lang w:val="en-US" w:eastAsia="zh-CN"/>
              </w:rPr>
              <w:t>4</w:t>
            </w:r>
            <w:r>
              <w:rPr>
                <w:rFonts w:hint="default" w:ascii="Times New Roman" w:hAnsi="Times New Roman" w:cs="Times New Roman"/>
                <w:bCs/>
                <w:szCs w:val="21"/>
              </w:rPr>
              <w:t>0</w:t>
            </w:r>
          </w:p>
        </w:tc>
        <w:tc>
          <w:tcPr>
            <w:tcW w:w="1567" w:type="dxa"/>
            <w:noWrap w:val="0"/>
            <w:vAlign w:val="center"/>
          </w:tcPr>
          <w:p w14:paraId="1D36B5D2">
            <w:pPr>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4</w:t>
            </w:r>
            <w:r>
              <w:rPr>
                <w:rFonts w:hint="default" w:ascii="Times New Roman" w:hAnsi="Times New Roman" w:cs="Times New Roman"/>
                <w:bCs/>
                <w:szCs w:val="21"/>
              </w:rPr>
              <w:t>0.</w:t>
            </w:r>
            <w:r>
              <w:rPr>
                <w:rFonts w:hint="eastAsia" w:ascii="Times New Roman" w:hAnsi="Times New Roman" w:cs="Times New Roman"/>
                <w:bCs/>
                <w:szCs w:val="21"/>
                <w:lang w:val="en-US" w:eastAsia="zh-CN"/>
              </w:rPr>
              <w:t>005</w:t>
            </w:r>
          </w:p>
        </w:tc>
        <w:tc>
          <w:tcPr>
            <w:tcW w:w="1419" w:type="dxa"/>
            <w:noWrap w:val="0"/>
            <w:vAlign w:val="center"/>
          </w:tcPr>
          <w:p w14:paraId="73A61926">
            <w:pPr>
              <w:jc w:val="center"/>
              <w:rPr>
                <w:rFonts w:hint="eastAsia" w:ascii="Times New Roman" w:hAnsi="Times New Roman" w:eastAsia="宋体" w:cs="Times New Roman"/>
                <w:bCs/>
                <w:szCs w:val="21"/>
                <w:lang w:eastAsia="zh-CN"/>
              </w:rPr>
            </w:pPr>
            <w:r>
              <w:rPr>
                <w:rFonts w:hint="eastAsia" w:ascii="Times New Roman" w:hAnsi="Times New Roman" w:cs="Times New Roman"/>
                <w:bCs/>
                <w:szCs w:val="21"/>
                <w:lang w:val="en-US" w:eastAsia="zh-CN"/>
              </w:rPr>
              <w:t>5</w:t>
            </w:r>
          </w:p>
        </w:tc>
        <w:tc>
          <w:tcPr>
            <w:tcW w:w="1567" w:type="dxa"/>
            <w:vMerge w:val="restart"/>
            <w:noWrap w:val="0"/>
            <w:vAlign w:val="center"/>
          </w:tcPr>
          <w:p w14:paraId="6087C3C3">
            <w:pPr>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10</w:t>
            </w:r>
          </w:p>
        </w:tc>
      </w:tr>
      <w:tr w14:paraId="1571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66" w:type="dxa"/>
            <w:noWrap w:val="0"/>
            <w:vAlign w:val="center"/>
          </w:tcPr>
          <w:p w14:paraId="0D86F7FB">
            <w:pPr>
              <w:jc w:val="center"/>
              <w:rPr>
                <w:rFonts w:hint="default" w:ascii="Times New Roman" w:hAnsi="Times New Roman" w:cs="Times New Roman"/>
                <w:bCs/>
                <w:szCs w:val="21"/>
              </w:rPr>
            </w:pPr>
            <w:r>
              <w:rPr>
                <w:rFonts w:hint="default" w:ascii="Times New Roman" w:hAnsi="Times New Roman" w:cs="Times New Roman"/>
                <w:bCs/>
                <w:szCs w:val="21"/>
              </w:rPr>
              <w:t>2</w:t>
            </w:r>
          </w:p>
        </w:tc>
        <w:tc>
          <w:tcPr>
            <w:tcW w:w="1566" w:type="dxa"/>
            <w:vMerge w:val="continue"/>
            <w:noWrap w:val="0"/>
            <w:vAlign w:val="center"/>
          </w:tcPr>
          <w:p w14:paraId="3B14D0A6">
            <w:pPr>
              <w:jc w:val="center"/>
              <w:rPr>
                <w:rFonts w:ascii="Times New Roman" w:hAnsi="Times New Roman" w:cs="Times New Roman"/>
                <w:bCs/>
                <w:szCs w:val="21"/>
              </w:rPr>
            </w:pPr>
          </w:p>
        </w:tc>
        <w:tc>
          <w:tcPr>
            <w:tcW w:w="1567" w:type="dxa"/>
            <w:noWrap w:val="0"/>
            <w:vAlign w:val="center"/>
          </w:tcPr>
          <w:p w14:paraId="5F1DC6AB">
            <w:pPr>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40.010</w:t>
            </w:r>
          </w:p>
        </w:tc>
        <w:tc>
          <w:tcPr>
            <w:tcW w:w="1419" w:type="dxa"/>
            <w:noWrap w:val="0"/>
            <w:vAlign w:val="center"/>
          </w:tcPr>
          <w:p w14:paraId="74847CB0">
            <w:pPr>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10</w:t>
            </w:r>
          </w:p>
        </w:tc>
        <w:tc>
          <w:tcPr>
            <w:tcW w:w="1567" w:type="dxa"/>
            <w:vMerge w:val="continue"/>
            <w:noWrap w:val="0"/>
            <w:vAlign w:val="center"/>
          </w:tcPr>
          <w:p w14:paraId="15C98CAD">
            <w:pPr>
              <w:jc w:val="center"/>
              <w:rPr>
                <w:rFonts w:ascii="Times New Roman" w:hAnsi="Times New Roman" w:cs="Times New Roman"/>
                <w:bCs/>
                <w:szCs w:val="21"/>
              </w:rPr>
            </w:pPr>
          </w:p>
        </w:tc>
      </w:tr>
      <w:tr w14:paraId="106AD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66" w:type="dxa"/>
            <w:noWrap w:val="0"/>
            <w:vAlign w:val="center"/>
          </w:tcPr>
          <w:p w14:paraId="3AAE611D">
            <w:pPr>
              <w:jc w:val="center"/>
              <w:rPr>
                <w:rFonts w:hint="default" w:ascii="Times New Roman" w:hAnsi="Times New Roman" w:cs="Times New Roman"/>
                <w:bCs/>
                <w:szCs w:val="21"/>
              </w:rPr>
            </w:pPr>
            <w:r>
              <w:rPr>
                <w:rFonts w:hint="default" w:ascii="Times New Roman" w:hAnsi="Times New Roman" w:cs="Times New Roman"/>
                <w:bCs/>
                <w:szCs w:val="21"/>
              </w:rPr>
              <w:t>3</w:t>
            </w:r>
          </w:p>
        </w:tc>
        <w:tc>
          <w:tcPr>
            <w:tcW w:w="1566" w:type="dxa"/>
            <w:vMerge w:val="continue"/>
            <w:noWrap w:val="0"/>
            <w:vAlign w:val="center"/>
          </w:tcPr>
          <w:p w14:paraId="0375F5B2">
            <w:pPr>
              <w:jc w:val="center"/>
              <w:rPr>
                <w:rFonts w:ascii="Times New Roman" w:hAnsi="Times New Roman" w:cs="Times New Roman"/>
                <w:bCs/>
                <w:szCs w:val="21"/>
              </w:rPr>
            </w:pPr>
          </w:p>
        </w:tc>
        <w:tc>
          <w:tcPr>
            <w:tcW w:w="1567" w:type="dxa"/>
            <w:noWrap w:val="0"/>
            <w:vAlign w:val="center"/>
          </w:tcPr>
          <w:p w14:paraId="40AC386E">
            <w:pPr>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40.010</w:t>
            </w:r>
          </w:p>
        </w:tc>
        <w:tc>
          <w:tcPr>
            <w:tcW w:w="1419" w:type="dxa"/>
            <w:noWrap w:val="0"/>
            <w:vAlign w:val="center"/>
          </w:tcPr>
          <w:p w14:paraId="213F1469">
            <w:pPr>
              <w:jc w:val="center"/>
              <w:rPr>
                <w:rFonts w:hint="default" w:ascii="Times New Roman" w:hAnsi="Times New Roman" w:eastAsia="宋体" w:cs="Times New Roman"/>
                <w:bCs/>
                <w:szCs w:val="21"/>
                <w:lang w:val="en-US" w:eastAsia="zh-CN"/>
              </w:rPr>
            </w:pPr>
            <w:r>
              <w:rPr>
                <w:rFonts w:hint="eastAsia" w:ascii="Times New Roman" w:hAnsi="Times New Roman" w:cs="Times New Roman"/>
                <w:bCs/>
                <w:szCs w:val="21"/>
                <w:lang w:val="en-US" w:eastAsia="zh-CN"/>
              </w:rPr>
              <w:t>10</w:t>
            </w:r>
          </w:p>
        </w:tc>
        <w:tc>
          <w:tcPr>
            <w:tcW w:w="1567" w:type="dxa"/>
            <w:vMerge w:val="continue"/>
            <w:noWrap w:val="0"/>
            <w:vAlign w:val="center"/>
          </w:tcPr>
          <w:p w14:paraId="29B868BF">
            <w:pPr>
              <w:jc w:val="center"/>
              <w:rPr>
                <w:rFonts w:ascii="Times New Roman" w:hAnsi="Times New Roman" w:cs="Times New Roman"/>
                <w:bCs/>
                <w:szCs w:val="21"/>
              </w:rPr>
            </w:pPr>
          </w:p>
        </w:tc>
      </w:tr>
    </w:tbl>
    <w:p w14:paraId="3BFD25FA">
      <w:pPr>
        <w:pStyle w:val="73"/>
        <w:spacing w:after="0" w:line="360" w:lineRule="auto"/>
        <w:ind w:firstLine="480" w:firstLineChars="200"/>
        <w:jc w:val="left"/>
        <w:rPr>
          <w:rFonts w:ascii="Times New Roman" w:hAnsi="Times New Roman" w:cs="Times New Roman"/>
          <w:i/>
          <w:iCs/>
          <w:sz w:val="24"/>
          <w:szCs w:val="24"/>
          <w:lang w:val="en-US" w:eastAsia="zh-CN"/>
        </w:rPr>
      </w:pPr>
      <w:r>
        <w:rPr>
          <w:rFonts w:ascii="Times New Roman" w:hAnsi="Times New Roman" w:cs="Times New Roman"/>
          <w:sz w:val="24"/>
        </w:rPr>
        <w:t>根据公式（</w:t>
      </w:r>
      <w:r>
        <w:rPr>
          <w:rFonts w:ascii="Times New Roman" w:hAnsi="Times New Roman" w:cs="Times New Roman"/>
          <w:sz w:val="24"/>
          <w:lang w:val="en-US" w:eastAsia="zh-CN"/>
        </w:rPr>
        <w:t>9</w:t>
      </w:r>
      <w:r>
        <w:rPr>
          <w:rFonts w:ascii="Times New Roman" w:hAnsi="Times New Roman" w:cs="Times New Roman"/>
          <w:sz w:val="24"/>
        </w:rPr>
        <w:t>）</w:t>
      </w:r>
      <w:r>
        <w:rPr>
          <w:rFonts w:ascii="Times New Roman" w:hAnsi="Times New Roman" w:cs="Times New Roman"/>
          <w:sz w:val="24"/>
          <w:szCs w:val="24"/>
        </w:rPr>
        <w:t>同一载荷在不同位置的示值偏差</w:t>
      </w:r>
      <w:r>
        <w:rPr>
          <w:rFonts w:ascii="Times New Roman" w:hAnsi="Times New Roman" w:cs="Times New Roman"/>
          <w:sz w:val="24"/>
        </w:rPr>
        <w:t>引入的不确定度</w:t>
      </w:r>
      <w:r>
        <w:rPr>
          <w:rFonts w:ascii="Times New Roman" w:hAnsi="Times New Roman" w:cs="Times New Roman"/>
          <w:i/>
          <w:sz w:val="24"/>
        </w:rPr>
        <w:t>u</w:t>
      </w:r>
      <w:r>
        <w:rPr>
          <w:rFonts w:ascii="Times New Roman" w:hAnsi="Times New Roman" w:cs="Times New Roman"/>
          <w:sz w:val="24"/>
          <w:vertAlign w:val="subscript"/>
          <w:lang w:val="en-US" w:eastAsia="zh-CN"/>
        </w:rPr>
        <w:t>3</w:t>
      </w:r>
      <w:r>
        <w:rPr>
          <w:rFonts w:ascii="Times New Roman" w:hAnsi="Times New Roman" w:cs="Times New Roman"/>
          <w:sz w:val="24"/>
        </w:rPr>
        <w:t>为：</w:t>
      </w:r>
    </w:p>
    <w:p w14:paraId="67E4E9AD">
      <w:pPr>
        <w:widowControl/>
        <w:jc w:val="center"/>
        <w:rPr>
          <w:rFonts w:ascii="Times New Roman" w:hAnsi="Times New Roman" w:cs="Times New Roman"/>
          <w:i/>
          <w:position w:val="-10"/>
          <w:sz w:val="24"/>
        </w:rPr>
      </w:pPr>
      <w:r>
        <w:rPr>
          <w:rFonts w:ascii="Times New Roman" w:hAnsi="Times New Roman" w:cs="Times New Roman"/>
          <w:i/>
          <w:position w:val="-28"/>
          <w:sz w:val="24"/>
        </w:rPr>
        <w:object>
          <v:shape id="_x0000_i1041" o:spt="75" type="#_x0000_t75" style="height:33.05pt;width:141.05pt;" o:ole="t" filled="f" o:preferrelative="t" stroked="f" coordsize="21600,21600">
            <v:path/>
            <v:fill on="f" focussize="0,0"/>
            <v:stroke on="f"/>
            <v:imagedata r:id="rId36" o:title=""/>
            <o:lock v:ext="edit" aspectratio="t"/>
            <w10:wrap type="none"/>
            <w10:anchorlock/>
          </v:shape>
          <o:OLEObject Type="Embed" ProgID="Equation.KSEE3" ShapeID="_x0000_i1041" DrawAspect="Content" ObjectID="_1468075741" r:id="rId35">
            <o:LockedField>false</o:LockedField>
          </o:OLEObject>
        </w:object>
      </w:r>
    </w:p>
    <w:p w14:paraId="5C734FFD">
      <w:pPr>
        <w:autoSpaceDE w:val="0"/>
        <w:autoSpaceDN w:val="0"/>
        <w:spacing w:line="400" w:lineRule="exact"/>
        <w:jc w:val="left"/>
        <w:rPr>
          <w:rFonts w:hint="default" w:ascii="Times New Roman" w:hAnsi="Times New Roman" w:cs="Times New Roman"/>
          <w:sz w:val="24"/>
          <w:vertAlign w:val="subscript"/>
        </w:rPr>
      </w:pPr>
      <w:r>
        <w:rPr>
          <w:rFonts w:hint="eastAsia" w:ascii="Times New Roman" w:hAnsi="Times New Roman" w:cs="Times New Roman"/>
          <w:sz w:val="24"/>
          <w:lang w:val="en-US" w:eastAsia="zh-CN"/>
        </w:rPr>
        <w:t>7</w:t>
      </w:r>
      <w:r>
        <w:rPr>
          <w:rFonts w:hint="default" w:ascii="Times New Roman" w:hAnsi="Times New Roman" w:cs="Times New Roman"/>
          <w:sz w:val="24"/>
        </w:rPr>
        <w:t>.</w:t>
      </w:r>
      <w:r>
        <w:rPr>
          <w:rFonts w:ascii="Times New Roman" w:hAnsi="Times New Roman" w:cs="Times New Roman"/>
          <w:sz w:val="24"/>
        </w:rPr>
        <w:t>2.</w:t>
      </w:r>
      <w:r>
        <w:rPr>
          <w:rFonts w:hint="default" w:ascii="Times New Roman" w:hAnsi="Times New Roman" w:cs="Times New Roman"/>
          <w:sz w:val="24"/>
        </w:rPr>
        <w:t>4</w:t>
      </w:r>
      <w:r>
        <w:rPr>
          <w:rFonts w:ascii="Times New Roman" w:hAnsi="Times New Roman" w:cs="Times New Roman"/>
        </w:rPr>
        <w:t xml:space="preserve">  </w:t>
      </w:r>
      <w:r>
        <w:rPr>
          <w:rFonts w:ascii="Times New Roman" w:hAnsi="Times New Roman" w:cs="Times New Roman"/>
          <w:sz w:val="24"/>
        </w:rPr>
        <w:t>标准砝码引入的不确定度分量</w:t>
      </w:r>
      <w:r>
        <w:rPr>
          <w:rFonts w:ascii="Times New Roman" w:hAnsi="Times New Roman" w:cs="Times New Roman"/>
          <w:i/>
          <w:sz w:val="24"/>
        </w:rPr>
        <w:t>u</w:t>
      </w:r>
      <w:r>
        <w:rPr>
          <w:rFonts w:hint="default" w:ascii="Times New Roman" w:hAnsi="Times New Roman" w:cs="Times New Roman"/>
          <w:sz w:val="24"/>
          <w:vertAlign w:val="subscript"/>
        </w:rPr>
        <w:t>4</w:t>
      </w:r>
    </w:p>
    <w:p w14:paraId="675A7D57">
      <w:pPr>
        <w:pStyle w:val="15"/>
        <w:spacing w:before="0" w:beforeAutospacing="0" w:after="0" w:afterAutospacing="0" w:line="400" w:lineRule="exact"/>
        <w:ind w:firstLine="480" w:firstLineChars="200"/>
      </w:pPr>
      <w:r>
        <w:t>根据JJG 99-2022《砝码》，</w:t>
      </w:r>
      <w:r>
        <w:rPr>
          <w:rFonts w:hint="eastAsia"/>
          <w:lang w:val="en-US" w:eastAsia="zh-CN"/>
        </w:rPr>
        <w:t>5</w:t>
      </w:r>
      <w:r>
        <w:rPr>
          <w:rFonts w:hint="eastAsia"/>
        </w:rPr>
        <w:t>0</w:t>
      </w:r>
      <w:r>
        <w:t xml:space="preserve">kg </w:t>
      </w:r>
      <w:r>
        <w:rPr>
          <w:rFonts w:hint="eastAsia"/>
          <w:lang w:val="en-US" w:eastAsia="zh-CN"/>
        </w:rPr>
        <w:t>F</w:t>
      </w:r>
      <w:r>
        <w:rPr>
          <w:rFonts w:hint="eastAsia"/>
          <w:vertAlign w:val="subscript"/>
          <w:lang w:val="en-US" w:eastAsia="zh-CN"/>
        </w:rPr>
        <w:t>2</w:t>
      </w:r>
      <w:r>
        <w:t>等级砝码最大允差为</w:t>
      </w:r>
      <w:r>
        <w:rPr>
          <w:rFonts w:hint="eastAsia"/>
          <w:lang w:val="en-US" w:eastAsia="zh-CN"/>
        </w:rPr>
        <w:t>0.76</w:t>
      </w:r>
      <w:r>
        <w:t>g，</w:t>
      </w:r>
      <w:r>
        <w:rPr>
          <w:szCs w:val="24"/>
        </w:rPr>
        <w:t>根据公式（</w:t>
      </w:r>
      <w:r>
        <w:rPr>
          <w:rFonts w:hint="eastAsia"/>
          <w:szCs w:val="24"/>
        </w:rPr>
        <w:t>10</w:t>
      </w:r>
      <w:r>
        <w:rPr>
          <w:szCs w:val="24"/>
        </w:rPr>
        <w:t>）</w:t>
      </w:r>
      <w:r>
        <w:rPr>
          <w:rFonts w:hint="eastAsia"/>
          <w:szCs w:val="24"/>
        </w:rPr>
        <w:t>标准器</w:t>
      </w:r>
      <w:r>
        <w:t>引入的不确定度不确定度</w:t>
      </w:r>
      <w:r>
        <w:rPr>
          <w:i/>
        </w:rPr>
        <w:t>u</w:t>
      </w:r>
      <w:r>
        <w:rPr>
          <w:rFonts w:hint="eastAsia"/>
          <w:vertAlign w:val="subscript"/>
        </w:rPr>
        <w:t>3</w:t>
      </w:r>
      <w:r>
        <w:t>为：</w:t>
      </w:r>
    </w:p>
    <w:p w14:paraId="5087DE7B">
      <w:pPr>
        <w:autoSpaceDE w:val="0"/>
        <w:autoSpaceDN w:val="0"/>
        <w:jc w:val="center"/>
        <w:rPr>
          <w:rFonts w:ascii="Times New Roman" w:hAnsi="Times New Roman" w:eastAsia="等线" w:cs="Times New Roman"/>
          <w:bCs/>
          <w:sz w:val="24"/>
        </w:rPr>
      </w:pPr>
      <w:r>
        <w:rPr>
          <w:rFonts w:ascii="Times New Roman" w:hAnsi="Times New Roman" w:cs="Times New Roman"/>
          <w:i/>
          <w:position w:val="-28"/>
          <w:sz w:val="24"/>
        </w:rPr>
        <w:object>
          <v:shape id="_x0000_i1042" o:spt="75" type="#_x0000_t75" style="height:33pt;width:166.35pt;" o:ole="t" filled="f" o:preferrelative="t" stroked="f" coordsize="21600,21600">
            <v:path/>
            <v:fill on="f" focussize="0,0"/>
            <v:stroke on="f"/>
            <v:imagedata r:id="rId38" o:title=""/>
            <o:lock v:ext="edit" aspectratio="t"/>
            <w10:wrap type="none"/>
            <w10:anchorlock/>
          </v:shape>
          <o:OLEObject Type="Embed" ProgID="Equation.KSEE3" ShapeID="_x0000_i1042" DrawAspect="Content" ObjectID="_1468075742" r:id="rId37">
            <o:LockedField>false</o:LockedField>
          </o:OLEObject>
        </w:object>
      </w:r>
    </w:p>
    <w:p w14:paraId="264E550A">
      <w:pPr>
        <w:autoSpaceDE w:val="0"/>
        <w:autoSpaceDN w:val="0"/>
        <w:spacing w:line="400" w:lineRule="exact"/>
        <w:jc w:val="left"/>
        <w:rPr>
          <w:rFonts w:ascii="Times New Roman" w:hAnsi="Times New Roman" w:cs="Times New Roman"/>
          <w:sz w:val="24"/>
        </w:rPr>
      </w:pPr>
      <w:r>
        <w:rPr>
          <w:rFonts w:hint="eastAsia" w:ascii="Times New Roman" w:hAnsi="Times New Roman" w:cs="Times New Roman"/>
          <w:sz w:val="24"/>
          <w:lang w:val="en-US" w:eastAsia="zh-CN"/>
        </w:rPr>
        <w:t>7</w:t>
      </w:r>
      <w:r>
        <w:rPr>
          <w:rFonts w:hint="default" w:ascii="Times New Roman" w:hAnsi="Times New Roman" w:cs="Times New Roman"/>
          <w:sz w:val="24"/>
        </w:rPr>
        <w:t>.</w:t>
      </w:r>
      <w:r>
        <w:rPr>
          <w:rFonts w:ascii="Times New Roman" w:hAnsi="Times New Roman" w:cs="Times New Roman"/>
          <w:sz w:val="24"/>
        </w:rPr>
        <w:t>2.</w:t>
      </w:r>
      <w:r>
        <w:rPr>
          <w:rFonts w:hint="default" w:ascii="Times New Roman" w:hAnsi="Times New Roman" w:cs="Times New Roman"/>
          <w:sz w:val="24"/>
        </w:rPr>
        <w:t>5</w:t>
      </w:r>
      <w:r>
        <w:rPr>
          <w:rFonts w:ascii="Times New Roman" w:hAnsi="Times New Roman" w:cs="Times New Roman"/>
        </w:rPr>
        <w:t xml:space="preserve">  </w:t>
      </w:r>
      <w:r>
        <w:rPr>
          <w:rFonts w:ascii="Times New Roman" w:hAnsi="Times New Roman" w:cs="Times New Roman"/>
          <w:sz w:val="24"/>
        </w:rPr>
        <w:t>合成标准不确定度计算</w:t>
      </w:r>
    </w:p>
    <w:p w14:paraId="0B3B7543">
      <w:pPr>
        <w:pStyle w:val="15"/>
        <w:spacing w:before="0" w:beforeAutospacing="0" w:after="0" w:afterAutospacing="0" w:line="400" w:lineRule="exact"/>
        <w:ind w:firstLine="482"/>
      </w:pPr>
      <w:r>
        <w:rPr>
          <w:szCs w:val="24"/>
        </w:rPr>
        <w:t>合成标准不确定度用公式（1</w:t>
      </w:r>
      <w:r>
        <w:rPr>
          <w:rFonts w:hint="eastAsia"/>
          <w:szCs w:val="24"/>
        </w:rPr>
        <w:t>1</w:t>
      </w:r>
      <w:r>
        <w:rPr>
          <w:szCs w:val="24"/>
        </w:rPr>
        <w:t>）计算如下：</w:t>
      </w:r>
    </w:p>
    <w:p w14:paraId="1FF503CE">
      <w:pPr>
        <w:autoSpaceDE w:val="0"/>
        <w:autoSpaceDN w:val="0"/>
        <w:jc w:val="center"/>
        <w:rPr>
          <w:rFonts w:ascii="Times New Roman" w:hAnsi="Times New Roman" w:cs="Times New Roman"/>
          <w:i/>
          <w:position w:val="-12"/>
          <w:sz w:val="24"/>
        </w:rPr>
      </w:pPr>
      <w:r>
        <w:rPr>
          <w:rFonts w:ascii="Times New Roman" w:hAnsi="Times New Roman" w:cs="Times New Roman"/>
          <w:i/>
          <w:position w:val="-14"/>
          <w:sz w:val="24"/>
        </w:rPr>
        <w:object>
          <v:shape id="_x0000_i1043" o:spt="75" type="#_x0000_t75" style="height:23pt;width:163.6pt;" o:ole="t" filled="f" o:preferrelative="t" stroked="f" coordsize="21600,21600">
            <v:path/>
            <v:fill on="f" focussize="0,0"/>
            <v:stroke on="f"/>
            <v:imagedata r:id="rId40" o:title=""/>
            <o:lock v:ext="edit" aspectratio="t"/>
            <w10:wrap type="none"/>
            <w10:anchorlock/>
          </v:shape>
          <o:OLEObject Type="Embed" ProgID="Equation.KSEE3" ShapeID="_x0000_i1043" DrawAspect="Content" ObjectID="_1468075743" r:id="rId39">
            <o:LockedField>false</o:LockedField>
          </o:OLEObject>
        </w:object>
      </w:r>
    </w:p>
    <w:p w14:paraId="5C51746B">
      <w:pPr>
        <w:autoSpaceDE w:val="0"/>
        <w:autoSpaceDN w:val="0"/>
        <w:spacing w:line="400" w:lineRule="exact"/>
        <w:jc w:val="left"/>
        <w:rPr>
          <w:rFonts w:ascii="Times New Roman" w:hAnsi="Times New Roman" w:cs="Times New Roman"/>
          <w:sz w:val="24"/>
        </w:rPr>
      </w:pPr>
    </w:p>
    <w:p w14:paraId="39966767">
      <w:pPr>
        <w:autoSpaceDE w:val="0"/>
        <w:autoSpaceDN w:val="0"/>
        <w:spacing w:line="400" w:lineRule="exact"/>
        <w:jc w:val="left"/>
        <w:rPr>
          <w:rFonts w:ascii="Times New Roman" w:hAnsi="Times New Roman" w:cs="Times New Roman"/>
          <w:sz w:val="24"/>
        </w:rPr>
      </w:pPr>
      <w:r>
        <w:rPr>
          <w:rFonts w:hint="eastAsia" w:ascii="Times New Roman" w:hAnsi="Times New Roman" w:cs="Times New Roman"/>
          <w:sz w:val="24"/>
          <w:lang w:val="en-US" w:eastAsia="zh-CN"/>
        </w:rPr>
        <w:t>7</w:t>
      </w:r>
      <w:r>
        <w:rPr>
          <w:rFonts w:hint="default" w:ascii="Times New Roman" w:hAnsi="Times New Roman" w:cs="Times New Roman"/>
          <w:sz w:val="24"/>
        </w:rPr>
        <w:t>.</w:t>
      </w:r>
      <w:r>
        <w:rPr>
          <w:rFonts w:ascii="Times New Roman" w:hAnsi="Times New Roman" w:cs="Times New Roman"/>
          <w:sz w:val="24"/>
        </w:rPr>
        <w:t>2.</w:t>
      </w:r>
      <w:r>
        <w:rPr>
          <w:rFonts w:hint="default" w:ascii="Times New Roman" w:hAnsi="Times New Roman" w:cs="Times New Roman"/>
          <w:sz w:val="24"/>
        </w:rPr>
        <w:t>6</w:t>
      </w:r>
      <w:r>
        <w:rPr>
          <w:rFonts w:ascii="Times New Roman" w:hAnsi="Times New Roman" w:cs="Times New Roman"/>
        </w:rPr>
        <w:t xml:space="preserve">  </w:t>
      </w:r>
      <w:r>
        <w:rPr>
          <w:rFonts w:ascii="Times New Roman" w:hAnsi="Times New Roman" w:cs="Times New Roman"/>
          <w:sz w:val="24"/>
        </w:rPr>
        <w:t xml:space="preserve">扩展不确定度 </w:t>
      </w:r>
    </w:p>
    <w:p w14:paraId="5EA41E69">
      <w:pPr>
        <w:pStyle w:val="15"/>
        <w:spacing w:before="0" w:beforeAutospacing="0" w:after="0" w:afterAutospacing="0" w:line="360" w:lineRule="auto"/>
        <w:ind w:firstLine="480"/>
      </w:pPr>
      <w:r>
        <w:t>取包含因子</w:t>
      </w:r>
      <w:r>
        <w:rPr>
          <w:i/>
        </w:rPr>
        <w:t>k</w:t>
      </w:r>
      <w:r>
        <w:t>=2，称重系统</w:t>
      </w:r>
      <w:r>
        <w:rPr>
          <w:rFonts w:hint="eastAsia"/>
          <w:lang w:val="en-US" w:eastAsia="zh-CN"/>
        </w:rPr>
        <w:t>5</w:t>
      </w:r>
      <w:r>
        <w:t>0kg</w:t>
      </w:r>
      <w:r>
        <w:rPr>
          <w:rFonts w:hint="eastAsia"/>
        </w:rPr>
        <w:t>载荷点的扩展不确定度为：</w:t>
      </w:r>
    </w:p>
    <w:p w14:paraId="7D66CB08">
      <w:pPr>
        <w:autoSpaceDE w:val="0"/>
        <w:autoSpaceDN w:val="0"/>
        <w:jc w:val="center"/>
        <w:rPr>
          <w:rFonts w:ascii="Times New Roman" w:hAnsi="Times New Roman" w:eastAsia="黑体" w:cs="Times New Roman"/>
          <w:szCs w:val="21"/>
        </w:rPr>
      </w:pPr>
      <w:r>
        <w:rPr>
          <w:rFonts w:ascii="Times New Roman" w:hAnsi="Times New Roman" w:cs="Times New Roman"/>
          <w:i/>
          <w:position w:val="-12"/>
          <w:sz w:val="24"/>
        </w:rPr>
        <w:object>
          <v:shape id="_x0000_i1044" o:spt="75" type="#_x0000_t75" style="height:18pt;width:103.95pt;" o:ole="t" filled="f" o:preferrelative="t" stroked="f" coordsize="21600,21600">
            <v:path/>
            <v:fill on="f" focussize="0,0"/>
            <v:stroke on="f"/>
            <v:imagedata r:id="rId42" o:title=""/>
            <o:lock v:ext="edit" aspectratio="t"/>
            <w10:wrap type="none"/>
            <w10:anchorlock/>
          </v:shape>
          <o:OLEObject Type="Embed" ProgID="Equation.KSEE3" ShapeID="_x0000_i1044" DrawAspect="Content" ObjectID="_1468075744" r:id="rId41">
            <o:LockedField>false</o:LockedField>
          </o:OLEObject>
        </w:object>
      </w:r>
    </w:p>
    <w:sectPr>
      <w:footerReference r:id="rId3" w:type="default"/>
      <w:pgSz w:w="11907" w:h="16840"/>
      <w:pgMar w:top="1588" w:right="1418" w:bottom="1361" w:left="1418" w:header="1134"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76522394"/>
    </w:sdtPr>
    <w:sdtEndPr>
      <w:rPr>
        <w:rFonts w:hint="default" w:ascii="Times New Roman" w:hAnsi="Times New Roman" w:cs="Times New Roman"/>
      </w:rPr>
    </w:sdtEndPr>
    <w:sdtContent>
      <w:p w14:paraId="214918A0">
        <w:pPr>
          <w:pStyle w:val="11"/>
          <w:jc w:val="cente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lang w:val="zh-CN"/>
          </w:rPr>
          <w:t>4</w:t>
        </w:r>
        <w:r>
          <w:rPr>
            <w:rFonts w:hint="default" w:ascii="Times New Roman" w:hAnsi="Times New Roman" w:cs="Times New Roman"/>
            <w:lang w:val="zh-CN"/>
          </w:rPr>
          <w:fldChar w:fldCharType="end"/>
        </w:r>
      </w:p>
    </w:sdtContent>
  </w:sdt>
  <w:p w14:paraId="155F0760">
    <w:pPr>
      <w:pStyle w:val="11"/>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57D3FBC"/>
    <w:multiLevelType w:val="multilevel"/>
    <w:tmpl w:val="657D3FBC"/>
    <w:lvl w:ilvl="0" w:tentative="0">
      <w:start w:val="1"/>
      <w:numFmt w:val="upperLetter"/>
      <w:pStyle w:val="5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pStyle w:val="6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NzY3MTc2NGQ2NWQ3NTk1ZGRiNWZiYzY5MDc1OWIifQ=="/>
  </w:docVars>
  <w:rsids>
    <w:rsidRoot w:val="007D4348"/>
    <w:rsid w:val="00002D07"/>
    <w:rsid w:val="00002DA1"/>
    <w:rsid w:val="0000420C"/>
    <w:rsid w:val="000051E4"/>
    <w:rsid w:val="000316C4"/>
    <w:rsid w:val="00045FA1"/>
    <w:rsid w:val="00053045"/>
    <w:rsid w:val="00055CB0"/>
    <w:rsid w:val="00092509"/>
    <w:rsid w:val="000A1115"/>
    <w:rsid w:val="000C675E"/>
    <w:rsid w:val="000F0320"/>
    <w:rsid w:val="000F0488"/>
    <w:rsid w:val="0011312E"/>
    <w:rsid w:val="001315CB"/>
    <w:rsid w:val="0017190F"/>
    <w:rsid w:val="001A1295"/>
    <w:rsid w:val="001D52B6"/>
    <w:rsid w:val="001E669B"/>
    <w:rsid w:val="001F4CCE"/>
    <w:rsid w:val="00204FE5"/>
    <w:rsid w:val="002242D3"/>
    <w:rsid w:val="002247DA"/>
    <w:rsid w:val="002528FF"/>
    <w:rsid w:val="00260DEE"/>
    <w:rsid w:val="0029774A"/>
    <w:rsid w:val="002A6130"/>
    <w:rsid w:val="002B0762"/>
    <w:rsid w:val="002E0A7B"/>
    <w:rsid w:val="002E0F67"/>
    <w:rsid w:val="002E3A3E"/>
    <w:rsid w:val="002E583F"/>
    <w:rsid w:val="0033318B"/>
    <w:rsid w:val="003520CE"/>
    <w:rsid w:val="00385F55"/>
    <w:rsid w:val="003B05DC"/>
    <w:rsid w:val="003B3FFF"/>
    <w:rsid w:val="003C1E7E"/>
    <w:rsid w:val="003D7194"/>
    <w:rsid w:val="003F01DD"/>
    <w:rsid w:val="0040225A"/>
    <w:rsid w:val="00441514"/>
    <w:rsid w:val="00441C9C"/>
    <w:rsid w:val="00446E50"/>
    <w:rsid w:val="00451F4E"/>
    <w:rsid w:val="004726E0"/>
    <w:rsid w:val="004B1DB4"/>
    <w:rsid w:val="004D0B6A"/>
    <w:rsid w:val="00525DEB"/>
    <w:rsid w:val="0053592D"/>
    <w:rsid w:val="00554E8D"/>
    <w:rsid w:val="0057417C"/>
    <w:rsid w:val="00590832"/>
    <w:rsid w:val="005A0810"/>
    <w:rsid w:val="005A341B"/>
    <w:rsid w:val="005C13A0"/>
    <w:rsid w:val="005E639B"/>
    <w:rsid w:val="005F75B0"/>
    <w:rsid w:val="00636834"/>
    <w:rsid w:val="00686256"/>
    <w:rsid w:val="006A5DC3"/>
    <w:rsid w:val="006B221C"/>
    <w:rsid w:val="006B5F93"/>
    <w:rsid w:val="006B7127"/>
    <w:rsid w:val="006C277E"/>
    <w:rsid w:val="006F208F"/>
    <w:rsid w:val="00702CAB"/>
    <w:rsid w:val="00711D57"/>
    <w:rsid w:val="00750005"/>
    <w:rsid w:val="00756172"/>
    <w:rsid w:val="007631C4"/>
    <w:rsid w:val="007769B7"/>
    <w:rsid w:val="00782AB7"/>
    <w:rsid w:val="0079120D"/>
    <w:rsid w:val="00793609"/>
    <w:rsid w:val="00796202"/>
    <w:rsid w:val="007B43A4"/>
    <w:rsid w:val="007D0A73"/>
    <w:rsid w:val="007D4348"/>
    <w:rsid w:val="007E0CCE"/>
    <w:rsid w:val="00831F44"/>
    <w:rsid w:val="00835762"/>
    <w:rsid w:val="00842EF2"/>
    <w:rsid w:val="00850F37"/>
    <w:rsid w:val="00851C9A"/>
    <w:rsid w:val="008759FD"/>
    <w:rsid w:val="008777F5"/>
    <w:rsid w:val="00892CA6"/>
    <w:rsid w:val="008C27F9"/>
    <w:rsid w:val="008E6A2E"/>
    <w:rsid w:val="00951414"/>
    <w:rsid w:val="00977D03"/>
    <w:rsid w:val="009C1FDD"/>
    <w:rsid w:val="009C316B"/>
    <w:rsid w:val="009C4C6F"/>
    <w:rsid w:val="009D3D56"/>
    <w:rsid w:val="009D5F48"/>
    <w:rsid w:val="009D7684"/>
    <w:rsid w:val="00A0559B"/>
    <w:rsid w:val="00A15085"/>
    <w:rsid w:val="00A30E76"/>
    <w:rsid w:val="00A5095F"/>
    <w:rsid w:val="00A944EA"/>
    <w:rsid w:val="00AB6EF4"/>
    <w:rsid w:val="00AB7A57"/>
    <w:rsid w:val="00AF1950"/>
    <w:rsid w:val="00B00FB9"/>
    <w:rsid w:val="00B11352"/>
    <w:rsid w:val="00B177DE"/>
    <w:rsid w:val="00B17B4B"/>
    <w:rsid w:val="00B4706C"/>
    <w:rsid w:val="00B715A6"/>
    <w:rsid w:val="00B768E0"/>
    <w:rsid w:val="00BA1608"/>
    <w:rsid w:val="00BB1E03"/>
    <w:rsid w:val="00BC65CB"/>
    <w:rsid w:val="00BD2483"/>
    <w:rsid w:val="00BE0246"/>
    <w:rsid w:val="00C21D06"/>
    <w:rsid w:val="00C25E38"/>
    <w:rsid w:val="00C3047E"/>
    <w:rsid w:val="00C3421E"/>
    <w:rsid w:val="00C82A70"/>
    <w:rsid w:val="00C86324"/>
    <w:rsid w:val="00CB0E7B"/>
    <w:rsid w:val="00CB4331"/>
    <w:rsid w:val="00CC2B3F"/>
    <w:rsid w:val="00CD72A9"/>
    <w:rsid w:val="00CF3B9B"/>
    <w:rsid w:val="00D11CA7"/>
    <w:rsid w:val="00D2427B"/>
    <w:rsid w:val="00D81568"/>
    <w:rsid w:val="00D90612"/>
    <w:rsid w:val="00DA7E84"/>
    <w:rsid w:val="00DB5C48"/>
    <w:rsid w:val="00E055AC"/>
    <w:rsid w:val="00E21570"/>
    <w:rsid w:val="00E30E3F"/>
    <w:rsid w:val="00E61348"/>
    <w:rsid w:val="00E73995"/>
    <w:rsid w:val="00E75C58"/>
    <w:rsid w:val="00E840EF"/>
    <w:rsid w:val="00EB3E48"/>
    <w:rsid w:val="00EF1E0E"/>
    <w:rsid w:val="00F078C4"/>
    <w:rsid w:val="00F248FB"/>
    <w:rsid w:val="00F4370F"/>
    <w:rsid w:val="00F458BE"/>
    <w:rsid w:val="00F54797"/>
    <w:rsid w:val="00F63B1B"/>
    <w:rsid w:val="00F666F0"/>
    <w:rsid w:val="00F72796"/>
    <w:rsid w:val="00F7706B"/>
    <w:rsid w:val="00F82458"/>
    <w:rsid w:val="00F84D2B"/>
    <w:rsid w:val="00F9125B"/>
    <w:rsid w:val="00FA3723"/>
    <w:rsid w:val="00FE4DA0"/>
    <w:rsid w:val="024B5F91"/>
    <w:rsid w:val="02687B3E"/>
    <w:rsid w:val="03FE7EAB"/>
    <w:rsid w:val="04E83035"/>
    <w:rsid w:val="0523406D"/>
    <w:rsid w:val="0BC639A4"/>
    <w:rsid w:val="0CD14FC5"/>
    <w:rsid w:val="0E981627"/>
    <w:rsid w:val="10107E27"/>
    <w:rsid w:val="115C55E8"/>
    <w:rsid w:val="116E48C1"/>
    <w:rsid w:val="139F2710"/>
    <w:rsid w:val="14BA1C1A"/>
    <w:rsid w:val="163531C6"/>
    <w:rsid w:val="16E6314C"/>
    <w:rsid w:val="180C6BE2"/>
    <w:rsid w:val="195B3133"/>
    <w:rsid w:val="1BB90E2F"/>
    <w:rsid w:val="1D0D6955"/>
    <w:rsid w:val="1D454368"/>
    <w:rsid w:val="1DD41F50"/>
    <w:rsid w:val="1DFF5538"/>
    <w:rsid w:val="1FC55FF4"/>
    <w:rsid w:val="20B16579"/>
    <w:rsid w:val="2153521A"/>
    <w:rsid w:val="263A491A"/>
    <w:rsid w:val="26623605"/>
    <w:rsid w:val="267F0A80"/>
    <w:rsid w:val="276C144B"/>
    <w:rsid w:val="27B9525B"/>
    <w:rsid w:val="28D472A8"/>
    <w:rsid w:val="2CCD0296"/>
    <w:rsid w:val="2E67296D"/>
    <w:rsid w:val="30AC3988"/>
    <w:rsid w:val="343E5F1E"/>
    <w:rsid w:val="34F860CC"/>
    <w:rsid w:val="365743DD"/>
    <w:rsid w:val="38F724F7"/>
    <w:rsid w:val="39387D98"/>
    <w:rsid w:val="432E7E94"/>
    <w:rsid w:val="43EC7018"/>
    <w:rsid w:val="45941E41"/>
    <w:rsid w:val="4729480B"/>
    <w:rsid w:val="47E250E6"/>
    <w:rsid w:val="497D1AC7"/>
    <w:rsid w:val="4B59603F"/>
    <w:rsid w:val="4D82660A"/>
    <w:rsid w:val="51962A9D"/>
    <w:rsid w:val="525F5585"/>
    <w:rsid w:val="53D14261"/>
    <w:rsid w:val="54CA0AA9"/>
    <w:rsid w:val="57B8376D"/>
    <w:rsid w:val="596645F1"/>
    <w:rsid w:val="5A7F0572"/>
    <w:rsid w:val="5C72739F"/>
    <w:rsid w:val="5D011887"/>
    <w:rsid w:val="5D0E5BDE"/>
    <w:rsid w:val="5D245401"/>
    <w:rsid w:val="5D414205"/>
    <w:rsid w:val="5E2356B9"/>
    <w:rsid w:val="5F5B25CD"/>
    <w:rsid w:val="5FEF3F1C"/>
    <w:rsid w:val="60194DF5"/>
    <w:rsid w:val="60874625"/>
    <w:rsid w:val="62237832"/>
    <w:rsid w:val="63051831"/>
    <w:rsid w:val="636E387A"/>
    <w:rsid w:val="64743F69"/>
    <w:rsid w:val="652865DA"/>
    <w:rsid w:val="65562818"/>
    <w:rsid w:val="6605341D"/>
    <w:rsid w:val="667416A9"/>
    <w:rsid w:val="6A4946F9"/>
    <w:rsid w:val="6CEF77DA"/>
    <w:rsid w:val="73AE47EA"/>
    <w:rsid w:val="77B005A0"/>
    <w:rsid w:val="77F51A1C"/>
    <w:rsid w:val="796055BB"/>
    <w:rsid w:val="7BDA0612"/>
    <w:rsid w:val="7DA4016C"/>
    <w:rsid w:val="7DF12302"/>
    <w:rsid w:val="7ED2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0"/>
    <w:pPr>
      <w:keepNext/>
      <w:ind w:left="5954"/>
      <w:outlineLvl w:val="0"/>
    </w:pPr>
    <w:rPr>
      <w:rFonts w:ascii="Garamond" w:hAnsi="Garamond" w:eastAsia="宋体" w:cs="Times New Roman"/>
      <w:sz w:val="144"/>
      <w:szCs w:val="20"/>
    </w:rPr>
  </w:style>
  <w:style w:type="paragraph" w:styleId="3">
    <w:name w:val="heading 2"/>
    <w:basedOn w:val="1"/>
    <w:next w:val="1"/>
    <w:link w:val="27"/>
    <w:unhideWhenUsed/>
    <w:qFormat/>
    <w:uiPriority w:val="0"/>
    <w:pPr>
      <w:keepNext/>
      <w:keepLines/>
      <w:spacing w:before="260" w:after="260" w:line="413" w:lineRule="auto"/>
      <w:outlineLvl w:val="1"/>
    </w:pPr>
    <w:rPr>
      <w:rFonts w:ascii="Arial" w:hAnsi="Arial" w:eastAsia="黑体" w:cs="Times New Roman"/>
      <w:b/>
      <w:sz w:val="32"/>
      <w:szCs w:val="24"/>
    </w:rPr>
  </w:style>
  <w:style w:type="paragraph" w:styleId="4">
    <w:name w:val="heading 3"/>
    <w:basedOn w:val="1"/>
    <w:next w:val="1"/>
    <w:link w:val="30"/>
    <w:qFormat/>
    <w:uiPriority w:val="0"/>
    <w:pPr>
      <w:keepNext/>
      <w:jc w:val="center"/>
      <w:outlineLvl w:val="2"/>
    </w:pPr>
    <w:rPr>
      <w:rFonts w:ascii="宋体" w:hAnsi="Times New Roman" w:eastAsia="宋体" w:cs="Times New Roman"/>
      <w:i/>
      <w:iCs/>
      <w:sz w:val="18"/>
      <w:szCs w:val="1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semiHidden/>
    <w:qFormat/>
    <w:uiPriority w:val="0"/>
    <w:pPr>
      <w:jc w:val="left"/>
    </w:pPr>
    <w:rPr>
      <w:rFonts w:ascii="Times New Roman" w:hAnsi="Times New Roman" w:eastAsia="宋体" w:cs="Times New Roman"/>
      <w:szCs w:val="20"/>
    </w:rPr>
  </w:style>
  <w:style w:type="paragraph" w:styleId="6">
    <w:name w:val="Body Text Indent"/>
    <w:basedOn w:val="1"/>
    <w:link w:val="32"/>
    <w:qFormat/>
    <w:uiPriority w:val="0"/>
    <w:pPr>
      <w:tabs>
        <w:tab w:val="left" w:pos="5175"/>
      </w:tabs>
      <w:spacing w:line="340" w:lineRule="exact"/>
      <w:ind w:firstLine="420"/>
      <w:jc w:val="left"/>
    </w:pPr>
    <w:rPr>
      <w:rFonts w:ascii="宋体" w:hAnsi="宋体" w:eastAsia="宋体" w:cs="Times New Roman"/>
      <w:szCs w:val="24"/>
    </w:rPr>
  </w:style>
  <w:style w:type="paragraph" w:styleId="7">
    <w:name w:val="toc 3"/>
    <w:basedOn w:val="1"/>
    <w:next w:val="1"/>
    <w:autoRedefine/>
    <w:unhideWhenUsed/>
    <w:qFormat/>
    <w:uiPriority w:val="39"/>
    <w:pPr>
      <w:ind w:left="840" w:leftChars="400"/>
    </w:pPr>
    <w:rPr>
      <w:rFonts w:ascii="Times New Roman" w:hAnsi="Times New Roman" w:eastAsia="宋体" w:cs="Times New Roman"/>
      <w:szCs w:val="20"/>
    </w:rPr>
  </w:style>
  <w:style w:type="paragraph" w:styleId="8">
    <w:name w:val="Plain Text"/>
    <w:basedOn w:val="1"/>
    <w:link w:val="33"/>
    <w:qFormat/>
    <w:uiPriority w:val="0"/>
    <w:rPr>
      <w:rFonts w:hint="eastAsia" w:ascii="宋体" w:hAnsi="Courier New" w:eastAsia="宋体" w:cs="Times New Roman"/>
      <w:szCs w:val="20"/>
    </w:rPr>
  </w:style>
  <w:style w:type="paragraph" w:styleId="9">
    <w:name w:val="Date"/>
    <w:basedOn w:val="1"/>
    <w:next w:val="1"/>
    <w:link w:val="34"/>
    <w:qFormat/>
    <w:uiPriority w:val="0"/>
    <w:pPr>
      <w:ind w:left="100" w:leftChars="2500"/>
    </w:pPr>
    <w:rPr>
      <w:rFonts w:ascii="Times New Roman" w:hAnsi="Times New Roman" w:eastAsia="宋体" w:cs="Times New Roman"/>
      <w:szCs w:val="20"/>
    </w:rPr>
  </w:style>
  <w:style w:type="paragraph" w:styleId="10">
    <w:name w:val="Balloon Text"/>
    <w:basedOn w:val="1"/>
    <w:link w:val="35"/>
    <w:semiHidden/>
    <w:qFormat/>
    <w:uiPriority w:val="0"/>
    <w:rPr>
      <w:rFonts w:ascii="Times New Roman" w:hAnsi="Times New Roman" w:eastAsia="宋体" w:cs="Times New Roman"/>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eastAsia="宋体" w:cs="Times New Roman"/>
      <w:szCs w:val="20"/>
    </w:rPr>
  </w:style>
  <w:style w:type="paragraph" w:styleId="14">
    <w:name w:val="toc 2"/>
    <w:basedOn w:val="1"/>
    <w:next w:val="1"/>
    <w:autoRedefine/>
    <w:qFormat/>
    <w:uiPriority w:val="39"/>
    <w:pPr>
      <w:tabs>
        <w:tab w:val="right" w:leader="dot" w:pos="8296"/>
      </w:tabs>
      <w:ind w:left="420" w:leftChars="200"/>
      <w:jc w:val="center"/>
    </w:pPr>
    <w:rPr>
      <w:rFonts w:ascii="黑体" w:hAnsi="黑体" w:eastAsia="黑体" w:cs="Times New Roman"/>
      <w:b/>
      <w:color w:val="000000" w:themeColor="text1"/>
      <w:sz w:val="28"/>
      <w:szCs w:val="28"/>
      <w14:textFill>
        <w14:solidFill>
          <w14:schemeClr w14:val="tx1"/>
        </w14:solidFill>
      </w14:textFill>
    </w:rPr>
  </w:style>
  <w:style w:type="paragraph" w:styleId="15">
    <w:name w:val="Normal (Web)"/>
    <w:basedOn w:val="1"/>
    <w:link w:val="38"/>
    <w:qFormat/>
    <w:uiPriority w:val="0"/>
    <w:pPr>
      <w:widowControl/>
      <w:spacing w:before="100" w:beforeAutospacing="1" w:after="100" w:afterAutospacing="1"/>
      <w:jc w:val="left"/>
    </w:pPr>
    <w:rPr>
      <w:rFonts w:ascii="Times New Roman" w:hAnsi="Times New Roman" w:eastAsia="宋体" w:cs="Times New Roman"/>
      <w:kern w:val="0"/>
      <w:sz w:val="24"/>
      <w:szCs w:val="20"/>
    </w:rPr>
  </w:style>
  <w:style w:type="paragraph" w:styleId="16">
    <w:name w:val="Title"/>
    <w:basedOn w:val="1"/>
    <w:next w:val="1"/>
    <w:link w:val="36"/>
    <w:qFormat/>
    <w:uiPriority w:val="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5"/>
    <w:next w:val="5"/>
    <w:link w:val="37"/>
    <w:semiHidden/>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Emphasis"/>
    <w:basedOn w:val="20"/>
    <w:qFormat/>
    <w:uiPriority w:val="0"/>
    <w:rPr>
      <w:i/>
      <w:iCs/>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character" w:styleId="24">
    <w:name w:val="annotation reference"/>
    <w:semiHidden/>
    <w:qFormat/>
    <w:uiPriority w:val="0"/>
    <w:rPr>
      <w:sz w:val="21"/>
      <w:szCs w:val="21"/>
    </w:rPr>
  </w:style>
  <w:style w:type="character" w:customStyle="1" w:styleId="25">
    <w:name w:val="页眉 字符"/>
    <w:basedOn w:val="20"/>
    <w:link w:val="12"/>
    <w:qFormat/>
    <w:uiPriority w:val="99"/>
    <w:rPr>
      <w:sz w:val="18"/>
      <w:szCs w:val="18"/>
    </w:rPr>
  </w:style>
  <w:style w:type="character" w:customStyle="1" w:styleId="26">
    <w:name w:val="页脚 字符"/>
    <w:basedOn w:val="20"/>
    <w:link w:val="11"/>
    <w:qFormat/>
    <w:uiPriority w:val="99"/>
    <w:rPr>
      <w:sz w:val="18"/>
      <w:szCs w:val="18"/>
    </w:rPr>
  </w:style>
  <w:style w:type="character" w:customStyle="1" w:styleId="27">
    <w:name w:val="标题 2 字符"/>
    <w:basedOn w:val="20"/>
    <w:link w:val="3"/>
    <w:qFormat/>
    <w:uiPriority w:val="0"/>
    <w:rPr>
      <w:rFonts w:ascii="Arial" w:hAnsi="Arial" w:eastAsia="黑体" w:cs="Times New Roman"/>
      <w:b/>
      <w:sz w:val="32"/>
      <w:szCs w:val="24"/>
    </w:rPr>
  </w:style>
  <w:style w:type="paragraph" w:customStyle="1" w:styleId="28">
    <w:name w:val="大纲正文样式"/>
    <w:basedOn w:val="1"/>
    <w:qFormat/>
    <w:uiPriority w:val="0"/>
    <w:pPr>
      <w:tabs>
        <w:tab w:val="left" w:pos="540"/>
      </w:tabs>
      <w:spacing w:line="300" w:lineRule="auto"/>
      <w:ind w:firstLine="200" w:firstLineChars="200"/>
    </w:pPr>
    <w:rPr>
      <w:rFonts w:ascii="Times New Roman" w:hAnsi="Times New Roman" w:eastAsia="宋体" w:cs="Times New Roman"/>
      <w:color w:val="000000"/>
      <w:sz w:val="24"/>
      <w:szCs w:val="24"/>
    </w:rPr>
  </w:style>
  <w:style w:type="character" w:customStyle="1" w:styleId="29">
    <w:name w:val="标题 1 字符"/>
    <w:basedOn w:val="20"/>
    <w:link w:val="2"/>
    <w:qFormat/>
    <w:uiPriority w:val="0"/>
    <w:rPr>
      <w:rFonts w:ascii="Garamond" w:hAnsi="Garamond" w:eastAsia="宋体" w:cs="Times New Roman"/>
      <w:sz w:val="144"/>
      <w:szCs w:val="20"/>
    </w:rPr>
  </w:style>
  <w:style w:type="character" w:customStyle="1" w:styleId="30">
    <w:name w:val="标题 3 字符"/>
    <w:basedOn w:val="20"/>
    <w:link w:val="4"/>
    <w:qFormat/>
    <w:uiPriority w:val="0"/>
    <w:rPr>
      <w:rFonts w:ascii="宋体" w:hAnsi="Times New Roman" w:eastAsia="宋体" w:cs="Times New Roman"/>
      <w:i/>
      <w:iCs/>
      <w:sz w:val="18"/>
      <w:szCs w:val="18"/>
    </w:rPr>
  </w:style>
  <w:style w:type="character" w:customStyle="1" w:styleId="31">
    <w:name w:val="批注文字 字符"/>
    <w:basedOn w:val="20"/>
    <w:link w:val="5"/>
    <w:semiHidden/>
    <w:qFormat/>
    <w:uiPriority w:val="0"/>
    <w:rPr>
      <w:rFonts w:ascii="Times New Roman" w:hAnsi="Times New Roman" w:eastAsia="宋体" w:cs="Times New Roman"/>
      <w:szCs w:val="20"/>
    </w:rPr>
  </w:style>
  <w:style w:type="character" w:customStyle="1" w:styleId="32">
    <w:name w:val="正文文本缩进 字符"/>
    <w:basedOn w:val="20"/>
    <w:link w:val="6"/>
    <w:qFormat/>
    <w:uiPriority w:val="0"/>
    <w:rPr>
      <w:rFonts w:ascii="宋体" w:hAnsi="宋体" w:eastAsia="宋体" w:cs="Times New Roman"/>
      <w:szCs w:val="24"/>
    </w:rPr>
  </w:style>
  <w:style w:type="character" w:customStyle="1" w:styleId="33">
    <w:name w:val="纯文本 字符"/>
    <w:basedOn w:val="20"/>
    <w:link w:val="8"/>
    <w:qFormat/>
    <w:uiPriority w:val="0"/>
    <w:rPr>
      <w:rFonts w:ascii="宋体" w:hAnsi="Courier New" w:eastAsia="宋体" w:cs="Times New Roman"/>
      <w:szCs w:val="20"/>
    </w:rPr>
  </w:style>
  <w:style w:type="character" w:customStyle="1" w:styleId="34">
    <w:name w:val="日期 字符"/>
    <w:basedOn w:val="20"/>
    <w:link w:val="9"/>
    <w:qFormat/>
    <w:uiPriority w:val="0"/>
    <w:rPr>
      <w:rFonts w:ascii="Times New Roman" w:hAnsi="Times New Roman" w:eastAsia="宋体" w:cs="Times New Roman"/>
      <w:szCs w:val="20"/>
    </w:rPr>
  </w:style>
  <w:style w:type="character" w:customStyle="1" w:styleId="35">
    <w:name w:val="批注框文本 字符"/>
    <w:basedOn w:val="20"/>
    <w:link w:val="10"/>
    <w:semiHidden/>
    <w:qFormat/>
    <w:uiPriority w:val="0"/>
    <w:rPr>
      <w:rFonts w:ascii="Times New Roman" w:hAnsi="Times New Roman" w:eastAsia="宋体" w:cs="Times New Roman"/>
      <w:sz w:val="18"/>
      <w:szCs w:val="18"/>
    </w:rPr>
  </w:style>
  <w:style w:type="character" w:customStyle="1" w:styleId="36">
    <w:name w:val="标题 字符"/>
    <w:basedOn w:val="20"/>
    <w:link w:val="16"/>
    <w:qFormat/>
    <w:uiPriority w:val="0"/>
    <w:rPr>
      <w:rFonts w:asciiTheme="majorHAnsi" w:hAnsiTheme="majorHAnsi" w:eastAsiaTheme="majorEastAsia" w:cstheme="majorBidi"/>
      <w:b/>
      <w:bCs/>
      <w:sz w:val="32"/>
      <w:szCs w:val="32"/>
    </w:rPr>
  </w:style>
  <w:style w:type="character" w:customStyle="1" w:styleId="37">
    <w:name w:val="批注主题 字符"/>
    <w:basedOn w:val="31"/>
    <w:link w:val="17"/>
    <w:semiHidden/>
    <w:qFormat/>
    <w:uiPriority w:val="0"/>
    <w:rPr>
      <w:rFonts w:ascii="Times New Roman" w:hAnsi="Times New Roman" w:eastAsia="宋体" w:cs="Times New Roman"/>
      <w:b/>
      <w:bCs/>
      <w:szCs w:val="20"/>
    </w:rPr>
  </w:style>
  <w:style w:type="character" w:customStyle="1" w:styleId="38">
    <w:name w:val="普通(网站) 字符"/>
    <w:link w:val="15"/>
    <w:qFormat/>
    <w:locked/>
    <w:uiPriority w:val="0"/>
    <w:rPr>
      <w:rFonts w:ascii="Times New Roman" w:hAnsi="Times New Roman" w:eastAsia="宋体" w:cs="Times New Roman"/>
      <w:kern w:val="0"/>
      <w:sz w:val="24"/>
      <w:szCs w:val="20"/>
    </w:rPr>
  </w:style>
  <w:style w:type="character" w:customStyle="1" w:styleId="39">
    <w:name w:val="段 Char"/>
    <w:link w:val="40"/>
    <w:qFormat/>
    <w:uiPriority w:val="0"/>
    <w:rPr>
      <w:rFonts w:ascii="宋体"/>
    </w:rPr>
  </w:style>
  <w:style w:type="paragraph" w:customStyle="1" w:styleId="40">
    <w:name w:val="段"/>
    <w:link w:val="39"/>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41">
    <w:name w:val="我的正文 Char"/>
    <w:link w:val="42"/>
    <w:qFormat/>
    <w:locked/>
    <w:uiPriority w:val="0"/>
    <w:rPr>
      <w:rFonts w:eastAsia="宋体"/>
      <w:color w:val="000000"/>
      <w:sz w:val="24"/>
    </w:rPr>
  </w:style>
  <w:style w:type="paragraph" w:customStyle="1" w:styleId="42">
    <w:name w:val="我的正文"/>
    <w:basedOn w:val="1"/>
    <w:link w:val="41"/>
    <w:qFormat/>
    <w:uiPriority w:val="0"/>
    <w:pPr>
      <w:spacing w:afterLines="100" w:line="360" w:lineRule="auto"/>
      <w:ind w:firstLine="420"/>
      <w:textAlignment w:val="baseline"/>
    </w:pPr>
    <w:rPr>
      <w:rFonts w:eastAsia="宋体"/>
      <w:color w:val="000000"/>
      <w:sz w:val="24"/>
    </w:rPr>
  </w:style>
  <w:style w:type="paragraph" w:customStyle="1" w:styleId="43">
    <w:name w:val="修订1"/>
    <w:unhideWhenUsed/>
    <w:qFormat/>
    <w:uiPriority w:val="99"/>
    <w:rPr>
      <w:rFonts w:ascii="Times New Roman" w:hAnsi="Times New Roman" w:eastAsia="宋体" w:cs="Times New Roman"/>
      <w:kern w:val="2"/>
      <w:sz w:val="21"/>
      <w:lang w:val="en-US" w:eastAsia="zh-CN" w:bidi="ar-SA"/>
    </w:rPr>
  </w:style>
  <w:style w:type="character" w:styleId="44">
    <w:name w:val="Placeholder Text"/>
    <w:unhideWhenUsed/>
    <w:qFormat/>
    <w:uiPriority w:val="99"/>
    <w:rPr>
      <w:color w:val="808080"/>
    </w:rPr>
  </w:style>
  <w:style w:type="paragraph" w:customStyle="1" w:styleId="45">
    <w:name w:val="样式 王奕，二级标题 + 首行缩进:  1 字符"/>
    <w:basedOn w:val="1"/>
    <w:qFormat/>
    <w:uiPriority w:val="0"/>
    <w:pPr>
      <w:widowControl/>
      <w:spacing w:line="360" w:lineRule="auto"/>
    </w:pPr>
    <w:rPr>
      <w:rFonts w:ascii="Times New Roman" w:hAnsi="Times New Roman" w:eastAsia="宋体" w:cs="宋体"/>
      <w:b/>
      <w:bCs/>
      <w:color w:val="000000"/>
      <w:kern w:val="0"/>
      <w:sz w:val="24"/>
      <w:szCs w:val="20"/>
    </w:rPr>
  </w:style>
  <w:style w:type="paragraph" w:styleId="46">
    <w:name w:val="List Paragraph"/>
    <w:basedOn w:val="1"/>
    <w:qFormat/>
    <w:uiPriority w:val="34"/>
    <w:pPr>
      <w:ind w:firstLine="420" w:firstLineChars="200"/>
    </w:pPr>
    <w:rPr>
      <w:rFonts w:ascii="Times New Roman" w:hAnsi="Times New Roman" w:eastAsia="宋体" w:cs="Times New Roman"/>
      <w:szCs w:val="20"/>
    </w:rPr>
  </w:style>
  <w:style w:type="paragraph" w:customStyle="1" w:styleId="47">
    <w:name w:val="一级条标题"/>
    <w:next w:val="40"/>
    <w:link w:val="54"/>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8">
    <w:name w:val="章标题"/>
    <w:next w:val="4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7"/>
    <w:next w:val="40"/>
    <w:link w:val="53"/>
    <w:qFormat/>
    <w:uiPriority w:val="0"/>
    <w:pPr>
      <w:spacing w:before="50" w:after="50"/>
      <w:outlineLvl w:val="3"/>
    </w:pPr>
  </w:style>
  <w:style w:type="paragraph" w:customStyle="1" w:styleId="50">
    <w:name w:val="三级条标题"/>
    <w:basedOn w:val="49"/>
    <w:next w:val="40"/>
    <w:qFormat/>
    <w:uiPriority w:val="0"/>
    <w:pPr>
      <w:numPr>
        <w:ilvl w:val="3"/>
      </w:numPr>
      <w:tabs>
        <w:tab w:val="left" w:pos="360"/>
      </w:tabs>
      <w:outlineLvl w:val="4"/>
    </w:pPr>
  </w:style>
  <w:style w:type="paragraph" w:customStyle="1" w:styleId="51">
    <w:name w:val="四级条标题"/>
    <w:basedOn w:val="50"/>
    <w:next w:val="40"/>
    <w:qFormat/>
    <w:uiPriority w:val="0"/>
    <w:pPr>
      <w:numPr>
        <w:ilvl w:val="4"/>
      </w:numPr>
      <w:outlineLvl w:val="5"/>
    </w:pPr>
  </w:style>
  <w:style w:type="paragraph" w:customStyle="1" w:styleId="52">
    <w:name w:val="五级条标题"/>
    <w:basedOn w:val="51"/>
    <w:next w:val="40"/>
    <w:qFormat/>
    <w:uiPriority w:val="0"/>
    <w:pPr>
      <w:numPr>
        <w:ilvl w:val="5"/>
      </w:numPr>
      <w:outlineLvl w:val="6"/>
    </w:pPr>
  </w:style>
  <w:style w:type="character" w:customStyle="1" w:styleId="53">
    <w:name w:val="二级条标题 Char"/>
    <w:basedOn w:val="20"/>
    <w:link w:val="49"/>
    <w:qFormat/>
    <w:uiPriority w:val="0"/>
    <w:rPr>
      <w:rFonts w:ascii="黑体" w:hAnsi="Times New Roman" w:eastAsia="黑体" w:cs="Times New Roman"/>
      <w:kern w:val="0"/>
      <w:szCs w:val="21"/>
    </w:rPr>
  </w:style>
  <w:style w:type="character" w:customStyle="1" w:styleId="54">
    <w:name w:val="一级条标题 Char"/>
    <w:link w:val="47"/>
    <w:qFormat/>
    <w:uiPriority w:val="0"/>
    <w:rPr>
      <w:rFonts w:ascii="黑体" w:hAnsi="Times New Roman" w:eastAsia="黑体" w:cs="Times New Roman"/>
      <w:kern w:val="0"/>
      <w:szCs w:val="21"/>
    </w:rPr>
  </w:style>
  <w:style w:type="paragraph" w:customStyle="1" w:styleId="55">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56">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57">
    <w:name w:val="附录标识"/>
    <w:basedOn w:val="1"/>
    <w:next w:val="40"/>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58">
    <w:name w:val="附录二级条标题"/>
    <w:basedOn w:val="1"/>
    <w:next w:val="40"/>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59">
    <w:name w:val="附录三级条标题"/>
    <w:basedOn w:val="58"/>
    <w:next w:val="40"/>
    <w:qFormat/>
    <w:uiPriority w:val="0"/>
    <w:pPr>
      <w:numPr>
        <w:ilvl w:val="4"/>
      </w:numPr>
      <w:outlineLvl w:val="4"/>
    </w:pPr>
  </w:style>
  <w:style w:type="paragraph" w:customStyle="1" w:styleId="60">
    <w:name w:val="附录四级条标题"/>
    <w:basedOn w:val="59"/>
    <w:next w:val="40"/>
    <w:qFormat/>
    <w:uiPriority w:val="0"/>
    <w:pPr>
      <w:numPr>
        <w:ilvl w:val="5"/>
      </w:numPr>
      <w:outlineLvl w:val="5"/>
    </w:pPr>
  </w:style>
  <w:style w:type="paragraph" w:customStyle="1" w:styleId="61">
    <w:name w:val="附录五级条标题"/>
    <w:basedOn w:val="60"/>
    <w:next w:val="40"/>
    <w:qFormat/>
    <w:uiPriority w:val="0"/>
    <w:pPr>
      <w:numPr>
        <w:ilvl w:val="6"/>
      </w:numPr>
      <w:outlineLvl w:val="6"/>
    </w:pPr>
  </w:style>
  <w:style w:type="paragraph" w:customStyle="1" w:styleId="62">
    <w:name w:val="附录章标题"/>
    <w:next w:val="40"/>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一级条标题"/>
    <w:basedOn w:val="62"/>
    <w:next w:val="40"/>
    <w:qFormat/>
    <w:uiPriority w:val="0"/>
    <w:pPr>
      <w:numPr>
        <w:ilvl w:val="2"/>
      </w:numPr>
      <w:autoSpaceDN w:val="0"/>
      <w:spacing w:beforeLines="50" w:afterLines="50"/>
      <w:outlineLvl w:val="2"/>
    </w:pPr>
  </w:style>
  <w:style w:type="paragraph" w:customStyle="1" w:styleId="64">
    <w:name w:val="列项——（一级）"/>
    <w:qFormat/>
    <w:uiPriority w:val="0"/>
    <w:pPr>
      <w:widowControl w:val="0"/>
      <w:jc w:val="both"/>
    </w:pPr>
    <w:rPr>
      <w:rFonts w:ascii="宋体" w:hAnsi="Times New Roman" w:eastAsia="宋体" w:cs="Times New Roman"/>
      <w:sz w:val="21"/>
      <w:lang w:val="en-US" w:eastAsia="zh-CN" w:bidi="ar-SA"/>
    </w:rPr>
  </w:style>
  <w:style w:type="paragraph" w:customStyle="1" w:styleId="65">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66">
    <w:name w:val="TOC 标题1"/>
    <w:basedOn w:val="2"/>
    <w:next w:val="1"/>
    <w:unhideWhenUsed/>
    <w:qFormat/>
    <w:uiPriority w:val="39"/>
    <w:pPr>
      <w:keepLines/>
      <w:widowControl/>
      <w:spacing w:before="240" w:line="259" w:lineRule="auto"/>
      <w:ind w:left="0"/>
      <w:jc w:val="left"/>
      <w:outlineLvl w:val="9"/>
    </w:pPr>
    <w:rPr>
      <w:rFonts w:asciiTheme="majorHAnsi" w:hAnsiTheme="majorHAnsi" w:eastAsiaTheme="majorEastAsia" w:cstheme="majorBidi"/>
      <w:color w:val="376092" w:themeColor="accent1" w:themeShade="BF"/>
      <w:kern w:val="0"/>
      <w:sz w:val="32"/>
      <w:szCs w:val="32"/>
    </w:rPr>
  </w:style>
  <w:style w:type="character" w:customStyle="1" w:styleId="67">
    <w:name w:val="段 Char Char"/>
    <w:qFormat/>
    <w:uiPriority w:val="0"/>
    <w:rPr>
      <w:rFonts w:ascii="宋体"/>
      <w:sz w:val="21"/>
      <w:lang w:val="en-US" w:eastAsia="zh-CN" w:bidi="ar-SA"/>
    </w:rPr>
  </w:style>
  <w:style w:type="paragraph" w:customStyle="1" w:styleId="68">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69">
    <w:name w:val="Char Char Char Char"/>
    <w:basedOn w:val="1"/>
    <w:next w:val="1"/>
    <w:qFormat/>
    <w:uiPriority w:val="0"/>
    <w:pPr>
      <w:spacing w:line="360" w:lineRule="auto"/>
      <w:jc w:val="left"/>
    </w:pPr>
    <w:rPr>
      <w:rFonts w:ascii="Times New Roman" w:hAnsi="Times New Roman" w:eastAsia="宋体" w:cs="Times New Roman"/>
      <w:sz w:val="28"/>
      <w:szCs w:val="24"/>
    </w:rPr>
  </w:style>
  <w:style w:type="character" w:customStyle="1" w:styleId="70">
    <w:name w:val="bm_details_overlay"/>
    <w:basedOn w:val="20"/>
    <w:qFormat/>
    <w:uiPriority w:val="0"/>
  </w:style>
  <w:style w:type="paragraph" w:customStyle="1" w:styleId="71">
    <w:name w:val="标准文件_二级条标题"/>
    <w:basedOn w:val="1"/>
    <w:next w:val="1"/>
    <w:qFormat/>
    <w:uiPriority w:val="0"/>
    <w:pPr>
      <w:widowControl/>
      <w:ind w:right="-50" w:rightChars="-50"/>
      <w:outlineLvl w:val="3"/>
    </w:pPr>
    <w:rPr>
      <w:rFonts w:ascii="黑体" w:hAnsi="Times New Roman" w:eastAsia="黑体" w:cs="Times New Roman"/>
      <w:spacing w:val="2"/>
      <w:kern w:val="0"/>
      <w:szCs w:val="20"/>
    </w:rPr>
  </w:style>
  <w:style w:type="paragraph" w:customStyle="1" w:styleId="72">
    <w:name w:val="Body text|5"/>
    <w:basedOn w:val="1"/>
    <w:qFormat/>
    <w:uiPriority w:val="0"/>
    <w:pPr>
      <w:spacing w:line="641" w:lineRule="exact"/>
    </w:pPr>
    <w:rPr>
      <w:sz w:val="32"/>
      <w:szCs w:val="32"/>
    </w:rPr>
  </w:style>
  <w:style w:type="paragraph" w:customStyle="1" w:styleId="73">
    <w:name w:val="Body text|2"/>
    <w:basedOn w:val="1"/>
    <w:qFormat/>
    <w:uiPriority w:val="0"/>
    <w:pPr>
      <w:spacing w:after="300"/>
      <w:jc w:val="center"/>
    </w:pPr>
    <w:rPr>
      <w:rFonts w:ascii="宋体" w:hAnsi="宋体" w:eastAsia="宋体" w:cs="宋体"/>
      <w:sz w:val="34"/>
      <w:szCs w:val="34"/>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5" Type="http://schemas.openxmlformats.org/officeDocument/2006/relationships/fontTable" Target="fontTable.xml"/><Relationship Id="rId44" Type="http://schemas.openxmlformats.org/officeDocument/2006/relationships/customXml" Target="../customXml/item1.xml"/><Relationship Id="rId43" Type="http://schemas.openxmlformats.org/officeDocument/2006/relationships/numbering" Target="numbering.xml"/><Relationship Id="rId42" Type="http://schemas.openxmlformats.org/officeDocument/2006/relationships/image" Target="media/image18.wmf"/><Relationship Id="rId41" Type="http://schemas.openxmlformats.org/officeDocument/2006/relationships/oleObject" Target="embeddings/oleObject20.bin"/><Relationship Id="rId40" Type="http://schemas.openxmlformats.org/officeDocument/2006/relationships/image" Target="media/image17.wmf"/><Relationship Id="rId4" Type="http://schemas.openxmlformats.org/officeDocument/2006/relationships/theme" Target="theme/theme1.xml"/><Relationship Id="rId39" Type="http://schemas.openxmlformats.org/officeDocument/2006/relationships/oleObject" Target="embeddings/oleObject19.bin"/><Relationship Id="rId38" Type="http://schemas.openxmlformats.org/officeDocument/2006/relationships/image" Target="media/image16.wmf"/><Relationship Id="rId37" Type="http://schemas.openxmlformats.org/officeDocument/2006/relationships/oleObject" Target="embeddings/oleObject18.bin"/><Relationship Id="rId36" Type="http://schemas.openxmlformats.org/officeDocument/2006/relationships/image" Target="media/image15.wmf"/><Relationship Id="rId35" Type="http://schemas.openxmlformats.org/officeDocument/2006/relationships/oleObject" Target="embeddings/oleObject17.bin"/><Relationship Id="rId34" Type="http://schemas.openxmlformats.org/officeDocument/2006/relationships/image" Target="media/image14.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3.wmf"/><Relationship Id="rId30" Type="http://schemas.openxmlformats.org/officeDocument/2006/relationships/oleObject" Target="embeddings/oleObject14.bin"/><Relationship Id="rId3" Type="http://schemas.openxmlformats.org/officeDocument/2006/relationships/footer" Target="footer1.xml"/><Relationship Id="rId29" Type="http://schemas.openxmlformats.org/officeDocument/2006/relationships/image" Target="media/image12.wmf"/><Relationship Id="rId28" Type="http://schemas.openxmlformats.org/officeDocument/2006/relationships/oleObject" Target="embeddings/oleObject13.bin"/><Relationship Id="rId27" Type="http://schemas.openxmlformats.org/officeDocument/2006/relationships/image" Target="media/image11.wmf"/><Relationship Id="rId26" Type="http://schemas.openxmlformats.org/officeDocument/2006/relationships/oleObject" Target="embeddings/oleObject12.bin"/><Relationship Id="rId25" Type="http://schemas.openxmlformats.org/officeDocument/2006/relationships/image" Target="media/image10.wmf"/><Relationship Id="rId24" Type="http://schemas.openxmlformats.org/officeDocument/2006/relationships/oleObject" Target="embeddings/oleObject11.bin"/><Relationship Id="rId23" Type="http://schemas.openxmlformats.org/officeDocument/2006/relationships/image" Target="media/image9.wmf"/><Relationship Id="rId22" Type="http://schemas.openxmlformats.org/officeDocument/2006/relationships/oleObject" Target="embeddings/oleObject10.bin"/><Relationship Id="rId21" Type="http://schemas.openxmlformats.org/officeDocument/2006/relationships/image" Target="media/image8.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85C3E-BBF9-496B-8486-8CEBC32FC05A}">
  <ds:schemaRefs/>
</ds:datastoreItem>
</file>

<file path=docProps/app.xml><?xml version="1.0" encoding="utf-8"?>
<Properties xmlns="http://schemas.openxmlformats.org/officeDocument/2006/extended-properties" xmlns:vt="http://schemas.openxmlformats.org/officeDocument/2006/docPropsVTypes">
  <Template>Normal</Template>
  <Pages>5</Pages>
  <Words>1565</Words>
  <Characters>1884</Characters>
  <Lines>733</Lines>
  <Paragraphs>712</Paragraphs>
  <TotalTime>2</TotalTime>
  <ScaleCrop>false</ScaleCrop>
  <LinksUpToDate>false</LinksUpToDate>
  <CharactersWithSpaces>2330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2026-04-18T01:46:00Z</dcterms:created>
  <dc:creator>zhuhao</dc:creator>
  <cp:lastModifiedBy>rice</cp:lastModifiedBy>
  <cp:lastPrinted>2024-01-04T05:23:00Z</cp:lastPrinted>
  <dcterms:modified xsi:type="dcterms:W3CDTF">2026-04-21T14:11:52Z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AF13A4D5254245CDBDBC81C66AF4A452_13</vt:lpwstr>
  </property>
  <property fmtid="{D5CDD505-2E9C-101B-9397-08002B2CF9AE}" pid="4" name="KSOTemplateDocerSaveRecord">
    <vt:lpwstr>eyJoZGlkIjoiYzdiMzNlNWViY2FhYTI1NDQ5M2M0MDhjOThmZWVmNzMiLCJ1c2VySWQiOiIxMTY4NjEwOTE1In0=</vt:lpwstr>
  </property>
</Properties>
</file>