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A0043">
      <w:pPr>
        <w:spacing w:line="360" w:lineRule="auto"/>
        <w:ind w:left="-342"/>
        <w:jc w:val="center"/>
        <w:rPr>
          <w:rFonts w:ascii="宋体" w:hAnsi="宋体"/>
          <w:b/>
          <w:bCs/>
          <w:sz w:val="48"/>
        </w:rPr>
      </w:pPr>
    </w:p>
    <w:p w14:paraId="43970184">
      <w:pPr>
        <w:spacing w:line="360" w:lineRule="auto"/>
        <w:ind w:left="-342"/>
        <w:jc w:val="center"/>
        <w:rPr>
          <w:rFonts w:ascii="宋体" w:hAnsi="宋体"/>
          <w:b/>
          <w:bCs/>
          <w:sz w:val="48"/>
        </w:rPr>
      </w:pPr>
    </w:p>
    <w:p w14:paraId="0077EC81">
      <w:pPr>
        <w:spacing w:line="360" w:lineRule="auto"/>
        <w:ind w:left="-342"/>
        <w:jc w:val="center"/>
        <w:rPr>
          <w:rFonts w:ascii="宋体" w:hAnsi="宋体"/>
          <w:b/>
          <w:bCs/>
          <w:sz w:val="48"/>
        </w:rPr>
      </w:pPr>
    </w:p>
    <w:p w14:paraId="11489512">
      <w:pPr>
        <w:spacing w:line="360" w:lineRule="auto"/>
        <w:ind w:left="-342"/>
        <w:jc w:val="center"/>
        <w:rPr>
          <w:rFonts w:ascii="宋体" w:hAnsi="宋体"/>
          <w:b/>
          <w:bCs/>
          <w:sz w:val="48"/>
        </w:rPr>
      </w:pPr>
    </w:p>
    <w:p w14:paraId="20943FC0">
      <w:pPr>
        <w:spacing w:line="360" w:lineRule="auto"/>
        <w:ind w:left="-342"/>
        <w:jc w:val="center"/>
        <w:rPr>
          <w:rFonts w:hint="eastAsia" w:ascii="宋体" w:hAnsi="宋体" w:eastAsia="宋体"/>
          <w:b/>
          <w:bCs/>
          <w:sz w:val="48"/>
          <w:lang w:val="en-US" w:eastAsia="zh-CN"/>
        </w:rPr>
      </w:pPr>
      <w:r>
        <w:rPr>
          <w:rFonts w:hint="eastAsia" w:ascii="宋体" w:hAnsi="宋体"/>
          <w:b/>
          <w:bCs/>
          <w:sz w:val="48"/>
        </w:rPr>
        <w:t>车载（液压升降）秤</w:t>
      </w:r>
      <w:r>
        <w:rPr>
          <w:rFonts w:hint="eastAsia" w:ascii="宋体" w:hAnsi="宋体"/>
          <w:b/>
          <w:bCs/>
          <w:sz w:val="48"/>
          <w:lang w:eastAsia="zh-CN"/>
        </w:rPr>
        <w:t>校准规范</w:t>
      </w:r>
    </w:p>
    <w:p w14:paraId="596A347A">
      <w:pPr>
        <w:spacing w:line="360" w:lineRule="auto"/>
        <w:ind w:left="-342"/>
        <w:jc w:val="center"/>
        <w:rPr>
          <w:rFonts w:ascii="宋体" w:hAnsi="宋体"/>
          <w:b/>
          <w:bCs/>
          <w:sz w:val="48"/>
        </w:rPr>
      </w:pPr>
    </w:p>
    <w:p w14:paraId="5D184679">
      <w:pPr>
        <w:spacing w:line="360" w:lineRule="auto"/>
        <w:ind w:left="-342"/>
        <w:jc w:val="center"/>
        <w:rPr>
          <w:rFonts w:ascii="宋体" w:hAnsi="宋体"/>
          <w:b/>
          <w:bCs/>
          <w:sz w:val="48"/>
        </w:rPr>
      </w:pPr>
      <w:r>
        <w:rPr>
          <w:rFonts w:hint="eastAsia" w:ascii="宋体" w:hAnsi="宋体"/>
          <w:b/>
          <w:bCs/>
          <w:sz w:val="48"/>
        </w:rPr>
        <w:t>编 制 说 明</w:t>
      </w:r>
    </w:p>
    <w:p w14:paraId="75A030B3">
      <w:pPr>
        <w:spacing w:line="360" w:lineRule="auto"/>
        <w:ind w:left="-342"/>
        <w:jc w:val="center"/>
        <w:rPr>
          <w:rFonts w:ascii="宋体" w:hAnsi="宋体"/>
          <w:b/>
          <w:bCs/>
          <w:sz w:val="44"/>
        </w:rPr>
      </w:pPr>
    </w:p>
    <w:p w14:paraId="7A528A2A">
      <w:pPr>
        <w:spacing w:line="360" w:lineRule="auto"/>
        <w:ind w:left="-342"/>
        <w:jc w:val="center"/>
        <w:rPr>
          <w:rFonts w:ascii="宋体" w:hAnsi="宋体"/>
          <w:b/>
          <w:bCs/>
          <w:sz w:val="44"/>
        </w:rPr>
      </w:pPr>
    </w:p>
    <w:p w14:paraId="04F9E37F">
      <w:pPr>
        <w:spacing w:line="360" w:lineRule="auto"/>
        <w:ind w:left="-342"/>
        <w:jc w:val="center"/>
        <w:rPr>
          <w:rFonts w:ascii="宋体" w:hAnsi="宋体"/>
          <w:b/>
          <w:bCs/>
          <w:sz w:val="44"/>
        </w:rPr>
      </w:pPr>
    </w:p>
    <w:p w14:paraId="438562C0">
      <w:pPr>
        <w:spacing w:line="360" w:lineRule="auto"/>
        <w:ind w:left="-342"/>
        <w:jc w:val="center"/>
        <w:rPr>
          <w:rFonts w:ascii="宋体" w:hAnsi="宋体"/>
          <w:b/>
          <w:bCs/>
          <w:sz w:val="44"/>
        </w:rPr>
      </w:pPr>
    </w:p>
    <w:p w14:paraId="4C43EFDF">
      <w:pPr>
        <w:spacing w:line="360" w:lineRule="auto"/>
        <w:ind w:left="-342"/>
        <w:jc w:val="center"/>
        <w:rPr>
          <w:rFonts w:ascii="宋体" w:hAnsi="宋体"/>
          <w:b/>
          <w:bCs/>
          <w:sz w:val="44"/>
        </w:rPr>
      </w:pPr>
    </w:p>
    <w:p w14:paraId="655E3CD3">
      <w:pPr>
        <w:spacing w:line="360" w:lineRule="auto"/>
        <w:ind w:left="-342"/>
        <w:jc w:val="center"/>
        <w:rPr>
          <w:rFonts w:ascii="宋体" w:hAnsi="宋体"/>
          <w:b/>
          <w:bCs/>
          <w:sz w:val="44"/>
        </w:rPr>
      </w:pPr>
    </w:p>
    <w:p w14:paraId="2B59765D">
      <w:pPr>
        <w:spacing w:line="360" w:lineRule="auto"/>
        <w:ind w:left="-342"/>
        <w:jc w:val="center"/>
        <w:rPr>
          <w:rFonts w:ascii="宋体" w:hAnsi="宋体"/>
          <w:b/>
          <w:bCs/>
          <w:sz w:val="44"/>
        </w:rPr>
      </w:pPr>
    </w:p>
    <w:p w14:paraId="59DF3868">
      <w:pPr>
        <w:spacing w:line="360" w:lineRule="auto"/>
        <w:ind w:left="-342"/>
        <w:jc w:val="center"/>
        <w:rPr>
          <w:rFonts w:ascii="宋体" w:hAnsi="宋体"/>
          <w:sz w:val="32"/>
        </w:rPr>
      </w:pPr>
    </w:p>
    <w:p w14:paraId="3D5E3C5E">
      <w:pPr>
        <w:spacing w:line="360" w:lineRule="auto"/>
        <w:ind w:left="-342"/>
        <w:rPr>
          <w:rFonts w:ascii="宋体" w:hAnsi="宋体"/>
          <w:sz w:val="32"/>
        </w:rPr>
      </w:pPr>
    </w:p>
    <w:p w14:paraId="427596F3">
      <w:pPr>
        <w:spacing w:line="360" w:lineRule="auto"/>
        <w:ind w:left="-342"/>
        <w:jc w:val="center"/>
        <w:rPr>
          <w:rFonts w:ascii="宋体" w:hAnsi="宋体"/>
          <w:b/>
          <w:bCs/>
          <w:sz w:val="32"/>
        </w:rPr>
      </w:pPr>
      <w:r>
        <w:rPr>
          <w:rFonts w:hint="eastAsia" w:ascii="宋体" w:hAnsi="宋体"/>
          <w:b/>
          <w:bCs/>
          <w:sz w:val="32"/>
          <w:lang w:eastAsia="zh-CN"/>
        </w:rPr>
        <w:t>《</w:t>
      </w:r>
      <w:r>
        <w:rPr>
          <w:rFonts w:hint="eastAsia" w:ascii="宋体" w:hAnsi="宋体"/>
          <w:b/>
          <w:bCs/>
          <w:sz w:val="32"/>
        </w:rPr>
        <w:t>车载（液压升降）秤</w:t>
      </w:r>
      <w:r>
        <w:rPr>
          <w:rFonts w:hint="eastAsia" w:ascii="宋体" w:hAnsi="宋体"/>
          <w:b/>
          <w:bCs/>
          <w:sz w:val="32"/>
          <w:lang w:eastAsia="zh-CN"/>
        </w:rPr>
        <w:t>校准规范》</w:t>
      </w:r>
      <w:r>
        <w:rPr>
          <w:rFonts w:hint="eastAsia" w:ascii="宋体" w:hAnsi="宋体"/>
          <w:b/>
          <w:bCs/>
          <w:sz w:val="32"/>
        </w:rPr>
        <w:t>起草小组</w:t>
      </w:r>
    </w:p>
    <w:p w14:paraId="6A22DF76">
      <w:pPr>
        <w:spacing w:line="360" w:lineRule="auto"/>
        <w:ind w:left="-342"/>
        <w:jc w:val="center"/>
        <w:rPr>
          <w:rFonts w:ascii="宋体" w:hAnsi="宋体"/>
          <w:b/>
          <w:bCs/>
          <w:sz w:val="32"/>
        </w:rPr>
      </w:pPr>
      <w:r>
        <w:rPr>
          <w:rFonts w:hint="eastAsia" w:ascii="宋体" w:hAnsi="宋体"/>
          <w:b/>
          <w:bCs/>
          <w:sz w:val="32"/>
        </w:rPr>
        <w:t>2</w:t>
      </w:r>
      <w:r>
        <w:rPr>
          <w:rFonts w:ascii="宋体" w:hAnsi="宋体"/>
          <w:b/>
          <w:bCs/>
          <w:sz w:val="32"/>
        </w:rPr>
        <w:t>02</w:t>
      </w:r>
      <w:r>
        <w:rPr>
          <w:rFonts w:hint="eastAsia" w:ascii="宋体" w:hAnsi="宋体"/>
          <w:b/>
          <w:bCs/>
          <w:sz w:val="32"/>
          <w:lang w:val="en-US" w:eastAsia="zh-CN"/>
        </w:rPr>
        <w:t>6</w:t>
      </w:r>
      <w:r>
        <w:rPr>
          <w:rFonts w:hint="eastAsia" w:ascii="宋体" w:hAnsi="宋体"/>
          <w:b/>
          <w:bCs/>
          <w:sz w:val="32"/>
        </w:rPr>
        <w:t>年</w:t>
      </w:r>
      <w:r>
        <w:rPr>
          <w:rFonts w:hint="eastAsia" w:ascii="宋体" w:hAnsi="宋体"/>
          <w:b/>
          <w:bCs/>
          <w:sz w:val="32"/>
          <w:lang w:val="en-US" w:eastAsia="zh-CN"/>
        </w:rPr>
        <w:t>4</w:t>
      </w:r>
      <w:r>
        <w:rPr>
          <w:rFonts w:hint="eastAsia" w:ascii="宋体" w:hAnsi="宋体"/>
          <w:b/>
          <w:bCs/>
          <w:sz w:val="32"/>
        </w:rPr>
        <w:t>月</w:t>
      </w:r>
    </w:p>
    <w:p w14:paraId="72A5E528">
      <w:pPr>
        <w:spacing w:line="360" w:lineRule="auto"/>
        <w:ind w:left="-342"/>
        <w:rPr>
          <w:sz w:val="32"/>
        </w:rPr>
      </w:pPr>
    </w:p>
    <w:p w14:paraId="3EF01A31">
      <w:pPr>
        <w:jc w:val="center"/>
        <w:rPr>
          <w:b/>
          <w:sz w:val="32"/>
          <w:szCs w:val="32"/>
        </w:rPr>
      </w:pPr>
      <w:r>
        <w:rPr>
          <w:sz w:val="28"/>
          <w:szCs w:val="28"/>
        </w:rPr>
        <w:br w:type="page"/>
      </w:r>
    </w:p>
    <w:p w14:paraId="45C1178C">
      <w:pPr>
        <w:spacing w:line="360" w:lineRule="auto"/>
        <w:ind w:left="-342"/>
        <w:jc w:val="center"/>
        <w:rPr>
          <w:rFonts w:ascii="宋体" w:hAnsi="宋体"/>
          <w:b/>
          <w:bCs/>
          <w:sz w:val="32"/>
          <w:szCs w:val="32"/>
        </w:rPr>
      </w:pPr>
      <w:r>
        <w:rPr>
          <w:rFonts w:hint="eastAsia" w:ascii="宋体" w:hAnsi="宋体"/>
          <w:b/>
          <w:bCs/>
          <w:sz w:val="32"/>
          <w:szCs w:val="32"/>
          <w:lang w:eastAsia="zh-CN"/>
        </w:rPr>
        <w:t>《</w:t>
      </w:r>
      <w:r>
        <w:rPr>
          <w:rFonts w:hint="eastAsia" w:ascii="宋体" w:hAnsi="宋体"/>
          <w:b/>
          <w:bCs/>
          <w:sz w:val="32"/>
          <w:szCs w:val="32"/>
        </w:rPr>
        <w:t>车载（液压升降）秤</w:t>
      </w:r>
      <w:r>
        <w:rPr>
          <w:rFonts w:hint="eastAsia" w:ascii="宋体" w:hAnsi="宋体"/>
          <w:b/>
          <w:bCs/>
          <w:sz w:val="32"/>
          <w:szCs w:val="32"/>
          <w:lang w:eastAsia="zh-CN"/>
        </w:rPr>
        <w:t>校准规范》</w:t>
      </w:r>
      <w:r>
        <w:rPr>
          <w:rFonts w:hint="eastAsia" w:ascii="宋体" w:hAnsi="宋体"/>
          <w:b/>
          <w:bCs/>
          <w:sz w:val="32"/>
          <w:szCs w:val="32"/>
        </w:rPr>
        <w:t>编制说明</w:t>
      </w:r>
    </w:p>
    <w:p w14:paraId="0CD5CEBD">
      <w:pPr>
        <w:rPr>
          <w:rFonts w:hint="eastAsia" w:ascii="宋体" w:hAnsi="宋体"/>
          <w:sz w:val="24"/>
          <w:szCs w:val="24"/>
        </w:rPr>
      </w:pPr>
    </w:p>
    <w:p w14:paraId="1342F452">
      <w:pPr>
        <w:rPr>
          <w:rFonts w:ascii="宋体" w:hAnsi="宋体"/>
          <w:sz w:val="24"/>
          <w:szCs w:val="24"/>
        </w:rPr>
      </w:pPr>
      <w:r>
        <w:rPr>
          <w:rFonts w:hint="eastAsia" w:ascii="宋体" w:hAnsi="宋体"/>
          <w:sz w:val="24"/>
          <w:szCs w:val="24"/>
        </w:rPr>
        <w:t>一、任务来源</w:t>
      </w:r>
    </w:p>
    <w:p w14:paraId="6AA77A22">
      <w:pPr>
        <w:pStyle w:val="6"/>
        <w:ind w:firstLine="480"/>
        <w:jc w:val="both"/>
        <w:rPr>
          <w:rFonts w:hint="eastAsia"/>
          <w:sz w:val="24"/>
          <w:szCs w:val="24"/>
        </w:rPr>
      </w:pPr>
      <w:r>
        <w:rPr>
          <w:rFonts w:hint="eastAsia"/>
          <w:sz w:val="24"/>
          <w:szCs w:val="24"/>
        </w:rPr>
        <w:t>根据国家市场监督管理总局办公厅</w:t>
      </w:r>
      <w:r>
        <w:rPr>
          <w:rFonts w:hint="eastAsia"/>
          <w:sz w:val="24"/>
          <w:szCs w:val="24"/>
          <w:lang w:eastAsia="zh-CN"/>
        </w:rPr>
        <w:t>《</w:t>
      </w:r>
      <w:r>
        <w:rPr>
          <w:rFonts w:hint="eastAsia"/>
          <w:sz w:val="24"/>
          <w:szCs w:val="24"/>
        </w:rPr>
        <w:t>关于印发2024年国家计量技术规范制定、修订及宣贯计划的通知</w:t>
      </w:r>
      <w:r>
        <w:rPr>
          <w:rFonts w:hint="eastAsia"/>
          <w:sz w:val="24"/>
          <w:szCs w:val="24"/>
          <w:lang w:eastAsia="zh-CN"/>
        </w:rPr>
        <w:t>》（</w:t>
      </w:r>
      <w:r>
        <w:rPr>
          <w:sz w:val="24"/>
          <w:szCs w:val="24"/>
        </w:rPr>
        <w:t>市监计量发〔202</w:t>
      </w:r>
      <w:r>
        <w:rPr>
          <w:rFonts w:hint="eastAsia"/>
          <w:sz w:val="24"/>
          <w:szCs w:val="24"/>
        </w:rPr>
        <w:t>4</w:t>
      </w:r>
      <w:r>
        <w:rPr>
          <w:sz w:val="24"/>
          <w:szCs w:val="24"/>
        </w:rPr>
        <w:t>〕</w:t>
      </w:r>
      <w:r>
        <w:rPr>
          <w:rFonts w:hint="eastAsia"/>
          <w:sz w:val="24"/>
          <w:szCs w:val="24"/>
        </w:rPr>
        <w:t>40</w:t>
      </w:r>
      <w:r>
        <w:rPr>
          <w:sz w:val="24"/>
          <w:szCs w:val="24"/>
        </w:rPr>
        <w:t xml:space="preserve"> 号</w:t>
      </w:r>
      <w:r>
        <w:rPr>
          <w:rFonts w:hint="eastAsia"/>
          <w:sz w:val="24"/>
          <w:szCs w:val="24"/>
          <w:lang w:eastAsia="zh-CN"/>
        </w:rPr>
        <w:t>），由</w:t>
      </w:r>
      <w:r>
        <w:rPr>
          <w:rFonts w:hint="eastAsia"/>
          <w:sz w:val="24"/>
          <w:szCs w:val="24"/>
        </w:rPr>
        <w:t>山西省检验检测中心（山西省标准计量技术研究院）</w:t>
      </w:r>
      <w:r>
        <w:rPr>
          <w:rFonts w:hint="eastAsia"/>
          <w:sz w:val="24"/>
          <w:szCs w:val="24"/>
          <w:lang w:eastAsia="zh-CN"/>
        </w:rPr>
        <w:t>、江苏省计量科学研究院（江苏省能源计量数据中心）、浙江省计量科学研究院、山西恒准计量检测有限公司作为主要起草单位，湖南省计量检测研究院、河南省计量测试科学研究院和山西恒信基智能科技集团有限公司作为参与起草单位共同承担</w:t>
      </w:r>
      <w:r>
        <w:rPr>
          <w:rFonts w:hint="eastAsia"/>
          <w:sz w:val="24"/>
          <w:szCs w:val="24"/>
        </w:rPr>
        <w:t>《车载（液压升降）秤校准规范》的</w:t>
      </w:r>
      <w:r>
        <w:rPr>
          <w:rFonts w:hint="eastAsia"/>
          <w:sz w:val="24"/>
          <w:szCs w:val="24"/>
          <w:lang w:eastAsia="zh-CN"/>
        </w:rPr>
        <w:t>制定</w:t>
      </w:r>
      <w:r>
        <w:rPr>
          <w:rFonts w:hint="eastAsia"/>
          <w:sz w:val="24"/>
          <w:szCs w:val="24"/>
        </w:rPr>
        <w:t>工作，</w:t>
      </w:r>
      <w:r>
        <w:rPr>
          <w:rFonts w:hint="eastAsia"/>
          <w:sz w:val="24"/>
          <w:szCs w:val="24"/>
          <w:lang w:eastAsia="zh-CN"/>
        </w:rPr>
        <w:t>归口单位为</w:t>
      </w:r>
      <w:r>
        <w:rPr>
          <w:rFonts w:hint="eastAsia"/>
          <w:sz w:val="24"/>
          <w:szCs w:val="24"/>
        </w:rPr>
        <w:t>全国衡器计量技术委员会。</w:t>
      </w:r>
    </w:p>
    <w:p w14:paraId="224F1E05">
      <w:pPr>
        <w:pStyle w:val="6"/>
        <w:ind w:firstLine="480"/>
        <w:jc w:val="both"/>
        <w:rPr>
          <w:rFonts w:hint="eastAsia" w:eastAsia="宋体"/>
          <w:sz w:val="24"/>
          <w:szCs w:val="24"/>
          <w:lang w:eastAsia="zh-CN"/>
        </w:rPr>
      </w:pPr>
      <w:r>
        <w:rPr>
          <w:rFonts w:hint="eastAsia"/>
          <w:sz w:val="24"/>
          <w:szCs w:val="24"/>
          <w:lang w:eastAsia="zh-CN"/>
        </w:rPr>
        <w:t>本规范是首次制定的国家计量校准规范。</w:t>
      </w:r>
    </w:p>
    <w:p w14:paraId="48C59D09">
      <w:pPr>
        <w:spacing w:line="360" w:lineRule="auto"/>
        <w:rPr>
          <w:rFonts w:ascii="宋体" w:hAnsi="宋体"/>
          <w:sz w:val="24"/>
          <w:szCs w:val="24"/>
        </w:rPr>
      </w:pPr>
      <w:r>
        <w:rPr>
          <w:rFonts w:hint="eastAsia" w:ascii="宋体" w:hAnsi="宋体"/>
          <w:sz w:val="24"/>
          <w:szCs w:val="24"/>
        </w:rPr>
        <w:t>二、规范制定的必要性</w:t>
      </w:r>
    </w:p>
    <w:p w14:paraId="725DA99F">
      <w:pPr>
        <w:spacing w:line="360" w:lineRule="auto"/>
        <w:ind w:firstLine="480" w:firstLineChars="200"/>
        <w:rPr>
          <w:rFonts w:ascii="宋体" w:hAnsi="宋体"/>
          <w:sz w:val="24"/>
          <w:szCs w:val="24"/>
        </w:rPr>
      </w:pPr>
      <w:r>
        <w:rPr>
          <w:rFonts w:hint="eastAsia" w:ascii="宋体" w:hAnsi="宋体"/>
          <w:sz w:val="24"/>
          <w:szCs w:val="24"/>
        </w:rPr>
        <w:t>车载（液压升降）秤广泛应用于短途运输、物流配送等领域，是非自动衡器的一种特殊型式，能高效的测量货物的实际质量。其结构主要由前轮、称重传感器、后轮、液压动力单元、称重显示器、液压升降缸和称重平台等组成。其原理是将被称货物置于承载器上，称重传感器产生的电信号通过数据处理装置转换并计算</w:t>
      </w:r>
      <w:r>
        <w:rPr>
          <w:rFonts w:ascii="宋体" w:hAnsi="宋体"/>
          <w:sz w:val="24"/>
          <w:szCs w:val="24"/>
        </w:rPr>
        <w:t>，</w:t>
      </w:r>
      <w:r>
        <w:rPr>
          <w:rFonts w:hint="eastAsia" w:ascii="宋体" w:hAnsi="宋体"/>
          <w:sz w:val="24"/>
          <w:szCs w:val="24"/>
        </w:rPr>
        <w:t>由称重指示装置显示出称重结果。也可以将检测结果通过网络传输，远程实时显示。</w:t>
      </w:r>
    </w:p>
    <w:p w14:paraId="150DBC40">
      <w:pPr>
        <w:spacing w:line="360" w:lineRule="auto"/>
        <w:ind w:firstLine="480" w:firstLineChars="200"/>
        <w:rPr>
          <w:rFonts w:ascii="宋体" w:hAnsi="宋体"/>
          <w:sz w:val="24"/>
          <w:szCs w:val="24"/>
        </w:rPr>
      </w:pPr>
      <w:r>
        <w:rPr>
          <w:rFonts w:hint="eastAsia" w:ascii="宋体" w:hAnsi="宋体"/>
          <w:sz w:val="24"/>
          <w:szCs w:val="24"/>
        </w:rPr>
        <w:t>国内目前没有适用于对车载（液压升降）秤进行校准的国家计量技术规范。部分技术机构参照数字指示秤的计量技术规范仅对实际质量进行校准，校准过程中存在方法不规范、标准不统一等问题，不能准确反映车载（液压升降）秤的计量性能，给车载（液压升降）秤的量值溯源造成困难。制定车载（液压升降）秤国家校准规范，统一校准方法、规范校准过程，能够更好满足使用单位溯源需求，有效保证计量量值的准确可靠，有较大的社会意义。</w:t>
      </w:r>
    </w:p>
    <w:p w14:paraId="70FECF19">
      <w:pPr>
        <w:spacing w:line="360" w:lineRule="auto"/>
        <w:rPr>
          <w:rFonts w:ascii="宋体" w:hAnsi="宋体"/>
          <w:sz w:val="24"/>
          <w:szCs w:val="24"/>
        </w:rPr>
      </w:pPr>
      <w:r>
        <w:rPr>
          <w:rFonts w:hint="eastAsia" w:ascii="宋体" w:hAnsi="宋体"/>
          <w:sz w:val="24"/>
          <w:szCs w:val="24"/>
        </w:rPr>
        <w:t>三、编制的依据、参考资料和原则</w:t>
      </w:r>
    </w:p>
    <w:p w14:paraId="5E326785">
      <w:pPr>
        <w:spacing w:line="360" w:lineRule="auto"/>
        <w:rPr>
          <w:rFonts w:ascii="宋体" w:hAnsi="宋体"/>
          <w:sz w:val="24"/>
          <w:szCs w:val="24"/>
        </w:rPr>
      </w:pPr>
      <w:r>
        <w:rPr>
          <w:rFonts w:hint="eastAsia" w:ascii="宋体" w:hAnsi="宋体"/>
          <w:sz w:val="24"/>
          <w:szCs w:val="24"/>
        </w:rPr>
        <w:t>1、编制的依据</w:t>
      </w:r>
    </w:p>
    <w:p w14:paraId="6F93189B">
      <w:pPr>
        <w:spacing w:line="360" w:lineRule="auto"/>
        <w:ind w:firstLine="480" w:firstLineChars="200"/>
        <w:rPr>
          <w:rFonts w:ascii="宋体" w:hAnsi="宋体"/>
          <w:sz w:val="24"/>
          <w:szCs w:val="24"/>
        </w:rPr>
      </w:pPr>
      <w:r>
        <w:rPr>
          <w:rFonts w:ascii="宋体" w:hAnsi="宋体"/>
          <w:sz w:val="24"/>
          <w:szCs w:val="24"/>
        </w:rPr>
        <w:t>JJF 1071《国家计量校准规范编写规则》</w:t>
      </w:r>
    </w:p>
    <w:p w14:paraId="5E63F794">
      <w:pPr>
        <w:spacing w:line="360" w:lineRule="auto"/>
        <w:ind w:firstLine="480" w:firstLineChars="200"/>
        <w:rPr>
          <w:rFonts w:ascii="宋体" w:hAnsi="宋体"/>
          <w:sz w:val="24"/>
          <w:szCs w:val="24"/>
        </w:rPr>
      </w:pPr>
      <w:r>
        <w:rPr>
          <w:rFonts w:hint="eastAsia" w:ascii="宋体" w:hAnsi="宋体"/>
          <w:sz w:val="24"/>
          <w:szCs w:val="24"/>
        </w:rPr>
        <w:t>JJG1059</w:t>
      </w:r>
      <w:r>
        <w:rPr>
          <w:rFonts w:ascii="宋体" w:hAnsi="宋体"/>
          <w:sz w:val="24"/>
          <w:szCs w:val="24"/>
        </w:rPr>
        <w:t>.1-2012</w:t>
      </w:r>
      <w:r>
        <w:rPr>
          <w:rFonts w:hint="eastAsia" w:ascii="宋体" w:hAnsi="宋体"/>
          <w:sz w:val="24"/>
          <w:szCs w:val="24"/>
        </w:rPr>
        <w:t>《测定不确定度评定与表示》</w:t>
      </w:r>
    </w:p>
    <w:p w14:paraId="3164308A">
      <w:pPr>
        <w:spacing w:line="360" w:lineRule="auto"/>
        <w:rPr>
          <w:rFonts w:ascii="宋体" w:hAnsi="宋体"/>
          <w:sz w:val="24"/>
          <w:szCs w:val="24"/>
        </w:rPr>
      </w:pPr>
      <w:r>
        <w:rPr>
          <w:rFonts w:hint="eastAsia" w:ascii="宋体" w:hAnsi="宋体"/>
          <w:sz w:val="24"/>
          <w:szCs w:val="24"/>
        </w:rPr>
        <w:t>2、参考资料</w:t>
      </w:r>
    </w:p>
    <w:p w14:paraId="3BC64561">
      <w:pPr>
        <w:pStyle w:val="14"/>
        <w:numPr>
          <w:ilvl w:val="0"/>
          <w:numId w:val="0"/>
        </w:numPr>
        <w:spacing w:line="360" w:lineRule="auto"/>
        <w:ind w:right="-105" w:firstLine="480" w:firstLineChars="200"/>
        <w:outlineLvl w:val="9"/>
        <w:rPr>
          <w:rFonts w:ascii="宋体" w:hAnsi="宋体" w:eastAsia="宋体"/>
          <w:spacing w:val="0"/>
          <w:kern w:val="2"/>
          <w:sz w:val="24"/>
          <w:szCs w:val="24"/>
        </w:rPr>
      </w:pPr>
      <w:r>
        <w:rPr>
          <w:rFonts w:ascii="宋体" w:hAnsi="宋体" w:eastAsia="宋体"/>
          <w:spacing w:val="0"/>
          <w:kern w:val="2"/>
          <w:sz w:val="24"/>
          <w:szCs w:val="24"/>
        </w:rPr>
        <w:t xml:space="preserve">JJG </w:t>
      </w:r>
      <w:r>
        <w:rPr>
          <w:rFonts w:hint="eastAsia" w:ascii="宋体" w:hAnsi="宋体" w:eastAsia="宋体"/>
          <w:spacing w:val="0"/>
          <w:kern w:val="2"/>
          <w:sz w:val="24"/>
          <w:szCs w:val="24"/>
        </w:rPr>
        <w:t>539数字</w:t>
      </w:r>
      <w:r>
        <w:rPr>
          <w:rFonts w:ascii="宋体" w:hAnsi="宋体" w:eastAsia="宋体"/>
          <w:spacing w:val="0"/>
          <w:kern w:val="2"/>
          <w:sz w:val="24"/>
          <w:szCs w:val="24"/>
        </w:rPr>
        <w:t>指示秤</w:t>
      </w:r>
    </w:p>
    <w:p w14:paraId="2296BA65">
      <w:pPr>
        <w:pStyle w:val="14"/>
        <w:numPr>
          <w:ilvl w:val="0"/>
          <w:numId w:val="0"/>
        </w:numPr>
        <w:spacing w:line="360" w:lineRule="auto"/>
        <w:ind w:right="-105" w:firstLine="480" w:firstLineChars="200"/>
        <w:outlineLvl w:val="9"/>
        <w:rPr>
          <w:rFonts w:ascii="宋体" w:hAnsi="宋体" w:eastAsia="宋体"/>
          <w:spacing w:val="0"/>
          <w:kern w:val="2"/>
          <w:sz w:val="24"/>
          <w:szCs w:val="24"/>
        </w:rPr>
      </w:pPr>
      <w:r>
        <w:rPr>
          <w:rFonts w:ascii="宋体" w:hAnsi="宋体" w:eastAsia="宋体"/>
          <w:spacing w:val="0"/>
          <w:kern w:val="2"/>
          <w:sz w:val="24"/>
          <w:szCs w:val="24"/>
        </w:rPr>
        <w:t>JJF 1</w:t>
      </w:r>
      <w:r>
        <w:rPr>
          <w:rFonts w:hint="eastAsia" w:ascii="宋体" w:hAnsi="宋体" w:eastAsia="宋体"/>
          <w:spacing w:val="0"/>
          <w:kern w:val="2"/>
          <w:sz w:val="24"/>
          <w:szCs w:val="24"/>
        </w:rPr>
        <w:t>181</w:t>
      </w:r>
      <w:r>
        <w:rPr>
          <w:rFonts w:ascii="宋体" w:hAnsi="宋体" w:eastAsia="宋体"/>
          <w:spacing w:val="0"/>
          <w:kern w:val="2"/>
          <w:sz w:val="24"/>
          <w:szCs w:val="24"/>
        </w:rPr>
        <w:t>衡器计量名词术语及定义</w:t>
      </w:r>
    </w:p>
    <w:p w14:paraId="4C405482">
      <w:pPr>
        <w:spacing w:line="300" w:lineRule="auto"/>
        <w:ind w:firstLine="480" w:firstLineChars="200"/>
        <w:jc w:val="left"/>
        <w:rPr>
          <w:sz w:val="24"/>
          <w:szCs w:val="24"/>
        </w:rPr>
      </w:pPr>
      <w:r>
        <w:rPr>
          <w:rFonts w:hint="eastAsia" w:ascii="宋体" w:hAnsi="宋体"/>
          <w:sz w:val="24"/>
          <w:szCs w:val="24"/>
        </w:rPr>
        <w:t>JJF 1834  非自动衡器</w:t>
      </w:r>
      <w:r>
        <w:rPr>
          <w:rFonts w:hint="eastAsia"/>
          <w:sz w:val="24"/>
          <w:szCs w:val="24"/>
        </w:rPr>
        <w:t>通用技术要求</w:t>
      </w:r>
    </w:p>
    <w:p w14:paraId="6FD9A705">
      <w:pPr>
        <w:spacing w:line="300" w:lineRule="auto"/>
        <w:jc w:val="left"/>
        <w:rPr>
          <w:rFonts w:ascii="宋体" w:hAnsi="宋体"/>
          <w:sz w:val="24"/>
          <w:szCs w:val="24"/>
        </w:rPr>
      </w:pPr>
      <w:r>
        <w:rPr>
          <w:rFonts w:hint="eastAsia" w:ascii="宋体" w:hAnsi="宋体"/>
          <w:sz w:val="24"/>
          <w:szCs w:val="24"/>
        </w:rPr>
        <w:t>3、编写原则</w:t>
      </w:r>
    </w:p>
    <w:p w14:paraId="4D8306A1">
      <w:pPr>
        <w:spacing w:line="360" w:lineRule="auto"/>
        <w:ind w:firstLine="480" w:firstLineChars="200"/>
        <w:rPr>
          <w:sz w:val="24"/>
          <w:szCs w:val="24"/>
        </w:rPr>
      </w:pPr>
      <w:r>
        <w:rPr>
          <w:rFonts w:hint="eastAsia" w:ascii="宋体" w:hAnsi="宋体"/>
          <w:sz w:val="24"/>
          <w:szCs w:val="24"/>
        </w:rPr>
        <w:t>车载（液压升降）秤广泛应用于短途运输、物流配送等领域</w:t>
      </w:r>
      <w:r>
        <w:rPr>
          <w:rFonts w:hint="eastAsia"/>
          <w:sz w:val="24"/>
          <w:szCs w:val="24"/>
        </w:rPr>
        <w:t>，其量值的准确性、不确定度的评定正确与否直接关系到测量结果的可靠性。在编写过程中，起草小组遵循以下原则：</w:t>
      </w:r>
    </w:p>
    <w:p w14:paraId="40F86BAF">
      <w:pPr>
        <w:tabs>
          <w:tab w:val="left" w:pos="567"/>
        </w:tabs>
        <w:spacing w:line="360" w:lineRule="auto"/>
        <w:ind w:firstLine="480" w:firstLineChars="200"/>
        <w:rPr>
          <w:rFonts w:ascii="宋体" w:hAnsi="宋体"/>
          <w:sz w:val="24"/>
          <w:szCs w:val="24"/>
        </w:rPr>
      </w:pPr>
      <w:r>
        <w:rPr>
          <w:rFonts w:hint="eastAsia" w:ascii="宋体" w:hAnsi="宋体"/>
          <w:sz w:val="24"/>
          <w:szCs w:val="24"/>
        </w:rPr>
        <w:t>(1) 参考现有的</w:t>
      </w:r>
      <w:r>
        <w:rPr>
          <w:rFonts w:hint="eastAsia"/>
          <w:sz w:val="24"/>
          <w:szCs w:val="24"/>
        </w:rPr>
        <w:t>国家技术规范</w:t>
      </w:r>
      <w:r>
        <w:rPr>
          <w:rFonts w:hint="eastAsia" w:ascii="宋体" w:hAnsi="宋体"/>
          <w:sz w:val="24"/>
          <w:szCs w:val="24"/>
        </w:rPr>
        <w:t>、结合国内现状；</w:t>
      </w:r>
    </w:p>
    <w:p w14:paraId="6A4D269D">
      <w:pPr>
        <w:spacing w:line="360" w:lineRule="auto"/>
        <w:ind w:firstLine="480" w:firstLineChars="200"/>
        <w:rPr>
          <w:rFonts w:ascii="宋体" w:hAnsi="宋体"/>
          <w:sz w:val="24"/>
          <w:szCs w:val="24"/>
        </w:rPr>
      </w:pPr>
      <w:r>
        <w:rPr>
          <w:rFonts w:hint="eastAsia" w:ascii="宋体" w:hAnsi="宋体"/>
          <w:sz w:val="24"/>
          <w:szCs w:val="24"/>
        </w:rPr>
        <w:t xml:space="preserve">(2) 体现目前校准方法的先进性和科学性； </w:t>
      </w:r>
    </w:p>
    <w:p w14:paraId="3B1FD7D1">
      <w:pPr>
        <w:spacing w:line="360" w:lineRule="auto"/>
        <w:ind w:firstLine="480" w:firstLineChars="200"/>
        <w:rPr>
          <w:rFonts w:ascii="宋体" w:hAnsi="宋体"/>
          <w:sz w:val="24"/>
          <w:szCs w:val="24"/>
        </w:rPr>
      </w:pPr>
      <w:r>
        <w:rPr>
          <w:rFonts w:hint="eastAsia" w:ascii="宋体" w:hAnsi="宋体"/>
          <w:sz w:val="24"/>
          <w:szCs w:val="24"/>
        </w:rPr>
        <w:t>(3) 实际工作中的规范性和适用性。</w:t>
      </w:r>
    </w:p>
    <w:p w14:paraId="754131E3">
      <w:pPr>
        <w:spacing w:line="360" w:lineRule="auto"/>
        <w:rPr>
          <w:rFonts w:ascii="宋体" w:hAnsi="宋体"/>
          <w:sz w:val="24"/>
          <w:szCs w:val="24"/>
        </w:rPr>
      </w:pPr>
      <w:r>
        <w:rPr>
          <w:rFonts w:hint="eastAsia" w:ascii="宋体" w:hAnsi="宋体"/>
          <w:sz w:val="24"/>
          <w:szCs w:val="24"/>
        </w:rPr>
        <w:t>四、编制过程说明</w:t>
      </w:r>
    </w:p>
    <w:p w14:paraId="6CB1C170">
      <w:pPr>
        <w:spacing w:line="360" w:lineRule="auto"/>
        <w:ind w:firstLine="480" w:firstLineChars="200"/>
        <w:rPr>
          <w:rFonts w:hint="eastAsia" w:ascii="宋体" w:hAnsi="宋体"/>
          <w:sz w:val="24"/>
          <w:szCs w:val="24"/>
        </w:rPr>
      </w:pPr>
      <w:r>
        <w:rPr>
          <w:rFonts w:hint="eastAsia" w:ascii="宋体" w:hAnsi="宋体"/>
          <w:sz w:val="24"/>
          <w:szCs w:val="24"/>
          <w:lang w:val="en-US" w:eastAsia="zh-CN"/>
        </w:rPr>
        <w:t>1. 2024年5月，国家市场监督管理总局印发《2024 年国家计量技术规范项目制定、修订及宣贯计划的通知》（市监计量发[2024]40 号文件），同意《</w:t>
      </w:r>
      <w:r>
        <w:rPr>
          <w:rFonts w:hint="eastAsia" w:ascii="宋体" w:hAnsi="宋体"/>
          <w:sz w:val="24"/>
          <w:szCs w:val="24"/>
        </w:rPr>
        <w:t>车载（液压升降）秤</w:t>
      </w:r>
      <w:r>
        <w:rPr>
          <w:rFonts w:hint="eastAsia" w:ascii="宋体" w:hAnsi="宋体"/>
          <w:sz w:val="24"/>
          <w:szCs w:val="24"/>
          <w:lang w:val="en-US" w:eastAsia="zh-CN"/>
        </w:rPr>
        <w:t xml:space="preserve">校准规范》立项，正式启动编制工作。 </w:t>
      </w:r>
    </w:p>
    <w:p w14:paraId="16270288">
      <w:pPr>
        <w:spacing w:line="360" w:lineRule="auto"/>
        <w:ind w:firstLine="480" w:firstLineChars="200"/>
        <w:rPr>
          <w:rFonts w:hint="eastAsia" w:ascii="宋体" w:hAnsi="宋体"/>
          <w:sz w:val="24"/>
          <w:szCs w:val="24"/>
        </w:rPr>
      </w:pPr>
      <w:r>
        <w:rPr>
          <w:rFonts w:hint="eastAsia" w:ascii="宋体" w:hAnsi="宋体"/>
          <w:sz w:val="24"/>
          <w:szCs w:val="24"/>
          <w:lang w:val="en-US" w:eastAsia="zh-CN"/>
        </w:rPr>
        <w:t>2. 2024年6月，《</w:t>
      </w:r>
      <w:r>
        <w:rPr>
          <w:rFonts w:hint="eastAsia" w:ascii="宋体" w:hAnsi="宋体"/>
          <w:sz w:val="24"/>
          <w:szCs w:val="24"/>
        </w:rPr>
        <w:t>车载（液压升降）秤</w:t>
      </w:r>
      <w:r>
        <w:rPr>
          <w:rFonts w:hint="eastAsia" w:ascii="宋体" w:hAnsi="宋体"/>
          <w:sz w:val="24"/>
          <w:szCs w:val="24"/>
          <w:lang w:val="en-US" w:eastAsia="zh-CN"/>
        </w:rPr>
        <w:t xml:space="preserve">校准规范》编制工作组正式成立，组织起草小组召开了编制工作组启动会议，对校准规范初稿进行了讨论。 </w:t>
      </w:r>
    </w:p>
    <w:p w14:paraId="7DE70BE1">
      <w:pPr>
        <w:spacing w:line="360" w:lineRule="auto"/>
        <w:ind w:firstLine="480" w:firstLineChars="200"/>
        <w:rPr>
          <w:rFonts w:hint="eastAsia" w:ascii="宋体" w:hAnsi="宋体"/>
          <w:sz w:val="24"/>
          <w:szCs w:val="24"/>
        </w:rPr>
      </w:pPr>
      <w:r>
        <w:rPr>
          <w:rFonts w:hint="eastAsia" w:ascii="宋体" w:hAnsi="宋体"/>
          <w:sz w:val="24"/>
          <w:szCs w:val="24"/>
          <w:lang w:val="en-US" w:eastAsia="zh-CN"/>
        </w:rPr>
        <w:t xml:space="preserve">3. 2024年6月，编制工作组就规范的架构设定、校准项目等广泛听取了有关专家的建议和意见，确定校准参数及相应的校准方法，确定测量标准及相关设备。 </w:t>
      </w:r>
    </w:p>
    <w:p w14:paraId="220BB5C1">
      <w:pPr>
        <w:spacing w:line="360" w:lineRule="auto"/>
        <w:ind w:firstLine="480" w:firstLineChars="200"/>
        <w:rPr>
          <w:rFonts w:hint="eastAsia" w:ascii="宋体" w:hAnsi="宋体"/>
          <w:sz w:val="24"/>
          <w:szCs w:val="24"/>
        </w:rPr>
      </w:pPr>
      <w:r>
        <w:rPr>
          <w:rFonts w:hint="eastAsia" w:ascii="宋体" w:hAnsi="宋体"/>
          <w:sz w:val="24"/>
          <w:szCs w:val="24"/>
          <w:lang w:val="en-US" w:eastAsia="zh-CN"/>
        </w:rPr>
        <w:t>4. 2024年6月至 2025年7月，编制工作组对不同型号的</w:t>
      </w:r>
      <w:r>
        <w:rPr>
          <w:rFonts w:hint="eastAsia" w:ascii="宋体" w:hAnsi="宋体"/>
          <w:sz w:val="24"/>
          <w:szCs w:val="24"/>
        </w:rPr>
        <w:t>车载（液压升降）秤</w:t>
      </w:r>
      <w:r>
        <w:rPr>
          <w:rFonts w:hint="eastAsia" w:ascii="宋体" w:hAnsi="宋体"/>
          <w:sz w:val="24"/>
          <w:szCs w:val="24"/>
          <w:lang w:val="en-US" w:eastAsia="zh-CN"/>
        </w:rPr>
        <w:t>进行试验，根据</w:t>
      </w:r>
      <w:r>
        <w:rPr>
          <w:rFonts w:hint="eastAsia" w:ascii="宋体" w:hAnsi="宋体"/>
          <w:sz w:val="24"/>
          <w:szCs w:val="24"/>
        </w:rPr>
        <w:t>车载（液压升降）秤</w:t>
      </w:r>
      <w:r>
        <w:rPr>
          <w:rFonts w:hint="eastAsia" w:ascii="宋体" w:hAnsi="宋体"/>
          <w:sz w:val="24"/>
          <w:szCs w:val="24"/>
          <w:lang w:val="en-US" w:eastAsia="zh-CN"/>
        </w:rPr>
        <w:t xml:space="preserve">试验情况制定的校准方案。 </w:t>
      </w:r>
    </w:p>
    <w:p w14:paraId="02721861">
      <w:pPr>
        <w:spacing w:line="36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5. 2025年8月至12月，编制工作组组织讨论会，充分分析、讨论计量特性参数的关联情况和校准试验结果，形成了《</w:t>
      </w:r>
      <w:r>
        <w:rPr>
          <w:rFonts w:hint="eastAsia" w:ascii="宋体" w:hAnsi="宋体"/>
          <w:sz w:val="24"/>
          <w:szCs w:val="24"/>
        </w:rPr>
        <w:t>车载（液压升降）秤</w:t>
      </w:r>
      <w:r>
        <w:rPr>
          <w:rFonts w:hint="eastAsia" w:ascii="宋体" w:hAnsi="宋体"/>
          <w:sz w:val="24"/>
          <w:szCs w:val="24"/>
          <w:lang w:val="en-US" w:eastAsia="zh-CN"/>
        </w:rPr>
        <w:t>校准规范》、编制说明、试验报告和不确定度分析报告等相关文件的小组讨论稿。</w:t>
      </w:r>
    </w:p>
    <w:p w14:paraId="694A354E">
      <w:pPr>
        <w:spacing w:line="360" w:lineRule="auto"/>
        <w:ind w:firstLine="480" w:firstLineChars="200"/>
        <w:rPr>
          <w:rFonts w:hint="default" w:ascii="宋体" w:hAnsi="宋体"/>
          <w:sz w:val="24"/>
          <w:szCs w:val="24"/>
          <w:lang w:val="en-US" w:eastAsia="zh-CN"/>
        </w:rPr>
      </w:pPr>
      <w:r>
        <w:rPr>
          <w:rFonts w:hint="eastAsia" w:ascii="宋体" w:hAnsi="宋体"/>
          <w:sz w:val="24"/>
          <w:szCs w:val="24"/>
          <w:lang w:val="en-US" w:eastAsia="zh-CN"/>
        </w:rPr>
        <w:t>6.2026年1月至2026年4月，进一步修改完善各项文本内容，，向秘书处提交《仓储货物输送称重系统校准规范》征求意见稿，面向社会公开征求意见。</w:t>
      </w:r>
    </w:p>
    <w:p w14:paraId="244322F3">
      <w:pPr>
        <w:spacing w:line="360" w:lineRule="auto"/>
        <w:ind w:firstLine="480" w:firstLineChars="200"/>
        <w:rPr>
          <w:rFonts w:ascii="宋体" w:hAnsi="宋体"/>
          <w:sz w:val="24"/>
          <w:szCs w:val="24"/>
        </w:rPr>
      </w:pPr>
      <w:r>
        <w:rPr>
          <w:rFonts w:hint="eastAsia" w:ascii="宋体" w:hAnsi="宋体"/>
          <w:sz w:val="24"/>
          <w:szCs w:val="24"/>
          <w:lang w:eastAsia="zh-CN"/>
        </w:rPr>
        <w:t>因起草小组能力所限，难免存在疏漏与不足之处，恳请各位</w:t>
      </w:r>
      <w:r>
        <w:rPr>
          <w:rFonts w:ascii="宋体" w:hAnsi="宋体"/>
          <w:sz w:val="24"/>
          <w:szCs w:val="24"/>
        </w:rPr>
        <w:t>委员</w:t>
      </w:r>
      <w:r>
        <w:rPr>
          <w:rFonts w:hint="eastAsia" w:ascii="宋体" w:hAnsi="宋体"/>
          <w:sz w:val="24"/>
          <w:szCs w:val="24"/>
          <w:lang w:eastAsia="zh-CN"/>
        </w:rPr>
        <w:t>、</w:t>
      </w:r>
      <w:r>
        <w:rPr>
          <w:rFonts w:ascii="宋体" w:hAnsi="宋体"/>
          <w:sz w:val="24"/>
          <w:szCs w:val="24"/>
        </w:rPr>
        <w:t>专家</w:t>
      </w:r>
      <w:r>
        <w:rPr>
          <w:rFonts w:hint="eastAsia" w:ascii="宋体" w:hAnsi="宋体"/>
          <w:sz w:val="24"/>
          <w:szCs w:val="24"/>
          <w:lang w:eastAsia="zh-CN"/>
        </w:rPr>
        <w:t>多提</w:t>
      </w:r>
      <w:r>
        <w:rPr>
          <w:rFonts w:ascii="宋体" w:hAnsi="宋体"/>
          <w:sz w:val="24"/>
          <w:szCs w:val="24"/>
        </w:rPr>
        <w:t>宝贵意见</w:t>
      </w:r>
      <w:r>
        <w:rPr>
          <w:rFonts w:hint="eastAsia" w:ascii="宋体" w:hAnsi="宋体"/>
          <w:sz w:val="24"/>
          <w:szCs w:val="24"/>
          <w:lang w:eastAsia="zh-CN"/>
        </w:rPr>
        <w:t>建议</w:t>
      </w:r>
      <w:r>
        <w:rPr>
          <w:rFonts w:ascii="宋体" w:hAnsi="宋体"/>
          <w:sz w:val="24"/>
          <w:szCs w:val="24"/>
        </w:rPr>
        <w:t>，</w:t>
      </w:r>
      <w:r>
        <w:rPr>
          <w:rFonts w:hint="eastAsia" w:ascii="宋体" w:hAnsi="宋体"/>
          <w:sz w:val="24"/>
          <w:szCs w:val="24"/>
          <w:lang w:eastAsia="zh-CN"/>
        </w:rPr>
        <w:t>助力制定</w:t>
      </w:r>
      <w:r>
        <w:rPr>
          <w:rFonts w:hint="eastAsia" w:ascii="宋体" w:hAnsi="宋体"/>
          <w:sz w:val="24"/>
          <w:szCs w:val="24"/>
        </w:rPr>
        <w:t>工作</w:t>
      </w:r>
      <w:r>
        <w:rPr>
          <w:rFonts w:ascii="宋体" w:hAnsi="宋体"/>
          <w:sz w:val="24"/>
          <w:szCs w:val="24"/>
        </w:rPr>
        <w:t>更加科学</w:t>
      </w:r>
      <w:r>
        <w:rPr>
          <w:rFonts w:hint="eastAsia" w:ascii="宋体" w:hAnsi="宋体"/>
          <w:sz w:val="24"/>
          <w:szCs w:val="24"/>
          <w:lang w:eastAsia="zh-CN"/>
        </w:rPr>
        <w:t>、合理、可行</w:t>
      </w:r>
      <w:r>
        <w:rPr>
          <w:rFonts w:ascii="宋体" w:hAnsi="宋体"/>
          <w:sz w:val="24"/>
          <w:szCs w:val="24"/>
        </w:rPr>
        <w:t>。</w:t>
      </w:r>
    </w:p>
    <w:p w14:paraId="48BE5902">
      <w:pPr>
        <w:spacing w:line="360" w:lineRule="auto"/>
        <w:ind w:left="-181" w:leftChars="-86" w:firstLine="480" w:firstLineChars="200"/>
        <w:rPr>
          <w:rFonts w:ascii="宋体" w:hAnsi="宋体"/>
          <w:sz w:val="24"/>
          <w:szCs w:val="24"/>
        </w:rPr>
      </w:pPr>
    </w:p>
    <w:p w14:paraId="314F9538">
      <w:pPr>
        <w:spacing w:line="360" w:lineRule="auto"/>
        <w:ind w:left="-181" w:leftChars="-86" w:firstLine="480" w:firstLineChars="200"/>
        <w:rPr>
          <w:rFonts w:ascii="宋体" w:hAnsi="宋体"/>
          <w:sz w:val="24"/>
          <w:szCs w:val="24"/>
        </w:r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lang w:eastAsia="zh-CN"/>
        </w:rPr>
        <w:t>《</w:t>
      </w:r>
      <w:r>
        <w:rPr>
          <w:rFonts w:hint="eastAsia" w:ascii="宋体" w:hAnsi="宋体"/>
          <w:sz w:val="24"/>
          <w:szCs w:val="24"/>
        </w:rPr>
        <w:t>车载（液压升降）秤</w:t>
      </w:r>
      <w:r>
        <w:rPr>
          <w:rFonts w:hint="eastAsia" w:ascii="宋体" w:hAnsi="宋体"/>
          <w:sz w:val="24"/>
          <w:szCs w:val="24"/>
          <w:lang w:eastAsia="zh-CN"/>
        </w:rPr>
        <w:t>校准规范》</w:t>
      </w:r>
      <w:r>
        <w:rPr>
          <w:rFonts w:ascii="宋体" w:hAnsi="宋体"/>
          <w:sz w:val="24"/>
          <w:szCs w:val="24"/>
        </w:rPr>
        <w:t>起草小组</w:t>
      </w:r>
    </w:p>
    <w:p w14:paraId="51116BEE">
      <w:pPr>
        <w:spacing w:line="360" w:lineRule="auto"/>
        <w:ind w:firstLine="4800" w:firstLineChars="2000"/>
        <w:rPr>
          <w:rFonts w:ascii="宋体" w:hAnsi="宋体"/>
          <w:sz w:val="24"/>
          <w:szCs w:val="24"/>
        </w:rPr>
      </w:pPr>
      <w:r>
        <w:rPr>
          <w:rFonts w:ascii="宋体" w:hAnsi="宋体"/>
          <w:sz w:val="24"/>
          <w:szCs w:val="24"/>
        </w:rPr>
        <w:t>202</w:t>
      </w:r>
      <w:r>
        <w:rPr>
          <w:rFonts w:hint="eastAsia" w:ascii="宋体" w:hAnsi="宋体"/>
          <w:sz w:val="24"/>
          <w:szCs w:val="24"/>
          <w:lang w:val="en-US" w:eastAsia="zh-CN"/>
        </w:rPr>
        <w:t>6</w:t>
      </w:r>
      <w:r>
        <w:rPr>
          <w:rFonts w:hint="eastAsia" w:ascii="宋体" w:hAnsi="宋体"/>
          <w:sz w:val="24"/>
          <w:szCs w:val="24"/>
        </w:rPr>
        <w:t>年</w:t>
      </w:r>
      <w:r>
        <w:rPr>
          <w:rFonts w:hint="eastAsia" w:ascii="宋体" w:hAnsi="宋体"/>
          <w:sz w:val="24"/>
          <w:szCs w:val="24"/>
          <w:lang w:val="en-US" w:eastAsia="zh-CN"/>
        </w:rPr>
        <w:t>4</w:t>
      </w:r>
      <w:r>
        <w:rPr>
          <w:rFonts w:ascii="宋体" w:hAnsi="宋体"/>
          <w:sz w:val="24"/>
          <w:szCs w:val="24"/>
        </w:rPr>
        <w:t>月</w:t>
      </w:r>
      <w:bookmarkStart w:id="0" w:name="_GoBack"/>
      <w:bookmarkEnd w:id="0"/>
    </w:p>
    <w:sectPr>
      <w:footerReference r:id="rId3" w:type="default"/>
      <w:footerReference r:id="rId4"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17A0B">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2</w:t>
    </w:r>
    <w:r>
      <w:rPr>
        <w:rStyle w:val="10"/>
      </w:rPr>
      <w:fldChar w:fldCharType="end"/>
    </w:r>
  </w:p>
  <w:p w14:paraId="6BC1DEE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FCF3A">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6734F731">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15"/>
      <w:suff w:val="nothing"/>
      <w:lvlText w:val="%1"/>
      <w:lvlJc w:val="left"/>
      <w:pPr>
        <w:ind w:left="0" w:firstLine="0"/>
      </w:pPr>
      <w:rPr>
        <w:rFonts w:hint="default" w:ascii="Times New Roman" w:hAnsi="Times New Roman"/>
        <w:b/>
        <w:i w:val="0"/>
        <w:sz w:val="21"/>
      </w:rPr>
    </w:lvl>
    <w:lvl w:ilvl="1" w:tentative="0">
      <w:start w:val="7"/>
      <w:numFmt w:val="decimal"/>
      <w:pStyle w:val="12"/>
      <w:suff w:val="nothing"/>
      <w:lvlText w:val="%1%2　"/>
      <w:lvlJc w:val="left"/>
      <w:pPr>
        <w:ind w:left="0" w:firstLine="0"/>
      </w:pPr>
      <w:rPr>
        <w:rFonts w:hint="eastAsia" w:ascii="黑体" w:hAnsi="Times New Roman" w:eastAsia="黑体"/>
        <w:b w:val="0"/>
        <w:i w:val="0"/>
        <w:sz w:val="21"/>
      </w:rPr>
    </w:lvl>
    <w:lvl w:ilvl="2" w:tentative="0">
      <w:start w:val="1"/>
      <w:numFmt w:val="decimal"/>
      <w:pStyle w:val="13"/>
      <w:suff w:val="nothing"/>
      <w:lvlText w:val="%1%2.%3　"/>
      <w:lvlJc w:val="left"/>
      <w:pPr>
        <w:ind w:left="0" w:firstLine="0"/>
      </w:pPr>
      <w:rPr>
        <w:rFonts w:hint="eastAsia" w:ascii="黑体" w:hAnsi="Times New Roman" w:eastAsia="黑体"/>
        <w:b w:val="0"/>
        <w:i w:val="0"/>
        <w:sz w:val="21"/>
      </w:rPr>
    </w:lvl>
    <w:lvl w:ilvl="3" w:tentative="0">
      <w:start w:val="4"/>
      <w:numFmt w:val="none"/>
      <w:pStyle w:val="14"/>
      <w:suff w:val="nothing"/>
      <w:lvlText w:val="7.4.1　"/>
      <w:lvlJc w:val="left"/>
      <w:pPr>
        <w:ind w:left="0" w:firstLine="0"/>
      </w:pPr>
      <w:rPr>
        <w:rFonts w:hint="eastAsia" w:ascii="黑体" w:hAnsi="Times New Roman" w:eastAsia="黑体"/>
        <w:b w:val="0"/>
        <w:i w:val="0"/>
        <w:sz w:val="21"/>
      </w:rPr>
    </w:lvl>
    <w:lvl w:ilvl="4" w:tentative="0">
      <w:start w:val="1"/>
      <w:numFmt w:val="decimal"/>
      <w:pStyle w:val="16"/>
      <w:suff w:val="nothing"/>
      <w:lvlText w:val="%1%2.%3.%4.%5　"/>
      <w:lvlJc w:val="left"/>
      <w:pPr>
        <w:ind w:left="0" w:firstLine="0"/>
      </w:pPr>
      <w:rPr>
        <w:rFonts w:hint="eastAsia" w:ascii="黑体" w:hAnsi="Times New Roman" w:eastAsia="黑体"/>
        <w:b w:val="0"/>
        <w:i w:val="0"/>
        <w:sz w:val="21"/>
      </w:rPr>
    </w:lvl>
    <w:lvl w:ilvl="5" w:tentative="0">
      <w:start w:val="1"/>
      <w:numFmt w:val="decimal"/>
      <w:pStyle w:val="17"/>
      <w:suff w:val="nothing"/>
      <w:lvlText w:val="%1%2.%3.%4.%5.%6　"/>
      <w:lvlJc w:val="left"/>
      <w:pPr>
        <w:ind w:left="0" w:firstLine="0"/>
      </w:pPr>
      <w:rPr>
        <w:rFonts w:hint="eastAsia" w:ascii="黑体" w:hAnsi="Times New Roman" w:eastAsia="黑体"/>
        <w:b w:val="0"/>
        <w:i w:val="0"/>
        <w:sz w:val="21"/>
      </w:rPr>
    </w:lvl>
    <w:lvl w:ilvl="6" w:tentative="0">
      <w:start w:val="1"/>
      <w:numFmt w:val="decimal"/>
      <w:pStyle w:val="1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Dg5OWE3OTdiNGRiYjNjYWE0ZDZiNDY3MjBiMGY2N2EifQ=="/>
  </w:docVars>
  <w:rsids>
    <w:rsidRoot w:val="009C547B"/>
    <w:rsid w:val="00006CCD"/>
    <w:rsid w:val="00017FB3"/>
    <w:rsid w:val="00020312"/>
    <w:rsid w:val="00046F66"/>
    <w:rsid w:val="000676D5"/>
    <w:rsid w:val="000F1216"/>
    <w:rsid w:val="001040A5"/>
    <w:rsid w:val="0011203B"/>
    <w:rsid w:val="00124E87"/>
    <w:rsid w:val="00176DD6"/>
    <w:rsid w:val="001A124C"/>
    <w:rsid w:val="001A5393"/>
    <w:rsid w:val="001C07F8"/>
    <w:rsid w:val="001F276E"/>
    <w:rsid w:val="00216B3A"/>
    <w:rsid w:val="00221436"/>
    <w:rsid w:val="002360AC"/>
    <w:rsid w:val="002A62A0"/>
    <w:rsid w:val="002B0F9A"/>
    <w:rsid w:val="002E0B7D"/>
    <w:rsid w:val="002F2A4A"/>
    <w:rsid w:val="00397745"/>
    <w:rsid w:val="003D4C04"/>
    <w:rsid w:val="00444BAA"/>
    <w:rsid w:val="004751F4"/>
    <w:rsid w:val="004B35A6"/>
    <w:rsid w:val="004B7FD2"/>
    <w:rsid w:val="004C2B2F"/>
    <w:rsid w:val="004D0024"/>
    <w:rsid w:val="004D2AD3"/>
    <w:rsid w:val="004E67EC"/>
    <w:rsid w:val="004E6EFD"/>
    <w:rsid w:val="00513ED4"/>
    <w:rsid w:val="0053267D"/>
    <w:rsid w:val="00556660"/>
    <w:rsid w:val="0056288D"/>
    <w:rsid w:val="00570906"/>
    <w:rsid w:val="005A5313"/>
    <w:rsid w:val="005B5832"/>
    <w:rsid w:val="005C7A53"/>
    <w:rsid w:val="00601A5A"/>
    <w:rsid w:val="006A1620"/>
    <w:rsid w:val="006D2238"/>
    <w:rsid w:val="007122BB"/>
    <w:rsid w:val="007131BA"/>
    <w:rsid w:val="00782129"/>
    <w:rsid w:val="00787326"/>
    <w:rsid w:val="007A3429"/>
    <w:rsid w:val="007A6858"/>
    <w:rsid w:val="007B34F3"/>
    <w:rsid w:val="007B7180"/>
    <w:rsid w:val="007E7CD5"/>
    <w:rsid w:val="007F2F6A"/>
    <w:rsid w:val="00802921"/>
    <w:rsid w:val="00823766"/>
    <w:rsid w:val="00827553"/>
    <w:rsid w:val="008331F8"/>
    <w:rsid w:val="00834F47"/>
    <w:rsid w:val="00866257"/>
    <w:rsid w:val="008878AD"/>
    <w:rsid w:val="00890D44"/>
    <w:rsid w:val="00895ADC"/>
    <w:rsid w:val="00896452"/>
    <w:rsid w:val="008D3D67"/>
    <w:rsid w:val="008D408E"/>
    <w:rsid w:val="008E1B5E"/>
    <w:rsid w:val="008F243D"/>
    <w:rsid w:val="008F7008"/>
    <w:rsid w:val="00920CE5"/>
    <w:rsid w:val="00930CE1"/>
    <w:rsid w:val="00935E65"/>
    <w:rsid w:val="00967336"/>
    <w:rsid w:val="00967BEA"/>
    <w:rsid w:val="00991292"/>
    <w:rsid w:val="009A03C8"/>
    <w:rsid w:val="009A3043"/>
    <w:rsid w:val="009B4605"/>
    <w:rsid w:val="009C547B"/>
    <w:rsid w:val="00A216CA"/>
    <w:rsid w:val="00A25FBE"/>
    <w:rsid w:val="00A335D7"/>
    <w:rsid w:val="00A338B0"/>
    <w:rsid w:val="00A53C60"/>
    <w:rsid w:val="00AA3D66"/>
    <w:rsid w:val="00AC32DA"/>
    <w:rsid w:val="00AD2339"/>
    <w:rsid w:val="00B0144A"/>
    <w:rsid w:val="00B11A56"/>
    <w:rsid w:val="00B23424"/>
    <w:rsid w:val="00B2598D"/>
    <w:rsid w:val="00B2605E"/>
    <w:rsid w:val="00B37E0C"/>
    <w:rsid w:val="00B52D73"/>
    <w:rsid w:val="00B715A8"/>
    <w:rsid w:val="00B90C57"/>
    <w:rsid w:val="00BB2876"/>
    <w:rsid w:val="00BE1BAD"/>
    <w:rsid w:val="00C00730"/>
    <w:rsid w:val="00C30DB1"/>
    <w:rsid w:val="00C5598E"/>
    <w:rsid w:val="00C64CAD"/>
    <w:rsid w:val="00C7732F"/>
    <w:rsid w:val="00CA37E3"/>
    <w:rsid w:val="00CD0BA0"/>
    <w:rsid w:val="00D0376C"/>
    <w:rsid w:val="00D16CB8"/>
    <w:rsid w:val="00D17798"/>
    <w:rsid w:val="00D40053"/>
    <w:rsid w:val="00D52146"/>
    <w:rsid w:val="00D62AF3"/>
    <w:rsid w:val="00DC4FD9"/>
    <w:rsid w:val="00E34F50"/>
    <w:rsid w:val="00E57E45"/>
    <w:rsid w:val="00ED07F0"/>
    <w:rsid w:val="00EF07A1"/>
    <w:rsid w:val="00F05785"/>
    <w:rsid w:val="00F23BDE"/>
    <w:rsid w:val="00F433F8"/>
    <w:rsid w:val="00F7090B"/>
    <w:rsid w:val="00F72810"/>
    <w:rsid w:val="00FB05BB"/>
    <w:rsid w:val="00FC2ED4"/>
    <w:rsid w:val="011E5EF4"/>
    <w:rsid w:val="016820CA"/>
    <w:rsid w:val="0F063B12"/>
    <w:rsid w:val="14EE6A07"/>
    <w:rsid w:val="344E6966"/>
    <w:rsid w:val="37CC393A"/>
    <w:rsid w:val="3D282669"/>
    <w:rsid w:val="3EFB0A16"/>
    <w:rsid w:val="43FE608C"/>
    <w:rsid w:val="456F5201"/>
    <w:rsid w:val="498B7E53"/>
    <w:rsid w:val="54111402"/>
    <w:rsid w:val="562C1C22"/>
    <w:rsid w:val="59200147"/>
    <w:rsid w:val="5FBF7663"/>
    <w:rsid w:val="61EE2F11"/>
    <w:rsid w:val="678C1DD8"/>
    <w:rsid w:val="6ADC678A"/>
    <w:rsid w:val="6B647232"/>
    <w:rsid w:val="75EA54A2"/>
    <w:rsid w:val="7662726E"/>
    <w:rsid w:val="7CA83811"/>
    <w:rsid w:val="7DAE49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autoRedefine/>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ind w:left="-1020"/>
    </w:pPr>
    <w:rPr>
      <w:rFonts w:ascii="宋体" w:hAnsi="宋体"/>
      <w:sz w:val="2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6">
    <w:name w:val="Body Text Indent 3"/>
    <w:basedOn w:val="1"/>
    <w:autoRedefine/>
    <w:qFormat/>
    <w:uiPriority w:val="0"/>
    <w:pPr>
      <w:spacing w:line="360" w:lineRule="auto"/>
      <w:ind w:firstLine="560" w:firstLineChars="200"/>
      <w:jc w:val="left"/>
    </w:pPr>
    <w:rPr>
      <w:rFonts w:ascii="宋体" w:hAnsi="宋体"/>
      <w:sz w:val="28"/>
    </w:rPr>
  </w:style>
  <w:style w:type="character" w:styleId="9">
    <w:name w:val="Strong"/>
    <w:qFormat/>
    <w:uiPriority w:val="0"/>
    <w:rPr>
      <w:rFonts w:ascii="黑体" w:hAnsi="宋体" w:eastAsia="黑体"/>
      <w:sz w:val="28"/>
    </w:rPr>
  </w:style>
  <w:style w:type="character" w:styleId="10">
    <w:name w:val="page number"/>
    <w:basedOn w:val="8"/>
    <w:autoRedefine/>
    <w:uiPriority w:val="0"/>
  </w:style>
  <w:style w:type="character" w:customStyle="1" w:styleId="11">
    <w:name w:val="页眉 Char"/>
    <w:link w:val="5"/>
    <w:qFormat/>
    <w:uiPriority w:val="0"/>
    <w:rPr>
      <w:kern w:val="2"/>
      <w:sz w:val="18"/>
      <w:szCs w:val="18"/>
    </w:rPr>
  </w:style>
  <w:style w:type="paragraph" w:customStyle="1" w:styleId="12">
    <w:name w:val="标准文件_章标题"/>
    <w:next w:val="1"/>
    <w:qFormat/>
    <w:uiPriority w:val="0"/>
    <w:pPr>
      <w:numPr>
        <w:ilvl w:val="1"/>
        <w:numId w:val="1"/>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13">
    <w:name w:val="标准文件_一级条标题"/>
    <w:basedOn w:val="12"/>
    <w:next w:val="1"/>
    <w:qFormat/>
    <w:uiPriority w:val="0"/>
    <w:pPr>
      <w:numPr>
        <w:ilvl w:val="2"/>
      </w:numPr>
      <w:spacing w:beforeLines="0" w:afterLines="0"/>
      <w:outlineLvl w:val="2"/>
    </w:pPr>
  </w:style>
  <w:style w:type="paragraph" w:customStyle="1" w:styleId="14">
    <w:name w:val="标准文件_二级条标题"/>
    <w:basedOn w:val="13"/>
    <w:next w:val="1"/>
    <w:qFormat/>
    <w:uiPriority w:val="0"/>
    <w:pPr>
      <w:numPr>
        <w:ilvl w:val="3"/>
      </w:numPr>
      <w:outlineLvl w:val="3"/>
    </w:pPr>
  </w:style>
  <w:style w:type="paragraph" w:customStyle="1" w:styleId="15">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
    <w:name w:val="标准文件_三级条标题"/>
    <w:basedOn w:val="14"/>
    <w:next w:val="1"/>
    <w:autoRedefine/>
    <w:uiPriority w:val="0"/>
    <w:pPr>
      <w:numPr>
        <w:ilvl w:val="4"/>
      </w:numPr>
      <w:outlineLvl w:val="4"/>
    </w:pPr>
  </w:style>
  <w:style w:type="paragraph" w:customStyle="1" w:styleId="17">
    <w:name w:val="标准文件_四级条标题"/>
    <w:basedOn w:val="16"/>
    <w:next w:val="1"/>
    <w:autoRedefine/>
    <w:qFormat/>
    <w:uiPriority w:val="0"/>
    <w:pPr>
      <w:numPr>
        <w:ilvl w:val="5"/>
      </w:numPr>
      <w:outlineLvl w:val="5"/>
    </w:pPr>
  </w:style>
  <w:style w:type="paragraph" w:customStyle="1" w:styleId="18">
    <w:name w:val="标准文件_五级条标题"/>
    <w:basedOn w:val="17"/>
    <w:next w:val="1"/>
    <w:autoRedefine/>
    <w:qFormat/>
    <w:uiPriority w:val="0"/>
    <w:pPr>
      <w:numPr>
        <w:ilvl w:val="6"/>
      </w:numPr>
      <w:outlineLvl w:val="6"/>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3</Pages>
  <Words>1368</Words>
  <Characters>1452</Characters>
  <Lines>9</Lines>
  <Paragraphs>2</Paragraphs>
  <TotalTime>2</TotalTime>
  <ScaleCrop>false</ScaleCrop>
  <LinksUpToDate>false</LinksUpToDate>
  <CharactersWithSpaces>1498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2024-02-28T08:32:00Z</dcterms:created>
  <dc:creator>MC SYSTEM</dc:creator>
  <cp:lastModifiedBy>sdb163</cp:lastModifiedBy>
  <cp:lastPrinted>2006-07-07T03:21:00Z</cp:lastPrinted>
  <dcterms:modified xsi:type="dcterms:W3CDTF">2026-04-29T02:09:18Z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97184092D5E5488789195B35EEAE89B1</vt:lpwstr>
  </property>
  <property fmtid="{D5CDD505-2E9C-101B-9397-08002B2CF9AE}" pid="4" name="KSOTemplateDocerSaveRecord">
    <vt:lpwstr>eyJoZGlkIjoiMmQwOTg0MDViMTIxZDkwMGYwMzk2ZTY3MjMyOTc3OTQiLCJ1c2VySWQiOiI0MzM0MDQzNjgifQ==</vt:lpwstr>
  </property>
</Properties>
</file>