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1B2CE">
      <w:pPr>
        <w:spacing w:beforeLines="50" w:afterLines="50" w:line="0" w:lineRule="atLeast"/>
        <w:ind w:firstLine="1040"/>
        <w:jc w:val="center"/>
        <w:rPr>
          <w:rFonts w:eastAsia="黑体"/>
          <w:sz w:val="52"/>
          <w:szCs w:val="52"/>
        </w:rPr>
      </w:pPr>
      <w:bookmarkStart w:id="0" w:name="_Toc163381073"/>
    </w:p>
    <w:p w14:paraId="691C923F">
      <w:pPr>
        <w:spacing w:beforeLines="50" w:afterLines="50" w:line="0" w:lineRule="atLeast"/>
        <w:ind w:firstLine="1040"/>
        <w:jc w:val="center"/>
        <w:rPr>
          <w:rFonts w:eastAsia="黑体"/>
          <w:sz w:val="52"/>
          <w:szCs w:val="52"/>
        </w:rPr>
      </w:pPr>
    </w:p>
    <w:p w14:paraId="502723C8">
      <w:pPr>
        <w:spacing w:beforeLines="50" w:afterLines="50" w:line="0" w:lineRule="atLeast"/>
        <w:ind w:firstLine="1040"/>
        <w:jc w:val="center"/>
        <w:rPr>
          <w:rFonts w:eastAsia="黑体"/>
          <w:sz w:val="52"/>
          <w:szCs w:val="52"/>
        </w:rPr>
      </w:pPr>
    </w:p>
    <w:p w14:paraId="07490A19">
      <w:pPr>
        <w:spacing w:beforeLines="50" w:afterLines="50" w:line="0" w:lineRule="atLeast"/>
        <w:ind w:firstLine="0" w:firstLineChars="0"/>
        <w:jc w:val="center"/>
        <w:rPr>
          <w:rFonts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车载（液压升降）秤校准规范</w:t>
      </w:r>
    </w:p>
    <w:p w14:paraId="567ABB19">
      <w:pPr>
        <w:spacing w:beforeLines="50" w:afterLines="50" w:line="0" w:lineRule="atLeast"/>
        <w:ind w:firstLine="0" w:firstLineChars="0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测量不确定度评定报告</w:t>
      </w:r>
    </w:p>
    <w:p w14:paraId="7232E902">
      <w:pPr>
        <w:ind w:firstLine="480"/>
        <w:jc w:val="center"/>
        <w:rPr>
          <w:rFonts w:ascii="宋体" w:hAnsi="宋体"/>
          <w:szCs w:val="21"/>
        </w:rPr>
      </w:pPr>
    </w:p>
    <w:p w14:paraId="4101A6D4">
      <w:pPr>
        <w:ind w:firstLine="480"/>
        <w:jc w:val="center"/>
        <w:rPr>
          <w:rFonts w:ascii="宋体" w:hAnsi="宋体"/>
          <w:szCs w:val="21"/>
        </w:rPr>
      </w:pPr>
    </w:p>
    <w:p w14:paraId="06FC82B3">
      <w:pPr>
        <w:ind w:firstLine="480"/>
        <w:rPr>
          <w:rFonts w:ascii="宋体" w:hAnsi="宋体"/>
          <w:szCs w:val="21"/>
        </w:rPr>
      </w:pPr>
    </w:p>
    <w:p w14:paraId="2A441004">
      <w:pPr>
        <w:ind w:firstLine="480"/>
        <w:jc w:val="center"/>
        <w:rPr>
          <w:rFonts w:ascii="宋体" w:hAnsi="宋体"/>
          <w:szCs w:val="21"/>
        </w:rPr>
      </w:pPr>
    </w:p>
    <w:p w14:paraId="62144B21">
      <w:pPr>
        <w:ind w:firstLine="480"/>
        <w:jc w:val="center"/>
        <w:rPr>
          <w:rFonts w:ascii="宋体" w:hAnsi="宋体"/>
          <w:szCs w:val="21"/>
        </w:rPr>
      </w:pPr>
    </w:p>
    <w:p w14:paraId="0FB5B94F">
      <w:pPr>
        <w:ind w:firstLine="480"/>
        <w:jc w:val="center"/>
        <w:rPr>
          <w:rFonts w:ascii="宋体" w:hAnsi="宋体"/>
          <w:szCs w:val="21"/>
        </w:rPr>
      </w:pPr>
    </w:p>
    <w:p w14:paraId="5D77D51D">
      <w:pPr>
        <w:ind w:firstLine="480"/>
        <w:jc w:val="center"/>
        <w:rPr>
          <w:rFonts w:ascii="宋体" w:hAnsi="宋体"/>
          <w:szCs w:val="21"/>
        </w:rPr>
      </w:pPr>
    </w:p>
    <w:p w14:paraId="5F673BB9">
      <w:pPr>
        <w:ind w:firstLine="480"/>
        <w:jc w:val="center"/>
        <w:rPr>
          <w:rFonts w:ascii="宋体" w:hAnsi="宋体"/>
          <w:szCs w:val="21"/>
        </w:rPr>
      </w:pPr>
    </w:p>
    <w:p w14:paraId="3A32156A">
      <w:pPr>
        <w:ind w:firstLine="480"/>
        <w:jc w:val="center"/>
        <w:rPr>
          <w:rFonts w:ascii="宋体" w:hAnsi="宋体"/>
          <w:szCs w:val="21"/>
        </w:rPr>
      </w:pPr>
    </w:p>
    <w:p w14:paraId="6659375D">
      <w:pPr>
        <w:ind w:firstLine="480"/>
        <w:jc w:val="center"/>
        <w:rPr>
          <w:rFonts w:ascii="宋体" w:hAnsi="宋体"/>
          <w:szCs w:val="21"/>
        </w:rPr>
      </w:pPr>
    </w:p>
    <w:p w14:paraId="4D1B086C">
      <w:pPr>
        <w:ind w:firstLine="480"/>
        <w:jc w:val="center"/>
        <w:rPr>
          <w:rFonts w:ascii="宋体" w:hAnsi="宋体"/>
          <w:szCs w:val="21"/>
        </w:rPr>
      </w:pPr>
    </w:p>
    <w:p w14:paraId="2A68928E">
      <w:pPr>
        <w:ind w:firstLine="480"/>
        <w:jc w:val="center"/>
        <w:rPr>
          <w:rFonts w:ascii="宋体" w:hAnsi="宋体"/>
          <w:szCs w:val="21"/>
        </w:rPr>
      </w:pPr>
    </w:p>
    <w:p w14:paraId="4C343BFB">
      <w:pPr>
        <w:ind w:firstLine="0" w:firstLineChars="0"/>
        <w:jc w:val="both"/>
        <w:rPr>
          <w:rFonts w:ascii="宋体" w:hAnsi="宋体"/>
          <w:szCs w:val="21"/>
        </w:rPr>
      </w:pPr>
    </w:p>
    <w:p w14:paraId="61024FD1">
      <w:pPr>
        <w:spacing w:beforeLines="50" w:afterLines="50" w:line="0" w:lineRule="atLeast"/>
        <w:ind w:firstLine="0" w:firstLineChars="0"/>
        <w:jc w:val="center"/>
        <w:rPr>
          <w:rFonts w:hint="eastAsia" w:ascii="黑体" w:eastAsia="黑体"/>
          <w:sz w:val="32"/>
        </w:rPr>
      </w:pPr>
    </w:p>
    <w:p w14:paraId="05ACA1AA">
      <w:pPr>
        <w:spacing w:beforeLines="50" w:afterLines="50" w:line="0" w:lineRule="atLeast"/>
        <w:ind w:firstLine="0" w:firstLineChars="0"/>
        <w:jc w:val="center"/>
        <w:rPr>
          <w:rFonts w:ascii="黑体" w:eastAsia="黑体"/>
          <w:sz w:val="10"/>
          <w:szCs w:val="10"/>
        </w:rPr>
      </w:pPr>
      <w:r>
        <w:rPr>
          <w:rFonts w:hint="eastAsia" w:ascii="黑体" w:eastAsia="黑体"/>
          <w:sz w:val="32"/>
          <w:lang w:eastAsia="zh-CN"/>
        </w:rPr>
        <w:t>《</w:t>
      </w:r>
      <w:r>
        <w:rPr>
          <w:rFonts w:hint="eastAsia" w:ascii="黑体" w:eastAsia="黑体"/>
          <w:sz w:val="32"/>
        </w:rPr>
        <w:t>车载（液压升降）秤校准规范</w:t>
      </w:r>
      <w:r>
        <w:rPr>
          <w:rFonts w:hint="eastAsia" w:ascii="黑体" w:eastAsia="黑体"/>
          <w:sz w:val="32"/>
          <w:lang w:eastAsia="zh-CN"/>
        </w:rPr>
        <w:t>》</w:t>
      </w:r>
      <w:r>
        <w:rPr>
          <w:rFonts w:hint="eastAsia" w:ascii="黑体" w:eastAsia="黑体"/>
          <w:sz w:val="32"/>
        </w:rPr>
        <w:t>起草小组</w:t>
      </w:r>
    </w:p>
    <w:p w14:paraId="2B64BCBD">
      <w:pPr>
        <w:spacing w:beforeLines="50" w:afterLines="50" w:line="0" w:lineRule="atLeast"/>
        <w:ind w:firstLine="0" w:firstLineChars="0"/>
        <w:jc w:val="center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2025年</w:t>
      </w:r>
      <w:r>
        <w:rPr>
          <w:rFonts w:hint="eastAsia" w:ascii="黑体" w:eastAsia="黑体"/>
          <w:sz w:val="32"/>
          <w:lang w:val="en-US" w:eastAsia="zh-CN"/>
        </w:rPr>
        <w:t>5</w:t>
      </w:r>
      <w:r>
        <w:rPr>
          <w:rFonts w:hint="eastAsia" w:ascii="黑体" w:eastAsia="黑体"/>
          <w:sz w:val="32"/>
        </w:rPr>
        <w:t>月</w:t>
      </w:r>
    </w:p>
    <w:bookmarkEnd w:id="0"/>
    <w:p w14:paraId="061850B3">
      <w:pPr>
        <w:ind w:firstLine="560"/>
        <w:rPr>
          <w:sz w:val="28"/>
          <w:szCs w:val="28"/>
        </w:rPr>
      </w:pPr>
      <w:bookmarkStart w:id="1" w:name="_Toc163381074"/>
      <w:bookmarkStart w:id="2" w:name="_Toc159246896"/>
      <w:bookmarkStart w:id="3" w:name="_Toc162966487"/>
      <w:bookmarkStart w:id="4" w:name="_Hlk162966620"/>
      <w:r>
        <w:rPr>
          <w:rFonts w:hint="eastAsia"/>
          <w:sz w:val="28"/>
          <w:szCs w:val="28"/>
        </w:rPr>
        <w:br w:type="page"/>
      </w:r>
    </w:p>
    <w:p w14:paraId="09A69880">
      <w:pPr>
        <w:pStyle w:val="2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车载（液压升降）秤</w:t>
      </w:r>
      <w:r>
        <w:rPr>
          <w:rFonts w:hint="eastAsia" w:ascii="黑体" w:hAnsi="黑体"/>
          <w:sz w:val="28"/>
          <w:szCs w:val="28"/>
        </w:rPr>
        <w:t>测量结果</w:t>
      </w:r>
      <w:r>
        <w:rPr>
          <w:rFonts w:hint="eastAsia"/>
          <w:sz w:val="28"/>
          <w:szCs w:val="28"/>
        </w:rPr>
        <w:t>不确定度评定方法</w:t>
      </w:r>
      <w:bookmarkEnd w:id="1"/>
      <w:bookmarkEnd w:id="2"/>
      <w:bookmarkEnd w:id="3"/>
    </w:p>
    <w:p w14:paraId="1FCC3DEE">
      <w:pPr>
        <w:spacing w:line="360" w:lineRule="auto"/>
        <w:ind w:firstLine="480"/>
        <w:rPr>
          <w:rFonts w:ascii="宋体" w:hAnsi="宋体"/>
          <w:color w:val="000000"/>
        </w:rPr>
      </w:pPr>
    </w:p>
    <w:p w14:paraId="3E5F4348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</w:t>
      </w:r>
      <w:r>
        <w:rPr>
          <w:rFonts w:hint="eastAsia" w:ascii="宋体" w:hAnsi="宋体"/>
          <w:color w:val="000000"/>
        </w:rPr>
        <w:t>1  测量方法</w:t>
      </w:r>
    </w:p>
    <w:p w14:paraId="56960C8E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C.1.1  测量对象：车载（液压升降）秤；</w:t>
      </w:r>
    </w:p>
    <w:p w14:paraId="524DE54B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C.1.2  测量标准：标准砝码；</w:t>
      </w:r>
    </w:p>
    <w:p w14:paraId="42AD8248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C.1.3  测量依据：JJF XXXX-202X《车载（液压升降）秤校准规范》；</w:t>
      </w:r>
    </w:p>
    <w:p w14:paraId="06D4D3B8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C.1.4  环境条件：（-</w:t>
      </w:r>
      <w:r>
        <w:rPr>
          <w:rFonts w:ascii="宋体" w:hAnsi="宋体"/>
          <w:color w:val="000000"/>
        </w:rPr>
        <w:t>10</w:t>
      </w:r>
      <w:r>
        <w:rPr>
          <w:color w:val="000000"/>
        </w:rPr>
        <w:t>~</w:t>
      </w:r>
      <w:r>
        <w:rPr>
          <w:rFonts w:ascii="宋体" w:hAnsi="宋体"/>
          <w:color w:val="000000"/>
        </w:rPr>
        <w:t>+40</w:t>
      </w:r>
      <w:r>
        <w:rPr>
          <w:rFonts w:hint="eastAsia" w:ascii="宋体" w:hAnsi="宋体"/>
          <w:color w:val="000000"/>
        </w:rPr>
        <w:t>）℃，</w:t>
      </w:r>
      <w:r>
        <w:rPr>
          <w:rFonts w:hint="eastAsia"/>
        </w:rPr>
        <w:t>相对湿度：≤85%</w:t>
      </w:r>
      <w:r>
        <w:rPr>
          <w:rFonts w:hint="eastAsia" w:ascii="宋体" w:hAnsi="宋体"/>
          <w:color w:val="000000"/>
        </w:rPr>
        <w:t>；</w:t>
      </w:r>
    </w:p>
    <w:p w14:paraId="1F2F5FC2">
      <w:pPr>
        <w:spacing w:line="360" w:lineRule="auto"/>
        <w:ind w:firstLine="480"/>
        <w:rPr>
          <w:rFonts w:ascii="宋体" w:hAnsi="宋体" w:cs="宋体"/>
          <w:color w:val="000000"/>
        </w:rPr>
      </w:pPr>
      <w:r>
        <w:rPr>
          <w:rFonts w:hint="eastAsia" w:ascii="宋体" w:hAnsi="宋体"/>
          <w:color w:val="000000"/>
        </w:rPr>
        <w:t>C.1.5  测量过程：在规定的环境条件下，用砝码对车载（液压升降）秤进行校准，分别测定各校准点称量的示值误差。</w:t>
      </w:r>
    </w:p>
    <w:p w14:paraId="3D16A30E">
      <w:pPr>
        <w:spacing w:line="360" w:lineRule="auto"/>
        <w:ind w:firstLine="48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C.2  测量模型</w:t>
      </w:r>
    </w:p>
    <w:p w14:paraId="288B31B9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C.2.1  建模</w:t>
      </w:r>
    </w:p>
    <w:p w14:paraId="65841900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根据《车载（液压升降）秤校准规范》中的要求和称量方法，建立测量模型：</w:t>
      </w:r>
    </w:p>
    <w:p w14:paraId="0A2404FB">
      <w:pPr>
        <w:autoSpaceDE w:val="0"/>
        <w:autoSpaceDN w:val="0"/>
        <w:adjustRightInd w:val="0"/>
        <w:spacing w:line="360" w:lineRule="auto"/>
        <w:ind w:firstLine="480"/>
        <w:jc w:val="right"/>
        <w:rPr>
          <w:rFonts w:eastAsia="仿宋_GB2312"/>
        </w:rPr>
      </w:pPr>
      <w:r>
        <w:rPr>
          <w:rFonts w:hint="eastAsia" w:ascii="仿宋_GB2312" w:hAnsi="宋体" w:eastAsia="仿宋_GB2312"/>
        </w:rPr>
        <w:object>
          <v:shape id="_x0000_i1025" o:spt="75" type="#_x0000_t75" style="height:14.25pt;width:143.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rPr>
          <w:rFonts w:hint="eastAsia" w:ascii="仿宋_GB2312" w:hAnsi="宋体" w:eastAsia="仿宋_GB2312"/>
          <w:position w:val="-6"/>
        </w:rPr>
        <w:t xml:space="preserve">                   </w:t>
      </w:r>
      <w:r>
        <w:rPr>
          <w:rFonts w:hint="eastAsia" w:ascii="仿宋_GB2312" w:hAnsi="宋体" w:eastAsia="仿宋_GB2312"/>
        </w:rPr>
        <w:t xml:space="preserve">   </w:t>
      </w:r>
      <w:r>
        <w:rPr>
          <w:rFonts w:hint="eastAsia" w:ascii="宋体" w:hAnsi="宋体"/>
        </w:rPr>
        <w:t>（C.1）</w:t>
      </w:r>
    </w:p>
    <w:p w14:paraId="6EAAD48E">
      <w:pPr>
        <w:autoSpaceDE w:val="0"/>
        <w:autoSpaceDN w:val="0"/>
        <w:adjustRightInd w:val="0"/>
        <w:spacing w:line="360" w:lineRule="auto"/>
        <w:ind w:firstLine="480"/>
      </w:pPr>
      <w:r>
        <w:rPr>
          <w:rFonts w:hint="eastAsia"/>
        </w:rPr>
        <w:t>式中：</w:t>
      </w:r>
    </w:p>
    <w:p w14:paraId="0EFA29F3">
      <w:pPr>
        <w:autoSpaceDE w:val="0"/>
        <w:autoSpaceDN w:val="0"/>
        <w:adjustRightInd w:val="0"/>
        <w:spacing w:line="360" w:lineRule="auto"/>
        <w:ind w:firstLine="890" w:firstLineChars="371"/>
      </w:pPr>
      <w:r>
        <w:rPr>
          <w:rFonts w:hint="eastAsia"/>
          <w:i/>
          <w:iCs/>
        </w:rPr>
        <w:t>E</w:t>
      </w:r>
      <w:r>
        <w:rPr>
          <w:i/>
          <w:iCs/>
          <w:spacing w:val="-30"/>
        </w:rPr>
        <w:t>——</w:t>
      </w:r>
      <w:r>
        <w:rPr>
          <w:rFonts w:hint="eastAsia"/>
          <w:i/>
          <w:iCs/>
          <w:spacing w:val="-30"/>
        </w:rPr>
        <w:t xml:space="preserve">   </w:t>
      </w:r>
      <w:r>
        <w:rPr>
          <w:rFonts w:hint="eastAsia"/>
        </w:rPr>
        <w:t>化整前的误差，kg</w:t>
      </w:r>
      <w:r>
        <w:rPr>
          <w:bCs/>
        </w:rPr>
        <w:t>或</w:t>
      </w:r>
      <w:r>
        <w:t>g</w:t>
      </w:r>
      <w:r>
        <w:rPr>
          <w:iCs/>
        </w:rPr>
        <w:t>、t</w:t>
      </w:r>
      <w:r>
        <w:t>；</w:t>
      </w:r>
    </w:p>
    <w:p w14:paraId="76056D00">
      <w:pPr>
        <w:autoSpaceDE w:val="0"/>
        <w:autoSpaceDN w:val="0"/>
        <w:adjustRightInd w:val="0"/>
        <w:spacing w:line="360" w:lineRule="auto"/>
        <w:ind w:firstLine="890" w:firstLineChars="371"/>
      </w:pPr>
      <w:r>
        <w:rPr>
          <w:rFonts w:hint="eastAsia"/>
          <w:i/>
          <w:iCs/>
        </w:rPr>
        <w:t>P</w:t>
      </w:r>
      <w:r>
        <w:rPr>
          <w:i/>
          <w:iCs/>
          <w:spacing w:val="-30"/>
        </w:rPr>
        <w:t>——</w:t>
      </w:r>
      <w:r>
        <w:rPr>
          <w:rFonts w:hint="eastAsia"/>
          <w:i/>
          <w:iCs/>
          <w:spacing w:val="-30"/>
        </w:rPr>
        <w:t xml:space="preserve">   </w:t>
      </w:r>
      <w:r>
        <w:rPr>
          <w:rFonts w:hint="eastAsia"/>
        </w:rPr>
        <w:t>化整前的</w:t>
      </w:r>
      <w:r>
        <w:t>示值</w:t>
      </w:r>
      <w:r>
        <w:rPr>
          <w:rFonts w:hint="eastAsia"/>
        </w:rPr>
        <w:t>，kg</w:t>
      </w:r>
      <w:r>
        <w:rPr>
          <w:bCs/>
        </w:rPr>
        <w:t>或</w:t>
      </w:r>
      <w:r>
        <w:t>g</w:t>
      </w:r>
      <w:r>
        <w:rPr>
          <w:iCs/>
        </w:rPr>
        <w:t>、t</w:t>
      </w:r>
      <w:r>
        <w:t>；</w:t>
      </w:r>
    </w:p>
    <w:p w14:paraId="10931F3B">
      <w:pPr>
        <w:autoSpaceDE w:val="0"/>
        <w:autoSpaceDN w:val="0"/>
        <w:adjustRightInd w:val="0"/>
        <w:spacing w:line="360" w:lineRule="auto"/>
        <w:ind w:firstLine="890" w:firstLineChars="371"/>
      </w:pPr>
      <w:r>
        <w:rPr>
          <w:rFonts w:hint="eastAsia"/>
          <w:i/>
          <w:iCs/>
        </w:rPr>
        <w:t>I</w:t>
      </w:r>
      <w:r>
        <w:rPr>
          <w:i/>
          <w:iCs/>
          <w:spacing w:val="-30"/>
        </w:rPr>
        <w:t>——</w:t>
      </w:r>
      <w:r>
        <w:rPr>
          <w:rFonts w:hint="eastAsia"/>
          <w:i/>
          <w:iCs/>
          <w:spacing w:val="-30"/>
        </w:rPr>
        <w:t xml:space="preserve">   </w:t>
      </w:r>
      <w:r>
        <w:t>示值</w:t>
      </w:r>
      <w:r>
        <w:rPr>
          <w:rFonts w:hint="eastAsia"/>
        </w:rPr>
        <w:t>，kg</w:t>
      </w:r>
      <w:r>
        <w:rPr>
          <w:bCs/>
        </w:rPr>
        <w:t>或</w:t>
      </w:r>
      <w:r>
        <w:t>g</w:t>
      </w:r>
      <w:r>
        <w:rPr>
          <w:iCs/>
        </w:rPr>
        <w:t>、t</w:t>
      </w:r>
      <w:r>
        <w:t>；</w:t>
      </w:r>
    </w:p>
    <w:p w14:paraId="62A9D11B">
      <w:pPr>
        <w:autoSpaceDE w:val="0"/>
        <w:autoSpaceDN w:val="0"/>
        <w:adjustRightInd w:val="0"/>
        <w:spacing w:line="360" w:lineRule="auto"/>
        <w:ind w:left="274" w:leftChars="114" w:firstLine="650" w:firstLineChars="271"/>
      </w:pPr>
      <w:r>
        <w:rPr>
          <w:rFonts w:hint="eastAsia"/>
          <w:i/>
          <w:iCs/>
        </w:rPr>
        <w:t>L</w:t>
      </w:r>
      <w:r>
        <w:rPr>
          <w:i/>
          <w:iCs/>
          <w:spacing w:val="-30"/>
        </w:rPr>
        <w:t>——</w:t>
      </w:r>
      <w:r>
        <w:rPr>
          <w:rFonts w:hint="eastAsia"/>
          <w:i/>
          <w:iCs/>
          <w:spacing w:val="-30"/>
        </w:rPr>
        <w:t xml:space="preserve">   </w:t>
      </w:r>
      <w:r>
        <w:rPr>
          <w:rFonts w:hint="eastAsia"/>
        </w:rPr>
        <w:t>载荷，kg</w:t>
      </w:r>
      <w:r>
        <w:rPr>
          <w:bCs/>
        </w:rPr>
        <w:t>或</w:t>
      </w:r>
      <w:r>
        <w:t>g</w:t>
      </w:r>
      <w:r>
        <w:rPr>
          <w:iCs/>
        </w:rPr>
        <w:t>、t</w:t>
      </w:r>
      <w:r>
        <w:t>；</w:t>
      </w:r>
    </w:p>
    <w:p w14:paraId="64A96905">
      <w:pPr>
        <w:autoSpaceDE w:val="0"/>
        <w:autoSpaceDN w:val="0"/>
        <w:adjustRightInd w:val="0"/>
        <w:spacing w:line="360" w:lineRule="auto"/>
        <w:ind w:firstLine="840" w:firstLineChars="350"/>
      </w:pPr>
      <w:r>
        <w:t>Δ</w:t>
      </w:r>
      <w:r>
        <w:rPr>
          <w:rFonts w:hint="eastAsia"/>
          <w:i/>
          <w:iCs/>
        </w:rPr>
        <w:t>L</w:t>
      </w:r>
      <w:r>
        <w:rPr>
          <w:i/>
          <w:iCs/>
          <w:spacing w:val="-30"/>
        </w:rPr>
        <w:t>——</w:t>
      </w:r>
      <w:r>
        <w:rPr>
          <w:rFonts w:hint="eastAsia"/>
          <w:i/>
          <w:iCs/>
          <w:spacing w:val="-30"/>
        </w:rPr>
        <w:t xml:space="preserve">   </w:t>
      </w:r>
      <w:r>
        <w:rPr>
          <w:rFonts w:hint="eastAsia"/>
        </w:rPr>
        <w:t>附加载荷，kg</w:t>
      </w:r>
      <w:r>
        <w:rPr>
          <w:bCs/>
        </w:rPr>
        <w:t>或</w:t>
      </w:r>
      <w:r>
        <w:t>g</w:t>
      </w:r>
      <w:r>
        <w:rPr>
          <w:iCs/>
        </w:rPr>
        <w:t>、t</w:t>
      </w:r>
      <w:r>
        <w:t>；</w:t>
      </w:r>
    </w:p>
    <w:p w14:paraId="5074EC57">
      <w:pPr>
        <w:spacing w:line="360" w:lineRule="auto"/>
        <w:ind w:firstLine="480"/>
        <w:rPr>
          <w:color w:val="000000"/>
        </w:rPr>
      </w:pPr>
      <w:r>
        <w:rPr>
          <w:color w:val="000000"/>
        </w:rPr>
        <w:t>当</w:t>
      </w:r>
      <w:r>
        <w:rPr>
          <w:rFonts w:hint="eastAsia"/>
          <w:color w:val="000000"/>
        </w:rPr>
        <w:t>车载</w:t>
      </w:r>
      <w:r>
        <w:rPr>
          <w:color w:val="000000"/>
        </w:rPr>
        <w:t>秤具备扩展指示装置且在校准中使用时，上述公式可直接简化为</w:t>
      </w:r>
      <w:r>
        <w:rPr>
          <w:rFonts w:hint="eastAsia"/>
          <w:color w:val="000000"/>
        </w:rPr>
        <w:t>：</w:t>
      </w:r>
      <w:r>
        <w:rPr>
          <w:rFonts w:ascii="宋体" w:hAnsi="宋体"/>
          <w:color w:val="000000"/>
          <w:position w:val="-6"/>
        </w:rPr>
        <w:object>
          <v:shape id="_x0000_i1026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="宋体" w:hAnsi="宋体"/>
          <w:color w:val="000000"/>
        </w:rPr>
        <w:t xml:space="preserve">                           </w:t>
      </w:r>
    </w:p>
    <w:p w14:paraId="1BB6A18A">
      <w:pPr>
        <w:spacing w:line="360" w:lineRule="auto"/>
        <w:ind w:firstLine="480"/>
        <w:rPr>
          <w:color w:val="000000"/>
        </w:rPr>
      </w:pPr>
      <w:r>
        <w:rPr>
          <w:rFonts w:ascii="宋体" w:hAnsi="宋体"/>
          <w:color w:val="000000"/>
        </w:rPr>
        <w:t>如果</w:t>
      </w:r>
      <w:r>
        <w:rPr>
          <w:rFonts w:hint="eastAsia" w:ascii="宋体" w:hAnsi="宋体"/>
          <w:color w:val="000000"/>
        </w:rPr>
        <w:t>车载</w:t>
      </w:r>
      <w:r>
        <w:rPr>
          <w:rFonts w:ascii="宋体" w:hAnsi="宋体"/>
          <w:color w:val="000000"/>
        </w:rPr>
        <w:t>秤不具备扩展指示装置，</w:t>
      </w:r>
      <w:r>
        <w:rPr>
          <w:rFonts w:hint="eastAsia" w:ascii="宋体" w:hAnsi="宋体"/>
          <w:color w:val="000000"/>
        </w:rPr>
        <w:t>采用（C.1）式计算误差，</w:t>
      </w:r>
      <w:r>
        <w:rPr>
          <w:color w:val="000000"/>
        </w:rPr>
        <w:t>考虑不确定度评定时，0.5</w:t>
      </w:r>
      <w:r>
        <w:rPr>
          <w:i/>
          <w:iCs/>
          <w:color w:val="000000"/>
        </w:rPr>
        <w:t>d</w:t>
      </w:r>
      <w:r>
        <w:rPr>
          <w:color w:val="000000"/>
        </w:rPr>
        <w:t>为常量，不产生不确定度分量，</w:t>
      </w:r>
      <w:r>
        <w:rPr>
          <w:iCs/>
        </w:rPr>
        <w:t>Δ</w:t>
      </w:r>
      <w:r>
        <w:rPr>
          <w:i/>
          <w:iCs/>
        </w:rPr>
        <w:t>L</w:t>
      </w:r>
      <w:r>
        <w:rPr>
          <w:color w:val="000000"/>
        </w:rPr>
        <w:t>为附加砝码，相对</w:t>
      </w:r>
      <w:r>
        <w:rPr>
          <w:i/>
          <w:color w:val="000000"/>
        </w:rPr>
        <w:t>I</w:t>
      </w:r>
      <w:r>
        <w:rPr>
          <w:color w:val="000000"/>
        </w:rPr>
        <w:t>和</w:t>
      </w:r>
      <w:r>
        <w:rPr>
          <w:i/>
          <w:color w:val="000000"/>
        </w:rPr>
        <w:t>L</w:t>
      </w:r>
      <w:r>
        <w:rPr>
          <w:color w:val="000000"/>
        </w:rPr>
        <w:t>至少小一个数量级，也可忽略，因此对于</w:t>
      </w:r>
      <w:r>
        <w:rPr>
          <w:rFonts w:hint="eastAsia"/>
          <w:color w:val="000000"/>
        </w:rPr>
        <w:t>车载</w:t>
      </w:r>
      <w:r>
        <w:rPr>
          <w:color w:val="000000"/>
        </w:rPr>
        <w:t>秤的测量误差，进行不确定评定的测量模型为：</w:t>
      </w:r>
    </w:p>
    <w:p w14:paraId="7C48E746">
      <w:pPr>
        <w:wordWrap w:val="0"/>
        <w:autoSpaceDE w:val="0"/>
        <w:autoSpaceDN w:val="0"/>
        <w:adjustRightInd w:val="0"/>
        <w:spacing w:line="360" w:lineRule="auto"/>
        <w:ind w:firstLine="480"/>
        <w:jc w:val="right"/>
      </w:pPr>
      <w:r>
        <w:rPr>
          <w:rFonts w:ascii="宋体" w:hAnsi="宋体"/>
          <w:color w:val="000000"/>
        </w:rPr>
        <w:object>
          <v:shape id="_x0000_i1027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="仿宋_GB2312" w:hAnsi="宋体" w:eastAsia="仿宋_GB2312"/>
          <w:position w:val="-6"/>
        </w:rPr>
        <w:t xml:space="preserve">                         </w:t>
      </w:r>
      <w:r>
        <w:rPr>
          <w:rFonts w:hint="eastAsia" w:ascii="仿宋_GB2312" w:hAnsi="宋体" w:eastAsia="仿宋_GB2312"/>
        </w:rPr>
        <w:t xml:space="preserve">   </w:t>
      </w:r>
      <w:r>
        <w:rPr>
          <w:rFonts w:hint="eastAsia" w:ascii="宋体" w:hAnsi="宋体"/>
        </w:rPr>
        <w:t>（C.2）</w:t>
      </w:r>
    </w:p>
    <w:p w14:paraId="4A5D021F">
      <w:pPr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C.2.2  方差和灵敏系数</w:t>
      </w:r>
    </w:p>
    <w:p w14:paraId="747A0CD4">
      <w:pPr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C.2.2.1  方差公式</w:t>
      </w:r>
    </w:p>
    <w:p w14:paraId="3AEC130C">
      <w:pPr>
        <w:wordWrap w:val="0"/>
        <w:ind w:firstLine="482"/>
        <w:jc w:val="right"/>
        <w:rPr>
          <w:rFonts w:ascii="仿宋_GB2312" w:hAnsi="宋体" w:eastAsia="仿宋_GB2312"/>
        </w:rPr>
      </w:pPr>
      <w:r>
        <w:rPr>
          <w:rFonts w:hint="eastAsia" w:ascii="仿宋_GB2312" w:hAnsi="宋体" w:eastAsia="仿宋_GB2312"/>
          <w:b/>
          <w:bCs/>
          <w:position w:val="-14"/>
        </w:rPr>
        <w:object>
          <v:shape id="_x0000_i1028" o:spt="75" type="#_x0000_t75" style="height:20.1pt;width:133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="仿宋_GB2312" w:hAnsi="宋体" w:eastAsia="仿宋_GB2312"/>
          <w:b/>
          <w:bCs/>
          <w:position w:val="-12"/>
        </w:rPr>
        <w:t xml:space="preserve">                      </w:t>
      </w:r>
      <w:r>
        <w:rPr>
          <w:rFonts w:hint="eastAsia" w:ascii="宋体" w:hAnsi="宋体"/>
          <w:position w:val="-6"/>
        </w:rPr>
        <w:t>（C.3）</w:t>
      </w:r>
    </w:p>
    <w:p w14:paraId="2BAD75BD">
      <w:pPr>
        <w:widowControl/>
        <w:spacing w:line="400" w:lineRule="exact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C.2.2.2  灵敏系数</w:t>
      </w:r>
    </w:p>
    <w:p w14:paraId="41B1EB0D">
      <w:pPr>
        <w:widowControl/>
        <w:spacing w:line="400" w:lineRule="exact"/>
        <w:ind w:firstLine="480"/>
      </w:pPr>
      <w:r>
        <w:rPr>
          <w:rFonts w:hint="eastAsia"/>
          <w:i/>
          <w:iCs/>
        </w:rPr>
        <w:t>I</w:t>
      </w:r>
      <w:r>
        <w:t>的灵敏系数：</w:t>
      </w:r>
    </w:p>
    <w:p w14:paraId="662AE704">
      <w:pPr>
        <w:wordWrap w:val="0"/>
        <w:ind w:firstLine="480"/>
        <w:jc w:val="right"/>
        <w:rPr>
          <w:rFonts w:ascii="宋体" w:hAnsi="宋体"/>
          <w:position w:val="-6"/>
        </w:rPr>
      </w:pPr>
      <w:r>
        <w:rPr>
          <w:rFonts w:hint="eastAsia" w:ascii="仿宋_GB2312" w:hAnsi="宋体" w:eastAsia="仿宋_GB2312"/>
          <w:position w:val="-24"/>
        </w:rPr>
        <w:object>
          <v:shape id="_x0000_i1029" o:spt="75" type="#_x0000_t75" style="height:31pt;width:56.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8">
            <o:LockedField>false</o:LockedField>
          </o:OLEObject>
        </w:object>
      </w:r>
      <w:r>
        <w:rPr>
          <w:rFonts w:hint="eastAsia" w:ascii="仿宋_GB2312" w:hAnsi="宋体" w:eastAsia="仿宋_GB2312"/>
          <w:position w:val="-24"/>
        </w:rPr>
        <w:t xml:space="preserve">                            </w:t>
      </w:r>
      <w:r>
        <w:rPr>
          <w:rFonts w:hint="eastAsia" w:ascii="宋体" w:hAnsi="宋体"/>
          <w:position w:val="-6"/>
        </w:rPr>
        <w:t>（C.4）</w:t>
      </w:r>
    </w:p>
    <w:p w14:paraId="49610A40">
      <w:pPr>
        <w:widowControl/>
        <w:spacing w:line="400" w:lineRule="exact"/>
        <w:ind w:firstLine="480"/>
        <w:rPr>
          <w:rFonts w:ascii="仿宋_GB2312" w:hAnsi="宋体" w:eastAsia="仿宋_GB2312"/>
        </w:rPr>
      </w:pPr>
      <w:r>
        <w:rPr>
          <w:i/>
        </w:rPr>
        <w:t>L</w:t>
      </w:r>
      <w:r>
        <w:t>的灵敏系数：</w:t>
      </w:r>
    </w:p>
    <w:p w14:paraId="6BE7CDB1">
      <w:pPr>
        <w:wordWrap w:val="0"/>
        <w:ind w:firstLine="480"/>
        <w:jc w:val="right"/>
        <w:rPr>
          <w:rFonts w:ascii="仿宋_GB2312" w:hAnsi="宋体" w:eastAsia="仿宋_GB2312"/>
        </w:rPr>
      </w:pPr>
      <w:r>
        <w:rPr>
          <w:rFonts w:hint="eastAsia" w:ascii="仿宋_GB2312" w:hAnsi="宋体" w:eastAsia="仿宋_GB2312"/>
          <w:position w:val="-24"/>
        </w:rPr>
        <w:object>
          <v:shape id="_x0000_i1030" o:spt="75" type="#_x0000_t75" style="height:31pt;width:65.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0">
            <o:LockedField>false</o:LockedField>
          </o:OLEObject>
        </w:object>
      </w:r>
      <w:r>
        <w:rPr>
          <w:rFonts w:hint="eastAsia" w:ascii="仿宋_GB2312" w:hAnsi="宋体" w:eastAsia="仿宋_GB2312"/>
          <w:position w:val="-24"/>
        </w:rPr>
        <w:t xml:space="preserve">                           </w:t>
      </w:r>
      <w:r>
        <w:rPr>
          <w:rFonts w:hint="eastAsia" w:ascii="宋体" w:hAnsi="宋体"/>
          <w:position w:val="-6"/>
        </w:rPr>
        <w:t>（C.5）</w:t>
      </w:r>
    </w:p>
    <w:p w14:paraId="2813DC08">
      <w:pPr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因此：</w:t>
      </w:r>
    </w:p>
    <w:p w14:paraId="69238CB4">
      <w:pPr>
        <w:wordWrap w:val="0"/>
        <w:ind w:firstLine="480"/>
        <w:jc w:val="right"/>
        <w:rPr>
          <w:position w:val="-16"/>
        </w:rPr>
      </w:pPr>
      <w:r>
        <w:rPr>
          <w:rFonts w:hint="eastAsia" w:ascii="仿宋_GB2312" w:hAnsi="宋体" w:eastAsia="仿宋_GB2312"/>
          <w:position w:val="-10"/>
        </w:rPr>
        <w:object>
          <v:shape id="_x0000_i1031" o:spt="75" type="#_x0000_t75" style="height:18.4pt;width:103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2">
            <o:LockedField>false</o:LockedField>
          </o:OLEObject>
        </w:object>
      </w:r>
      <w:r>
        <w:rPr>
          <w:rFonts w:hint="eastAsia" w:ascii="仿宋_GB2312" w:hAnsi="宋体" w:eastAsia="仿宋_GB2312"/>
          <w:position w:val="-10"/>
        </w:rPr>
        <w:t xml:space="preserve">                        </w:t>
      </w:r>
      <w:r>
        <w:rPr>
          <w:rFonts w:hint="eastAsia" w:ascii="宋体" w:hAnsi="宋体"/>
          <w:position w:val="-6"/>
        </w:rPr>
        <w:t>（C.6）</w:t>
      </w:r>
    </w:p>
    <w:p w14:paraId="2FB5EF53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C.3  不确定度的分量评定</w:t>
      </w:r>
    </w:p>
    <w:p w14:paraId="67D5A2A1">
      <w:pPr>
        <w:spacing w:line="360" w:lineRule="auto"/>
        <w:ind w:left="-51" w:right="-85" w:firstLine="480"/>
      </w:pPr>
      <w:r>
        <w:t>不确定度来源主要包括</w:t>
      </w:r>
      <w:r>
        <w:rPr>
          <w:rFonts w:hint="eastAsia"/>
        </w:rPr>
        <w:t>：</w:t>
      </w:r>
    </w:p>
    <w:p w14:paraId="3C06001C">
      <w:pPr>
        <w:spacing w:line="360" w:lineRule="auto"/>
        <w:ind w:firstLine="480"/>
        <w:rPr>
          <w:color w:val="000000"/>
        </w:rPr>
      </w:pPr>
      <w:r>
        <w:rPr>
          <w:rFonts w:hint="eastAsia" w:ascii="宋体" w:hAnsi="宋体"/>
          <w:color w:val="000000"/>
        </w:rPr>
        <w:t>a）</w:t>
      </w:r>
      <w:r>
        <w:rPr>
          <w:rFonts w:ascii="宋体" w:hAnsi="宋体"/>
          <w:color w:val="000000"/>
        </w:rPr>
        <w:t>重复性测量引入的标准不确定度</w:t>
      </w:r>
      <w:r>
        <w:rPr>
          <w:i/>
          <w:color w:val="000000"/>
        </w:rPr>
        <w:t>u</w:t>
      </w:r>
      <w:r>
        <w:rPr>
          <w:color w:val="000000"/>
          <w:vertAlign w:val="subscript"/>
        </w:rPr>
        <w:t>1</w:t>
      </w:r>
      <w:r>
        <w:rPr>
          <w:rFonts w:hAnsi="宋体"/>
          <w:color w:val="000000"/>
        </w:rPr>
        <w:t>；</w:t>
      </w:r>
    </w:p>
    <w:p w14:paraId="6E7B7F42">
      <w:pPr>
        <w:spacing w:line="360" w:lineRule="auto"/>
        <w:ind w:firstLine="480"/>
        <w:rPr>
          <w:color w:val="000000"/>
        </w:rPr>
      </w:pPr>
      <w:r>
        <w:rPr>
          <w:color w:val="000000"/>
        </w:rPr>
        <w:t>b</w:t>
      </w:r>
      <w:r>
        <w:rPr>
          <w:rFonts w:hAnsi="宋体"/>
          <w:color w:val="000000"/>
        </w:rPr>
        <w:t>）车载秤分辨力引入的标准不确定度</w:t>
      </w:r>
      <w:r>
        <w:rPr>
          <w:i/>
          <w:color w:val="000000"/>
        </w:rPr>
        <w:t>u</w:t>
      </w:r>
      <w:r>
        <w:rPr>
          <w:color w:val="000000"/>
          <w:vertAlign w:val="subscript"/>
        </w:rPr>
        <w:t>2</w:t>
      </w:r>
      <w:r>
        <w:rPr>
          <w:rFonts w:hAnsi="宋体"/>
          <w:color w:val="000000"/>
        </w:rPr>
        <w:t>；</w:t>
      </w:r>
    </w:p>
    <w:p w14:paraId="6EE26901">
      <w:pPr>
        <w:spacing w:line="360" w:lineRule="auto"/>
        <w:ind w:firstLine="480"/>
        <w:rPr>
          <w:color w:val="000000"/>
        </w:rPr>
      </w:pPr>
      <w:r>
        <w:rPr>
          <w:color w:val="000000"/>
        </w:rPr>
        <w:t>c</w:t>
      </w:r>
      <w:r>
        <w:rPr>
          <w:rFonts w:hAnsi="宋体"/>
          <w:color w:val="000000"/>
        </w:rPr>
        <w:t>）倾斜引入的标准不确定度</w:t>
      </w:r>
      <w:r>
        <w:rPr>
          <w:i/>
          <w:color w:val="000000"/>
        </w:rPr>
        <w:t>u</w:t>
      </w:r>
      <w:r>
        <w:rPr>
          <w:color w:val="000000"/>
          <w:vertAlign w:val="subscript"/>
        </w:rPr>
        <w:t>3</w:t>
      </w:r>
      <w:r>
        <w:rPr>
          <w:rFonts w:hAnsi="宋体"/>
          <w:color w:val="000000"/>
        </w:rPr>
        <w:t>；</w:t>
      </w:r>
    </w:p>
    <w:p w14:paraId="57084BDC">
      <w:pPr>
        <w:spacing w:line="360" w:lineRule="auto"/>
        <w:ind w:firstLine="480"/>
        <w:rPr>
          <w:color w:val="000000"/>
        </w:rPr>
      </w:pPr>
      <w:r>
        <w:rPr>
          <w:color w:val="000000"/>
        </w:rPr>
        <w:t>d</w:t>
      </w:r>
      <w:r>
        <w:rPr>
          <w:rFonts w:hAnsi="宋体"/>
          <w:color w:val="000000"/>
        </w:rPr>
        <w:t>）标准砝码引入的标准不确定度</w:t>
      </w:r>
      <w:r>
        <w:rPr>
          <w:i/>
          <w:color w:val="000000"/>
        </w:rPr>
        <w:t>u</w:t>
      </w:r>
      <w:r>
        <w:rPr>
          <w:color w:val="000000"/>
          <w:vertAlign w:val="subscript"/>
        </w:rPr>
        <w:t>4</w:t>
      </w:r>
      <w:r>
        <w:rPr>
          <w:rFonts w:hAnsi="宋体"/>
          <w:color w:val="000000"/>
        </w:rPr>
        <w:t>。</w:t>
      </w:r>
    </w:p>
    <w:p w14:paraId="01206C05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C.4  标准不确定度评定</w:t>
      </w:r>
    </w:p>
    <w:p w14:paraId="69F99D07">
      <w:pPr>
        <w:spacing w:line="360" w:lineRule="auto"/>
        <w:ind w:right="-85" w:firstLine="480"/>
        <w:rPr>
          <w:rFonts w:ascii="宋体" w:hAnsi="宋体" w:cs="宋体"/>
          <w:bCs/>
        </w:rPr>
      </w:pPr>
      <w:r>
        <w:rPr>
          <w:rFonts w:hint="eastAsia" w:ascii="宋体" w:hAnsi="宋体"/>
          <w:color w:val="000000"/>
        </w:rPr>
        <w:t xml:space="preserve">C.4.1  </w:t>
      </w:r>
      <w:r>
        <w:t>重复性测量引入的不确定度</w:t>
      </w:r>
      <w:r>
        <w:rPr>
          <w:bCs/>
          <w:i/>
          <w:iCs/>
        </w:rPr>
        <w:t>u</w:t>
      </w:r>
      <w:r>
        <w:rPr>
          <w:rFonts w:hint="eastAsia"/>
          <w:bCs/>
          <w:vertAlign w:val="subscript"/>
        </w:rPr>
        <w:t>1</w:t>
      </w:r>
    </w:p>
    <w:p w14:paraId="0357D1DC">
      <w:pPr>
        <w:spacing w:line="360" w:lineRule="auto"/>
        <w:ind w:right="-85" w:firstLine="480"/>
      </w:pPr>
      <w:r>
        <w:rPr>
          <w:rFonts w:hint="eastAsia"/>
        </w:rPr>
        <w:t>重复性引入的标准不确定采用A类不确定度的评定方法，贝塞尔公式确定：</w:t>
      </w:r>
    </w:p>
    <w:p w14:paraId="0E13F898">
      <w:pPr>
        <w:wordWrap w:val="0"/>
        <w:spacing w:line="360" w:lineRule="auto"/>
        <w:ind w:right="-85" w:firstLine="480"/>
        <w:jc w:val="right"/>
      </w:pPr>
      <w:r>
        <w:rPr>
          <w:rFonts w:ascii="仿宋_GB2312" w:hAnsi="宋体" w:eastAsia="仿宋_GB2312"/>
          <w:position w:val="-40"/>
        </w:rPr>
        <w:object>
          <v:shape id="_x0000_i1032" o:spt="75" type="#_x0000_t75" style="height:37.65pt;width:124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 w:ascii="仿宋_GB2312" w:hAnsi="宋体" w:eastAsia="仿宋_GB2312"/>
          <w:position w:val="-40"/>
        </w:rPr>
        <w:t xml:space="preserve">                       </w:t>
      </w:r>
      <w:r>
        <w:rPr>
          <w:rFonts w:hint="eastAsia" w:ascii="宋体" w:hAnsi="宋体"/>
          <w:position w:val="-6"/>
        </w:rPr>
        <w:t xml:space="preserve">（C.7） </w:t>
      </w:r>
    </w:p>
    <w:p w14:paraId="5352CA24">
      <w:pPr>
        <w:spacing w:line="360" w:lineRule="auto"/>
        <w:ind w:firstLine="480"/>
        <w:rPr>
          <w:bCs/>
        </w:rPr>
      </w:pPr>
      <w:r>
        <w:rPr>
          <w:rFonts w:ascii="宋体" w:hAnsi="宋体"/>
          <w:color w:val="000000"/>
        </w:rPr>
        <w:t>C.4.</w:t>
      </w:r>
      <w:r>
        <w:rPr>
          <w:rFonts w:hint="eastAsia" w:ascii="宋体" w:hAnsi="宋体"/>
          <w:color w:val="000000"/>
        </w:rPr>
        <w:t xml:space="preserve">2  </w:t>
      </w:r>
      <w:r>
        <w:rPr>
          <w:rFonts w:hint="eastAsia"/>
          <w:bCs/>
        </w:rPr>
        <w:t>车载秤</w:t>
      </w:r>
      <w:r>
        <w:rPr>
          <w:bCs/>
        </w:rPr>
        <w:t>分辨力引入的不确定度为</w:t>
      </w:r>
      <w:r>
        <w:rPr>
          <w:bCs/>
          <w:i/>
          <w:iCs/>
        </w:rPr>
        <w:t>u</w:t>
      </w:r>
      <w:r>
        <w:rPr>
          <w:rFonts w:hint="eastAsia"/>
          <w:bCs/>
          <w:vertAlign w:val="subscript"/>
        </w:rPr>
        <w:t>2</w:t>
      </w:r>
    </w:p>
    <w:p w14:paraId="15AB71D6">
      <w:pPr>
        <w:autoSpaceDE w:val="0"/>
        <w:autoSpaceDN w:val="0"/>
        <w:spacing w:line="400" w:lineRule="exact"/>
        <w:ind w:firstLine="480"/>
      </w:pPr>
      <w:r>
        <w:rPr>
          <w:rFonts w:hint="eastAsia"/>
        </w:rPr>
        <w:t>车载秤</w:t>
      </w:r>
      <w:r>
        <w:t>分辨力为</w:t>
      </w:r>
      <w:r>
        <w:rPr>
          <w:i/>
        </w:rPr>
        <w:t>d</w:t>
      </w:r>
      <w:r>
        <w:t>，服从均匀分布，</w:t>
      </w:r>
      <w:r>
        <w:rPr>
          <w:position w:val="-8"/>
        </w:rPr>
        <w:object>
          <v:shape id="_x0000_i1033" o:spt="75" type="#_x0000_t75" style="height:18.4pt;width:3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6">
            <o:LockedField>false</o:LockedField>
          </o:OLEObject>
        </w:object>
      </w:r>
      <w:r>
        <w:t>，则其标准不确定度</w:t>
      </w:r>
      <w:r>
        <w:rPr>
          <w:bCs/>
          <w:i/>
          <w:iCs/>
        </w:rPr>
        <w:t>u</w:t>
      </w:r>
      <w:r>
        <w:rPr>
          <w:rFonts w:hint="eastAsia"/>
          <w:bCs/>
          <w:vertAlign w:val="subscript"/>
        </w:rPr>
        <w:t>2</w:t>
      </w:r>
      <w:r>
        <w:t>为：</w:t>
      </w:r>
    </w:p>
    <w:p w14:paraId="3C2F2FC7">
      <w:pPr>
        <w:widowControl/>
        <w:ind w:firstLine="480"/>
        <w:jc w:val="right"/>
        <w:rPr>
          <w:rFonts w:ascii="宋体" w:hAnsi="宋体"/>
          <w:position w:val="-6"/>
        </w:rPr>
      </w:pPr>
      <w:r>
        <w:rPr>
          <w:rFonts w:hint="eastAsia"/>
          <w:i/>
          <w:position w:val="-10"/>
        </w:rPr>
        <w:t xml:space="preserve">        </w:t>
      </w:r>
      <w:r>
        <w:rPr>
          <w:i/>
          <w:position w:val="-20"/>
        </w:rPr>
        <w:object>
          <v:shape id="_x0000_i1034" o:spt="75" type="#_x0000_t75" style="height:20.1pt;width:102.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eastAsia="等线"/>
          <w:bCs/>
        </w:rPr>
        <w:t xml:space="preserve">          </w:t>
      </w:r>
      <w:r>
        <w:rPr>
          <w:rFonts w:hint="eastAsia" w:eastAsia="等线"/>
          <w:bCs/>
        </w:rPr>
        <w:t xml:space="preserve"> </w:t>
      </w:r>
      <w:r>
        <w:rPr>
          <w:rFonts w:eastAsia="等线"/>
          <w:bCs/>
        </w:rPr>
        <w:t xml:space="preserve">    </w:t>
      </w:r>
      <w:r>
        <w:rPr>
          <w:rFonts w:hint="eastAsia" w:eastAsia="等线"/>
          <w:bCs/>
        </w:rPr>
        <w:t xml:space="preserve">  </w:t>
      </w:r>
      <w:r>
        <w:rPr>
          <w:rFonts w:eastAsia="等线"/>
          <w:bCs/>
        </w:rPr>
        <w:t xml:space="preserve">       </w:t>
      </w:r>
      <w:r>
        <w:rPr>
          <w:rFonts w:hint="eastAsia" w:ascii="仿宋_GB2312" w:hAnsi="宋体" w:eastAsia="仿宋_GB2312"/>
          <w:position w:val="-40"/>
        </w:rPr>
        <w:t xml:space="preserve"> </w:t>
      </w:r>
      <w:r>
        <w:rPr>
          <w:rFonts w:hint="eastAsia" w:ascii="宋体" w:hAnsi="宋体"/>
          <w:position w:val="-6"/>
        </w:rPr>
        <w:t>（C.8）</w:t>
      </w:r>
    </w:p>
    <w:p w14:paraId="28CC6404">
      <w:pPr>
        <w:spacing w:line="360" w:lineRule="auto"/>
        <w:ind w:firstLine="480"/>
        <w:rPr>
          <w:bCs/>
          <w:color w:val="FF0000"/>
        </w:rPr>
      </w:pPr>
      <w:r>
        <w:rPr>
          <w:rFonts w:ascii="宋体" w:hAnsi="宋体"/>
          <w:color w:val="000000"/>
        </w:rPr>
        <w:t>C.4.</w:t>
      </w:r>
      <w:r>
        <w:rPr>
          <w:rFonts w:hint="eastAsia" w:ascii="宋体" w:hAnsi="宋体"/>
          <w:color w:val="000000"/>
        </w:rPr>
        <w:t xml:space="preserve">3  </w:t>
      </w:r>
      <w:r>
        <w:rPr>
          <w:rFonts w:hint="eastAsia" w:ascii="宋体" w:hAnsi="宋体" w:cs="宋体"/>
          <w:bCs/>
          <w:color w:val="000000"/>
        </w:rPr>
        <w:t>车载秤倾斜</w:t>
      </w:r>
      <w:r>
        <w:rPr>
          <w:bCs/>
          <w:color w:val="000000"/>
        </w:rPr>
        <w:t>引入的不确定度为</w:t>
      </w:r>
      <w:r>
        <w:rPr>
          <w:bCs/>
          <w:i/>
          <w:iCs/>
          <w:color w:val="000000"/>
        </w:rPr>
        <w:t>u</w:t>
      </w:r>
      <w:r>
        <w:rPr>
          <w:rFonts w:hint="eastAsia"/>
          <w:bCs/>
          <w:color w:val="000000"/>
          <w:vertAlign w:val="subscript"/>
        </w:rPr>
        <w:t>3</w:t>
      </w:r>
    </w:p>
    <w:p w14:paraId="6C166EC7">
      <w:pPr>
        <w:spacing w:line="360" w:lineRule="auto"/>
        <w:ind w:firstLine="480"/>
        <w:rPr>
          <w:bCs/>
          <w:color w:val="000000"/>
        </w:rPr>
      </w:pPr>
      <w:r>
        <w:rPr>
          <w:rFonts w:hint="eastAsia"/>
          <w:bCs/>
          <w:color w:val="000000"/>
        </w:rPr>
        <w:t>车载秤在倾斜状态下，</w:t>
      </w:r>
      <w:r>
        <w:rPr>
          <w:bCs/>
          <w:color w:val="000000"/>
        </w:rPr>
        <w:t>服从均匀分布</w:t>
      </w:r>
      <w:r>
        <w:rPr>
          <w:rFonts w:hint="eastAsia"/>
          <w:bCs/>
          <w:color w:val="000000"/>
        </w:rPr>
        <w:t>，</w:t>
      </w:r>
      <w:r>
        <w:rPr>
          <w:color w:val="000000"/>
        </w:rPr>
        <w:t>则其标准不确定度</w:t>
      </w:r>
      <w:r>
        <w:rPr>
          <w:bCs/>
          <w:i/>
          <w:iCs/>
          <w:color w:val="000000"/>
        </w:rPr>
        <w:t>u</w:t>
      </w:r>
      <w:r>
        <w:rPr>
          <w:rFonts w:hint="eastAsia"/>
          <w:bCs/>
          <w:color w:val="000000"/>
          <w:vertAlign w:val="subscript"/>
        </w:rPr>
        <w:t>3</w:t>
      </w:r>
      <w:r>
        <w:rPr>
          <w:color w:val="000000"/>
        </w:rPr>
        <w:t>为</w:t>
      </w:r>
      <w:r>
        <w:rPr>
          <w:bCs/>
          <w:color w:val="000000"/>
        </w:rPr>
        <w:t>：</w:t>
      </w:r>
    </w:p>
    <w:p w14:paraId="14C67629">
      <w:pPr>
        <w:wordWrap w:val="0"/>
        <w:spacing w:line="360" w:lineRule="auto"/>
        <w:ind w:firstLine="480"/>
        <w:jc w:val="right"/>
        <w:rPr>
          <w:rFonts w:ascii="仿宋_GB2312" w:hAnsi="宋体" w:eastAsia="仿宋_GB2312"/>
          <w:color w:val="000000"/>
          <w:position w:val="-28"/>
        </w:rPr>
      </w:pPr>
      <w:r>
        <w:rPr>
          <w:i/>
          <w:color w:val="000000"/>
          <w:position w:val="-14"/>
        </w:rPr>
        <w:object>
          <v:shape id="_x0000_i1035" o:spt="75" type="#_x0000_t75" style="height:20.95pt;width:7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hint="eastAsia"/>
          <w:color w:val="000000"/>
          <w:position w:val="-12"/>
        </w:rPr>
        <w:t xml:space="preserve">                           </w:t>
      </w:r>
      <w:r>
        <w:rPr>
          <w:rFonts w:hint="eastAsia" w:ascii="宋体" w:hAnsi="宋体"/>
          <w:color w:val="000000"/>
          <w:position w:val="-6"/>
        </w:rPr>
        <w:t>（C.9）</w:t>
      </w:r>
    </w:p>
    <w:p w14:paraId="39D20E07">
      <w:pPr>
        <w:spacing w:line="360" w:lineRule="auto"/>
        <w:ind w:firstLine="480"/>
        <w:rPr>
          <w:bCs/>
        </w:rPr>
      </w:pPr>
      <w:r>
        <w:rPr>
          <w:rFonts w:ascii="宋体" w:hAnsi="宋体"/>
          <w:color w:val="000000"/>
        </w:rPr>
        <w:t>C.4.</w:t>
      </w:r>
      <w:r>
        <w:rPr>
          <w:rFonts w:hint="eastAsia" w:ascii="宋体" w:hAnsi="宋体"/>
          <w:color w:val="000000"/>
        </w:rPr>
        <w:t xml:space="preserve">4  </w:t>
      </w:r>
      <w:r>
        <w:rPr>
          <w:rFonts w:hint="eastAsia"/>
          <w:bCs/>
        </w:rPr>
        <w:t>标准砝码引入的不确定度</w:t>
      </w:r>
      <w:r>
        <w:rPr>
          <w:i/>
        </w:rPr>
        <w:t>u</w:t>
      </w:r>
      <w:r>
        <w:rPr>
          <w:rFonts w:hint="eastAsia"/>
          <w:vertAlign w:val="subscript"/>
        </w:rPr>
        <w:t>4</w:t>
      </w:r>
    </w:p>
    <w:p w14:paraId="4D90B853">
      <w:pPr>
        <w:pStyle w:val="25"/>
        <w:spacing w:before="0" w:beforeAutospacing="0" w:after="0" w:afterAutospacing="0" w:line="360" w:lineRule="auto"/>
        <w:ind w:firstLine="480"/>
        <w:rPr>
          <w:color w:val="000000"/>
        </w:rPr>
      </w:pPr>
      <w:r>
        <w:rPr>
          <w:rFonts w:hint="eastAsia"/>
          <w:color w:val="000000"/>
        </w:rPr>
        <w:t>标准砝码的最大允许误差为其区间半宽度，服从均匀分布，其标准不确定度</w:t>
      </w:r>
      <w:r>
        <w:rPr>
          <w:bCs/>
          <w:i/>
          <w:iCs/>
        </w:rPr>
        <w:t>u</w:t>
      </w:r>
      <w:r>
        <w:rPr>
          <w:rFonts w:hint="eastAsia"/>
          <w:bCs/>
          <w:vertAlign w:val="subscript"/>
        </w:rPr>
        <w:t>4</w:t>
      </w:r>
      <w:r>
        <w:rPr>
          <w:rFonts w:hint="eastAsia"/>
          <w:color w:val="000000"/>
        </w:rPr>
        <w:t>为：</w:t>
      </w:r>
    </w:p>
    <w:p w14:paraId="25A710CF">
      <w:pPr>
        <w:wordWrap w:val="0"/>
        <w:spacing w:line="360" w:lineRule="auto"/>
        <w:ind w:firstLine="480"/>
        <w:jc w:val="right"/>
        <w:rPr>
          <w:rFonts w:ascii="宋体" w:hAnsi="宋体"/>
          <w:position w:val="-6"/>
        </w:rPr>
      </w:pPr>
      <w:r>
        <w:rPr>
          <w:i/>
          <w:position w:val="-14"/>
        </w:rPr>
        <w:object>
          <v:shape id="_x0000_i1036" o:spt="75" type="#_x0000_t75" style="height:20.95pt;width:75.3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eastAsia="等线"/>
          <w:bCs/>
        </w:rPr>
        <w:t xml:space="preserve"> </w:t>
      </w:r>
      <w:r>
        <w:rPr>
          <w:rFonts w:hint="eastAsia" w:eastAsia="等线"/>
          <w:bCs/>
        </w:rPr>
        <w:t xml:space="preserve">                        </w:t>
      </w:r>
      <w:r>
        <w:rPr>
          <w:rFonts w:hint="eastAsia" w:ascii="仿宋_GB2312" w:hAnsi="宋体" w:eastAsia="仿宋_GB2312"/>
          <w:position w:val="-40"/>
        </w:rPr>
        <w:t xml:space="preserve"> </w:t>
      </w:r>
      <w:r>
        <w:rPr>
          <w:rFonts w:hint="eastAsia" w:ascii="宋体" w:hAnsi="宋体"/>
          <w:position w:val="-6"/>
        </w:rPr>
        <w:t>（C.10）</w:t>
      </w:r>
    </w:p>
    <w:p w14:paraId="06B255CA">
      <w:pPr>
        <w:spacing w:line="360" w:lineRule="auto"/>
        <w:ind w:right="240"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C.4.5  标准不确定度汇总</w:t>
      </w:r>
    </w:p>
    <w:p w14:paraId="01127498">
      <w:pPr>
        <w:spacing w:line="360" w:lineRule="auto"/>
        <w:ind w:firstLine="480"/>
        <w:rPr>
          <w:rFonts w:ascii="黑体" w:hAnsi="黑体" w:eastAsia="黑体"/>
          <w:szCs w:val="21"/>
        </w:rPr>
      </w:pPr>
      <w:r>
        <w:rPr>
          <w:rFonts w:hint="eastAsia" w:ascii="宋体" w:hAnsi="宋体" w:cs="宋体"/>
        </w:rPr>
        <w:t>标准不确定度分量汇总见表C.1。</w:t>
      </w:r>
    </w:p>
    <w:p w14:paraId="3C6EB34A">
      <w:pPr>
        <w:wordWrap w:val="0"/>
        <w:spacing w:before="50" w:after="50" w:line="360" w:lineRule="auto"/>
        <w:ind w:right="370" w:firstLine="480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表C.1 标准不确定度分量汇总表</w:t>
      </w:r>
    </w:p>
    <w:tbl>
      <w:tblPr>
        <w:tblStyle w:val="28"/>
        <w:tblW w:w="9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9"/>
        <w:gridCol w:w="3089"/>
        <w:gridCol w:w="3090"/>
      </w:tblGrid>
      <w:tr w14:paraId="4B42E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089" w:type="dxa"/>
            <w:vAlign w:val="center"/>
          </w:tcPr>
          <w:p w14:paraId="5F492CAA">
            <w:pPr>
              <w:ind w:firstLine="4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标准不确定度分量</w:t>
            </w:r>
            <w:r>
              <w:rPr>
                <w:rFonts w:hint="eastAsia"/>
                <w:i/>
                <w:szCs w:val="21"/>
              </w:rPr>
              <w:t>u</w:t>
            </w:r>
          </w:p>
        </w:tc>
        <w:tc>
          <w:tcPr>
            <w:tcW w:w="3089" w:type="dxa"/>
            <w:vAlign w:val="center"/>
          </w:tcPr>
          <w:p w14:paraId="5E1B2DC9">
            <w:pPr>
              <w:ind w:firstLine="480"/>
              <w:jc w:val="center"/>
              <w:rPr>
                <w:szCs w:val="21"/>
              </w:rPr>
            </w:pPr>
            <w:r>
              <w:rPr>
                <w:szCs w:val="21"/>
              </w:rPr>
              <w:t>不确定度来源</w:t>
            </w:r>
          </w:p>
        </w:tc>
        <w:tc>
          <w:tcPr>
            <w:tcW w:w="3090" w:type="dxa"/>
            <w:vAlign w:val="center"/>
          </w:tcPr>
          <w:p w14:paraId="67A1F01E">
            <w:pPr>
              <w:ind w:firstLine="4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灵敏系数</w:t>
            </w:r>
          </w:p>
        </w:tc>
      </w:tr>
      <w:tr w14:paraId="56937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089" w:type="dxa"/>
            <w:vAlign w:val="center"/>
          </w:tcPr>
          <w:p w14:paraId="55A27576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i/>
                <w:szCs w:val="21"/>
              </w:rPr>
              <w:t>u</w:t>
            </w:r>
            <w:r>
              <w:rPr>
                <w:rFonts w:hint="eastAsia"/>
                <w:szCs w:val="21"/>
                <w:vertAlign w:val="subscript"/>
              </w:rPr>
              <w:t>1</w:t>
            </w:r>
          </w:p>
        </w:tc>
        <w:tc>
          <w:tcPr>
            <w:tcW w:w="3089" w:type="dxa"/>
            <w:vAlign w:val="center"/>
          </w:tcPr>
          <w:p w14:paraId="35F7A0CB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重复性测量</w:t>
            </w:r>
          </w:p>
        </w:tc>
        <w:tc>
          <w:tcPr>
            <w:tcW w:w="3090" w:type="dxa"/>
            <w:vAlign w:val="center"/>
          </w:tcPr>
          <w:p w14:paraId="5E861523">
            <w:pPr>
              <w:ind w:firstLine="4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AB78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089" w:type="dxa"/>
            <w:vAlign w:val="center"/>
          </w:tcPr>
          <w:p w14:paraId="4DD38B4A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i/>
                <w:szCs w:val="21"/>
              </w:rPr>
              <w:t>u</w:t>
            </w:r>
            <w:r>
              <w:rPr>
                <w:rFonts w:hint="eastAsia"/>
                <w:szCs w:val="21"/>
                <w:vertAlign w:val="subscript"/>
              </w:rPr>
              <w:t>2</w:t>
            </w:r>
          </w:p>
        </w:tc>
        <w:tc>
          <w:tcPr>
            <w:tcW w:w="3089" w:type="dxa"/>
            <w:vAlign w:val="center"/>
          </w:tcPr>
          <w:p w14:paraId="6BC3F6EC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/>
                <w:position w:val="-10"/>
                <w:szCs w:val="21"/>
              </w:rPr>
            </w:pPr>
            <w:r>
              <w:rPr>
                <w:rFonts w:hint="eastAsia"/>
                <w:szCs w:val="21"/>
              </w:rPr>
              <w:t>车载秤</w:t>
            </w:r>
            <w:r>
              <w:rPr>
                <w:szCs w:val="21"/>
              </w:rPr>
              <w:t>分辨力</w:t>
            </w:r>
          </w:p>
        </w:tc>
        <w:tc>
          <w:tcPr>
            <w:tcW w:w="3090" w:type="dxa"/>
            <w:vAlign w:val="center"/>
          </w:tcPr>
          <w:p w14:paraId="08A38097">
            <w:pPr>
              <w:ind w:firstLine="4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D544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089" w:type="dxa"/>
            <w:vAlign w:val="center"/>
          </w:tcPr>
          <w:p w14:paraId="350D7E63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i/>
                <w:szCs w:val="21"/>
              </w:rPr>
            </w:pPr>
            <w:r>
              <w:rPr>
                <w:rFonts w:hint="eastAsia"/>
                <w:i/>
                <w:szCs w:val="21"/>
              </w:rPr>
              <w:t>u</w:t>
            </w:r>
            <w:r>
              <w:rPr>
                <w:rFonts w:hint="eastAsia"/>
                <w:szCs w:val="21"/>
                <w:vertAlign w:val="subscript"/>
              </w:rPr>
              <w:t>3</w:t>
            </w:r>
          </w:p>
        </w:tc>
        <w:tc>
          <w:tcPr>
            <w:tcW w:w="3089" w:type="dxa"/>
            <w:vAlign w:val="center"/>
          </w:tcPr>
          <w:p w14:paraId="67EE4918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车载秤倾斜</w:t>
            </w:r>
          </w:p>
        </w:tc>
        <w:tc>
          <w:tcPr>
            <w:tcW w:w="3090" w:type="dxa"/>
            <w:vAlign w:val="center"/>
          </w:tcPr>
          <w:p w14:paraId="62E8872C">
            <w:pPr>
              <w:ind w:firstLine="4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2EC4D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089" w:type="dxa"/>
            <w:vAlign w:val="center"/>
          </w:tcPr>
          <w:p w14:paraId="63550B4B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szCs w:val="21"/>
              </w:rPr>
            </w:pPr>
            <w:r>
              <w:rPr>
                <w:rFonts w:hint="eastAsia"/>
                <w:i/>
                <w:szCs w:val="21"/>
              </w:rPr>
              <w:t>u</w:t>
            </w:r>
            <w:r>
              <w:rPr>
                <w:rFonts w:hint="eastAsia"/>
                <w:szCs w:val="21"/>
                <w:vertAlign w:val="subscript"/>
              </w:rPr>
              <w:t>4</w:t>
            </w:r>
          </w:p>
        </w:tc>
        <w:tc>
          <w:tcPr>
            <w:tcW w:w="3089" w:type="dxa"/>
            <w:vAlign w:val="center"/>
          </w:tcPr>
          <w:p w14:paraId="22A4D6DC">
            <w:pPr>
              <w:tabs>
                <w:tab w:val="left" w:pos="0"/>
              </w:tabs>
              <w:spacing w:line="400" w:lineRule="exact"/>
              <w:ind w:firstLine="480"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标准砝码</w:t>
            </w:r>
          </w:p>
        </w:tc>
        <w:tc>
          <w:tcPr>
            <w:tcW w:w="3090" w:type="dxa"/>
            <w:vAlign w:val="center"/>
          </w:tcPr>
          <w:p w14:paraId="2CB0E17B">
            <w:pPr>
              <w:ind w:firstLine="4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-1</w:t>
            </w:r>
          </w:p>
        </w:tc>
      </w:tr>
    </w:tbl>
    <w:p w14:paraId="29701A9C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C.4.6  合成标准不确定度</w:t>
      </w:r>
    </w:p>
    <w:p w14:paraId="1F3BBDE4">
      <w:pPr>
        <w:spacing w:line="360" w:lineRule="auto"/>
        <w:ind w:firstLine="480"/>
        <w:rPr>
          <w:rFonts w:ascii="宋体" w:hAnsi="宋体"/>
        </w:rPr>
      </w:pPr>
      <w:r>
        <w:rPr>
          <w:rFonts w:hint="eastAsia" w:ascii="宋体" w:hAnsi="宋体"/>
        </w:rPr>
        <w:t>以上各不确定度分量均不相关，则</w:t>
      </w:r>
      <w:r>
        <w:rPr>
          <w:rFonts w:hint="eastAsia" w:ascii="宋体" w:hAnsi="宋体"/>
          <w:color w:val="000000"/>
        </w:rPr>
        <w:t>合成标准不确定度为</w:t>
      </w:r>
      <w:r>
        <w:rPr>
          <w:rFonts w:hint="eastAsia" w:ascii="宋体" w:hAnsi="宋体"/>
        </w:rPr>
        <w:t>：</w:t>
      </w:r>
    </w:p>
    <w:p w14:paraId="07B63D40">
      <w:pPr>
        <w:spacing w:line="360" w:lineRule="auto"/>
        <w:ind w:firstLine="3720" w:firstLineChars="1550"/>
        <w:jc w:val="right"/>
        <w:rPr>
          <w:rFonts w:ascii="宋体" w:hAnsi="宋体"/>
        </w:rPr>
      </w:pPr>
      <w:r>
        <w:rPr>
          <w:rFonts w:hint="eastAsia" w:ascii="宋体" w:hAnsi="宋体"/>
          <w:color w:val="000000"/>
          <w:position w:val="-16"/>
        </w:rPr>
        <w:t xml:space="preserve"> </w:t>
      </w:r>
      <w:r>
        <w:rPr>
          <w:rFonts w:ascii="宋体" w:hAnsi="宋体"/>
          <w:color w:val="000000"/>
          <w:position w:val="-20"/>
        </w:rPr>
        <w:object>
          <v:shape id="_x0000_i1037" o:spt="75" type="#_x0000_t75" style="height:20.95pt;width:10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 w:ascii="宋体" w:hAnsi="宋体"/>
        </w:rPr>
        <w:t xml:space="preserve">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宋体" w:hAnsi="宋体"/>
        </w:rPr>
        <w:t xml:space="preserve">（C.11）                         </w:t>
      </w:r>
      <w:r>
        <w:rPr>
          <w:rFonts w:hint="eastAsia" w:ascii="宋体" w:hAnsi="宋体"/>
          <w:color w:val="000000"/>
        </w:rPr>
        <w:t xml:space="preserve">                   </w:t>
      </w:r>
    </w:p>
    <w:p w14:paraId="74190EC8">
      <w:pPr>
        <w:spacing w:line="360" w:lineRule="auto"/>
        <w:ind w:firstLine="480"/>
        <w:rPr>
          <w:rFonts w:ascii="宋体" w:hAnsi="宋体"/>
        </w:rPr>
      </w:pPr>
      <w:r>
        <w:rPr>
          <w:rFonts w:hint="eastAsia" w:ascii="宋体" w:hAnsi="宋体"/>
        </w:rPr>
        <w:t>C.4.7  扩展不确定度</w:t>
      </w:r>
    </w:p>
    <w:p w14:paraId="73B5FF75">
      <w:pPr>
        <w:spacing w:line="360" w:lineRule="auto"/>
        <w:ind w:firstLine="480"/>
        <w:rPr>
          <w:rFonts w:ascii="宋体" w:hAnsi="宋体"/>
        </w:rPr>
      </w:pPr>
      <w:r>
        <w:rPr>
          <w:rFonts w:hint="eastAsia" w:ascii="宋体" w:hAnsi="宋体"/>
        </w:rPr>
        <w:t>取包含因子</w:t>
      </w:r>
      <w:r>
        <w:rPr>
          <w:i/>
          <w:iCs/>
        </w:rPr>
        <w:t>k</w:t>
      </w:r>
      <w:r>
        <w:rPr>
          <w:rFonts w:hint="eastAsia" w:ascii="宋体" w:hAnsi="宋体"/>
        </w:rPr>
        <w:t>=2，则扩展不确定度</w:t>
      </w:r>
      <w:r>
        <w:rPr>
          <w:i/>
          <w:iCs/>
        </w:rPr>
        <w:t>U</w:t>
      </w:r>
      <w:r>
        <w:rPr>
          <w:rFonts w:hint="eastAsia" w:ascii="宋体" w:hAnsi="宋体"/>
        </w:rPr>
        <w:t>为：</w:t>
      </w:r>
    </w:p>
    <w:p w14:paraId="5A4C9593">
      <w:pPr>
        <w:wordWrap w:val="0"/>
        <w:spacing w:line="360" w:lineRule="auto"/>
        <w:ind w:firstLine="480"/>
        <w:jc w:val="right"/>
        <w:rPr>
          <w:rFonts w:ascii="宋体" w:hAnsi="宋体"/>
        </w:rPr>
      </w:pPr>
      <w:r>
        <w:rPr>
          <w:rFonts w:hint="eastAsia" w:ascii="宋体" w:hAnsi="宋体"/>
          <w:color w:val="FF0000"/>
        </w:rPr>
        <w:t xml:space="preserve">       </w:t>
      </w:r>
      <w:r>
        <w:rPr>
          <w:rFonts w:hint="eastAsia" w:ascii="宋体" w:hAnsi="宋体"/>
          <w:color w:val="FF0000"/>
          <w:position w:val="-10"/>
        </w:rPr>
        <w:object>
          <v:shape id="_x0000_i1038" o:spt="75" type="#_x0000_t75" style="height:18.4pt;width:67.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 w:ascii="宋体" w:hAnsi="宋体"/>
          <w:color w:val="FF0000"/>
        </w:rPr>
        <w:t xml:space="preserve">  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宋体" w:hAnsi="宋体"/>
        </w:rPr>
        <w:t>（C.12）</w:t>
      </w:r>
    </w:p>
    <w:p w14:paraId="4FD13FC1">
      <w:pPr>
        <w:ind w:firstLine="480"/>
      </w:pPr>
    </w:p>
    <w:bookmarkEnd w:id="4"/>
    <w:p w14:paraId="7F5BE83A">
      <w:pPr>
        <w:widowControl/>
        <w:spacing w:line="240" w:lineRule="auto"/>
        <w:ind w:firstLine="0" w:firstLineChars="0"/>
        <w:rPr>
          <w:rFonts w:eastAsia="黑体"/>
          <w:bCs/>
          <w:sz w:val="28"/>
          <w:szCs w:val="28"/>
        </w:rPr>
      </w:pPr>
      <w:bookmarkStart w:id="5" w:name="_Toc163381080"/>
      <w:bookmarkStart w:id="6" w:name="_Toc162966493"/>
      <w:bookmarkStart w:id="7" w:name="_Toc159246905"/>
      <w:bookmarkStart w:id="8" w:name="_Hlk162966651"/>
      <w:r>
        <w:rPr>
          <w:sz w:val="28"/>
          <w:szCs w:val="28"/>
        </w:rPr>
        <w:br w:type="page"/>
      </w:r>
    </w:p>
    <w:p w14:paraId="3C7BC4E4">
      <w:pPr>
        <w:pStyle w:val="2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车载（液压升降）秤测量不确定度评定示例</w:t>
      </w:r>
      <w:bookmarkEnd w:id="5"/>
      <w:bookmarkEnd w:id="6"/>
      <w:bookmarkEnd w:id="7"/>
    </w:p>
    <w:bookmarkEnd w:id="8"/>
    <w:p w14:paraId="7DC0D4E7">
      <w:pPr>
        <w:spacing w:line="360" w:lineRule="auto"/>
        <w:ind w:firstLine="480"/>
        <w:rPr>
          <w:rFonts w:ascii="宋体" w:hAnsi="宋体" w:cs="宋体"/>
          <w:color w:val="000000"/>
        </w:rPr>
      </w:pPr>
    </w:p>
    <w:p w14:paraId="5C317525">
      <w:pPr>
        <w:spacing w:line="360" w:lineRule="auto"/>
        <w:ind w:firstLine="48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D.1  校准对象</w:t>
      </w:r>
    </w:p>
    <w:p w14:paraId="648854C6">
      <w:pPr>
        <w:spacing w:line="360" w:lineRule="auto"/>
        <w:ind w:firstLine="480"/>
        <w:rPr>
          <w:color w:val="000000"/>
        </w:rPr>
      </w:pPr>
      <w:r>
        <w:rPr>
          <w:rFonts w:hAnsi="宋体"/>
          <w:color w:val="000000"/>
        </w:rPr>
        <w:t>以</w:t>
      </w:r>
      <w:r>
        <w:rPr>
          <w:rFonts w:hAnsi="宋体"/>
        </w:rPr>
        <w:t>最大秤量为</w:t>
      </w:r>
      <w:r>
        <w:t>2 000 kg</w:t>
      </w:r>
      <w:r>
        <w:rPr>
          <w:rFonts w:hAnsi="宋体"/>
        </w:rPr>
        <w:t>，分度值</w:t>
      </w:r>
      <w:r>
        <w:rPr>
          <w:i/>
        </w:rPr>
        <w:t>d</w:t>
      </w:r>
      <w:r>
        <w:rPr>
          <w:rFonts w:hAnsi="宋体"/>
        </w:rPr>
        <w:t>为</w:t>
      </w:r>
      <w:r>
        <w:t>1 kg</w:t>
      </w:r>
      <w:r>
        <w:rPr>
          <w:rFonts w:hAnsi="宋体"/>
        </w:rPr>
        <w:t>的车载（液压升降）秤</w:t>
      </w:r>
      <w:r>
        <w:rPr>
          <w:rFonts w:hAnsi="宋体"/>
          <w:color w:val="000000"/>
        </w:rPr>
        <w:t>为校准对象，进行测量不确定度评定。</w:t>
      </w:r>
    </w:p>
    <w:p w14:paraId="150C49DF">
      <w:pPr>
        <w:spacing w:line="360" w:lineRule="auto"/>
        <w:ind w:firstLine="480"/>
        <w:rPr>
          <w:rFonts w:ascii="宋体" w:hAnsi="宋体"/>
          <w:color w:val="000000"/>
          <w:szCs w:val="20"/>
        </w:rPr>
      </w:pPr>
      <w:r>
        <w:rPr>
          <w:rFonts w:ascii="宋体" w:hAnsi="宋体"/>
          <w:color w:val="000000"/>
          <w:szCs w:val="20"/>
        </w:rPr>
        <w:t>D</w:t>
      </w:r>
      <w:r>
        <w:rPr>
          <w:rFonts w:hint="eastAsia" w:ascii="宋体" w:hAnsi="宋体"/>
          <w:color w:val="000000"/>
          <w:szCs w:val="20"/>
        </w:rPr>
        <w:t>.</w:t>
      </w:r>
      <w:r>
        <w:rPr>
          <w:rFonts w:ascii="宋体" w:hAnsi="宋体"/>
          <w:color w:val="000000"/>
          <w:szCs w:val="20"/>
        </w:rPr>
        <w:t>2</w:t>
      </w:r>
      <w:r>
        <w:rPr>
          <w:rFonts w:hint="eastAsia" w:ascii="宋体" w:hAnsi="宋体"/>
          <w:color w:val="000000"/>
          <w:szCs w:val="20"/>
        </w:rPr>
        <w:t xml:space="preserve">  称量点选取</w:t>
      </w:r>
    </w:p>
    <w:p w14:paraId="7692AED9">
      <w:pPr>
        <w:spacing w:line="360" w:lineRule="auto"/>
        <w:ind w:firstLine="480"/>
        <w:rPr>
          <w:color w:val="000000"/>
          <w:szCs w:val="20"/>
        </w:rPr>
      </w:pPr>
      <w:r>
        <w:rPr>
          <w:color w:val="000000"/>
          <w:szCs w:val="20"/>
        </w:rPr>
        <w:t>选取试验载荷为</w:t>
      </w:r>
      <w:r>
        <w:rPr>
          <w:rFonts w:hint="eastAsia"/>
          <w:color w:val="000000"/>
          <w:szCs w:val="20"/>
        </w:rPr>
        <w:t>1 00</w:t>
      </w:r>
      <w:r>
        <w:rPr>
          <w:color w:val="000000"/>
          <w:szCs w:val="20"/>
        </w:rPr>
        <w:t>0</w:t>
      </w:r>
      <w:r>
        <w:rPr>
          <w:rFonts w:hint="eastAsia"/>
          <w:color w:val="000000"/>
          <w:szCs w:val="20"/>
        </w:rPr>
        <w:t xml:space="preserve"> </w:t>
      </w:r>
      <w:r>
        <w:rPr>
          <w:color w:val="000000"/>
          <w:szCs w:val="20"/>
        </w:rPr>
        <w:t>kg称量点进行评定。</w:t>
      </w:r>
    </w:p>
    <w:p w14:paraId="448E37CF">
      <w:pPr>
        <w:spacing w:line="360" w:lineRule="auto"/>
        <w:ind w:firstLine="48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D.2.1  </w:t>
      </w:r>
      <w:r>
        <w:rPr>
          <w:rFonts w:hint="eastAsia"/>
          <w:color w:val="000000"/>
          <w:szCs w:val="20"/>
        </w:rPr>
        <w:t>重复性引入的不确定度分量</w:t>
      </w:r>
      <w:r>
        <w:rPr>
          <w:i/>
          <w:color w:val="000000"/>
          <w:szCs w:val="20"/>
        </w:rPr>
        <w:t>u</w:t>
      </w:r>
      <w:r>
        <w:rPr>
          <w:rFonts w:hint="eastAsia"/>
          <w:color w:val="000000"/>
          <w:szCs w:val="20"/>
          <w:vertAlign w:val="subscript"/>
        </w:rPr>
        <w:t>1</w:t>
      </w:r>
    </w:p>
    <w:p w14:paraId="7080B0BE">
      <w:pPr>
        <w:spacing w:line="30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10次测量的数据为</w:t>
      </w:r>
      <w:r>
        <w:t>1000.2 kg、1000.2 kg、1000.1 kg、1000.2</w:t>
      </w:r>
      <w:r>
        <w:rPr>
          <w:rFonts w:hint="eastAsia"/>
        </w:rPr>
        <w:t xml:space="preserve"> </w:t>
      </w:r>
      <w:r>
        <w:t>kg、1000.</w:t>
      </w:r>
      <w:r>
        <w:rPr>
          <w:rFonts w:hint="eastAsia"/>
        </w:rPr>
        <w:t xml:space="preserve">3 </w:t>
      </w:r>
      <w:r>
        <w:t>kg、1000.2</w:t>
      </w:r>
      <w:r>
        <w:rPr>
          <w:rFonts w:hint="eastAsia"/>
        </w:rPr>
        <w:t xml:space="preserve"> </w:t>
      </w:r>
      <w:r>
        <w:t>kg、1000.</w:t>
      </w:r>
      <w:r>
        <w:rPr>
          <w:rFonts w:hint="eastAsia"/>
        </w:rPr>
        <w:t xml:space="preserve">1 </w:t>
      </w:r>
      <w:r>
        <w:t>kg、1000.2</w:t>
      </w:r>
      <w:r>
        <w:rPr>
          <w:rFonts w:hint="eastAsia"/>
        </w:rPr>
        <w:t xml:space="preserve"> </w:t>
      </w:r>
      <w:r>
        <w:t>kg、1000.</w:t>
      </w:r>
      <w:r>
        <w:rPr>
          <w:rFonts w:hint="eastAsia"/>
        </w:rPr>
        <w:t xml:space="preserve">2 </w:t>
      </w:r>
      <w:r>
        <w:t>kg、1000.2</w:t>
      </w:r>
      <w:r>
        <w:rPr>
          <w:rFonts w:hint="eastAsia"/>
        </w:rPr>
        <w:t xml:space="preserve"> </w:t>
      </w:r>
      <w:r>
        <w:t>kg、</w:t>
      </w:r>
      <w:r>
        <w:rPr>
          <w:rFonts w:hint="eastAsia"/>
        </w:rPr>
        <w:t>根据公式（C.7）</w:t>
      </w:r>
      <w:r>
        <w:rPr>
          <w:rFonts w:hint="eastAsia" w:ascii="宋体" w:hAnsi="宋体" w:cs="宋体"/>
        </w:rPr>
        <w:t>重复性引入的标准不确定度</w:t>
      </w:r>
      <w:r>
        <w:rPr>
          <w:i/>
          <w:szCs w:val="20"/>
        </w:rPr>
        <w:t>u</w:t>
      </w:r>
      <w:r>
        <w:rPr>
          <w:rFonts w:hint="eastAsia"/>
          <w:szCs w:val="20"/>
          <w:vertAlign w:val="subscript"/>
        </w:rPr>
        <w:t>1</w:t>
      </w:r>
      <w:r>
        <w:rPr>
          <w:rFonts w:hint="eastAsia" w:ascii="宋体" w:hAnsi="宋体" w:cs="宋体"/>
        </w:rPr>
        <w:t>：</w:t>
      </w:r>
    </w:p>
    <w:p w14:paraId="29B2694D">
      <w:pPr>
        <w:wordWrap w:val="0"/>
        <w:ind w:firstLine="480"/>
        <w:jc w:val="right"/>
        <w:rPr>
          <w:rFonts w:ascii="仿宋_GB2312" w:hAnsi="宋体" w:eastAsia="仿宋_GB2312"/>
          <w:color w:val="FF0000"/>
        </w:rPr>
      </w:pPr>
      <w:r>
        <w:rPr>
          <w:rFonts w:ascii="仿宋_GB2312" w:hAnsi="宋体" w:eastAsia="仿宋_GB2312"/>
          <w:color w:val="FF0000"/>
          <w:position w:val="-26"/>
        </w:rPr>
        <w:object>
          <v:shape id="_x0000_i1039" o:spt="75" type="#_x0000_t75" style="height:37.65pt;width:179.1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hint="eastAsia" w:ascii="仿宋_GB2312" w:hAnsi="宋体" w:eastAsia="仿宋_GB2312"/>
          <w:color w:val="FF0000"/>
        </w:rPr>
        <w:t xml:space="preserve">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宋体" w:hAnsi="宋体"/>
        </w:rPr>
        <w:t>（D.1）</w:t>
      </w:r>
    </w:p>
    <w:p w14:paraId="11E0437B">
      <w:pPr>
        <w:spacing w:line="360" w:lineRule="auto"/>
        <w:ind w:firstLine="480"/>
        <w:rPr>
          <w:bCs/>
        </w:rPr>
      </w:pPr>
      <w:r>
        <w:rPr>
          <w:rFonts w:hint="eastAsia" w:ascii="宋体" w:hAnsi="宋体" w:cs="宋体"/>
          <w:bCs/>
        </w:rPr>
        <w:t>D.2.2车载秤</w:t>
      </w:r>
      <w:r>
        <w:rPr>
          <w:bCs/>
        </w:rPr>
        <w:t>分辨力引入的不确定度</w:t>
      </w:r>
      <w:r>
        <w:rPr>
          <w:rFonts w:hint="eastAsia"/>
          <w:bCs/>
        </w:rPr>
        <w:t>分量</w:t>
      </w:r>
      <w:r>
        <w:rPr>
          <w:bCs/>
          <w:i/>
          <w:iCs/>
        </w:rPr>
        <w:t>u</w:t>
      </w:r>
      <w:r>
        <w:rPr>
          <w:rFonts w:hint="eastAsia"/>
          <w:bCs/>
          <w:vertAlign w:val="subscript"/>
        </w:rPr>
        <w:t>2</w:t>
      </w:r>
    </w:p>
    <w:p w14:paraId="4B9F6231">
      <w:pPr>
        <w:widowControl/>
        <w:spacing w:line="400" w:lineRule="exact"/>
        <w:ind w:firstLine="480"/>
      </w:pPr>
      <w:r>
        <w:rPr>
          <w:bCs/>
        </w:rPr>
        <w:t>车载秤的分辨力引入的不确定度分量可按均匀分布处理，</w:t>
      </w:r>
      <w:r>
        <w:rPr>
          <w:position w:val="-8"/>
        </w:rPr>
        <w:object>
          <v:shape id="_x0000_i1040" o:spt="75" type="#_x0000_t75" style="height:18.4pt;width:3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0">
            <o:LockedField>false</o:LockedField>
          </o:OLEObject>
        </w:object>
      </w:r>
      <w:r>
        <w:rPr>
          <w:rFonts w:hAnsi="宋体"/>
        </w:rPr>
        <w:t>，车载秤的分度值</w:t>
      </w:r>
      <w:r>
        <w:rPr>
          <w:i/>
        </w:rPr>
        <w:t>d</w:t>
      </w:r>
      <w:r>
        <w:t>=1 kg，</w:t>
      </w:r>
      <w:r>
        <w:rPr>
          <w:rFonts w:hAnsi="宋体"/>
        </w:rPr>
        <w:t>通过逐个添加</w:t>
      </w:r>
      <w:r>
        <w:t>0.1</w:t>
      </w:r>
      <w:r>
        <w:rPr>
          <w:i/>
          <w:iCs/>
        </w:rPr>
        <w:t>d</w:t>
      </w:r>
      <w:r>
        <w:rPr>
          <w:rFonts w:hAnsi="宋体"/>
        </w:rPr>
        <w:t>的小砝码，采用找闪变点的方法确定，</w:t>
      </w:r>
      <w:r>
        <w:rPr>
          <w:color w:val="000000"/>
        </w:rPr>
        <w:t>根据公式（C.8）</w:t>
      </w:r>
      <w:r>
        <w:t>分辨力引入的不确定度</w:t>
      </w:r>
      <w:r>
        <w:rPr>
          <w:i/>
        </w:rPr>
        <w:t>u</w:t>
      </w:r>
      <w:r>
        <w:rPr>
          <w:vertAlign w:val="subscript"/>
        </w:rPr>
        <w:t>2</w:t>
      </w:r>
      <w:r>
        <w:t>为：</w:t>
      </w:r>
    </w:p>
    <w:p w14:paraId="507E02CE">
      <w:pPr>
        <w:tabs>
          <w:tab w:val="left" w:pos="720"/>
        </w:tabs>
        <w:wordWrap w:val="0"/>
        <w:ind w:firstLine="480"/>
        <w:jc w:val="right"/>
        <w:rPr>
          <w:rFonts w:ascii="仿宋_GB2312" w:hAnsi="宋体" w:eastAsia="仿宋_GB2312"/>
          <w:position w:val="-28"/>
        </w:rPr>
      </w:pPr>
      <w:r>
        <w:rPr>
          <w:rFonts w:hint="eastAsia" w:ascii="仿宋_GB2312" w:hAnsi="宋体" w:eastAsia="仿宋_GB2312"/>
          <w:position w:val="-12"/>
        </w:rPr>
        <w:object>
          <v:shape id="_x0000_i1041" o:spt="75" type="#_x0000_t75" style="height:20.1pt;width:129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hint="eastAsia" w:ascii="仿宋_GB2312" w:hAnsi="宋体" w:eastAsia="仿宋_GB2312"/>
          <w:position w:val="-28"/>
        </w:rPr>
        <w:t xml:space="preserve">                      </w:t>
      </w:r>
      <w:r>
        <w:rPr>
          <w:rFonts w:hint="eastAsia" w:ascii="宋体" w:hAnsi="宋体"/>
        </w:rPr>
        <w:t>（D.2）</w:t>
      </w:r>
    </w:p>
    <w:p w14:paraId="6CB2CAFA">
      <w:pPr>
        <w:spacing w:line="360" w:lineRule="auto"/>
        <w:ind w:firstLine="480"/>
        <w:rPr>
          <w:bCs/>
        </w:rPr>
      </w:pPr>
      <w:r>
        <w:rPr>
          <w:rFonts w:hint="eastAsia" w:ascii="宋体" w:hAnsi="宋体" w:cs="宋体"/>
          <w:bCs/>
        </w:rPr>
        <w:t>C.2.3  被检车载秤倾斜</w:t>
      </w:r>
      <w:r>
        <w:rPr>
          <w:bCs/>
        </w:rPr>
        <w:t>引入的不确定度</w:t>
      </w:r>
      <w:r>
        <w:rPr>
          <w:rFonts w:hint="eastAsia"/>
          <w:bCs/>
        </w:rPr>
        <w:t>分量</w:t>
      </w:r>
      <w:r>
        <w:rPr>
          <w:bCs/>
          <w:i/>
          <w:iCs/>
        </w:rPr>
        <w:t>u</w:t>
      </w:r>
      <w:r>
        <w:rPr>
          <w:rFonts w:hint="eastAsia"/>
          <w:bCs/>
          <w:vertAlign w:val="subscript"/>
        </w:rPr>
        <w:t>3</w:t>
      </w:r>
    </w:p>
    <w:p w14:paraId="69455240">
      <w:pPr>
        <w:pStyle w:val="25"/>
        <w:spacing w:before="0" w:beforeAutospacing="0" w:after="0" w:afterAutospacing="0" w:line="400" w:lineRule="exact"/>
        <w:ind w:firstLine="480"/>
        <w:rPr>
          <w:color w:val="000000"/>
        </w:rPr>
      </w:pPr>
      <w:r>
        <w:rPr>
          <w:rFonts w:hint="eastAsia"/>
          <w:bCs/>
        </w:rPr>
        <w:t>车载秤在倾斜状态下，其最大允许误差为</w:t>
      </w:r>
      <w:r>
        <w:rPr>
          <w:bCs/>
        </w:rPr>
        <w:t>±</w:t>
      </w:r>
      <w:r>
        <w:rPr>
          <w:rFonts w:hint="eastAsia"/>
          <w:bCs/>
        </w:rPr>
        <w:t>1 k</w:t>
      </w:r>
      <w:r>
        <w:rPr>
          <w:bCs/>
        </w:rPr>
        <w:t>g服从均匀分布</w:t>
      </w:r>
      <w:r>
        <w:rPr>
          <w:rFonts w:hint="eastAsia"/>
          <w:bCs/>
        </w:rPr>
        <w:t>，</w:t>
      </w:r>
      <w:r>
        <w:rPr>
          <w:szCs w:val="24"/>
        </w:rPr>
        <w:t>根据公式（C.</w:t>
      </w:r>
      <w:r>
        <w:rPr>
          <w:rFonts w:hint="eastAsia"/>
          <w:szCs w:val="24"/>
        </w:rPr>
        <w:t>9</w:t>
      </w:r>
      <w:r>
        <w:rPr>
          <w:szCs w:val="24"/>
        </w:rPr>
        <w:t>）</w:t>
      </w:r>
      <w:r>
        <w:rPr>
          <w:rFonts w:hint="eastAsia"/>
          <w:color w:val="000000"/>
          <w:szCs w:val="24"/>
        </w:rPr>
        <w:t>倾斜</w:t>
      </w:r>
      <w:r>
        <w:t>引入的不确定度不确定度</w:t>
      </w:r>
      <w:r>
        <w:rPr>
          <w:i/>
        </w:rPr>
        <w:t>u</w:t>
      </w:r>
      <w:r>
        <w:rPr>
          <w:rFonts w:hint="eastAsia"/>
          <w:vertAlign w:val="subscript"/>
        </w:rPr>
        <w:t>3</w:t>
      </w:r>
      <w:r>
        <w:t>为：</w:t>
      </w:r>
    </w:p>
    <w:p w14:paraId="26C8DFC2">
      <w:pPr>
        <w:spacing w:line="360" w:lineRule="auto"/>
        <w:ind w:firstLine="480"/>
        <w:jc w:val="right"/>
        <w:rPr>
          <w:rFonts w:ascii="仿宋_GB2312" w:hAnsi="宋体" w:eastAsia="仿宋_GB2312"/>
          <w:color w:val="FF0000"/>
          <w:position w:val="-28"/>
        </w:rPr>
      </w:pPr>
      <w:r>
        <w:rPr>
          <w:rFonts w:hint="eastAsia" w:ascii="仿宋_GB2312" w:hAnsi="宋体" w:eastAsia="仿宋_GB2312"/>
          <w:color w:val="FF0000"/>
          <w:position w:val="-12"/>
        </w:rPr>
        <w:object>
          <v:shape id="_x0000_i1042" o:spt="75" type="#_x0000_t75" style="height:20.1pt;width:112.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hint="eastAsia" w:ascii="仿宋_GB2312" w:hAnsi="宋体" w:eastAsia="仿宋_GB2312"/>
          <w:position w:val="-28"/>
        </w:rPr>
        <w:t xml:space="preserve">                      </w:t>
      </w:r>
      <w:r>
        <w:rPr>
          <w:rFonts w:hint="eastAsia" w:ascii="宋体" w:hAnsi="宋体"/>
        </w:rPr>
        <w:t>（D.3）</w:t>
      </w:r>
    </w:p>
    <w:p w14:paraId="0451416C">
      <w:pPr>
        <w:spacing w:line="360" w:lineRule="auto"/>
        <w:ind w:firstLine="480"/>
        <w:rPr>
          <w:bCs/>
        </w:rPr>
      </w:pPr>
      <w:r>
        <w:rPr>
          <w:rFonts w:hint="eastAsia" w:ascii="宋体" w:hAnsi="宋体" w:cs="宋体"/>
          <w:bCs/>
        </w:rPr>
        <w:t xml:space="preserve">C.2.4  </w:t>
      </w:r>
      <w:r>
        <w:rPr>
          <w:rFonts w:hint="eastAsia"/>
          <w:bCs/>
        </w:rPr>
        <w:t>标准砝码引入的不确定度分量</w:t>
      </w:r>
      <w:r>
        <w:rPr>
          <w:bCs/>
          <w:i/>
          <w:iCs/>
        </w:rPr>
        <w:t>u</w:t>
      </w:r>
      <w:r>
        <w:rPr>
          <w:rFonts w:hint="eastAsia"/>
          <w:bCs/>
          <w:vertAlign w:val="subscript"/>
        </w:rPr>
        <w:t>4</w:t>
      </w:r>
    </w:p>
    <w:p w14:paraId="75A90D4F">
      <w:pPr>
        <w:spacing w:line="360" w:lineRule="auto"/>
        <w:ind w:firstLine="480"/>
        <w:rPr>
          <w:bCs/>
        </w:rPr>
      </w:pPr>
      <w:r>
        <w:rPr>
          <w:bCs/>
        </w:rPr>
        <w:t>根据JJG</w:t>
      </w:r>
      <w:r>
        <w:rPr>
          <w:rFonts w:hint="eastAsia"/>
          <w:bCs/>
        </w:rPr>
        <w:t xml:space="preserve"> </w:t>
      </w:r>
      <w:r>
        <w:rPr>
          <w:bCs/>
        </w:rPr>
        <w:t>99-20</w:t>
      </w:r>
      <w:r>
        <w:rPr>
          <w:rFonts w:hint="eastAsia"/>
          <w:bCs/>
        </w:rPr>
        <w:t>22《</w:t>
      </w:r>
      <w:r>
        <w:rPr>
          <w:bCs/>
        </w:rPr>
        <w:t>砝码</w:t>
      </w:r>
      <w:r>
        <w:rPr>
          <w:rFonts w:hint="eastAsia"/>
          <w:bCs/>
        </w:rPr>
        <w:t>》检定规程</w:t>
      </w:r>
      <w:r>
        <w:rPr>
          <w:bCs/>
        </w:rPr>
        <w:t>，</w:t>
      </w:r>
      <w:r>
        <w:rPr>
          <w:rFonts w:hint="eastAsia"/>
          <w:bCs/>
        </w:rPr>
        <w:t>1 000 k</w:t>
      </w:r>
      <w:r>
        <w:rPr>
          <w:bCs/>
        </w:rPr>
        <w:t>g</w:t>
      </w:r>
      <w:r>
        <w:rPr>
          <w:rFonts w:hint="eastAsia"/>
          <w:bCs/>
        </w:rPr>
        <w:t>的M</w:t>
      </w:r>
      <w:r>
        <w:rPr>
          <w:rFonts w:hint="eastAsia"/>
          <w:bCs/>
          <w:vertAlign w:val="subscript"/>
        </w:rPr>
        <w:t>1</w:t>
      </w:r>
      <w:r>
        <w:rPr>
          <w:bCs/>
        </w:rPr>
        <w:t>等级砝码最大允许误差为±</w:t>
      </w:r>
      <w:r>
        <w:rPr>
          <w:rFonts w:hint="eastAsia"/>
          <w:bCs/>
        </w:rPr>
        <w:t xml:space="preserve">50 </w:t>
      </w:r>
      <w:r>
        <w:rPr>
          <w:bCs/>
        </w:rPr>
        <w:t>g，根据公式（C.</w:t>
      </w:r>
      <w:r>
        <w:rPr>
          <w:rFonts w:hint="eastAsia"/>
          <w:bCs/>
        </w:rPr>
        <w:t>10</w:t>
      </w:r>
      <w:r>
        <w:rPr>
          <w:bCs/>
        </w:rPr>
        <w:t>）</w:t>
      </w:r>
      <w:r>
        <w:rPr>
          <w:rFonts w:hint="eastAsia"/>
          <w:bCs/>
        </w:rPr>
        <w:t>标准器</w:t>
      </w:r>
      <w:r>
        <w:rPr>
          <w:bCs/>
        </w:rPr>
        <w:t>引入的不确定度不确定度</w:t>
      </w:r>
      <w:r>
        <w:rPr>
          <w:bCs/>
          <w:i/>
          <w:iCs/>
        </w:rPr>
        <w:t>u</w:t>
      </w:r>
      <w:r>
        <w:rPr>
          <w:rFonts w:hint="eastAsia"/>
          <w:bCs/>
          <w:vertAlign w:val="subscript"/>
        </w:rPr>
        <w:t>4</w:t>
      </w:r>
      <w:r>
        <w:rPr>
          <w:bCs/>
        </w:rPr>
        <w:t>为：</w:t>
      </w:r>
    </w:p>
    <w:p w14:paraId="00A501B6">
      <w:pPr>
        <w:spacing w:line="360" w:lineRule="auto"/>
        <w:ind w:firstLine="480"/>
        <w:jc w:val="right"/>
        <w:rPr>
          <w:rFonts w:ascii="仿宋_GB2312" w:hAnsi="宋体" w:eastAsia="仿宋_GB2312"/>
          <w:position w:val="-28"/>
        </w:rPr>
      </w:pPr>
      <w:r>
        <w:rPr>
          <w:rFonts w:hint="eastAsia" w:ascii="仿宋_GB2312" w:hAnsi="宋体" w:eastAsia="仿宋_GB2312"/>
          <w:position w:val="-12"/>
        </w:rPr>
        <w:object>
          <v:shape id="_x0000_i1043" o:spt="75" type="#_x0000_t75" style="height:20.1pt;width:134.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hint="eastAsia" w:ascii="仿宋_GB2312" w:hAnsi="宋体" w:eastAsia="仿宋_GB2312"/>
          <w:position w:val="-28"/>
        </w:rPr>
        <w:t xml:space="preserve">                     </w:t>
      </w:r>
      <w:r>
        <w:rPr>
          <w:rFonts w:hint="eastAsia" w:ascii="宋体" w:hAnsi="宋体"/>
        </w:rPr>
        <w:t>（D.4）</w:t>
      </w:r>
    </w:p>
    <w:p w14:paraId="596C9F3E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 w:cs="宋体"/>
        </w:rPr>
        <w:t xml:space="preserve">C.2.5 </w:t>
      </w:r>
      <w:r>
        <w:rPr>
          <w:rFonts w:hint="eastAsia" w:ascii="宋体" w:hAnsi="宋体"/>
          <w:color w:val="000000"/>
        </w:rPr>
        <w:t xml:space="preserve"> 合成标准不确定度</w:t>
      </w:r>
    </w:p>
    <w:p w14:paraId="089808AB">
      <w:pPr>
        <w:spacing w:line="360" w:lineRule="auto"/>
        <w:ind w:firstLine="480"/>
        <w:rPr>
          <w:rFonts w:ascii="宋体" w:hAnsi="宋体"/>
        </w:rPr>
      </w:pPr>
      <w:r>
        <w:rPr>
          <w:rFonts w:hint="eastAsia" w:ascii="宋体" w:hAnsi="宋体"/>
          <w:color w:val="000000"/>
        </w:rPr>
        <w:t>合成标准不确定度用公式</w:t>
      </w:r>
      <w:r>
        <w:rPr>
          <w:bCs/>
        </w:rPr>
        <w:t>（C.</w:t>
      </w:r>
      <w:r>
        <w:rPr>
          <w:rFonts w:hint="eastAsia"/>
          <w:bCs/>
        </w:rPr>
        <w:t>11</w:t>
      </w:r>
      <w:r>
        <w:rPr>
          <w:bCs/>
        </w:rPr>
        <w:t>）</w:t>
      </w:r>
      <w:r>
        <w:rPr>
          <w:rFonts w:hint="eastAsia" w:ascii="宋体" w:hAnsi="宋体"/>
          <w:color w:val="000000"/>
        </w:rPr>
        <w:t>计算如下</w:t>
      </w:r>
      <w:r>
        <w:rPr>
          <w:rFonts w:hint="eastAsia" w:ascii="宋体" w:hAnsi="宋体"/>
        </w:rPr>
        <w:t>：</w:t>
      </w:r>
    </w:p>
    <w:p w14:paraId="6418AC2B">
      <w:pPr>
        <w:spacing w:line="360" w:lineRule="auto"/>
        <w:ind w:right="480" w:firstLine="1920" w:firstLineChars="800"/>
        <w:jc w:val="right"/>
        <w:rPr>
          <w:rFonts w:ascii="宋体" w:hAnsi="宋体"/>
        </w:rPr>
      </w:pPr>
      <w:r>
        <w:rPr>
          <w:rFonts w:hint="eastAsia" w:ascii="宋体" w:hAnsi="宋体"/>
          <w:color w:val="000000"/>
          <w:position w:val="-16"/>
        </w:rPr>
        <w:t xml:space="preserve"> </w:t>
      </w:r>
      <w:r>
        <w:rPr>
          <w:rFonts w:ascii="宋体" w:hAnsi="宋体"/>
          <w:color w:val="000000"/>
          <w:position w:val="-14"/>
        </w:rPr>
        <w:object>
          <v:shape id="_x0000_i1044" o:spt="75" type="#_x0000_t75" style="height:20.95pt;width:157.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  <w:r>
        <w:rPr>
          <w:rFonts w:hint="eastAsia" w:ascii="仿宋_GB2312" w:hAnsi="宋体" w:eastAsia="仿宋_GB2312"/>
          <w:position w:val="-28"/>
        </w:rPr>
        <w:t xml:space="preserve">           </w:t>
      </w:r>
      <w:bookmarkStart w:id="9" w:name="_GoBack"/>
      <w:bookmarkEnd w:id="9"/>
      <w:r>
        <w:rPr>
          <w:rFonts w:hint="eastAsia" w:ascii="仿宋_GB2312" w:hAnsi="宋体" w:eastAsia="仿宋_GB2312"/>
          <w:position w:val="-28"/>
        </w:rPr>
        <w:t xml:space="preserve">      </w:t>
      </w:r>
      <w:r>
        <w:rPr>
          <w:rFonts w:hint="eastAsia" w:ascii="宋体" w:hAnsi="宋体"/>
        </w:rPr>
        <w:t xml:space="preserve">（D.5）                        </w:t>
      </w:r>
      <w:r>
        <w:rPr>
          <w:rFonts w:hint="eastAsia" w:ascii="宋体" w:hAnsi="宋体"/>
          <w:color w:val="000000"/>
          <w:position w:val="-16"/>
        </w:rPr>
        <w:t xml:space="preserve">                   </w:t>
      </w:r>
    </w:p>
    <w:p w14:paraId="7B6B5AEF">
      <w:pPr>
        <w:spacing w:line="360" w:lineRule="auto"/>
        <w:ind w:firstLine="480"/>
        <w:rPr>
          <w:rFonts w:ascii="宋体" w:hAnsi="宋体"/>
        </w:rPr>
      </w:pPr>
      <w:r>
        <w:rPr>
          <w:rFonts w:hint="eastAsia" w:ascii="宋体" w:hAnsi="宋体"/>
        </w:rPr>
        <w:t>C.2.6  扩展不确定度</w:t>
      </w:r>
    </w:p>
    <w:p w14:paraId="7918E68C">
      <w:pPr>
        <w:spacing w:line="360" w:lineRule="auto"/>
        <w:ind w:firstLine="480"/>
        <w:rPr>
          <w:rFonts w:ascii="宋体" w:hAnsi="宋体"/>
        </w:rPr>
      </w:pPr>
      <w:r>
        <w:rPr>
          <w:rFonts w:hint="eastAsia" w:ascii="宋体" w:hAnsi="宋体"/>
        </w:rPr>
        <w:t>取包含因子</w:t>
      </w:r>
      <w:r>
        <w:rPr>
          <w:i/>
          <w:iCs/>
        </w:rPr>
        <w:t>k</w:t>
      </w:r>
      <w:r>
        <w:t>=2</w:t>
      </w:r>
      <w:r>
        <w:rPr>
          <w:rFonts w:hint="eastAsia" w:ascii="宋体" w:hAnsi="宋体"/>
        </w:rPr>
        <w:t>，车载秤1 000 kg载荷点的扩展不确定度为：</w:t>
      </w:r>
    </w:p>
    <w:p w14:paraId="56492CF0">
      <w:pPr>
        <w:spacing w:line="360" w:lineRule="auto"/>
        <w:ind w:firstLine="480"/>
        <w:jc w:val="right"/>
        <w:rPr>
          <w:rFonts w:ascii="宋体" w:hAnsi="宋体"/>
        </w:rPr>
      </w:pPr>
      <w:r>
        <w:rPr>
          <w:rFonts w:hint="eastAsia" w:ascii="宋体" w:hAnsi="宋体"/>
          <w:color w:val="FF0000"/>
          <w:position w:val="-10"/>
        </w:rPr>
        <w:object>
          <v:shape id="_x0000_i1045" o:spt="75" type="#_x0000_t75" style="height:18.4pt;width:148.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hint="eastAsia" w:ascii="仿宋_GB2312" w:hAnsi="宋体" w:eastAsia="仿宋_GB2312"/>
          <w:position w:val="-28"/>
        </w:rPr>
        <w:t xml:space="preserve">                      </w:t>
      </w:r>
      <w:r>
        <w:rPr>
          <w:rFonts w:hint="eastAsia" w:ascii="宋体" w:hAnsi="宋体"/>
        </w:rPr>
        <w:t>（D.6）</w:t>
      </w:r>
    </w:p>
    <w:p w14:paraId="28B15C34">
      <w:pPr>
        <w:pStyle w:val="95"/>
      </w:pPr>
    </w:p>
    <w:p w14:paraId="4BADEA6D">
      <w:pPr>
        <w:pStyle w:val="95"/>
      </w:pPr>
    </w:p>
    <w:p w14:paraId="1D21CBED">
      <w:pPr>
        <w:pStyle w:val="95"/>
      </w:pP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18" w:right="1797" w:bottom="1418" w:left="1797" w:header="851" w:footer="851" w:gutter="0"/>
      <w:pgNumType w:start="1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DJLJNL+Arial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41530723"/>
    </w:sdtPr>
    <w:sdtContent>
      <w:p w14:paraId="6EEDA128">
        <w:pPr>
          <w:pStyle w:val="17"/>
          <w:ind w:firstLine="36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4BFB0D4F">
    <w:pPr>
      <w:ind w:firstLine="4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0650285"/>
    </w:sdtPr>
    <w:sdtContent>
      <w:p w14:paraId="2A6B309D">
        <w:pPr>
          <w:pStyle w:val="17"/>
          <w:ind w:firstLine="0" w:firstLineChars="0"/>
          <w:rPr>
            <w:rStyle w:val="33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5B0BA6C5">
    <w:pPr>
      <w:ind w:firstLine="4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09E97">
    <w:pPr>
      <w:pStyle w:val="1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C6A40">
    <w:pPr>
      <w:pStyle w:val="18"/>
      <w:ind w:firstLine="420"/>
      <w:rPr>
        <w:rFonts w:ascii="黑体" w:hAnsi="黑体" w:eastAsia="黑体"/>
        <w:sz w:val="21"/>
        <w:szCs w:val="21"/>
      </w:rPr>
    </w:pPr>
    <w:r>
      <w:rPr>
        <w:rFonts w:hint="eastAsia" w:ascii="黑体" w:hAnsi="黑体" w:eastAsia="黑体"/>
        <w:sz w:val="21"/>
        <w:szCs w:val="21"/>
      </w:rPr>
      <w:t>JJF XX—202X</w:t>
    </w:r>
  </w:p>
  <w:p w14:paraId="38E5957E">
    <w:pPr>
      <w:ind w:firstLine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156D5">
    <w:pPr>
      <w:pStyle w:val="1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5917C3"/>
    <w:multiLevelType w:val="multilevel"/>
    <w:tmpl w:val="2C5917C3"/>
    <w:lvl w:ilvl="0" w:tentative="0">
      <w:start w:val="1"/>
      <w:numFmt w:val="none"/>
      <w:suff w:val="nothing"/>
      <w:lvlText w:val="%1——"/>
      <w:lvlJc w:val="left"/>
      <w:pPr>
        <w:ind w:left="1458" w:hanging="408"/>
      </w:pPr>
      <w:rPr>
        <w:rFonts w:hint="eastAsia"/>
      </w:rPr>
    </w:lvl>
    <w:lvl w:ilvl="1" w:tentative="0">
      <w:start w:val="1"/>
      <w:numFmt w:val="bullet"/>
      <w:pStyle w:val="43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">
    <w:nsid w:val="6DBF04F4"/>
    <w:multiLevelType w:val="multilevel"/>
    <w:tmpl w:val="6DBF04F4"/>
    <w:lvl w:ilvl="0" w:tentative="0">
      <w:start w:val="1"/>
      <w:numFmt w:val="none"/>
      <w:lvlText w:val="%1注："/>
      <w:lvlJc w:val="left"/>
      <w:pPr>
        <w:tabs>
          <w:tab w:val="left" w:pos="960"/>
        </w:tabs>
        <w:ind w:left="66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pStyle w:val="87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evenAndOddHeaders w:val="1"/>
  <w:drawingGridHorizontalSpacing w:val="1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g5OWE3OTdiNGRiYjNjYWE0ZDZiNDY3MjBiMGY2N2EifQ=="/>
  </w:docVars>
  <w:rsids>
    <w:rsidRoot w:val="0501365F"/>
    <w:rsid w:val="00001B4D"/>
    <w:rsid w:val="00003689"/>
    <w:rsid w:val="00003849"/>
    <w:rsid w:val="00003C0F"/>
    <w:rsid w:val="0000437D"/>
    <w:rsid w:val="00004DE7"/>
    <w:rsid w:val="0000616B"/>
    <w:rsid w:val="0000668A"/>
    <w:rsid w:val="00007059"/>
    <w:rsid w:val="00007AC1"/>
    <w:rsid w:val="00007AF0"/>
    <w:rsid w:val="000108A2"/>
    <w:rsid w:val="00021559"/>
    <w:rsid w:val="00022BE5"/>
    <w:rsid w:val="000322ED"/>
    <w:rsid w:val="000328B6"/>
    <w:rsid w:val="00033E97"/>
    <w:rsid w:val="00035E56"/>
    <w:rsid w:val="00035FBC"/>
    <w:rsid w:val="00036B14"/>
    <w:rsid w:val="00037AD6"/>
    <w:rsid w:val="000430A0"/>
    <w:rsid w:val="0004441B"/>
    <w:rsid w:val="000459C2"/>
    <w:rsid w:val="00047F77"/>
    <w:rsid w:val="0005054B"/>
    <w:rsid w:val="000603C1"/>
    <w:rsid w:val="00060675"/>
    <w:rsid w:val="00060801"/>
    <w:rsid w:val="00066644"/>
    <w:rsid w:val="0007022F"/>
    <w:rsid w:val="000716BE"/>
    <w:rsid w:val="000774E8"/>
    <w:rsid w:val="00077FC7"/>
    <w:rsid w:val="00080F71"/>
    <w:rsid w:val="00083476"/>
    <w:rsid w:val="00083F31"/>
    <w:rsid w:val="00085CC0"/>
    <w:rsid w:val="00090890"/>
    <w:rsid w:val="000924F1"/>
    <w:rsid w:val="000960EE"/>
    <w:rsid w:val="00097181"/>
    <w:rsid w:val="000976E4"/>
    <w:rsid w:val="000A3B60"/>
    <w:rsid w:val="000A3EC5"/>
    <w:rsid w:val="000A44D3"/>
    <w:rsid w:val="000A44F1"/>
    <w:rsid w:val="000A460F"/>
    <w:rsid w:val="000A49A3"/>
    <w:rsid w:val="000A5560"/>
    <w:rsid w:val="000A74D0"/>
    <w:rsid w:val="000B05FE"/>
    <w:rsid w:val="000B1CFF"/>
    <w:rsid w:val="000B2E9B"/>
    <w:rsid w:val="000B2F83"/>
    <w:rsid w:val="000C1957"/>
    <w:rsid w:val="000C4F69"/>
    <w:rsid w:val="000D13D1"/>
    <w:rsid w:val="000E18B8"/>
    <w:rsid w:val="000E2D35"/>
    <w:rsid w:val="000E3798"/>
    <w:rsid w:val="000E37FD"/>
    <w:rsid w:val="000E3D24"/>
    <w:rsid w:val="000E62D5"/>
    <w:rsid w:val="000E6C5C"/>
    <w:rsid w:val="000E76B1"/>
    <w:rsid w:val="000E7C13"/>
    <w:rsid w:val="000F0248"/>
    <w:rsid w:val="000F0306"/>
    <w:rsid w:val="000F0B2F"/>
    <w:rsid w:val="000F2675"/>
    <w:rsid w:val="000F398C"/>
    <w:rsid w:val="000F5B7E"/>
    <w:rsid w:val="000F6429"/>
    <w:rsid w:val="000F6A98"/>
    <w:rsid w:val="000F6D8B"/>
    <w:rsid w:val="00110CAC"/>
    <w:rsid w:val="00114AC2"/>
    <w:rsid w:val="00115BA8"/>
    <w:rsid w:val="001234F6"/>
    <w:rsid w:val="00125BD9"/>
    <w:rsid w:val="00125EDB"/>
    <w:rsid w:val="001267E0"/>
    <w:rsid w:val="001306E0"/>
    <w:rsid w:val="0013305E"/>
    <w:rsid w:val="00135EC8"/>
    <w:rsid w:val="001375CC"/>
    <w:rsid w:val="001416A4"/>
    <w:rsid w:val="001419D0"/>
    <w:rsid w:val="001453D5"/>
    <w:rsid w:val="00147B83"/>
    <w:rsid w:val="001528CA"/>
    <w:rsid w:val="00157875"/>
    <w:rsid w:val="00157E69"/>
    <w:rsid w:val="001603CF"/>
    <w:rsid w:val="001626EA"/>
    <w:rsid w:val="00163D2D"/>
    <w:rsid w:val="001656D4"/>
    <w:rsid w:val="00165ECC"/>
    <w:rsid w:val="00167F37"/>
    <w:rsid w:val="001732CF"/>
    <w:rsid w:val="001737A7"/>
    <w:rsid w:val="00183967"/>
    <w:rsid w:val="00183CD5"/>
    <w:rsid w:val="00190B00"/>
    <w:rsid w:val="00192CCD"/>
    <w:rsid w:val="00195848"/>
    <w:rsid w:val="0019771B"/>
    <w:rsid w:val="001A2C01"/>
    <w:rsid w:val="001A2DAD"/>
    <w:rsid w:val="001A4F8A"/>
    <w:rsid w:val="001A549C"/>
    <w:rsid w:val="001A578E"/>
    <w:rsid w:val="001A7810"/>
    <w:rsid w:val="001B332D"/>
    <w:rsid w:val="001B3569"/>
    <w:rsid w:val="001B41F4"/>
    <w:rsid w:val="001B64FE"/>
    <w:rsid w:val="001C01EE"/>
    <w:rsid w:val="001C0B0F"/>
    <w:rsid w:val="001C5E5A"/>
    <w:rsid w:val="001C6012"/>
    <w:rsid w:val="001D1EA5"/>
    <w:rsid w:val="001D281A"/>
    <w:rsid w:val="001D6E08"/>
    <w:rsid w:val="001E2B02"/>
    <w:rsid w:val="001E2CB2"/>
    <w:rsid w:val="001E5192"/>
    <w:rsid w:val="001E6B76"/>
    <w:rsid w:val="001F0C7D"/>
    <w:rsid w:val="001F3818"/>
    <w:rsid w:val="001F3F6A"/>
    <w:rsid w:val="001F479E"/>
    <w:rsid w:val="001F4B61"/>
    <w:rsid w:val="001F653B"/>
    <w:rsid w:val="00201D4B"/>
    <w:rsid w:val="00202E8C"/>
    <w:rsid w:val="00203ADE"/>
    <w:rsid w:val="00206F7C"/>
    <w:rsid w:val="00216BFB"/>
    <w:rsid w:val="00217C59"/>
    <w:rsid w:val="002208F6"/>
    <w:rsid w:val="00220E10"/>
    <w:rsid w:val="002211BC"/>
    <w:rsid w:val="00222143"/>
    <w:rsid w:val="0022280E"/>
    <w:rsid w:val="00224099"/>
    <w:rsid w:val="00224834"/>
    <w:rsid w:val="00225802"/>
    <w:rsid w:val="0022664B"/>
    <w:rsid w:val="0023129F"/>
    <w:rsid w:val="0023322B"/>
    <w:rsid w:val="00234418"/>
    <w:rsid w:val="002349C8"/>
    <w:rsid w:val="002357AD"/>
    <w:rsid w:val="00237DA7"/>
    <w:rsid w:val="002425B9"/>
    <w:rsid w:val="00243DE0"/>
    <w:rsid w:val="0024563E"/>
    <w:rsid w:val="00245A3F"/>
    <w:rsid w:val="002460EA"/>
    <w:rsid w:val="002475C4"/>
    <w:rsid w:val="00247857"/>
    <w:rsid w:val="00247A0A"/>
    <w:rsid w:val="00247FB9"/>
    <w:rsid w:val="0025014F"/>
    <w:rsid w:val="00250334"/>
    <w:rsid w:val="00251145"/>
    <w:rsid w:val="0025242E"/>
    <w:rsid w:val="00253DBA"/>
    <w:rsid w:val="00260FAF"/>
    <w:rsid w:val="00261375"/>
    <w:rsid w:val="0026579E"/>
    <w:rsid w:val="00270826"/>
    <w:rsid w:val="00271412"/>
    <w:rsid w:val="0027149D"/>
    <w:rsid w:val="00271ADD"/>
    <w:rsid w:val="00273C5A"/>
    <w:rsid w:val="00276473"/>
    <w:rsid w:val="0027704B"/>
    <w:rsid w:val="00280768"/>
    <w:rsid w:val="00280D0F"/>
    <w:rsid w:val="00283A7B"/>
    <w:rsid w:val="002846FD"/>
    <w:rsid w:val="002863C8"/>
    <w:rsid w:val="00286F34"/>
    <w:rsid w:val="00291594"/>
    <w:rsid w:val="002935DE"/>
    <w:rsid w:val="00296C9F"/>
    <w:rsid w:val="00296EDB"/>
    <w:rsid w:val="00297BD7"/>
    <w:rsid w:val="002A16A2"/>
    <w:rsid w:val="002A2405"/>
    <w:rsid w:val="002A250A"/>
    <w:rsid w:val="002A2DAD"/>
    <w:rsid w:val="002A4F5D"/>
    <w:rsid w:val="002A612F"/>
    <w:rsid w:val="002A6756"/>
    <w:rsid w:val="002A6973"/>
    <w:rsid w:val="002A6DB8"/>
    <w:rsid w:val="002A7BA3"/>
    <w:rsid w:val="002B05FD"/>
    <w:rsid w:val="002B16CE"/>
    <w:rsid w:val="002B3454"/>
    <w:rsid w:val="002B38EF"/>
    <w:rsid w:val="002B4315"/>
    <w:rsid w:val="002B453B"/>
    <w:rsid w:val="002B5998"/>
    <w:rsid w:val="002B7011"/>
    <w:rsid w:val="002B77F8"/>
    <w:rsid w:val="002C00FC"/>
    <w:rsid w:val="002C1384"/>
    <w:rsid w:val="002C1C0F"/>
    <w:rsid w:val="002C1DFE"/>
    <w:rsid w:val="002C26CE"/>
    <w:rsid w:val="002C28C8"/>
    <w:rsid w:val="002C3A6B"/>
    <w:rsid w:val="002C66F9"/>
    <w:rsid w:val="002C68D0"/>
    <w:rsid w:val="002C6FA8"/>
    <w:rsid w:val="002D09A3"/>
    <w:rsid w:val="002D0DB1"/>
    <w:rsid w:val="002D0EFB"/>
    <w:rsid w:val="002D14D0"/>
    <w:rsid w:val="002D1D2D"/>
    <w:rsid w:val="002D1DAB"/>
    <w:rsid w:val="002D4F10"/>
    <w:rsid w:val="002D5684"/>
    <w:rsid w:val="002E0DFC"/>
    <w:rsid w:val="002E606C"/>
    <w:rsid w:val="002E7FF9"/>
    <w:rsid w:val="002F05CC"/>
    <w:rsid w:val="002F14D6"/>
    <w:rsid w:val="002F2F02"/>
    <w:rsid w:val="002F59D5"/>
    <w:rsid w:val="00300BD7"/>
    <w:rsid w:val="00300D43"/>
    <w:rsid w:val="00300E9F"/>
    <w:rsid w:val="00301D5E"/>
    <w:rsid w:val="0030402A"/>
    <w:rsid w:val="003047E1"/>
    <w:rsid w:val="00304C64"/>
    <w:rsid w:val="00310245"/>
    <w:rsid w:val="00311FB6"/>
    <w:rsid w:val="003139D8"/>
    <w:rsid w:val="00314C99"/>
    <w:rsid w:val="00315581"/>
    <w:rsid w:val="003161FA"/>
    <w:rsid w:val="003203AE"/>
    <w:rsid w:val="003251BE"/>
    <w:rsid w:val="00327C51"/>
    <w:rsid w:val="00327FE8"/>
    <w:rsid w:val="003310B7"/>
    <w:rsid w:val="00331A9C"/>
    <w:rsid w:val="00331EC7"/>
    <w:rsid w:val="00332D03"/>
    <w:rsid w:val="0033472A"/>
    <w:rsid w:val="003359DB"/>
    <w:rsid w:val="003372D1"/>
    <w:rsid w:val="00340D2B"/>
    <w:rsid w:val="00356F17"/>
    <w:rsid w:val="00357BE2"/>
    <w:rsid w:val="00364883"/>
    <w:rsid w:val="00364E81"/>
    <w:rsid w:val="003701F4"/>
    <w:rsid w:val="0037111E"/>
    <w:rsid w:val="003711E7"/>
    <w:rsid w:val="00373B6D"/>
    <w:rsid w:val="00375F3B"/>
    <w:rsid w:val="003801A3"/>
    <w:rsid w:val="003869F9"/>
    <w:rsid w:val="003908F3"/>
    <w:rsid w:val="00390EAF"/>
    <w:rsid w:val="003914C8"/>
    <w:rsid w:val="00391DDC"/>
    <w:rsid w:val="00392580"/>
    <w:rsid w:val="003934AA"/>
    <w:rsid w:val="00393708"/>
    <w:rsid w:val="00393FBA"/>
    <w:rsid w:val="00395D27"/>
    <w:rsid w:val="003970FB"/>
    <w:rsid w:val="003A06BD"/>
    <w:rsid w:val="003A30C2"/>
    <w:rsid w:val="003B3403"/>
    <w:rsid w:val="003B39D1"/>
    <w:rsid w:val="003B43A9"/>
    <w:rsid w:val="003B4958"/>
    <w:rsid w:val="003C4434"/>
    <w:rsid w:val="003C445B"/>
    <w:rsid w:val="003C6E9E"/>
    <w:rsid w:val="003C6EAC"/>
    <w:rsid w:val="003C6FEF"/>
    <w:rsid w:val="003C7344"/>
    <w:rsid w:val="003C7438"/>
    <w:rsid w:val="003D0221"/>
    <w:rsid w:val="003D1697"/>
    <w:rsid w:val="003D1D68"/>
    <w:rsid w:val="003D1F6F"/>
    <w:rsid w:val="003D31CE"/>
    <w:rsid w:val="003D608A"/>
    <w:rsid w:val="003D7D58"/>
    <w:rsid w:val="003E550D"/>
    <w:rsid w:val="003E56D9"/>
    <w:rsid w:val="003E5D89"/>
    <w:rsid w:val="003E7D35"/>
    <w:rsid w:val="003F0537"/>
    <w:rsid w:val="003F5937"/>
    <w:rsid w:val="003F6538"/>
    <w:rsid w:val="003F6AB4"/>
    <w:rsid w:val="004017C6"/>
    <w:rsid w:val="0040326C"/>
    <w:rsid w:val="00403ED6"/>
    <w:rsid w:val="00404119"/>
    <w:rsid w:val="004043A6"/>
    <w:rsid w:val="00404EE0"/>
    <w:rsid w:val="00405FDC"/>
    <w:rsid w:val="004067ED"/>
    <w:rsid w:val="004069D8"/>
    <w:rsid w:val="00407705"/>
    <w:rsid w:val="00407F61"/>
    <w:rsid w:val="004123CB"/>
    <w:rsid w:val="00417547"/>
    <w:rsid w:val="004243EE"/>
    <w:rsid w:val="00427695"/>
    <w:rsid w:val="0043055F"/>
    <w:rsid w:val="00432CAC"/>
    <w:rsid w:val="00433F26"/>
    <w:rsid w:val="004404CD"/>
    <w:rsid w:val="00441DAC"/>
    <w:rsid w:val="00444839"/>
    <w:rsid w:val="004477E8"/>
    <w:rsid w:val="004507CA"/>
    <w:rsid w:val="0045119A"/>
    <w:rsid w:val="00451452"/>
    <w:rsid w:val="004525E2"/>
    <w:rsid w:val="0045476E"/>
    <w:rsid w:val="004548BF"/>
    <w:rsid w:val="00456FBD"/>
    <w:rsid w:val="00463EDC"/>
    <w:rsid w:val="00465BF0"/>
    <w:rsid w:val="004660F9"/>
    <w:rsid w:val="0046668E"/>
    <w:rsid w:val="00467383"/>
    <w:rsid w:val="00467469"/>
    <w:rsid w:val="0047096A"/>
    <w:rsid w:val="00470A72"/>
    <w:rsid w:val="0047134B"/>
    <w:rsid w:val="00471851"/>
    <w:rsid w:val="004724C6"/>
    <w:rsid w:val="00472EFC"/>
    <w:rsid w:val="00474EF3"/>
    <w:rsid w:val="00476513"/>
    <w:rsid w:val="00476CE0"/>
    <w:rsid w:val="00477DA3"/>
    <w:rsid w:val="0048021C"/>
    <w:rsid w:val="00480580"/>
    <w:rsid w:val="004811D5"/>
    <w:rsid w:val="00486D08"/>
    <w:rsid w:val="00490743"/>
    <w:rsid w:val="0049122E"/>
    <w:rsid w:val="00494774"/>
    <w:rsid w:val="00495D81"/>
    <w:rsid w:val="004968FC"/>
    <w:rsid w:val="004A6681"/>
    <w:rsid w:val="004A7FAD"/>
    <w:rsid w:val="004B2879"/>
    <w:rsid w:val="004B2FF9"/>
    <w:rsid w:val="004B58A3"/>
    <w:rsid w:val="004C03CF"/>
    <w:rsid w:val="004C0946"/>
    <w:rsid w:val="004C0D02"/>
    <w:rsid w:val="004C1CFA"/>
    <w:rsid w:val="004C2F39"/>
    <w:rsid w:val="004C529C"/>
    <w:rsid w:val="004C7DC3"/>
    <w:rsid w:val="004D0250"/>
    <w:rsid w:val="004D1633"/>
    <w:rsid w:val="004D2C00"/>
    <w:rsid w:val="004D2D87"/>
    <w:rsid w:val="004D53F2"/>
    <w:rsid w:val="004D6C64"/>
    <w:rsid w:val="004D7167"/>
    <w:rsid w:val="004E086E"/>
    <w:rsid w:val="004E2CD0"/>
    <w:rsid w:val="004E361C"/>
    <w:rsid w:val="004E3B07"/>
    <w:rsid w:val="004E47F6"/>
    <w:rsid w:val="004E4B11"/>
    <w:rsid w:val="004F03A0"/>
    <w:rsid w:val="004F19AE"/>
    <w:rsid w:val="004F3F4D"/>
    <w:rsid w:val="004F448D"/>
    <w:rsid w:val="004F44D6"/>
    <w:rsid w:val="004F4D79"/>
    <w:rsid w:val="004F5FCC"/>
    <w:rsid w:val="00502944"/>
    <w:rsid w:val="00504F83"/>
    <w:rsid w:val="00505405"/>
    <w:rsid w:val="005063B2"/>
    <w:rsid w:val="0050667E"/>
    <w:rsid w:val="005131A7"/>
    <w:rsid w:val="00513EBF"/>
    <w:rsid w:val="00516E2E"/>
    <w:rsid w:val="00520F30"/>
    <w:rsid w:val="00521FD2"/>
    <w:rsid w:val="00522FC7"/>
    <w:rsid w:val="00523E7D"/>
    <w:rsid w:val="00523F30"/>
    <w:rsid w:val="00524D18"/>
    <w:rsid w:val="005258D2"/>
    <w:rsid w:val="00532DC5"/>
    <w:rsid w:val="005339AB"/>
    <w:rsid w:val="00537E08"/>
    <w:rsid w:val="00541785"/>
    <w:rsid w:val="005439DC"/>
    <w:rsid w:val="005468A1"/>
    <w:rsid w:val="005477D4"/>
    <w:rsid w:val="00550341"/>
    <w:rsid w:val="00550C7D"/>
    <w:rsid w:val="00550E85"/>
    <w:rsid w:val="0055115D"/>
    <w:rsid w:val="00551C49"/>
    <w:rsid w:val="0055317F"/>
    <w:rsid w:val="005533EE"/>
    <w:rsid w:val="00554025"/>
    <w:rsid w:val="00554DF2"/>
    <w:rsid w:val="005562A1"/>
    <w:rsid w:val="00556AF1"/>
    <w:rsid w:val="005579F8"/>
    <w:rsid w:val="0056170E"/>
    <w:rsid w:val="0056486C"/>
    <w:rsid w:val="00565868"/>
    <w:rsid w:val="00572D96"/>
    <w:rsid w:val="00572E1A"/>
    <w:rsid w:val="005808E6"/>
    <w:rsid w:val="005808F2"/>
    <w:rsid w:val="00580E7E"/>
    <w:rsid w:val="00581510"/>
    <w:rsid w:val="0058171D"/>
    <w:rsid w:val="00581988"/>
    <w:rsid w:val="005825F4"/>
    <w:rsid w:val="0058375B"/>
    <w:rsid w:val="005862C0"/>
    <w:rsid w:val="00587EDA"/>
    <w:rsid w:val="0059420F"/>
    <w:rsid w:val="005A0AA2"/>
    <w:rsid w:val="005A19A9"/>
    <w:rsid w:val="005A386D"/>
    <w:rsid w:val="005A3DB1"/>
    <w:rsid w:val="005A3FE6"/>
    <w:rsid w:val="005A5C4F"/>
    <w:rsid w:val="005B1AE5"/>
    <w:rsid w:val="005B364C"/>
    <w:rsid w:val="005B3E97"/>
    <w:rsid w:val="005B40A2"/>
    <w:rsid w:val="005B4F77"/>
    <w:rsid w:val="005B6D38"/>
    <w:rsid w:val="005C005A"/>
    <w:rsid w:val="005C26DE"/>
    <w:rsid w:val="005C363C"/>
    <w:rsid w:val="005C38CA"/>
    <w:rsid w:val="005C5192"/>
    <w:rsid w:val="005D022E"/>
    <w:rsid w:val="005D0623"/>
    <w:rsid w:val="005D1381"/>
    <w:rsid w:val="005D2124"/>
    <w:rsid w:val="005D2844"/>
    <w:rsid w:val="005D3324"/>
    <w:rsid w:val="005D3C75"/>
    <w:rsid w:val="005D566C"/>
    <w:rsid w:val="005D5A2C"/>
    <w:rsid w:val="005D6AC9"/>
    <w:rsid w:val="005E072F"/>
    <w:rsid w:val="005E1D61"/>
    <w:rsid w:val="005E3FB5"/>
    <w:rsid w:val="005E475E"/>
    <w:rsid w:val="005E7CC3"/>
    <w:rsid w:val="005F16F6"/>
    <w:rsid w:val="005F2A33"/>
    <w:rsid w:val="005F34D9"/>
    <w:rsid w:val="005F46D1"/>
    <w:rsid w:val="005F67E2"/>
    <w:rsid w:val="0060014B"/>
    <w:rsid w:val="00601343"/>
    <w:rsid w:val="00602226"/>
    <w:rsid w:val="00603FEA"/>
    <w:rsid w:val="006049D1"/>
    <w:rsid w:val="00605DF0"/>
    <w:rsid w:val="006065DB"/>
    <w:rsid w:val="006067EA"/>
    <w:rsid w:val="006069CE"/>
    <w:rsid w:val="006079F5"/>
    <w:rsid w:val="0061005F"/>
    <w:rsid w:val="00610962"/>
    <w:rsid w:val="00611D51"/>
    <w:rsid w:val="00615660"/>
    <w:rsid w:val="00616A8D"/>
    <w:rsid w:val="00616FAE"/>
    <w:rsid w:val="0061733E"/>
    <w:rsid w:val="00622DF6"/>
    <w:rsid w:val="006232E9"/>
    <w:rsid w:val="006263AF"/>
    <w:rsid w:val="00626ADD"/>
    <w:rsid w:val="00633059"/>
    <w:rsid w:val="00633C54"/>
    <w:rsid w:val="00635139"/>
    <w:rsid w:val="006351A7"/>
    <w:rsid w:val="006358BB"/>
    <w:rsid w:val="00636A9B"/>
    <w:rsid w:val="00642441"/>
    <w:rsid w:val="00642EF5"/>
    <w:rsid w:val="0064363E"/>
    <w:rsid w:val="00644E5B"/>
    <w:rsid w:val="006457E2"/>
    <w:rsid w:val="006460D4"/>
    <w:rsid w:val="00650D91"/>
    <w:rsid w:val="00651AA0"/>
    <w:rsid w:val="0065648F"/>
    <w:rsid w:val="00657342"/>
    <w:rsid w:val="00657796"/>
    <w:rsid w:val="00663F0F"/>
    <w:rsid w:val="00664CCB"/>
    <w:rsid w:val="00666925"/>
    <w:rsid w:val="0067168B"/>
    <w:rsid w:val="00671795"/>
    <w:rsid w:val="00671A39"/>
    <w:rsid w:val="00672293"/>
    <w:rsid w:val="006728EB"/>
    <w:rsid w:val="0067656B"/>
    <w:rsid w:val="00677A38"/>
    <w:rsid w:val="0068072B"/>
    <w:rsid w:val="0068313F"/>
    <w:rsid w:val="0068404F"/>
    <w:rsid w:val="00684425"/>
    <w:rsid w:val="006867B8"/>
    <w:rsid w:val="006878F6"/>
    <w:rsid w:val="00690C96"/>
    <w:rsid w:val="00693555"/>
    <w:rsid w:val="006957B3"/>
    <w:rsid w:val="00696929"/>
    <w:rsid w:val="0069700E"/>
    <w:rsid w:val="00697310"/>
    <w:rsid w:val="006A3331"/>
    <w:rsid w:val="006A479B"/>
    <w:rsid w:val="006A4FCB"/>
    <w:rsid w:val="006A6DB8"/>
    <w:rsid w:val="006A776F"/>
    <w:rsid w:val="006B0D3C"/>
    <w:rsid w:val="006B1576"/>
    <w:rsid w:val="006B1AA7"/>
    <w:rsid w:val="006B2A7B"/>
    <w:rsid w:val="006B2BD3"/>
    <w:rsid w:val="006B43C6"/>
    <w:rsid w:val="006B465E"/>
    <w:rsid w:val="006B47C7"/>
    <w:rsid w:val="006B565E"/>
    <w:rsid w:val="006C340C"/>
    <w:rsid w:val="006D13AE"/>
    <w:rsid w:val="006D15AC"/>
    <w:rsid w:val="006D247A"/>
    <w:rsid w:val="006D3093"/>
    <w:rsid w:val="006D3E5C"/>
    <w:rsid w:val="006D4725"/>
    <w:rsid w:val="006D5983"/>
    <w:rsid w:val="006D71E7"/>
    <w:rsid w:val="006E0A9E"/>
    <w:rsid w:val="006E0D08"/>
    <w:rsid w:val="006E16A4"/>
    <w:rsid w:val="006E2061"/>
    <w:rsid w:val="006E262D"/>
    <w:rsid w:val="006E2F16"/>
    <w:rsid w:val="006E3134"/>
    <w:rsid w:val="006E6BEC"/>
    <w:rsid w:val="006E7515"/>
    <w:rsid w:val="006E7691"/>
    <w:rsid w:val="006F18E2"/>
    <w:rsid w:val="006F1C92"/>
    <w:rsid w:val="006F7BE6"/>
    <w:rsid w:val="00700DD2"/>
    <w:rsid w:val="007041F1"/>
    <w:rsid w:val="00705300"/>
    <w:rsid w:val="0070569B"/>
    <w:rsid w:val="00714D8E"/>
    <w:rsid w:val="0071507A"/>
    <w:rsid w:val="00716AEB"/>
    <w:rsid w:val="00717BCA"/>
    <w:rsid w:val="00717BD9"/>
    <w:rsid w:val="0072205E"/>
    <w:rsid w:val="00722C69"/>
    <w:rsid w:val="007234ED"/>
    <w:rsid w:val="007236D9"/>
    <w:rsid w:val="007249BC"/>
    <w:rsid w:val="007258F1"/>
    <w:rsid w:val="00725E4D"/>
    <w:rsid w:val="0072787B"/>
    <w:rsid w:val="00732108"/>
    <w:rsid w:val="007323E9"/>
    <w:rsid w:val="00732A69"/>
    <w:rsid w:val="00733075"/>
    <w:rsid w:val="007330DF"/>
    <w:rsid w:val="007336AA"/>
    <w:rsid w:val="00734C07"/>
    <w:rsid w:val="007372FE"/>
    <w:rsid w:val="00740103"/>
    <w:rsid w:val="00741443"/>
    <w:rsid w:val="0074218E"/>
    <w:rsid w:val="0074353B"/>
    <w:rsid w:val="00743F0D"/>
    <w:rsid w:val="0074477F"/>
    <w:rsid w:val="00744CB0"/>
    <w:rsid w:val="0074749B"/>
    <w:rsid w:val="007503D6"/>
    <w:rsid w:val="00750E51"/>
    <w:rsid w:val="007539FC"/>
    <w:rsid w:val="0076289D"/>
    <w:rsid w:val="00762F4C"/>
    <w:rsid w:val="00763009"/>
    <w:rsid w:val="00765D8F"/>
    <w:rsid w:val="00770903"/>
    <w:rsid w:val="00771CF9"/>
    <w:rsid w:val="0077235C"/>
    <w:rsid w:val="0077325D"/>
    <w:rsid w:val="00777EBA"/>
    <w:rsid w:val="0078152C"/>
    <w:rsid w:val="00783E31"/>
    <w:rsid w:val="00783F1B"/>
    <w:rsid w:val="00785E03"/>
    <w:rsid w:val="00785EBB"/>
    <w:rsid w:val="007866D9"/>
    <w:rsid w:val="00791088"/>
    <w:rsid w:val="007924F0"/>
    <w:rsid w:val="007951FE"/>
    <w:rsid w:val="007952B9"/>
    <w:rsid w:val="007A4540"/>
    <w:rsid w:val="007A7BAD"/>
    <w:rsid w:val="007B0533"/>
    <w:rsid w:val="007B7D00"/>
    <w:rsid w:val="007B7F92"/>
    <w:rsid w:val="007C05E9"/>
    <w:rsid w:val="007C37AB"/>
    <w:rsid w:val="007C6104"/>
    <w:rsid w:val="007C7AC9"/>
    <w:rsid w:val="007D0ECF"/>
    <w:rsid w:val="007D1595"/>
    <w:rsid w:val="007D4D7A"/>
    <w:rsid w:val="007D4F87"/>
    <w:rsid w:val="007D7207"/>
    <w:rsid w:val="007E1678"/>
    <w:rsid w:val="007E1825"/>
    <w:rsid w:val="007E3A18"/>
    <w:rsid w:val="007E4DA5"/>
    <w:rsid w:val="007E55B8"/>
    <w:rsid w:val="007F0A17"/>
    <w:rsid w:val="007F1351"/>
    <w:rsid w:val="007F1688"/>
    <w:rsid w:val="007F2BBC"/>
    <w:rsid w:val="007F3720"/>
    <w:rsid w:val="007F6097"/>
    <w:rsid w:val="007F6FB7"/>
    <w:rsid w:val="00802C1E"/>
    <w:rsid w:val="00806002"/>
    <w:rsid w:val="008070EF"/>
    <w:rsid w:val="00807ADF"/>
    <w:rsid w:val="008104D9"/>
    <w:rsid w:val="00810901"/>
    <w:rsid w:val="0081425D"/>
    <w:rsid w:val="00816D4C"/>
    <w:rsid w:val="008172A0"/>
    <w:rsid w:val="00817936"/>
    <w:rsid w:val="0081794D"/>
    <w:rsid w:val="00823B28"/>
    <w:rsid w:val="008249F7"/>
    <w:rsid w:val="008265D7"/>
    <w:rsid w:val="008277E2"/>
    <w:rsid w:val="00830281"/>
    <w:rsid w:val="00830724"/>
    <w:rsid w:val="008316B2"/>
    <w:rsid w:val="00831D90"/>
    <w:rsid w:val="0083513A"/>
    <w:rsid w:val="008375A5"/>
    <w:rsid w:val="00840C66"/>
    <w:rsid w:val="00842291"/>
    <w:rsid w:val="00842805"/>
    <w:rsid w:val="00843F5F"/>
    <w:rsid w:val="00844E0F"/>
    <w:rsid w:val="00845D77"/>
    <w:rsid w:val="00846373"/>
    <w:rsid w:val="00846778"/>
    <w:rsid w:val="00846E6F"/>
    <w:rsid w:val="0085145A"/>
    <w:rsid w:val="00851C8C"/>
    <w:rsid w:val="00852C75"/>
    <w:rsid w:val="008552AD"/>
    <w:rsid w:val="008556FA"/>
    <w:rsid w:val="00855822"/>
    <w:rsid w:val="00856454"/>
    <w:rsid w:val="00860C56"/>
    <w:rsid w:val="0086185C"/>
    <w:rsid w:val="008625F5"/>
    <w:rsid w:val="008657B6"/>
    <w:rsid w:val="00865C6F"/>
    <w:rsid w:val="0086611E"/>
    <w:rsid w:val="00866406"/>
    <w:rsid w:val="00867B34"/>
    <w:rsid w:val="0087030A"/>
    <w:rsid w:val="0087134E"/>
    <w:rsid w:val="00874973"/>
    <w:rsid w:val="00874A46"/>
    <w:rsid w:val="00875048"/>
    <w:rsid w:val="008772DE"/>
    <w:rsid w:val="0087770B"/>
    <w:rsid w:val="00880A1D"/>
    <w:rsid w:val="00885841"/>
    <w:rsid w:val="00890A7E"/>
    <w:rsid w:val="008915A0"/>
    <w:rsid w:val="00892C8E"/>
    <w:rsid w:val="00893A15"/>
    <w:rsid w:val="00896AE8"/>
    <w:rsid w:val="00897513"/>
    <w:rsid w:val="008A2D59"/>
    <w:rsid w:val="008A3088"/>
    <w:rsid w:val="008A33C2"/>
    <w:rsid w:val="008A4C7F"/>
    <w:rsid w:val="008A6153"/>
    <w:rsid w:val="008B472B"/>
    <w:rsid w:val="008B4C41"/>
    <w:rsid w:val="008B6595"/>
    <w:rsid w:val="008B7FF4"/>
    <w:rsid w:val="008C040F"/>
    <w:rsid w:val="008C0446"/>
    <w:rsid w:val="008C051F"/>
    <w:rsid w:val="008C2151"/>
    <w:rsid w:val="008C28FB"/>
    <w:rsid w:val="008C42F1"/>
    <w:rsid w:val="008C4A06"/>
    <w:rsid w:val="008C5A48"/>
    <w:rsid w:val="008C6DA8"/>
    <w:rsid w:val="008C6E65"/>
    <w:rsid w:val="008D13F3"/>
    <w:rsid w:val="008D2B22"/>
    <w:rsid w:val="008D4654"/>
    <w:rsid w:val="008D5D4E"/>
    <w:rsid w:val="008D6896"/>
    <w:rsid w:val="008D72AD"/>
    <w:rsid w:val="008D735C"/>
    <w:rsid w:val="008D7DFD"/>
    <w:rsid w:val="008E1C27"/>
    <w:rsid w:val="008E3AC0"/>
    <w:rsid w:val="008E3D7B"/>
    <w:rsid w:val="008E4049"/>
    <w:rsid w:val="008E5E1E"/>
    <w:rsid w:val="008E69E1"/>
    <w:rsid w:val="008F1743"/>
    <w:rsid w:val="008F1CA5"/>
    <w:rsid w:val="008F284E"/>
    <w:rsid w:val="008F2912"/>
    <w:rsid w:val="008F3BBA"/>
    <w:rsid w:val="008F5F2E"/>
    <w:rsid w:val="00900A03"/>
    <w:rsid w:val="00903076"/>
    <w:rsid w:val="00904014"/>
    <w:rsid w:val="0090459F"/>
    <w:rsid w:val="00907204"/>
    <w:rsid w:val="00915634"/>
    <w:rsid w:val="00916789"/>
    <w:rsid w:val="0092362E"/>
    <w:rsid w:val="0092475B"/>
    <w:rsid w:val="00924785"/>
    <w:rsid w:val="0093686C"/>
    <w:rsid w:val="009376E4"/>
    <w:rsid w:val="00942F1A"/>
    <w:rsid w:val="00944A1F"/>
    <w:rsid w:val="009458D1"/>
    <w:rsid w:val="0094681C"/>
    <w:rsid w:val="0094691F"/>
    <w:rsid w:val="009549AE"/>
    <w:rsid w:val="00954B57"/>
    <w:rsid w:val="009557DD"/>
    <w:rsid w:val="0095615F"/>
    <w:rsid w:val="0095667A"/>
    <w:rsid w:val="00962A85"/>
    <w:rsid w:val="009637C1"/>
    <w:rsid w:val="00965657"/>
    <w:rsid w:val="0096726B"/>
    <w:rsid w:val="00972075"/>
    <w:rsid w:val="009723AD"/>
    <w:rsid w:val="00974105"/>
    <w:rsid w:val="00974C51"/>
    <w:rsid w:val="0097745B"/>
    <w:rsid w:val="009826EA"/>
    <w:rsid w:val="00983159"/>
    <w:rsid w:val="0098362A"/>
    <w:rsid w:val="00986509"/>
    <w:rsid w:val="00986DDD"/>
    <w:rsid w:val="00986DE0"/>
    <w:rsid w:val="009875AC"/>
    <w:rsid w:val="00987998"/>
    <w:rsid w:val="00991074"/>
    <w:rsid w:val="00992BE7"/>
    <w:rsid w:val="00993E54"/>
    <w:rsid w:val="009942CA"/>
    <w:rsid w:val="0099456E"/>
    <w:rsid w:val="0099518E"/>
    <w:rsid w:val="00996AD0"/>
    <w:rsid w:val="009A0FF3"/>
    <w:rsid w:val="009A3ABB"/>
    <w:rsid w:val="009A3B5A"/>
    <w:rsid w:val="009A6957"/>
    <w:rsid w:val="009A6DC9"/>
    <w:rsid w:val="009B2E79"/>
    <w:rsid w:val="009B486E"/>
    <w:rsid w:val="009B52EB"/>
    <w:rsid w:val="009C0352"/>
    <w:rsid w:val="009C1347"/>
    <w:rsid w:val="009C2E37"/>
    <w:rsid w:val="009C3420"/>
    <w:rsid w:val="009C3C2F"/>
    <w:rsid w:val="009C5B60"/>
    <w:rsid w:val="009C6B23"/>
    <w:rsid w:val="009C74E8"/>
    <w:rsid w:val="009C7B0A"/>
    <w:rsid w:val="009D3427"/>
    <w:rsid w:val="009D6397"/>
    <w:rsid w:val="009E06C2"/>
    <w:rsid w:val="009E2E5F"/>
    <w:rsid w:val="009E30EB"/>
    <w:rsid w:val="009E35BA"/>
    <w:rsid w:val="009E422B"/>
    <w:rsid w:val="009F1F65"/>
    <w:rsid w:val="009F3B00"/>
    <w:rsid w:val="00A06A79"/>
    <w:rsid w:val="00A1281B"/>
    <w:rsid w:val="00A12E23"/>
    <w:rsid w:val="00A13144"/>
    <w:rsid w:val="00A14A7F"/>
    <w:rsid w:val="00A15EE4"/>
    <w:rsid w:val="00A16338"/>
    <w:rsid w:val="00A16FF0"/>
    <w:rsid w:val="00A17E9D"/>
    <w:rsid w:val="00A226B5"/>
    <w:rsid w:val="00A22C41"/>
    <w:rsid w:val="00A22F90"/>
    <w:rsid w:val="00A23A4B"/>
    <w:rsid w:val="00A24387"/>
    <w:rsid w:val="00A24B50"/>
    <w:rsid w:val="00A2730A"/>
    <w:rsid w:val="00A279C1"/>
    <w:rsid w:val="00A32880"/>
    <w:rsid w:val="00A33035"/>
    <w:rsid w:val="00A3409B"/>
    <w:rsid w:val="00A342C5"/>
    <w:rsid w:val="00A35924"/>
    <w:rsid w:val="00A3617D"/>
    <w:rsid w:val="00A361FF"/>
    <w:rsid w:val="00A36D3A"/>
    <w:rsid w:val="00A36E03"/>
    <w:rsid w:val="00A36E62"/>
    <w:rsid w:val="00A3721A"/>
    <w:rsid w:val="00A40243"/>
    <w:rsid w:val="00A40529"/>
    <w:rsid w:val="00A40993"/>
    <w:rsid w:val="00A4129B"/>
    <w:rsid w:val="00A415F6"/>
    <w:rsid w:val="00A4284B"/>
    <w:rsid w:val="00A431F5"/>
    <w:rsid w:val="00A5117F"/>
    <w:rsid w:val="00A53AE5"/>
    <w:rsid w:val="00A5516E"/>
    <w:rsid w:val="00A5738D"/>
    <w:rsid w:val="00A649B4"/>
    <w:rsid w:val="00A6655D"/>
    <w:rsid w:val="00A66D19"/>
    <w:rsid w:val="00A67DB7"/>
    <w:rsid w:val="00A7128E"/>
    <w:rsid w:val="00A71818"/>
    <w:rsid w:val="00A71E80"/>
    <w:rsid w:val="00A726E6"/>
    <w:rsid w:val="00A73B10"/>
    <w:rsid w:val="00A75770"/>
    <w:rsid w:val="00A806A8"/>
    <w:rsid w:val="00A818D7"/>
    <w:rsid w:val="00A82DB1"/>
    <w:rsid w:val="00A84A88"/>
    <w:rsid w:val="00A90DE4"/>
    <w:rsid w:val="00A91C37"/>
    <w:rsid w:val="00A93471"/>
    <w:rsid w:val="00A942C3"/>
    <w:rsid w:val="00A94972"/>
    <w:rsid w:val="00A94A31"/>
    <w:rsid w:val="00A96092"/>
    <w:rsid w:val="00AA0E37"/>
    <w:rsid w:val="00AB0878"/>
    <w:rsid w:val="00AB1F27"/>
    <w:rsid w:val="00AB49EB"/>
    <w:rsid w:val="00AB4B1A"/>
    <w:rsid w:val="00AB5C13"/>
    <w:rsid w:val="00AB61A3"/>
    <w:rsid w:val="00AC0451"/>
    <w:rsid w:val="00AC0A52"/>
    <w:rsid w:val="00AC1F11"/>
    <w:rsid w:val="00AC3513"/>
    <w:rsid w:val="00AD0738"/>
    <w:rsid w:val="00AD2FF9"/>
    <w:rsid w:val="00AD551B"/>
    <w:rsid w:val="00AD6C89"/>
    <w:rsid w:val="00AE08D9"/>
    <w:rsid w:val="00AE0D5F"/>
    <w:rsid w:val="00AE1D10"/>
    <w:rsid w:val="00AE2DF9"/>
    <w:rsid w:val="00AE3E5F"/>
    <w:rsid w:val="00AE4E17"/>
    <w:rsid w:val="00AE5024"/>
    <w:rsid w:val="00AE5414"/>
    <w:rsid w:val="00AF0B11"/>
    <w:rsid w:val="00B027F4"/>
    <w:rsid w:val="00B0619F"/>
    <w:rsid w:val="00B061BA"/>
    <w:rsid w:val="00B0649A"/>
    <w:rsid w:val="00B06895"/>
    <w:rsid w:val="00B07426"/>
    <w:rsid w:val="00B12CEC"/>
    <w:rsid w:val="00B141C6"/>
    <w:rsid w:val="00B14485"/>
    <w:rsid w:val="00B15F5E"/>
    <w:rsid w:val="00B17631"/>
    <w:rsid w:val="00B20046"/>
    <w:rsid w:val="00B2257B"/>
    <w:rsid w:val="00B242EC"/>
    <w:rsid w:val="00B250E6"/>
    <w:rsid w:val="00B30F19"/>
    <w:rsid w:val="00B33AAA"/>
    <w:rsid w:val="00B357DA"/>
    <w:rsid w:val="00B35CCD"/>
    <w:rsid w:val="00B3607F"/>
    <w:rsid w:val="00B402F9"/>
    <w:rsid w:val="00B40DC5"/>
    <w:rsid w:val="00B50147"/>
    <w:rsid w:val="00B52BC6"/>
    <w:rsid w:val="00B52E99"/>
    <w:rsid w:val="00B61A99"/>
    <w:rsid w:val="00B62A23"/>
    <w:rsid w:val="00B62B22"/>
    <w:rsid w:val="00B63E03"/>
    <w:rsid w:val="00B63EE0"/>
    <w:rsid w:val="00B64759"/>
    <w:rsid w:val="00B65F23"/>
    <w:rsid w:val="00B70BC2"/>
    <w:rsid w:val="00B71E9B"/>
    <w:rsid w:val="00B73360"/>
    <w:rsid w:val="00B73B4C"/>
    <w:rsid w:val="00B74B71"/>
    <w:rsid w:val="00B77DE0"/>
    <w:rsid w:val="00B805F1"/>
    <w:rsid w:val="00B80892"/>
    <w:rsid w:val="00B8119D"/>
    <w:rsid w:val="00B843F4"/>
    <w:rsid w:val="00B85C1C"/>
    <w:rsid w:val="00B87BFA"/>
    <w:rsid w:val="00B9105F"/>
    <w:rsid w:val="00B9197D"/>
    <w:rsid w:val="00B920BB"/>
    <w:rsid w:val="00B97A14"/>
    <w:rsid w:val="00BA099B"/>
    <w:rsid w:val="00BA0B01"/>
    <w:rsid w:val="00BA0FA9"/>
    <w:rsid w:val="00BA1050"/>
    <w:rsid w:val="00BA3037"/>
    <w:rsid w:val="00BA5540"/>
    <w:rsid w:val="00BA5627"/>
    <w:rsid w:val="00BA6762"/>
    <w:rsid w:val="00BA7A10"/>
    <w:rsid w:val="00BA7CEE"/>
    <w:rsid w:val="00BB16EA"/>
    <w:rsid w:val="00BB1CAB"/>
    <w:rsid w:val="00BB5DF6"/>
    <w:rsid w:val="00BB5EA1"/>
    <w:rsid w:val="00BB6D9C"/>
    <w:rsid w:val="00BB707C"/>
    <w:rsid w:val="00BB7F62"/>
    <w:rsid w:val="00BC0552"/>
    <w:rsid w:val="00BC14C9"/>
    <w:rsid w:val="00BC32EE"/>
    <w:rsid w:val="00BC3466"/>
    <w:rsid w:val="00BC4D5D"/>
    <w:rsid w:val="00BD16BF"/>
    <w:rsid w:val="00BD2D4B"/>
    <w:rsid w:val="00BD5D1A"/>
    <w:rsid w:val="00BD6264"/>
    <w:rsid w:val="00BD65EA"/>
    <w:rsid w:val="00BD6FE5"/>
    <w:rsid w:val="00BD7F8D"/>
    <w:rsid w:val="00BE2529"/>
    <w:rsid w:val="00BE3A2D"/>
    <w:rsid w:val="00BE3C97"/>
    <w:rsid w:val="00BE5A14"/>
    <w:rsid w:val="00BE5F91"/>
    <w:rsid w:val="00BE73A7"/>
    <w:rsid w:val="00BE7B7D"/>
    <w:rsid w:val="00BF2D75"/>
    <w:rsid w:val="00BF46B1"/>
    <w:rsid w:val="00BF7979"/>
    <w:rsid w:val="00C0205D"/>
    <w:rsid w:val="00C037EA"/>
    <w:rsid w:val="00C044FF"/>
    <w:rsid w:val="00C04B61"/>
    <w:rsid w:val="00C06263"/>
    <w:rsid w:val="00C07CB1"/>
    <w:rsid w:val="00C11D25"/>
    <w:rsid w:val="00C168EB"/>
    <w:rsid w:val="00C17F96"/>
    <w:rsid w:val="00C244C9"/>
    <w:rsid w:val="00C25827"/>
    <w:rsid w:val="00C26916"/>
    <w:rsid w:val="00C26F9A"/>
    <w:rsid w:val="00C270C4"/>
    <w:rsid w:val="00C27AA9"/>
    <w:rsid w:val="00C30087"/>
    <w:rsid w:val="00C30D8E"/>
    <w:rsid w:val="00C31615"/>
    <w:rsid w:val="00C370EE"/>
    <w:rsid w:val="00C4003F"/>
    <w:rsid w:val="00C40172"/>
    <w:rsid w:val="00C40204"/>
    <w:rsid w:val="00C428AF"/>
    <w:rsid w:val="00C42CA3"/>
    <w:rsid w:val="00C43659"/>
    <w:rsid w:val="00C45542"/>
    <w:rsid w:val="00C45CAD"/>
    <w:rsid w:val="00C46A8C"/>
    <w:rsid w:val="00C47141"/>
    <w:rsid w:val="00C4736F"/>
    <w:rsid w:val="00C51252"/>
    <w:rsid w:val="00C522B1"/>
    <w:rsid w:val="00C55734"/>
    <w:rsid w:val="00C60DAB"/>
    <w:rsid w:val="00C61E85"/>
    <w:rsid w:val="00C62D53"/>
    <w:rsid w:val="00C62FE8"/>
    <w:rsid w:val="00C66272"/>
    <w:rsid w:val="00C7330C"/>
    <w:rsid w:val="00C733FD"/>
    <w:rsid w:val="00C74263"/>
    <w:rsid w:val="00C80697"/>
    <w:rsid w:val="00C80A6C"/>
    <w:rsid w:val="00C83139"/>
    <w:rsid w:val="00C83A77"/>
    <w:rsid w:val="00C871AE"/>
    <w:rsid w:val="00C91663"/>
    <w:rsid w:val="00C935BF"/>
    <w:rsid w:val="00C9394A"/>
    <w:rsid w:val="00C93B13"/>
    <w:rsid w:val="00C94F16"/>
    <w:rsid w:val="00C953DA"/>
    <w:rsid w:val="00C96072"/>
    <w:rsid w:val="00C964F9"/>
    <w:rsid w:val="00C97E5A"/>
    <w:rsid w:val="00CA2D8E"/>
    <w:rsid w:val="00CA4D6D"/>
    <w:rsid w:val="00CA6161"/>
    <w:rsid w:val="00CA6EA1"/>
    <w:rsid w:val="00CB07D5"/>
    <w:rsid w:val="00CB2B75"/>
    <w:rsid w:val="00CB7199"/>
    <w:rsid w:val="00CB7370"/>
    <w:rsid w:val="00CC14BE"/>
    <w:rsid w:val="00CC27E9"/>
    <w:rsid w:val="00CC2956"/>
    <w:rsid w:val="00CC2AFC"/>
    <w:rsid w:val="00CC2F91"/>
    <w:rsid w:val="00CC3294"/>
    <w:rsid w:val="00CC3E1D"/>
    <w:rsid w:val="00CC6491"/>
    <w:rsid w:val="00CD06AD"/>
    <w:rsid w:val="00CD141C"/>
    <w:rsid w:val="00CD1518"/>
    <w:rsid w:val="00CD25FF"/>
    <w:rsid w:val="00CD2A4E"/>
    <w:rsid w:val="00CD6636"/>
    <w:rsid w:val="00CD6F2C"/>
    <w:rsid w:val="00CE0CBC"/>
    <w:rsid w:val="00CE4003"/>
    <w:rsid w:val="00CE619F"/>
    <w:rsid w:val="00CE6361"/>
    <w:rsid w:val="00CF0DA8"/>
    <w:rsid w:val="00CF1FEF"/>
    <w:rsid w:val="00CF40D8"/>
    <w:rsid w:val="00CF4E6B"/>
    <w:rsid w:val="00CF620F"/>
    <w:rsid w:val="00CF6861"/>
    <w:rsid w:val="00D01224"/>
    <w:rsid w:val="00D02AA5"/>
    <w:rsid w:val="00D04D3E"/>
    <w:rsid w:val="00D05830"/>
    <w:rsid w:val="00D059DE"/>
    <w:rsid w:val="00D06A3E"/>
    <w:rsid w:val="00D07230"/>
    <w:rsid w:val="00D07D71"/>
    <w:rsid w:val="00D128E8"/>
    <w:rsid w:val="00D1798F"/>
    <w:rsid w:val="00D20EBC"/>
    <w:rsid w:val="00D21338"/>
    <w:rsid w:val="00D23981"/>
    <w:rsid w:val="00D23FAC"/>
    <w:rsid w:val="00D2459D"/>
    <w:rsid w:val="00D24953"/>
    <w:rsid w:val="00D2548B"/>
    <w:rsid w:val="00D314A5"/>
    <w:rsid w:val="00D32B7A"/>
    <w:rsid w:val="00D33F79"/>
    <w:rsid w:val="00D34116"/>
    <w:rsid w:val="00D37E6D"/>
    <w:rsid w:val="00D40BA4"/>
    <w:rsid w:val="00D418DB"/>
    <w:rsid w:val="00D42C1D"/>
    <w:rsid w:val="00D42C43"/>
    <w:rsid w:val="00D4354C"/>
    <w:rsid w:val="00D44628"/>
    <w:rsid w:val="00D44B01"/>
    <w:rsid w:val="00D44CB4"/>
    <w:rsid w:val="00D52FB6"/>
    <w:rsid w:val="00D54C0E"/>
    <w:rsid w:val="00D54F5C"/>
    <w:rsid w:val="00D55F1E"/>
    <w:rsid w:val="00D567DA"/>
    <w:rsid w:val="00D60736"/>
    <w:rsid w:val="00D60FEE"/>
    <w:rsid w:val="00D610AF"/>
    <w:rsid w:val="00D62B37"/>
    <w:rsid w:val="00D64EA6"/>
    <w:rsid w:val="00D703C7"/>
    <w:rsid w:val="00D70587"/>
    <w:rsid w:val="00D709A0"/>
    <w:rsid w:val="00D7553C"/>
    <w:rsid w:val="00D822DC"/>
    <w:rsid w:val="00D844EC"/>
    <w:rsid w:val="00D8511B"/>
    <w:rsid w:val="00D8524C"/>
    <w:rsid w:val="00D8641B"/>
    <w:rsid w:val="00D9094A"/>
    <w:rsid w:val="00D9239C"/>
    <w:rsid w:val="00D92567"/>
    <w:rsid w:val="00D92CEC"/>
    <w:rsid w:val="00D94C6E"/>
    <w:rsid w:val="00D968E3"/>
    <w:rsid w:val="00DA2BFC"/>
    <w:rsid w:val="00DA4916"/>
    <w:rsid w:val="00DA5D3C"/>
    <w:rsid w:val="00DA62EB"/>
    <w:rsid w:val="00DB48BF"/>
    <w:rsid w:val="00DB551B"/>
    <w:rsid w:val="00DB56A9"/>
    <w:rsid w:val="00DB64CA"/>
    <w:rsid w:val="00DB6CA0"/>
    <w:rsid w:val="00DC1E43"/>
    <w:rsid w:val="00DC473B"/>
    <w:rsid w:val="00DC5427"/>
    <w:rsid w:val="00DC5B9B"/>
    <w:rsid w:val="00DC5CF3"/>
    <w:rsid w:val="00DD1183"/>
    <w:rsid w:val="00DD18F6"/>
    <w:rsid w:val="00DD29F7"/>
    <w:rsid w:val="00DD39F2"/>
    <w:rsid w:val="00DD42D0"/>
    <w:rsid w:val="00DD6591"/>
    <w:rsid w:val="00DD670F"/>
    <w:rsid w:val="00DD6AED"/>
    <w:rsid w:val="00DE2057"/>
    <w:rsid w:val="00DE563B"/>
    <w:rsid w:val="00DE596D"/>
    <w:rsid w:val="00DE59EE"/>
    <w:rsid w:val="00DE7089"/>
    <w:rsid w:val="00DF1941"/>
    <w:rsid w:val="00DF2E1F"/>
    <w:rsid w:val="00DF5B62"/>
    <w:rsid w:val="00DF6DE4"/>
    <w:rsid w:val="00E00BA9"/>
    <w:rsid w:val="00E00FA3"/>
    <w:rsid w:val="00E04103"/>
    <w:rsid w:val="00E0454B"/>
    <w:rsid w:val="00E11B4F"/>
    <w:rsid w:val="00E204AE"/>
    <w:rsid w:val="00E20C6F"/>
    <w:rsid w:val="00E21BE7"/>
    <w:rsid w:val="00E2386F"/>
    <w:rsid w:val="00E26018"/>
    <w:rsid w:val="00E3001E"/>
    <w:rsid w:val="00E308E1"/>
    <w:rsid w:val="00E32BAB"/>
    <w:rsid w:val="00E32C64"/>
    <w:rsid w:val="00E33254"/>
    <w:rsid w:val="00E3327F"/>
    <w:rsid w:val="00E35931"/>
    <w:rsid w:val="00E362BD"/>
    <w:rsid w:val="00E425D9"/>
    <w:rsid w:val="00E54F4A"/>
    <w:rsid w:val="00E578FD"/>
    <w:rsid w:val="00E60EEB"/>
    <w:rsid w:val="00E6118D"/>
    <w:rsid w:val="00E616C6"/>
    <w:rsid w:val="00E62024"/>
    <w:rsid w:val="00E66322"/>
    <w:rsid w:val="00E679FC"/>
    <w:rsid w:val="00E70FF5"/>
    <w:rsid w:val="00E71729"/>
    <w:rsid w:val="00E727D8"/>
    <w:rsid w:val="00E75277"/>
    <w:rsid w:val="00E801B2"/>
    <w:rsid w:val="00E82C50"/>
    <w:rsid w:val="00E8336B"/>
    <w:rsid w:val="00E836AC"/>
    <w:rsid w:val="00E843A6"/>
    <w:rsid w:val="00E852A3"/>
    <w:rsid w:val="00E91463"/>
    <w:rsid w:val="00E925E1"/>
    <w:rsid w:val="00E97227"/>
    <w:rsid w:val="00E97831"/>
    <w:rsid w:val="00E97B36"/>
    <w:rsid w:val="00EA187F"/>
    <w:rsid w:val="00EA22D7"/>
    <w:rsid w:val="00EA381D"/>
    <w:rsid w:val="00EA3F26"/>
    <w:rsid w:val="00EA5974"/>
    <w:rsid w:val="00EA5B82"/>
    <w:rsid w:val="00EA5C8B"/>
    <w:rsid w:val="00EA6C6E"/>
    <w:rsid w:val="00EA6F84"/>
    <w:rsid w:val="00EA7D87"/>
    <w:rsid w:val="00EB1B96"/>
    <w:rsid w:val="00EB482B"/>
    <w:rsid w:val="00EB69AC"/>
    <w:rsid w:val="00EB75E3"/>
    <w:rsid w:val="00EB7A2B"/>
    <w:rsid w:val="00EC4916"/>
    <w:rsid w:val="00EC640C"/>
    <w:rsid w:val="00ED00E6"/>
    <w:rsid w:val="00ED14EC"/>
    <w:rsid w:val="00ED225E"/>
    <w:rsid w:val="00ED2D09"/>
    <w:rsid w:val="00ED45A9"/>
    <w:rsid w:val="00ED469F"/>
    <w:rsid w:val="00ED54E8"/>
    <w:rsid w:val="00EE332C"/>
    <w:rsid w:val="00EE672E"/>
    <w:rsid w:val="00EE6ACD"/>
    <w:rsid w:val="00EF07C1"/>
    <w:rsid w:val="00EF09DB"/>
    <w:rsid w:val="00EF13F7"/>
    <w:rsid w:val="00EF16B2"/>
    <w:rsid w:val="00EF208B"/>
    <w:rsid w:val="00EF302C"/>
    <w:rsid w:val="00EF390A"/>
    <w:rsid w:val="00EF7A28"/>
    <w:rsid w:val="00F01203"/>
    <w:rsid w:val="00F0153F"/>
    <w:rsid w:val="00F03AF5"/>
    <w:rsid w:val="00F057B0"/>
    <w:rsid w:val="00F111F2"/>
    <w:rsid w:val="00F111F3"/>
    <w:rsid w:val="00F12D54"/>
    <w:rsid w:val="00F14DF1"/>
    <w:rsid w:val="00F17F6B"/>
    <w:rsid w:val="00F2338D"/>
    <w:rsid w:val="00F23F04"/>
    <w:rsid w:val="00F24E0F"/>
    <w:rsid w:val="00F256DC"/>
    <w:rsid w:val="00F25FC0"/>
    <w:rsid w:val="00F27037"/>
    <w:rsid w:val="00F30EDD"/>
    <w:rsid w:val="00F31172"/>
    <w:rsid w:val="00F31AA2"/>
    <w:rsid w:val="00F32C6F"/>
    <w:rsid w:val="00F34C89"/>
    <w:rsid w:val="00F3630B"/>
    <w:rsid w:val="00F410BC"/>
    <w:rsid w:val="00F41EFC"/>
    <w:rsid w:val="00F437E1"/>
    <w:rsid w:val="00F438F5"/>
    <w:rsid w:val="00F47A0F"/>
    <w:rsid w:val="00F50A0F"/>
    <w:rsid w:val="00F52F03"/>
    <w:rsid w:val="00F57204"/>
    <w:rsid w:val="00F57770"/>
    <w:rsid w:val="00F602F6"/>
    <w:rsid w:val="00F60779"/>
    <w:rsid w:val="00F61DB4"/>
    <w:rsid w:val="00F62A5F"/>
    <w:rsid w:val="00F62E01"/>
    <w:rsid w:val="00F630C4"/>
    <w:rsid w:val="00F640C3"/>
    <w:rsid w:val="00F64945"/>
    <w:rsid w:val="00F65608"/>
    <w:rsid w:val="00F70F49"/>
    <w:rsid w:val="00F72D76"/>
    <w:rsid w:val="00F74DAD"/>
    <w:rsid w:val="00F776BD"/>
    <w:rsid w:val="00F80FBC"/>
    <w:rsid w:val="00F81B15"/>
    <w:rsid w:val="00F83576"/>
    <w:rsid w:val="00F84D30"/>
    <w:rsid w:val="00F85938"/>
    <w:rsid w:val="00F85D85"/>
    <w:rsid w:val="00F92573"/>
    <w:rsid w:val="00FA2848"/>
    <w:rsid w:val="00FA3632"/>
    <w:rsid w:val="00FA4FC6"/>
    <w:rsid w:val="00FA5273"/>
    <w:rsid w:val="00FA6A76"/>
    <w:rsid w:val="00FB0705"/>
    <w:rsid w:val="00FB172B"/>
    <w:rsid w:val="00FB1F01"/>
    <w:rsid w:val="00FB2735"/>
    <w:rsid w:val="00FB2930"/>
    <w:rsid w:val="00FB33EC"/>
    <w:rsid w:val="00FB3A75"/>
    <w:rsid w:val="00FB67E7"/>
    <w:rsid w:val="00FB7EF2"/>
    <w:rsid w:val="00FC1B9D"/>
    <w:rsid w:val="00FC46BB"/>
    <w:rsid w:val="00FC4F05"/>
    <w:rsid w:val="00FC5B59"/>
    <w:rsid w:val="00FC6486"/>
    <w:rsid w:val="00FC79B8"/>
    <w:rsid w:val="00FC7A3C"/>
    <w:rsid w:val="00FD1921"/>
    <w:rsid w:val="00FD3D27"/>
    <w:rsid w:val="00FD3D7F"/>
    <w:rsid w:val="00FD4F71"/>
    <w:rsid w:val="00FD58F3"/>
    <w:rsid w:val="00FD7783"/>
    <w:rsid w:val="00FE1139"/>
    <w:rsid w:val="00FE1B73"/>
    <w:rsid w:val="00FE369E"/>
    <w:rsid w:val="00FE4C63"/>
    <w:rsid w:val="00FE65B6"/>
    <w:rsid w:val="00FE7006"/>
    <w:rsid w:val="00FE7BC5"/>
    <w:rsid w:val="00FF0A31"/>
    <w:rsid w:val="00FF1CC7"/>
    <w:rsid w:val="00FF2A3E"/>
    <w:rsid w:val="00FF3BFA"/>
    <w:rsid w:val="00FF479B"/>
    <w:rsid w:val="00FF571B"/>
    <w:rsid w:val="00FF64C4"/>
    <w:rsid w:val="00FF74D3"/>
    <w:rsid w:val="01333EFF"/>
    <w:rsid w:val="021C51A3"/>
    <w:rsid w:val="02B14320"/>
    <w:rsid w:val="03F83ABE"/>
    <w:rsid w:val="0501365F"/>
    <w:rsid w:val="0710034B"/>
    <w:rsid w:val="08CF7AAA"/>
    <w:rsid w:val="0A3615F1"/>
    <w:rsid w:val="0A4C0C2A"/>
    <w:rsid w:val="0C91775C"/>
    <w:rsid w:val="0CE73BD2"/>
    <w:rsid w:val="0D5447F3"/>
    <w:rsid w:val="0D6C18FD"/>
    <w:rsid w:val="0DBE4C69"/>
    <w:rsid w:val="0DCB6F7B"/>
    <w:rsid w:val="10D51B29"/>
    <w:rsid w:val="123E3F52"/>
    <w:rsid w:val="12DA3D40"/>
    <w:rsid w:val="135C315C"/>
    <w:rsid w:val="15AF0814"/>
    <w:rsid w:val="160D6EAE"/>
    <w:rsid w:val="1784577E"/>
    <w:rsid w:val="19620903"/>
    <w:rsid w:val="197927B9"/>
    <w:rsid w:val="19BC4B55"/>
    <w:rsid w:val="1C1F0578"/>
    <w:rsid w:val="1CA81FFC"/>
    <w:rsid w:val="1D1D6750"/>
    <w:rsid w:val="1DCF5897"/>
    <w:rsid w:val="1F3C7BD7"/>
    <w:rsid w:val="1F415BB5"/>
    <w:rsid w:val="1FF63ED7"/>
    <w:rsid w:val="21642126"/>
    <w:rsid w:val="23EB3B50"/>
    <w:rsid w:val="25D65BAA"/>
    <w:rsid w:val="27A21F28"/>
    <w:rsid w:val="29D84B76"/>
    <w:rsid w:val="2ABC427A"/>
    <w:rsid w:val="2B980D0E"/>
    <w:rsid w:val="2E353F6A"/>
    <w:rsid w:val="33E97E50"/>
    <w:rsid w:val="34411D1D"/>
    <w:rsid w:val="34DA4E63"/>
    <w:rsid w:val="35D51E56"/>
    <w:rsid w:val="36590E0A"/>
    <w:rsid w:val="36A31600"/>
    <w:rsid w:val="370902D5"/>
    <w:rsid w:val="38623F75"/>
    <w:rsid w:val="3AA32C70"/>
    <w:rsid w:val="3B270A36"/>
    <w:rsid w:val="3E913D5F"/>
    <w:rsid w:val="3EAB0654"/>
    <w:rsid w:val="3F077A36"/>
    <w:rsid w:val="3F545012"/>
    <w:rsid w:val="40BE50AE"/>
    <w:rsid w:val="42982B61"/>
    <w:rsid w:val="4346632E"/>
    <w:rsid w:val="44491963"/>
    <w:rsid w:val="46451783"/>
    <w:rsid w:val="47266465"/>
    <w:rsid w:val="48EF6274"/>
    <w:rsid w:val="49326961"/>
    <w:rsid w:val="4B74352D"/>
    <w:rsid w:val="4C8E6D1C"/>
    <w:rsid w:val="4D1236DF"/>
    <w:rsid w:val="4EB72429"/>
    <w:rsid w:val="4F1D38D8"/>
    <w:rsid w:val="526F7C94"/>
    <w:rsid w:val="53FF3407"/>
    <w:rsid w:val="56946B44"/>
    <w:rsid w:val="56AD255A"/>
    <w:rsid w:val="56F84086"/>
    <w:rsid w:val="5BA8378D"/>
    <w:rsid w:val="5C712EAE"/>
    <w:rsid w:val="5C787C1F"/>
    <w:rsid w:val="5DF030CB"/>
    <w:rsid w:val="5E1E62F4"/>
    <w:rsid w:val="5E3E737F"/>
    <w:rsid w:val="5F667012"/>
    <w:rsid w:val="5F69313A"/>
    <w:rsid w:val="61754F6A"/>
    <w:rsid w:val="61FB7A0B"/>
    <w:rsid w:val="64936CB9"/>
    <w:rsid w:val="65B857C8"/>
    <w:rsid w:val="67F50235"/>
    <w:rsid w:val="68274C34"/>
    <w:rsid w:val="68923A65"/>
    <w:rsid w:val="68FC6837"/>
    <w:rsid w:val="6ADC381B"/>
    <w:rsid w:val="6B3A5ECA"/>
    <w:rsid w:val="6C324C6E"/>
    <w:rsid w:val="6EA36ACE"/>
    <w:rsid w:val="709366CE"/>
    <w:rsid w:val="71095BA9"/>
    <w:rsid w:val="71AA155C"/>
    <w:rsid w:val="72893D49"/>
    <w:rsid w:val="73C6254E"/>
    <w:rsid w:val="74C45FAB"/>
    <w:rsid w:val="756746FC"/>
    <w:rsid w:val="76EA3709"/>
    <w:rsid w:val="78790190"/>
    <w:rsid w:val="78F81FD2"/>
    <w:rsid w:val="799F3C44"/>
    <w:rsid w:val="7F3513E6"/>
    <w:rsid w:val="7F4B2F7B"/>
    <w:rsid w:val="7FDA31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iPriority="99" w:semiHidden="0" w:name="endnote reference"/>
    <w:lsdException w:qFormat="1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460" w:lineRule="exact"/>
      <w:ind w:firstLine="200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61"/>
    <w:autoRedefine/>
    <w:qFormat/>
    <w:uiPriority w:val="9"/>
    <w:pPr>
      <w:tabs>
        <w:tab w:val="left" w:pos="1080"/>
      </w:tabs>
      <w:ind w:firstLine="0" w:firstLineChars="0"/>
      <w:outlineLvl w:val="0"/>
    </w:pPr>
    <w:rPr>
      <w:rFonts w:eastAsia="黑体"/>
      <w:bCs/>
    </w:rPr>
  </w:style>
  <w:style w:type="paragraph" w:styleId="3">
    <w:name w:val="heading 2"/>
    <w:basedOn w:val="1"/>
    <w:next w:val="1"/>
    <w:link w:val="48"/>
    <w:autoRedefine/>
    <w:unhideWhenUsed/>
    <w:qFormat/>
    <w:uiPriority w:val="0"/>
    <w:pPr>
      <w:ind w:firstLine="0" w:firstLineChars="0"/>
      <w:outlineLvl w:val="1"/>
    </w:pPr>
    <w:rPr>
      <w:rFonts w:cstheme="majorBidi"/>
      <w:bCs/>
      <w:szCs w:val="32"/>
    </w:rPr>
  </w:style>
  <w:style w:type="paragraph" w:styleId="4">
    <w:name w:val="heading 3"/>
    <w:basedOn w:val="1"/>
    <w:next w:val="1"/>
    <w:link w:val="51"/>
    <w:autoRedefine/>
    <w:unhideWhenUsed/>
    <w:qFormat/>
    <w:uiPriority w:val="0"/>
    <w:pPr>
      <w:keepLines/>
      <w:ind w:firstLine="0" w:firstLineChars="0"/>
      <w:outlineLvl w:val="2"/>
    </w:pPr>
    <w:rPr>
      <w:bCs/>
      <w:szCs w:val="32"/>
    </w:rPr>
  </w:style>
  <w:style w:type="paragraph" w:styleId="5">
    <w:name w:val="heading 4"/>
    <w:basedOn w:val="1"/>
    <w:next w:val="1"/>
    <w:link w:val="63"/>
    <w:autoRedefine/>
    <w:semiHidden/>
    <w:unhideWhenUsed/>
    <w:qFormat/>
    <w:uiPriority w:val="9"/>
    <w:pPr>
      <w:keepNext/>
      <w:keepLines/>
      <w:widowControl/>
      <w:spacing w:before="280" w:after="290" w:line="376" w:lineRule="auto"/>
      <w:ind w:firstLine="0" w:firstLineChars="0"/>
      <w:jc w:val="both"/>
      <w:outlineLvl w:val="3"/>
    </w:pPr>
    <w:rPr>
      <w:rFonts w:asciiTheme="majorHAnsi" w:hAnsiTheme="majorHAnsi" w:eastAsiaTheme="majorEastAsia" w:cstheme="majorBidi"/>
      <w:b/>
      <w:bCs/>
      <w:sz w:val="28"/>
      <w:szCs w:val="28"/>
      <w:lang w:val="zh-CN"/>
    </w:rPr>
  </w:style>
  <w:style w:type="character" w:default="1" w:styleId="30">
    <w:name w:val="Default Paragraph Font"/>
    <w:semiHidden/>
    <w:unhideWhenUsed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autoRedefine/>
    <w:qFormat/>
    <w:uiPriority w:val="3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annotation text"/>
    <w:basedOn w:val="1"/>
    <w:link w:val="49"/>
    <w:autoRedefine/>
    <w:qFormat/>
    <w:uiPriority w:val="99"/>
  </w:style>
  <w:style w:type="paragraph" w:styleId="8">
    <w:name w:val="Body Text Indent"/>
    <w:basedOn w:val="1"/>
    <w:link w:val="64"/>
    <w:autoRedefine/>
    <w:qFormat/>
    <w:uiPriority w:val="0"/>
    <w:pPr>
      <w:widowControl/>
      <w:spacing w:line="360" w:lineRule="auto"/>
      <w:ind w:left="5880" w:leftChars="2800" w:firstLine="6720" w:firstLineChars="800"/>
      <w:jc w:val="both"/>
    </w:pPr>
    <w:rPr>
      <w:kern w:val="0"/>
      <w:sz w:val="84"/>
      <w:szCs w:val="20"/>
    </w:rPr>
  </w:style>
  <w:style w:type="paragraph" w:styleId="9">
    <w:name w:val="toc 5"/>
    <w:basedOn w:val="1"/>
    <w:next w:val="1"/>
    <w:autoRedefine/>
    <w:qFormat/>
    <w:uiPriority w:val="39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10">
    <w:name w:val="toc 3"/>
    <w:basedOn w:val="1"/>
    <w:next w:val="1"/>
    <w:autoRedefine/>
    <w:qFormat/>
    <w:uiPriority w:val="39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11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12">
    <w:name w:val="toc 8"/>
    <w:basedOn w:val="1"/>
    <w:next w:val="1"/>
    <w:autoRedefine/>
    <w:qFormat/>
    <w:uiPriority w:val="3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13">
    <w:name w:val="Date"/>
    <w:basedOn w:val="1"/>
    <w:next w:val="1"/>
    <w:link w:val="65"/>
    <w:autoRedefine/>
    <w:unhideWhenUsed/>
    <w:qFormat/>
    <w:uiPriority w:val="99"/>
    <w:pPr>
      <w:widowControl/>
      <w:spacing w:line="360" w:lineRule="auto"/>
      <w:ind w:left="100" w:leftChars="2500" w:firstLine="0" w:firstLineChars="0"/>
      <w:jc w:val="both"/>
    </w:pPr>
    <w:rPr>
      <w:rFonts w:ascii="Arial" w:hAnsi="Arial"/>
      <w:sz w:val="21"/>
      <w:szCs w:val="22"/>
      <w:lang w:val="zh-CN"/>
    </w:rPr>
  </w:style>
  <w:style w:type="paragraph" w:styleId="14">
    <w:name w:val="Body Text Indent 2"/>
    <w:basedOn w:val="1"/>
    <w:link w:val="93"/>
    <w:autoRedefine/>
    <w:qFormat/>
    <w:uiPriority w:val="99"/>
    <w:pPr>
      <w:spacing w:line="240" w:lineRule="auto"/>
      <w:ind w:firstLine="0" w:firstLineChars="0"/>
      <w:jc w:val="center"/>
    </w:pPr>
    <w:rPr>
      <w:sz w:val="21"/>
    </w:rPr>
  </w:style>
  <w:style w:type="paragraph" w:styleId="15">
    <w:name w:val="endnote text"/>
    <w:basedOn w:val="1"/>
    <w:link w:val="66"/>
    <w:autoRedefine/>
    <w:unhideWhenUsed/>
    <w:qFormat/>
    <w:uiPriority w:val="99"/>
    <w:pPr>
      <w:widowControl/>
      <w:snapToGrid w:val="0"/>
      <w:spacing w:line="360" w:lineRule="auto"/>
      <w:ind w:firstLine="0" w:firstLineChars="0"/>
    </w:pPr>
    <w:rPr>
      <w:rFonts w:ascii="Arial" w:hAnsi="Arial"/>
      <w:sz w:val="21"/>
      <w:szCs w:val="22"/>
      <w:lang w:val="zh-CN"/>
    </w:rPr>
  </w:style>
  <w:style w:type="paragraph" w:styleId="16">
    <w:name w:val="Balloon Text"/>
    <w:basedOn w:val="1"/>
    <w:link w:val="46"/>
    <w:autoRedefine/>
    <w:qFormat/>
    <w:uiPriority w:val="99"/>
    <w:rPr>
      <w:sz w:val="18"/>
      <w:szCs w:val="18"/>
    </w:rPr>
  </w:style>
  <w:style w:type="paragraph" w:styleId="17">
    <w:name w:val="footer"/>
    <w:basedOn w:val="1"/>
    <w:link w:val="67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8">
    <w:name w:val="header"/>
    <w:basedOn w:val="1"/>
    <w:link w:val="68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autoRedefine/>
    <w:qFormat/>
    <w:uiPriority w:val="39"/>
    <w:rPr>
      <w:rFonts w:cstheme="majorHAnsi"/>
      <w:bCs/>
      <w:caps/>
    </w:rPr>
  </w:style>
  <w:style w:type="paragraph" w:styleId="20">
    <w:name w:val="toc 4"/>
    <w:basedOn w:val="1"/>
    <w:next w:val="1"/>
    <w:autoRedefine/>
    <w:qFormat/>
    <w:uiPriority w:val="39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21">
    <w:name w:val="footnote text"/>
    <w:basedOn w:val="1"/>
    <w:link w:val="69"/>
    <w:autoRedefine/>
    <w:unhideWhenUsed/>
    <w:qFormat/>
    <w:uiPriority w:val="99"/>
    <w:pPr>
      <w:widowControl/>
      <w:snapToGrid w:val="0"/>
      <w:spacing w:line="360" w:lineRule="auto"/>
      <w:ind w:firstLine="0" w:firstLineChars="0"/>
    </w:pPr>
    <w:rPr>
      <w:rFonts w:ascii="Arial" w:hAnsi="Arial"/>
      <w:sz w:val="18"/>
      <w:szCs w:val="18"/>
      <w:lang w:val="zh-CN"/>
    </w:rPr>
  </w:style>
  <w:style w:type="paragraph" w:styleId="22">
    <w:name w:val="toc 6"/>
    <w:basedOn w:val="1"/>
    <w:next w:val="1"/>
    <w:autoRedefine/>
    <w:qFormat/>
    <w:uiPriority w:val="3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23">
    <w:name w:val="toc 2"/>
    <w:basedOn w:val="1"/>
    <w:next w:val="1"/>
    <w:autoRedefine/>
    <w:qFormat/>
    <w:uiPriority w:val="39"/>
    <w:rPr>
      <w:rFonts w:cstheme="minorHAnsi"/>
      <w:bCs/>
      <w:szCs w:val="20"/>
    </w:rPr>
  </w:style>
  <w:style w:type="paragraph" w:styleId="24">
    <w:name w:val="toc 9"/>
    <w:basedOn w:val="1"/>
    <w:next w:val="1"/>
    <w:autoRedefine/>
    <w:qFormat/>
    <w:uiPriority w:val="3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25">
    <w:name w:val="Normal (Web)"/>
    <w:basedOn w:val="1"/>
    <w:autoRedefine/>
    <w:qFormat/>
    <w:uiPriority w:val="0"/>
    <w:pPr>
      <w:widowControl/>
      <w:spacing w:before="100" w:beforeAutospacing="1" w:after="100" w:afterAutospacing="1"/>
    </w:pPr>
    <w:rPr>
      <w:kern w:val="0"/>
      <w:szCs w:val="20"/>
    </w:rPr>
  </w:style>
  <w:style w:type="paragraph" w:styleId="26">
    <w:name w:val="Title"/>
    <w:basedOn w:val="1"/>
    <w:next w:val="1"/>
    <w:link w:val="47"/>
    <w:autoRedefine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27">
    <w:name w:val="annotation subject"/>
    <w:basedOn w:val="7"/>
    <w:next w:val="7"/>
    <w:link w:val="50"/>
    <w:autoRedefine/>
    <w:qFormat/>
    <w:uiPriority w:val="99"/>
    <w:rPr>
      <w:b/>
      <w:bCs/>
    </w:rPr>
  </w:style>
  <w:style w:type="table" w:styleId="29">
    <w:name w:val="Table Grid"/>
    <w:basedOn w:val="28"/>
    <w:autoRedefine/>
    <w:qFormat/>
    <w:uiPriority w:val="5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Strong"/>
    <w:basedOn w:val="30"/>
    <w:autoRedefine/>
    <w:qFormat/>
    <w:uiPriority w:val="22"/>
  </w:style>
  <w:style w:type="character" w:styleId="32">
    <w:name w:val="endnote reference"/>
    <w:autoRedefine/>
    <w:unhideWhenUsed/>
    <w:qFormat/>
    <w:uiPriority w:val="99"/>
    <w:rPr>
      <w:vertAlign w:val="superscript"/>
      <w:lang w:val="zh-CN" w:eastAsia="zh-CN"/>
    </w:rPr>
  </w:style>
  <w:style w:type="character" w:styleId="33">
    <w:name w:val="page number"/>
    <w:basedOn w:val="30"/>
    <w:autoRedefine/>
    <w:qFormat/>
    <w:uiPriority w:val="0"/>
  </w:style>
  <w:style w:type="character" w:styleId="34">
    <w:name w:val="FollowedHyperlink"/>
    <w:basedOn w:val="30"/>
    <w:autoRedefine/>
    <w:unhideWhenUsed/>
    <w:qFormat/>
    <w:uiPriority w:val="99"/>
    <w:rPr>
      <w:color w:val="954F72" w:themeColor="followedHyperlink"/>
      <w:u w:val="single"/>
    </w:rPr>
  </w:style>
  <w:style w:type="character" w:styleId="35">
    <w:name w:val="Hyperlink"/>
    <w:basedOn w:val="30"/>
    <w:autoRedefine/>
    <w:unhideWhenUsed/>
    <w:qFormat/>
    <w:uiPriority w:val="99"/>
    <w:rPr>
      <w:color w:val="0563C1" w:themeColor="hyperlink"/>
      <w:u w:val="single"/>
    </w:rPr>
  </w:style>
  <w:style w:type="character" w:styleId="36">
    <w:name w:val="annotation reference"/>
    <w:basedOn w:val="30"/>
    <w:autoRedefine/>
    <w:qFormat/>
    <w:uiPriority w:val="99"/>
    <w:rPr>
      <w:sz w:val="21"/>
      <w:szCs w:val="21"/>
    </w:rPr>
  </w:style>
  <w:style w:type="character" w:styleId="37">
    <w:name w:val="footnote reference"/>
    <w:autoRedefine/>
    <w:unhideWhenUsed/>
    <w:qFormat/>
    <w:uiPriority w:val="99"/>
    <w:rPr>
      <w:vertAlign w:val="superscript"/>
      <w:lang w:val="zh-CN" w:eastAsia="zh-CN"/>
    </w:rPr>
  </w:style>
  <w:style w:type="paragraph" w:customStyle="1" w:styleId="38">
    <w:name w:val="一级条标题"/>
    <w:basedOn w:val="39"/>
    <w:next w:val="40"/>
    <w:autoRedefine/>
    <w:qFormat/>
    <w:uiPriority w:val="0"/>
    <w:pPr>
      <w:outlineLvl w:val="2"/>
    </w:pPr>
  </w:style>
  <w:style w:type="paragraph" w:customStyle="1" w:styleId="39">
    <w:name w:val="章标题"/>
    <w:next w:val="1"/>
    <w:autoRedefine/>
    <w:qFormat/>
    <w:uiPriority w:val="0"/>
    <w:pPr>
      <w:spacing w:beforeLines="50" w:afterLines="50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  <w:style w:type="paragraph" w:customStyle="1" w:styleId="40">
    <w:name w:val="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szCs w:val="22"/>
      <w:lang w:val="en-US" w:eastAsia="zh-CN" w:bidi="ar-SA"/>
    </w:rPr>
  </w:style>
  <w:style w:type="paragraph" w:customStyle="1" w:styleId="41">
    <w:name w:val="附录一级条标题"/>
    <w:basedOn w:val="42"/>
    <w:next w:val="40"/>
    <w:autoRedefine/>
    <w:qFormat/>
    <w:uiPriority w:val="0"/>
    <w:pPr>
      <w:autoSpaceDN w:val="0"/>
      <w:spacing w:beforeLines="0" w:afterLines="0"/>
      <w:outlineLvl w:val="2"/>
    </w:pPr>
  </w:style>
  <w:style w:type="paragraph" w:customStyle="1" w:styleId="42">
    <w:name w:val="附录章标题"/>
    <w:next w:val="40"/>
    <w:autoRedefine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Calibri" w:eastAsia="黑体" w:cs="Times New Roman"/>
      <w:kern w:val="21"/>
      <w:sz w:val="21"/>
      <w:lang w:val="en-US" w:eastAsia="zh-CN" w:bidi="ar-SA"/>
    </w:rPr>
  </w:style>
  <w:style w:type="paragraph" w:customStyle="1" w:styleId="43">
    <w:name w:val="列项●（二级）"/>
    <w:autoRedefine/>
    <w:qFormat/>
    <w:uiPriority w:val="0"/>
    <w:pPr>
      <w:numPr>
        <w:ilvl w:val="1"/>
        <w:numId w:val="1"/>
      </w:numPr>
      <w:tabs>
        <w:tab w:val="left" w:pos="840"/>
        <w:tab w:val="clear" w:pos="76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4">
    <w:name w:val="封面标准文稿类别"/>
    <w:autoRedefine/>
    <w:qFormat/>
    <w:uiPriority w:val="0"/>
    <w:pPr>
      <w:spacing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styleId="45">
    <w:name w:val="Placeholder Text"/>
    <w:basedOn w:val="30"/>
    <w:autoRedefine/>
    <w:unhideWhenUsed/>
    <w:qFormat/>
    <w:uiPriority w:val="99"/>
    <w:rPr>
      <w:color w:val="808080"/>
    </w:rPr>
  </w:style>
  <w:style w:type="character" w:customStyle="1" w:styleId="46">
    <w:name w:val="批注框文本 Char"/>
    <w:basedOn w:val="30"/>
    <w:link w:val="16"/>
    <w:autoRedefine/>
    <w:qFormat/>
    <w:uiPriority w:val="99"/>
    <w:rPr>
      <w:kern w:val="2"/>
      <w:sz w:val="18"/>
      <w:szCs w:val="18"/>
    </w:rPr>
  </w:style>
  <w:style w:type="character" w:customStyle="1" w:styleId="47">
    <w:name w:val="标题 Char"/>
    <w:basedOn w:val="30"/>
    <w:link w:val="26"/>
    <w:autoRedefine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48">
    <w:name w:val="标题 2 Char"/>
    <w:basedOn w:val="30"/>
    <w:link w:val="3"/>
    <w:autoRedefine/>
    <w:qFormat/>
    <w:uiPriority w:val="0"/>
    <w:rPr>
      <w:rFonts w:cstheme="majorBidi"/>
      <w:bCs/>
      <w:kern w:val="2"/>
      <w:sz w:val="24"/>
      <w:szCs w:val="32"/>
    </w:rPr>
  </w:style>
  <w:style w:type="character" w:customStyle="1" w:styleId="49">
    <w:name w:val="批注文字 Char"/>
    <w:basedOn w:val="30"/>
    <w:link w:val="7"/>
    <w:autoRedefine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50">
    <w:name w:val="批注主题 Char"/>
    <w:basedOn w:val="49"/>
    <w:link w:val="27"/>
    <w:autoRedefine/>
    <w:qFormat/>
    <w:uiPriority w:val="99"/>
    <w:rPr>
      <w:rFonts w:ascii="Times New Roman" w:hAnsi="Times New Roman"/>
      <w:b/>
      <w:bCs/>
      <w:kern w:val="2"/>
      <w:sz w:val="24"/>
      <w:szCs w:val="24"/>
    </w:rPr>
  </w:style>
  <w:style w:type="character" w:customStyle="1" w:styleId="51">
    <w:name w:val="标题 3 Char"/>
    <w:basedOn w:val="30"/>
    <w:link w:val="4"/>
    <w:autoRedefine/>
    <w:qFormat/>
    <w:uiPriority w:val="0"/>
    <w:rPr>
      <w:bCs/>
      <w:kern w:val="2"/>
      <w:sz w:val="24"/>
      <w:szCs w:val="32"/>
    </w:rPr>
  </w:style>
  <w:style w:type="paragraph" w:customStyle="1" w:styleId="52">
    <w:name w:val="标准文件_段"/>
    <w:autoRedefine/>
    <w:qFormat/>
    <w:uiPriority w:val="0"/>
    <w:pPr>
      <w:widowControl w:val="0"/>
      <w:autoSpaceDE w:val="0"/>
      <w:autoSpaceDN w:val="0"/>
      <w:adjustRightInd w:val="0"/>
      <w:snapToGrid w:val="0"/>
      <w:spacing w:line="276" w:lineRule="auto"/>
      <w:jc w:val="both"/>
      <w:outlineLvl w:val="2"/>
    </w:pPr>
    <w:rPr>
      <w:rFonts w:ascii="宋体" w:hAnsi="宋体" w:eastAsia="宋体" w:cs="Times New Roman"/>
      <w:spacing w:val="2"/>
      <w:sz w:val="24"/>
      <w:szCs w:val="24"/>
      <w:lang w:val="en-US" w:eastAsia="zh-CN" w:bidi="ar-SA"/>
    </w:rPr>
  </w:style>
  <w:style w:type="character" w:customStyle="1" w:styleId="53">
    <w:name w:val="high-light-bg4"/>
    <w:autoRedefine/>
    <w:qFormat/>
    <w:uiPriority w:val="0"/>
  </w:style>
  <w:style w:type="paragraph" w:customStyle="1" w:styleId="54">
    <w:name w:val="Default"/>
    <w:basedOn w:val="1"/>
    <w:autoRedefine/>
    <w:qFormat/>
    <w:uiPriority w:val="0"/>
    <w:pPr>
      <w:widowControl/>
      <w:autoSpaceDE w:val="0"/>
      <w:autoSpaceDN w:val="0"/>
      <w:spacing w:line="240" w:lineRule="auto"/>
      <w:ind w:firstLine="0" w:firstLineChars="0"/>
    </w:pPr>
    <w:rPr>
      <w:rFonts w:ascii="DJLJNL+Arial" w:hAnsi="DJLJNL+Arial" w:cs="宋体"/>
      <w:color w:val="000000"/>
      <w:kern w:val="0"/>
    </w:rPr>
  </w:style>
  <w:style w:type="character" w:customStyle="1" w:styleId="55">
    <w:name w:val="translated-span"/>
    <w:basedOn w:val="30"/>
    <w:autoRedefine/>
    <w:qFormat/>
    <w:uiPriority w:val="0"/>
    <w:rPr>
      <w:rFonts w:ascii="Times New Roman" w:hAnsi="Times New Roman" w:eastAsia="Times New Roman"/>
    </w:rPr>
  </w:style>
  <w:style w:type="paragraph" w:customStyle="1" w:styleId="56">
    <w:name w:val="Text"/>
    <w:basedOn w:val="1"/>
    <w:link w:val="57"/>
    <w:autoRedefine/>
    <w:qFormat/>
    <w:uiPriority w:val="0"/>
    <w:pPr>
      <w:widowControl/>
      <w:autoSpaceDE w:val="0"/>
      <w:autoSpaceDN w:val="0"/>
      <w:spacing w:line="240" w:lineRule="auto"/>
      <w:ind w:firstLine="0" w:firstLineChars="0"/>
    </w:pPr>
    <w:rPr>
      <w:rFonts w:ascii="DJLJNL+Arial" w:hAnsi="DJLJNL+Arial" w:cs="宋体"/>
      <w:kern w:val="0"/>
    </w:rPr>
  </w:style>
  <w:style w:type="character" w:customStyle="1" w:styleId="57">
    <w:name w:val="Text Char"/>
    <w:basedOn w:val="30"/>
    <w:link w:val="56"/>
    <w:autoRedefine/>
    <w:qFormat/>
    <w:uiPriority w:val="0"/>
    <w:rPr>
      <w:rFonts w:ascii="DJLJNL+Arial" w:hAnsi="DJLJNL+Arial" w:cs="宋体"/>
      <w:sz w:val="24"/>
      <w:szCs w:val="24"/>
    </w:rPr>
  </w:style>
  <w:style w:type="table" w:customStyle="1" w:styleId="58">
    <w:name w:val="网格型1"/>
    <w:basedOn w:val="28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网格型2"/>
    <w:basedOn w:val="28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网格型3"/>
    <w:basedOn w:val="28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">
    <w:name w:val="标题 1 Char"/>
    <w:basedOn w:val="30"/>
    <w:link w:val="2"/>
    <w:autoRedefine/>
    <w:qFormat/>
    <w:uiPriority w:val="9"/>
    <w:rPr>
      <w:rFonts w:eastAsia="黑体"/>
      <w:bCs/>
      <w:kern w:val="2"/>
      <w:sz w:val="24"/>
      <w:szCs w:val="24"/>
    </w:rPr>
  </w:style>
  <w:style w:type="table" w:customStyle="1" w:styleId="62">
    <w:name w:val="网格型4"/>
    <w:basedOn w:val="28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3">
    <w:name w:val="标题 4 Char"/>
    <w:basedOn w:val="30"/>
    <w:link w:val="5"/>
    <w:autoRedefine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  <w:lang w:val="zh-CN"/>
    </w:rPr>
  </w:style>
  <w:style w:type="character" w:customStyle="1" w:styleId="64">
    <w:name w:val="正文文本缩进 Char"/>
    <w:basedOn w:val="30"/>
    <w:link w:val="8"/>
    <w:autoRedefine/>
    <w:qFormat/>
    <w:uiPriority w:val="0"/>
    <w:rPr>
      <w:sz w:val="84"/>
    </w:rPr>
  </w:style>
  <w:style w:type="character" w:customStyle="1" w:styleId="65">
    <w:name w:val="日期 Char"/>
    <w:basedOn w:val="30"/>
    <w:link w:val="13"/>
    <w:autoRedefine/>
    <w:qFormat/>
    <w:uiPriority w:val="99"/>
    <w:rPr>
      <w:rFonts w:ascii="Arial" w:hAnsi="Arial"/>
      <w:kern w:val="2"/>
      <w:sz w:val="21"/>
      <w:szCs w:val="22"/>
      <w:lang w:val="zh-CN"/>
    </w:rPr>
  </w:style>
  <w:style w:type="character" w:customStyle="1" w:styleId="66">
    <w:name w:val="尾注文本 Char"/>
    <w:basedOn w:val="30"/>
    <w:link w:val="15"/>
    <w:autoRedefine/>
    <w:qFormat/>
    <w:uiPriority w:val="99"/>
    <w:rPr>
      <w:rFonts w:ascii="Arial" w:hAnsi="Arial"/>
      <w:kern w:val="2"/>
      <w:sz w:val="21"/>
      <w:szCs w:val="22"/>
      <w:lang w:val="zh-CN"/>
    </w:rPr>
  </w:style>
  <w:style w:type="character" w:customStyle="1" w:styleId="67">
    <w:name w:val="页脚 Char"/>
    <w:basedOn w:val="30"/>
    <w:link w:val="17"/>
    <w:autoRedefine/>
    <w:qFormat/>
    <w:uiPriority w:val="99"/>
    <w:rPr>
      <w:kern w:val="2"/>
      <w:sz w:val="18"/>
      <w:szCs w:val="18"/>
    </w:rPr>
  </w:style>
  <w:style w:type="character" w:customStyle="1" w:styleId="68">
    <w:name w:val="页眉 Char"/>
    <w:basedOn w:val="30"/>
    <w:link w:val="18"/>
    <w:autoRedefine/>
    <w:qFormat/>
    <w:uiPriority w:val="99"/>
    <w:rPr>
      <w:kern w:val="2"/>
      <w:sz w:val="18"/>
      <w:szCs w:val="18"/>
    </w:rPr>
  </w:style>
  <w:style w:type="character" w:customStyle="1" w:styleId="69">
    <w:name w:val="脚注文本 Char"/>
    <w:basedOn w:val="30"/>
    <w:link w:val="21"/>
    <w:autoRedefine/>
    <w:qFormat/>
    <w:uiPriority w:val="99"/>
    <w:rPr>
      <w:rFonts w:ascii="Arial" w:hAnsi="Arial"/>
      <w:kern w:val="2"/>
      <w:sz w:val="18"/>
      <w:szCs w:val="18"/>
      <w:lang w:val="zh-CN"/>
    </w:rPr>
  </w:style>
  <w:style w:type="paragraph" w:customStyle="1" w:styleId="70">
    <w:name w:val="Table Paragraph"/>
    <w:basedOn w:val="1"/>
    <w:autoRedefine/>
    <w:qFormat/>
    <w:uiPriority w:val="1"/>
    <w:pPr>
      <w:widowControl/>
      <w:autoSpaceDE w:val="0"/>
      <w:autoSpaceDN w:val="0"/>
      <w:adjustRightInd w:val="0"/>
      <w:spacing w:line="360" w:lineRule="auto"/>
      <w:ind w:firstLine="0" w:firstLineChars="0"/>
    </w:pPr>
    <w:rPr>
      <w:rFonts w:cs="Courier New"/>
      <w:lang w:val="zh-CN"/>
    </w:rPr>
  </w:style>
  <w:style w:type="paragraph" w:styleId="71">
    <w:name w:val="List Paragraph"/>
    <w:basedOn w:val="1"/>
    <w:autoRedefine/>
    <w:qFormat/>
    <w:uiPriority w:val="0"/>
    <w:pPr>
      <w:widowControl/>
      <w:autoSpaceDE w:val="0"/>
      <w:autoSpaceDN w:val="0"/>
      <w:adjustRightInd w:val="0"/>
      <w:spacing w:line="360" w:lineRule="auto"/>
      <w:ind w:firstLine="0" w:firstLineChars="0"/>
    </w:pPr>
    <w:rPr>
      <w:rFonts w:cs="Courier New"/>
      <w:lang w:val="zh-CN"/>
    </w:rPr>
  </w:style>
  <w:style w:type="paragraph" w:customStyle="1" w:styleId="72">
    <w:name w:val="TOC 标题1"/>
    <w:basedOn w:val="2"/>
    <w:next w:val="1"/>
    <w:autoRedefine/>
    <w:semiHidden/>
    <w:unhideWhenUsed/>
    <w:qFormat/>
    <w:uiPriority w:val="39"/>
    <w:pPr>
      <w:keepNext/>
      <w:keepLines/>
      <w:widowControl/>
      <w:tabs>
        <w:tab w:val="clear" w:pos="1080"/>
      </w:tabs>
      <w:spacing w:before="480" w:line="276" w:lineRule="auto"/>
      <w:outlineLvl w:val="9"/>
    </w:pPr>
    <w:rPr>
      <w:rFonts w:ascii="Cambria" w:hAnsi="Cambria" w:eastAsia="宋体"/>
      <w:b/>
      <w:color w:val="365F91"/>
      <w:kern w:val="0"/>
      <w:sz w:val="28"/>
      <w:szCs w:val="28"/>
    </w:rPr>
  </w:style>
  <w:style w:type="character" w:customStyle="1" w:styleId="73">
    <w:name w:val="ordinary-span-edit2"/>
    <w:autoRedefine/>
    <w:qFormat/>
    <w:uiPriority w:val="0"/>
  </w:style>
  <w:style w:type="paragraph" w:customStyle="1" w:styleId="74">
    <w:name w:val="标准文件_章标题"/>
    <w:next w:val="1"/>
    <w:autoRedefine/>
    <w:qFormat/>
    <w:uiPriority w:val="0"/>
    <w:pPr>
      <w:spacing w:beforeLines="50" w:afterLines="50"/>
      <w:ind w:right="-50" w:rightChars="-50"/>
      <w:jc w:val="both"/>
      <w:outlineLvl w:val="1"/>
    </w:pPr>
    <w:rPr>
      <w:rFonts w:ascii="黑体" w:hAnsi="Times New Roman" w:eastAsia="黑体" w:cs="Times New Roman"/>
      <w:spacing w:val="2"/>
      <w:sz w:val="21"/>
      <w:lang w:val="en-US" w:eastAsia="zh-CN" w:bidi="ar-SA"/>
    </w:rPr>
  </w:style>
  <w:style w:type="paragraph" w:customStyle="1" w:styleId="75">
    <w:name w:val="标准文件_一级条标题"/>
    <w:basedOn w:val="74"/>
    <w:next w:val="1"/>
    <w:autoRedefine/>
    <w:qFormat/>
    <w:uiPriority w:val="0"/>
    <w:pPr>
      <w:spacing w:beforeLines="0" w:afterLines="0"/>
      <w:outlineLvl w:val="2"/>
    </w:pPr>
  </w:style>
  <w:style w:type="paragraph" w:customStyle="1" w:styleId="76">
    <w:name w:val="标准文件_二级条标题"/>
    <w:basedOn w:val="75"/>
    <w:next w:val="1"/>
    <w:autoRedefine/>
    <w:qFormat/>
    <w:uiPriority w:val="0"/>
    <w:pPr>
      <w:outlineLvl w:val="3"/>
    </w:pPr>
  </w:style>
  <w:style w:type="paragraph" w:customStyle="1" w:styleId="77">
    <w:name w:val="前言标题"/>
    <w:next w:val="1"/>
    <w:autoRedefine/>
    <w:qFormat/>
    <w:uiPriority w:val="0"/>
    <w:pPr>
      <w:shd w:val="clear" w:color="auto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8">
    <w:name w:val="标准文件_三级条标题"/>
    <w:basedOn w:val="76"/>
    <w:next w:val="1"/>
    <w:autoRedefine/>
    <w:qFormat/>
    <w:uiPriority w:val="0"/>
    <w:pPr>
      <w:outlineLvl w:val="4"/>
    </w:pPr>
  </w:style>
  <w:style w:type="paragraph" w:customStyle="1" w:styleId="79">
    <w:name w:val="标准文件_四级条标题"/>
    <w:basedOn w:val="78"/>
    <w:next w:val="1"/>
    <w:autoRedefine/>
    <w:qFormat/>
    <w:uiPriority w:val="0"/>
    <w:pPr>
      <w:outlineLvl w:val="5"/>
    </w:pPr>
  </w:style>
  <w:style w:type="paragraph" w:customStyle="1" w:styleId="80">
    <w:name w:val="标准文件_五级条标题"/>
    <w:basedOn w:val="79"/>
    <w:next w:val="1"/>
    <w:autoRedefine/>
    <w:qFormat/>
    <w:uiPriority w:val="0"/>
    <w:pPr>
      <w:outlineLvl w:val="6"/>
    </w:pPr>
  </w:style>
  <w:style w:type="character" w:customStyle="1" w:styleId="81">
    <w:name w:val="emtidy-1"/>
    <w:basedOn w:val="30"/>
    <w:autoRedefine/>
    <w:qFormat/>
    <w:uiPriority w:val="0"/>
    <w:rPr>
      <w:rFonts w:hint="default" w:ascii="Georgia" w:hAnsi="Georgia"/>
      <w:i/>
      <w:iCs/>
    </w:rPr>
  </w:style>
  <w:style w:type="character" w:customStyle="1" w:styleId="82">
    <w:name w:val="emtidy-3"/>
    <w:basedOn w:val="30"/>
    <w:autoRedefine/>
    <w:qFormat/>
    <w:uiPriority w:val="0"/>
    <w:rPr>
      <w:rFonts w:hint="default" w:ascii="Cambria Math" w:hAnsi="Cambria Math" w:cs="Arial" w:eastAsiaTheme="minorEastAsia"/>
      <w:sz w:val="24"/>
      <w:szCs w:val="24"/>
      <w:lang w:val="zh-CN" w:eastAsia="zh-CN" w:bidi="ar-SA"/>
    </w:rPr>
  </w:style>
  <w:style w:type="paragraph" w:customStyle="1" w:styleId="83">
    <w:name w:val="一级标题"/>
    <w:basedOn w:val="2"/>
    <w:next w:val="1"/>
    <w:autoRedefine/>
    <w:qFormat/>
    <w:uiPriority w:val="0"/>
    <w:pPr>
      <w:keepNext/>
      <w:tabs>
        <w:tab w:val="clear" w:pos="1080"/>
      </w:tabs>
      <w:adjustRightInd w:val="0"/>
      <w:spacing w:beforeLines="100" w:afterLines="100" w:line="420" w:lineRule="exact"/>
      <w:ind w:firstLine="3784" w:firstLineChars="860"/>
      <w:textAlignment w:val="baseline"/>
    </w:pPr>
    <w:rPr>
      <w:rFonts w:ascii="黑体" w:hAnsi="宋体"/>
      <w:bCs w:val="0"/>
      <w:kern w:val="0"/>
      <w:sz w:val="44"/>
      <w:szCs w:val="44"/>
    </w:rPr>
  </w:style>
  <w:style w:type="paragraph" w:customStyle="1" w:styleId="84">
    <w:name w:val="msolistparagraphcxspfirst"/>
    <w:basedOn w:val="1"/>
    <w:autoRedefine/>
    <w:qFormat/>
    <w:uiPriority w:val="0"/>
    <w:pPr>
      <w:widowControl/>
      <w:spacing w:line="240" w:lineRule="auto"/>
      <w:ind w:left="720" w:firstLine="0" w:firstLineChars="0"/>
    </w:pPr>
    <w:rPr>
      <w:kern w:val="0"/>
    </w:rPr>
  </w:style>
  <w:style w:type="paragraph" w:customStyle="1" w:styleId="85">
    <w:name w:val="修订1"/>
    <w:autoRedefine/>
    <w:hidden/>
    <w:semiHidden/>
    <w:qFormat/>
    <w:uiPriority w:val="99"/>
    <w:rPr>
      <w:rFonts w:ascii="Arial" w:hAnsi="Arial" w:eastAsia="宋体" w:cs="Times New Roman"/>
      <w:kern w:val="2"/>
      <w:sz w:val="21"/>
      <w:szCs w:val="22"/>
      <w:lang w:val="zh-CN" w:eastAsia="zh-CN" w:bidi="ar-SA"/>
    </w:rPr>
  </w:style>
  <w:style w:type="paragraph" w:customStyle="1" w:styleId="86">
    <w:name w:val="注："/>
    <w:next w:val="40"/>
    <w:autoRedefine/>
    <w:qFormat/>
    <w:uiPriority w:val="0"/>
    <w:pPr>
      <w:widowControl w:val="0"/>
      <w:tabs>
        <w:tab w:val="left" w:pos="960"/>
      </w:tabs>
      <w:autoSpaceDE w:val="0"/>
      <w:autoSpaceDN w:val="0"/>
      <w:ind w:left="660" w:hanging="42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87">
    <w:name w:val="二级条标题"/>
    <w:basedOn w:val="38"/>
    <w:next w:val="40"/>
    <w:autoRedefine/>
    <w:qFormat/>
    <w:uiPriority w:val="0"/>
    <w:pPr>
      <w:numPr>
        <w:ilvl w:val="3"/>
        <w:numId w:val="2"/>
      </w:numPr>
      <w:tabs>
        <w:tab w:val="left" w:pos="2160"/>
        <w:tab w:val="left" w:pos="2880"/>
      </w:tabs>
      <w:spacing w:beforeLines="0" w:afterLines="0"/>
      <w:jc w:val="left"/>
      <w:outlineLvl w:val="3"/>
    </w:pPr>
    <w:rPr>
      <w:rFonts w:ascii="Times New Roman" w:hAnsi="Times New Roman"/>
    </w:rPr>
  </w:style>
  <w:style w:type="paragraph" w:customStyle="1" w:styleId="88">
    <w:name w:val="正文表标题"/>
    <w:next w:val="40"/>
    <w:autoRedefine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9">
    <w:name w:val="未处理的提及1"/>
    <w:basedOn w:val="30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0">
    <w:name w:val="MTDisplayEquation"/>
    <w:basedOn w:val="1"/>
    <w:next w:val="1"/>
    <w:link w:val="91"/>
    <w:autoRedefine/>
    <w:qFormat/>
    <w:uiPriority w:val="0"/>
    <w:pPr>
      <w:widowControl/>
      <w:tabs>
        <w:tab w:val="center" w:pos="4120"/>
        <w:tab w:val="right" w:pos="8260"/>
      </w:tabs>
      <w:spacing w:line="360" w:lineRule="auto"/>
      <w:ind w:right="-105" w:firstLine="0" w:firstLineChars="0"/>
      <w:jc w:val="both"/>
    </w:pPr>
    <w:rPr>
      <w:rFonts w:cs="Tahoma" w:asciiTheme="minorEastAsia" w:hAnsiTheme="minorEastAsia"/>
      <w:kern w:val="0"/>
      <w:lang w:val="en-GB"/>
    </w:rPr>
  </w:style>
  <w:style w:type="character" w:customStyle="1" w:styleId="91">
    <w:name w:val="MTDisplayEquation Char"/>
    <w:basedOn w:val="57"/>
    <w:link w:val="90"/>
    <w:autoRedefine/>
    <w:qFormat/>
    <w:uiPriority w:val="0"/>
    <w:rPr>
      <w:rFonts w:cs="Tahoma" w:asciiTheme="minorEastAsia" w:hAnsiTheme="minorEastAsia"/>
      <w:sz w:val="24"/>
      <w:szCs w:val="24"/>
      <w:lang w:val="en-GB"/>
    </w:rPr>
  </w:style>
  <w:style w:type="paragraph" w:customStyle="1" w:styleId="92">
    <w:name w:val="TOC 标题2"/>
    <w:basedOn w:val="2"/>
    <w:next w:val="1"/>
    <w:autoRedefine/>
    <w:unhideWhenUsed/>
    <w:qFormat/>
    <w:uiPriority w:val="39"/>
    <w:pPr>
      <w:keepNext/>
      <w:keepLines/>
      <w:widowControl/>
      <w:tabs>
        <w:tab w:val="clear" w:pos="1080"/>
      </w:tabs>
      <w:spacing w:before="480" w:line="276" w:lineRule="auto"/>
      <w:outlineLvl w:val="9"/>
    </w:pPr>
    <w:rPr>
      <w:rFonts w:asciiTheme="majorHAnsi" w:hAnsiTheme="majorHAnsi" w:eastAsiaTheme="majorEastAsia" w:cstheme="majorBidi"/>
      <w:b/>
      <w:color w:val="2E75B5" w:themeColor="accent1" w:themeShade="BF"/>
      <w:kern w:val="0"/>
      <w:sz w:val="28"/>
      <w:szCs w:val="28"/>
    </w:rPr>
  </w:style>
  <w:style w:type="character" w:customStyle="1" w:styleId="93">
    <w:name w:val="正文文本缩进 2 Char"/>
    <w:basedOn w:val="30"/>
    <w:link w:val="14"/>
    <w:autoRedefine/>
    <w:qFormat/>
    <w:uiPriority w:val="99"/>
    <w:rPr>
      <w:kern w:val="2"/>
      <w:sz w:val="21"/>
      <w:szCs w:val="24"/>
    </w:rPr>
  </w:style>
  <w:style w:type="table" w:customStyle="1" w:styleId="94">
    <w:name w:val="网格型5"/>
    <w:basedOn w:val="28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5">
    <w:name w:val="AMDisplayEquation"/>
    <w:basedOn w:val="1"/>
    <w:next w:val="1"/>
    <w:link w:val="96"/>
    <w:autoRedefine/>
    <w:qFormat/>
    <w:uiPriority w:val="0"/>
    <w:pPr>
      <w:tabs>
        <w:tab w:val="center" w:pos="4160"/>
        <w:tab w:val="right" w:pos="8320"/>
      </w:tabs>
      <w:spacing w:line="240" w:lineRule="auto"/>
      <w:ind w:firstLine="480"/>
    </w:pPr>
    <w:rPr>
      <w:lang w:val="en-GB"/>
    </w:rPr>
  </w:style>
  <w:style w:type="character" w:customStyle="1" w:styleId="96">
    <w:name w:val="AMDisplayEquation 字符"/>
    <w:basedOn w:val="30"/>
    <w:link w:val="95"/>
    <w:autoRedefine/>
    <w:qFormat/>
    <w:uiPriority w:val="0"/>
    <w:rPr>
      <w:kern w:val="2"/>
      <w:sz w:val="24"/>
      <w:szCs w:val="24"/>
      <w:lang w:val="en-GB"/>
    </w:rPr>
  </w:style>
  <w:style w:type="character" w:customStyle="1" w:styleId="97">
    <w:name w:val="AMEquationSection"/>
    <w:basedOn w:val="30"/>
    <w:autoRedefine/>
    <w:qFormat/>
    <w:uiPriority w:val="0"/>
    <w:rPr>
      <w:b/>
      <w:vanish/>
      <w:color w:val="FF0000"/>
      <w:sz w:val="66"/>
      <w:szCs w:val="36"/>
    </w:rPr>
  </w:style>
  <w:style w:type="table" w:customStyle="1" w:styleId="98">
    <w:name w:val="网格型6"/>
    <w:basedOn w:val="28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">
    <w:name w:val="网格型7"/>
    <w:basedOn w:val="28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4" Type="http://schemas.openxmlformats.org/officeDocument/2006/relationships/fontTable" Target="fontTable.xml"/><Relationship Id="rId53" Type="http://schemas.openxmlformats.org/officeDocument/2006/relationships/customXml" Target="../customXml/item1.xml"/><Relationship Id="rId52" Type="http://schemas.openxmlformats.org/officeDocument/2006/relationships/numbering" Target="numbering.xml"/><Relationship Id="rId51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" Type="http://schemas.openxmlformats.org/officeDocument/2006/relationships/header" Target="header1.xml"/><Relationship Id="rId49" Type="http://schemas.openxmlformats.org/officeDocument/2006/relationships/image" Target="media/image19.wmf"/><Relationship Id="rId48" Type="http://schemas.openxmlformats.org/officeDocument/2006/relationships/oleObject" Target="embeddings/oleObject20.bin"/><Relationship Id="rId47" Type="http://schemas.openxmlformats.org/officeDocument/2006/relationships/image" Target="media/image18.wmf"/><Relationship Id="rId46" Type="http://schemas.openxmlformats.org/officeDocument/2006/relationships/oleObject" Target="embeddings/oleObject19.bin"/><Relationship Id="rId45" Type="http://schemas.openxmlformats.org/officeDocument/2006/relationships/image" Target="media/image17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" Type="http://schemas.openxmlformats.org/officeDocument/2006/relationships/endnotes" Target="endnotes.xml"/><Relationship Id="rId39" Type="http://schemas.openxmlformats.org/officeDocument/2006/relationships/image" Target="media/image14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3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2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1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" Type="http://schemas.openxmlformats.org/officeDocument/2006/relationships/footnotes" Target="footnotes.xml"/><Relationship Id="rId29" Type="http://schemas.openxmlformats.org/officeDocument/2006/relationships/image" Target="media/image9.wmf"/><Relationship Id="rId28" Type="http://schemas.openxmlformats.org/officeDocument/2006/relationships/oleObject" Target="embeddings/oleObject10.bin"/><Relationship Id="rId27" Type="http://schemas.openxmlformats.org/officeDocument/2006/relationships/image" Target="media/image8.wmf"/><Relationship Id="rId26" Type="http://schemas.openxmlformats.org/officeDocument/2006/relationships/oleObject" Target="embeddings/oleObject9.bin"/><Relationship Id="rId25" Type="http://schemas.openxmlformats.org/officeDocument/2006/relationships/image" Target="media/image7.wmf"/><Relationship Id="rId24" Type="http://schemas.openxmlformats.org/officeDocument/2006/relationships/oleObject" Target="embeddings/oleObject8.bin"/><Relationship Id="rId23" Type="http://schemas.openxmlformats.org/officeDocument/2006/relationships/image" Target="media/image6.wmf"/><Relationship Id="rId22" Type="http://schemas.openxmlformats.org/officeDocument/2006/relationships/oleObject" Target="embeddings/oleObject7.bin"/><Relationship Id="rId21" Type="http://schemas.openxmlformats.org/officeDocument/2006/relationships/image" Target="media/image5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4.wmf"/><Relationship Id="rId18" Type="http://schemas.openxmlformats.org/officeDocument/2006/relationships/oleObject" Target="embeddings/oleObject5.bin"/><Relationship Id="rId17" Type="http://schemas.openxmlformats.org/officeDocument/2006/relationships/image" Target="media/image3.wmf"/><Relationship Id="rId16" Type="http://schemas.openxmlformats.org/officeDocument/2006/relationships/oleObject" Target="embeddings/oleObject4.bin"/><Relationship Id="rId15" Type="http://schemas.openxmlformats.org/officeDocument/2006/relationships/oleObject" Target="embeddings/oleObject3.bin"/><Relationship Id="rId14" Type="http://schemas.openxmlformats.org/officeDocument/2006/relationships/image" Target="media/image2.wmf"/><Relationship Id="rId13" Type="http://schemas.openxmlformats.org/officeDocument/2006/relationships/oleObject" Target="embeddings/oleObject2.bin"/><Relationship Id="rId12" Type="http://schemas.openxmlformats.org/officeDocument/2006/relationships/image" Target="media/image1.w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CF8F4-E85A-42EF-8297-40ECD17814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6</Pages>
  <Words>1391</Words>
  <Characters>1714</Characters>
  <Lines>21</Lines>
  <Paragraphs>6</Paragraphs>
  <TotalTime>0</TotalTime>
  <ScaleCrop>false</ScaleCrop>
  <LinksUpToDate>false</LinksUpToDate>
  <CharactersWithSpaces>2358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2024-06-29T15:08:00Z</dcterms:created>
  <dc:creator>Administrator</dc:creator>
  <cp:lastModifiedBy>WPS_421545207</cp:lastModifiedBy>
  <cp:lastPrinted>2024-07-15T08:47:00Z</cp:lastPrinted>
  <dcterms:modified xsi:type="dcterms:W3CDTF">2026-04-16T03:54:52Z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CAFB2AD194E447FEB24767BE7339CECC_13</vt:lpwstr>
  </property>
  <property fmtid="{D5CDD505-2E9C-101B-9397-08002B2CF9AE}" pid="4" name="AMEquationSection">
    <vt:lpwstr>1</vt:lpwstr>
  </property>
  <property fmtid="{D5CDD505-2E9C-101B-9397-08002B2CF9AE}" pid="5" name="AMWinEqns">
    <vt:bool>true</vt:bool>
  </property>
  <property fmtid="{D5CDD505-2E9C-101B-9397-08002B2CF9AE}" pid="6" name="AMEquationNumber2">
    <vt:lpwstr>(#SA.#E1)</vt:lpwstr>
  </property>
  <property fmtid="{D5CDD505-2E9C-101B-9397-08002B2CF9AE}" pid="7" name="AMCustomEquationNumber">
    <vt:lpwstr>1</vt:lpwstr>
  </property>
  <property fmtid="{D5CDD505-2E9C-101B-9397-08002B2CF9AE}" pid="8" name="AMDeferFieldUpdate">
    <vt:lpwstr>1</vt:lpwstr>
  </property>
  <property fmtid="{D5CDD505-2E9C-101B-9397-08002B2CF9AE}" pid="9" name="KSOTemplateDocerSaveRecord">
    <vt:lpwstr>eyJoZGlkIjoiOTRkMjFhYmU3MzU5YmY3ZmJjNzIwZjZlMzAwZmZlNGMiLCJ1c2VySWQiOiI0MjE1NDUyMDcifQ==</vt:lpwstr>
  </property>
</Properties>
</file>