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rPr>
        <w:id w:val="-490717815"/>
        <w:docPartObj>
          <w:docPartGallery w:val="AutoText"/>
        </w:docPartObj>
      </w:sdtPr>
      <w:sdtEndPr>
        <w:rPr>
          <w:rFonts w:hint="eastAsia" w:ascii="黑体" w:hAnsi="黑体" w:eastAsia="黑体"/>
          <w:sz w:val="28"/>
        </w:rPr>
      </w:sdtEndPr>
      <w:sdtContent>
        <w:p w14:paraId="7BFACCD6"/>
        <w:tbl>
          <w:tblPr>
            <w:tblStyle w:val="6"/>
            <w:tblpPr w:leftFromText="187" w:rightFromText="187" w:horzAnchor="margin" w:tblpXSpec="center" w:tblpY="2881"/>
            <w:tblW w:w="4540" w:type="pct"/>
            <w:tblInd w:w="0" w:type="dxa"/>
            <w:tblLayout w:type="autofit"/>
            <w:tblCellMar>
              <w:top w:w="0" w:type="dxa"/>
              <w:left w:w="144" w:type="dxa"/>
              <w:bottom w:w="0" w:type="dxa"/>
              <w:right w:w="115" w:type="dxa"/>
            </w:tblCellMar>
          </w:tblPr>
          <w:tblGrid>
            <w:gridCol w:w="8729"/>
          </w:tblGrid>
          <w:tr w14:paraId="169F0653">
            <w:tblPrEx>
              <w:tblCellMar>
                <w:top w:w="0" w:type="dxa"/>
                <w:left w:w="144" w:type="dxa"/>
                <w:bottom w:w="0" w:type="dxa"/>
                <w:right w:w="115" w:type="dxa"/>
              </w:tblCellMar>
            </w:tblPrEx>
            <w:tc>
              <w:tcPr>
                <w:tcW w:w="8479" w:type="dxa"/>
              </w:tcPr>
              <w:sdt>
                <w:sdtPr>
                  <w:rPr>
                    <w:rFonts w:hint="eastAsia" w:ascii="黑体" w:hAnsi="黑体" w:eastAsia="黑体" w:cstheme="majorBidi"/>
                    <w:sz w:val="44"/>
                    <w:szCs w:val="44"/>
                  </w:rPr>
                  <w:alias w:val="标题"/>
                  <w:id w:val="13406919"/>
                  <w:placeholder>
                    <w:docPart w:val="831FC4E2A5EB4CAAB53381E2118A769D"/>
                  </w:placeholder>
                  <w:dataBinding w:prefixMappings="xmlns:ns0='http://schemas.openxmlformats.org/package/2006/metadata/core-properties' xmlns:ns1='http://purl.org/dc/elements/1.1/'" w:xpath="/ns0:coreProperties[1]/ns1:title[1]" w:storeItemID="{6C3C8BC8-F283-45AE-878A-BAB7291924A1}"/>
                  <w:text/>
                </w:sdtPr>
                <w:sdtEndPr>
                  <w:rPr>
                    <w:rFonts w:hint="eastAsia" w:ascii="黑体" w:hAnsi="黑体" w:eastAsia="黑体" w:cstheme="majorBidi"/>
                    <w:sz w:val="44"/>
                    <w:szCs w:val="44"/>
                  </w:rPr>
                </w:sdtEndPr>
                <w:sdtContent>
                  <w:p w14:paraId="3540EBB3">
                    <w:pPr>
                      <w:pStyle w:val="12"/>
                      <w:spacing w:line="216" w:lineRule="auto"/>
                      <w:jc w:val="center"/>
                      <w:rPr>
                        <w:rFonts w:hint="eastAsia" w:asciiTheme="majorHAnsi" w:hAnsiTheme="majorHAnsi" w:eastAsiaTheme="majorEastAsia" w:cstheme="majorBidi"/>
                        <w:sz w:val="88"/>
                        <w:szCs w:val="88"/>
                      </w:rPr>
                    </w:pPr>
                    <w:r>
                      <w:rPr>
                        <w:rFonts w:hint="eastAsia" w:ascii="黑体" w:hAnsi="黑体" w:eastAsia="黑体" w:cstheme="majorBidi"/>
                        <w:sz w:val="44"/>
                        <w:szCs w:val="44"/>
                      </w:rPr>
                      <w:t>机动式叉车秤校准规范</w:t>
                    </w:r>
                  </w:p>
                </w:sdtContent>
              </w:sdt>
            </w:tc>
          </w:tr>
          <w:tr w14:paraId="54BF2845">
            <w:tblPrEx>
              <w:tblCellMar>
                <w:top w:w="0" w:type="dxa"/>
                <w:left w:w="144" w:type="dxa"/>
                <w:bottom w:w="0" w:type="dxa"/>
                <w:right w:w="115" w:type="dxa"/>
              </w:tblCellMar>
            </w:tblPrEx>
            <w:sdt>
              <w:sdtPr>
                <w:rPr>
                  <w:rFonts w:hint="eastAsia" w:ascii="黑体" w:hAnsi="黑体" w:eastAsia="黑体"/>
                  <w:sz w:val="52"/>
                  <w:szCs w:val="52"/>
                </w:rPr>
                <w:alias w:val="副标题"/>
                <w:id w:val="13406923"/>
                <w:placeholder>
                  <w:docPart w:val="DECD1F509D6D47D48FB72E69EE16EC6A"/>
                </w:placeholder>
                <w:dataBinding w:prefixMappings="xmlns:ns0='http://schemas.openxmlformats.org/package/2006/metadata/core-properties' xmlns:ns1='http://purl.org/dc/elements/1.1/'" w:xpath="/ns0:coreProperties[1]/ns1:subject[1]" w:storeItemID="{6C3C8BC8-F283-45AE-878A-BAB7291924A1}"/>
                <w:text/>
              </w:sdtPr>
              <w:sdtEndPr>
                <w:rPr>
                  <w:rFonts w:hint="eastAsia" w:ascii="黑体" w:hAnsi="黑体" w:eastAsia="黑体"/>
                  <w:sz w:val="52"/>
                  <w:szCs w:val="52"/>
                </w:rPr>
              </w:sdtEndPr>
              <w:sdtContent>
                <w:tc>
                  <w:tcPr>
                    <w:tcW w:w="8479" w:type="dxa"/>
                    <w:tcMar>
                      <w:top w:w="216" w:type="dxa"/>
                      <w:left w:w="115" w:type="dxa"/>
                      <w:bottom w:w="216" w:type="dxa"/>
                      <w:right w:w="115" w:type="dxa"/>
                    </w:tcMar>
                  </w:tcPr>
                  <w:p w14:paraId="6DC25EE3">
                    <w:pPr>
                      <w:pStyle w:val="12"/>
                      <w:jc w:val="center"/>
                      <w:rPr>
                        <w:rFonts w:hint="eastAsia"/>
                        <w:sz w:val="24"/>
                      </w:rPr>
                    </w:pPr>
                    <w:r>
                      <w:rPr>
                        <w:rFonts w:hint="eastAsia" w:ascii="黑体" w:hAnsi="黑体" w:eastAsia="黑体"/>
                        <w:sz w:val="52"/>
                        <w:szCs w:val="52"/>
                      </w:rPr>
                      <w:t>编制说明</w:t>
                    </w:r>
                  </w:p>
                </w:tc>
              </w:sdtContent>
            </w:sdt>
          </w:tr>
        </w:tbl>
        <w:tbl>
          <w:tblPr>
            <w:tblStyle w:val="6"/>
            <w:tblpPr w:leftFromText="187" w:rightFromText="187" w:horzAnchor="margin" w:tblpXSpec="center" w:tblpYSpec="bottom"/>
            <w:tblW w:w="3857" w:type="pct"/>
            <w:tblInd w:w="0" w:type="dxa"/>
            <w:tblLayout w:type="autofit"/>
            <w:tblCellMar>
              <w:top w:w="0" w:type="dxa"/>
              <w:left w:w="108" w:type="dxa"/>
              <w:bottom w:w="0" w:type="dxa"/>
              <w:right w:w="108" w:type="dxa"/>
            </w:tblCellMar>
          </w:tblPr>
          <w:tblGrid>
            <w:gridCol w:w="7393"/>
          </w:tblGrid>
          <w:tr w14:paraId="1CA255B3">
            <w:tblPrEx>
              <w:tblCellMar>
                <w:top w:w="0" w:type="dxa"/>
                <w:left w:w="108" w:type="dxa"/>
                <w:bottom w:w="0" w:type="dxa"/>
                <w:right w:w="108" w:type="dxa"/>
              </w:tblCellMar>
            </w:tblPrEx>
            <w:tc>
              <w:tcPr>
                <w:tcW w:w="7221" w:type="dxa"/>
                <w:tcMar>
                  <w:top w:w="216" w:type="dxa"/>
                  <w:left w:w="115" w:type="dxa"/>
                  <w:bottom w:w="216" w:type="dxa"/>
                  <w:right w:w="115" w:type="dxa"/>
                </w:tcMar>
              </w:tcPr>
              <w:sdt>
                <w:sdtPr>
                  <w:rPr>
                    <w:rFonts w:hint="eastAsia" w:ascii="黑体" w:hAnsi="黑体" w:eastAsia="黑体"/>
                    <w:sz w:val="28"/>
                    <w:szCs w:val="28"/>
                  </w:rPr>
                  <w:alias w:val="作者"/>
                  <w:id w:val="13406928"/>
                  <w:placeholder>
                    <w:docPart w:val="CD94A5A4FE7649D09CAC26655C567617"/>
                  </w:placeholder>
                  <w:dataBinding w:prefixMappings="xmlns:ns0='http://schemas.openxmlformats.org/package/2006/metadata/core-properties' xmlns:ns1='http://purl.org/dc/elements/1.1/'" w:xpath="/ns0:coreProperties[1]/ns1:creator[1]" w:storeItemID="{6C3C8BC8-F283-45AE-878A-BAB7291924A1}"/>
                  <w:text/>
                </w:sdtPr>
                <w:sdtEndPr>
                  <w:rPr>
                    <w:rFonts w:hint="eastAsia" w:ascii="黑体" w:hAnsi="黑体" w:eastAsia="黑体"/>
                    <w:sz w:val="28"/>
                    <w:szCs w:val="28"/>
                  </w:rPr>
                </w:sdtEndPr>
                <w:sdtContent>
                  <w:p w14:paraId="4478B802">
                    <w:pPr>
                      <w:pStyle w:val="12"/>
                      <w:jc w:val="center"/>
                      <w:rPr>
                        <w:rFonts w:hint="eastAsia" w:ascii="黑体" w:hAnsi="黑体" w:eastAsia="黑体"/>
                        <w:sz w:val="28"/>
                        <w:szCs w:val="28"/>
                      </w:rPr>
                    </w:pPr>
                    <w:r>
                      <w:rPr>
                        <w:rFonts w:hint="eastAsia" w:ascii="黑体" w:hAnsi="黑体" w:eastAsia="黑体"/>
                        <w:sz w:val="28"/>
                        <w:szCs w:val="28"/>
                      </w:rPr>
                      <w:t>机动式叉车秤校准规范起草小组</w:t>
                    </w:r>
                  </w:p>
                </w:sdtContent>
              </w:sdt>
              <w:sdt>
                <w:sdtPr>
                  <w:rPr>
                    <w:rFonts w:hint="eastAsia" w:ascii="黑体" w:hAnsi="黑体" w:eastAsia="黑体"/>
                    <w:sz w:val="28"/>
                    <w:szCs w:val="28"/>
                  </w:rPr>
                  <w:alias w:val="日期"/>
                  <w:tag w:val="日期"/>
                  <w:id w:val="13406932"/>
                  <w:placeholder>
                    <w:docPart w:val="64FC5697D28C4AFA98755B74DC8AC504"/>
                  </w:placeholder>
                  <w:dataBinding w:prefixMappings="xmlns:ns0='http://schemas.microsoft.com/office/2006/coverPageProps'" w:xpath="/ns0:CoverPageProperties[1]/ns0:PublishDate[1]" w:storeItemID="{55AF091B-3C7A-41E3-B477-F2FDAA23CFDA}"/>
                  <w:date w:fullDate="2026-04-16T00:00:00Z">
                    <w:dateFormat w:val="yyyy-M-d"/>
                    <w:lid w:val="zh-CN"/>
                    <w:storeMappedDataAs w:val="datetime"/>
                    <w:calendar w:val="gregorian"/>
                  </w:date>
                </w:sdtPr>
                <w:sdtEndPr>
                  <w:rPr>
                    <w:rFonts w:hint="eastAsia" w:ascii="黑体" w:hAnsi="黑体" w:eastAsia="黑体"/>
                    <w:sz w:val="28"/>
                    <w:szCs w:val="28"/>
                  </w:rPr>
                </w:sdtEndPr>
                <w:sdtContent>
                  <w:p w14:paraId="6637EF81">
                    <w:pPr>
                      <w:pStyle w:val="12"/>
                      <w:jc w:val="center"/>
                      <w:rPr>
                        <w:rFonts w:hint="eastAsia" w:ascii="黑体" w:hAnsi="黑体" w:eastAsia="黑体"/>
                        <w:sz w:val="28"/>
                        <w:szCs w:val="28"/>
                      </w:rPr>
                    </w:pPr>
                    <w:r>
                      <w:rPr>
                        <w:rFonts w:hint="eastAsia" w:ascii="黑体" w:hAnsi="黑体" w:eastAsia="黑体"/>
                        <w:sz w:val="28"/>
                        <w:szCs w:val="28"/>
                      </w:rPr>
                      <w:t>2026-4-16</w:t>
                    </w:r>
                  </w:p>
                </w:sdtContent>
              </w:sdt>
              <w:p w14:paraId="0AEC0C58">
                <w:pPr>
                  <w:pStyle w:val="12"/>
                  <w:rPr>
                    <w:rFonts w:hint="eastAsia" w:ascii="黑体" w:hAnsi="黑体" w:eastAsia="黑体"/>
                  </w:rPr>
                </w:pPr>
              </w:p>
            </w:tc>
          </w:tr>
        </w:tbl>
        <w:p w14:paraId="53443D91">
          <w:pPr>
            <w:widowControl/>
            <w:jc w:val="left"/>
            <w:rPr>
              <w:rFonts w:hint="eastAsia" w:ascii="黑体" w:hAnsi="黑体" w:eastAsia="黑体"/>
              <w:sz w:val="28"/>
            </w:rPr>
          </w:pPr>
          <w:r>
            <w:rPr>
              <w:rFonts w:hint="eastAsia" w:ascii="黑体" w:hAnsi="黑体" w:eastAsia="黑体"/>
              <w:sz w:val="28"/>
            </w:rPr>
            <w:br w:type="page"/>
          </w:r>
        </w:p>
      </w:sdtContent>
    </w:sdt>
    <w:p w14:paraId="2221D750">
      <w:pPr>
        <w:jc w:val="center"/>
        <w:outlineLvl w:val="0"/>
        <w:rPr>
          <w:rFonts w:hint="eastAsia" w:ascii="宋体" w:hAnsi="宋体"/>
          <w:b/>
          <w:bCs/>
          <w:sz w:val="28"/>
        </w:rPr>
      </w:pPr>
      <w:r>
        <w:rPr>
          <w:rFonts w:hint="eastAsia" w:ascii="宋体" w:hAnsi="宋体"/>
          <w:b/>
          <w:bCs/>
          <w:sz w:val="28"/>
        </w:rPr>
        <w:t>《机动式叉车秤校准规范》</w:t>
      </w:r>
    </w:p>
    <w:p w14:paraId="4F273790">
      <w:pPr>
        <w:jc w:val="center"/>
        <w:rPr>
          <w:rFonts w:hint="eastAsia" w:ascii="宋体" w:hAnsi="宋体"/>
          <w:b/>
          <w:bCs/>
          <w:sz w:val="30"/>
          <w:szCs w:val="30"/>
        </w:rPr>
      </w:pPr>
      <w:r>
        <w:rPr>
          <w:rFonts w:hint="eastAsia" w:ascii="宋体" w:hAnsi="宋体"/>
          <w:b/>
          <w:bCs/>
          <w:sz w:val="30"/>
          <w:szCs w:val="30"/>
        </w:rPr>
        <w:t>编制说明</w:t>
      </w:r>
    </w:p>
    <w:p w14:paraId="2E8B681B">
      <w:pPr>
        <w:jc w:val="center"/>
        <w:rPr>
          <w:rFonts w:hint="eastAsia" w:ascii="宋体" w:hAnsi="宋体"/>
          <w:sz w:val="24"/>
        </w:rPr>
      </w:pPr>
      <w:r>
        <w:rPr>
          <w:rFonts w:hint="eastAsia" w:ascii="宋体" w:hAnsi="宋体"/>
          <w:sz w:val="24"/>
        </w:rPr>
        <w:t>（征求意见稿）</w:t>
      </w:r>
    </w:p>
    <w:p w14:paraId="0CF13905">
      <w:pPr>
        <w:adjustRightInd w:val="0"/>
        <w:snapToGrid w:val="0"/>
        <w:spacing w:line="480" w:lineRule="exact"/>
        <w:ind w:firstLine="482" w:firstLineChars="200"/>
        <w:rPr>
          <w:rFonts w:hint="eastAsia" w:ascii="仿宋" w:hAnsi="仿宋" w:eastAsia="仿宋"/>
          <w:b/>
          <w:bCs/>
          <w:sz w:val="24"/>
        </w:rPr>
      </w:pPr>
      <w:r>
        <w:rPr>
          <w:rFonts w:hint="eastAsia" w:ascii="宋体" w:hAnsi="宋体"/>
          <w:b/>
          <w:bCs/>
          <w:sz w:val="24"/>
        </w:rPr>
        <w:t>一、项目背景</w:t>
      </w:r>
    </w:p>
    <w:p w14:paraId="77BD0633">
      <w:pPr>
        <w:adjustRightInd w:val="0"/>
        <w:snapToGrid w:val="0"/>
        <w:spacing w:line="480" w:lineRule="exact"/>
        <w:ind w:firstLine="391" w:firstLineChars="163"/>
        <w:rPr>
          <w:rFonts w:hint="eastAsia" w:ascii="仿宋" w:hAnsi="仿宋" w:eastAsia="仿宋"/>
          <w:sz w:val="24"/>
        </w:rPr>
      </w:pPr>
      <w:r>
        <w:rPr>
          <w:rFonts w:ascii="仿宋" w:hAnsi="仿宋" w:eastAsia="仿宋"/>
          <w:sz w:val="24"/>
        </w:rPr>
        <w:t>机动式叉车秤是一种特殊的非自动衡器，是安装在采用油、气、电等能源的叉车上的一种衡器。作为一种典型的可移动、可升降并具备称重功能的计量器具，它配备了两个或两个以上的称重传感器和U形悬挂承载器。这种叉车秤与台案秤、固定式台秤以及固定安装的汽车衡明显不同。</w:t>
      </w:r>
    </w:p>
    <w:p w14:paraId="6F71EB85">
      <w:pPr>
        <w:adjustRightInd w:val="0"/>
        <w:snapToGrid w:val="0"/>
        <w:spacing w:line="480" w:lineRule="exact"/>
        <w:ind w:firstLine="391" w:firstLineChars="163"/>
        <w:rPr>
          <w:rFonts w:ascii="仿宋" w:hAnsi="仿宋" w:eastAsia="仿宋"/>
          <w:sz w:val="24"/>
        </w:rPr>
      </w:pPr>
      <w:r>
        <w:rPr>
          <w:rFonts w:ascii="仿宋" w:hAnsi="仿宋" w:eastAsia="仿宋"/>
          <w:sz w:val="24"/>
        </w:rPr>
        <w:t>机动式叉车秤改变了传统的货物称重方式，实现了“移秤到物，称运合一”的理念。通过液压助力，秤体可以升降，不仅提高了称重效率，还提升了整体的装卸效率。此外，其维护简单方便，广泛适用于各类仓储、物流和生产内部控制等领域的称重需求。</w:t>
      </w:r>
    </w:p>
    <w:p w14:paraId="0104558B">
      <w:pPr>
        <w:adjustRightInd w:val="0"/>
        <w:snapToGrid w:val="0"/>
        <w:spacing w:line="480" w:lineRule="exact"/>
        <w:ind w:firstLine="391" w:firstLineChars="163"/>
        <w:rPr>
          <w:rFonts w:ascii="仿宋" w:hAnsi="仿宋" w:eastAsia="仿宋"/>
          <w:sz w:val="24"/>
        </w:rPr>
      </w:pPr>
      <w:r>
        <w:rPr>
          <w:rFonts w:ascii="仿宋" w:hAnsi="仿宋" w:eastAsia="仿宋"/>
          <w:sz w:val="24"/>
        </w:rPr>
        <w:t>因此，根据机动式叉车秤特有的结构形式和实际运行状况，仅仅依据JJG 539《数字指示秤检定规程》或即将发布实施的电子叉车秤校准规范检测，不能完全反应叉车秤的整体计量性能。国内机动式叉车秤生产和使用量很大，尚未出台统一明确的叉车秤校准规范，因此制定《机动式叉车秤校准规范》对指导该计量器具的检测工作以及保证量值溯源的准确性一致性意义重大。</w:t>
      </w:r>
    </w:p>
    <w:p w14:paraId="7D2B1D06">
      <w:pPr>
        <w:adjustRightInd w:val="0"/>
        <w:snapToGrid w:val="0"/>
        <w:spacing w:line="480" w:lineRule="exact"/>
        <w:ind w:firstLine="482" w:firstLineChars="200"/>
        <w:rPr>
          <w:rFonts w:hint="eastAsia" w:ascii="仿宋" w:hAnsi="仿宋" w:eastAsia="仿宋"/>
          <w:b/>
          <w:bCs/>
          <w:sz w:val="24"/>
        </w:rPr>
      </w:pPr>
      <w:r>
        <w:rPr>
          <w:rFonts w:hint="eastAsia" w:ascii="仿宋" w:hAnsi="仿宋" w:eastAsia="仿宋"/>
          <w:b/>
          <w:bCs/>
          <w:sz w:val="24"/>
        </w:rPr>
        <w:t>二、任务来源</w:t>
      </w:r>
    </w:p>
    <w:p w14:paraId="2140F308">
      <w:pPr>
        <w:adjustRightInd w:val="0"/>
        <w:snapToGrid w:val="0"/>
        <w:spacing w:line="480" w:lineRule="exact"/>
        <w:ind w:firstLine="391" w:firstLineChars="163"/>
        <w:rPr>
          <w:rFonts w:ascii="仿宋" w:hAnsi="仿宋" w:eastAsia="仿宋"/>
          <w:sz w:val="24"/>
        </w:rPr>
      </w:pPr>
      <w:r>
        <w:rPr>
          <w:rFonts w:hint="eastAsia" w:ascii="仿宋" w:hAnsi="仿宋" w:eastAsia="仿宋"/>
          <w:sz w:val="24"/>
        </w:rPr>
        <w:t>依据国家市场监督管理总局办公厅文件《市场监管总局办公厅关于印发2025年国家计量技术规范项目制定、修订及宣贯计划的通知》（市监计量发(2025] 45号）文件要求，由黑龙江省计量检定测试研究院等单位承担《机动式叉车秤校准规范》的制定工作。</w:t>
      </w:r>
    </w:p>
    <w:p w14:paraId="492FF503">
      <w:pPr>
        <w:adjustRightInd w:val="0"/>
        <w:snapToGrid w:val="0"/>
        <w:spacing w:line="480" w:lineRule="exact"/>
        <w:ind w:firstLine="391" w:firstLineChars="163"/>
        <w:rPr>
          <w:rFonts w:hint="eastAsia" w:ascii="仿宋" w:hAnsi="仿宋" w:eastAsia="仿宋"/>
          <w:sz w:val="24"/>
        </w:rPr>
      </w:pPr>
      <w:r>
        <w:rPr>
          <w:rFonts w:hint="eastAsia" w:ascii="仿宋" w:hAnsi="仿宋" w:eastAsia="仿宋"/>
          <w:sz w:val="24"/>
        </w:rPr>
        <w:t>本规范由全国衡器计量技术委员会提出</w:t>
      </w:r>
      <w:r>
        <w:rPr>
          <w:rFonts w:hint="eastAsia" w:ascii="仿宋" w:hAnsi="仿宋" w:eastAsia="仿宋"/>
          <w:sz w:val="24"/>
          <w:lang w:val="en-US" w:eastAsia="zh-CN"/>
        </w:rPr>
        <w:t>和</w:t>
      </w:r>
      <w:r>
        <w:rPr>
          <w:rFonts w:hint="eastAsia" w:ascii="仿宋" w:hAnsi="仿宋" w:eastAsia="仿宋"/>
          <w:sz w:val="24"/>
        </w:rPr>
        <w:t xml:space="preserve">归口。 </w:t>
      </w:r>
    </w:p>
    <w:p w14:paraId="38F6C544">
      <w:pPr>
        <w:adjustRightInd w:val="0"/>
        <w:snapToGrid w:val="0"/>
        <w:spacing w:line="480" w:lineRule="exact"/>
        <w:ind w:firstLine="482" w:firstLineChars="200"/>
        <w:rPr>
          <w:rFonts w:hint="eastAsia" w:ascii="仿宋" w:hAnsi="仿宋" w:eastAsia="仿宋"/>
          <w:b/>
          <w:bCs/>
          <w:sz w:val="24"/>
        </w:rPr>
      </w:pPr>
      <w:r>
        <w:rPr>
          <w:rFonts w:hint="eastAsia" w:ascii="仿宋" w:hAnsi="仿宋" w:eastAsia="仿宋"/>
          <w:b/>
          <w:bCs/>
          <w:sz w:val="24"/>
        </w:rPr>
        <w:t>三、编制依据</w:t>
      </w:r>
    </w:p>
    <w:p w14:paraId="1935D1B0">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本规范依据JJF 1071-2010 《国家计量校准规范编写规则》、JJF 1001-2011《通用计量术语及定义》、JJF 1059.1-2012《测量不</w:t>
      </w:r>
      <w:bookmarkStart w:id="0" w:name="_GoBack"/>
      <w:bookmarkEnd w:id="0"/>
      <w:r>
        <w:rPr>
          <w:rFonts w:hint="eastAsia" w:ascii="仿宋" w:hAnsi="仿宋" w:eastAsia="仿宋"/>
          <w:sz w:val="24"/>
        </w:rPr>
        <w:t>确定度评定与表示》编写。</w:t>
      </w:r>
    </w:p>
    <w:p w14:paraId="5AF64022">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本规范主要参考了</w:t>
      </w:r>
      <w:r>
        <w:rPr>
          <w:rFonts w:ascii="仿宋" w:hAnsi="仿宋" w:eastAsia="仿宋"/>
          <w:sz w:val="24"/>
        </w:rPr>
        <w:t>JJG</w:t>
      </w:r>
      <w:r>
        <w:rPr>
          <w:rFonts w:hint="eastAsia" w:ascii="仿宋" w:hAnsi="仿宋" w:eastAsia="仿宋"/>
          <w:sz w:val="24"/>
        </w:rPr>
        <w:t xml:space="preserve"> 539</w:t>
      </w:r>
      <w:r>
        <w:rPr>
          <w:rFonts w:ascii="仿宋" w:hAnsi="仿宋" w:eastAsia="仿宋"/>
          <w:sz w:val="24"/>
        </w:rPr>
        <w:t>-20</w:t>
      </w:r>
      <w:r>
        <w:rPr>
          <w:rFonts w:hint="eastAsia" w:ascii="仿宋" w:hAnsi="仿宋" w:eastAsia="仿宋"/>
          <w:sz w:val="24"/>
        </w:rPr>
        <w:t>1</w:t>
      </w:r>
      <w:r>
        <w:rPr>
          <w:rFonts w:ascii="仿宋" w:hAnsi="仿宋" w:eastAsia="仿宋"/>
          <w:sz w:val="24"/>
        </w:rPr>
        <w:t>6</w:t>
      </w:r>
      <w:r>
        <w:rPr>
          <w:rFonts w:hint="eastAsia" w:ascii="仿宋" w:hAnsi="仿宋" w:eastAsia="仿宋"/>
          <w:sz w:val="24"/>
        </w:rPr>
        <w:t>《数字指示秤》、</w:t>
      </w:r>
      <w:r>
        <w:rPr>
          <w:rFonts w:ascii="仿宋" w:hAnsi="仿宋" w:eastAsia="仿宋"/>
          <w:sz w:val="24"/>
        </w:rPr>
        <w:t>JJF 1181</w:t>
      </w:r>
      <w:r>
        <w:rPr>
          <w:rFonts w:hint="eastAsia" w:ascii="仿宋" w:hAnsi="仿宋" w:eastAsia="仿宋"/>
          <w:sz w:val="24"/>
        </w:rPr>
        <w:t>《</w:t>
      </w:r>
      <w:r>
        <w:rPr>
          <w:rFonts w:ascii="仿宋" w:hAnsi="仿宋" w:eastAsia="仿宋"/>
          <w:sz w:val="24"/>
        </w:rPr>
        <w:t>衡器计量名词术语及定义</w:t>
      </w:r>
      <w:r>
        <w:rPr>
          <w:rFonts w:hint="eastAsia" w:ascii="仿宋" w:hAnsi="仿宋" w:eastAsia="仿宋"/>
          <w:sz w:val="24"/>
        </w:rPr>
        <w:t>》、</w:t>
      </w:r>
      <w:r>
        <w:rPr>
          <w:rFonts w:ascii="仿宋" w:hAnsi="仿宋" w:eastAsia="仿宋"/>
          <w:sz w:val="24"/>
        </w:rPr>
        <w:t xml:space="preserve">JJF 1834 </w:t>
      </w:r>
      <w:r>
        <w:rPr>
          <w:rFonts w:hint="eastAsia" w:ascii="仿宋" w:hAnsi="仿宋" w:eastAsia="仿宋"/>
          <w:sz w:val="24"/>
        </w:rPr>
        <w:t>《</w:t>
      </w:r>
      <w:r>
        <w:rPr>
          <w:rFonts w:ascii="仿宋" w:hAnsi="仿宋" w:eastAsia="仿宋"/>
          <w:sz w:val="24"/>
        </w:rPr>
        <w:t>非自动衡器通用技术要求</w:t>
      </w:r>
      <w:r>
        <w:rPr>
          <w:rFonts w:hint="eastAsia" w:ascii="仿宋" w:hAnsi="仿宋" w:eastAsia="仿宋"/>
          <w:sz w:val="24"/>
        </w:rPr>
        <w:t>》的部分内容。</w:t>
      </w:r>
    </w:p>
    <w:p w14:paraId="0CD44D24">
      <w:pPr>
        <w:adjustRightInd w:val="0"/>
        <w:snapToGrid w:val="0"/>
        <w:spacing w:line="480" w:lineRule="exact"/>
        <w:ind w:firstLine="482" w:firstLineChars="200"/>
        <w:rPr>
          <w:rFonts w:ascii="仿宋" w:hAnsi="仿宋" w:eastAsia="仿宋"/>
          <w:b/>
          <w:bCs/>
          <w:sz w:val="24"/>
        </w:rPr>
      </w:pPr>
      <w:r>
        <w:rPr>
          <w:rFonts w:ascii="仿宋" w:hAnsi="仿宋" w:eastAsia="仿宋"/>
          <w:b/>
          <w:bCs/>
          <w:sz w:val="24"/>
        </w:rPr>
        <w:t>四、编制过程</w:t>
      </w:r>
    </w:p>
    <w:p w14:paraId="47A01C1E">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1、立项：</w:t>
      </w:r>
    </w:p>
    <w:p w14:paraId="64639405">
      <w:pPr>
        <w:adjustRightInd w:val="0"/>
        <w:snapToGrid w:val="0"/>
        <w:spacing w:line="480" w:lineRule="exact"/>
        <w:ind w:firstLine="480" w:firstLineChars="200"/>
        <w:rPr>
          <w:rFonts w:ascii="仿宋" w:hAnsi="仿宋" w:eastAsia="仿宋"/>
          <w:sz w:val="24"/>
        </w:rPr>
      </w:pPr>
      <w:r>
        <w:rPr>
          <w:rFonts w:ascii="仿宋" w:hAnsi="仿宋" w:eastAsia="仿宋"/>
          <w:sz w:val="24"/>
        </w:rPr>
        <w:t>202</w:t>
      </w:r>
      <w:r>
        <w:rPr>
          <w:rFonts w:hint="eastAsia" w:ascii="仿宋" w:hAnsi="仿宋" w:eastAsia="仿宋"/>
          <w:sz w:val="24"/>
        </w:rPr>
        <w:t>5</w:t>
      </w:r>
      <w:r>
        <w:rPr>
          <w:rFonts w:ascii="仿宋" w:hAnsi="仿宋" w:eastAsia="仿宋"/>
          <w:sz w:val="24"/>
        </w:rPr>
        <w:t>年</w:t>
      </w:r>
      <w:r>
        <w:rPr>
          <w:rFonts w:hint="eastAsia" w:ascii="仿宋" w:hAnsi="仿宋" w:eastAsia="仿宋"/>
          <w:sz w:val="24"/>
        </w:rPr>
        <w:t>5</w:t>
      </w:r>
      <w:r>
        <w:rPr>
          <w:rFonts w:ascii="仿宋" w:hAnsi="仿宋" w:eastAsia="仿宋"/>
          <w:sz w:val="24"/>
        </w:rPr>
        <w:t>月国家市场监督管理总局</w:t>
      </w:r>
      <w:r>
        <w:rPr>
          <w:rFonts w:hint="eastAsia" w:ascii="仿宋" w:hAnsi="仿宋" w:eastAsia="仿宋"/>
          <w:sz w:val="24"/>
        </w:rPr>
        <w:t>下达</w:t>
      </w:r>
      <w:r>
        <w:rPr>
          <w:rFonts w:ascii="仿宋" w:hAnsi="仿宋" w:eastAsia="仿宋"/>
          <w:sz w:val="24"/>
        </w:rPr>
        <w:t>市监</w:t>
      </w:r>
      <w:r>
        <w:rPr>
          <w:rFonts w:hint="eastAsia" w:ascii="仿宋" w:hAnsi="仿宋" w:eastAsia="仿宋"/>
          <w:sz w:val="24"/>
        </w:rPr>
        <w:t>计</w:t>
      </w:r>
      <w:r>
        <w:rPr>
          <w:rFonts w:ascii="仿宋" w:hAnsi="仿宋" w:eastAsia="仿宋"/>
          <w:sz w:val="24"/>
        </w:rPr>
        <w:t>量[20</w:t>
      </w:r>
      <w:r>
        <w:rPr>
          <w:rFonts w:hint="eastAsia" w:ascii="仿宋" w:hAnsi="仿宋" w:eastAsia="仿宋"/>
          <w:sz w:val="24"/>
        </w:rPr>
        <w:t>25</w:t>
      </w:r>
      <w:r>
        <w:rPr>
          <w:rFonts w:ascii="仿宋" w:hAnsi="仿宋" w:eastAsia="仿宋"/>
          <w:sz w:val="24"/>
        </w:rPr>
        <w:t>]</w:t>
      </w:r>
      <w:r>
        <w:rPr>
          <w:rFonts w:hint="eastAsia" w:ascii="仿宋" w:hAnsi="仿宋" w:eastAsia="仿宋"/>
          <w:sz w:val="24"/>
        </w:rPr>
        <w:t>45</w:t>
      </w:r>
      <w:r>
        <w:rPr>
          <w:rFonts w:ascii="仿宋" w:hAnsi="仿宋" w:eastAsia="仿宋"/>
          <w:sz w:val="24"/>
        </w:rPr>
        <w:t>号</w:t>
      </w:r>
      <w:r>
        <w:rPr>
          <w:rFonts w:hint="eastAsia" w:ascii="仿宋" w:hAnsi="仿宋" w:eastAsia="仿宋"/>
          <w:sz w:val="24"/>
        </w:rPr>
        <w:t>文件，明确了</w:t>
      </w:r>
      <w:r>
        <w:rPr>
          <w:rFonts w:ascii="仿宋" w:hAnsi="仿宋" w:eastAsia="仿宋"/>
          <w:sz w:val="24"/>
        </w:rPr>
        <w:t>《</w:t>
      </w:r>
      <w:r>
        <w:rPr>
          <w:rFonts w:hint="eastAsia" w:ascii="仿宋" w:hAnsi="仿宋" w:eastAsia="仿宋"/>
          <w:sz w:val="24"/>
        </w:rPr>
        <w:t>机动式叉车秤校准规范</w:t>
      </w:r>
      <w:r>
        <w:rPr>
          <w:rFonts w:ascii="仿宋" w:hAnsi="仿宋" w:eastAsia="仿宋"/>
          <w:sz w:val="24"/>
        </w:rPr>
        <w:t>》</w:t>
      </w:r>
      <w:r>
        <w:rPr>
          <w:rFonts w:hint="eastAsia" w:ascii="仿宋" w:hAnsi="仿宋" w:eastAsia="仿宋"/>
          <w:sz w:val="24"/>
        </w:rPr>
        <w:t>的制定工作，起草小组根据要求，开始相关的资料收集、参数梳理等工作。</w:t>
      </w:r>
    </w:p>
    <w:p w14:paraId="5B327DF3">
      <w:pPr>
        <w:spacing w:line="360" w:lineRule="auto"/>
        <w:ind w:firstLine="482"/>
        <w:rPr>
          <w:rFonts w:hint="eastAsia" w:ascii="仿宋" w:hAnsi="仿宋" w:eastAsia="仿宋" w:cs="Arial"/>
          <w:sz w:val="24"/>
        </w:rPr>
      </w:pPr>
      <w:r>
        <w:rPr>
          <w:rFonts w:hint="eastAsia" w:ascii="仿宋" w:hAnsi="仿宋" w:eastAsia="仿宋"/>
          <w:sz w:val="24"/>
        </w:rPr>
        <w:t>调研：</w:t>
      </w:r>
      <w:r>
        <w:rPr>
          <w:rFonts w:hint="eastAsia" w:ascii="仿宋" w:hAnsi="仿宋" w:eastAsia="仿宋" w:cs="Arial"/>
          <w:sz w:val="24"/>
        </w:rPr>
        <w:t xml:space="preserve"> </w:t>
      </w:r>
    </w:p>
    <w:p w14:paraId="3B16AFF7">
      <w:pPr>
        <w:adjustRightInd w:val="0"/>
        <w:snapToGrid w:val="0"/>
        <w:spacing w:line="480" w:lineRule="exact"/>
        <w:ind w:firstLine="480" w:firstLineChars="200"/>
        <w:rPr>
          <w:rFonts w:ascii="仿宋" w:hAnsi="仿宋" w:eastAsia="仿宋"/>
          <w:sz w:val="24"/>
        </w:rPr>
      </w:pPr>
      <w:r>
        <w:rPr>
          <w:rFonts w:ascii="仿宋" w:hAnsi="仿宋" w:eastAsia="仿宋"/>
          <w:sz w:val="24"/>
        </w:rPr>
        <w:t>在前期准备工作的基础上，技术规范起草修订小组对国内使用的</w:t>
      </w:r>
      <w:r>
        <w:rPr>
          <w:rFonts w:hint="eastAsia" w:ascii="仿宋" w:hAnsi="仿宋" w:eastAsia="仿宋"/>
          <w:sz w:val="24"/>
        </w:rPr>
        <w:t>机动式叉车秤</w:t>
      </w:r>
      <w:r>
        <w:rPr>
          <w:rFonts w:ascii="仿宋" w:hAnsi="仿宋" w:eastAsia="仿宋"/>
          <w:sz w:val="24"/>
        </w:rPr>
        <w:t>的结构、工作原理、使用情况、用户需求做了深入的研究</w:t>
      </w:r>
      <w:r>
        <w:rPr>
          <w:rFonts w:hint="eastAsia" w:ascii="仿宋" w:hAnsi="仿宋" w:eastAsia="仿宋"/>
          <w:sz w:val="24"/>
        </w:rPr>
        <w:t>。</w:t>
      </w:r>
      <w:r>
        <w:rPr>
          <w:rFonts w:hint="eastAsia" w:ascii="仿宋" w:hAnsi="仿宋" w:eastAsia="仿宋" w:cs="宋体"/>
          <w:sz w:val="24"/>
        </w:rPr>
        <w:t>本项目组在查阅大量的文献的基础上，考察了多家机动式叉车秤的生产厂家，包括对仪表、传感器等方面也做了大量的调研工作，与这些领域的专家学者进行了广泛的交流和探讨，</w:t>
      </w:r>
      <w:r>
        <w:rPr>
          <w:rFonts w:ascii="仿宋" w:hAnsi="仿宋" w:eastAsia="仿宋"/>
          <w:sz w:val="24"/>
        </w:rPr>
        <w:t>为起草《</w:t>
      </w:r>
      <w:r>
        <w:rPr>
          <w:rFonts w:hint="eastAsia" w:ascii="仿宋" w:hAnsi="仿宋" w:eastAsia="仿宋"/>
          <w:sz w:val="24"/>
        </w:rPr>
        <w:t>机动式叉车秤</w:t>
      </w:r>
      <w:r>
        <w:rPr>
          <w:rFonts w:ascii="仿宋" w:hAnsi="仿宋" w:eastAsia="仿宋"/>
          <w:sz w:val="24"/>
        </w:rPr>
        <w:t>校准规范》工作奠定了基础</w:t>
      </w:r>
      <w:r>
        <w:rPr>
          <w:rFonts w:hint="eastAsia" w:ascii="仿宋" w:hAnsi="仿宋" w:eastAsia="仿宋"/>
          <w:sz w:val="24"/>
        </w:rPr>
        <w:t>。</w:t>
      </w:r>
    </w:p>
    <w:p w14:paraId="706964A7">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起草过程：</w:t>
      </w:r>
      <w:r>
        <w:rPr>
          <w:rFonts w:ascii="仿宋" w:hAnsi="仿宋" w:eastAsia="仿宋"/>
          <w:sz w:val="24"/>
        </w:rPr>
        <w:t xml:space="preserve"> </w:t>
      </w:r>
    </w:p>
    <w:p w14:paraId="16475747">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1）2024年8月至10月，成立起草小组，各个起草单位开展了深入调研，并就规范所包含内容、主要计量特性、校准方法等问题进行了讨论，各个起草单位进行了任务分工并开展相关工作；</w:t>
      </w:r>
    </w:p>
    <w:p w14:paraId="49EBF4F7">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2）2024年10月至2024年11月，由主要起草单位黑龙江省计量检定测试研究院、江苏省计量科学研究院开展</w:t>
      </w:r>
      <w:r>
        <w:rPr>
          <w:rFonts w:ascii="仿宋" w:hAnsi="仿宋" w:eastAsia="仿宋"/>
          <w:sz w:val="24"/>
        </w:rPr>
        <w:t>大量现场测试试验</w:t>
      </w:r>
      <w:r>
        <w:rPr>
          <w:rFonts w:hint="eastAsia" w:ascii="仿宋" w:hAnsi="仿宋" w:eastAsia="仿宋"/>
          <w:sz w:val="24"/>
        </w:rPr>
        <w:t>，收集相关数据。</w:t>
      </w:r>
    </w:p>
    <w:p w14:paraId="7C218E14">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3）2024年11月至12月，各起草单位根据分工于完成初稿编写；</w:t>
      </w:r>
    </w:p>
    <w:p w14:paraId="6BFA93B2">
      <w:pPr>
        <w:adjustRightInd w:val="0"/>
        <w:snapToGrid w:val="0"/>
        <w:spacing w:line="480" w:lineRule="exact"/>
        <w:ind w:firstLine="480" w:firstLineChars="200"/>
        <w:rPr>
          <w:rFonts w:hint="eastAsia" w:ascii="仿宋" w:hAnsi="仿宋" w:eastAsia="仿宋"/>
          <w:sz w:val="24"/>
        </w:rPr>
      </w:pPr>
      <w:r>
        <w:rPr>
          <w:rFonts w:hint="eastAsia" w:ascii="仿宋" w:hAnsi="仿宋" w:eastAsia="仿宋"/>
          <w:sz w:val="24"/>
        </w:rPr>
        <w:t>4）2024年12月，全国衡器计量技术委员会</w:t>
      </w:r>
      <w:r>
        <w:rPr>
          <w:rFonts w:ascii="仿宋" w:hAnsi="仿宋" w:eastAsia="仿宋"/>
          <w:sz w:val="24"/>
        </w:rPr>
        <w:t>下达了</w:t>
      </w:r>
      <w:r>
        <w:rPr>
          <w:rFonts w:hint="eastAsia" w:ascii="仿宋" w:hAnsi="仿宋" w:eastAsia="仿宋"/>
          <w:sz w:val="24"/>
        </w:rPr>
        <w:t>2025年技术规范立项预审会议的通知，并于2024年12月20日线上召开立项预审会议，</w:t>
      </w:r>
      <w:r>
        <w:rPr>
          <w:rFonts w:ascii="仿宋" w:hAnsi="仿宋" w:eastAsia="仿宋"/>
          <w:sz w:val="24"/>
        </w:rPr>
        <w:t>起草小组为起草工作顺利进行建立微信工作群，准备立项会汇报PPT资料，在立项会上进行线上汇报，并解答评审专家提出的问题。</w:t>
      </w:r>
    </w:p>
    <w:p w14:paraId="5DE7A8EC">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5）2025年5月，国家市场监督管理总局办公厅文件《市场监管总局办公厅关于印发2025年国家计量技术规范项目制定、修订及宣贯计划的通知》（市监计量发(2025] 45号）正式批复立项。</w:t>
      </w:r>
    </w:p>
    <w:p w14:paraId="2E549A1D">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6）2025年5月至2025年9月，召开多次起草小组会议，内部讨论征求意见，对初稿进行进一步完善，并撰写不确定度分析报告；</w:t>
      </w:r>
    </w:p>
    <w:p w14:paraId="65DECC4B">
      <w:pPr>
        <w:adjustRightInd w:val="0"/>
        <w:snapToGrid w:val="0"/>
        <w:spacing w:line="480" w:lineRule="exact"/>
        <w:ind w:firstLine="480" w:firstLineChars="200"/>
        <w:rPr>
          <w:rFonts w:hint="eastAsia" w:ascii="仿宋" w:hAnsi="仿宋" w:eastAsia="仿宋"/>
          <w:sz w:val="24"/>
        </w:rPr>
      </w:pPr>
      <w:r>
        <w:rPr>
          <w:rFonts w:hint="eastAsia" w:ascii="仿宋" w:hAnsi="仿宋" w:eastAsia="仿宋"/>
          <w:sz w:val="24"/>
        </w:rPr>
        <w:t>7）2025年10月， 起草小组完成《机动式叉车秤校准规范》征求意见稿初稿，向秘书处提交征求意见稿初稿；</w:t>
      </w:r>
    </w:p>
    <w:p w14:paraId="5F43BD68">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8）2026年1月至2026年4月，进行试验验证，完成试验报告和不确定度分析报告，进一步修改完善文本内容，向秘书处提交《机动式叉车秤校准规范》征求意见稿，</w:t>
      </w:r>
      <w:r>
        <w:rPr>
          <w:rFonts w:ascii="仿宋" w:hAnsi="仿宋" w:eastAsia="仿宋"/>
          <w:sz w:val="24"/>
        </w:rPr>
        <w:t>面向社会公开征求意见。</w:t>
      </w:r>
    </w:p>
    <w:p w14:paraId="44C616BF">
      <w:pPr>
        <w:adjustRightInd w:val="0"/>
        <w:snapToGrid w:val="0"/>
        <w:spacing w:line="480" w:lineRule="exact"/>
        <w:ind w:firstLine="482" w:firstLineChars="200"/>
        <w:rPr>
          <w:rFonts w:ascii="仿宋" w:hAnsi="仿宋" w:eastAsia="仿宋"/>
          <w:b/>
          <w:bCs/>
          <w:sz w:val="24"/>
        </w:rPr>
      </w:pPr>
      <w:r>
        <w:rPr>
          <w:rFonts w:ascii="仿宋" w:hAnsi="仿宋" w:eastAsia="仿宋"/>
          <w:b/>
          <w:bCs/>
          <w:sz w:val="24"/>
        </w:rPr>
        <w:t>五、</w:t>
      </w:r>
      <w:r>
        <w:rPr>
          <w:rFonts w:hint="eastAsia" w:ascii="仿宋" w:hAnsi="仿宋" w:eastAsia="仿宋"/>
          <w:b/>
          <w:bCs/>
          <w:sz w:val="24"/>
        </w:rPr>
        <w:t>校准规范的主要内容</w:t>
      </w:r>
    </w:p>
    <w:p w14:paraId="73190680">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本规范在编制格式上执行了JJF1071-2010《国家计量校准规范编写规则》，主要内容包括9个章节和4个附录, 具体为：1.范围、2.引用文件、3.术语和计量单位、4.概述、5.计量特性、6.校准条件、7.校准项目和校准方法、8.校准结果表达、9.复校时间间隔、附录A校准记录参考格式、附录B校准证书内页参考格式、附录C测量结果不确定度评定方法、附录D测量结果不确定度评定示例。</w:t>
      </w:r>
    </w:p>
    <w:p w14:paraId="6DF2157F">
      <w:pPr>
        <w:adjustRightInd w:val="0"/>
        <w:snapToGrid w:val="0"/>
        <w:spacing w:line="480" w:lineRule="exact"/>
        <w:ind w:firstLine="482" w:firstLineChars="200"/>
        <w:rPr>
          <w:rFonts w:ascii="仿宋" w:hAnsi="仿宋" w:eastAsia="仿宋"/>
          <w:b/>
          <w:bCs/>
          <w:sz w:val="24"/>
        </w:rPr>
      </w:pPr>
      <w:r>
        <w:rPr>
          <w:rFonts w:hint="eastAsia" w:ascii="仿宋" w:hAnsi="仿宋" w:eastAsia="仿宋"/>
          <w:b/>
          <w:bCs/>
          <w:sz w:val="24"/>
        </w:rPr>
        <w:t>六、工作小结</w:t>
      </w:r>
    </w:p>
    <w:p w14:paraId="33C2FED0">
      <w:pPr>
        <w:adjustRightInd w:val="0"/>
        <w:snapToGrid w:val="0"/>
        <w:spacing w:line="480" w:lineRule="exact"/>
        <w:ind w:firstLine="480" w:firstLineChars="200"/>
        <w:rPr>
          <w:rFonts w:ascii="仿宋" w:hAnsi="仿宋" w:eastAsia="仿宋"/>
          <w:sz w:val="24"/>
        </w:rPr>
      </w:pPr>
      <w:r>
        <w:rPr>
          <w:rFonts w:hint="eastAsia" w:ascii="仿宋" w:hAnsi="仿宋" w:eastAsia="仿宋"/>
          <w:sz w:val="24"/>
        </w:rPr>
        <w:t>本次《机动式叉车秤校准规范》的编写，起草小组对机动式叉车秤的结构组成、工作原理、技术特点等进行了深入细致的研究，在确定计量特性、校准项目和校准方法、结果表达等过程中做了大量的深入研究和试验验证工作。起草小组坚持科学性、合理性、实用性的基本原则，一致认为本规范能够指导目前机动式叉车秤的校准工作。</w:t>
      </w:r>
    </w:p>
    <w:p w14:paraId="55D554E9">
      <w:pPr>
        <w:adjustRightInd w:val="0"/>
        <w:snapToGrid w:val="0"/>
        <w:spacing w:line="480" w:lineRule="exact"/>
        <w:ind w:firstLine="480" w:firstLineChars="200"/>
        <w:rPr>
          <w:rFonts w:hint="eastAsia" w:ascii="仿宋" w:hAnsi="仿宋" w:eastAsia="仿宋"/>
          <w:sz w:val="24"/>
        </w:rPr>
      </w:pPr>
      <w:r>
        <w:rPr>
          <w:rFonts w:hint="eastAsia" w:ascii="仿宋" w:hAnsi="仿宋" w:eastAsia="仿宋"/>
          <w:sz w:val="24"/>
        </w:rPr>
        <w:t>以上是起草小组制定本文件的基本情况。由于起草小组作者学术水平有限，本文件中难免存在不妥之处，敬请各位专家拨冗审阅并提出宝贵意见和建议，起草小组将进行认真分析、修订，使本文件更加具有科学性、合理性和适用性。</w:t>
      </w:r>
    </w:p>
    <w:p w14:paraId="742755BE">
      <w:pPr>
        <w:spacing w:line="360" w:lineRule="auto"/>
        <w:ind w:firstLine="480" w:firstLineChars="200"/>
        <w:rPr>
          <w:rFonts w:hint="eastAsia" w:ascii="仿宋" w:hAnsi="仿宋" w:eastAsia="仿宋"/>
          <w:sz w:val="24"/>
        </w:rPr>
      </w:pPr>
    </w:p>
    <w:p w14:paraId="241157D4">
      <w:pPr>
        <w:jc w:val="right"/>
        <w:outlineLvl w:val="0"/>
        <w:rPr>
          <w:rFonts w:ascii="仿宋" w:hAnsi="仿宋" w:eastAsia="仿宋"/>
          <w:sz w:val="24"/>
        </w:rPr>
      </w:pPr>
      <w:r>
        <w:rPr>
          <w:rFonts w:hint="eastAsia" w:ascii="仿宋" w:hAnsi="仿宋" w:eastAsia="仿宋"/>
          <w:sz w:val="24"/>
        </w:rPr>
        <w:t>《机动式叉车秤校准规范》起草小组</w:t>
      </w:r>
    </w:p>
    <w:p w14:paraId="486338F5">
      <w:pPr>
        <w:jc w:val="center"/>
        <w:rPr>
          <w:rFonts w:hint="eastAsia" w:ascii="仿宋" w:hAnsi="仿宋" w:eastAsia="仿宋"/>
          <w:sz w:val="24"/>
        </w:rPr>
      </w:pPr>
      <w:r>
        <w:rPr>
          <w:rFonts w:hint="eastAsia" w:ascii="仿宋" w:hAnsi="仿宋" w:eastAsia="仿宋"/>
          <w:sz w:val="24"/>
        </w:rPr>
        <w:t xml:space="preserve">                                                   20</w:t>
      </w:r>
      <w:r>
        <w:rPr>
          <w:rFonts w:ascii="仿宋" w:hAnsi="仿宋" w:eastAsia="仿宋"/>
          <w:sz w:val="24"/>
        </w:rPr>
        <w:t>2</w:t>
      </w:r>
      <w:r>
        <w:rPr>
          <w:rFonts w:hint="eastAsia" w:ascii="仿宋" w:hAnsi="仿宋" w:eastAsia="仿宋"/>
          <w:sz w:val="24"/>
        </w:rPr>
        <w:t>6年4月16日</w:t>
      </w:r>
    </w:p>
    <w:p w14:paraId="218CD9C9">
      <w:pPr>
        <w:rPr>
          <w:rFonts w:ascii="仿宋" w:hAnsi="仿宋" w:eastAsia="仿宋"/>
          <w:sz w:val="24"/>
        </w:rPr>
      </w:pPr>
    </w:p>
    <w:p w14:paraId="5B6A8349"/>
    <w:sectPr>
      <w:footerReference r:id="rId3" w:type="default"/>
      <w:footerReference r:id="rId4" w:type="even"/>
      <w:pgSz w:w="11906" w:h="16838"/>
      <w:pgMar w:top="1418" w:right="851" w:bottom="1418" w:left="1701" w:header="851" w:footer="992" w:gutter="0"/>
      <w:pgNumType w:start="0"/>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B464A">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separate"/>
    </w:r>
    <w:r>
      <w:rPr>
        <w:rStyle w:val="8"/>
      </w:rPr>
      <w:t>7</w:t>
    </w:r>
    <w:r>
      <w:rPr>
        <w:rStyle w:val="8"/>
      </w:rPr>
      <w:fldChar w:fldCharType="end"/>
    </w:r>
  </w:p>
  <w:p w14:paraId="39E45C7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59AAC">
    <w:pPr>
      <w:pStyle w:val="3"/>
      <w:framePr w:wrap="around" w:vAnchor="text" w:hAnchor="margin" w:xAlign="center" w:y="1"/>
      <w:rPr>
        <w:rStyle w:val="8"/>
      </w:rPr>
    </w:pPr>
    <w:r>
      <w:rPr>
        <w:rStyle w:val="8"/>
      </w:rPr>
      <w:fldChar w:fldCharType="begin"/>
    </w:r>
    <w:r>
      <w:rPr>
        <w:rStyle w:val="8"/>
      </w:rPr>
      <w:instrText xml:space="preserve">PAGE  </w:instrText>
    </w:r>
    <w:r>
      <w:rPr>
        <w:rStyle w:val="8"/>
      </w:rPr>
      <w:fldChar w:fldCharType="end"/>
    </w:r>
  </w:p>
  <w:p w14:paraId="203B6DD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1620"/>
    <w:rsid w:val="000030A5"/>
    <w:rsid w:val="0000354B"/>
    <w:rsid w:val="00005804"/>
    <w:rsid w:val="00017595"/>
    <w:rsid w:val="000263B1"/>
    <w:rsid w:val="00030249"/>
    <w:rsid w:val="00030A81"/>
    <w:rsid w:val="00033E5B"/>
    <w:rsid w:val="00041C66"/>
    <w:rsid w:val="000603C5"/>
    <w:rsid w:val="0006467B"/>
    <w:rsid w:val="00066844"/>
    <w:rsid w:val="00072CCB"/>
    <w:rsid w:val="000758F3"/>
    <w:rsid w:val="0009319D"/>
    <w:rsid w:val="000B357E"/>
    <w:rsid w:val="000C14B9"/>
    <w:rsid w:val="000C1F84"/>
    <w:rsid w:val="000D04BC"/>
    <w:rsid w:val="000D39FC"/>
    <w:rsid w:val="000D3CD7"/>
    <w:rsid w:val="000D78D5"/>
    <w:rsid w:val="000E2EFB"/>
    <w:rsid w:val="000E5C31"/>
    <w:rsid w:val="000F16BA"/>
    <w:rsid w:val="000F1FC7"/>
    <w:rsid w:val="000F292D"/>
    <w:rsid w:val="000F3190"/>
    <w:rsid w:val="000F4A55"/>
    <w:rsid w:val="00103B62"/>
    <w:rsid w:val="00107354"/>
    <w:rsid w:val="00127F36"/>
    <w:rsid w:val="00133862"/>
    <w:rsid w:val="00136766"/>
    <w:rsid w:val="001501AC"/>
    <w:rsid w:val="00151645"/>
    <w:rsid w:val="00175C8C"/>
    <w:rsid w:val="00177918"/>
    <w:rsid w:val="00191F7C"/>
    <w:rsid w:val="00193CF5"/>
    <w:rsid w:val="00195E53"/>
    <w:rsid w:val="001A33E0"/>
    <w:rsid w:val="001A5942"/>
    <w:rsid w:val="001B38EB"/>
    <w:rsid w:val="001B497D"/>
    <w:rsid w:val="001D1BB9"/>
    <w:rsid w:val="001D1D1F"/>
    <w:rsid w:val="001E13F7"/>
    <w:rsid w:val="001F016B"/>
    <w:rsid w:val="002128A4"/>
    <w:rsid w:val="00213737"/>
    <w:rsid w:val="00216FB9"/>
    <w:rsid w:val="00222EA1"/>
    <w:rsid w:val="002276E8"/>
    <w:rsid w:val="00235BAA"/>
    <w:rsid w:val="00241B10"/>
    <w:rsid w:val="00254DAB"/>
    <w:rsid w:val="00262A61"/>
    <w:rsid w:val="002801CF"/>
    <w:rsid w:val="00281E16"/>
    <w:rsid w:val="002922AF"/>
    <w:rsid w:val="00294FA1"/>
    <w:rsid w:val="002A5102"/>
    <w:rsid w:val="002A6CBC"/>
    <w:rsid w:val="002B32A7"/>
    <w:rsid w:val="002D29EB"/>
    <w:rsid w:val="002D4424"/>
    <w:rsid w:val="002F337C"/>
    <w:rsid w:val="002F4C9D"/>
    <w:rsid w:val="002F6A9E"/>
    <w:rsid w:val="00300A4B"/>
    <w:rsid w:val="0030377C"/>
    <w:rsid w:val="00307058"/>
    <w:rsid w:val="00310506"/>
    <w:rsid w:val="0032728C"/>
    <w:rsid w:val="00332A94"/>
    <w:rsid w:val="00334247"/>
    <w:rsid w:val="0033602A"/>
    <w:rsid w:val="0035744F"/>
    <w:rsid w:val="00361010"/>
    <w:rsid w:val="00365C99"/>
    <w:rsid w:val="00366634"/>
    <w:rsid w:val="003742B6"/>
    <w:rsid w:val="0038594A"/>
    <w:rsid w:val="00391620"/>
    <w:rsid w:val="0039611F"/>
    <w:rsid w:val="00396714"/>
    <w:rsid w:val="003A0A53"/>
    <w:rsid w:val="003A46CD"/>
    <w:rsid w:val="003C4AEA"/>
    <w:rsid w:val="003C6D31"/>
    <w:rsid w:val="003C6FDB"/>
    <w:rsid w:val="003D304E"/>
    <w:rsid w:val="003D68DF"/>
    <w:rsid w:val="003D6A84"/>
    <w:rsid w:val="003E2913"/>
    <w:rsid w:val="003E48C7"/>
    <w:rsid w:val="003F4328"/>
    <w:rsid w:val="003F4D16"/>
    <w:rsid w:val="004019D1"/>
    <w:rsid w:val="0041674B"/>
    <w:rsid w:val="004423CF"/>
    <w:rsid w:val="0044581E"/>
    <w:rsid w:val="00445DCA"/>
    <w:rsid w:val="0045490F"/>
    <w:rsid w:val="00456306"/>
    <w:rsid w:val="00460B01"/>
    <w:rsid w:val="00461247"/>
    <w:rsid w:val="0046546D"/>
    <w:rsid w:val="00471E0B"/>
    <w:rsid w:val="00473B47"/>
    <w:rsid w:val="00482073"/>
    <w:rsid w:val="00484624"/>
    <w:rsid w:val="00490C08"/>
    <w:rsid w:val="00493397"/>
    <w:rsid w:val="004A1D6A"/>
    <w:rsid w:val="004A23A8"/>
    <w:rsid w:val="004A7C06"/>
    <w:rsid w:val="004B26BD"/>
    <w:rsid w:val="004B27C1"/>
    <w:rsid w:val="004D762B"/>
    <w:rsid w:val="004D77F1"/>
    <w:rsid w:val="004E20EC"/>
    <w:rsid w:val="004E550A"/>
    <w:rsid w:val="004F2776"/>
    <w:rsid w:val="005039BB"/>
    <w:rsid w:val="00511B08"/>
    <w:rsid w:val="0051419D"/>
    <w:rsid w:val="00517459"/>
    <w:rsid w:val="00524D05"/>
    <w:rsid w:val="00532B15"/>
    <w:rsid w:val="005330A7"/>
    <w:rsid w:val="00535198"/>
    <w:rsid w:val="00537A37"/>
    <w:rsid w:val="00537C1A"/>
    <w:rsid w:val="00540AE4"/>
    <w:rsid w:val="005501A0"/>
    <w:rsid w:val="005649F6"/>
    <w:rsid w:val="00567267"/>
    <w:rsid w:val="005733D9"/>
    <w:rsid w:val="00576B93"/>
    <w:rsid w:val="005805A4"/>
    <w:rsid w:val="00582125"/>
    <w:rsid w:val="00582E29"/>
    <w:rsid w:val="00586A61"/>
    <w:rsid w:val="005900E1"/>
    <w:rsid w:val="005A0CD1"/>
    <w:rsid w:val="005E12D6"/>
    <w:rsid w:val="005E52DD"/>
    <w:rsid w:val="00602D6E"/>
    <w:rsid w:val="00614914"/>
    <w:rsid w:val="00620B8A"/>
    <w:rsid w:val="0062478C"/>
    <w:rsid w:val="0062744C"/>
    <w:rsid w:val="006362CB"/>
    <w:rsid w:val="00644AD1"/>
    <w:rsid w:val="00677699"/>
    <w:rsid w:val="006A0F40"/>
    <w:rsid w:val="006A4111"/>
    <w:rsid w:val="006C41FE"/>
    <w:rsid w:val="006D50AC"/>
    <w:rsid w:val="006D55DB"/>
    <w:rsid w:val="006E2833"/>
    <w:rsid w:val="006E4527"/>
    <w:rsid w:val="006E5780"/>
    <w:rsid w:val="006F06FD"/>
    <w:rsid w:val="006F2409"/>
    <w:rsid w:val="0070152B"/>
    <w:rsid w:val="00702A5E"/>
    <w:rsid w:val="0070518E"/>
    <w:rsid w:val="00720796"/>
    <w:rsid w:val="00722A93"/>
    <w:rsid w:val="00724AB1"/>
    <w:rsid w:val="007265E8"/>
    <w:rsid w:val="00732173"/>
    <w:rsid w:val="0075260D"/>
    <w:rsid w:val="007620D7"/>
    <w:rsid w:val="0076386B"/>
    <w:rsid w:val="00775ADC"/>
    <w:rsid w:val="007765DD"/>
    <w:rsid w:val="00792E20"/>
    <w:rsid w:val="00793F39"/>
    <w:rsid w:val="007A31F7"/>
    <w:rsid w:val="007A3D10"/>
    <w:rsid w:val="007B7648"/>
    <w:rsid w:val="007B78BC"/>
    <w:rsid w:val="007C78E2"/>
    <w:rsid w:val="007D76CC"/>
    <w:rsid w:val="007F4763"/>
    <w:rsid w:val="007F6742"/>
    <w:rsid w:val="00806AF6"/>
    <w:rsid w:val="0080765C"/>
    <w:rsid w:val="008172FF"/>
    <w:rsid w:val="00817B6A"/>
    <w:rsid w:val="00821FBC"/>
    <w:rsid w:val="008252B1"/>
    <w:rsid w:val="00831315"/>
    <w:rsid w:val="00835D82"/>
    <w:rsid w:val="00843427"/>
    <w:rsid w:val="0084352A"/>
    <w:rsid w:val="008438D5"/>
    <w:rsid w:val="008511B8"/>
    <w:rsid w:val="00853938"/>
    <w:rsid w:val="00855877"/>
    <w:rsid w:val="00856641"/>
    <w:rsid w:val="00867B47"/>
    <w:rsid w:val="00871894"/>
    <w:rsid w:val="008730A7"/>
    <w:rsid w:val="008756E4"/>
    <w:rsid w:val="008803D9"/>
    <w:rsid w:val="00882E7A"/>
    <w:rsid w:val="008937B1"/>
    <w:rsid w:val="0089617B"/>
    <w:rsid w:val="00896469"/>
    <w:rsid w:val="00897470"/>
    <w:rsid w:val="0089797A"/>
    <w:rsid w:val="008A4844"/>
    <w:rsid w:val="008A5EDD"/>
    <w:rsid w:val="008B16CF"/>
    <w:rsid w:val="008B2237"/>
    <w:rsid w:val="008B5E08"/>
    <w:rsid w:val="008C73DD"/>
    <w:rsid w:val="008D0035"/>
    <w:rsid w:val="008D1B4B"/>
    <w:rsid w:val="008D698E"/>
    <w:rsid w:val="008E08F6"/>
    <w:rsid w:val="008E16BB"/>
    <w:rsid w:val="008F0F6E"/>
    <w:rsid w:val="008F7F52"/>
    <w:rsid w:val="0090335B"/>
    <w:rsid w:val="00903C46"/>
    <w:rsid w:val="00912354"/>
    <w:rsid w:val="00913236"/>
    <w:rsid w:val="00913A95"/>
    <w:rsid w:val="0091442A"/>
    <w:rsid w:val="00915D90"/>
    <w:rsid w:val="009214BF"/>
    <w:rsid w:val="00924E54"/>
    <w:rsid w:val="00926337"/>
    <w:rsid w:val="00926BB0"/>
    <w:rsid w:val="0094357D"/>
    <w:rsid w:val="00944597"/>
    <w:rsid w:val="00945F0F"/>
    <w:rsid w:val="00952183"/>
    <w:rsid w:val="00953DD3"/>
    <w:rsid w:val="009546A0"/>
    <w:rsid w:val="00956833"/>
    <w:rsid w:val="009706DB"/>
    <w:rsid w:val="00971260"/>
    <w:rsid w:val="00974EBD"/>
    <w:rsid w:val="00983C4E"/>
    <w:rsid w:val="00991997"/>
    <w:rsid w:val="0099673B"/>
    <w:rsid w:val="009A540D"/>
    <w:rsid w:val="009C0BC0"/>
    <w:rsid w:val="009D45D1"/>
    <w:rsid w:val="009E6562"/>
    <w:rsid w:val="009E6F7C"/>
    <w:rsid w:val="00A02E91"/>
    <w:rsid w:val="00A07A10"/>
    <w:rsid w:val="00A10DBC"/>
    <w:rsid w:val="00A136BA"/>
    <w:rsid w:val="00A26DD2"/>
    <w:rsid w:val="00A320C8"/>
    <w:rsid w:val="00A34EFB"/>
    <w:rsid w:val="00A53FF2"/>
    <w:rsid w:val="00A709E3"/>
    <w:rsid w:val="00A70FCD"/>
    <w:rsid w:val="00A75FF2"/>
    <w:rsid w:val="00A8332A"/>
    <w:rsid w:val="00A86330"/>
    <w:rsid w:val="00A97722"/>
    <w:rsid w:val="00A97911"/>
    <w:rsid w:val="00AB4577"/>
    <w:rsid w:val="00AB618A"/>
    <w:rsid w:val="00AB6A83"/>
    <w:rsid w:val="00AB6F41"/>
    <w:rsid w:val="00AC30EE"/>
    <w:rsid w:val="00AD6BA5"/>
    <w:rsid w:val="00AD6CDE"/>
    <w:rsid w:val="00AF14D9"/>
    <w:rsid w:val="00AF7E3E"/>
    <w:rsid w:val="00B04007"/>
    <w:rsid w:val="00B11050"/>
    <w:rsid w:val="00B11DD8"/>
    <w:rsid w:val="00B13C27"/>
    <w:rsid w:val="00B1525C"/>
    <w:rsid w:val="00B175B8"/>
    <w:rsid w:val="00B21F8B"/>
    <w:rsid w:val="00B22407"/>
    <w:rsid w:val="00B36BDF"/>
    <w:rsid w:val="00B40504"/>
    <w:rsid w:val="00B40CA8"/>
    <w:rsid w:val="00B4212E"/>
    <w:rsid w:val="00B43FCF"/>
    <w:rsid w:val="00B44453"/>
    <w:rsid w:val="00B5385F"/>
    <w:rsid w:val="00B5399F"/>
    <w:rsid w:val="00B63707"/>
    <w:rsid w:val="00B638B0"/>
    <w:rsid w:val="00B63ED2"/>
    <w:rsid w:val="00B66BD6"/>
    <w:rsid w:val="00B711EA"/>
    <w:rsid w:val="00B72573"/>
    <w:rsid w:val="00B8660A"/>
    <w:rsid w:val="00BA0CAE"/>
    <w:rsid w:val="00BA1B03"/>
    <w:rsid w:val="00BA2792"/>
    <w:rsid w:val="00BA7136"/>
    <w:rsid w:val="00BB27D4"/>
    <w:rsid w:val="00BB4EFA"/>
    <w:rsid w:val="00BC15F2"/>
    <w:rsid w:val="00BC4847"/>
    <w:rsid w:val="00BC731B"/>
    <w:rsid w:val="00BE051E"/>
    <w:rsid w:val="00BE2836"/>
    <w:rsid w:val="00BE6395"/>
    <w:rsid w:val="00BE6C8A"/>
    <w:rsid w:val="00BF1451"/>
    <w:rsid w:val="00C1090F"/>
    <w:rsid w:val="00C14570"/>
    <w:rsid w:val="00C178FA"/>
    <w:rsid w:val="00C2308F"/>
    <w:rsid w:val="00C36AAB"/>
    <w:rsid w:val="00C378C5"/>
    <w:rsid w:val="00C713FD"/>
    <w:rsid w:val="00C72AD3"/>
    <w:rsid w:val="00C76ACD"/>
    <w:rsid w:val="00CA18AC"/>
    <w:rsid w:val="00CA7B2E"/>
    <w:rsid w:val="00CB057D"/>
    <w:rsid w:val="00CB1FD9"/>
    <w:rsid w:val="00CB3877"/>
    <w:rsid w:val="00CB5F79"/>
    <w:rsid w:val="00CC78C9"/>
    <w:rsid w:val="00CD3782"/>
    <w:rsid w:val="00CE29C2"/>
    <w:rsid w:val="00CE4227"/>
    <w:rsid w:val="00CE501D"/>
    <w:rsid w:val="00CF4733"/>
    <w:rsid w:val="00D002C9"/>
    <w:rsid w:val="00D25F76"/>
    <w:rsid w:val="00D41398"/>
    <w:rsid w:val="00D7118E"/>
    <w:rsid w:val="00D71BD7"/>
    <w:rsid w:val="00D815F2"/>
    <w:rsid w:val="00D845F7"/>
    <w:rsid w:val="00D87DDC"/>
    <w:rsid w:val="00D92D47"/>
    <w:rsid w:val="00DA0A76"/>
    <w:rsid w:val="00DA2824"/>
    <w:rsid w:val="00DA5FE5"/>
    <w:rsid w:val="00DA6D99"/>
    <w:rsid w:val="00DA7D7F"/>
    <w:rsid w:val="00DB0B46"/>
    <w:rsid w:val="00DB1E3E"/>
    <w:rsid w:val="00DB3DF8"/>
    <w:rsid w:val="00DB4A22"/>
    <w:rsid w:val="00DC2B47"/>
    <w:rsid w:val="00DC2F60"/>
    <w:rsid w:val="00DC61C3"/>
    <w:rsid w:val="00DD0168"/>
    <w:rsid w:val="00DD4DF9"/>
    <w:rsid w:val="00DE15FA"/>
    <w:rsid w:val="00DE2A74"/>
    <w:rsid w:val="00DE345D"/>
    <w:rsid w:val="00DE60E3"/>
    <w:rsid w:val="00DF684D"/>
    <w:rsid w:val="00E00C47"/>
    <w:rsid w:val="00E012C5"/>
    <w:rsid w:val="00E01A31"/>
    <w:rsid w:val="00E11969"/>
    <w:rsid w:val="00E131DC"/>
    <w:rsid w:val="00E163E8"/>
    <w:rsid w:val="00E23F4E"/>
    <w:rsid w:val="00E27DC2"/>
    <w:rsid w:val="00E41B5A"/>
    <w:rsid w:val="00E50459"/>
    <w:rsid w:val="00E6157C"/>
    <w:rsid w:val="00E66124"/>
    <w:rsid w:val="00E70C47"/>
    <w:rsid w:val="00E75BE7"/>
    <w:rsid w:val="00E8248F"/>
    <w:rsid w:val="00E91167"/>
    <w:rsid w:val="00E92D88"/>
    <w:rsid w:val="00E94CEA"/>
    <w:rsid w:val="00E95408"/>
    <w:rsid w:val="00EA302D"/>
    <w:rsid w:val="00EA42F7"/>
    <w:rsid w:val="00EA53BE"/>
    <w:rsid w:val="00EC7C2A"/>
    <w:rsid w:val="00EE19B8"/>
    <w:rsid w:val="00EE3E86"/>
    <w:rsid w:val="00EF1E86"/>
    <w:rsid w:val="00F043A4"/>
    <w:rsid w:val="00F049BC"/>
    <w:rsid w:val="00F13190"/>
    <w:rsid w:val="00F1553A"/>
    <w:rsid w:val="00F22F29"/>
    <w:rsid w:val="00F23DF3"/>
    <w:rsid w:val="00F257F2"/>
    <w:rsid w:val="00F41457"/>
    <w:rsid w:val="00F43000"/>
    <w:rsid w:val="00F43074"/>
    <w:rsid w:val="00F5059D"/>
    <w:rsid w:val="00F50E01"/>
    <w:rsid w:val="00F51D1C"/>
    <w:rsid w:val="00F53778"/>
    <w:rsid w:val="00F62421"/>
    <w:rsid w:val="00F65B1C"/>
    <w:rsid w:val="00F66C8A"/>
    <w:rsid w:val="00F732DE"/>
    <w:rsid w:val="00F750FF"/>
    <w:rsid w:val="00F8039F"/>
    <w:rsid w:val="00F8491F"/>
    <w:rsid w:val="00F8697A"/>
    <w:rsid w:val="00F87195"/>
    <w:rsid w:val="00F91B27"/>
    <w:rsid w:val="00FB4035"/>
    <w:rsid w:val="00FB437A"/>
    <w:rsid w:val="00FB687D"/>
    <w:rsid w:val="00FC656D"/>
    <w:rsid w:val="00FC76DF"/>
    <w:rsid w:val="00FD1C76"/>
    <w:rsid w:val="00FD4300"/>
    <w:rsid w:val="00FD7555"/>
    <w:rsid w:val="00FE47EB"/>
    <w:rsid w:val="00FF5181"/>
    <w:rsid w:val="00FF5402"/>
    <w:rsid w:val="3DBFF635"/>
    <w:rsid w:val="48427B1F"/>
    <w:rsid w:val="6FFFC5EC"/>
    <w:rsid w:val="7D55F747"/>
    <w:rsid w:val="7DBC9011"/>
    <w:rsid w:val="EF1D4D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jc w:val="center"/>
      <w:outlineLvl w:val="2"/>
    </w:pPr>
    <w:rPr>
      <w:sz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character" w:styleId="8">
    <w:name w:val="page number"/>
    <w:basedOn w:val="7"/>
    <w:qFormat/>
    <w:uiPriority w:val="0"/>
  </w:style>
  <w:style w:type="character" w:customStyle="1" w:styleId="9">
    <w:name w:val="页眉 字符"/>
    <w:link w:val="4"/>
    <w:semiHidden/>
    <w:qFormat/>
    <w:uiPriority w:val="99"/>
    <w:rPr>
      <w:kern w:val="2"/>
      <w:sz w:val="18"/>
      <w:szCs w:val="18"/>
    </w:rPr>
  </w:style>
  <w:style w:type="character" w:customStyle="1" w:styleId="10">
    <w:name w:val="段 Char"/>
    <w:link w:val="11"/>
    <w:qFormat/>
    <w:locked/>
    <w:uiPriority w:val="0"/>
    <w:rPr>
      <w:rFonts w:ascii="宋体"/>
      <w:sz w:val="21"/>
    </w:rPr>
  </w:style>
  <w:style w:type="paragraph" w:customStyle="1" w:styleId="11">
    <w:name w:val="段"/>
    <w:link w:val="1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2">
    <w:name w:val="No Spacing"/>
    <w:link w:val="13"/>
    <w:qFormat/>
    <w:uiPriority w:val="1"/>
    <w:rPr>
      <w:rFonts w:asciiTheme="minorHAnsi" w:hAnsiTheme="minorHAnsi" w:eastAsiaTheme="minorEastAsia" w:cstheme="minorBidi"/>
      <w:sz w:val="22"/>
      <w:szCs w:val="22"/>
      <w:lang w:val="en-US" w:eastAsia="zh-CN" w:bidi="ar-SA"/>
    </w:rPr>
  </w:style>
  <w:style w:type="character" w:customStyle="1" w:styleId="13">
    <w:name w:val="无间隔 字符"/>
    <w:basedOn w:val="7"/>
    <w:link w:val="12"/>
    <w:qFormat/>
    <w:uiPriority w:val="1"/>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31FC4E2A5EB4CAAB53381E2118A769D"/>
        <w:style w:val=""/>
        <w:category>
          <w:name w:val="常规"/>
          <w:gallery w:val="placeholder"/>
        </w:category>
        <w:types>
          <w:type w:val="bbPlcHdr"/>
        </w:types>
        <w:behaviors>
          <w:behavior w:val="content"/>
        </w:behaviors>
        <w:description w:val=""/>
        <w:guid w:val="{34B8CF4B-88AE-4BEA-BB03-F06DE39E234C}"/>
      </w:docPartPr>
      <w:docPartBody>
        <w:p w14:paraId="2F86A691">
          <w:pPr>
            <w:pStyle w:val="4"/>
            <w:rPr>
              <w:rFonts w:hint="eastAsia"/>
            </w:rPr>
          </w:pPr>
          <w:r>
            <w:rPr>
              <w:rFonts w:asciiTheme="majorHAnsi" w:hAnsiTheme="majorHAnsi" w:eastAsiaTheme="majorEastAsia" w:cstheme="majorBidi"/>
              <w:color w:val="4472C4" w:themeColor="accent1"/>
              <w:sz w:val="88"/>
              <w:szCs w:val="88"/>
              <w:lang w:val="zh-CN"/>
              <w14:textFill>
                <w14:solidFill>
                  <w14:schemeClr w14:val="accent1"/>
                </w14:solidFill>
              </w14:textFill>
            </w:rPr>
            <w:t>[文档标题]</w:t>
          </w:r>
        </w:p>
      </w:docPartBody>
    </w:docPart>
    <w:docPart>
      <w:docPartPr>
        <w:name w:val="DECD1F509D6D47D48FB72E69EE16EC6A"/>
        <w:style w:val=""/>
        <w:category>
          <w:name w:val="常规"/>
          <w:gallery w:val="placeholder"/>
        </w:category>
        <w:types>
          <w:type w:val="bbPlcHdr"/>
        </w:types>
        <w:behaviors>
          <w:behavior w:val="content"/>
        </w:behaviors>
        <w:description w:val=""/>
        <w:guid w:val="{A3054DB4-091A-4188-9DF4-85CBE975B4BB}"/>
      </w:docPartPr>
      <w:docPartBody>
        <w:p w14:paraId="2DCE6042">
          <w:pPr>
            <w:pStyle w:val="5"/>
            <w:rPr>
              <w:rFonts w:hint="eastAsia"/>
            </w:rPr>
          </w:pPr>
          <w:r>
            <w:rPr>
              <w:color w:val="2F5597" w:themeColor="accent1" w:themeShade="BF"/>
              <w:sz w:val="24"/>
              <w:lang w:val="zh-CN"/>
            </w:rPr>
            <w:t>[文档副标题]</w:t>
          </w:r>
        </w:p>
      </w:docPartBody>
    </w:docPart>
    <w:docPart>
      <w:docPartPr>
        <w:name w:val="CD94A5A4FE7649D09CAC26655C567617"/>
        <w:style w:val=""/>
        <w:category>
          <w:name w:val="常规"/>
          <w:gallery w:val="placeholder"/>
        </w:category>
        <w:types>
          <w:type w:val="bbPlcHdr"/>
        </w:types>
        <w:behaviors>
          <w:behavior w:val="content"/>
        </w:behaviors>
        <w:description w:val=""/>
        <w:guid w:val="{07DC3B57-A9F3-4862-99DB-888CEABE4297}"/>
      </w:docPartPr>
      <w:docPartBody>
        <w:p w14:paraId="49E92AF0">
          <w:pPr>
            <w:pStyle w:val="6"/>
            <w:rPr>
              <w:rFonts w:hint="eastAsia"/>
            </w:rPr>
          </w:pPr>
          <w:r>
            <w:rPr>
              <w:color w:val="4472C4" w:themeColor="accent1"/>
              <w:sz w:val="28"/>
              <w:szCs w:val="28"/>
              <w:lang w:val="zh-CN"/>
              <w14:textFill>
                <w14:solidFill>
                  <w14:schemeClr w14:val="accent1"/>
                </w14:solidFill>
              </w14:textFill>
            </w:rPr>
            <w:t>[作者姓名]</w:t>
          </w:r>
        </w:p>
      </w:docPartBody>
    </w:docPart>
    <w:docPart>
      <w:docPartPr>
        <w:name w:val="64FC5697D28C4AFA98755B74DC8AC504"/>
        <w:style w:val=""/>
        <w:category>
          <w:name w:val="常规"/>
          <w:gallery w:val="placeholder"/>
        </w:category>
        <w:types>
          <w:type w:val="bbPlcHdr"/>
        </w:types>
        <w:behaviors>
          <w:behavior w:val="content"/>
        </w:behaviors>
        <w:description w:val=""/>
        <w:guid w:val="{10014642-11D5-4C1A-A92A-554957A7EE04}"/>
      </w:docPartPr>
      <w:docPartBody>
        <w:p w14:paraId="0BC2BBB1">
          <w:pPr>
            <w:pStyle w:val="7"/>
            <w:rPr>
              <w:rFonts w:hint="eastAsia"/>
            </w:rPr>
          </w:pPr>
          <w:r>
            <w:rPr>
              <w:color w:val="4472C4" w:themeColor="accent1"/>
              <w:sz w:val="28"/>
              <w:szCs w:val="28"/>
              <w:lang w:val="zh-CN"/>
              <w14:textFill>
                <w14:solidFill>
                  <w14:schemeClr w14:val="accent1"/>
                </w14:solidFill>
              </w14:textFill>
            </w:rPr>
            <w:t>[日期]</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64B"/>
    <w:rsid w:val="00276C89"/>
    <w:rsid w:val="003352D1"/>
    <w:rsid w:val="004030CE"/>
    <w:rsid w:val="005E52DD"/>
    <w:rsid w:val="006C41FE"/>
    <w:rsid w:val="00764263"/>
    <w:rsid w:val="007B7169"/>
    <w:rsid w:val="00890468"/>
    <w:rsid w:val="0089617B"/>
    <w:rsid w:val="009B064B"/>
    <w:rsid w:val="00B22407"/>
    <w:rsid w:val="00DB0B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831FC4E2A5EB4CAAB53381E2118A769D"/>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5">
    <w:name w:val="DECD1F509D6D47D48FB72E69EE16EC6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CD94A5A4FE7649D09CAC26655C56761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64FC5697D28C4AFA98755B74DC8AC50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黑体"/>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宋体"/>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2026-04-16T00:00:00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datastoreItem>
</file>

<file path=docProps/app.xml><?xml version="1.0" encoding="utf-8"?>
<Properties xmlns="http://schemas.openxmlformats.org/officeDocument/2006/extended-properties" xmlns:vt="http://schemas.openxmlformats.org/officeDocument/2006/docPropsVTypes">
  <Template>Normal</Template>
  <Company>- BMTD -</Company>
  <Pages>4</Pages>
  <Words>1980</Words>
  <Characters>2145</Characters>
  <Lines>139</Lines>
  <Paragraphs>133</Paragraphs>
  <TotalTime>115</TotalTime>
  <ScaleCrop>false</ScaleCrop>
  <LinksUpToDate>false</LinksUpToDate>
  <CharactersWithSpaces>2212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2026-04-16T00:12:00Z</dcterms:created>
  <dc:creator>机动式叉车秤校准规范起草小组</dc:creator>
  <cp:lastModifiedBy>sdb163</cp:lastModifiedBy>
  <cp:lastPrinted>2023-12-29T07:27:00Z</cp:lastPrinted>
  <dcterms:modified xsi:type="dcterms:W3CDTF">2026-04-29T02:28:51Z</dcterms:modified>
  <dc:subject>编制说明</dc:subject>
  <dc:title>机动式叉车秤校准规范</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eyJoZGlkIjoiMmQwOTg0MDViMTIxZDkwMGYwMzk2ZTY3MjMyOTc3OTQiLCJ1c2VySWQiOiI0MzM0MDQzNjgifQ==</vt:lpwstr>
  </property>
  <property fmtid="{D5CDD505-2E9C-101B-9397-08002B2CF9AE}" pid="4" name="ICV">
    <vt:lpwstr>4FE4D07C94D045E6A7E0D888531E72B2_12</vt:lpwstr>
  </property>
</Properties>
</file>