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854C6">
      <w:pPr>
        <w:jc w:val="center"/>
        <w:rPr>
          <w:b/>
          <w:bCs/>
          <w:kern w:val="0"/>
          <w:sz w:val="5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3523615</wp:posOffset>
            </wp:positionH>
            <wp:positionV relativeFrom="paragraph">
              <wp:posOffset>147320</wp:posOffset>
            </wp:positionV>
            <wp:extent cx="1666875" cy="682625"/>
            <wp:effectExtent l="0" t="0" r="0" b="0"/>
            <wp:wrapNone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AB9912">
      <w:pPr>
        <w:rPr>
          <w:rFonts w:hint="eastAsia" w:hAnsi="方正小标宋简体" w:eastAsia="方正小标宋简体"/>
          <w:w w:val="120"/>
          <w:kern w:val="0"/>
          <w:sz w:val="48"/>
          <w:szCs w:val="48"/>
        </w:rPr>
      </w:pPr>
    </w:p>
    <w:p w14:paraId="32BA344E">
      <w:pPr>
        <w:rPr>
          <w:rFonts w:hint="eastAsia" w:hAnsi="方正小标宋简体" w:eastAsia="方正小标宋简体"/>
          <w:w w:val="120"/>
          <w:kern w:val="0"/>
          <w:sz w:val="15"/>
          <w:szCs w:val="15"/>
        </w:rPr>
      </w:pPr>
    </w:p>
    <w:p w14:paraId="5188EC2C">
      <w:pPr>
        <w:spacing w:line="240" w:lineRule="atLeast"/>
        <w:rPr>
          <w:rFonts w:eastAsia="方正小标宋简体"/>
          <w:w w:val="120"/>
          <w:kern w:val="0"/>
          <w:sz w:val="48"/>
          <w:szCs w:val="48"/>
        </w:rPr>
      </w:pPr>
      <w:r>
        <w:rPr>
          <w:rFonts w:hAnsi="方正小标宋简体" w:eastAsia="方正小标宋简体"/>
          <w:w w:val="120"/>
          <w:kern w:val="0"/>
          <w:sz w:val="48"/>
          <w:szCs w:val="48"/>
        </w:rPr>
        <w:t>中华人民共和国国家计量技术规范</w:t>
      </w:r>
    </w:p>
    <w:p w14:paraId="0CD92F53">
      <w:pPr>
        <w:ind w:firstLine="6160" w:firstLineChars="2200"/>
        <w:rPr>
          <w:rFonts w:hint="eastAsia"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>JJF***-20**</w:t>
      </w:r>
    </w:p>
    <w:p w14:paraId="02F946BE">
      <w:pPr>
        <w:jc w:val="center"/>
        <w:rPr>
          <w:rFonts w:eastAsia="黑体"/>
          <w:b/>
          <w:kern w:val="0"/>
          <w:sz w:val="52"/>
        </w:rPr>
      </w:pPr>
      <w:r>
        <w:rPr>
          <w:rFonts w:eastAsia="黑体"/>
          <w:kern w:val="0"/>
          <w:sz w:val="28"/>
          <w:szCs w:val="20"/>
        </w:rPr>
        <w:pict>
          <v:line id="Line 33" o:spid="_x0000_s2050" o:spt="20" style="position:absolute;left:0pt;margin-left:0pt;margin-top:7.95pt;height:0pt;width:467.7pt;z-index:2516613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 w14:paraId="301B945B">
      <w:pPr>
        <w:jc w:val="center"/>
        <w:rPr>
          <w:rFonts w:eastAsia="黑体"/>
          <w:b/>
          <w:kern w:val="0"/>
          <w:sz w:val="52"/>
        </w:rPr>
      </w:pPr>
    </w:p>
    <w:p w14:paraId="2D173CC8">
      <w:pPr>
        <w:autoSpaceDE w:val="0"/>
        <w:autoSpaceDN w:val="0"/>
        <w:spacing w:line="607" w:lineRule="exact"/>
        <w:jc w:val="center"/>
        <w:rPr>
          <w:rFonts w:hint="eastAsia" w:ascii="黑体" w:hAnsi="黑体" w:eastAsia="黑体"/>
          <w:b/>
          <w:bCs/>
          <w:kern w:val="0"/>
          <w:sz w:val="52"/>
        </w:rPr>
      </w:pPr>
      <w:r>
        <w:rPr>
          <w:rFonts w:ascii="黑体" w:hAnsi="黑体" w:eastAsia="黑体"/>
          <w:color w:val="000000"/>
          <w:kern w:val="0"/>
          <w:sz w:val="52"/>
        </w:rPr>
        <w:t>机动式叉车秤校准规范</w:t>
      </w:r>
    </w:p>
    <w:p w14:paraId="6F838757">
      <w:pPr>
        <w:jc w:val="center"/>
        <w:rPr>
          <w:rFonts w:hint="eastAsia" w:ascii="黑体" w:hAnsi="黑体" w:eastAsia="黑体"/>
          <w:kern w:val="0"/>
          <w:szCs w:val="20"/>
        </w:rPr>
      </w:pPr>
      <w:r>
        <w:rPr>
          <w:rFonts w:ascii="黑体" w:hAnsi="黑体" w:eastAsia="黑体"/>
          <w:kern w:val="0"/>
          <w:sz w:val="28"/>
          <w:szCs w:val="28"/>
        </w:rPr>
        <w:t xml:space="preserve"> Calibration Specification of </w:t>
      </w:r>
      <w:r>
        <w:rPr>
          <w:rFonts w:hint="eastAsia" w:ascii="黑体" w:hAnsi="黑体" w:eastAsia="黑体"/>
          <w:kern w:val="0"/>
          <w:sz w:val="28"/>
          <w:szCs w:val="28"/>
        </w:rPr>
        <w:t>M</w:t>
      </w:r>
      <w:r>
        <w:rPr>
          <w:rFonts w:ascii="黑体" w:hAnsi="黑体" w:eastAsia="黑体"/>
          <w:kern w:val="0"/>
          <w:sz w:val="28"/>
          <w:szCs w:val="28"/>
        </w:rPr>
        <w:t xml:space="preserve">obile </w:t>
      </w:r>
      <w:r>
        <w:rPr>
          <w:rFonts w:hint="eastAsia" w:ascii="黑体" w:hAnsi="黑体" w:eastAsia="黑体"/>
          <w:kern w:val="0"/>
          <w:sz w:val="28"/>
          <w:szCs w:val="28"/>
        </w:rPr>
        <w:t>F</w:t>
      </w:r>
      <w:r>
        <w:rPr>
          <w:rFonts w:ascii="黑体" w:hAnsi="黑体" w:eastAsia="黑体"/>
          <w:kern w:val="0"/>
          <w:sz w:val="28"/>
          <w:szCs w:val="28"/>
        </w:rPr>
        <w:t xml:space="preserve">orklift </w:t>
      </w:r>
      <w:r>
        <w:rPr>
          <w:rFonts w:hint="eastAsia" w:ascii="黑体" w:hAnsi="黑体" w:eastAsia="黑体"/>
          <w:kern w:val="0"/>
          <w:sz w:val="28"/>
          <w:szCs w:val="28"/>
        </w:rPr>
        <w:t>S</w:t>
      </w:r>
      <w:r>
        <w:rPr>
          <w:rFonts w:ascii="黑体" w:hAnsi="黑体" w:eastAsia="黑体"/>
          <w:kern w:val="0"/>
          <w:sz w:val="28"/>
          <w:szCs w:val="28"/>
        </w:rPr>
        <w:t>cales</w:t>
      </w:r>
    </w:p>
    <w:p w14:paraId="23EC07C6">
      <w:pPr>
        <w:jc w:val="center"/>
        <w:rPr>
          <w:kern w:val="0"/>
          <w:sz w:val="32"/>
          <w:szCs w:val="32"/>
        </w:rPr>
      </w:pPr>
      <w:r>
        <w:rPr>
          <w:kern w:val="0"/>
          <w:sz w:val="32"/>
          <w:szCs w:val="32"/>
        </w:rPr>
        <w:t>（</w:t>
      </w:r>
      <w:r>
        <w:rPr>
          <w:rFonts w:hint="eastAsia"/>
          <w:kern w:val="0"/>
          <w:sz w:val="32"/>
          <w:szCs w:val="32"/>
          <w:lang w:val="en-US" w:eastAsia="zh-CN"/>
        </w:rPr>
        <w:t>征求意见</w:t>
      </w:r>
      <w:r>
        <w:rPr>
          <w:kern w:val="0"/>
          <w:sz w:val="32"/>
          <w:szCs w:val="32"/>
        </w:rPr>
        <w:t>稿）</w:t>
      </w:r>
    </w:p>
    <w:p w14:paraId="30F2F173">
      <w:pPr>
        <w:rPr>
          <w:kern w:val="0"/>
          <w:szCs w:val="20"/>
        </w:rPr>
      </w:pPr>
    </w:p>
    <w:p w14:paraId="73259D4B">
      <w:pPr>
        <w:spacing w:line="360" w:lineRule="auto"/>
        <w:rPr>
          <w:kern w:val="0"/>
          <w:szCs w:val="20"/>
        </w:rPr>
      </w:pPr>
    </w:p>
    <w:p w14:paraId="05104242">
      <w:pPr>
        <w:spacing w:line="360" w:lineRule="auto"/>
        <w:rPr>
          <w:kern w:val="0"/>
          <w:szCs w:val="20"/>
        </w:rPr>
      </w:pPr>
    </w:p>
    <w:p w14:paraId="5BCA82C4">
      <w:pPr>
        <w:spacing w:line="360" w:lineRule="auto"/>
        <w:rPr>
          <w:kern w:val="0"/>
          <w:szCs w:val="20"/>
        </w:rPr>
      </w:pPr>
    </w:p>
    <w:p w14:paraId="03077A2A">
      <w:pPr>
        <w:spacing w:line="360" w:lineRule="auto"/>
        <w:rPr>
          <w:kern w:val="0"/>
          <w:szCs w:val="20"/>
        </w:rPr>
      </w:pPr>
    </w:p>
    <w:p w14:paraId="50E65262">
      <w:pPr>
        <w:spacing w:line="360" w:lineRule="auto"/>
        <w:rPr>
          <w:kern w:val="0"/>
          <w:szCs w:val="20"/>
        </w:rPr>
      </w:pPr>
    </w:p>
    <w:p w14:paraId="2EF34B21">
      <w:pPr>
        <w:spacing w:line="360" w:lineRule="auto"/>
        <w:rPr>
          <w:kern w:val="0"/>
          <w:szCs w:val="20"/>
        </w:rPr>
      </w:pPr>
    </w:p>
    <w:p w14:paraId="4695ED15">
      <w:pPr>
        <w:rPr>
          <w:kern w:val="0"/>
          <w:szCs w:val="20"/>
        </w:rPr>
      </w:pPr>
    </w:p>
    <w:p w14:paraId="00B50C09">
      <w:pPr>
        <w:rPr>
          <w:rFonts w:eastAsia="黑体"/>
          <w:kern w:val="0"/>
          <w:sz w:val="28"/>
          <w:szCs w:val="20"/>
        </w:rPr>
      </w:pPr>
    </w:p>
    <w:p w14:paraId="3C9B5ABC">
      <w:pPr>
        <w:rPr>
          <w:rFonts w:eastAsia="黑体"/>
          <w:kern w:val="0"/>
          <w:sz w:val="28"/>
        </w:rPr>
      </w:pPr>
    </w:p>
    <w:p w14:paraId="5AE2C1EA">
      <w:pPr>
        <w:rPr>
          <w:rFonts w:eastAsia="黑体"/>
          <w:kern w:val="0"/>
          <w:sz w:val="28"/>
        </w:rPr>
      </w:pPr>
    </w:p>
    <w:p w14:paraId="2EF4B13F">
      <w:pPr>
        <w:rPr>
          <w:rFonts w:eastAsia="黑体"/>
          <w:kern w:val="0"/>
          <w:sz w:val="28"/>
        </w:rPr>
      </w:pPr>
    </w:p>
    <w:p w14:paraId="7C407FBF">
      <w:pPr>
        <w:rPr>
          <w:rFonts w:hint="eastAsia" w:ascii="黑体" w:hAnsi="黑体" w:eastAsia="黑体"/>
          <w:kern w:val="0"/>
          <w:szCs w:val="28"/>
          <w:u w:val="single"/>
        </w:rPr>
      </w:pPr>
      <w:r>
        <w:rPr>
          <w:rFonts w:eastAsia="黑体"/>
          <w:kern w:val="0"/>
          <w:sz w:val="28"/>
          <w:szCs w:val="28"/>
        </w:rPr>
        <w:t xml:space="preserve">  </w:t>
      </w:r>
      <w:r>
        <w:rPr>
          <w:rFonts w:hint="eastAsia" w:eastAsia="黑体"/>
          <w:kern w:val="0"/>
          <w:sz w:val="28"/>
          <w:szCs w:val="28"/>
        </w:rPr>
        <w:t xml:space="preserve">   </w:t>
      </w:r>
      <w:r>
        <w:rPr>
          <w:rFonts w:ascii="黑体" w:hAnsi="黑体" w:eastAsia="黑体"/>
          <w:kern w:val="0"/>
          <w:sz w:val="28"/>
          <w:szCs w:val="28"/>
        </w:rPr>
        <w:t>20**-**-**</w:t>
      </w:r>
      <w:r>
        <w:rPr>
          <w:rFonts w:ascii="黑体" w:hAnsi="黑体" w:eastAsia="黑体"/>
          <w:b/>
          <w:bCs/>
          <w:kern w:val="0"/>
          <w:sz w:val="28"/>
          <w:szCs w:val="28"/>
        </w:rPr>
        <w:t xml:space="preserve">发布                       </w:t>
      </w:r>
      <w:r>
        <w:rPr>
          <w:rFonts w:ascii="黑体" w:hAnsi="黑体" w:eastAsia="黑体"/>
          <w:kern w:val="0"/>
          <w:sz w:val="28"/>
          <w:szCs w:val="28"/>
        </w:rPr>
        <w:t>20**-**-**</w:t>
      </w:r>
      <w:r>
        <w:rPr>
          <w:rFonts w:ascii="黑体" w:hAnsi="黑体" w:eastAsia="黑体"/>
          <w:b/>
          <w:bCs/>
          <w:kern w:val="0"/>
          <w:sz w:val="28"/>
          <w:szCs w:val="28"/>
        </w:rPr>
        <w:t>实施</w:t>
      </w:r>
    </w:p>
    <w:p w14:paraId="5171B5A0">
      <w:pPr>
        <w:jc w:val="center"/>
        <w:rPr>
          <w:rFonts w:eastAsia="黑体"/>
          <w:b/>
          <w:bCs/>
          <w:kern w:val="0"/>
          <w:sz w:val="24"/>
          <w:szCs w:val="36"/>
        </w:rPr>
      </w:pPr>
      <w:r>
        <w:rPr>
          <w:rFonts w:eastAsia="方正小标宋_GBK"/>
          <w:kern w:val="0"/>
          <w:sz w:val="44"/>
          <w:szCs w:val="44"/>
        </w:rPr>
        <w:pict>
          <v:line id="Line 34" o:spid="_x0000_s2081" o:spt="20" style="position:absolute;left:0pt;margin-left:9pt;margin-top:0pt;height:0pt;width:405pt;z-index:251661312;mso-width-relative:page;mso-height-relative:page;" coordsize="21600,21600" o:gfxdata="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FgAAAGRycy9Q&#10;SwECFAAUAAAACACHTuJAnzDDttAAAAAEAQAADwAAAAAAAAABACAAAAA4AAAAZHJzL2Rvd25yZXYu&#10;eG1sUEsBAhQAFAAAAAgAh07iQEyJjqq0AQAAYAMAAA4AAAAAAAAAAQAgAAAANQEAAGRycy9lMm9E&#10;b2MueG1sUEsFBgAAAAAGAAYAWQEAAFs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Ansi="方正小标宋_GBK" w:eastAsia="方正小标宋_GBK"/>
          <w:bCs/>
          <w:kern w:val="0"/>
          <w:sz w:val="44"/>
          <w:szCs w:val="44"/>
        </w:rPr>
        <w:t>国家市场监督管理局</w:t>
      </w:r>
      <w:r>
        <w:rPr>
          <w:rFonts w:hint="eastAsia" w:hAnsi="方正小标宋_GBK" w:eastAsia="方正小标宋_GBK"/>
          <w:bCs/>
          <w:kern w:val="0"/>
          <w:sz w:val="44"/>
          <w:szCs w:val="44"/>
        </w:rPr>
        <w:t xml:space="preserve"> </w:t>
      </w:r>
      <w:r>
        <w:rPr>
          <w:rFonts w:ascii="黑体" w:hAnsi="黑体" w:eastAsia="黑体"/>
          <w:b/>
          <w:bCs/>
          <w:kern w:val="0"/>
          <w:sz w:val="24"/>
          <w:szCs w:val="36"/>
        </w:rPr>
        <w:t>发</w:t>
      </w:r>
      <w:r>
        <w:rPr>
          <w:rFonts w:hint="eastAsia" w:ascii="黑体" w:hAnsi="黑体" w:eastAsia="黑体"/>
          <w:b/>
          <w:bCs/>
          <w:kern w:val="0"/>
          <w:sz w:val="24"/>
          <w:szCs w:val="36"/>
        </w:rPr>
        <w:t xml:space="preserve"> </w:t>
      </w:r>
      <w:r>
        <w:rPr>
          <w:rFonts w:ascii="黑体" w:hAnsi="黑体" w:eastAsia="黑体"/>
          <w:b/>
          <w:bCs/>
          <w:kern w:val="0"/>
          <w:sz w:val="24"/>
          <w:szCs w:val="36"/>
        </w:rPr>
        <w:t>布</w:t>
      </w:r>
    </w:p>
    <w:p w14:paraId="1251A30E">
      <w:pPr>
        <w:rPr>
          <w:rFonts w:eastAsia="方正小标宋_GBK"/>
          <w:kern w:val="0"/>
          <w:sz w:val="20"/>
        </w:rPr>
      </w:pPr>
    </w:p>
    <w:p w14:paraId="5BD22D07">
      <w:pPr>
        <w:jc w:val="center"/>
        <w:rPr>
          <w:rFonts w:eastAsia="方正小标宋_GBK"/>
          <w:kern w:val="0"/>
          <w:sz w:val="20"/>
        </w:rPr>
      </w:pPr>
    </w:p>
    <w:p w14:paraId="60E90116">
      <w:pPr>
        <w:tabs>
          <w:tab w:val="left" w:pos="9252"/>
        </w:tabs>
        <w:spacing w:before="156" w:beforeLines="50" w:after="156" w:afterLines="50" w:line="800" w:lineRule="exact"/>
        <w:ind w:right="-647" w:rightChars="-308" w:firstLine="315" w:firstLineChars="150"/>
        <w:rPr>
          <w:rFonts w:hint="eastAsia" w:ascii="黑体" w:hAnsi="黑体" w:eastAsia="黑体"/>
          <w:kern w:val="0"/>
          <w:sz w:val="44"/>
          <w:szCs w:val="48"/>
        </w:rPr>
      </w:pPr>
      <w:r>
        <w:rPr>
          <w:rFonts w:ascii="黑体" w:hAnsi="黑体" w:eastAsia="黑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3810000</wp:posOffset>
            </wp:positionH>
            <wp:positionV relativeFrom="page">
              <wp:posOffset>1421130</wp:posOffset>
            </wp:positionV>
            <wp:extent cx="1643380" cy="793115"/>
            <wp:effectExtent l="0" t="0" r="0" b="6985"/>
            <wp:wrapSquare wrapText="bothSides"/>
            <wp:docPr id="201858619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586196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</w:rPr>
        <w:pict>
          <v:shape id="文本框 2" o:spid="_x0000_s2111" o:spt="202" type="#_x0000_t202" style="position:absolute;left:0pt;margin-left:312.4pt;margin-top:35.6pt;height:34.35pt;width:101.05pt;mso-wrap-distance-bottom:3.6pt;mso-wrap-distance-left:9pt;mso-wrap-distance-right:9pt;mso-wrap-distance-top:3.6pt;z-index:251662336;mso-width-relative:margin;mso-height-relative:margin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 w14:paraId="19144038">
                  <w:pPr>
                    <w:rPr>
                      <w:rFonts w:hint="eastAsia" w:ascii="黑体" w:hAnsi="黑体" w:eastAsia="黑体"/>
                      <w:sz w:val="28"/>
                      <w:szCs w:val="28"/>
                    </w:rPr>
                  </w:pPr>
                  <w:r>
                    <w:rPr>
                      <w:rFonts w:hint="eastAsia" w:ascii="黑体" w:hAnsi="黑体" w:eastAsia="黑体"/>
                      <w:sz w:val="28"/>
                      <w:szCs w:val="28"/>
                    </w:rPr>
                    <w:t>JJF***-20**</w:t>
                  </w:r>
                </w:p>
              </w:txbxContent>
            </v:textbox>
            <w10:wrap type="square"/>
          </v:shape>
        </w:pict>
      </w:r>
      <w:r>
        <w:rPr>
          <w:rFonts w:ascii="黑体" w:hAnsi="黑体" w:eastAsia="黑体"/>
          <w:kern w:val="0"/>
          <w:sz w:val="44"/>
          <w:szCs w:val="48"/>
        </w:rPr>
        <w:t>机动式叉车秤校准规范</w:t>
      </w:r>
    </w:p>
    <w:p w14:paraId="65DBA140">
      <w:pPr>
        <w:ind w:firstLine="840" w:firstLineChars="300"/>
        <w:rPr>
          <w:rFonts w:hint="eastAsia"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 xml:space="preserve">Calibration Specification of </w:t>
      </w:r>
    </w:p>
    <w:p w14:paraId="35C6028C">
      <w:pPr>
        <w:ind w:firstLine="1120" w:firstLineChars="400"/>
        <w:rPr>
          <w:rFonts w:hint="eastAsia"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/>
          <w:kern w:val="0"/>
          <w:sz w:val="28"/>
          <w:szCs w:val="28"/>
        </w:rPr>
        <w:t>M</w:t>
      </w:r>
      <w:r>
        <w:rPr>
          <w:rFonts w:ascii="黑体" w:hAnsi="黑体" w:eastAsia="黑体"/>
          <w:kern w:val="0"/>
          <w:sz w:val="28"/>
          <w:szCs w:val="28"/>
        </w:rPr>
        <w:t xml:space="preserve">obile </w:t>
      </w:r>
      <w:r>
        <w:rPr>
          <w:rFonts w:hint="eastAsia" w:ascii="黑体" w:hAnsi="黑体" w:eastAsia="黑体"/>
          <w:kern w:val="0"/>
          <w:sz w:val="28"/>
          <w:szCs w:val="28"/>
        </w:rPr>
        <w:t>F</w:t>
      </w:r>
      <w:r>
        <w:rPr>
          <w:rFonts w:ascii="黑体" w:hAnsi="黑体" w:eastAsia="黑体"/>
          <w:kern w:val="0"/>
          <w:sz w:val="28"/>
          <w:szCs w:val="28"/>
        </w:rPr>
        <w:t xml:space="preserve">orklift </w:t>
      </w:r>
      <w:r>
        <w:rPr>
          <w:rFonts w:hint="eastAsia" w:ascii="黑体" w:hAnsi="黑体" w:eastAsia="黑体"/>
          <w:kern w:val="0"/>
          <w:sz w:val="28"/>
          <w:szCs w:val="28"/>
        </w:rPr>
        <w:t>S</w:t>
      </w:r>
      <w:r>
        <w:rPr>
          <w:rFonts w:ascii="黑体" w:hAnsi="黑体" w:eastAsia="黑体"/>
          <w:kern w:val="0"/>
          <w:sz w:val="28"/>
          <w:szCs w:val="28"/>
        </w:rPr>
        <w:t>cales</w:t>
      </w:r>
    </w:p>
    <w:p w14:paraId="085C76BA">
      <w:pPr>
        <w:rPr>
          <w:kern w:val="0"/>
        </w:rPr>
      </w:pPr>
    </w:p>
    <w:p w14:paraId="5E436415">
      <w:pPr>
        <w:rPr>
          <w:kern w:val="0"/>
        </w:rPr>
      </w:pPr>
      <w:r>
        <w:rPr>
          <w:kern w:val="0"/>
        </w:rPr>
        <w:pict>
          <v:line id="Line 3" o:spid="_x0000_s2079" o:spt="20" style="position:absolute;left:0pt;flip:y;margin-left:-2.25pt;margin-top:4pt;height:0pt;width:432pt;z-index:251660288;mso-width-relative:page;mso-height-relative:page;" coordsize="21600,21600" o:gfxdata="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BYA&#10;AABkcnMvUEsBAhQAFAAAAAgAh07iQBijX6zSAAAABgEAAA8AAAAAAAAAAQAgAAAAOAAAAGRycy9k&#10;b3ducmV2LnhtbFBLAQIUABQAAAAIAIdO4kAI+qwguQEAAGkDAAAOAAAAAAAAAAEAIAAAADcBAABk&#10;cnMvZTJvRG9jLnhtbFBLBQYAAAAABgAGAFkBAABiBQAAAAA=&#10;">
            <v:path arrowok="t"/>
            <v:fill focussize="0,0"/>
            <v:stroke/>
            <v:imagedata o:title=""/>
            <o:lock v:ext="edit"/>
          </v:line>
        </w:pict>
      </w:r>
    </w:p>
    <w:p w14:paraId="5A636167">
      <w:pPr>
        <w:pStyle w:val="21"/>
        <w:spacing w:line="500" w:lineRule="exact"/>
        <w:ind w:firstLine="560" w:firstLineChars="200"/>
        <w:rPr>
          <w:rFonts w:hint="default" w:ascii="Times New Roman" w:hAnsi="Times New Roman"/>
          <w:kern w:val="0"/>
          <w:sz w:val="28"/>
          <w:szCs w:val="28"/>
        </w:rPr>
      </w:pPr>
      <w:r>
        <w:rPr>
          <w:rFonts w:hint="default" w:ascii="Times New Roman" w:hAnsi="宋体"/>
          <w:kern w:val="0"/>
          <w:sz w:val="28"/>
          <w:szCs w:val="28"/>
        </w:rPr>
        <w:t>本规范经国家市场监督管理局于</w:t>
      </w:r>
      <w:r>
        <w:rPr>
          <w:rFonts w:hint="default" w:ascii="Times New Roman" w:hAnsi="Times New Roman"/>
          <w:kern w:val="0"/>
          <w:sz w:val="28"/>
          <w:szCs w:val="28"/>
        </w:rPr>
        <w:t>****</w:t>
      </w:r>
      <w:r>
        <w:rPr>
          <w:rFonts w:hint="default" w:ascii="Times New Roman" w:hAnsi="宋体"/>
          <w:kern w:val="0"/>
          <w:sz w:val="28"/>
          <w:szCs w:val="28"/>
        </w:rPr>
        <w:t>年</w:t>
      </w:r>
      <w:r>
        <w:rPr>
          <w:rFonts w:hint="default" w:ascii="Times New Roman" w:hAnsi="Times New Roman"/>
          <w:kern w:val="0"/>
          <w:sz w:val="28"/>
          <w:szCs w:val="28"/>
        </w:rPr>
        <w:t>**</w:t>
      </w:r>
      <w:r>
        <w:rPr>
          <w:rFonts w:hint="default" w:ascii="Times New Roman" w:hAnsi="宋体"/>
          <w:kern w:val="0"/>
          <w:sz w:val="28"/>
          <w:szCs w:val="28"/>
        </w:rPr>
        <w:t>月</w:t>
      </w:r>
      <w:r>
        <w:rPr>
          <w:rFonts w:hint="default" w:ascii="Times New Roman" w:hAnsi="Times New Roman"/>
          <w:kern w:val="0"/>
          <w:sz w:val="28"/>
          <w:szCs w:val="28"/>
        </w:rPr>
        <w:t>**</w:t>
      </w:r>
      <w:r>
        <w:rPr>
          <w:rFonts w:hint="default" w:ascii="Times New Roman" w:hAnsi="宋体"/>
          <w:kern w:val="0"/>
          <w:sz w:val="28"/>
          <w:szCs w:val="28"/>
        </w:rPr>
        <w:t>日批准，并自</w:t>
      </w:r>
      <w:r>
        <w:rPr>
          <w:rFonts w:hint="default" w:ascii="Times New Roman" w:hAnsi="Times New Roman"/>
          <w:kern w:val="0"/>
          <w:sz w:val="28"/>
          <w:szCs w:val="28"/>
        </w:rPr>
        <w:t>20xx</w:t>
      </w:r>
      <w:r>
        <w:rPr>
          <w:rFonts w:hint="default" w:ascii="Times New Roman" w:hAnsi="宋体"/>
          <w:kern w:val="0"/>
          <w:sz w:val="28"/>
          <w:szCs w:val="28"/>
        </w:rPr>
        <w:t>年</w:t>
      </w:r>
      <w:r>
        <w:rPr>
          <w:rFonts w:hint="default" w:ascii="Times New Roman" w:hAnsi="Times New Roman"/>
          <w:kern w:val="0"/>
          <w:sz w:val="28"/>
          <w:szCs w:val="28"/>
        </w:rPr>
        <w:t>**</w:t>
      </w:r>
      <w:r>
        <w:rPr>
          <w:rFonts w:hint="default" w:ascii="Times New Roman" w:hAnsi="宋体"/>
          <w:kern w:val="0"/>
          <w:sz w:val="28"/>
          <w:szCs w:val="28"/>
        </w:rPr>
        <w:t>月</w:t>
      </w:r>
      <w:r>
        <w:rPr>
          <w:rFonts w:hint="default" w:ascii="Times New Roman" w:hAnsi="Times New Roman"/>
          <w:kern w:val="0"/>
          <w:sz w:val="28"/>
          <w:szCs w:val="28"/>
        </w:rPr>
        <w:t>**</w:t>
      </w:r>
      <w:r>
        <w:rPr>
          <w:rFonts w:hint="default" w:ascii="Times New Roman" w:hAnsi="宋体"/>
          <w:kern w:val="0"/>
          <w:sz w:val="28"/>
          <w:szCs w:val="28"/>
        </w:rPr>
        <w:t>日起施行。</w:t>
      </w:r>
    </w:p>
    <w:p w14:paraId="319C9C36">
      <w:pPr>
        <w:pStyle w:val="21"/>
        <w:rPr>
          <w:rFonts w:hint="default" w:ascii="Times New Roman" w:hAnsi="Times New Roman" w:eastAsia="仿宋_GB2312"/>
          <w:kern w:val="0"/>
          <w:sz w:val="24"/>
          <w:szCs w:val="28"/>
        </w:rPr>
      </w:pPr>
    </w:p>
    <w:p w14:paraId="60219DC1">
      <w:pPr>
        <w:pStyle w:val="21"/>
        <w:rPr>
          <w:rFonts w:hint="default" w:ascii="Times New Roman" w:hAnsi="Times New Roman"/>
          <w:kern w:val="0"/>
          <w:sz w:val="24"/>
        </w:rPr>
      </w:pPr>
    </w:p>
    <w:p w14:paraId="04ADE2AA">
      <w:pPr>
        <w:pStyle w:val="21"/>
        <w:rPr>
          <w:rFonts w:hint="default" w:ascii="Times New Roman" w:hAnsi="Times New Roman"/>
          <w:kern w:val="0"/>
          <w:sz w:val="24"/>
        </w:rPr>
      </w:pPr>
    </w:p>
    <w:p w14:paraId="1DDD364D">
      <w:pPr>
        <w:pStyle w:val="21"/>
        <w:rPr>
          <w:rFonts w:hint="default" w:ascii="Times New Roman" w:hAnsi="Times New Roman"/>
          <w:kern w:val="0"/>
          <w:sz w:val="24"/>
        </w:rPr>
      </w:pPr>
    </w:p>
    <w:p w14:paraId="4A78F7B2">
      <w:pPr>
        <w:pStyle w:val="21"/>
        <w:rPr>
          <w:rFonts w:hint="default" w:ascii="Times New Roman" w:hAnsi="Times New Roman"/>
          <w:kern w:val="0"/>
          <w:sz w:val="24"/>
        </w:rPr>
      </w:pPr>
    </w:p>
    <w:p w14:paraId="1DC34BB2">
      <w:pPr>
        <w:pStyle w:val="21"/>
        <w:rPr>
          <w:rFonts w:hint="default" w:ascii="Times New Roman" w:hAnsi="Times New Roman"/>
          <w:kern w:val="0"/>
          <w:sz w:val="24"/>
        </w:rPr>
      </w:pPr>
    </w:p>
    <w:p w14:paraId="683BB1F2">
      <w:pPr>
        <w:pStyle w:val="21"/>
        <w:rPr>
          <w:rFonts w:hint="default" w:ascii="Times New Roman" w:hAnsi="Times New Roman"/>
          <w:kern w:val="0"/>
          <w:sz w:val="24"/>
        </w:rPr>
      </w:pPr>
    </w:p>
    <w:p w14:paraId="5526794A">
      <w:pPr>
        <w:pStyle w:val="21"/>
        <w:rPr>
          <w:rFonts w:hint="default" w:ascii="Times New Roman" w:hAnsi="Times New Roman"/>
          <w:kern w:val="0"/>
          <w:sz w:val="24"/>
        </w:rPr>
      </w:pPr>
    </w:p>
    <w:p w14:paraId="4007E6B2">
      <w:pPr>
        <w:pStyle w:val="21"/>
        <w:rPr>
          <w:rFonts w:hint="default" w:ascii="Times New Roman" w:hAnsi="Times New Roman"/>
          <w:kern w:val="0"/>
          <w:sz w:val="24"/>
        </w:rPr>
      </w:pPr>
    </w:p>
    <w:p w14:paraId="0A2A1A34">
      <w:pPr>
        <w:pStyle w:val="21"/>
        <w:rPr>
          <w:rFonts w:hint="default" w:ascii="Times New Roman" w:hAnsi="Times New Roman"/>
          <w:kern w:val="0"/>
          <w:sz w:val="24"/>
        </w:rPr>
      </w:pPr>
    </w:p>
    <w:p w14:paraId="0C3BE0B6">
      <w:pPr>
        <w:pStyle w:val="21"/>
        <w:ind w:firstLine="560" w:firstLineChars="200"/>
        <w:jc w:val="left"/>
        <w:rPr>
          <w:rFonts w:ascii="黑体" w:hAnsi="黑体" w:eastAsia="黑体"/>
          <w:kern w:val="0"/>
          <w:sz w:val="28"/>
          <w:szCs w:val="24"/>
        </w:rPr>
      </w:pPr>
      <w:r>
        <w:rPr>
          <w:rFonts w:hint="default" w:ascii="黑体" w:hAnsi="黑体" w:eastAsia="黑体"/>
          <w:kern w:val="0"/>
          <w:sz w:val="28"/>
        </w:rPr>
        <w:t>归</w:t>
      </w:r>
      <w:r>
        <w:rPr>
          <w:rFonts w:ascii="黑体" w:hAnsi="黑体" w:eastAsia="黑体"/>
          <w:kern w:val="0"/>
          <w:sz w:val="28"/>
        </w:rPr>
        <w:t xml:space="preserve">  </w:t>
      </w:r>
      <w:r>
        <w:rPr>
          <w:rFonts w:hint="default" w:ascii="黑体" w:hAnsi="黑体" w:eastAsia="黑体"/>
          <w:kern w:val="0"/>
          <w:sz w:val="28"/>
        </w:rPr>
        <w:t>口</w:t>
      </w:r>
      <w:r>
        <w:rPr>
          <w:rFonts w:ascii="黑体" w:hAnsi="黑体" w:eastAsia="黑体"/>
          <w:kern w:val="0"/>
          <w:sz w:val="28"/>
        </w:rPr>
        <w:t xml:space="preserve"> </w:t>
      </w:r>
      <w:r>
        <w:rPr>
          <w:rFonts w:hint="default" w:ascii="黑体" w:hAnsi="黑体" w:eastAsia="黑体"/>
          <w:kern w:val="0"/>
          <w:sz w:val="28"/>
        </w:rPr>
        <w:t>单</w:t>
      </w:r>
      <w:r>
        <w:rPr>
          <w:rFonts w:ascii="黑体" w:hAnsi="黑体" w:eastAsia="黑体"/>
          <w:kern w:val="0"/>
          <w:sz w:val="28"/>
        </w:rPr>
        <w:t xml:space="preserve"> </w:t>
      </w:r>
      <w:r>
        <w:rPr>
          <w:rFonts w:hint="default" w:ascii="黑体" w:hAnsi="黑体" w:eastAsia="黑体"/>
          <w:kern w:val="0"/>
          <w:sz w:val="28"/>
        </w:rPr>
        <w:t>位：     全国衡器计量技术委员会</w:t>
      </w:r>
    </w:p>
    <w:p w14:paraId="702852D9">
      <w:pPr>
        <w:pStyle w:val="21"/>
        <w:ind w:firstLine="537" w:firstLineChars="192"/>
        <w:jc w:val="left"/>
        <w:rPr>
          <w:rFonts w:ascii="黑体" w:hAnsi="黑体" w:eastAsia="黑体"/>
          <w:kern w:val="0"/>
          <w:sz w:val="28"/>
        </w:rPr>
      </w:pPr>
      <w:r>
        <w:rPr>
          <w:rFonts w:hint="default" w:ascii="黑体" w:hAnsi="黑体" w:eastAsia="黑体"/>
          <w:kern w:val="0"/>
          <w:sz w:val="28"/>
        </w:rPr>
        <w:t xml:space="preserve">主要起草单位：  </w:t>
      </w:r>
    </w:p>
    <w:p w14:paraId="55FF3987">
      <w:pPr>
        <w:snapToGrid w:val="0"/>
        <w:spacing w:before="20" w:line="560" w:lineRule="exact"/>
        <w:ind w:right="28" w:firstLine="560" w:firstLineChars="200"/>
        <w:rPr>
          <w:rFonts w:hint="eastAsia" w:ascii="黑体" w:hAnsi="黑体" w:eastAsia="黑体"/>
          <w:kern w:val="0"/>
          <w:sz w:val="28"/>
        </w:rPr>
      </w:pPr>
      <w:r>
        <w:rPr>
          <w:rFonts w:ascii="黑体" w:hAnsi="黑体" w:eastAsia="黑体"/>
          <w:kern w:val="0"/>
          <w:sz w:val="28"/>
        </w:rPr>
        <w:t>参加起草单位：</w:t>
      </w:r>
    </w:p>
    <w:p w14:paraId="3B4EE30F">
      <w:pPr>
        <w:snapToGrid w:val="0"/>
        <w:spacing w:before="20" w:line="560" w:lineRule="exact"/>
        <w:ind w:right="28" w:firstLine="560" w:firstLineChars="200"/>
        <w:rPr>
          <w:rFonts w:hint="eastAsia" w:ascii="黑体" w:hAnsi="黑体" w:eastAsia="黑体"/>
          <w:kern w:val="0"/>
          <w:sz w:val="28"/>
        </w:rPr>
      </w:pPr>
    </w:p>
    <w:p w14:paraId="5C698952">
      <w:pPr>
        <w:snapToGrid w:val="0"/>
        <w:spacing w:before="20" w:line="560" w:lineRule="exact"/>
        <w:ind w:right="28" w:firstLine="560" w:firstLineChars="200"/>
        <w:rPr>
          <w:rFonts w:hint="eastAsia" w:ascii="黑体" w:hAnsi="黑体" w:eastAsia="黑体"/>
          <w:kern w:val="0"/>
          <w:sz w:val="28"/>
        </w:rPr>
      </w:pPr>
    </w:p>
    <w:p w14:paraId="57C5E495">
      <w:pPr>
        <w:pStyle w:val="21"/>
        <w:rPr>
          <w:rFonts w:hint="default" w:ascii="Times New Roman" w:hAnsi="Times New Roman" w:eastAsia="黑体"/>
          <w:kern w:val="0"/>
          <w:sz w:val="28"/>
        </w:rPr>
      </w:pPr>
    </w:p>
    <w:p w14:paraId="5DDF0124">
      <w:pPr>
        <w:pStyle w:val="21"/>
        <w:rPr>
          <w:rFonts w:hint="default" w:ascii="Times New Roman" w:hAnsi="Times New Roman" w:eastAsia="黑体"/>
          <w:kern w:val="0"/>
          <w:sz w:val="28"/>
        </w:rPr>
      </w:pPr>
    </w:p>
    <w:p w14:paraId="4F3BBA30">
      <w:pPr>
        <w:pStyle w:val="21"/>
        <w:rPr>
          <w:rFonts w:hint="default" w:ascii="Times New Roman" w:hAnsi="Times New Roman" w:eastAsia="黑体"/>
          <w:kern w:val="0"/>
          <w:sz w:val="28"/>
        </w:rPr>
      </w:pPr>
    </w:p>
    <w:p w14:paraId="4162A3CC">
      <w:pPr>
        <w:pStyle w:val="21"/>
        <w:rPr>
          <w:rFonts w:hint="default" w:ascii="Times New Roman" w:hAnsi="Times New Roman" w:eastAsia="黑体"/>
          <w:kern w:val="0"/>
          <w:sz w:val="28"/>
        </w:rPr>
      </w:pPr>
    </w:p>
    <w:p w14:paraId="00329338">
      <w:pPr>
        <w:pStyle w:val="21"/>
        <w:jc w:val="center"/>
        <w:rPr>
          <w:rFonts w:hint="default" w:ascii="Times New Roman" w:hAnsi="Times New Roman"/>
          <w:kern w:val="0"/>
          <w:sz w:val="28"/>
          <w:szCs w:val="28"/>
        </w:rPr>
      </w:pPr>
      <w:r>
        <w:rPr>
          <w:rFonts w:hint="default" w:ascii="Times New Roman" w:hAnsi="Times New Roman"/>
          <w:kern w:val="0"/>
          <w:sz w:val="28"/>
          <w:szCs w:val="28"/>
        </w:rPr>
        <w:t>本规范委托全国衡器计量技术委员会负责解释</w:t>
      </w:r>
    </w:p>
    <w:p w14:paraId="2F46711C">
      <w:pPr>
        <w:pStyle w:val="21"/>
        <w:rPr>
          <w:rFonts w:hint="default" w:ascii="Times New Roman" w:hAnsi="Times New Roman"/>
          <w:kern w:val="0"/>
          <w:sz w:val="24"/>
          <w:szCs w:val="24"/>
        </w:rPr>
      </w:pPr>
    </w:p>
    <w:p w14:paraId="3C6E07A1">
      <w:pPr>
        <w:spacing w:line="700" w:lineRule="exact"/>
        <w:rPr>
          <w:rFonts w:eastAsia="黑体"/>
          <w:kern w:val="0"/>
          <w:sz w:val="28"/>
        </w:rPr>
      </w:pPr>
    </w:p>
    <w:p w14:paraId="64278626">
      <w:pPr>
        <w:spacing w:line="700" w:lineRule="exact"/>
        <w:rPr>
          <w:rFonts w:eastAsia="黑体"/>
          <w:kern w:val="0"/>
          <w:sz w:val="28"/>
        </w:rPr>
      </w:pPr>
    </w:p>
    <w:p w14:paraId="5B5257C3">
      <w:pPr>
        <w:spacing w:line="700" w:lineRule="exact"/>
        <w:ind w:firstLine="560" w:firstLineChars="200"/>
        <w:rPr>
          <w:rFonts w:hint="eastAsia" w:ascii="黑体" w:hAnsi="黑体" w:eastAsia="黑体"/>
          <w:kern w:val="0"/>
          <w:sz w:val="28"/>
        </w:rPr>
      </w:pPr>
      <w:r>
        <w:rPr>
          <w:rFonts w:ascii="黑体" w:hAnsi="黑体" w:eastAsia="黑体"/>
          <w:kern w:val="0"/>
          <w:sz w:val="28"/>
        </w:rPr>
        <w:t>本规范主要起草人：</w:t>
      </w:r>
    </w:p>
    <w:p w14:paraId="00FDCCA1">
      <w:pPr>
        <w:spacing w:line="700" w:lineRule="exact"/>
        <w:rPr>
          <w:rFonts w:hint="eastAsia" w:ascii="黑体" w:hAnsi="黑体" w:eastAsia="黑体"/>
          <w:kern w:val="0"/>
          <w:sz w:val="28"/>
        </w:rPr>
      </w:pPr>
    </w:p>
    <w:p w14:paraId="239FE879">
      <w:pPr>
        <w:spacing w:line="700" w:lineRule="exact"/>
        <w:rPr>
          <w:rFonts w:hint="eastAsia" w:ascii="黑体" w:hAnsi="黑体" w:eastAsia="黑体"/>
          <w:kern w:val="0"/>
          <w:sz w:val="28"/>
        </w:rPr>
      </w:pPr>
    </w:p>
    <w:p w14:paraId="48A63556">
      <w:pPr>
        <w:spacing w:line="700" w:lineRule="exact"/>
        <w:ind w:firstLine="1400" w:firstLineChars="500"/>
        <w:rPr>
          <w:rFonts w:hint="eastAsia" w:ascii="黑体" w:hAnsi="黑体" w:eastAsia="黑体"/>
          <w:kern w:val="0"/>
          <w:sz w:val="28"/>
        </w:rPr>
      </w:pPr>
      <w:r>
        <w:rPr>
          <w:rFonts w:ascii="黑体" w:hAnsi="黑体" w:eastAsia="黑体"/>
          <w:kern w:val="0"/>
          <w:sz w:val="28"/>
        </w:rPr>
        <w:t>参加起草人：</w:t>
      </w:r>
    </w:p>
    <w:p w14:paraId="2B58FF3F">
      <w:pPr>
        <w:snapToGrid w:val="0"/>
        <w:spacing w:before="20"/>
        <w:ind w:right="26"/>
        <w:rPr>
          <w:rFonts w:hint="eastAsia" w:ascii="黑体" w:hAnsi="黑体" w:eastAsia="黑体"/>
          <w:color w:val="FF0000"/>
          <w:kern w:val="0"/>
          <w:sz w:val="28"/>
          <w:szCs w:val="20"/>
        </w:rPr>
      </w:pPr>
    </w:p>
    <w:p w14:paraId="1044CB56">
      <w:pPr>
        <w:spacing w:line="700" w:lineRule="exact"/>
        <w:rPr>
          <w:rFonts w:eastAsia="黑体"/>
          <w:kern w:val="0"/>
          <w:sz w:val="28"/>
        </w:rPr>
      </w:pPr>
    </w:p>
    <w:p w14:paraId="3A39659A">
      <w:pPr>
        <w:spacing w:line="700" w:lineRule="exact"/>
        <w:ind w:right="1120"/>
        <w:jc w:val="center"/>
        <w:rPr>
          <w:rFonts w:eastAsia="黑体"/>
          <w:kern w:val="0"/>
          <w:sz w:val="28"/>
        </w:rPr>
      </w:pPr>
    </w:p>
    <w:p w14:paraId="46FBAA19">
      <w:pPr>
        <w:pStyle w:val="21"/>
        <w:spacing w:line="400" w:lineRule="exact"/>
        <w:jc w:val="center"/>
        <w:rPr>
          <w:rFonts w:hint="default" w:ascii="Times New Roman" w:hAnsi="Times New Roman" w:eastAsia="黑体"/>
          <w:kern w:val="0"/>
          <w:sz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18" w:right="1531" w:bottom="1418" w:left="1531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3FB9632A">
      <w:pPr>
        <w:widowControl/>
        <w:jc w:val="left"/>
        <w:rPr>
          <w:rFonts w:eastAsia="黑体"/>
          <w:bCs/>
          <w:kern w:val="0"/>
          <w:sz w:val="28"/>
          <w:szCs w:val="21"/>
        </w:rPr>
      </w:pPr>
      <w:r>
        <w:rPr>
          <w:rFonts w:eastAsia="黑体"/>
          <w:kern w:val="0"/>
          <w:sz w:val="44"/>
          <w:szCs w:val="44"/>
        </w:rPr>
        <w:br w:type="page"/>
      </w:r>
    </w:p>
    <w:p w14:paraId="461E132E">
      <w:pPr>
        <w:pStyle w:val="33"/>
        <w:tabs>
          <w:tab w:val="center" w:pos="4654"/>
          <w:tab w:val="left" w:pos="7652"/>
        </w:tabs>
        <w:outlineLvl w:val="9"/>
        <w:rPr>
          <w:rFonts w:ascii="Times New Roman" w:hAnsi="Times New Roman" w:cs="Times New Roman"/>
          <w:color w:val="FF0000"/>
          <w:kern w:val="0"/>
        </w:rPr>
      </w:pPr>
      <w:r>
        <w:rPr>
          <w:rFonts w:hint="eastAsia" w:ascii="Times New Roman" w:hAnsi="黑体" w:eastAsia="黑体" w:cs="Times New Roman"/>
          <w:kern w:val="0"/>
          <w:sz w:val="44"/>
          <w:szCs w:val="44"/>
        </w:rPr>
        <w:t xml:space="preserve">       </w:t>
      </w:r>
      <w:r>
        <w:rPr>
          <w:rFonts w:ascii="Times New Roman" w:hAnsi="黑体" w:eastAsia="黑体" w:cs="Times New Roman"/>
          <w:kern w:val="0"/>
          <w:sz w:val="44"/>
          <w:szCs w:val="44"/>
        </w:rPr>
        <w:t>目</w:t>
      </w:r>
      <w:r>
        <w:rPr>
          <w:rFonts w:ascii="Times New Roman" w:hAnsi="Times New Roman" w:eastAsia="黑体" w:cs="Times New Roman"/>
          <w:kern w:val="0"/>
          <w:sz w:val="44"/>
          <w:szCs w:val="44"/>
        </w:rPr>
        <w:t xml:space="preserve">   </w:t>
      </w:r>
      <w:r>
        <w:rPr>
          <w:rFonts w:ascii="Times New Roman" w:hAnsi="黑体" w:eastAsia="黑体" w:cs="Times New Roman"/>
          <w:kern w:val="0"/>
          <w:sz w:val="44"/>
          <w:szCs w:val="44"/>
        </w:rPr>
        <w:t>录</w:t>
      </w:r>
      <w:r>
        <w:rPr>
          <w:rFonts w:ascii="Times New Roman" w:hAnsi="Times New Roman" w:eastAsia="黑体" w:cs="Times New Roman"/>
          <w:kern w:val="0"/>
          <w:sz w:val="44"/>
          <w:szCs w:val="44"/>
        </w:rPr>
        <w:tab/>
      </w:r>
      <w:r>
        <w:rPr>
          <w:rFonts w:ascii="Times New Roman" w:hAnsi="Times New Roman" w:cs="Times New Roman"/>
          <w:color w:val="FF0000"/>
          <w:kern w:val="0"/>
        </w:rPr>
        <w:fldChar w:fldCharType="begin"/>
      </w:r>
      <w:r>
        <w:rPr>
          <w:rFonts w:ascii="Times New Roman" w:hAnsi="Times New Roman" w:cs="Times New Roman"/>
          <w:color w:val="FF0000"/>
          <w:kern w:val="0"/>
        </w:rPr>
        <w:instrText xml:space="preserve">TOC \o "1-2" \h \u </w:instrText>
      </w:r>
      <w:r>
        <w:rPr>
          <w:rFonts w:ascii="Times New Roman" w:hAnsi="Times New Roman" w:cs="Times New Roman"/>
          <w:color w:val="FF0000"/>
          <w:kern w:val="0"/>
        </w:rPr>
        <w:fldChar w:fldCharType="separate"/>
      </w:r>
    </w:p>
    <w:p w14:paraId="0AD2AC26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"_Toc4046"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引   言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（Ⅲ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4F22D883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"_Toc28504"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1 范围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</w:t>
      </w:r>
      <w:r>
        <w:rPr>
          <w:rFonts w:ascii="Times New Roman"/>
          <w:color w:val="000000" w:themeColor="text1"/>
          <w:kern w:val="0"/>
          <w:sz w:val="24"/>
        </w:rPr>
        <w:fldChar w:fldCharType="begin"/>
      </w:r>
      <w:r>
        <w:rPr>
          <w:rFonts w:ascii="Times New Roman"/>
          <w:color w:val="000000" w:themeColor="text1"/>
          <w:kern w:val="0"/>
          <w:sz w:val="24"/>
        </w:rPr>
        <w:instrText xml:space="preserve"> PAGEREF _Toc28504 </w:instrText>
      </w:r>
      <w:r>
        <w:rPr>
          <w:rFonts w:ascii="Times New Roman"/>
          <w:color w:val="000000" w:themeColor="text1"/>
          <w:kern w:val="0"/>
          <w:sz w:val="24"/>
        </w:rP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1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06D907F7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"_Toc9082"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2 引用文件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</w:t>
      </w:r>
      <w:r>
        <w:rPr>
          <w:rFonts w:ascii="Times New Roman"/>
          <w:color w:val="000000" w:themeColor="text1"/>
          <w:kern w:val="0"/>
          <w:sz w:val="24"/>
        </w:rPr>
        <w:fldChar w:fldCharType="begin"/>
      </w:r>
      <w:r>
        <w:rPr>
          <w:rFonts w:ascii="Times New Roman"/>
          <w:color w:val="000000" w:themeColor="text1"/>
          <w:kern w:val="0"/>
          <w:sz w:val="24"/>
        </w:rPr>
        <w:instrText xml:space="preserve"> PAGEREF _Toc9082 </w:instrText>
      </w:r>
      <w:r>
        <w:rPr>
          <w:rFonts w:ascii="Times New Roman"/>
          <w:color w:val="000000" w:themeColor="text1"/>
          <w:kern w:val="0"/>
          <w:sz w:val="24"/>
        </w:rP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1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4F133132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"_Toc15871"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3 术语和计量单位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</w:t>
      </w:r>
      <w:r>
        <w:rPr>
          <w:rFonts w:ascii="Times New Roman"/>
          <w:color w:val="000000" w:themeColor="text1"/>
          <w:kern w:val="0"/>
          <w:sz w:val="24"/>
        </w:rPr>
        <w:fldChar w:fldCharType="begin"/>
      </w:r>
      <w:r>
        <w:rPr>
          <w:rFonts w:ascii="Times New Roman"/>
          <w:color w:val="000000" w:themeColor="text1"/>
          <w:kern w:val="0"/>
          <w:sz w:val="24"/>
        </w:rPr>
        <w:instrText xml:space="preserve"> PAGEREF _Toc15871 </w:instrText>
      </w:r>
      <w:r>
        <w:rPr>
          <w:rFonts w:ascii="Times New Roman"/>
          <w:color w:val="000000" w:themeColor="text1"/>
          <w:kern w:val="0"/>
          <w:sz w:val="24"/>
        </w:rP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1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2E533A49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"_Toc31778"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3.1  术语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</w:t>
      </w:r>
      <w:r>
        <w:rPr>
          <w:rFonts w:ascii="Times New Roman"/>
          <w:color w:val="000000" w:themeColor="text1"/>
          <w:kern w:val="0"/>
          <w:sz w:val="24"/>
        </w:rPr>
        <w:fldChar w:fldCharType="begin"/>
      </w:r>
      <w:r>
        <w:rPr>
          <w:rFonts w:ascii="Times New Roman"/>
          <w:color w:val="000000" w:themeColor="text1"/>
          <w:kern w:val="0"/>
          <w:sz w:val="24"/>
        </w:rPr>
        <w:instrText xml:space="preserve"> PAGEREF _Toc31778 </w:instrText>
      </w:r>
      <w:r>
        <w:rPr>
          <w:rFonts w:ascii="Times New Roman"/>
          <w:color w:val="000000" w:themeColor="text1"/>
          <w:kern w:val="0"/>
          <w:sz w:val="24"/>
        </w:rP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1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49EFC44E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"_Toc14570"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3.2  计量单位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（1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0E4AD09C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"_Toc27359"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4 概述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（1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6731B634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"_Toc31778"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4.1  结构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</w:t>
      </w:r>
      <w:r>
        <w:rPr>
          <w:rFonts w:ascii="Times New Roman"/>
          <w:color w:val="000000" w:themeColor="text1"/>
          <w:kern w:val="0"/>
          <w:sz w:val="24"/>
        </w:rPr>
        <w:fldChar w:fldCharType="begin"/>
      </w:r>
      <w:r>
        <w:rPr>
          <w:rFonts w:ascii="Times New Roman"/>
          <w:color w:val="000000" w:themeColor="text1"/>
          <w:kern w:val="0"/>
          <w:sz w:val="24"/>
        </w:rPr>
        <w:instrText xml:space="preserve"> PAGEREF _Toc31778 </w:instrText>
      </w:r>
      <w:r>
        <w:rPr>
          <w:rFonts w:ascii="Times New Roman"/>
          <w:color w:val="000000" w:themeColor="text1"/>
          <w:kern w:val="0"/>
          <w:sz w:val="24"/>
        </w:rP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1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7927D84E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"_Toc14570"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4.2  原理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（2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08A22C5D">
      <w:pPr>
        <w:pStyle w:val="28"/>
        <w:tabs>
          <w:tab w:val="right" w:leader="dot" w:pos="9061"/>
        </w:tabs>
        <w:spacing w:line="360" w:lineRule="auto"/>
        <w:rPr>
          <w:rFonts w:ascii="Times New Roman"/>
          <w:kern w:val="0"/>
        </w:rPr>
      </w:pPr>
      <w:r>
        <w:fldChar w:fldCharType="begin"/>
      </w:r>
      <w:r>
        <w:instrText xml:space="preserve"> HYPERLINK \l "_Toc31778"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4.1  用途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（2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508CA15C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"_Toc3686"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5 计量特性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</w:t>
      </w:r>
      <w:r>
        <w:rPr>
          <w:rFonts w:ascii="Times New Roman"/>
          <w:color w:val="000000" w:themeColor="text1"/>
          <w:kern w:val="0"/>
          <w:sz w:val="24"/>
        </w:rPr>
        <w:fldChar w:fldCharType="begin"/>
      </w:r>
      <w:r>
        <w:rPr>
          <w:rFonts w:ascii="Times New Roman"/>
          <w:color w:val="000000" w:themeColor="text1"/>
          <w:kern w:val="0"/>
          <w:sz w:val="24"/>
        </w:rPr>
        <w:instrText xml:space="preserve"> PAGEREF _Toc3686 </w:instrText>
      </w:r>
      <w:r>
        <w:rPr>
          <w:rFonts w:ascii="Times New Roman"/>
          <w:color w:val="000000" w:themeColor="text1"/>
          <w:kern w:val="0"/>
          <w:sz w:val="24"/>
        </w:rP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2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6239EB69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"_Toc26792"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6   校准条件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（2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63090A1D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"_Toc12302"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6.1  环境条件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（2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6CD5EBC0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"_Toc24273"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6.2  测量标准及其他设备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（2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65C21032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"_Toc6429"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7  校准项目和校准方法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（3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60F43A49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"_Toc15429"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7.1  校准项目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（3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146CE07C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"_Toc2425"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7.2  校准方法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（3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2FEC9FFB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"_Toc20425"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8  校准结果表达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（5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23C23D19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"_Toc15681"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9  复校时间间隔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（6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6DAEA48C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"_Toc5388"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附录 A   校准原始记录推荐格式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（7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5FEB7F1A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"_Toc18627"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附录 B   校准证书内页推荐格式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（8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6877E62E">
      <w:pPr>
        <w:pStyle w:val="28"/>
        <w:tabs>
          <w:tab w:val="right" w:leader="dot" w:pos="9061"/>
        </w:tabs>
        <w:spacing w:line="360" w:lineRule="auto"/>
        <w:rPr>
          <w:rFonts w:ascii="Times New Roman"/>
          <w:color w:val="000000" w:themeColor="text1"/>
          <w:kern w:val="0"/>
          <w:sz w:val="24"/>
        </w:rPr>
      </w:pPr>
      <w:r>
        <w:fldChar w:fldCharType="begin"/>
      </w:r>
      <w:r>
        <w:instrText xml:space="preserve"> HYPERLINK \l "_Toc26954" </w:instrText>
      </w:r>
      <w:r>
        <w:fldChar w:fldCharType="separate"/>
      </w:r>
      <w:r>
        <w:rPr>
          <w:rFonts w:ascii="Times New Roman"/>
          <w:color w:val="000000" w:themeColor="text1"/>
          <w:kern w:val="0"/>
          <w:sz w:val="24"/>
        </w:rPr>
        <w:t>附录 C   机动式叉车秤测量结果不确定度评定方法</w:t>
      </w:r>
      <w:r>
        <w:rPr>
          <w:rFonts w:ascii="Times New Roman"/>
          <w:color w:val="000000" w:themeColor="text1"/>
          <w:kern w:val="0"/>
          <w:sz w:val="24"/>
        </w:rPr>
        <w:tab/>
      </w:r>
      <w:r>
        <w:rPr>
          <w:rFonts w:ascii="Times New Roman"/>
          <w:color w:val="000000" w:themeColor="text1"/>
          <w:kern w:val="0"/>
          <w:sz w:val="24"/>
        </w:rPr>
        <w:t>（9</w:t>
      </w:r>
      <w:r>
        <w:rPr>
          <w:rFonts w:ascii="Times New Roman"/>
          <w:color w:val="000000" w:themeColor="text1"/>
          <w:kern w:val="0"/>
          <w:sz w:val="24"/>
        </w:rPr>
        <w:fldChar w:fldCharType="end"/>
      </w:r>
      <w:r>
        <w:rPr>
          <w:rFonts w:ascii="Times New Roman"/>
          <w:color w:val="000000" w:themeColor="text1"/>
          <w:kern w:val="0"/>
          <w:sz w:val="24"/>
        </w:rPr>
        <w:t>）</w:t>
      </w:r>
    </w:p>
    <w:p w14:paraId="5AC65577">
      <w:pPr>
        <w:spacing w:line="360" w:lineRule="auto"/>
        <w:rPr>
          <w:kern w:val="0"/>
        </w:rPr>
      </w:pPr>
      <w:r>
        <w:fldChar w:fldCharType="begin"/>
      </w:r>
      <w:r>
        <w:instrText xml:space="preserve"> HYPERLINK \l "_Toc26954" </w:instrText>
      </w:r>
      <w:r>
        <w:fldChar w:fldCharType="separate"/>
      </w:r>
      <w:r>
        <w:rPr>
          <w:color w:val="000000" w:themeColor="text1"/>
          <w:kern w:val="0"/>
          <w:sz w:val="24"/>
        </w:rPr>
        <w:t>附录 D</w:t>
      </w:r>
      <w:r>
        <w:rPr>
          <w:rFonts w:hint="eastAsia"/>
          <w:color w:val="000000" w:themeColor="text1"/>
          <w:kern w:val="0"/>
          <w:sz w:val="24"/>
        </w:rPr>
        <w:t xml:space="preserve">   </w:t>
      </w:r>
      <w:r>
        <w:rPr>
          <w:color w:val="000000" w:themeColor="text1"/>
          <w:kern w:val="0"/>
          <w:sz w:val="24"/>
        </w:rPr>
        <w:t>机动式叉车秤测量结果不确定度评定示例</w:t>
      </w:r>
      <w:r>
        <w:rPr>
          <w:color w:val="000000" w:themeColor="text1"/>
          <w:kern w:val="0"/>
          <w:sz w:val="24"/>
        </w:rPr>
        <w:tab/>
      </w:r>
      <w:r>
        <w:rPr>
          <w:color w:val="000000" w:themeColor="text1"/>
          <w:kern w:val="0"/>
          <w:sz w:val="24"/>
        </w:rPr>
        <w:t>..................................................（1</w:t>
      </w:r>
      <w:r>
        <w:rPr>
          <w:color w:val="000000" w:themeColor="text1"/>
          <w:kern w:val="0"/>
          <w:sz w:val="24"/>
        </w:rPr>
        <w:fldChar w:fldCharType="end"/>
      </w:r>
      <w:r>
        <w:rPr>
          <w:color w:val="000000" w:themeColor="text1"/>
          <w:kern w:val="0"/>
          <w:sz w:val="24"/>
        </w:rPr>
        <w:t>0）</w:t>
      </w:r>
    </w:p>
    <w:p w14:paraId="05C99F82">
      <w:pPr>
        <w:rPr>
          <w:rFonts w:eastAsia="黑体"/>
          <w:kern w:val="0"/>
          <w:sz w:val="44"/>
          <w:szCs w:val="44"/>
        </w:rPr>
        <w:sectPr>
          <w:footerReference r:id="rId6" w:type="default"/>
          <w:type w:val="continuous"/>
          <w:pgSz w:w="11906" w:h="16838"/>
          <w:pgMar w:top="1928" w:right="1361" w:bottom="1134" w:left="1361" w:header="1361" w:footer="851" w:gutter="0"/>
          <w:pgNumType w:fmt="upperRoman" w:start="1"/>
          <w:cols w:space="720" w:num="1"/>
          <w:docGrid w:type="lines" w:linePitch="312" w:charSpace="0"/>
        </w:sectPr>
      </w:pPr>
      <w:r>
        <w:rPr>
          <w:color w:val="FF0000"/>
          <w:kern w:val="0"/>
        </w:rPr>
        <w:fldChar w:fldCharType="end"/>
      </w:r>
    </w:p>
    <w:p w14:paraId="2E0B546B">
      <w:pPr>
        <w:widowControl/>
        <w:jc w:val="left"/>
        <w:rPr>
          <w:rFonts w:hint="eastAsia" w:hAnsi="黑体" w:eastAsia="黑体"/>
          <w:bCs/>
          <w:kern w:val="0"/>
          <w:sz w:val="44"/>
          <w:szCs w:val="44"/>
        </w:rPr>
      </w:pPr>
      <w:bookmarkStart w:id="0" w:name="_Toc153963219"/>
      <w:r>
        <w:rPr>
          <w:rFonts w:hint="eastAsia" w:hAnsi="黑体" w:eastAsia="黑体"/>
          <w:b/>
          <w:kern w:val="0"/>
        </w:rPr>
        <w:br w:type="page"/>
      </w:r>
    </w:p>
    <w:p w14:paraId="22F8F992">
      <w:pPr>
        <w:pStyle w:val="2"/>
        <w:jc w:val="center"/>
        <w:rPr>
          <w:rFonts w:eastAsia="黑体"/>
          <w:b w:val="0"/>
          <w:kern w:val="0"/>
        </w:rPr>
      </w:pPr>
      <w:r>
        <w:rPr>
          <w:rFonts w:hAnsi="黑体" w:eastAsia="黑体"/>
          <w:b w:val="0"/>
          <w:kern w:val="0"/>
        </w:rPr>
        <w:t>引言</w:t>
      </w:r>
      <w:bookmarkEnd w:id="0"/>
    </w:p>
    <w:p w14:paraId="448B2A7C">
      <w:pPr>
        <w:spacing w:line="440" w:lineRule="exact"/>
        <w:ind w:firstLine="480" w:firstLineChars="200"/>
        <w:rPr>
          <w:kern w:val="0"/>
          <w:sz w:val="24"/>
        </w:rPr>
      </w:pPr>
      <w:r>
        <w:rPr>
          <w:kern w:val="0"/>
          <w:sz w:val="24"/>
        </w:rPr>
        <w:t>本规范根据JJF 1071《国家计量校准规范编写规则》、JJF 1001《通用计量术语及定义》、JJF 1059.1《测量不确定度评定与表示》规定的规则编写。</w:t>
      </w:r>
    </w:p>
    <w:p w14:paraId="29E9A5B9">
      <w:pPr>
        <w:spacing w:line="440" w:lineRule="exact"/>
        <w:ind w:firstLine="480" w:firstLineChars="200"/>
        <w:rPr>
          <w:kern w:val="0"/>
          <w:sz w:val="24"/>
        </w:rPr>
      </w:pPr>
      <w:r>
        <w:rPr>
          <w:kern w:val="0"/>
          <w:sz w:val="24"/>
        </w:rPr>
        <w:t>本校准规范给出了机动式叉车秤的校准条件、校准项目、校准方法及不确定度评定。</w:t>
      </w:r>
    </w:p>
    <w:p w14:paraId="03877969">
      <w:pPr>
        <w:spacing w:line="440" w:lineRule="exact"/>
        <w:ind w:firstLine="480" w:firstLineChars="200"/>
        <w:rPr>
          <w:kern w:val="0"/>
          <w:sz w:val="24"/>
        </w:rPr>
        <w:sectPr>
          <w:footerReference r:id="rId7" w:type="even"/>
          <w:type w:val="continuous"/>
          <w:pgSz w:w="11906" w:h="16838"/>
          <w:pgMar w:top="1134" w:right="1361" w:bottom="1134" w:left="1361" w:header="1361" w:footer="851" w:gutter="0"/>
          <w:pgNumType w:fmt="upperRoman"/>
          <w:cols w:space="425" w:num="1"/>
          <w:docGrid w:type="lines" w:linePitch="393" w:charSpace="0"/>
        </w:sectPr>
      </w:pPr>
      <w:r>
        <w:rPr>
          <w:kern w:val="0"/>
          <w:sz w:val="24"/>
        </w:rPr>
        <w:t>本规范系首次发布。</w:t>
      </w:r>
    </w:p>
    <w:p w14:paraId="7F496464">
      <w:pPr>
        <w:widowControl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br w:type="page"/>
      </w:r>
    </w:p>
    <w:p w14:paraId="3D9D59D2">
      <w:pPr>
        <w:pStyle w:val="21"/>
        <w:spacing w:line="440" w:lineRule="exact"/>
        <w:ind w:firstLine="320" w:firstLineChars="100"/>
        <w:jc w:val="center"/>
        <w:rPr>
          <w:rFonts w:hint="default" w:ascii="Times New Roman" w:hAnsi="Times New Roman" w:eastAsia="黑体"/>
          <w:kern w:val="0"/>
          <w:sz w:val="32"/>
          <w:szCs w:val="32"/>
        </w:rPr>
      </w:pPr>
      <w:r>
        <w:rPr>
          <w:rFonts w:hint="default" w:ascii="Times New Roman" w:hAnsi="黑体" w:eastAsia="黑体"/>
          <w:kern w:val="0"/>
          <w:sz w:val="32"/>
          <w:szCs w:val="32"/>
        </w:rPr>
        <w:t>机动式叉车秤校准规范</w:t>
      </w:r>
    </w:p>
    <w:p w14:paraId="588BB31E">
      <w:pPr>
        <w:pStyle w:val="2"/>
        <w:spacing w:before="100" w:after="100"/>
        <w:rPr>
          <w:rFonts w:eastAsia="黑体"/>
          <w:b w:val="0"/>
          <w:kern w:val="0"/>
          <w:sz w:val="24"/>
          <w:szCs w:val="24"/>
        </w:rPr>
      </w:pPr>
      <w:bookmarkStart w:id="1" w:name="_Toc153963220"/>
      <w:r>
        <w:rPr>
          <w:rFonts w:eastAsia="黑体"/>
          <w:b w:val="0"/>
          <w:kern w:val="0"/>
          <w:sz w:val="24"/>
          <w:szCs w:val="24"/>
        </w:rPr>
        <w:t xml:space="preserve">1  </w:t>
      </w:r>
      <w:r>
        <w:rPr>
          <w:rFonts w:hAnsi="黑体" w:eastAsia="黑体"/>
          <w:b w:val="0"/>
          <w:kern w:val="0"/>
          <w:sz w:val="24"/>
          <w:szCs w:val="24"/>
        </w:rPr>
        <w:t>范围</w:t>
      </w:r>
      <w:bookmarkEnd w:id="1"/>
    </w:p>
    <w:p w14:paraId="026359F9">
      <w:pPr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本规范适用于机动式叉车秤的校准。</w:t>
      </w:r>
    </w:p>
    <w:p w14:paraId="387F514A">
      <w:pPr>
        <w:pStyle w:val="2"/>
        <w:spacing w:before="100" w:after="100"/>
        <w:rPr>
          <w:rFonts w:eastAsia="黑体"/>
          <w:b w:val="0"/>
          <w:kern w:val="0"/>
          <w:sz w:val="24"/>
          <w:szCs w:val="24"/>
        </w:rPr>
      </w:pPr>
      <w:bookmarkStart w:id="2" w:name="_Toc153963221"/>
      <w:r>
        <w:rPr>
          <w:rFonts w:eastAsia="黑体"/>
          <w:b w:val="0"/>
          <w:kern w:val="0"/>
          <w:sz w:val="24"/>
          <w:szCs w:val="24"/>
        </w:rPr>
        <w:t xml:space="preserve">2  </w:t>
      </w:r>
      <w:r>
        <w:rPr>
          <w:rFonts w:hAnsi="黑体" w:eastAsia="黑体"/>
          <w:b w:val="0"/>
          <w:kern w:val="0"/>
          <w:sz w:val="24"/>
          <w:szCs w:val="24"/>
        </w:rPr>
        <w:t>引用文件</w:t>
      </w:r>
      <w:bookmarkEnd w:id="2"/>
    </w:p>
    <w:p w14:paraId="075E67B2">
      <w:pPr>
        <w:spacing w:line="360" w:lineRule="auto"/>
        <w:ind w:firstLine="480" w:firstLineChars="200"/>
        <w:jc w:val="left"/>
        <w:rPr>
          <w:kern w:val="0"/>
          <w:sz w:val="24"/>
        </w:rPr>
      </w:pPr>
      <w:bookmarkStart w:id="3" w:name="_Toc153963222"/>
      <w:r>
        <w:rPr>
          <w:rFonts w:hAnsi="宋体"/>
          <w:kern w:val="0"/>
          <w:sz w:val="24"/>
        </w:rPr>
        <w:t>本规范引用了下列文件：</w:t>
      </w:r>
    </w:p>
    <w:p w14:paraId="4BBCB9AE">
      <w:pPr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 xml:space="preserve">JJG 539  </w:t>
      </w:r>
      <w:r>
        <w:rPr>
          <w:rFonts w:hAnsi="宋体"/>
          <w:kern w:val="0"/>
          <w:sz w:val="24"/>
        </w:rPr>
        <w:t>数字指示秤</w:t>
      </w:r>
    </w:p>
    <w:p w14:paraId="222C33E3">
      <w:pPr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JJF 1181</w:t>
      </w:r>
      <w:r>
        <w:rPr>
          <w:rFonts w:hAnsi="宋体"/>
          <w:kern w:val="0"/>
          <w:sz w:val="24"/>
        </w:rPr>
        <w:t>衡器计量名词术语及定义</w:t>
      </w:r>
    </w:p>
    <w:p w14:paraId="14CF3F9E">
      <w:pPr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 xml:space="preserve">JJF 1834  </w:t>
      </w:r>
      <w:r>
        <w:rPr>
          <w:rFonts w:hAnsi="宋体"/>
          <w:kern w:val="0"/>
          <w:sz w:val="24"/>
        </w:rPr>
        <w:t>非自动衡器</w:t>
      </w:r>
      <w:r>
        <w:rPr>
          <w:kern w:val="0"/>
          <w:sz w:val="24"/>
        </w:rPr>
        <w:t>通用技术要求</w:t>
      </w:r>
    </w:p>
    <w:p w14:paraId="394D9E1D">
      <w:pPr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凡是注日期的引用文件，仅注日期的版本适用于本规范；凡是不注日期的引用文件，其最新版本（包括所有的修改单）适用于本规范。</w:t>
      </w:r>
    </w:p>
    <w:p w14:paraId="71B79047">
      <w:pPr>
        <w:pStyle w:val="2"/>
        <w:spacing w:before="100" w:after="100"/>
        <w:rPr>
          <w:rFonts w:eastAsia="黑体"/>
          <w:b w:val="0"/>
          <w:kern w:val="0"/>
          <w:sz w:val="24"/>
          <w:szCs w:val="24"/>
        </w:rPr>
      </w:pPr>
      <w:r>
        <w:rPr>
          <w:rFonts w:eastAsia="黑体"/>
          <w:b w:val="0"/>
          <w:kern w:val="0"/>
          <w:sz w:val="24"/>
          <w:szCs w:val="24"/>
        </w:rPr>
        <w:t xml:space="preserve">3  </w:t>
      </w:r>
      <w:r>
        <w:rPr>
          <w:rFonts w:hAnsi="黑体" w:eastAsia="黑体"/>
          <w:b w:val="0"/>
          <w:kern w:val="0"/>
          <w:sz w:val="24"/>
          <w:szCs w:val="24"/>
        </w:rPr>
        <w:t>术语和计量单位</w:t>
      </w:r>
      <w:bookmarkEnd w:id="3"/>
    </w:p>
    <w:p w14:paraId="2A26FA84">
      <w:pPr>
        <w:pStyle w:val="142"/>
        <w:spacing w:line="360" w:lineRule="auto"/>
        <w:ind w:right="0" w:rightChars="0"/>
        <w:outlineLvl w:val="1"/>
        <w:rPr>
          <w:rFonts w:ascii="Times New Roman" w:eastAsia="宋体"/>
          <w:spacing w:val="0"/>
          <w:sz w:val="24"/>
          <w:szCs w:val="24"/>
        </w:rPr>
      </w:pPr>
      <w:bookmarkStart w:id="4" w:name="_Toc23328"/>
      <w:bookmarkStart w:id="5" w:name="_Toc31778"/>
      <w:bookmarkStart w:id="6" w:name="_Toc5554"/>
      <w:bookmarkStart w:id="7" w:name="_Toc11563"/>
      <w:r>
        <w:rPr>
          <w:rFonts w:ascii="Times New Roman" w:eastAsia="宋体"/>
          <w:spacing w:val="0"/>
          <w:sz w:val="24"/>
          <w:szCs w:val="24"/>
        </w:rPr>
        <w:t xml:space="preserve">3.1  </w:t>
      </w:r>
      <w:r>
        <w:rPr>
          <w:rFonts w:ascii="Times New Roman" w:hAnsi="宋体" w:eastAsia="宋体"/>
          <w:spacing w:val="0"/>
          <w:sz w:val="24"/>
          <w:szCs w:val="24"/>
        </w:rPr>
        <w:t>术语</w:t>
      </w:r>
      <w:bookmarkEnd w:id="4"/>
      <w:bookmarkEnd w:id="5"/>
      <w:bookmarkEnd w:id="6"/>
      <w:bookmarkEnd w:id="7"/>
    </w:p>
    <w:p w14:paraId="34656435">
      <w:pPr>
        <w:pStyle w:val="142"/>
        <w:spacing w:line="360" w:lineRule="auto"/>
        <w:ind w:right="0" w:rightChars="0" w:firstLine="480" w:firstLineChars="200"/>
        <w:outlineLvl w:val="9"/>
        <w:rPr>
          <w:rFonts w:ascii="Times New Roman" w:eastAsia="宋体"/>
          <w:spacing w:val="0"/>
        </w:rPr>
      </w:pPr>
      <w:r>
        <w:rPr>
          <w:rFonts w:ascii="Times New Roman" w:eastAsia="宋体"/>
          <w:spacing w:val="0"/>
          <w:sz w:val="24"/>
          <w:szCs w:val="24"/>
        </w:rPr>
        <w:t>JJF 1181</w:t>
      </w:r>
      <w:r>
        <w:rPr>
          <w:rFonts w:ascii="Times New Roman" w:hAnsi="宋体" w:eastAsia="宋体"/>
          <w:spacing w:val="0"/>
          <w:sz w:val="24"/>
          <w:szCs w:val="24"/>
        </w:rPr>
        <w:t>《</w:t>
      </w:r>
      <w:r>
        <w:rPr>
          <w:rFonts w:ascii="Times New Roman" w:hAnsi="宋体" w:eastAsia="宋体"/>
          <w:spacing w:val="0"/>
          <w:sz w:val="24"/>
        </w:rPr>
        <w:t>衡器计量名词术语及定义</w:t>
      </w:r>
      <w:r>
        <w:rPr>
          <w:rFonts w:ascii="Times New Roman" w:hAnsi="宋体" w:eastAsia="宋体"/>
          <w:spacing w:val="0"/>
          <w:sz w:val="24"/>
          <w:szCs w:val="24"/>
        </w:rPr>
        <w:t>》</w:t>
      </w:r>
      <w:r>
        <w:rPr>
          <w:rFonts w:ascii="Times New Roman" w:eastAsia="宋体"/>
          <w:spacing w:val="0"/>
          <w:sz w:val="24"/>
          <w:szCs w:val="24"/>
        </w:rPr>
        <w:t>界定的及以下术语和定义适用于本规范。</w:t>
      </w:r>
    </w:p>
    <w:p w14:paraId="30C21F52">
      <w:pPr>
        <w:spacing w:line="360" w:lineRule="auto"/>
        <w:rPr>
          <w:kern w:val="0"/>
          <w:sz w:val="24"/>
        </w:rPr>
      </w:pPr>
      <w:r>
        <w:rPr>
          <w:kern w:val="0"/>
          <w:sz w:val="24"/>
        </w:rPr>
        <w:t>3.1.1机动式叉车秤mobile forklift scales</w:t>
      </w:r>
    </w:p>
    <w:p w14:paraId="22384D01">
      <w:pPr>
        <w:spacing w:line="360" w:lineRule="auto"/>
        <w:ind w:firstLine="480" w:firstLineChars="200"/>
        <w:rPr>
          <w:strike/>
          <w:color w:val="000000" w:themeColor="text1"/>
          <w:kern w:val="0"/>
          <w:sz w:val="24"/>
        </w:rPr>
      </w:pPr>
      <w:r>
        <w:rPr>
          <w:rFonts w:hAnsi="宋体"/>
          <w:kern w:val="0"/>
          <w:sz w:val="24"/>
        </w:rPr>
        <w:t>是采用油、气、电等能源机动运行的叉车秤，作为一种典型的可移动、可升降并可称重的</w:t>
      </w:r>
      <w:r>
        <w:rPr>
          <w:color w:val="000000" w:themeColor="text1"/>
          <w:kern w:val="0"/>
          <w:sz w:val="24"/>
        </w:rPr>
        <w:t>一种专用电子秤</w:t>
      </w:r>
      <w:r>
        <w:rPr>
          <w:rFonts w:hAnsi="宋体"/>
          <w:kern w:val="0"/>
          <w:sz w:val="24"/>
        </w:rPr>
        <w:t>。</w:t>
      </w:r>
    </w:p>
    <w:p w14:paraId="64EEEC63">
      <w:pPr>
        <w:pStyle w:val="142"/>
        <w:spacing w:line="360" w:lineRule="auto"/>
        <w:ind w:right="-105"/>
        <w:outlineLvl w:val="1"/>
        <w:rPr>
          <w:rFonts w:ascii="Times New Roman" w:eastAsia="宋体"/>
          <w:spacing w:val="0"/>
          <w:sz w:val="24"/>
          <w:szCs w:val="24"/>
        </w:rPr>
      </w:pPr>
      <w:bookmarkStart w:id="8" w:name="_Toc3306"/>
      <w:bookmarkStart w:id="9" w:name="_Toc14570"/>
      <w:bookmarkStart w:id="10" w:name="_Toc21868"/>
      <w:bookmarkStart w:id="11" w:name="_Toc15377"/>
      <w:r>
        <w:rPr>
          <w:rFonts w:ascii="Times New Roman" w:eastAsia="宋体"/>
          <w:spacing w:val="0"/>
          <w:sz w:val="24"/>
          <w:szCs w:val="24"/>
        </w:rPr>
        <w:t xml:space="preserve">3.2  </w:t>
      </w:r>
      <w:r>
        <w:rPr>
          <w:rFonts w:ascii="Times New Roman" w:hAnsi="宋体" w:eastAsia="宋体"/>
          <w:spacing w:val="0"/>
          <w:sz w:val="24"/>
          <w:szCs w:val="24"/>
        </w:rPr>
        <w:t>计量单位</w:t>
      </w:r>
      <w:bookmarkEnd w:id="8"/>
      <w:bookmarkEnd w:id="9"/>
      <w:bookmarkEnd w:id="10"/>
      <w:bookmarkEnd w:id="11"/>
    </w:p>
    <w:p w14:paraId="3CEF87AD">
      <w:pPr>
        <w:pStyle w:val="19"/>
        <w:spacing w:line="360" w:lineRule="auto"/>
        <w:ind w:firstLine="480" w:firstLineChars="200"/>
        <w:jc w:val="left"/>
        <w:rPr>
          <w:kern w:val="0"/>
        </w:rPr>
      </w:pPr>
      <w:r>
        <w:rPr>
          <w:kern w:val="0"/>
        </w:rPr>
        <w:t>使用的计量单位应为国家法</w:t>
      </w:r>
      <w:r>
        <w:rPr>
          <w:rFonts w:hAnsi="宋体"/>
          <w:kern w:val="0"/>
        </w:rPr>
        <w:t>定计量单位，包括：</w:t>
      </w:r>
      <w:r>
        <w:rPr>
          <w:kern w:val="0"/>
        </w:rPr>
        <w:t>吨</w:t>
      </w:r>
      <w:r>
        <w:rPr>
          <w:rFonts w:hAnsi="宋体"/>
          <w:kern w:val="0"/>
        </w:rPr>
        <w:t>（</w:t>
      </w:r>
      <w:r>
        <w:rPr>
          <w:kern w:val="0"/>
        </w:rPr>
        <w:t>t</w:t>
      </w:r>
      <w:r>
        <w:rPr>
          <w:rFonts w:hAnsi="宋体"/>
          <w:kern w:val="0"/>
        </w:rPr>
        <w:t>）、千克（</w:t>
      </w:r>
      <w:r>
        <w:rPr>
          <w:kern w:val="0"/>
        </w:rPr>
        <w:t>kg</w:t>
      </w:r>
      <w:r>
        <w:rPr>
          <w:rFonts w:hAnsi="宋体"/>
          <w:kern w:val="0"/>
        </w:rPr>
        <w:t>）、克（</w:t>
      </w:r>
      <w:r>
        <w:rPr>
          <w:kern w:val="0"/>
        </w:rPr>
        <w:t>g</w:t>
      </w:r>
      <w:r>
        <w:rPr>
          <w:rFonts w:hAnsi="宋体"/>
          <w:kern w:val="0"/>
        </w:rPr>
        <w:t>）</w:t>
      </w:r>
      <w:r>
        <w:rPr>
          <w:kern w:val="0"/>
        </w:rPr>
        <w:t>。</w:t>
      </w:r>
    </w:p>
    <w:p w14:paraId="4C34DF66">
      <w:pPr>
        <w:pStyle w:val="2"/>
        <w:spacing w:before="100" w:after="100"/>
        <w:rPr>
          <w:rFonts w:eastAsia="黑体"/>
          <w:b w:val="0"/>
          <w:kern w:val="0"/>
          <w:sz w:val="24"/>
          <w:szCs w:val="24"/>
        </w:rPr>
      </w:pPr>
      <w:bookmarkStart w:id="12" w:name="_Toc419275029"/>
      <w:bookmarkStart w:id="13" w:name="_Toc15801"/>
      <w:bookmarkStart w:id="14" w:name="_Toc14268"/>
      <w:bookmarkStart w:id="15" w:name="_Toc14015"/>
      <w:bookmarkStart w:id="16" w:name="_Toc27359"/>
      <w:bookmarkStart w:id="17" w:name="_Toc318398363"/>
      <w:r>
        <w:rPr>
          <w:rFonts w:eastAsia="黑体"/>
          <w:b w:val="0"/>
          <w:kern w:val="0"/>
          <w:sz w:val="24"/>
          <w:szCs w:val="24"/>
        </w:rPr>
        <w:t xml:space="preserve">4  </w:t>
      </w:r>
      <w:r>
        <w:rPr>
          <w:rFonts w:hAnsi="黑体" w:eastAsia="黑体"/>
          <w:b w:val="0"/>
          <w:kern w:val="0"/>
          <w:sz w:val="24"/>
          <w:szCs w:val="24"/>
        </w:rPr>
        <w:t>概述</w:t>
      </w:r>
      <w:bookmarkEnd w:id="12"/>
      <w:bookmarkEnd w:id="13"/>
      <w:bookmarkEnd w:id="14"/>
      <w:bookmarkEnd w:id="15"/>
      <w:bookmarkEnd w:id="16"/>
      <w:bookmarkEnd w:id="17"/>
    </w:p>
    <w:p w14:paraId="236B26F2">
      <w:pPr>
        <w:spacing w:line="300" w:lineRule="auto"/>
        <w:ind w:firstLine="480"/>
        <w:rPr>
          <w:color w:val="000000" w:themeColor="text1"/>
          <w:kern w:val="0"/>
          <w:sz w:val="24"/>
        </w:rPr>
      </w:pPr>
      <w:r>
        <w:rPr>
          <w:rFonts w:hAnsi="宋体"/>
          <w:kern w:val="0"/>
          <w:sz w:val="24"/>
        </w:rPr>
        <w:t>本规范所指的机动式叉车秤（以下简称叉车秤），属于非自动衡器的一种称量型式</w:t>
      </w:r>
      <w:r>
        <w:rPr>
          <w:rFonts w:hAnsi="宋体"/>
          <w:color w:val="000000" w:themeColor="text1"/>
          <w:kern w:val="0"/>
          <w:sz w:val="24"/>
        </w:rPr>
        <w:t>。</w:t>
      </w:r>
    </w:p>
    <w:p w14:paraId="60C1D20D">
      <w:pPr>
        <w:pStyle w:val="142"/>
        <w:spacing w:line="360" w:lineRule="auto"/>
        <w:ind w:right="0" w:rightChars="0"/>
        <w:outlineLvl w:val="1"/>
        <w:rPr>
          <w:rFonts w:ascii="Times New Roman" w:eastAsia="宋体"/>
          <w:spacing w:val="0"/>
          <w:sz w:val="24"/>
          <w:szCs w:val="24"/>
        </w:rPr>
      </w:pPr>
      <w:r>
        <w:rPr>
          <w:rFonts w:ascii="Times New Roman" w:eastAsia="宋体"/>
          <w:spacing w:val="0"/>
          <w:sz w:val="24"/>
          <w:szCs w:val="24"/>
        </w:rPr>
        <w:t xml:space="preserve">4.1  </w:t>
      </w:r>
      <w:r>
        <w:rPr>
          <w:rFonts w:ascii="Times New Roman" w:hAnsi="宋体" w:eastAsia="宋体"/>
          <w:spacing w:val="0"/>
          <w:sz w:val="24"/>
          <w:szCs w:val="24"/>
        </w:rPr>
        <w:t>结构</w:t>
      </w:r>
    </w:p>
    <w:p w14:paraId="06A42926">
      <w:pPr>
        <w:tabs>
          <w:tab w:val="left" w:pos="8610"/>
        </w:tabs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rFonts w:hAnsi="宋体"/>
          <w:color w:val="000000" w:themeColor="text1"/>
          <w:kern w:val="0"/>
          <w:sz w:val="24"/>
        </w:rPr>
        <w:t>由</w:t>
      </w:r>
      <w:r>
        <w:rPr>
          <w:rFonts w:hAnsi="宋体"/>
          <w:kern w:val="0"/>
          <w:sz w:val="24"/>
        </w:rPr>
        <w:t>称重传感器及配合工装、承载器、液压升降装置、称重指示装置、水平指示装置（可选）等组成。</w:t>
      </w:r>
      <w:r>
        <w:rPr>
          <w:rFonts w:hAnsi="宋体"/>
          <w:color w:val="000000" w:themeColor="text1"/>
          <w:kern w:val="0"/>
          <w:sz w:val="24"/>
        </w:rPr>
        <w:t>常见结构示意图如图</w:t>
      </w:r>
      <w:r>
        <w:rPr>
          <w:color w:val="000000" w:themeColor="text1"/>
          <w:kern w:val="0"/>
          <w:sz w:val="24"/>
        </w:rPr>
        <w:t>1</w:t>
      </w:r>
      <w:r>
        <w:rPr>
          <w:rFonts w:hAnsi="宋体"/>
          <w:color w:val="000000" w:themeColor="text1"/>
          <w:kern w:val="0"/>
          <w:sz w:val="24"/>
        </w:rPr>
        <w:t>所示。</w:t>
      </w:r>
    </w:p>
    <w:p w14:paraId="62CB43E9">
      <w:pPr>
        <w:tabs>
          <w:tab w:val="left" w:pos="8610"/>
        </w:tabs>
        <w:spacing w:line="360" w:lineRule="auto"/>
        <w:jc w:val="center"/>
        <w:rPr>
          <w:rFonts w:eastAsia="仿宋"/>
          <w:kern w:val="0"/>
          <w:sz w:val="24"/>
        </w:rPr>
      </w:pPr>
      <w:r>
        <w:rPr>
          <w:rFonts w:eastAsia="仿宋"/>
          <w:kern w:val="0"/>
          <w:sz w:val="24"/>
        </w:rPr>
        <w:drawing>
          <wp:inline distT="0" distB="0" distL="0" distR="0">
            <wp:extent cx="2564765" cy="1770380"/>
            <wp:effectExtent l="0" t="0" r="10795" b="1270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765" cy="177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仿宋"/>
          <w:kern w:val="0"/>
          <w:sz w:val="24"/>
        </w:rPr>
        <w:drawing>
          <wp:inline distT="0" distB="0" distL="0" distR="0">
            <wp:extent cx="2621915" cy="1753870"/>
            <wp:effectExtent l="0" t="0" r="1460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1915" cy="175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928D3">
      <w:pPr>
        <w:spacing w:line="300" w:lineRule="auto"/>
        <w:jc w:val="center"/>
        <w:rPr>
          <w:kern w:val="0"/>
          <w:szCs w:val="21"/>
        </w:rPr>
      </w:pPr>
      <w:r>
        <w:rPr>
          <w:rFonts w:hAnsi="宋体"/>
          <w:kern w:val="0"/>
          <w:szCs w:val="21"/>
        </w:rPr>
        <w:t>图</w:t>
      </w:r>
      <w:r>
        <w:rPr>
          <w:kern w:val="0"/>
          <w:szCs w:val="21"/>
        </w:rPr>
        <w:t xml:space="preserve">1 </w:t>
      </w:r>
      <w:r>
        <w:rPr>
          <w:rFonts w:hAnsi="宋体"/>
          <w:kern w:val="0"/>
          <w:szCs w:val="21"/>
        </w:rPr>
        <w:t>机动式叉车秤结构示意图</w:t>
      </w:r>
    </w:p>
    <w:p w14:paraId="339FDEB3">
      <w:pPr>
        <w:pStyle w:val="142"/>
        <w:spacing w:line="360" w:lineRule="auto"/>
        <w:ind w:right="0" w:rightChars="0"/>
        <w:outlineLvl w:val="1"/>
        <w:rPr>
          <w:rFonts w:ascii="Times New Roman" w:eastAsia="宋体"/>
          <w:spacing w:val="0"/>
          <w:sz w:val="24"/>
          <w:szCs w:val="24"/>
        </w:rPr>
      </w:pPr>
      <w:bookmarkStart w:id="18" w:name="_Toc156289297"/>
      <w:r>
        <w:rPr>
          <w:rFonts w:ascii="Times New Roman" w:eastAsia="宋体"/>
          <w:spacing w:val="0"/>
          <w:sz w:val="24"/>
          <w:szCs w:val="24"/>
        </w:rPr>
        <w:t xml:space="preserve">4.2  </w:t>
      </w:r>
      <w:r>
        <w:rPr>
          <w:rFonts w:ascii="Times New Roman" w:hAnsi="宋体" w:eastAsia="宋体"/>
          <w:spacing w:val="0"/>
          <w:sz w:val="24"/>
          <w:szCs w:val="24"/>
        </w:rPr>
        <w:t>原理</w:t>
      </w:r>
      <w:bookmarkEnd w:id="18"/>
    </w:p>
    <w:p w14:paraId="172F4DC6">
      <w:pPr>
        <w:tabs>
          <w:tab w:val="left" w:pos="8610"/>
        </w:tabs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rFonts w:hAnsi="宋体"/>
          <w:color w:val="000000" w:themeColor="text1"/>
          <w:kern w:val="0"/>
          <w:sz w:val="24"/>
        </w:rPr>
        <w:t>基于杠杆平衡原理，将被称物置于承载器上，称重传感器产生的电信号通过数据处理装置转换并计算，由称重指示装置显示出称重结果。</w:t>
      </w:r>
    </w:p>
    <w:p w14:paraId="0CC7691E">
      <w:pPr>
        <w:pStyle w:val="142"/>
        <w:spacing w:line="360" w:lineRule="auto"/>
        <w:ind w:right="0" w:rightChars="0"/>
        <w:outlineLvl w:val="1"/>
        <w:rPr>
          <w:rFonts w:ascii="Times New Roman" w:eastAsia="宋体"/>
          <w:spacing w:val="0"/>
          <w:sz w:val="24"/>
          <w:szCs w:val="24"/>
        </w:rPr>
      </w:pPr>
      <w:bookmarkStart w:id="19" w:name="_Toc156289298"/>
      <w:r>
        <w:rPr>
          <w:rFonts w:ascii="Times New Roman" w:eastAsia="宋体"/>
          <w:spacing w:val="0"/>
          <w:sz w:val="24"/>
          <w:szCs w:val="24"/>
        </w:rPr>
        <w:t xml:space="preserve">4.3  </w:t>
      </w:r>
      <w:r>
        <w:rPr>
          <w:rFonts w:ascii="Times New Roman" w:hAnsi="宋体" w:eastAsia="宋体"/>
          <w:spacing w:val="0"/>
          <w:sz w:val="24"/>
          <w:szCs w:val="24"/>
        </w:rPr>
        <w:t>用途</w:t>
      </w:r>
      <w:bookmarkEnd w:id="19"/>
    </w:p>
    <w:p w14:paraId="5918629D">
      <w:pPr>
        <w:tabs>
          <w:tab w:val="left" w:pos="8610"/>
        </w:tabs>
        <w:spacing w:line="360" w:lineRule="auto"/>
        <w:ind w:firstLine="480" w:firstLineChars="200"/>
        <w:rPr>
          <w:kern w:val="0"/>
          <w:sz w:val="24"/>
        </w:rPr>
      </w:pPr>
      <w:r>
        <w:rPr>
          <w:rFonts w:hAnsi="宋体"/>
          <w:kern w:val="0"/>
          <w:sz w:val="24"/>
        </w:rPr>
        <w:t>广泛应用于各类的仓储、物流和生产内部控制等</w:t>
      </w:r>
      <w:r>
        <w:rPr>
          <w:rFonts w:hint="eastAsia" w:hAnsi="宋体"/>
          <w:kern w:val="0"/>
          <w:sz w:val="24"/>
        </w:rPr>
        <w:t>领域</w:t>
      </w:r>
      <w:r>
        <w:rPr>
          <w:rFonts w:hAnsi="宋体"/>
          <w:kern w:val="0"/>
          <w:sz w:val="24"/>
        </w:rPr>
        <w:t>的</w:t>
      </w:r>
      <w:bookmarkStart w:id="88" w:name="_GoBack"/>
      <w:bookmarkEnd w:id="88"/>
      <w:r>
        <w:rPr>
          <w:rFonts w:hAnsi="宋体"/>
          <w:kern w:val="0"/>
          <w:sz w:val="24"/>
        </w:rPr>
        <w:t>称重计量。</w:t>
      </w:r>
    </w:p>
    <w:p w14:paraId="178BFC27">
      <w:pPr>
        <w:pStyle w:val="2"/>
        <w:spacing w:before="100" w:after="100"/>
        <w:rPr>
          <w:rFonts w:eastAsia="黑体"/>
          <w:b w:val="0"/>
          <w:kern w:val="0"/>
          <w:sz w:val="24"/>
          <w:szCs w:val="24"/>
        </w:rPr>
      </w:pPr>
      <w:bookmarkStart w:id="20" w:name="_Toc318398364"/>
      <w:bookmarkStart w:id="21" w:name="_Toc409"/>
      <w:bookmarkStart w:id="22" w:name="_Toc3686"/>
      <w:bookmarkStart w:id="23" w:name="_Toc419275030"/>
      <w:bookmarkStart w:id="24" w:name="_Toc11145"/>
      <w:bookmarkStart w:id="25" w:name="_Toc31347"/>
      <w:r>
        <w:rPr>
          <w:rFonts w:eastAsia="黑体"/>
          <w:b w:val="0"/>
          <w:kern w:val="0"/>
          <w:sz w:val="24"/>
          <w:szCs w:val="24"/>
        </w:rPr>
        <w:t xml:space="preserve">5  </w:t>
      </w:r>
      <w:r>
        <w:rPr>
          <w:rFonts w:hAnsi="黑体" w:eastAsia="黑体"/>
          <w:b w:val="0"/>
          <w:kern w:val="0"/>
          <w:sz w:val="24"/>
          <w:szCs w:val="24"/>
        </w:rPr>
        <w:t>计量特性</w:t>
      </w:r>
      <w:bookmarkEnd w:id="20"/>
      <w:bookmarkEnd w:id="21"/>
      <w:bookmarkEnd w:id="22"/>
      <w:bookmarkEnd w:id="23"/>
      <w:bookmarkEnd w:id="24"/>
      <w:bookmarkEnd w:id="25"/>
    </w:p>
    <w:p w14:paraId="705512D8">
      <w:pPr>
        <w:spacing w:line="360" w:lineRule="auto"/>
        <w:ind w:firstLine="480"/>
        <w:outlineLvl w:val="0"/>
        <w:rPr>
          <w:kern w:val="0"/>
          <w:sz w:val="24"/>
        </w:rPr>
      </w:pPr>
      <w:bookmarkStart w:id="26" w:name="_Toc23505"/>
      <w:bookmarkStart w:id="27" w:name="_Toc174723065"/>
      <w:bookmarkStart w:id="28" w:name="_Toc163381052"/>
      <w:bookmarkStart w:id="29" w:name="_Toc159246878"/>
      <w:r>
        <w:rPr>
          <w:kern w:val="0"/>
          <w:sz w:val="24"/>
        </w:rPr>
        <w:t>计量特性见表1。</w:t>
      </w:r>
      <w:bookmarkEnd w:id="26"/>
      <w:bookmarkEnd w:id="27"/>
      <w:bookmarkEnd w:id="28"/>
      <w:bookmarkEnd w:id="29"/>
    </w:p>
    <w:p w14:paraId="0AC0EEE5">
      <w:pPr>
        <w:pStyle w:val="53"/>
        <w:adjustRightInd w:val="0"/>
        <w:snapToGrid w:val="0"/>
        <w:ind w:firstLine="420"/>
        <w:jc w:val="center"/>
        <w:rPr>
          <w:rFonts w:ascii="Times New Roman" w:eastAsia="黑体"/>
        </w:rPr>
      </w:pPr>
      <w:r>
        <w:rPr>
          <w:rFonts w:ascii="Times New Roman" w:hAnsi="黑体" w:eastAsia="黑体"/>
        </w:rPr>
        <w:t>表</w:t>
      </w:r>
      <w:r>
        <w:rPr>
          <w:rFonts w:ascii="Times New Roman" w:eastAsia="黑体"/>
        </w:rPr>
        <w:t xml:space="preserve">1 </w:t>
      </w:r>
      <w:r>
        <w:rPr>
          <w:rFonts w:ascii="Times New Roman" w:hAnsi="黑体" w:eastAsia="黑体"/>
        </w:rPr>
        <w:t>计量特性</w:t>
      </w:r>
    </w:p>
    <w:tbl>
      <w:tblPr>
        <w:tblStyle w:val="35"/>
        <w:tblW w:w="7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4"/>
        <w:gridCol w:w="3500"/>
      </w:tblGrid>
      <w:tr w14:paraId="05C6F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3684" w:type="dxa"/>
            <w:vAlign w:val="center"/>
          </w:tcPr>
          <w:p w14:paraId="26997593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校准项目</w:t>
            </w:r>
          </w:p>
        </w:tc>
        <w:tc>
          <w:tcPr>
            <w:tcW w:w="3500" w:type="dxa"/>
            <w:vAlign w:val="center"/>
          </w:tcPr>
          <w:p w14:paraId="68404C96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技术指标</w:t>
            </w:r>
          </w:p>
        </w:tc>
      </w:tr>
      <w:tr w14:paraId="5F985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3684" w:type="dxa"/>
            <w:vAlign w:val="center"/>
          </w:tcPr>
          <w:p w14:paraId="3DADEB27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示值误差</w:t>
            </w:r>
          </w:p>
        </w:tc>
        <w:tc>
          <w:tcPr>
            <w:tcW w:w="3500" w:type="dxa"/>
            <w:vAlign w:val="center"/>
          </w:tcPr>
          <w:p w14:paraId="54230C36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±1.5d</w:t>
            </w:r>
          </w:p>
        </w:tc>
      </w:tr>
      <w:tr w14:paraId="15D72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3684" w:type="dxa"/>
            <w:vAlign w:val="center"/>
          </w:tcPr>
          <w:p w14:paraId="71CEE870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仰角/倾角变化的示值误差</w:t>
            </w:r>
          </w:p>
        </w:tc>
        <w:tc>
          <w:tcPr>
            <w:tcW w:w="3500" w:type="dxa"/>
            <w:vAlign w:val="center"/>
          </w:tcPr>
          <w:p w14:paraId="29B813AA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±1.5d</w:t>
            </w:r>
          </w:p>
        </w:tc>
      </w:tr>
      <w:tr w14:paraId="2224F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3684" w:type="dxa"/>
            <w:vAlign w:val="center"/>
          </w:tcPr>
          <w:p w14:paraId="7A1B71D7">
            <w:pPr>
              <w:pStyle w:val="142"/>
              <w:spacing w:line="360" w:lineRule="auto"/>
              <w:ind w:right="0" w:rightChars="0"/>
              <w:jc w:val="center"/>
              <w:outlineLvl w:val="1"/>
              <w:rPr>
                <w:rFonts w:hint="eastAsia" w:ascii="宋体" w:hAnsi="宋体" w:eastAsia="宋体"/>
                <w:spacing w:val="0"/>
                <w:szCs w:val="21"/>
              </w:rPr>
            </w:pPr>
            <w:r>
              <w:rPr>
                <w:rFonts w:ascii="宋体" w:hAnsi="宋体" w:eastAsia="宋体"/>
                <w:spacing w:val="0"/>
                <w:szCs w:val="21"/>
              </w:rPr>
              <w:t>变换行驶速度后的示值</w:t>
            </w:r>
            <w:r>
              <w:rPr>
                <w:rFonts w:hint="eastAsia" w:ascii="宋体" w:hAnsi="宋体" w:eastAsia="宋体"/>
                <w:spacing w:val="0"/>
                <w:szCs w:val="21"/>
              </w:rPr>
              <w:t>误差</w:t>
            </w:r>
          </w:p>
        </w:tc>
        <w:tc>
          <w:tcPr>
            <w:tcW w:w="3500" w:type="dxa"/>
            <w:vAlign w:val="center"/>
          </w:tcPr>
          <w:p w14:paraId="09EB478F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±2.0d</w:t>
            </w:r>
          </w:p>
        </w:tc>
      </w:tr>
    </w:tbl>
    <w:p w14:paraId="7EED937D">
      <w:pPr>
        <w:ind w:firstLine="465"/>
        <w:rPr>
          <w:rFonts w:eastAsia="仿宋"/>
          <w:kern w:val="0"/>
          <w:szCs w:val="21"/>
        </w:rPr>
      </w:pPr>
      <w:r>
        <w:rPr>
          <w:rFonts w:eastAsia="仿宋"/>
          <w:kern w:val="0"/>
          <w:szCs w:val="21"/>
        </w:rPr>
        <w:t>注：以上所有计量特性指标不用于合格性判定，仅提供参考。</w:t>
      </w:r>
    </w:p>
    <w:p w14:paraId="7B401E1D">
      <w:pPr>
        <w:pStyle w:val="2"/>
        <w:spacing w:before="100" w:after="100"/>
        <w:rPr>
          <w:rFonts w:eastAsia="黑体"/>
          <w:b w:val="0"/>
          <w:kern w:val="0"/>
          <w:sz w:val="24"/>
          <w:szCs w:val="24"/>
        </w:rPr>
      </w:pPr>
      <w:bookmarkStart w:id="30" w:name="_Toc16636"/>
      <w:bookmarkStart w:id="31" w:name="_Toc26792"/>
      <w:bookmarkStart w:id="32" w:name="_Toc15947"/>
      <w:bookmarkStart w:id="33" w:name="_Toc19004"/>
      <w:bookmarkStart w:id="34" w:name="_Toc362796954"/>
      <w:bookmarkStart w:id="35" w:name="_Toc283715790"/>
      <w:r>
        <w:rPr>
          <w:rFonts w:eastAsia="黑体"/>
          <w:b w:val="0"/>
          <w:kern w:val="0"/>
          <w:sz w:val="24"/>
          <w:szCs w:val="24"/>
        </w:rPr>
        <w:t xml:space="preserve">6  </w:t>
      </w:r>
      <w:r>
        <w:rPr>
          <w:rFonts w:hAnsi="黑体" w:eastAsia="黑体"/>
          <w:b w:val="0"/>
          <w:kern w:val="0"/>
          <w:sz w:val="24"/>
          <w:szCs w:val="24"/>
        </w:rPr>
        <w:t>校准条件</w:t>
      </w:r>
      <w:bookmarkEnd w:id="30"/>
      <w:bookmarkEnd w:id="31"/>
      <w:bookmarkEnd w:id="32"/>
      <w:bookmarkEnd w:id="33"/>
      <w:bookmarkEnd w:id="34"/>
      <w:bookmarkEnd w:id="35"/>
    </w:p>
    <w:p w14:paraId="65D03A8A">
      <w:pPr>
        <w:spacing w:line="360" w:lineRule="auto"/>
        <w:rPr>
          <w:kern w:val="0"/>
          <w:sz w:val="24"/>
        </w:rPr>
      </w:pPr>
      <w:bookmarkStart w:id="36" w:name="_Toc12302"/>
      <w:bookmarkStart w:id="37" w:name="_Toc362796955"/>
      <w:bookmarkStart w:id="38" w:name="_Toc283715791"/>
      <w:bookmarkStart w:id="39" w:name="_Toc22915"/>
      <w:bookmarkStart w:id="40" w:name="_Toc30650"/>
      <w:bookmarkStart w:id="41" w:name="_Toc27498"/>
      <w:r>
        <w:rPr>
          <w:kern w:val="0"/>
          <w:sz w:val="24"/>
        </w:rPr>
        <w:t xml:space="preserve">6.1 </w:t>
      </w:r>
      <w:r>
        <w:rPr>
          <w:rFonts w:hAnsi="宋体"/>
          <w:kern w:val="0"/>
          <w:sz w:val="24"/>
        </w:rPr>
        <w:t>环境条件</w:t>
      </w:r>
      <w:bookmarkEnd w:id="36"/>
      <w:bookmarkEnd w:id="37"/>
      <w:bookmarkEnd w:id="38"/>
      <w:bookmarkEnd w:id="39"/>
      <w:bookmarkEnd w:id="40"/>
      <w:bookmarkEnd w:id="41"/>
    </w:p>
    <w:p w14:paraId="0062B1A7">
      <w:pPr>
        <w:spacing w:line="360" w:lineRule="auto"/>
        <w:rPr>
          <w:kern w:val="0"/>
          <w:sz w:val="24"/>
        </w:rPr>
      </w:pPr>
      <w:r>
        <w:rPr>
          <w:kern w:val="0"/>
          <w:sz w:val="24"/>
        </w:rPr>
        <w:t xml:space="preserve">6.1.1 </w:t>
      </w:r>
      <w:r>
        <w:rPr>
          <w:rFonts w:hAnsi="宋体"/>
          <w:kern w:val="0"/>
          <w:sz w:val="24"/>
        </w:rPr>
        <w:t>环境温度：（</w:t>
      </w:r>
      <w:r>
        <w:rPr>
          <w:kern w:val="0"/>
          <w:sz w:val="24"/>
        </w:rPr>
        <w:t>-10</w:t>
      </w:r>
      <w:r>
        <w:rPr>
          <w:rFonts w:hAnsi="宋体"/>
          <w:kern w:val="0"/>
          <w:sz w:val="24"/>
        </w:rPr>
        <w:t>～</w:t>
      </w:r>
      <w:r>
        <w:rPr>
          <w:kern w:val="0"/>
          <w:sz w:val="24"/>
        </w:rPr>
        <w:t>40</w:t>
      </w:r>
      <w:r>
        <w:rPr>
          <w:rFonts w:hAnsi="宋体"/>
          <w:kern w:val="0"/>
          <w:sz w:val="24"/>
        </w:rPr>
        <w:t>）℃，温度变化一般不超过</w:t>
      </w:r>
      <w:r>
        <w:rPr>
          <w:kern w:val="0"/>
          <w:sz w:val="24"/>
        </w:rPr>
        <w:t>5</w:t>
      </w:r>
      <w:r>
        <w:rPr>
          <w:rFonts w:hAnsi="宋体"/>
          <w:kern w:val="0"/>
          <w:sz w:val="24"/>
        </w:rPr>
        <w:t>℃</w:t>
      </w:r>
      <w:r>
        <w:rPr>
          <w:kern w:val="0"/>
          <w:sz w:val="24"/>
        </w:rPr>
        <w:t>/h</w:t>
      </w:r>
      <w:r>
        <w:rPr>
          <w:rFonts w:hAnsi="宋体"/>
          <w:kern w:val="0"/>
          <w:sz w:val="24"/>
        </w:rPr>
        <w:t>。</w:t>
      </w:r>
    </w:p>
    <w:p w14:paraId="65460E43">
      <w:pPr>
        <w:spacing w:line="360" w:lineRule="auto"/>
        <w:rPr>
          <w:kern w:val="0"/>
          <w:sz w:val="24"/>
        </w:rPr>
      </w:pPr>
      <w:r>
        <w:rPr>
          <w:kern w:val="0"/>
          <w:sz w:val="24"/>
        </w:rPr>
        <w:t xml:space="preserve">6.1.2 </w:t>
      </w:r>
      <w:r>
        <w:rPr>
          <w:rFonts w:hAnsi="宋体"/>
          <w:kern w:val="0"/>
          <w:sz w:val="24"/>
        </w:rPr>
        <w:t>相对湿度：</w:t>
      </w:r>
      <w:r>
        <w:rPr>
          <w:kern w:val="0"/>
          <w:sz w:val="24"/>
        </w:rPr>
        <w:t>≤85%</w:t>
      </w:r>
      <w:r>
        <w:rPr>
          <w:rFonts w:hAnsi="宋体"/>
          <w:kern w:val="0"/>
          <w:sz w:val="24"/>
        </w:rPr>
        <w:t>。</w:t>
      </w:r>
    </w:p>
    <w:p w14:paraId="4B9DFBD4">
      <w:pPr>
        <w:spacing w:line="360" w:lineRule="auto"/>
        <w:rPr>
          <w:kern w:val="0"/>
          <w:sz w:val="24"/>
        </w:rPr>
      </w:pPr>
      <w:bookmarkStart w:id="42" w:name="_Toc28997"/>
      <w:bookmarkStart w:id="43" w:name="_Toc24273"/>
      <w:bookmarkStart w:id="44" w:name="_Toc26129"/>
      <w:bookmarkStart w:id="45" w:name="_Toc5215"/>
      <w:r>
        <w:rPr>
          <w:kern w:val="0"/>
          <w:sz w:val="24"/>
        </w:rPr>
        <w:t>6.2</w:t>
      </w:r>
      <w:bookmarkEnd w:id="42"/>
      <w:bookmarkEnd w:id="43"/>
      <w:bookmarkEnd w:id="44"/>
      <w:bookmarkEnd w:id="45"/>
      <w:r>
        <w:rPr>
          <w:rFonts w:hAnsi="宋体"/>
          <w:kern w:val="0"/>
          <w:sz w:val="24"/>
        </w:rPr>
        <w:t>测量标准及其他设备</w:t>
      </w:r>
    </w:p>
    <w:p w14:paraId="06D2D3ED">
      <w:pPr>
        <w:spacing w:line="360" w:lineRule="auto"/>
        <w:rPr>
          <w:kern w:val="0"/>
          <w:sz w:val="24"/>
        </w:rPr>
      </w:pPr>
      <w:bookmarkStart w:id="46" w:name="_Toc22826"/>
      <w:bookmarkEnd w:id="46"/>
      <w:bookmarkStart w:id="47" w:name="_Toc19714"/>
      <w:bookmarkEnd w:id="47"/>
      <w:bookmarkStart w:id="48" w:name="_Toc31399"/>
      <w:bookmarkEnd w:id="48"/>
      <w:bookmarkStart w:id="49" w:name="_Toc12615"/>
      <w:bookmarkEnd w:id="49"/>
      <w:bookmarkStart w:id="50" w:name="_Toc236"/>
      <w:bookmarkEnd w:id="50"/>
      <w:bookmarkStart w:id="51" w:name="_Toc29239"/>
      <w:bookmarkEnd w:id="51"/>
      <w:bookmarkStart w:id="52" w:name="_Toc17918"/>
      <w:bookmarkEnd w:id="52"/>
      <w:bookmarkStart w:id="53" w:name="_Toc25445"/>
      <w:bookmarkEnd w:id="53"/>
      <w:bookmarkStart w:id="54" w:name="_Toc22453"/>
      <w:r>
        <w:rPr>
          <w:kern w:val="0"/>
          <w:sz w:val="24"/>
        </w:rPr>
        <w:t>6.2.1</w:t>
      </w:r>
      <w:bookmarkEnd w:id="54"/>
      <w:r>
        <w:rPr>
          <w:rFonts w:hAnsi="宋体"/>
          <w:kern w:val="0"/>
          <w:sz w:val="24"/>
        </w:rPr>
        <w:t>标准砝码</w:t>
      </w:r>
    </w:p>
    <w:p w14:paraId="6118F1C1"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Ansi="宋体"/>
          <w:kern w:val="0"/>
          <w:sz w:val="24"/>
        </w:rPr>
        <w:t>应符合</w:t>
      </w:r>
      <w:r>
        <w:rPr>
          <w:kern w:val="0"/>
          <w:sz w:val="24"/>
        </w:rPr>
        <w:t>JJG 99</w:t>
      </w:r>
      <w:r>
        <w:rPr>
          <w:rFonts w:hAnsi="宋体"/>
          <w:kern w:val="0"/>
          <w:sz w:val="24"/>
        </w:rPr>
        <w:t>的计量要求，其准确度等级应不低于</w:t>
      </w:r>
      <w:r>
        <w:rPr>
          <w:kern w:val="0"/>
          <w:sz w:val="24"/>
        </w:rPr>
        <w:t>M</w:t>
      </w:r>
      <w:r>
        <w:rPr>
          <w:kern w:val="0"/>
          <w:sz w:val="16"/>
          <w:szCs w:val="16"/>
        </w:rPr>
        <w:t>1</w:t>
      </w:r>
      <w:r>
        <w:rPr>
          <w:rFonts w:hAnsi="宋体"/>
          <w:kern w:val="0"/>
          <w:sz w:val="24"/>
        </w:rPr>
        <w:t>等级。同时，</w:t>
      </w:r>
      <w:r>
        <w:rPr>
          <w:rFonts w:hAnsiTheme="minorEastAsia"/>
          <w:color w:val="000000" w:themeColor="text1"/>
          <w:kern w:val="0"/>
          <w:sz w:val="24"/>
        </w:rPr>
        <w:t>具备符合化整误差消除所用闪变点法使用的相应等级的附加砝码。</w:t>
      </w:r>
    </w:p>
    <w:p w14:paraId="14FF5DF8">
      <w:pPr>
        <w:spacing w:line="360" w:lineRule="auto"/>
        <w:rPr>
          <w:kern w:val="0"/>
          <w:sz w:val="24"/>
        </w:rPr>
      </w:pPr>
      <w:bookmarkStart w:id="55" w:name="_Toc6429"/>
      <w:bookmarkStart w:id="56" w:name="_Toc26326"/>
      <w:bookmarkStart w:id="57" w:name="_Toc7513"/>
      <w:bookmarkStart w:id="58" w:name="_Toc25251"/>
      <w:r>
        <w:rPr>
          <w:kern w:val="0"/>
          <w:sz w:val="24"/>
        </w:rPr>
        <w:t xml:space="preserve">6.2.2  </w:t>
      </w:r>
      <w:r>
        <w:rPr>
          <w:rFonts w:hAnsi="宋体"/>
          <w:kern w:val="0"/>
          <w:sz w:val="24"/>
        </w:rPr>
        <w:t>角度测量装置</w:t>
      </w:r>
      <w:r>
        <w:rPr>
          <w:kern w:val="0"/>
          <w:sz w:val="24"/>
        </w:rPr>
        <w:t xml:space="preserve"> </w:t>
      </w:r>
    </w:p>
    <w:p w14:paraId="23C4B94E"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Ansi="宋体"/>
          <w:kern w:val="0"/>
          <w:sz w:val="24"/>
        </w:rPr>
        <w:t>测量范围</w:t>
      </w:r>
      <w:r>
        <w:rPr>
          <w:kern w:val="0"/>
          <w:sz w:val="24"/>
        </w:rPr>
        <w:t>±90°</w:t>
      </w:r>
      <w:r>
        <w:rPr>
          <w:rFonts w:hAnsi="宋体"/>
          <w:kern w:val="0"/>
          <w:sz w:val="24"/>
        </w:rPr>
        <w:t>，最大允许误差</w:t>
      </w:r>
      <w:r>
        <w:rPr>
          <w:kern w:val="0"/>
          <w:sz w:val="24"/>
        </w:rPr>
        <w:t>±0.1°</w:t>
      </w:r>
      <w:r>
        <w:rPr>
          <w:rFonts w:hAnsi="宋体"/>
          <w:kern w:val="0"/>
          <w:sz w:val="24"/>
        </w:rPr>
        <w:t>。</w:t>
      </w:r>
    </w:p>
    <w:p w14:paraId="4D05A061">
      <w:pPr>
        <w:pStyle w:val="2"/>
        <w:spacing w:before="100" w:after="100"/>
        <w:rPr>
          <w:rFonts w:eastAsia="黑体"/>
          <w:b w:val="0"/>
          <w:kern w:val="0"/>
          <w:sz w:val="24"/>
          <w:szCs w:val="24"/>
        </w:rPr>
      </w:pPr>
      <w:r>
        <w:rPr>
          <w:rFonts w:eastAsia="黑体"/>
          <w:b w:val="0"/>
          <w:kern w:val="0"/>
          <w:sz w:val="24"/>
          <w:szCs w:val="24"/>
        </w:rPr>
        <w:t xml:space="preserve">7  </w:t>
      </w:r>
      <w:r>
        <w:rPr>
          <w:rFonts w:hAnsi="黑体" w:eastAsia="黑体"/>
          <w:b w:val="0"/>
          <w:kern w:val="0"/>
          <w:sz w:val="24"/>
          <w:szCs w:val="24"/>
        </w:rPr>
        <w:t>校准项目和校准方法</w:t>
      </w:r>
      <w:bookmarkEnd w:id="55"/>
      <w:bookmarkEnd w:id="56"/>
      <w:bookmarkEnd w:id="57"/>
      <w:bookmarkEnd w:id="58"/>
    </w:p>
    <w:p w14:paraId="6BE6882C">
      <w:pPr>
        <w:spacing w:line="360" w:lineRule="auto"/>
        <w:rPr>
          <w:kern w:val="0"/>
          <w:sz w:val="24"/>
        </w:rPr>
      </w:pPr>
      <w:bookmarkStart w:id="59" w:name="_Toc29116"/>
      <w:bookmarkStart w:id="60" w:name="_Toc12672"/>
      <w:bookmarkStart w:id="61" w:name="_Toc15429"/>
      <w:bookmarkStart w:id="62" w:name="_Toc19721"/>
      <w:r>
        <w:rPr>
          <w:kern w:val="0"/>
          <w:sz w:val="24"/>
        </w:rPr>
        <w:t xml:space="preserve">7.1  </w:t>
      </w:r>
      <w:r>
        <w:rPr>
          <w:rFonts w:hAnsi="宋体"/>
          <w:kern w:val="0"/>
          <w:sz w:val="24"/>
        </w:rPr>
        <w:t>校准项目</w:t>
      </w:r>
      <w:bookmarkEnd w:id="59"/>
      <w:bookmarkEnd w:id="60"/>
      <w:bookmarkEnd w:id="61"/>
      <w:bookmarkEnd w:id="62"/>
    </w:p>
    <w:p w14:paraId="0602DF26"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Ansi="宋体"/>
          <w:kern w:val="0"/>
          <w:sz w:val="24"/>
        </w:rPr>
        <w:t>称量示值误差</w:t>
      </w:r>
    </w:p>
    <w:p w14:paraId="37375C4B">
      <w:pPr>
        <w:spacing w:line="360" w:lineRule="auto"/>
        <w:rPr>
          <w:kern w:val="0"/>
          <w:sz w:val="24"/>
        </w:rPr>
      </w:pPr>
      <w:bookmarkStart w:id="63" w:name="_Toc24855"/>
      <w:bookmarkStart w:id="64" w:name="_Toc23475"/>
      <w:bookmarkStart w:id="65" w:name="_Toc2425"/>
      <w:bookmarkStart w:id="66" w:name="_Toc9604"/>
      <w:r>
        <w:rPr>
          <w:kern w:val="0"/>
          <w:sz w:val="24"/>
        </w:rPr>
        <w:t xml:space="preserve">7.2  </w:t>
      </w:r>
      <w:bookmarkEnd w:id="63"/>
      <w:bookmarkEnd w:id="64"/>
      <w:bookmarkEnd w:id="65"/>
      <w:bookmarkEnd w:id="66"/>
      <w:r>
        <w:rPr>
          <w:rFonts w:hAnsi="宋体"/>
          <w:kern w:val="0"/>
          <w:sz w:val="24"/>
        </w:rPr>
        <w:t>校准方法</w:t>
      </w:r>
    </w:p>
    <w:p w14:paraId="61DC7885">
      <w:pPr>
        <w:spacing w:line="360" w:lineRule="auto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 xml:space="preserve">7.2.1  </w:t>
      </w:r>
      <w:r>
        <w:rPr>
          <w:rFonts w:hAnsiTheme="minorEastAsia"/>
          <w:color w:val="000000" w:themeColor="text1"/>
          <w:kern w:val="0"/>
          <w:sz w:val="24"/>
        </w:rPr>
        <w:t>校准前准备</w:t>
      </w:r>
    </w:p>
    <w:p w14:paraId="620866E6">
      <w:pPr>
        <w:spacing w:line="360" w:lineRule="auto"/>
        <w:rPr>
          <w:kern w:val="0"/>
          <w:sz w:val="24"/>
        </w:rPr>
      </w:pPr>
      <w:r>
        <w:rPr>
          <w:kern w:val="0"/>
          <w:sz w:val="24"/>
        </w:rPr>
        <w:t xml:space="preserve">7.2.1.1  </w:t>
      </w:r>
      <w:r>
        <w:rPr>
          <w:rFonts w:hAnsi="宋体"/>
          <w:kern w:val="0"/>
          <w:sz w:val="24"/>
        </w:rPr>
        <w:t>检查被校叉车秤应具备规格型号、制造厂名、设备编号、最大秤量、最小秤量、分度值等标志。</w:t>
      </w:r>
    </w:p>
    <w:p w14:paraId="77606490">
      <w:pPr>
        <w:spacing w:line="360" w:lineRule="auto"/>
        <w:rPr>
          <w:kern w:val="0"/>
          <w:sz w:val="24"/>
        </w:rPr>
      </w:pPr>
      <w:r>
        <w:rPr>
          <w:kern w:val="0"/>
          <w:sz w:val="24"/>
        </w:rPr>
        <w:t xml:space="preserve">7.2.1.2  </w:t>
      </w:r>
      <w:r>
        <w:rPr>
          <w:rFonts w:hAnsi="宋体"/>
          <w:kern w:val="0"/>
          <w:sz w:val="24"/>
        </w:rPr>
        <w:t>检查叉车秤升降机构及叉车秤是否能正常工作。</w:t>
      </w:r>
    </w:p>
    <w:p w14:paraId="47FECE71">
      <w:pPr>
        <w:spacing w:line="360" w:lineRule="auto"/>
        <w:rPr>
          <w:kern w:val="0"/>
          <w:sz w:val="24"/>
        </w:rPr>
      </w:pPr>
      <w:r>
        <w:rPr>
          <w:kern w:val="0"/>
          <w:sz w:val="24"/>
        </w:rPr>
        <w:t xml:space="preserve">7.2.1.3 </w:t>
      </w:r>
      <w:r>
        <w:rPr>
          <w:rFonts w:hAnsi="宋体"/>
          <w:kern w:val="0"/>
          <w:sz w:val="24"/>
        </w:rPr>
        <w:t>叉车秤校准用行驶的场地，应与叉车秤平常运行范围内的场地保持一致，无需特别挑选平整度较好或较差的场地。</w:t>
      </w:r>
    </w:p>
    <w:p w14:paraId="15428EB5">
      <w:pPr>
        <w:spacing w:line="360" w:lineRule="auto"/>
        <w:rPr>
          <w:kern w:val="0"/>
          <w:sz w:val="24"/>
        </w:rPr>
      </w:pPr>
      <w:r>
        <w:rPr>
          <w:kern w:val="0"/>
          <w:sz w:val="24"/>
        </w:rPr>
        <w:t xml:space="preserve">7.2.1.4 </w:t>
      </w:r>
      <w:r>
        <w:rPr>
          <w:rFonts w:hAnsi="宋体"/>
          <w:kern w:val="0"/>
          <w:sz w:val="24"/>
        </w:rPr>
        <w:t>叉车秤行驶距离通常不少于</w:t>
      </w:r>
      <w:r>
        <w:rPr>
          <w:kern w:val="0"/>
          <w:sz w:val="24"/>
        </w:rPr>
        <w:t>200</w:t>
      </w:r>
      <w:r>
        <w:rPr>
          <w:rFonts w:hAnsi="宋体"/>
          <w:kern w:val="0"/>
          <w:sz w:val="24"/>
        </w:rPr>
        <w:t>米。</w:t>
      </w:r>
    </w:p>
    <w:p w14:paraId="35697E6F">
      <w:pPr>
        <w:spacing w:line="360" w:lineRule="auto"/>
        <w:outlineLvl w:val="1"/>
        <w:rPr>
          <w:kern w:val="0"/>
          <w:sz w:val="24"/>
        </w:rPr>
      </w:pPr>
      <w:r>
        <w:rPr>
          <w:kern w:val="0"/>
          <w:sz w:val="24"/>
        </w:rPr>
        <w:t xml:space="preserve">7.2.1.5 </w:t>
      </w:r>
      <w:r>
        <w:rPr>
          <w:rFonts w:hAnsi="宋体"/>
          <w:kern w:val="0"/>
          <w:sz w:val="24"/>
        </w:rPr>
        <w:t>预加载一次到接近最大秤量或确定的安全最大载荷，并记录倾斜角度，然后卸除全部载荷。</w:t>
      </w:r>
    </w:p>
    <w:p w14:paraId="2B244982">
      <w:pPr>
        <w:spacing w:line="360" w:lineRule="auto"/>
        <w:rPr>
          <w:kern w:val="0"/>
          <w:sz w:val="24"/>
        </w:rPr>
      </w:pPr>
      <w:r>
        <w:rPr>
          <w:kern w:val="0"/>
          <w:sz w:val="24"/>
        </w:rPr>
        <w:t xml:space="preserve">7.2.1.6  </w:t>
      </w:r>
      <w:r>
        <w:rPr>
          <w:rFonts w:hAnsi="宋体"/>
          <w:kern w:val="0"/>
          <w:sz w:val="24"/>
        </w:rPr>
        <w:t>零点跟踪装置</w:t>
      </w:r>
    </w:p>
    <w:p w14:paraId="2A24CA42">
      <w:pPr>
        <w:spacing w:line="360" w:lineRule="auto"/>
        <w:ind w:firstLine="480"/>
        <w:outlineLvl w:val="1"/>
        <w:rPr>
          <w:kern w:val="0"/>
          <w:sz w:val="24"/>
        </w:rPr>
      </w:pPr>
      <w:r>
        <w:rPr>
          <w:rFonts w:hAnsi="宋体"/>
          <w:kern w:val="0"/>
          <w:sz w:val="24"/>
        </w:rPr>
        <w:t>校准期间，应检查零点跟踪装置是否运行。当需要时，可通过以下方式禁止零点跟踪装置运行。</w:t>
      </w:r>
    </w:p>
    <w:p w14:paraId="60700B22">
      <w:pPr>
        <w:spacing w:line="360" w:lineRule="auto"/>
        <w:ind w:firstLine="480" w:firstLineChars="200"/>
        <w:outlineLvl w:val="1"/>
        <w:rPr>
          <w:kern w:val="0"/>
          <w:sz w:val="24"/>
        </w:rPr>
      </w:pPr>
      <w:r>
        <w:rPr>
          <w:kern w:val="0"/>
          <w:sz w:val="24"/>
        </w:rPr>
        <w:t>a）</w:t>
      </w:r>
      <w:r>
        <w:rPr>
          <w:rFonts w:hAnsi="宋体"/>
          <w:kern w:val="0"/>
          <w:sz w:val="24"/>
        </w:rPr>
        <w:t>关闭零点跟踪装置；</w:t>
      </w:r>
    </w:p>
    <w:p w14:paraId="45680A4B">
      <w:pPr>
        <w:spacing w:line="360" w:lineRule="auto"/>
        <w:ind w:firstLine="480" w:firstLineChars="200"/>
        <w:outlineLvl w:val="1"/>
        <w:rPr>
          <w:kern w:val="0"/>
          <w:sz w:val="24"/>
        </w:rPr>
      </w:pPr>
      <w:r>
        <w:rPr>
          <w:kern w:val="0"/>
          <w:sz w:val="24"/>
        </w:rPr>
        <w:t>b）</w:t>
      </w:r>
      <w:r>
        <w:rPr>
          <w:rFonts w:hAnsi="宋体"/>
          <w:kern w:val="0"/>
          <w:sz w:val="24"/>
        </w:rPr>
        <w:t>加载能让叉车秤示值处于零点跟踪范围之外（例如</w:t>
      </w:r>
      <w:r>
        <w:rPr>
          <w:kern w:val="0"/>
          <w:sz w:val="24"/>
        </w:rPr>
        <w:t>10</w:t>
      </w:r>
      <w:r>
        <w:rPr>
          <w:i/>
          <w:iCs/>
          <w:kern w:val="0"/>
          <w:sz w:val="24"/>
        </w:rPr>
        <w:t>d</w:t>
      </w:r>
      <w:r>
        <w:rPr>
          <w:rFonts w:hAnsi="宋体"/>
          <w:kern w:val="0"/>
          <w:sz w:val="24"/>
        </w:rPr>
        <w:t>）质量的砝码。</w:t>
      </w:r>
    </w:p>
    <w:p w14:paraId="435FAB26">
      <w:pPr>
        <w:spacing w:line="360" w:lineRule="auto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 xml:space="preserve">7.2.2  </w:t>
      </w:r>
      <w:r>
        <w:rPr>
          <w:rFonts w:hAnsiTheme="minorEastAsia"/>
          <w:color w:val="000000" w:themeColor="text1"/>
          <w:kern w:val="0"/>
          <w:sz w:val="24"/>
        </w:rPr>
        <w:t>化整误差的消除</w:t>
      </w:r>
    </w:p>
    <w:p w14:paraId="4835AAB8">
      <w:pPr>
        <w:pStyle w:val="151"/>
        <w:spacing w:after="0" w:line="360" w:lineRule="auto"/>
        <w:ind w:firstLine="480" w:firstLineChars="200"/>
        <w:jc w:val="both"/>
        <w:rPr>
          <w:rFonts w:ascii="Times New Roman" w:hAnsi="Times New Roman" w:cs="Times New Roman"/>
          <w:kern w:val="0"/>
          <w:sz w:val="24"/>
          <w:szCs w:val="24"/>
          <w:lang w:eastAsia="zh-CN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如果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叉车秤</w:t>
      </w:r>
      <w:r>
        <w:rPr>
          <w:rFonts w:ascii="Times New Roman" w:hAnsi="Times New Roman" w:cs="Times New Roman"/>
          <w:kern w:val="0"/>
          <w:sz w:val="24"/>
          <w:szCs w:val="24"/>
          <w:lang w:val="zh-CN" w:eastAsia="zh-CN" w:bidi="zh-CN"/>
        </w:rPr>
        <w:t>带有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 w:bidi="zh-CN"/>
        </w:rPr>
        <w:t>一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个能够显示较小分度值（不大于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 w:bidi="en-US"/>
        </w:rPr>
        <w:t>0.2</w:t>
      </w:r>
      <w:r>
        <w:rPr>
          <w:rFonts w:ascii="Times New Roman" w:hAnsi="Times New Roman" w:cs="Times New Roman"/>
          <w:i/>
          <w:iCs/>
          <w:kern w:val="0"/>
          <w:sz w:val="24"/>
          <w:szCs w:val="24"/>
          <w:lang w:val="en-US" w:eastAsia="zh-CN" w:bidi="en-US"/>
        </w:rPr>
        <w:t>d</w:t>
      </w:r>
      <w:r>
        <w:rPr>
          <w:rFonts w:ascii="Times New Roman" w:hAnsi="Times New Roman" w:cs="Times New Roman"/>
          <w:kern w:val="0"/>
          <w:sz w:val="24"/>
          <w:szCs w:val="24"/>
          <w:lang w:eastAsia="zh-CN" w:bidi="en-US"/>
        </w:rPr>
        <w:t>）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的数字指示装置或功能，则该装置可用于确定误差。如使用该装置，应在校准报告中予以说明。</w:t>
      </w:r>
    </w:p>
    <w:p w14:paraId="4DE32D7C">
      <w:pPr>
        <w:pStyle w:val="151"/>
        <w:spacing w:after="0" w:line="360" w:lineRule="auto"/>
        <w:ind w:firstLine="480" w:firstLineChars="200"/>
        <w:jc w:val="right"/>
        <w:rPr>
          <w:rFonts w:ascii="Times New Roman" w:hAnsi="Times New Roman" w:cs="Times New Roman"/>
          <w:kern w:val="0"/>
          <w:sz w:val="24"/>
          <w:szCs w:val="24"/>
          <w:lang w:val="en-US"/>
        </w:rPr>
      </w:pPr>
      <w:r>
        <w:rPr>
          <w:rFonts w:ascii="Times New Roman" w:hAnsi="Times New Roman" w:cs="Times New Roman"/>
          <w:kern w:val="0"/>
          <w:position w:val="-4"/>
          <w:sz w:val="24"/>
          <w:szCs w:val="24"/>
          <w:lang w:eastAsia="zh-CN"/>
        </w:rPr>
        <w:object>
          <v:shape id="_x0000_i1025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s" ShapeID="_x0000_i1025" DrawAspect="Content" ObjectID="_1468075725" r:id="rId14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 w:val="24"/>
          <w:szCs w:val="24"/>
          <w:lang w:val="en-US"/>
        </w:rPr>
        <w:t xml:space="preserve">                          （1）</w:t>
      </w:r>
    </w:p>
    <w:p w14:paraId="1F54C351">
      <w:pPr>
        <w:pStyle w:val="151"/>
        <w:spacing w:after="0" w:line="360" w:lineRule="auto"/>
        <w:ind w:firstLine="480" w:firstLineChars="200"/>
        <w:jc w:val="left"/>
        <w:rPr>
          <w:rFonts w:ascii="Times New Roman" w:hAnsi="Times New Roman" w:cs="Times New Roman"/>
          <w:kern w:val="0"/>
          <w:sz w:val="24"/>
          <w:szCs w:val="24"/>
          <w:lang w:val="en-US"/>
        </w:rPr>
      </w:pPr>
      <w:r>
        <w:rPr>
          <w:rFonts w:ascii="Times New Roman" w:hAnsi="Times New Roman" w:cs="Times New Roman"/>
          <w:kern w:val="0"/>
          <w:sz w:val="24"/>
          <w:szCs w:val="24"/>
          <w:lang w:val="en-US"/>
        </w:rPr>
        <w:t>式中：</w:t>
      </w:r>
    </w:p>
    <w:p w14:paraId="11D5C907">
      <w:pPr>
        <w:pStyle w:val="151"/>
        <w:spacing w:after="0" w:line="360" w:lineRule="auto"/>
        <w:ind w:firstLine="480" w:firstLineChars="200"/>
        <w:jc w:val="left"/>
        <w:rPr>
          <w:rFonts w:ascii="Times New Roman" w:hAnsi="Times New Roman" w:cs="Times New Roman"/>
          <w:kern w:val="0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kern w:val="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kern w:val="0"/>
          <w:sz w:val="24"/>
          <w:szCs w:val="24"/>
          <w:lang w:val="en-US"/>
        </w:rPr>
        <w:t>——示值，t、kg或g；</w:t>
      </w:r>
    </w:p>
    <w:p w14:paraId="518DD9C6">
      <w:pPr>
        <w:pStyle w:val="151"/>
        <w:spacing w:after="0" w:line="360" w:lineRule="auto"/>
        <w:ind w:firstLine="480" w:firstLineChars="200"/>
        <w:jc w:val="left"/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i/>
          <w:iCs/>
          <w:kern w:val="0"/>
          <w:sz w:val="24"/>
          <w:szCs w:val="24"/>
          <w:lang w:val="en-US" w:eastAsia="zh-CN"/>
        </w:rPr>
        <w:t>L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——载荷标准值，t、kg或g。</w:t>
      </w:r>
    </w:p>
    <w:p w14:paraId="49E85EAA">
      <w:pPr>
        <w:pStyle w:val="151"/>
        <w:spacing w:after="0" w:line="360" w:lineRule="auto"/>
        <w:ind w:firstLine="480" w:firstLineChars="200"/>
        <w:jc w:val="both"/>
        <w:rPr>
          <w:rFonts w:ascii="Times New Roman" w:hAnsi="Times New Roman" w:cs="Times New Roman"/>
          <w:kern w:val="0"/>
          <w:sz w:val="24"/>
          <w:szCs w:val="24"/>
          <w:lang w:eastAsia="zh-CN"/>
        </w:rPr>
      </w:pP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对于不具备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显示较小分度值（不大于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 w:bidi="en-US"/>
        </w:rPr>
        <w:t>0.2</w:t>
      </w:r>
      <w:r>
        <w:rPr>
          <w:rFonts w:ascii="Times New Roman" w:hAnsi="Times New Roman" w:cs="Times New Roman"/>
          <w:i/>
          <w:iCs/>
          <w:kern w:val="0"/>
          <w:sz w:val="24"/>
          <w:szCs w:val="24"/>
          <w:lang w:val="en-US" w:eastAsia="zh-CN" w:bidi="en-US"/>
        </w:rPr>
        <w:t>d</w:t>
      </w:r>
      <w:r>
        <w:rPr>
          <w:rFonts w:ascii="Times New Roman" w:hAnsi="Times New Roman" w:cs="Times New Roman"/>
          <w:kern w:val="0"/>
          <w:sz w:val="24"/>
          <w:szCs w:val="24"/>
          <w:lang w:eastAsia="zh-CN" w:bidi="en-US"/>
        </w:rPr>
        <w:t>）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的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叉车秤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，可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利用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闪变点确定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叉车秤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在化整前的示值。</w:t>
      </w:r>
    </w:p>
    <w:p w14:paraId="72848283">
      <w:pPr>
        <w:pStyle w:val="151"/>
        <w:spacing w:after="0" w:line="360" w:lineRule="auto"/>
        <w:ind w:firstLine="480" w:firstLineChars="200"/>
        <w:jc w:val="both"/>
        <w:rPr>
          <w:rFonts w:ascii="Times New Roman" w:hAnsi="Times New Roman" w:cs="Times New Roman"/>
          <w:kern w:val="0"/>
          <w:sz w:val="24"/>
          <w:szCs w:val="24"/>
          <w:lang w:eastAsia="zh-CN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对于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叉车秤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上某一确定的载荷其示值为逐一加放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 w:bidi="en-US"/>
        </w:rPr>
        <w:t>0.1</w:t>
      </w:r>
      <w:r>
        <w:rPr>
          <w:rFonts w:ascii="Times New Roman" w:hAnsi="Times New Roman" w:cs="Times New Roman"/>
          <w:i/>
          <w:iCs/>
          <w:kern w:val="0"/>
          <w:sz w:val="24"/>
          <w:szCs w:val="24"/>
          <w:lang w:val="en-US" w:eastAsia="zh-CN" w:bidi="en-US"/>
        </w:rPr>
        <w:t>d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的附加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砝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码，直至示值明显地增加了一个，变成（</w:t>
      </w:r>
      <w:r>
        <w:rPr>
          <w:rFonts w:ascii="Times New Roman" w:hAnsi="Times New Roman" w:cs="Times New Roman"/>
          <w:i/>
          <w:kern w:val="0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+</w:t>
      </w:r>
      <w:r>
        <w:rPr>
          <w:rFonts w:ascii="Times New Roman" w:hAnsi="Times New Roman" w:cs="Times New Roman"/>
          <w:i/>
          <w:iCs/>
          <w:kern w:val="0"/>
          <w:sz w:val="24"/>
          <w:szCs w:val="24"/>
          <w:lang w:val="en-US" w:eastAsia="zh-CN" w:bidi="en-US"/>
        </w:rPr>
        <w:t>d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）。所加的附加</w:t>
      </w:r>
      <w:r>
        <w:rPr>
          <w:rFonts w:hint="eastAsia" w:ascii="Times New Roman" w:hAnsi="Times New Roman" w:cs="Times New Roman"/>
          <w:kern w:val="0"/>
          <w:sz w:val="24"/>
          <w:szCs w:val="24"/>
          <w:lang w:eastAsia="zh-CN"/>
        </w:rPr>
        <w:t>砝码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为</w:t>
      </w:r>
      <w:r>
        <w:rPr>
          <w:rFonts w:hint="eastAsia" w:ascii="Times New Roman" w:hAnsi="Times New Roman" w:cs="Times New Roman"/>
          <w:kern w:val="0"/>
          <w:sz w:val="24"/>
          <w:szCs w:val="24"/>
          <w:lang w:eastAsia="zh-CN"/>
        </w:rPr>
        <w:t>Δ</w:t>
      </w:r>
      <w:r>
        <w:rPr>
          <w:rFonts w:ascii="Times New Roman" w:hAnsi="Times New Roman" w:cs="Times New Roman"/>
          <w:i/>
          <w:kern w:val="0"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en-US"/>
        </w:rPr>
        <w:t>，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化整前的示值</w:t>
      </w:r>
      <w:r>
        <w:rPr>
          <w:rFonts w:ascii="Times New Roman" w:hAnsi="Times New Roman" w:cs="Times New Roman"/>
          <w:i/>
          <w:iCs/>
          <w:kern w:val="0"/>
          <w:sz w:val="24"/>
          <w:szCs w:val="24"/>
          <w:lang w:eastAsia="zh-CN"/>
        </w:rPr>
        <w:t>为</w:t>
      </w:r>
      <w:r>
        <w:rPr>
          <w:rFonts w:ascii="Times New Roman" w:hAnsi="Times New Roman" w:cs="Times New Roman"/>
          <w:i/>
          <w:iCs/>
          <w:kern w:val="0"/>
          <w:sz w:val="24"/>
          <w:szCs w:val="24"/>
          <w:lang w:val="en-US" w:eastAsia="zh-CN" w:bidi="en-US"/>
        </w:rPr>
        <w:t>P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 w:bidi="en-US"/>
        </w:rPr>
        <w:t>，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则</w:t>
      </w:r>
      <w:r>
        <w:rPr>
          <w:rFonts w:ascii="Times New Roman" w:hAnsi="Times New Roman" w:cs="Times New Roman"/>
          <w:i/>
          <w:iCs/>
          <w:kern w:val="0"/>
          <w:sz w:val="24"/>
          <w:szCs w:val="24"/>
          <w:lang w:val="en-US" w:eastAsia="zh-CN" w:bidi="en-US"/>
        </w:rPr>
        <w:t>P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由下列公式给出：</w:t>
      </w:r>
    </w:p>
    <w:p w14:paraId="608FC4DD">
      <w:pPr>
        <w:pStyle w:val="152"/>
        <w:tabs>
          <w:tab w:val="left" w:pos="6150"/>
        </w:tabs>
        <w:spacing w:line="360" w:lineRule="auto"/>
        <w:ind w:right="40"/>
        <w:jc w:val="right"/>
        <w:rPr>
          <w:kern w:val="0"/>
          <w:sz w:val="24"/>
          <w:szCs w:val="24"/>
          <w:lang w:eastAsia="zh-TW"/>
        </w:rPr>
      </w:pPr>
      <w:r>
        <w:rPr>
          <w:rFonts w:hint="eastAsia"/>
          <w:kern w:val="0"/>
          <w:sz w:val="24"/>
          <w:szCs w:val="24"/>
        </w:rPr>
        <w:t xml:space="preserve">             </w:t>
      </w:r>
      <w:r>
        <w:rPr>
          <w:kern w:val="0"/>
          <w:position w:val="-6"/>
          <w:sz w:val="24"/>
          <w:szCs w:val="24"/>
          <w:lang w:eastAsia="zh-TW"/>
        </w:rPr>
        <w:object>
          <v:shape id="_x0000_i1026" o:spt="75" type="#_x0000_t75" style="height:14.5pt;width:8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f"/>
            <w10:wrap type="none"/>
            <w10:anchorlock/>
          </v:shape>
          <o:OLEObject Type="Embed" ProgID="Equations" ShapeID="_x0000_i1026" DrawAspect="Content" ObjectID="_1468075726" r:id="rId16">
            <o:LockedField>false</o:LockedField>
          </o:OLEObject>
        </w:object>
      </w:r>
      <w:r>
        <w:rPr>
          <w:kern w:val="0"/>
          <w:sz w:val="24"/>
          <w:szCs w:val="24"/>
          <w:lang w:eastAsia="zh-TW"/>
        </w:rPr>
        <w:tab/>
      </w:r>
      <w:r>
        <w:rPr>
          <w:kern w:val="0"/>
          <w:sz w:val="24"/>
          <w:szCs w:val="24"/>
          <w:lang w:eastAsia="zh-TW"/>
        </w:rPr>
        <w:t>（2）</w:t>
      </w:r>
    </w:p>
    <w:p w14:paraId="06803412">
      <w:pPr>
        <w:pStyle w:val="151"/>
        <w:spacing w:after="0" w:line="360" w:lineRule="auto"/>
        <w:ind w:firstLine="480" w:firstLineChars="200"/>
        <w:jc w:val="left"/>
        <w:rPr>
          <w:rFonts w:ascii="Times New Roman" w:hAnsi="Times New Roman" w:cs="Times New Roman"/>
          <w:kern w:val="0"/>
          <w:sz w:val="24"/>
          <w:szCs w:val="24"/>
          <w:lang w:val="en-US"/>
        </w:rPr>
      </w:pPr>
      <w:r>
        <w:rPr>
          <w:rFonts w:ascii="Times New Roman" w:hAnsi="Times New Roman" w:cs="Times New Roman"/>
          <w:kern w:val="0"/>
          <w:sz w:val="24"/>
          <w:szCs w:val="24"/>
          <w:lang w:val="en-US"/>
        </w:rPr>
        <w:t>式中：</w:t>
      </w:r>
    </w:p>
    <w:p w14:paraId="7F5A4B96">
      <w:pPr>
        <w:pStyle w:val="151"/>
        <w:spacing w:after="0" w:line="360" w:lineRule="auto"/>
        <w:ind w:firstLine="480" w:firstLineChars="200"/>
        <w:jc w:val="left"/>
        <w:rPr>
          <w:rFonts w:ascii="Times New Roman" w:hAnsi="Times New Roman" w:cs="Times New Roman"/>
          <w:kern w:val="0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kern w:val="0"/>
          <w:sz w:val="24"/>
          <w:szCs w:val="24"/>
          <w:lang w:val="en-US" w:bidi="en-US"/>
        </w:rPr>
        <w:t>P</w:t>
      </w:r>
      <w:r>
        <w:rPr>
          <w:rFonts w:ascii="Times New Roman" w:hAnsi="Times New Roman" w:cs="Times New Roman"/>
          <w:kern w:val="0"/>
          <w:sz w:val="24"/>
          <w:szCs w:val="24"/>
          <w:lang w:val="en-US"/>
        </w:rPr>
        <w:t>——</w:t>
      </w:r>
      <w:r>
        <w:rPr>
          <w:rFonts w:ascii="Times New Roman" w:cs="Times New Roman"/>
          <w:bCs/>
          <w:color w:val="000000" w:themeColor="text1"/>
          <w:kern w:val="0"/>
          <w:sz w:val="24"/>
          <w:szCs w:val="24"/>
        </w:rPr>
        <w:t>化整前的</w:t>
      </w:r>
      <w:r>
        <w:rPr>
          <w:rFonts w:ascii="Times New Roman" w:cs="Times New Roman"/>
          <w:color w:val="000000" w:themeColor="text1"/>
          <w:kern w:val="0"/>
          <w:sz w:val="24"/>
        </w:rPr>
        <w:t>示值</w:t>
      </w:r>
      <w:r>
        <w:rPr>
          <w:rFonts w:ascii="Times New Roman" w:cs="Times New Roman"/>
          <w:color w:val="000000" w:themeColor="text1"/>
          <w:kern w:val="0"/>
          <w:sz w:val="24"/>
          <w:lang w:val="en-US"/>
        </w:rPr>
        <w:t>，</w:t>
      </w:r>
      <w:r>
        <w:rPr>
          <w:rFonts w:ascii="Times New Roman" w:hAnsi="Times New Roman" w:cs="Times New Roman"/>
          <w:kern w:val="0"/>
          <w:sz w:val="24"/>
          <w:szCs w:val="24"/>
          <w:lang w:val="en-US"/>
        </w:rPr>
        <w:t>t、kg或g；</w:t>
      </w:r>
    </w:p>
    <w:p w14:paraId="4612AA69">
      <w:pPr>
        <w:spacing w:line="360" w:lineRule="auto"/>
        <w:ind w:firstLine="480"/>
        <w:rPr>
          <w:color w:val="000000" w:themeColor="text1"/>
          <w:kern w:val="0"/>
          <w:sz w:val="24"/>
        </w:rPr>
      </w:pPr>
      <w:r>
        <w:rPr>
          <w:i/>
          <w:color w:val="000000" w:themeColor="text1"/>
          <w:kern w:val="0"/>
          <w:sz w:val="24"/>
        </w:rPr>
        <w:t>d</w:t>
      </w:r>
      <w:r>
        <w:rPr>
          <w:kern w:val="0"/>
          <w:sz w:val="24"/>
        </w:rPr>
        <w:t>——</w:t>
      </w:r>
      <w:r>
        <w:rPr>
          <w:color w:val="000000" w:themeColor="text1"/>
          <w:kern w:val="0"/>
          <w:sz w:val="24"/>
        </w:rPr>
        <w:t>分度值，</w:t>
      </w:r>
      <w:r>
        <w:rPr>
          <w:kern w:val="0"/>
          <w:sz w:val="24"/>
        </w:rPr>
        <w:t>t、</w:t>
      </w:r>
      <w:r>
        <w:rPr>
          <w:kern w:val="0"/>
          <w:sz w:val="24"/>
          <w:lang w:bidi="zh-TW"/>
        </w:rPr>
        <w:t>kg或g</w:t>
      </w:r>
      <w:r>
        <w:rPr>
          <w:color w:val="000000" w:themeColor="text1"/>
          <w:kern w:val="0"/>
          <w:sz w:val="24"/>
        </w:rPr>
        <w:t>；</w:t>
      </w:r>
    </w:p>
    <w:p w14:paraId="55204DCB">
      <w:pPr>
        <w:spacing w:line="360" w:lineRule="auto"/>
        <w:ind w:firstLine="480"/>
        <w:rPr>
          <w:color w:val="000000" w:themeColor="text1"/>
          <w:kern w:val="0"/>
          <w:sz w:val="24"/>
        </w:rPr>
      </w:pPr>
      <w:r>
        <w:rPr>
          <w:color w:val="000000"/>
          <w:kern w:val="0"/>
          <w:sz w:val="24"/>
        </w:rPr>
        <w:t>∆</w:t>
      </w:r>
      <w:r>
        <w:rPr>
          <w:i/>
          <w:color w:val="000000"/>
          <w:kern w:val="0"/>
          <w:sz w:val="24"/>
        </w:rPr>
        <w:t>L</w:t>
      </w:r>
      <w:r>
        <w:rPr>
          <w:i/>
          <w:color w:val="000000" w:themeColor="text1"/>
          <w:kern w:val="0"/>
          <w:sz w:val="24"/>
        </w:rPr>
        <w:t>——</w:t>
      </w:r>
      <w:r>
        <w:rPr>
          <w:color w:val="000000" w:themeColor="text1"/>
          <w:kern w:val="0"/>
          <w:sz w:val="24"/>
        </w:rPr>
        <w:t>附加砝码值，</w:t>
      </w:r>
      <w:r>
        <w:rPr>
          <w:kern w:val="0"/>
          <w:sz w:val="24"/>
        </w:rPr>
        <w:t>t、</w:t>
      </w:r>
      <w:r>
        <w:rPr>
          <w:kern w:val="0"/>
          <w:sz w:val="24"/>
          <w:lang w:bidi="zh-TW"/>
        </w:rPr>
        <w:t>kg或g</w:t>
      </w:r>
      <w:r>
        <w:rPr>
          <w:color w:val="000000" w:themeColor="text1"/>
          <w:kern w:val="0"/>
          <w:sz w:val="24"/>
        </w:rPr>
        <w:t>。</w:t>
      </w:r>
    </w:p>
    <w:p w14:paraId="535541CE">
      <w:pPr>
        <w:pStyle w:val="151"/>
        <w:spacing w:after="0" w:line="360" w:lineRule="auto"/>
        <w:ind w:firstLine="480" w:firstLineChars="200"/>
        <w:jc w:val="both"/>
        <w:rPr>
          <w:rFonts w:ascii="Times New Roman" w:hAnsi="Times New Roman" w:cs="Times New Roman"/>
          <w:kern w:val="0"/>
          <w:sz w:val="24"/>
          <w:szCs w:val="24"/>
          <w:lang w:eastAsia="zh-CN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化整前的误差为：</w:t>
      </w:r>
    </w:p>
    <w:p w14:paraId="08CA6C9B">
      <w:pPr>
        <w:pStyle w:val="152"/>
        <w:tabs>
          <w:tab w:val="left" w:pos="11375"/>
        </w:tabs>
        <w:wordWrap w:val="0"/>
        <w:spacing w:line="360" w:lineRule="auto"/>
        <w:jc w:val="right"/>
        <w:rPr>
          <w:kern w:val="0"/>
          <w:position w:val="-6"/>
          <w:sz w:val="24"/>
          <w:szCs w:val="24"/>
        </w:rPr>
      </w:pPr>
      <w:r>
        <w:rPr>
          <w:kern w:val="0"/>
          <w:position w:val="-6"/>
          <w:sz w:val="24"/>
          <w:szCs w:val="24"/>
          <w:lang w:eastAsia="zh-TW"/>
        </w:rPr>
        <w:object>
          <v:shape id="_x0000_i1027" o:spt="75" type="#_x0000_t75" style="height:14.5pt;width:13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f"/>
            <w10:wrap type="none"/>
            <w10:anchorlock/>
          </v:shape>
          <o:OLEObject Type="Embed" ProgID="Equations" ShapeID="_x0000_i1027" DrawAspect="Content" ObjectID="_1468075727" r:id="rId18">
            <o:LockedField>false</o:LockedField>
          </o:OLEObject>
        </w:object>
      </w:r>
      <w:r>
        <w:rPr>
          <w:kern w:val="0"/>
          <w:position w:val="-6"/>
          <w:sz w:val="24"/>
          <w:szCs w:val="24"/>
        </w:rPr>
        <w:t xml:space="preserve">                   （3）</w:t>
      </w:r>
    </w:p>
    <w:p w14:paraId="58B537F2">
      <w:pPr>
        <w:pStyle w:val="151"/>
        <w:spacing w:after="0" w:line="360" w:lineRule="auto"/>
        <w:ind w:firstLine="480" w:firstLineChars="200"/>
        <w:jc w:val="left"/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式中：</w:t>
      </w:r>
    </w:p>
    <w:p w14:paraId="3B301D40">
      <w:pPr>
        <w:spacing w:line="360" w:lineRule="auto"/>
        <w:ind w:firstLine="480"/>
        <w:rPr>
          <w:iCs/>
          <w:color w:val="000000" w:themeColor="text1"/>
          <w:kern w:val="0"/>
          <w:sz w:val="24"/>
        </w:rPr>
      </w:pPr>
      <w:r>
        <w:rPr>
          <w:i/>
          <w:color w:val="000000" w:themeColor="text1"/>
          <w:kern w:val="0"/>
          <w:sz w:val="24"/>
        </w:rPr>
        <w:t>E</w:t>
      </w:r>
      <w:bookmarkStart w:id="67" w:name="_Hlk156242689"/>
      <w:r>
        <w:rPr>
          <w:i/>
          <w:color w:val="000000" w:themeColor="text1"/>
          <w:kern w:val="0"/>
          <w:sz w:val="24"/>
        </w:rPr>
        <w:t xml:space="preserve"> —</w:t>
      </w:r>
      <w:r>
        <w:rPr>
          <w:iCs/>
          <w:color w:val="000000" w:themeColor="text1"/>
          <w:kern w:val="0"/>
          <w:sz w:val="24"/>
        </w:rPr>
        <w:t>—</w:t>
      </w:r>
      <w:bookmarkEnd w:id="67"/>
      <w:r>
        <w:rPr>
          <w:iCs/>
          <w:color w:val="000000" w:themeColor="text1"/>
          <w:kern w:val="0"/>
          <w:sz w:val="24"/>
        </w:rPr>
        <w:t>化整前的误差，</w:t>
      </w:r>
      <w:r>
        <w:rPr>
          <w:kern w:val="0"/>
          <w:sz w:val="24"/>
        </w:rPr>
        <w:t>t、</w:t>
      </w:r>
      <w:r>
        <w:rPr>
          <w:kern w:val="0"/>
          <w:sz w:val="24"/>
          <w:lang w:bidi="zh-TW"/>
        </w:rPr>
        <w:t>kg或g</w:t>
      </w:r>
      <w:r>
        <w:rPr>
          <w:iCs/>
          <w:color w:val="000000" w:themeColor="text1"/>
          <w:kern w:val="0"/>
          <w:sz w:val="24"/>
        </w:rPr>
        <w:t>；</w:t>
      </w:r>
    </w:p>
    <w:p w14:paraId="3FDEEE07">
      <w:pPr>
        <w:pStyle w:val="154"/>
        <w:spacing w:line="360" w:lineRule="auto"/>
        <w:rPr>
          <w:rFonts w:ascii="Times New Roman" w:hAnsi="Times New Roman" w:cs="Times New Roman"/>
          <w:kern w:val="0"/>
          <w:lang w:eastAsia="zh-CN"/>
        </w:rPr>
      </w:pPr>
      <w:r>
        <w:rPr>
          <w:rFonts w:ascii="Times New Roman" w:hAnsi="Times New Roman" w:cs="Times New Roman"/>
          <w:kern w:val="0"/>
          <w:sz w:val="24"/>
          <w:lang w:eastAsia="zh-CN"/>
        </w:rPr>
        <w:t>化整前的修正误差</w:t>
      </w:r>
      <w:r>
        <w:rPr>
          <w:rFonts w:ascii="Times New Roman" w:hAnsi="Times New Roman" w:cs="Times New Roman"/>
          <w:i/>
          <w:kern w:val="0"/>
          <w:sz w:val="24"/>
          <w:lang w:val="en-US" w:eastAsia="zh-CN"/>
        </w:rPr>
        <w:t>E</w:t>
      </w:r>
      <w:r>
        <w:rPr>
          <w:rFonts w:ascii="Times New Roman" w:hAnsi="Times New Roman" w:cs="Times New Roman"/>
          <w:iCs/>
          <w:kern w:val="0"/>
          <w:sz w:val="24"/>
          <w:vertAlign w:val="subscript"/>
          <w:lang w:val="en-US" w:eastAsia="zh-CN"/>
        </w:rPr>
        <w:t>c</w:t>
      </w:r>
      <w:r>
        <w:rPr>
          <w:rFonts w:ascii="Times New Roman" w:hAnsi="Times New Roman" w:cs="Times New Roman"/>
          <w:kern w:val="0"/>
          <w:sz w:val="24"/>
          <w:lang w:eastAsia="zh-CN"/>
        </w:rPr>
        <w:t>为</w:t>
      </w:r>
      <w:r>
        <w:rPr>
          <w:rFonts w:ascii="Times New Roman" w:hAnsi="Times New Roman" w:cs="Times New Roman"/>
          <w:kern w:val="0"/>
          <w:lang w:eastAsia="zh-CN"/>
        </w:rPr>
        <w:t>：</w:t>
      </w:r>
    </w:p>
    <w:p w14:paraId="665E4AD9">
      <w:pPr>
        <w:pStyle w:val="152"/>
        <w:tabs>
          <w:tab w:val="left" w:pos="4425"/>
        </w:tabs>
        <w:spacing w:line="360" w:lineRule="auto"/>
        <w:ind w:right="140"/>
        <w:jc w:val="right"/>
        <w:rPr>
          <w:kern w:val="0"/>
          <w:sz w:val="24"/>
          <w:szCs w:val="24"/>
          <w:lang w:eastAsia="zh-TW"/>
        </w:rPr>
      </w:pPr>
      <w:r>
        <w:rPr>
          <w:i/>
          <w:kern w:val="0"/>
          <w:sz w:val="24"/>
          <w:szCs w:val="24"/>
          <w:lang w:eastAsia="zh-TW"/>
        </w:rPr>
        <w:t>E</w:t>
      </w:r>
      <w:r>
        <w:rPr>
          <w:iCs/>
          <w:kern w:val="0"/>
          <w:sz w:val="24"/>
          <w:szCs w:val="24"/>
          <w:vertAlign w:val="subscript"/>
          <w:lang w:eastAsia="zh-TW"/>
        </w:rPr>
        <w:t>c</w:t>
      </w:r>
      <w:r>
        <w:rPr>
          <w:i/>
          <w:iCs/>
          <w:kern w:val="0"/>
          <w:sz w:val="24"/>
          <w:szCs w:val="24"/>
          <w:lang w:eastAsia="zh-TW"/>
        </w:rPr>
        <w:t xml:space="preserve">= E - </w:t>
      </w:r>
      <w:r>
        <w:rPr>
          <w:i/>
          <w:kern w:val="0"/>
          <w:sz w:val="24"/>
          <w:szCs w:val="24"/>
          <w:lang w:eastAsia="zh-TW"/>
        </w:rPr>
        <w:t>E</w:t>
      </w:r>
      <w:r>
        <w:rPr>
          <w:iCs/>
          <w:kern w:val="0"/>
          <w:sz w:val="24"/>
          <w:szCs w:val="24"/>
          <w:vertAlign w:val="subscript"/>
          <w:lang w:eastAsia="zh-TW"/>
        </w:rPr>
        <w:t>0</w:t>
      </w:r>
      <w:r>
        <w:rPr>
          <w:kern w:val="0"/>
          <w:sz w:val="24"/>
          <w:szCs w:val="24"/>
          <w:lang w:eastAsia="zh-TW"/>
        </w:rPr>
        <w:tab/>
      </w:r>
      <w:r>
        <w:rPr>
          <w:kern w:val="0"/>
          <w:sz w:val="24"/>
          <w:szCs w:val="24"/>
          <w:lang w:eastAsia="zh-TW"/>
        </w:rPr>
        <w:t>（4）</w:t>
      </w:r>
    </w:p>
    <w:p w14:paraId="4A6A4B89">
      <w:pPr>
        <w:pStyle w:val="152"/>
        <w:tabs>
          <w:tab w:val="left" w:pos="4425"/>
        </w:tabs>
        <w:spacing w:line="360" w:lineRule="auto"/>
        <w:ind w:right="140" w:firstLine="480" w:firstLineChars="200"/>
        <w:jc w:val="left"/>
        <w:rPr>
          <w:i/>
          <w:iCs/>
          <w:kern w:val="0"/>
          <w:sz w:val="24"/>
          <w:szCs w:val="24"/>
          <w:lang w:eastAsia="zh-TW"/>
        </w:rPr>
      </w:pPr>
      <w:r>
        <w:rPr>
          <w:kern w:val="0"/>
          <w:sz w:val="24"/>
          <w:szCs w:val="24"/>
          <w:lang w:eastAsia="zh-TW"/>
        </w:rPr>
        <w:t>式中：</w:t>
      </w:r>
    </w:p>
    <w:p w14:paraId="6AE0A567">
      <w:pPr>
        <w:pStyle w:val="151"/>
        <w:spacing w:after="0" w:line="360" w:lineRule="auto"/>
        <w:ind w:firstLine="480" w:firstLineChars="200"/>
        <w:jc w:val="left"/>
        <w:rPr>
          <w:rFonts w:ascii="Times New Roman" w:hAnsi="Times New Roman" w:cs="Times New Roman"/>
          <w:kern w:val="0"/>
          <w:position w:val="-6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kern w:val="0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kern w:val="0"/>
          <w:sz w:val="24"/>
          <w:szCs w:val="24"/>
          <w:vertAlign w:val="subscript"/>
          <w:lang w:val="en-US"/>
        </w:rPr>
        <w:t>c</w:t>
      </w:r>
      <w:r>
        <w:rPr>
          <w:rFonts w:ascii="Times New Roman" w:hAnsi="Times New Roman" w:cs="Times New Roman"/>
          <w:kern w:val="0"/>
          <w:sz w:val="24"/>
          <w:szCs w:val="24"/>
          <w:lang w:val="en-US"/>
        </w:rPr>
        <w:t>——化整前的修正误差，t、kg或g；</w:t>
      </w:r>
    </w:p>
    <w:p w14:paraId="47364A11">
      <w:pPr>
        <w:pStyle w:val="151"/>
        <w:spacing w:after="0" w:line="360" w:lineRule="auto"/>
        <w:ind w:firstLine="480" w:firstLineChars="200"/>
        <w:jc w:val="left"/>
        <w:rPr>
          <w:rFonts w:ascii="Times New Roman" w:hAnsi="Times New Roman" w:cs="Times New Roman"/>
          <w:kern w:val="0"/>
          <w:sz w:val="24"/>
          <w:szCs w:val="24"/>
          <w:lang w:eastAsia="zh-CN"/>
        </w:rPr>
      </w:pPr>
      <w:r>
        <w:rPr>
          <w:rFonts w:ascii="Times New Roman" w:hAnsi="Times New Roman" w:cs="Times New Roman"/>
          <w:i/>
          <w:iCs/>
          <w:kern w:val="0"/>
          <w:sz w:val="24"/>
          <w:szCs w:val="24"/>
          <w:lang w:val="en-US" w:eastAsia="zh-CN"/>
        </w:rPr>
        <w:t>E</w:t>
      </w:r>
      <w:r>
        <w:rPr>
          <w:rFonts w:ascii="Times New Roman" w:hAnsi="Times New Roman" w:cs="Times New Roman"/>
          <w:kern w:val="0"/>
          <w:sz w:val="24"/>
          <w:szCs w:val="24"/>
          <w:vertAlign w:val="subscript"/>
          <w:lang w:val="en-US" w:eastAsia="zh-CN"/>
        </w:rPr>
        <w:t>0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——零点或零点附近（如10</w:t>
      </w:r>
      <w:r>
        <w:rPr>
          <w:rFonts w:ascii="Times New Roman" w:hAnsi="Times New Roman" w:cs="Times New Roman"/>
          <w:i/>
          <w:iCs/>
          <w:kern w:val="0"/>
          <w:sz w:val="24"/>
          <w:szCs w:val="24"/>
          <w:lang w:val="en-US" w:eastAsia="zh-CN"/>
        </w:rPr>
        <w:t>d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）的误差，t、kg或g；</w:t>
      </w:r>
    </w:p>
    <w:p w14:paraId="08C44C84">
      <w:pPr>
        <w:pStyle w:val="151"/>
        <w:spacing w:after="0" w:line="360" w:lineRule="auto"/>
        <w:ind w:firstLine="480" w:firstLineChars="200"/>
        <w:jc w:val="both"/>
        <w:rPr>
          <w:rFonts w:ascii="Times New Roman" w:hAnsi="Times New Roman" w:cs="Times New Roman"/>
          <w:kern w:val="0"/>
          <w:sz w:val="24"/>
          <w:szCs w:val="24"/>
          <w:lang w:eastAsia="zh-CN"/>
        </w:rPr>
      </w:pP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示例：一台</w:t>
      </w:r>
      <w:r>
        <w:rPr>
          <w:rFonts w:ascii="Times New Roman" w:hAnsi="Times New Roman" w:cs="Times New Roman"/>
          <w:i/>
          <w:iCs/>
          <w:kern w:val="0"/>
          <w:sz w:val="24"/>
          <w:szCs w:val="24"/>
          <w:lang w:val="en-US" w:eastAsia="zh-CN" w:bidi="en-US"/>
        </w:rPr>
        <w:t>d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 w:bidi="en-US"/>
        </w:rPr>
        <w:t>=1 kg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的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叉车秤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，加放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 w:bidi="en-US"/>
        </w:rPr>
        <w:t>500kg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的载荷，示值为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 w:bidi="en-US"/>
        </w:rPr>
        <w:t>500kg</w:t>
      </w:r>
      <w:r>
        <w:rPr>
          <w:rFonts w:ascii="Times New Roman" w:hAnsi="Times New Roman" w:cs="Times New Roman"/>
          <w:kern w:val="0"/>
          <w:sz w:val="24"/>
          <w:szCs w:val="24"/>
          <w:lang w:eastAsia="zh-CN" w:bidi="en-US"/>
        </w:rPr>
        <w:t>。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逐一加放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 w:bidi="en-US"/>
        </w:rPr>
        <w:t>100g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的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砝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码，示值由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 w:bidi="en-US"/>
        </w:rPr>
        <w:t>500kg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变为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 w:bidi="en-US"/>
        </w:rPr>
        <w:t>501kg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时，附加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  <w:t>砝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码为</w:t>
      </w:r>
      <w:r>
        <w:rPr>
          <w:rFonts w:ascii="Times New Roman" w:hAnsi="Times New Roman" w:cs="Times New Roman"/>
          <w:kern w:val="0"/>
          <w:sz w:val="24"/>
          <w:szCs w:val="24"/>
          <w:lang w:val="en-US" w:eastAsia="zh-CN" w:bidi="en-US"/>
        </w:rPr>
        <w:t>600g，</w:t>
      </w:r>
      <w:r>
        <w:rPr>
          <w:rFonts w:ascii="Times New Roman" w:hAnsi="Times New Roman" w:cs="Times New Roman"/>
          <w:kern w:val="0"/>
          <w:sz w:val="24"/>
          <w:szCs w:val="24"/>
          <w:lang w:eastAsia="zh-CN"/>
        </w:rPr>
        <w:t>代入上述公式得：</w:t>
      </w:r>
    </w:p>
    <w:p w14:paraId="6DB80B5D">
      <w:pPr>
        <w:pStyle w:val="152"/>
        <w:spacing w:line="360" w:lineRule="auto"/>
        <w:jc w:val="center"/>
        <w:rPr>
          <w:i/>
          <w:kern w:val="0"/>
          <w:sz w:val="24"/>
          <w:szCs w:val="24"/>
        </w:rPr>
      </w:pPr>
      <w:r>
        <w:rPr>
          <w:i/>
          <w:kern w:val="0"/>
          <w:sz w:val="24"/>
          <w:szCs w:val="24"/>
        </w:rPr>
        <w:t>P</w:t>
      </w:r>
      <w:r>
        <w:rPr>
          <w:kern w:val="0"/>
          <w:sz w:val="24"/>
          <w:szCs w:val="24"/>
        </w:rPr>
        <w:t xml:space="preserve"> =</w:t>
      </w:r>
      <w:r>
        <w:rPr>
          <w:kern w:val="0"/>
          <w:sz w:val="24"/>
          <w:szCs w:val="24"/>
          <w:lang w:val="zh-TW" w:bidi="zh-TW"/>
        </w:rPr>
        <w:t>（</w:t>
      </w:r>
      <w:r>
        <w:rPr>
          <w:kern w:val="0"/>
          <w:sz w:val="24"/>
          <w:szCs w:val="24"/>
          <w:lang w:bidi="zh-TW"/>
        </w:rPr>
        <w:t>500</w:t>
      </w:r>
      <w:r>
        <w:rPr>
          <w:kern w:val="0"/>
          <w:sz w:val="24"/>
          <w:szCs w:val="24"/>
          <w:lang w:val="zh-TW" w:bidi="zh-TW"/>
        </w:rPr>
        <w:t>+</w:t>
      </w:r>
      <w:r>
        <w:rPr>
          <w:kern w:val="0"/>
          <w:sz w:val="24"/>
          <w:szCs w:val="24"/>
          <w:lang w:bidi="zh-TW"/>
        </w:rPr>
        <w:t>0.5</w:t>
      </w:r>
      <w:r>
        <w:rPr>
          <w:kern w:val="0"/>
          <w:sz w:val="24"/>
          <w:szCs w:val="24"/>
          <w:lang w:val="zh-TW" w:bidi="zh-TW"/>
        </w:rPr>
        <w:t>-</w:t>
      </w:r>
      <w:r>
        <w:rPr>
          <w:kern w:val="0"/>
          <w:sz w:val="24"/>
          <w:szCs w:val="24"/>
          <w:lang w:bidi="zh-TW"/>
        </w:rPr>
        <w:t>0.6</w:t>
      </w:r>
      <w:r>
        <w:rPr>
          <w:kern w:val="0"/>
          <w:sz w:val="24"/>
          <w:szCs w:val="24"/>
          <w:lang w:val="zh-TW" w:bidi="zh-TW"/>
        </w:rPr>
        <w:t>）</w:t>
      </w:r>
      <w:r>
        <w:rPr>
          <w:kern w:val="0"/>
          <w:sz w:val="24"/>
          <w:szCs w:val="24"/>
          <w:lang w:bidi="zh-TW"/>
        </w:rPr>
        <w:t>k</w:t>
      </w:r>
      <w:r>
        <w:rPr>
          <w:kern w:val="0"/>
          <w:sz w:val="24"/>
          <w:szCs w:val="24"/>
        </w:rPr>
        <w:t xml:space="preserve">g </w:t>
      </w:r>
      <w:r>
        <w:rPr>
          <w:kern w:val="0"/>
          <w:sz w:val="24"/>
          <w:szCs w:val="24"/>
          <w:lang w:val="zh-TW" w:bidi="zh-TW"/>
        </w:rPr>
        <w:t xml:space="preserve">= </w:t>
      </w:r>
      <w:r>
        <w:rPr>
          <w:kern w:val="0"/>
          <w:sz w:val="24"/>
          <w:szCs w:val="24"/>
        </w:rPr>
        <w:t>499.9 kg</w:t>
      </w:r>
    </w:p>
    <w:p w14:paraId="4898DD74">
      <w:pPr>
        <w:pStyle w:val="153"/>
        <w:spacing w:after="0" w:line="360" w:lineRule="auto"/>
        <w:ind w:firstLine="480" w:firstLineChars="200"/>
        <w:rPr>
          <w:kern w:val="0"/>
          <w:sz w:val="24"/>
          <w:szCs w:val="24"/>
          <w:lang w:val="zh-CN" w:eastAsia="zh-CN" w:bidi="zh-CN"/>
        </w:rPr>
      </w:pPr>
      <w:r>
        <w:rPr>
          <w:kern w:val="0"/>
          <w:sz w:val="24"/>
          <w:szCs w:val="24"/>
          <w:lang w:eastAsia="zh-CN"/>
        </w:rPr>
        <w:t>因此，化整前的实际示值为</w:t>
      </w:r>
      <w:r>
        <w:rPr>
          <w:kern w:val="0"/>
          <w:sz w:val="24"/>
          <w:szCs w:val="24"/>
          <w:lang w:val="en-US" w:eastAsia="zh-CN" w:bidi="en-US"/>
        </w:rPr>
        <w:t>499.9 kg</w:t>
      </w:r>
      <w:r>
        <w:rPr>
          <w:kern w:val="0"/>
          <w:sz w:val="24"/>
          <w:szCs w:val="24"/>
          <w:lang w:eastAsia="zh-CN" w:bidi="en-US"/>
        </w:rPr>
        <w:t>，</w:t>
      </w:r>
      <w:r>
        <w:rPr>
          <w:kern w:val="0"/>
          <w:sz w:val="24"/>
          <w:szCs w:val="24"/>
          <w:lang w:eastAsia="zh-CN"/>
        </w:rPr>
        <w:t>化整前的示值误差</w:t>
      </w:r>
      <w:r>
        <w:rPr>
          <w:kern w:val="0"/>
          <w:sz w:val="24"/>
          <w:szCs w:val="24"/>
          <w:lang w:val="zh-CN" w:eastAsia="zh-CN" w:bidi="zh-CN"/>
        </w:rPr>
        <w:t>：</w:t>
      </w:r>
    </w:p>
    <w:p w14:paraId="2B748FEC">
      <w:pPr>
        <w:pStyle w:val="153"/>
        <w:spacing w:after="0" w:line="360" w:lineRule="auto"/>
        <w:jc w:val="center"/>
        <w:rPr>
          <w:kern w:val="0"/>
          <w:sz w:val="24"/>
          <w:szCs w:val="24"/>
          <w:lang w:eastAsia="zh-CN"/>
        </w:rPr>
      </w:pPr>
      <w:r>
        <w:rPr>
          <w:i/>
          <w:kern w:val="0"/>
          <w:sz w:val="24"/>
          <w:szCs w:val="24"/>
          <w:lang w:val="zh-CN" w:eastAsia="zh-CN" w:bidi="zh-CN"/>
        </w:rPr>
        <w:t>E</w:t>
      </w:r>
      <w:r>
        <w:rPr>
          <w:kern w:val="0"/>
          <w:sz w:val="24"/>
          <w:szCs w:val="24"/>
          <w:lang w:val="zh-CN" w:eastAsia="zh-CN" w:bidi="zh-CN"/>
        </w:rPr>
        <w:t>=</w:t>
      </w:r>
      <w:r>
        <w:rPr>
          <w:kern w:val="0"/>
          <w:sz w:val="24"/>
          <w:szCs w:val="24"/>
          <w:lang w:val="en-US" w:eastAsia="zh-CN" w:bidi="en-US"/>
        </w:rPr>
        <w:t>（499.9-500）kg = -0.1 kg</w:t>
      </w:r>
    </w:p>
    <w:p w14:paraId="31C20FFA">
      <w:pPr>
        <w:pStyle w:val="154"/>
        <w:spacing w:line="360" w:lineRule="auto"/>
        <w:rPr>
          <w:rFonts w:ascii="Times New Roman" w:hAnsi="Times New Roman" w:cs="Times New Roman"/>
          <w:kern w:val="0"/>
          <w:sz w:val="24"/>
          <w:lang w:eastAsia="zh-CN"/>
        </w:rPr>
      </w:pPr>
      <w:r>
        <w:rPr>
          <w:rFonts w:ascii="Times New Roman" w:hAnsi="Times New Roman" w:cs="Times New Roman"/>
          <w:kern w:val="0"/>
          <w:sz w:val="24"/>
          <w:lang w:val="en-US" w:eastAsia="zh-CN"/>
        </w:rPr>
        <w:t>假如</w:t>
      </w:r>
      <w:r>
        <w:rPr>
          <w:rFonts w:ascii="Times New Roman" w:hAnsi="Times New Roman" w:cs="Times New Roman"/>
          <w:kern w:val="0"/>
          <w:sz w:val="24"/>
          <w:lang w:eastAsia="zh-CN"/>
        </w:rPr>
        <w:t>零</w:t>
      </w:r>
      <w:r>
        <w:rPr>
          <w:rFonts w:ascii="Times New Roman" w:hAnsi="Times New Roman" w:cs="Times New Roman"/>
          <w:kern w:val="0"/>
          <w:sz w:val="24"/>
          <w:lang w:val="en-US" w:eastAsia="zh-CN"/>
        </w:rPr>
        <w:t>点</w:t>
      </w:r>
      <w:r>
        <w:rPr>
          <w:rFonts w:ascii="Times New Roman" w:hAnsi="Times New Roman" w:cs="Times New Roman"/>
          <w:kern w:val="0"/>
          <w:sz w:val="24"/>
          <w:lang w:eastAsia="zh-CN"/>
        </w:rPr>
        <w:t>误差</w:t>
      </w:r>
      <w:r>
        <w:rPr>
          <w:rFonts w:ascii="Times New Roman" w:hAnsi="Times New Roman" w:cs="Times New Roman"/>
          <w:kern w:val="0"/>
          <w:sz w:val="24"/>
          <w:lang w:val="en-US" w:eastAsia="zh-CN"/>
        </w:rPr>
        <w:t>是</w:t>
      </w:r>
      <w:r>
        <w:rPr>
          <w:rFonts w:ascii="Times New Roman" w:hAnsi="Times New Roman" w:cs="Times New Roman"/>
          <w:i/>
          <w:kern w:val="0"/>
          <w:sz w:val="24"/>
          <w:lang w:eastAsia="zh-CN"/>
        </w:rPr>
        <w:t>E</w:t>
      </w:r>
      <w:r>
        <w:rPr>
          <w:rFonts w:ascii="Times New Roman" w:hAnsi="Times New Roman" w:cs="Times New Roman"/>
          <w:iCs/>
          <w:kern w:val="0"/>
          <w:sz w:val="24"/>
          <w:vertAlign w:val="subscript"/>
          <w:lang w:eastAsia="zh-CN"/>
        </w:rPr>
        <w:t>0</w:t>
      </w:r>
      <w:r>
        <w:rPr>
          <w:rFonts w:ascii="Times New Roman" w:hAnsi="Times New Roman" w:cs="Times New Roman"/>
          <w:i/>
          <w:iCs/>
          <w:kern w:val="0"/>
          <w:sz w:val="24"/>
          <w:lang w:eastAsia="zh-CN"/>
        </w:rPr>
        <w:t>=</w:t>
      </w:r>
      <w:r>
        <w:rPr>
          <w:rFonts w:ascii="Times New Roman" w:hAnsi="Times New Roman" w:cs="Times New Roman"/>
          <w:kern w:val="0"/>
          <w:sz w:val="24"/>
          <w:lang w:val="en-US" w:eastAsia="zh-CN"/>
        </w:rPr>
        <w:t>0.1k</w:t>
      </w:r>
      <w:r>
        <w:rPr>
          <w:rFonts w:ascii="Times New Roman" w:hAnsi="Times New Roman" w:cs="Times New Roman"/>
          <w:kern w:val="0"/>
          <w:sz w:val="24"/>
          <w:lang w:eastAsia="zh-CN"/>
        </w:rPr>
        <w:t>g，</w:t>
      </w:r>
      <w:r>
        <w:rPr>
          <w:rFonts w:ascii="Times New Roman" w:hAnsi="Times New Roman" w:cs="Times New Roman"/>
          <w:kern w:val="0"/>
          <w:sz w:val="24"/>
          <w:lang w:val="en-US" w:eastAsia="zh-CN"/>
        </w:rPr>
        <w:t>则</w:t>
      </w:r>
      <w:r>
        <w:rPr>
          <w:rFonts w:ascii="Times New Roman" w:hAnsi="Times New Roman" w:cs="Times New Roman"/>
          <w:kern w:val="0"/>
          <w:sz w:val="24"/>
          <w:lang w:eastAsia="zh-CN"/>
        </w:rPr>
        <w:t>修正误差为：</w:t>
      </w:r>
    </w:p>
    <w:p w14:paraId="7CEBA8FB">
      <w:pPr>
        <w:pStyle w:val="153"/>
        <w:spacing w:after="0" w:line="360" w:lineRule="auto"/>
        <w:jc w:val="center"/>
        <w:rPr>
          <w:kern w:val="0"/>
          <w:sz w:val="24"/>
          <w:lang w:eastAsia="zh-CN"/>
        </w:rPr>
      </w:pPr>
      <w:r>
        <w:rPr>
          <w:i/>
          <w:kern w:val="0"/>
          <w:sz w:val="24"/>
          <w:szCs w:val="24"/>
        </w:rPr>
        <w:t>E</w:t>
      </w:r>
      <w:r>
        <w:rPr>
          <w:iCs/>
          <w:kern w:val="0"/>
          <w:sz w:val="24"/>
          <w:szCs w:val="24"/>
          <w:vertAlign w:val="subscript"/>
        </w:rPr>
        <w:t>c</w:t>
      </w:r>
      <w:r>
        <w:rPr>
          <w:kern w:val="0"/>
          <w:sz w:val="24"/>
          <w:szCs w:val="24"/>
          <w:lang w:val="en-US" w:eastAsia="zh-CN" w:bidi="en-US"/>
        </w:rPr>
        <w:t>= -0.1</w:t>
      </w:r>
      <w:r>
        <w:rPr>
          <w:kern w:val="0"/>
          <w:sz w:val="24"/>
          <w:szCs w:val="24"/>
          <w:lang w:eastAsia="zh-CN" w:bidi="en-US"/>
        </w:rPr>
        <w:t>-（</w:t>
      </w:r>
      <w:r>
        <w:rPr>
          <w:kern w:val="0"/>
          <w:sz w:val="24"/>
          <w:szCs w:val="24"/>
          <w:lang w:val="en-US" w:eastAsia="zh-CN" w:bidi="en-US"/>
        </w:rPr>
        <w:t>+0.1</w:t>
      </w:r>
      <w:r>
        <w:rPr>
          <w:kern w:val="0"/>
          <w:sz w:val="24"/>
          <w:szCs w:val="24"/>
          <w:lang w:eastAsia="zh-CN" w:bidi="en-US"/>
        </w:rPr>
        <w:t>）</w:t>
      </w:r>
      <w:r>
        <w:rPr>
          <w:kern w:val="0"/>
          <w:sz w:val="24"/>
          <w:szCs w:val="24"/>
          <w:lang w:val="en-US" w:eastAsia="zh-CN" w:bidi="en-US"/>
        </w:rPr>
        <w:t>=-0.2 kg</w:t>
      </w:r>
    </w:p>
    <w:p w14:paraId="77BEAA1A">
      <w:pPr>
        <w:spacing w:line="360" w:lineRule="auto"/>
        <w:outlineLvl w:val="1"/>
        <w:rPr>
          <w:kern w:val="0"/>
          <w:sz w:val="24"/>
        </w:rPr>
      </w:pPr>
      <w:r>
        <w:rPr>
          <w:kern w:val="0"/>
          <w:sz w:val="24"/>
        </w:rPr>
        <w:t>7.2.3  称量示值误差</w:t>
      </w:r>
    </w:p>
    <w:p w14:paraId="6890B0A3">
      <w:pPr>
        <w:spacing w:line="360" w:lineRule="auto"/>
        <w:ind w:firstLine="480" w:firstLineChars="200"/>
        <w:outlineLvl w:val="1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在车身和叉齿处于水平条件下进行校准</w:t>
      </w:r>
      <w:r>
        <w:rPr>
          <w:b/>
          <w:bCs/>
          <w:kern w:val="0"/>
          <w:sz w:val="24"/>
        </w:rPr>
        <w:t>。</w:t>
      </w:r>
      <w:r>
        <w:rPr>
          <w:color w:val="000000" w:themeColor="text1"/>
          <w:kern w:val="0"/>
          <w:sz w:val="24"/>
        </w:rPr>
        <w:t>按照用户的要求选取称量点。如用户无特殊要求，可以根据叉车秤的计量特性选取称量点进行校准，</w:t>
      </w:r>
      <w:r>
        <w:rPr>
          <w:bCs/>
          <w:kern w:val="0"/>
          <w:sz w:val="24"/>
        </w:rPr>
        <w:t>通常选取不少于3不同称量点，至少应包含最小秤量、最大秤量50%和最大秤量（或接近最大秤量）。</w:t>
      </w:r>
    </w:p>
    <w:p w14:paraId="11D54D89">
      <w:pPr>
        <w:spacing w:line="360" w:lineRule="auto"/>
        <w:ind w:firstLine="480" w:firstLineChars="200"/>
        <w:outlineLvl w:val="1"/>
        <w:rPr>
          <w:bCs/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将砝码从零点增加至最大秤量，如被校叉车秤具备扩展指示装置各称量点的</w:t>
      </w:r>
      <w:r>
        <w:rPr>
          <w:bCs/>
          <w:color w:val="000000" w:themeColor="text1"/>
          <w:kern w:val="0"/>
          <w:sz w:val="24"/>
        </w:rPr>
        <w:t>示值误差</w:t>
      </w:r>
      <w:r>
        <w:rPr>
          <w:bCs/>
          <w:i/>
          <w:color w:val="000000" w:themeColor="text1"/>
          <w:kern w:val="0"/>
          <w:sz w:val="24"/>
        </w:rPr>
        <w:t>E</w:t>
      </w:r>
      <w:r>
        <w:rPr>
          <w:color w:val="000000" w:themeColor="text1"/>
          <w:kern w:val="0"/>
          <w:sz w:val="24"/>
        </w:rPr>
        <w:t>按照</w:t>
      </w:r>
      <w:r>
        <w:rPr>
          <w:bCs/>
          <w:color w:val="000000" w:themeColor="text1"/>
          <w:kern w:val="0"/>
          <w:sz w:val="24"/>
        </w:rPr>
        <w:t>公式（1）进行计算，不具备</w:t>
      </w:r>
      <w:r>
        <w:rPr>
          <w:color w:val="000000" w:themeColor="text1"/>
          <w:kern w:val="0"/>
          <w:sz w:val="24"/>
        </w:rPr>
        <w:t>扩展指示装置叉车秤各称量点的</w:t>
      </w:r>
      <w:r>
        <w:rPr>
          <w:bCs/>
          <w:color w:val="000000" w:themeColor="text1"/>
          <w:kern w:val="0"/>
          <w:sz w:val="24"/>
        </w:rPr>
        <w:t>示值误差</w:t>
      </w:r>
      <w:r>
        <w:rPr>
          <w:bCs/>
          <w:i/>
          <w:color w:val="000000" w:themeColor="text1"/>
          <w:kern w:val="0"/>
          <w:sz w:val="24"/>
        </w:rPr>
        <w:t>E</w:t>
      </w:r>
      <w:r>
        <w:rPr>
          <w:color w:val="000000" w:themeColor="text1"/>
          <w:kern w:val="0"/>
          <w:sz w:val="24"/>
        </w:rPr>
        <w:t>按照</w:t>
      </w:r>
      <w:r>
        <w:rPr>
          <w:bCs/>
          <w:color w:val="000000" w:themeColor="text1"/>
          <w:kern w:val="0"/>
          <w:sz w:val="24"/>
        </w:rPr>
        <w:t>公式（3）进行计算。</w:t>
      </w:r>
    </w:p>
    <w:p w14:paraId="3F0C3EF6">
      <w:pPr>
        <w:pStyle w:val="151"/>
        <w:spacing w:after="0" w:line="300" w:lineRule="auto"/>
        <w:ind w:firstLine="420" w:firstLineChars="200"/>
        <w:jc w:val="both"/>
        <w:rPr>
          <w:rFonts w:ascii="Times New Roman" w:hAnsi="Times New Roman" w:eastAsia="仿宋" w:cs="Times New Roman"/>
          <w:kern w:val="0"/>
          <w:sz w:val="21"/>
          <w:szCs w:val="21"/>
          <w:lang w:val="en-US" w:eastAsia="zh-CN"/>
        </w:rPr>
      </w:pPr>
      <w:r>
        <w:rPr>
          <w:rFonts w:ascii="Times New Roman" w:hAnsi="Times New Roman" w:eastAsia="仿宋" w:cs="Times New Roman"/>
          <w:kern w:val="0"/>
          <w:sz w:val="21"/>
          <w:szCs w:val="21"/>
          <w:lang w:val="en-US" w:eastAsia="zh-CN"/>
        </w:rPr>
        <w:t>注：1.在校准过程中加载砝码时，应逐渐的递增。</w:t>
      </w:r>
    </w:p>
    <w:p w14:paraId="53D83410">
      <w:pPr>
        <w:spacing w:line="300" w:lineRule="auto"/>
        <w:jc w:val="left"/>
        <w:rPr>
          <w:rFonts w:eastAsia="仿宋"/>
          <w:kern w:val="0"/>
          <w:szCs w:val="21"/>
        </w:rPr>
      </w:pPr>
      <w:r>
        <w:rPr>
          <w:rFonts w:eastAsia="仿宋"/>
          <w:bCs/>
          <w:kern w:val="0"/>
          <w:szCs w:val="21"/>
        </w:rPr>
        <w:t xml:space="preserve">        2.如果叉车秤具有自动置零和零点跟踪功能，此时应处于不运行状态。</w:t>
      </w:r>
    </w:p>
    <w:p w14:paraId="28523BB5">
      <w:pPr>
        <w:spacing w:line="360" w:lineRule="auto"/>
        <w:outlineLvl w:val="1"/>
        <w:rPr>
          <w:bCs/>
          <w:kern w:val="0"/>
          <w:sz w:val="24"/>
        </w:rPr>
      </w:pPr>
      <w:r>
        <w:rPr>
          <w:bCs/>
          <w:kern w:val="0"/>
          <w:sz w:val="24"/>
        </w:rPr>
        <w:t>7.2.4  仰角/倾角</w:t>
      </w:r>
      <w:r>
        <w:rPr>
          <w:rFonts w:hint="eastAsia"/>
          <w:bCs/>
          <w:kern w:val="0"/>
          <w:sz w:val="24"/>
        </w:rPr>
        <w:t>变化的</w:t>
      </w:r>
      <w:r>
        <w:rPr>
          <w:bCs/>
          <w:kern w:val="0"/>
          <w:sz w:val="24"/>
        </w:rPr>
        <w:t>示值误差</w:t>
      </w:r>
    </w:p>
    <w:p w14:paraId="75C945D3">
      <w:pPr>
        <w:spacing w:line="360" w:lineRule="auto"/>
        <w:ind w:firstLine="480" w:firstLineChars="200"/>
        <w:outlineLvl w:val="1"/>
        <w:rPr>
          <w:color w:val="000000" w:themeColor="text1"/>
          <w:kern w:val="0"/>
          <w:sz w:val="24"/>
        </w:rPr>
      </w:pPr>
      <w:r>
        <w:rPr>
          <w:kern w:val="0"/>
          <w:sz w:val="24"/>
        </w:rPr>
        <w:t>在叉齿接近最大仰角（通常不超过10度）和车身接近最大倾角（通常不超过3度）条件下</w:t>
      </w:r>
      <w:r>
        <w:rPr>
          <w:color w:val="000000" w:themeColor="text1"/>
          <w:kern w:val="0"/>
          <w:sz w:val="24"/>
        </w:rPr>
        <w:t>进行校准</w:t>
      </w:r>
      <w:r>
        <w:rPr>
          <w:b/>
          <w:bCs/>
          <w:kern w:val="0"/>
          <w:sz w:val="24"/>
        </w:rPr>
        <w:t>，</w:t>
      </w:r>
      <w:r>
        <w:rPr>
          <w:kern w:val="0"/>
          <w:sz w:val="24"/>
        </w:rPr>
        <w:t>施加</w:t>
      </w:r>
      <w:r>
        <w:rPr>
          <w:bCs/>
          <w:kern w:val="0"/>
          <w:sz w:val="24"/>
        </w:rPr>
        <w:t>最大秤量（或接近最大秤量）载荷</w:t>
      </w:r>
      <w:r>
        <w:rPr>
          <w:color w:val="000000" w:themeColor="text1"/>
          <w:kern w:val="0"/>
          <w:sz w:val="24"/>
        </w:rPr>
        <w:t>。</w:t>
      </w:r>
      <w:bookmarkStart w:id="68" w:name="_Toc362796961"/>
      <w:bookmarkStart w:id="69" w:name="_Toc26511"/>
      <w:bookmarkStart w:id="70" w:name="_Toc14812"/>
      <w:bookmarkStart w:id="71" w:name="_Toc20425"/>
      <w:bookmarkStart w:id="72" w:name="_Toc283715808"/>
      <w:bookmarkStart w:id="73" w:name="_Toc5211"/>
    </w:p>
    <w:p w14:paraId="45889CE6">
      <w:pPr>
        <w:spacing w:line="360" w:lineRule="auto"/>
        <w:ind w:firstLine="480" w:firstLineChars="200"/>
        <w:outlineLvl w:val="1"/>
        <w:rPr>
          <w:bCs/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如被校叉车秤具备扩展指示装置的</w:t>
      </w:r>
      <w:r>
        <w:rPr>
          <w:bCs/>
          <w:color w:val="000000" w:themeColor="text1"/>
          <w:kern w:val="0"/>
          <w:sz w:val="24"/>
        </w:rPr>
        <w:t>示值误差</w:t>
      </w:r>
      <w:r>
        <w:rPr>
          <w:bCs/>
          <w:i/>
          <w:color w:val="000000" w:themeColor="text1"/>
          <w:kern w:val="0"/>
          <w:sz w:val="24"/>
        </w:rPr>
        <w:t>E</w:t>
      </w:r>
      <w:r>
        <w:rPr>
          <w:color w:val="000000" w:themeColor="text1"/>
          <w:kern w:val="0"/>
          <w:sz w:val="24"/>
        </w:rPr>
        <w:t>按照</w:t>
      </w:r>
      <w:r>
        <w:rPr>
          <w:bCs/>
          <w:color w:val="000000" w:themeColor="text1"/>
          <w:kern w:val="0"/>
          <w:sz w:val="24"/>
        </w:rPr>
        <w:t>公式（1）进行计算，不具备</w:t>
      </w:r>
      <w:r>
        <w:rPr>
          <w:color w:val="000000" w:themeColor="text1"/>
          <w:kern w:val="0"/>
          <w:sz w:val="24"/>
        </w:rPr>
        <w:t>扩展指示装置叉车秤各称量点的</w:t>
      </w:r>
      <w:r>
        <w:rPr>
          <w:bCs/>
          <w:color w:val="000000" w:themeColor="text1"/>
          <w:kern w:val="0"/>
          <w:sz w:val="24"/>
        </w:rPr>
        <w:t>示值误差</w:t>
      </w:r>
      <w:r>
        <w:rPr>
          <w:bCs/>
          <w:i/>
          <w:color w:val="000000" w:themeColor="text1"/>
          <w:kern w:val="0"/>
          <w:sz w:val="24"/>
        </w:rPr>
        <w:t>E</w:t>
      </w:r>
      <w:r>
        <w:rPr>
          <w:color w:val="000000" w:themeColor="text1"/>
          <w:kern w:val="0"/>
          <w:sz w:val="24"/>
        </w:rPr>
        <w:t>按照</w:t>
      </w:r>
      <w:r>
        <w:rPr>
          <w:bCs/>
          <w:color w:val="000000" w:themeColor="text1"/>
          <w:kern w:val="0"/>
          <w:sz w:val="24"/>
        </w:rPr>
        <w:t>公式（3）进行计算。</w:t>
      </w:r>
    </w:p>
    <w:p w14:paraId="24F7F71A">
      <w:pPr>
        <w:pStyle w:val="142"/>
        <w:spacing w:line="360" w:lineRule="auto"/>
        <w:ind w:right="0" w:rightChars="0"/>
        <w:outlineLvl w:val="1"/>
        <w:rPr>
          <w:rFonts w:ascii="Times New Roman" w:eastAsia="宋体"/>
          <w:bCs/>
          <w:spacing w:val="0"/>
          <w:sz w:val="24"/>
          <w:szCs w:val="24"/>
        </w:rPr>
      </w:pPr>
      <w:r>
        <w:rPr>
          <w:rFonts w:ascii="Times New Roman"/>
          <w:bCs/>
          <w:spacing w:val="0"/>
          <w:sz w:val="24"/>
        </w:rPr>
        <w:t xml:space="preserve">7.2.5  </w:t>
      </w:r>
      <w:r>
        <w:rPr>
          <w:rFonts w:ascii="Times New Roman" w:eastAsia="宋体"/>
          <w:bCs/>
          <w:spacing w:val="0"/>
          <w:sz w:val="24"/>
          <w:szCs w:val="24"/>
        </w:rPr>
        <w:t>变换行驶速度后的示值</w:t>
      </w:r>
      <w:r>
        <w:rPr>
          <w:rFonts w:hint="eastAsia" w:ascii="Times New Roman" w:eastAsia="宋体"/>
          <w:bCs/>
          <w:spacing w:val="0"/>
          <w:sz w:val="24"/>
          <w:szCs w:val="24"/>
        </w:rPr>
        <w:t>误差</w:t>
      </w:r>
    </w:p>
    <w:p w14:paraId="57CF683A">
      <w:pPr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在符合7.2.1.3和7.2.1.4条件下，施加最大秤量（或接近最大秤量）的载荷，最大时速（通常不超过10km/h）或接近最大时速行驶不少于200米后停止，各进行不少于3次称量。读数在每次示值达到稳定时进行。</w:t>
      </w:r>
    </w:p>
    <w:p w14:paraId="4ADE535C">
      <w:pPr>
        <w:autoSpaceDE w:val="0"/>
        <w:autoSpaceDN w:val="0"/>
        <w:spacing w:line="440" w:lineRule="exact"/>
        <w:ind w:firstLine="480" w:firstLineChars="200"/>
        <w:jc w:val="left"/>
        <w:rPr>
          <w:bCs/>
          <w:kern w:val="0"/>
          <w:sz w:val="24"/>
        </w:rPr>
      </w:pPr>
      <w:r>
        <w:rPr>
          <w:rFonts w:hint="eastAsia"/>
          <w:bCs/>
          <w:iCs/>
          <w:kern w:val="0"/>
          <w:sz w:val="24"/>
        </w:rPr>
        <w:t>变换行驶速度后的示值误差</w:t>
      </w:r>
      <w:r>
        <w:rPr>
          <w:bCs/>
          <w:i/>
          <w:kern w:val="0"/>
          <w:sz w:val="24"/>
        </w:rPr>
        <w:t>E</w:t>
      </w:r>
      <w:r>
        <w:rPr>
          <w:bCs/>
          <w:kern w:val="0"/>
          <w:sz w:val="24"/>
          <w:vertAlign w:val="subscript"/>
        </w:rPr>
        <w:t>R</w:t>
      </w:r>
      <w:r>
        <w:rPr>
          <w:bCs/>
          <w:kern w:val="0"/>
          <w:sz w:val="24"/>
        </w:rPr>
        <w:t>用公式（</w:t>
      </w:r>
      <w:r>
        <w:rPr>
          <w:rFonts w:hint="eastAsia"/>
          <w:bCs/>
          <w:kern w:val="0"/>
          <w:sz w:val="24"/>
        </w:rPr>
        <w:t>5</w:t>
      </w:r>
      <w:r>
        <w:rPr>
          <w:bCs/>
          <w:kern w:val="0"/>
          <w:sz w:val="24"/>
        </w:rPr>
        <w:t>）计算：</w:t>
      </w:r>
    </w:p>
    <w:p w14:paraId="4E30C58A">
      <w:pPr>
        <w:autoSpaceDE w:val="0"/>
        <w:autoSpaceDN w:val="0"/>
        <w:spacing w:line="440" w:lineRule="exact"/>
        <w:ind w:right="480"/>
        <w:jc w:val="right"/>
        <w:rPr>
          <w:bCs/>
          <w:kern w:val="0"/>
          <w:sz w:val="24"/>
        </w:rPr>
      </w:pPr>
      <w:r>
        <w:rPr>
          <w:bCs/>
          <w:i/>
          <w:kern w:val="0"/>
          <w:sz w:val="24"/>
        </w:rPr>
        <w:t xml:space="preserve">   E</w:t>
      </w:r>
      <w:r>
        <w:rPr>
          <w:bCs/>
          <w:kern w:val="0"/>
          <w:sz w:val="24"/>
          <w:vertAlign w:val="subscript"/>
        </w:rPr>
        <w:t>R</w:t>
      </w:r>
      <w:r>
        <w:rPr>
          <w:bCs/>
          <w:kern w:val="0"/>
          <w:sz w:val="24"/>
        </w:rPr>
        <w:t xml:space="preserve"> =</w:t>
      </w:r>
      <w:r>
        <w:rPr>
          <w:bCs/>
          <w:i/>
          <w:kern w:val="0"/>
          <w:sz w:val="24"/>
        </w:rPr>
        <w:t>E</w:t>
      </w:r>
      <w:r>
        <w:rPr>
          <w:bCs/>
          <w:kern w:val="0"/>
          <w:sz w:val="24"/>
          <w:vertAlign w:val="subscript"/>
        </w:rPr>
        <w:t>max</w:t>
      </w:r>
      <w:r>
        <w:rPr>
          <w:bCs/>
          <w:kern w:val="0"/>
          <w:sz w:val="24"/>
        </w:rPr>
        <w:t>-</w:t>
      </w:r>
      <w:r>
        <w:rPr>
          <w:bCs/>
          <w:i/>
          <w:kern w:val="0"/>
          <w:sz w:val="24"/>
        </w:rPr>
        <w:t>E</w:t>
      </w:r>
      <w:r>
        <w:rPr>
          <w:bCs/>
          <w:kern w:val="0"/>
          <w:sz w:val="24"/>
          <w:vertAlign w:val="subscript"/>
        </w:rPr>
        <w:t>min</w:t>
      </w:r>
      <w:r>
        <w:rPr>
          <w:bCs/>
          <w:kern w:val="0"/>
          <w:sz w:val="24"/>
        </w:rPr>
        <w:t xml:space="preserve">                        （</w:t>
      </w:r>
      <w:r>
        <w:rPr>
          <w:rFonts w:hint="eastAsia"/>
          <w:bCs/>
          <w:kern w:val="0"/>
          <w:sz w:val="24"/>
        </w:rPr>
        <w:t>5</w:t>
      </w:r>
      <w:r>
        <w:rPr>
          <w:bCs/>
          <w:kern w:val="0"/>
          <w:sz w:val="24"/>
        </w:rPr>
        <w:t>）</w:t>
      </w:r>
    </w:p>
    <w:p w14:paraId="40172629">
      <w:pPr>
        <w:autoSpaceDE w:val="0"/>
        <w:autoSpaceDN w:val="0"/>
        <w:spacing w:line="440" w:lineRule="exact"/>
        <w:ind w:right="480" w:firstLine="480" w:firstLineChars="200"/>
        <w:rPr>
          <w:bCs/>
          <w:kern w:val="0"/>
          <w:sz w:val="24"/>
        </w:rPr>
      </w:pPr>
      <w:r>
        <w:rPr>
          <w:bCs/>
          <w:kern w:val="0"/>
          <w:sz w:val="24"/>
        </w:rPr>
        <w:t>式中：</w:t>
      </w:r>
    </w:p>
    <w:p w14:paraId="531FC35E">
      <w:pPr>
        <w:autoSpaceDE w:val="0"/>
        <w:autoSpaceDN w:val="0"/>
        <w:spacing w:line="440" w:lineRule="exact"/>
        <w:ind w:firstLine="480" w:firstLineChars="200"/>
        <w:jc w:val="left"/>
        <w:rPr>
          <w:bCs/>
          <w:kern w:val="0"/>
          <w:sz w:val="24"/>
        </w:rPr>
      </w:pPr>
      <w:r>
        <w:rPr>
          <w:bCs/>
          <w:i/>
          <w:kern w:val="0"/>
          <w:sz w:val="24"/>
        </w:rPr>
        <w:t>E</w:t>
      </w:r>
      <w:r>
        <w:rPr>
          <w:bCs/>
          <w:kern w:val="0"/>
          <w:sz w:val="24"/>
          <w:vertAlign w:val="subscript"/>
        </w:rPr>
        <w:t>R</w:t>
      </w:r>
      <w:r>
        <w:rPr>
          <w:i/>
          <w:color w:val="000000"/>
          <w:kern w:val="0"/>
          <w:sz w:val="24"/>
        </w:rPr>
        <w:t>—</w:t>
      </w:r>
      <w:r>
        <w:rPr>
          <w:iCs/>
          <w:color w:val="000000"/>
          <w:kern w:val="0"/>
          <w:sz w:val="24"/>
        </w:rPr>
        <w:t>—</w:t>
      </w:r>
      <w:r>
        <w:rPr>
          <w:rFonts w:hint="eastAsia"/>
          <w:bCs/>
          <w:iCs/>
          <w:kern w:val="0"/>
          <w:sz w:val="24"/>
        </w:rPr>
        <w:t>变换行驶速度后的示值误差</w:t>
      </w:r>
      <w:r>
        <w:rPr>
          <w:bCs/>
          <w:kern w:val="0"/>
          <w:sz w:val="24"/>
        </w:rPr>
        <w:t>，kg、g或t；</w:t>
      </w:r>
    </w:p>
    <w:p w14:paraId="0496CA23">
      <w:pPr>
        <w:autoSpaceDE w:val="0"/>
        <w:autoSpaceDN w:val="0"/>
        <w:spacing w:line="440" w:lineRule="exact"/>
        <w:ind w:firstLine="480" w:firstLineChars="200"/>
        <w:jc w:val="left"/>
        <w:rPr>
          <w:bCs/>
          <w:kern w:val="0"/>
          <w:sz w:val="24"/>
        </w:rPr>
      </w:pPr>
      <w:r>
        <w:rPr>
          <w:bCs/>
          <w:i/>
          <w:kern w:val="0"/>
          <w:sz w:val="24"/>
        </w:rPr>
        <w:t>E</w:t>
      </w:r>
      <w:r>
        <w:rPr>
          <w:bCs/>
          <w:kern w:val="0"/>
          <w:sz w:val="24"/>
          <w:vertAlign w:val="subscript"/>
        </w:rPr>
        <w:t>max</w:t>
      </w:r>
      <w:r>
        <w:rPr>
          <w:i/>
          <w:color w:val="000000"/>
          <w:kern w:val="0"/>
          <w:sz w:val="24"/>
        </w:rPr>
        <w:t>—</w:t>
      </w:r>
      <w:r>
        <w:rPr>
          <w:iCs/>
          <w:color w:val="000000"/>
          <w:kern w:val="0"/>
          <w:sz w:val="24"/>
        </w:rPr>
        <w:t>—</w:t>
      </w:r>
      <w:r>
        <w:rPr>
          <w:kern w:val="0"/>
          <w:sz w:val="24"/>
        </w:rPr>
        <w:t>多次加载中</w:t>
      </w:r>
      <w:r>
        <w:rPr>
          <w:bCs/>
          <w:kern w:val="0"/>
          <w:sz w:val="24"/>
        </w:rPr>
        <w:t>示值误差的最大值，kg、g或t；</w:t>
      </w:r>
    </w:p>
    <w:p w14:paraId="27D56427">
      <w:pPr>
        <w:autoSpaceDE w:val="0"/>
        <w:autoSpaceDN w:val="0"/>
        <w:spacing w:line="440" w:lineRule="exact"/>
        <w:ind w:firstLine="480" w:firstLineChars="200"/>
        <w:jc w:val="left"/>
        <w:rPr>
          <w:bCs/>
          <w:kern w:val="0"/>
          <w:sz w:val="24"/>
        </w:rPr>
      </w:pPr>
      <w:r>
        <w:rPr>
          <w:bCs/>
          <w:i/>
          <w:kern w:val="0"/>
          <w:sz w:val="24"/>
        </w:rPr>
        <w:t>E</w:t>
      </w:r>
      <w:r>
        <w:rPr>
          <w:bCs/>
          <w:kern w:val="0"/>
          <w:sz w:val="24"/>
          <w:vertAlign w:val="subscript"/>
        </w:rPr>
        <w:t>min</w:t>
      </w:r>
      <w:r>
        <w:rPr>
          <w:i/>
          <w:color w:val="000000"/>
          <w:kern w:val="0"/>
          <w:sz w:val="24"/>
        </w:rPr>
        <w:t>—</w:t>
      </w:r>
      <w:r>
        <w:rPr>
          <w:iCs/>
          <w:color w:val="000000"/>
          <w:kern w:val="0"/>
          <w:sz w:val="24"/>
        </w:rPr>
        <w:t>—</w:t>
      </w:r>
      <w:r>
        <w:rPr>
          <w:kern w:val="0"/>
          <w:sz w:val="24"/>
        </w:rPr>
        <w:t>多次加载中</w:t>
      </w:r>
      <w:r>
        <w:rPr>
          <w:bCs/>
          <w:kern w:val="0"/>
          <w:sz w:val="24"/>
        </w:rPr>
        <w:t>示值误差的最小值，kg、g或t；</w:t>
      </w:r>
    </w:p>
    <w:p w14:paraId="406FF1ED">
      <w:pPr>
        <w:autoSpaceDE w:val="0"/>
        <w:autoSpaceDN w:val="0"/>
        <w:spacing w:line="440" w:lineRule="exact"/>
        <w:ind w:firstLine="420" w:firstLineChars="200"/>
        <w:jc w:val="left"/>
        <w:rPr>
          <w:rFonts w:eastAsia="仿宋"/>
          <w:bCs/>
          <w:kern w:val="0"/>
          <w:szCs w:val="21"/>
        </w:rPr>
      </w:pPr>
      <w:r>
        <w:rPr>
          <w:rFonts w:eastAsia="仿宋"/>
          <w:bCs/>
          <w:kern w:val="0"/>
          <w:szCs w:val="21"/>
        </w:rPr>
        <w:t>注：1.每次称量时，零点应重新置零。</w:t>
      </w:r>
    </w:p>
    <w:p w14:paraId="21A0EF0F">
      <w:pPr>
        <w:spacing w:line="300" w:lineRule="auto"/>
        <w:ind w:firstLine="840" w:firstLineChars="400"/>
        <w:jc w:val="left"/>
        <w:rPr>
          <w:rFonts w:eastAsia="仿宋"/>
          <w:bCs/>
          <w:kern w:val="0"/>
          <w:szCs w:val="21"/>
        </w:rPr>
      </w:pPr>
      <w:r>
        <w:rPr>
          <w:rFonts w:eastAsia="仿宋"/>
          <w:bCs/>
          <w:kern w:val="0"/>
          <w:szCs w:val="21"/>
        </w:rPr>
        <w:t>2.每次称量之间的加载前和卸载后不必确定其零点误差。</w:t>
      </w:r>
    </w:p>
    <w:p w14:paraId="35FFE3BF">
      <w:pPr>
        <w:pStyle w:val="2"/>
        <w:spacing w:before="100" w:after="100"/>
        <w:rPr>
          <w:rFonts w:eastAsia="黑体"/>
          <w:kern w:val="0"/>
          <w:sz w:val="24"/>
        </w:rPr>
      </w:pPr>
      <w:r>
        <w:rPr>
          <w:rFonts w:eastAsia="黑体"/>
          <w:b w:val="0"/>
          <w:kern w:val="0"/>
          <w:sz w:val="24"/>
          <w:szCs w:val="24"/>
        </w:rPr>
        <w:t>8  校准结果</w:t>
      </w:r>
      <w:bookmarkEnd w:id="68"/>
      <w:bookmarkEnd w:id="69"/>
      <w:bookmarkEnd w:id="70"/>
      <w:bookmarkEnd w:id="71"/>
      <w:bookmarkEnd w:id="72"/>
      <w:bookmarkEnd w:id="73"/>
      <w:r>
        <w:rPr>
          <w:rFonts w:eastAsia="黑体"/>
          <w:b w:val="0"/>
          <w:kern w:val="0"/>
          <w:sz w:val="24"/>
          <w:szCs w:val="24"/>
        </w:rPr>
        <w:t>表达</w:t>
      </w:r>
    </w:p>
    <w:p w14:paraId="34D0F34C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校准结果应在校准证书上反映，校准证书应至少包括以下信息:</w:t>
      </w:r>
    </w:p>
    <w:p w14:paraId="4F128D70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a)标题：“校准证书”；</w:t>
      </w:r>
    </w:p>
    <w:p w14:paraId="15C8F1EF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b)实验室名称和地址；</w:t>
      </w:r>
    </w:p>
    <w:p w14:paraId="58F6150C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c)进行校准的地点(如果实验室的地址不同)；</w:t>
      </w:r>
    </w:p>
    <w:p w14:paraId="7392422D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d)证书的唯一性标识(如编号)，每页及总页数的标识；</w:t>
      </w:r>
    </w:p>
    <w:p w14:paraId="4D01A9DD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e)客户的名称和地址；</w:t>
      </w:r>
    </w:p>
    <w:p w14:paraId="53DE6451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f)被校对象的描述和明确标识；</w:t>
      </w:r>
    </w:p>
    <w:p w14:paraId="15BB59E2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g)进行校准的日期，如果与校准结果的有效性和应用有关时，应说明被校对象的接收日期；</w:t>
      </w:r>
    </w:p>
    <w:p w14:paraId="4F740080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h)如果与校准结果的有效性应用有关时，应对被校样品的抽样程序进行说明；</w:t>
      </w:r>
    </w:p>
    <w:p w14:paraId="304420B1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i)校准所依据的技术规范的标识，包括名称及代号；</w:t>
      </w:r>
    </w:p>
    <w:p w14:paraId="40A6F93F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j)本次校准所用测量标准的溯源性及有效性说明；</w:t>
      </w:r>
    </w:p>
    <w:p w14:paraId="60B4C2A5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k)校准环境的描述；</w:t>
      </w:r>
    </w:p>
    <w:p w14:paraId="119C2F34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l)校准结果及其测量不确定度的说明；</w:t>
      </w:r>
    </w:p>
    <w:p w14:paraId="2FCB89A6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m)对校准规范的偏离的说明；</w:t>
      </w:r>
    </w:p>
    <w:p w14:paraId="2E6C8224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n)校准证书或校准报告签发人的签名、职务或等效标识；</w:t>
      </w:r>
    </w:p>
    <w:p w14:paraId="13C97AF1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o)校准结果仅对被校对象有效的声明；</w:t>
      </w:r>
    </w:p>
    <w:p w14:paraId="337E3D8D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p)未经实验室书面批准，不得部分复制证书的声明。</w:t>
      </w:r>
    </w:p>
    <w:p w14:paraId="0D0C2770">
      <w:pPr>
        <w:spacing w:line="360" w:lineRule="auto"/>
        <w:ind w:firstLine="480" w:firstLineChars="200"/>
        <w:rPr>
          <w:kern w:val="0"/>
          <w:sz w:val="24"/>
        </w:rPr>
      </w:pPr>
      <w:r>
        <w:rPr>
          <w:color w:val="000000" w:themeColor="text1"/>
          <w:kern w:val="0"/>
          <w:sz w:val="24"/>
        </w:rPr>
        <w:t>原始记录和校准证书内页格式分别参见附录A和附录B。</w:t>
      </w:r>
    </w:p>
    <w:p w14:paraId="2651A5AB">
      <w:pPr>
        <w:pStyle w:val="2"/>
        <w:spacing w:before="100" w:after="100"/>
        <w:rPr>
          <w:kern w:val="0"/>
        </w:rPr>
      </w:pPr>
      <w:bookmarkStart w:id="74" w:name="_Toc362796962"/>
      <w:bookmarkStart w:id="75" w:name="_Toc15681"/>
      <w:bookmarkStart w:id="76" w:name="_Toc283715809"/>
      <w:bookmarkStart w:id="77" w:name="_Toc15003"/>
      <w:bookmarkStart w:id="78" w:name="_Toc31223"/>
      <w:bookmarkStart w:id="79" w:name="_Toc29666"/>
      <w:r>
        <w:rPr>
          <w:rFonts w:eastAsia="黑体"/>
          <w:b w:val="0"/>
          <w:kern w:val="0"/>
          <w:sz w:val="24"/>
          <w:szCs w:val="24"/>
        </w:rPr>
        <w:t>9  复校时间间隔</w:t>
      </w:r>
      <w:bookmarkEnd w:id="74"/>
      <w:bookmarkEnd w:id="75"/>
      <w:bookmarkEnd w:id="76"/>
      <w:bookmarkEnd w:id="77"/>
      <w:bookmarkEnd w:id="78"/>
      <w:bookmarkEnd w:id="79"/>
    </w:p>
    <w:p w14:paraId="254D4A85">
      <w:pPr>
        <w:spacing w:line="360" w:lineRule="auto"/>
        <w:ind w:firstLine="437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由于复校时间间隔的长短是由被校叉车秤的使用情况、使用者、本身质量等诸多因素决定，因此，送校单位可根据实际情况自主决定复校时间间隔。建议复校时间间隔不超过一年。</w:t>
      </w:r>
      <w:bookmarkStart w:id="80" w:name="_Toc15300"/>
      <w:bookmarkStart w:id="81" w:name="_Toc13785"/>
    </w:p>
    <w:p w14:paraId="2130890A">
      <w:pPr>
        <w:pStyle w:val="155"/>
        <w:framePr w:wrap="around" w:y="1"/>
        <w:rPr>
          <w:kern w:val="0"/>
        </w:rPr>
      </w:pPr>
      <w:bookmarkStart w:id="82" w:name="_Toc5388"/>
      <w:r>
        <w:rPr>
          <w:kern w:val="0"/>
        </w:rPr>
        <w:t>___________________</w:t>
      </w:r>
    </w:p>
    <w:p w14:paraId="5E060B5D">
      <w:pPr>
        <w:pStyle w:val="33"/>
        <w:jc w:val="left"/>
        <w:rPr>
          <w:rFonts w:ascii="Times New Roman" w:hAnsi="Times New Roman" w:eastAsia="黑体" w:cs="Times New Roman"/>
          <w:b w:val="0"/>
          <w:bCs w:val="0"/>
          <w:kern w:val="0"/>
          <w:sz w:val="28"/>
          <w:szCs w:val="28"/>
        </w:rPr>
      </w:pPr>
    </w:p>
    <w:p w14:paraId="28EEDA9C">
      <w:pPr>
        <w:wordWrap w:val="0"/>
        <w:spacing w:before="50" w:after="50" w:line="440" w:lineRule="exact"/>
        <w:ind w:right="370"/>
        <w:outlineLvl w:val="0"/>
        <w:rPr>
          <w:rFonts w:hint="eastAsia" w:ascii="黑体" w:hAnsi="黑体" w:eastAsia="黑体"/>
          <w:kern w:val="0"/>
          <w:sz w:val="13"/>
          <w:szCs w:val="13"/>
        </w:rPr>
      </w:pPr>
      <w:r>
        <w:rPr>
          <w:rFonts w:eastAsia="黑体"/>
          <w:kern w:val="0"/>
          <w:sz w:val="28"/>
          <w:szCs w:val="28"/>
        </w:rPr>
        <w:br w:type="page"/>
      </w:r>
      <w:r>
        <w:rPr>
          <w:rFonts w:ascii="黑体" w:hAnsi="黑体" w:eastAsia="黑体"/>
          <w:kern w:val="0"/>
          <w:sz w:val="28"/>
          <w:szCs w:val="28"/>
        </w:rPr>
        <w:t xml:space="preserve">附录 A   </w:t>
      </w:r>
    </w:p>
    <w:p w14:paraId="6E4554C2">
      <w:pPr>
        <w:wordWrap w:val="0"/>
        <w:spacing w:before="50" w:after="50" w:line="440" w:lineRule="exact"/>
        <w:ind w:right="370"/>
        <w:jc w:val="center"/>
        <w:outlineLvl w:val="0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校准原始记录推荐格式</w:t>
      </w:r>
      <w:bookmarkEnd w:id="82"/>
    </w:p>
    <w:p w14:paraId="74D17841">
      <w:pPr>
        <w:spacing w:line="300" w:lineRule="auto"/>
        <w:ind w:firstLine="6518" w:firstLineChars="3104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原始记录编号：</w:t>
      </w:r>
    </w:p>
    <w:tbl>
      <w:tblPr>
        <w:tblStyle w:val="35"/>
        <w:tblW w:w="9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1008"/>
        <w:gridCol w:w="381"/>
        <w:gridCol w:w="648"/>
        <w:gridCol w:w="678"/>
        <w:gridCol w:w="230"/>
        <w:gridCol w:w="1105"/>
        <w:gridCol w:w="450"/>
        <w:gridCol w:w="545"/>
        <w:gridCol w:w="362"/>
        <w:gridCol w:w="372"/>
        <w:gridCol w:w="277"/>
        <w:gridCol w:w="1564"/>
      </w:tblGrid>
      <w:tr w14:paraId="68A93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720" w:type="dxa"/>
            <w:noWrap/>
            <w:vAlign w:val="center"/>
          </w:tcPr>
          <w:p w14:paraId="22FF5777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委托单位</w:t>
            </w:r>
          </w:p>
        </w:tc>
        <w:tc>
          <w:tcPr>
            <w:tcW w:w="7620" w:type="dxa"/>
            <w:gridSpan w:val="12"/>
            <w:noWrap/>
            <w:vAlign w:val="center"/>
          </w:tcPr>
          <w:p w14:paraId="38CB41D4">
            <w:pPr>
              <w:spacing w:before="50" w:after="50" w:line="200" w:lineRule="exact"/>
              <w:rPr>
                <w:kern w:val="0"/>
                <w:szCs w:val="21"/>
              </w:rPr>
            </w:pPr>
          </w:p>
        </w:tc>
      </w:tr>
      <w:tr w14:paraId="6B3C7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720" w:type="dxa"/>
            <w:noWrap/>
            <w:vAlign w:val="center"/>
          </w:tcPr>
          <w:p w14:paraId="3E4D7F09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委托方地址</w:t>
            </w:r>
          </w:p>
        </w:tc>
        <w:tc>
          <w:tcPr>
            <w:tcW w:w="7620" w:type="dxa"/>
            <w:gridSpan w:val="12"/>
            <w:noWrap/>
            <w:vAlign w:val="center"/>
          </w:tcPr>
          <w:p w14:paraId="3E0F47A6">
            <w:pPr>
              <w:spacing w:before="50" w:after="50" w:line="200" w:lineRule="exact"/>
              <w:rPr>
                <w:kern w:val="0"/>
                <w:szCs w:val="21"/>
              </w:rPr>
            </w:pPr>
          </w:p>
        </w:tc>
      </w:tr>
      <w:tr w14:paraId="5C0A4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720" w:type="dxa"/>
            <w:noWrap/>
            <w:vAlign w:val="center"/>
          </w:tcPr>
          <w:p w14:paraId="0A3FFFF7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仪器名称</w:t>
            </w:r>
          </w:p>
        </w:tc>
        <w:tc>
          <w:tcPr>
            <w:tcW w:w="1008" w:type="dxa"/>
            <w:noWrap/>
            <w:vAlign w:val="center"/>
          </w:tcPr>
          <w:p w14:paraId="544B5303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07" w:type="dxa"/>
            <w:gridSpan w:val="3"/>
            <w:noWrap/>
            <w:vAlign w:val="center"/>
          </w:tcPr>
          <w:p w14:paraId="68BC8157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型号规格</w:t>
            </w:r>
          </w:p>
        </w:tc>
        <w:tc>
          <w:tcPr>
            <w:tcW w:w="1335" w:type="dxa"/>
            <w:gridSpan w:val="2"/>
            <w:noWrap/>
            <w:vAlign w:val="center"/>
          </w:tcPr>
          <w:p w14:paraId="22BACBFC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29" w:type="dxa"/>
            <w:gridSpan w:val="4"/>
            <w:noWrap/>
            <w:vAlign w:val="center"/>
          </w:tcPr>
          <w:p w14:paraId="7330532B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出厂编号</w:t>
            </w:r>
          </w:p>
        </w:tc>
        <w:tc>
          <w:tcPr>
            <w:tcW w:w="1841" w:type="dxa"/>
            <w:gridSpan w:val="2"/>
            <w:noWrap/>
            <w:vAlign w:val="center"/>
          </w:tcPr>
          <w:p w14:paraId="1FF3838C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</w:p>
        </w:tc>
      </w:tr>
      <w:tr w14:paraId="7DC87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720" w:type="dxa"/>
            <w:noWrap/>
            <w:vAlign w:val="center"/>
          </w:tcPr>
          <w:p w14:paraId="123DB878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制造单位</w:t>
            </w:r>
          </w:p>
        </w:tc>
        <w:tc>
          <w:tcPr>
            <w:tcW w:w="4050" w:type="dxa"/>
            <w:gridSpan w:val="6"/>
            <w:noWrap/>
            <w:vAlign w:val="center"/>
          </w:tcPr>
          <w:p w14:paraId="64DA8006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29" w:type="dxa"/>
            <w:gridSpan w:val="4"/>
            <w:noWrap/>
            <w:vAlign w:val="center"/>
          </w:tcPr>
          <w:p w14:paraId="2D6E5B5E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设备编号</w:t>
            </w:r>
          </w:p>
        </w:tc>
        <w:tc>
          <w:tcPr>
            <w:tcW w:w="1841" w:type="dxa"/>
            <w:gridSpan w:val="2"/>
            <w:noWrap/>
            <w:vAlign w:val="center"/>
          </w:tcPr>
          <w:p w14:paraId="7DB40248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</w:p>
        </w:tc>
      </w:tr>
      <w:tr w14:paraId="7AF52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720" w:type="dxa"/>
            <w:noWrap/>
            <w:vAlign w:val="center"/>
          </w:tcPr>
          <w:p w14:paraId="0F45BDDC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最大秤量</w:t>
            </w:r>
          </w:p>
        </w:tc>
        <w:tc>
          <w:tcPr>
            <w:tcW w:w="1008" w:type="dxa"/>
            <w:noWrap/>
            <w:vAlign w:val="center"/>
          </w:tcPr>
          <w:p w14:paraId="01916749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07" w:type="dxa"/>
            <w:gridSpan w:val="3"/>
            <w:noWrap/>
            <w:vAlign w:val="center"/>
          </w:tcPr>
          <w:p w14:paraId="4233FE23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分度值</w:t>
            </w:r>
          </w:p>
        </w:tc>
        <w:tc>
          <w:tcPr>
            <w:tcW w:w="1335" w:type="dxa"/>
            <w:gridSpan w:val="2"/>
            <w:noWrap/>
            <w:vAlign w:val="center"/>
          </w:tcPr>
          <w:p w14:paraId="5FA95B68">
            <w:pPr>
              <w:spacing w:before="50" w:after="50" w:line="200" w:lineRule="exact"/>
              <w:ind w:right="370"/>
              <w:jc w:val="center"/>
              <w:rPr>
                <w:kern w:val="0"/>
                <w:szCs w:val="21"/>
              </w:rPr>
            </w:pPr>
          </w:p>
        </w:tc>
        <w:tc>
          <w:tcPr>
            <w:tcW w:w="1729" w:type="dxa"/>
            <w:gridSpan w:val="4"/>
            <w:noWrap/>
            <w:vAlign w:val="center"/>
          </w:tcPr>
          <w:p w14:paraId="7F249026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准确度等级</w:t>
            </w:r>
          </w:p>
        </w:tc>
        <w:tc>
          <w:tcPr>
            <w:tcW w:w="1841" w:type="dxa"/>
            <w:gridSpan w:val="2"/>
            <w:noWrap/>
            <w:vAlign w:val="center"/>
          </w:tcPr>
          <w:p w14:paraId="38BB0D2C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</w:p>
        </w:tc>
      </w:tr>
      <w:tr w14:paraId="7BB2D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720" w:type="dxa"/>
            <w:noWrap/>
            <w:vAlign w:val="center"/>
          </w:tcPr>
          <w:p w14:paraId="299E3C28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校准地点</w:t>
            </w:r>
          </w:p>
        </w:tc>
        <w:tc>
          <w:tcPr>
            <w:tcW w:w="7620" w:type="dxa"/>
            <w:gridSpan w:val="12"/>
            <w:noWrap/>
            <w:vAlign w:val="center"/>
          </w:tcPr>
          <w:p w14:paraId="36768401">
            <w:pPr>
              <w:spacing w:before="50" w:after="50" w:line="200" w:lineRule="exact"/>
              <w:jc w:val="left"/>
              <w:rPr>
                <w:kern w:val="0"/>
                <w:szCs w:val="21"/>
              </w:rPr>
            </w:pPr>
          </w:p>
        </w:tc>
      </w:tr>
      <w:tr w14:paraId="1B01D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720" w:type="dxa"/>
            <w:noWrap/>
            <w:vAlign w:val="center"/>
          </w:tcPr>
          <w:p w14:paraId="17640DB3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校准日期</w:t>
            </w:r>
          </w:p>
        </w:tc>
        <w:tc>
          <w:tcPr>
            <w:tcW w:w="1008" w:type="dxa"/>
            <w:noWrap/>
            <w:vAlign w:val="center"/>
          </w:tcPr>
          <w:p w14:paraId="746E51EF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07" w:type="dxa"/>
            <w:gridSpan w:val="3"/>
            <w:noWrap/>
            <w:vAlign w:val="center"/>
          </w:tcPr>
          <w:p w14:paraId="474A29B9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环境温度</w:t>
            </w:r>
          </w:p>
        </w:tc>
        <w:tc>
          <w:tcPr>
            <w:tcW w:w="1335" w:type="dxa"/>
            <w:gridSpan w:val="2"/>
            <w:noWrap/>
            <w:vAlign w:val="center"/>
          </w:tcPr>
          <w:p w14:paraId="032F6744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℃</w:t>
            </w:r>
          </w:p>
        </w:tc>
        <w:tc>
          <w:tcPr>
            <w:tcW w:w="1729" w:type="dxa"/>
            <w:gridSpan w:val="4"/>
            <w:noWrap/>
            <w:vAlign w:val="center"/>
          </w:tcPr>
          <w:p w14:paraId="4C995300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相对湿度</w:t>
            </w:r>
          </w:p>
        </w:tc>
        <w:tc>
          <w:tcPr>
            <w:tcW w:w="1841" w:type="dxa"/>
            <w:gridSpan w:val="2"/>
            <w:noWrap/>
            <w:vAlign w:val="center"/>
          </w:tcPr>
          <w:p w14:paraId="311202CA">
            <w:pPr>
              <w:spacing w:before="50" w:after="50" w:line="20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%</w:t>
            </w:r>
          </w:p>
        </w:tc>
      </w:tr>
      <w:tr w14:paraId="3D978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720" w:type="dxa"/>
            <w:noWrap/>
            <w:vAlign w:val="center"/>
          </w:tcPr>
          <w:p w14:paraId="31982A23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校准依据</w:t>
            </w:r>
          </w:p>
        </w:tc>
        <w:tc>
          <w:tcPr>
            <w:tcW w:w="7620" w:type="dxa"/>
            <w:gridSpan w:val="12"/>
            <w:noWrap/>
            <w:vAlign w:val="center"/>
          </w:tcPr>
          <w:p w14:paraId="35955981">
            <w:pPr>
              <w:spacing w:before="50" w:after="50" w:line="200" w:lineRule="exact"/>
              <w:ind w:right="370"/>
              <w:jc w:val="center"/>
              <w:rPr>
                <w:kern w:val="0"/>
                <w:szCs w:val="21"/>
              </w:rPr>
            </w:pPr>
          </w:p>
        </w:tc>
      </w:tr>
      <w:tr w14:paraId="162C9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720" w:type="dxa"/>
            <w:noWrap/>
            <w:vAlign w:val="center"/>
          </w:tcPr>
          <w:p w14:paraId="7A0BB1E5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校准员</w:t>
            </w:r>
          </w:p>
        </w:tc>
        <w:tc>
          <w:tcPr>
            <w:tcW w:w="2715" w:type="dxa"/>
            <w:gridSpan w:val="4"/>
            <w:noWrap/>
            <w:vAlign w:val="center"/>
          </w:tcPr>
          <w:p w14:paraId="2DB48D89">
            <w:pPr>
              <w:spacing w:line="2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noWrap/>
            <w:vAlign w:val="center"/>
          </w:tcPr>
          <w:p w14:paraId="02A6979E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核验员</w:t>
            </w:r>
          </w:p>
        </w:tc>
        <w:tc>
          <w:tcPr>
            <w:tcW w:w="3570" w:type="dxa"/>
            <w:gridSpan w:val="6"/>
            <w:noWrap/>
            <w:vAlign w:val="center"/>
          </w:tcPr>
          <w:p w14:paraId="4C132984">
            <w:pPr>
              <w:spacing w:before="50" w:after="50" w:line="200" w:lineRule="exact"/>
              <w:ind w:right="370"/>
              <w:jc w:val="center"/>
              <w:rPr>
                <w:kern w:val="0"/>
                <w:szCs w:val="21"/>
              </w:rPr>
            </w:pPr>
          </w:p>
        </w:tc>
      </w:tr>
      <w:tr w14:paraId="7DC04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20" w:type="dxa"/>
            <w:vMerge w:val="restart"/>
            <w:noWrap/>
            <w:vAlign w:val="center"/>
          </w:tcPr>
          <w:p w14:paraId="46DFAF8A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主要计量标准器</w:t>
            </w:r>
          </w:p>
        </w:tc>
        <w:tc>
          <w:tcPr>
            <w:tcW w:w="2037" w:type="dxa"/>
            <w:gridSpan w:val="3"/>
            <w:noWrap/>
            <w:vAlign w:val="center"/>
          </w:tcPr>
          <w:p w14:paraId="0E5E1D99">
            <w:pPr>
              <w:pStyle w:val="53"/>
              <w:tabs>
                <w:tab w:val="center" w:pos="4201"/>
                <w:tab w:val="right" w:leader="dot" w:pos="9298"/>
              </w:tabs>
              <w:ind w:firstLine="0" w:firstLineChars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/>
                <w:szCs w:val="21"/>
              </w:rPr>
              <w:t>名称/编号</w:t>
            </w:r>
          </w:p>
        </w:tc>
        <w:tc>
          <w:tcPr>
            <w:tcW w:w="3008" w:type="dxa"/>
            <w:gridSpan w:val="5"/>
            <w:noWrap/>
            <w:vAlign w:val="center"/>
          </w:tcPr>
          <w:p w14:paraId="4BA22F9A">
            <w:pPr>
              <w:pStyle w:val="53"/>
              <w:tabs>
                <w:tab w:val="center" w:pos="4201"/>
                <w:tab w:val="right" w:leader="dot" w:pos="9298"/>
              </w:tabs>
              <w:ind w:firstLine="0" w:firstLineChars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/>
                <w:szCs w:val="21"/>
              </w:rPr>
              <w:t>测量范围/扩展不确定度</w:t>
            </w:r>
          </w:p>
        </w:tc>
        <w:tc>
          <w:tcPr>
            <w:tcW w:w="2575" w:type="dxa"/>
            <w:gridSpan w:val="4"/>
            <w:noWrap/>
            <w:vAlign w:val="center"/>
          </w:tcPr>
          <w:p w14:paraId="2809098D">
            <w:pPr>
              <w:pStyle w:val="53"/>
              <w:tabs>
                <w:tab w:val="center" w:pos="4201"/>
                <w:tab w:val="right" w:leader="dot" w:pos="9298"/>
              </w:tabs>
              <w:ind w:firstLine="0" w:firstLineChars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/>
                <w:szCs w:val="21"/>
              </w:rPr>
              <w:t>证书号/有效期</w:t>
            </w:r>
          </w:p>
        </w:tc>
      </w:tr>
      <w:tr w14:paraId="40D8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720" w:type="dxa"/>
            <w:vMerge w:val="continue"/>
            <w:noWrap/>
            <w:vAlign w:val="center"/>
          </w:tcPr>
          <w:p w14:paraId="539FF4E6">
            <w:pPr>
              <w:spacing w:before="50" w:after="50" w:line="200" w:lineRule="exact"/>
              <w:jc w:val="center"/>
              <w:rPr>
                <w:kern w:val="0"/>
              </w:rPr>
            </w:pPr>
          </w:p>
        </w:tc>
        <w:tc>
          <w:tcPr>
            <w:tcW w:w="2037" w:type="dxa"/>
            <w:gridSpan w:val="3"/>
            <w:noWrap/>
            <w:vAlign w:val="center"/>
          </w:tcPr>
          <w:p w14:paraId="3A82EF66">
            <w:pPr>
              <w:spacing w:before="50" w:after="50" w:line="200" w:lineRule="exact"/>
              <w:jc w:val="center"/>
              <w:rPr>
                <w:kern w:val="0"/>
              </w:rPr>
            </w:pPr>
          </w:p>
        </w:tc>
        <w:tc>
          <w:tcPr>
            <w:tcW w:w="3008" w:type="dxa"/>
            <w:gridSpan w:val="5"/>
            <w:noWrap/>
            <w:vAlign w:val="center"/>
          </w:tcPr>
          <w:p w14:paraId="4C26FFB5">
            <w:pPr>
              <w:spacing w:before="50" w:after="50" w:line="200" w:lineRule="exact"/>
              <w:jc w:val="center"/>
              <w:rPr>
                <w:kern w:val="0"/>
              </w:rPr>
            </w:pPr>
          </w:p>
        </w:tc>
        <w:tc>
          <w:tcPr>
            <w:tcW w:w="2575" w:type="dxa"/>
            <w:gridSpan w:val="4"/>
            <w:noWrap/>
            <w:vAlign w:val="center"/>
          </w:tcPr>
          <w:p w14:paraId="0F2CB2ED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</w:p>
        </w:tc>
      </w:tr>
      <w:tr w14:paraId="27898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720" w:type="dxa"/>
            <w:vMerge w:val="continue"/>
            <w:noWrap/>
            <w:vAlign w:val="center"/>
          </w:tcPr>
          <w:p w14:paraId="5AD6FBA2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37" w:type="dxa"/>
            <w:gridSpan w:val="3"/>
            <w:noWrap/>
            <w:vAlign w:val="center"/>
          </w:tcPr>
          <w:p w14:paraId="048066FF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3008" w:type="dxa"/>
            <w:gridSpan w:val="5"/>
            <w:noWrap/>
            <w:vAlign w:val="center"/>
          </w:tcPr>
          <w:p w14:paraId="4CFC02C0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575" w:type="dxa"/>
            <w:gridSpan w:val="4"/>
            <w:noWrap/>
            <w:vAlign w:val="center"/>
          </w:tcPr>
          <w:p w14:paraId="7B026FD7">
            <w:pPr>
              <w:spacing w:before="50" w:after="50" w:line="200" w:lineRule="exact"/>
              <w:jc w:val="center"/>
              <w:rPr>
                <w:kern w:val="0"/>
                <w:szCs w:val="21"/>
              </w:rPr>
            </w:pPr>
          </w:p>
        </w:tc>
      </w:tr>
      <w:tr w14:paraId="5237D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40" w:type="dxa"/>
            <w:gridSpan w:val="13"/>
            <w:noWrap/>
            <w:vAlign w:val="center"/>
          </w:tcPr>
          <w:p w14:paraId="612B3908"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1.称量示值误差                                  </w:t>
            </w:r>
            <w:r>
              <w:rPr>
                <w:rFonts w:hint="eastAsia"/>
                <w:kern w:val="0"/>
                <w:szCs w:val="21"/>
              </w:rPr>
              <w:t xml:space="preserve">                           </w:t>
            </w:r>
            <w:r>
              <w:rPr>
                <w:kern w:val="0"/>
                <w:szCs w:val="21"/>
              </w:rPr>
              <w:t>单位：</w:t>
            </w:r>
          </w:p>
        </w:tc>
      </w:tr>
      <w:tr w14:paraId="413B9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720" w:type="dxa"/>
            <w:noWrap/>
            <w:vAlign w:val="center"/>
          </w:tcPr>
          <w:p w14:paraId="448B7A75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载荷</w:t>
            </w:r>
            <w:r>
              <w:rPr>
                <w:i/>
                <w:iCs/>
                <w:kern w:val="0"/>
                <w:szCs w:val="21"/>
              </w:rPr>
              <w:t>L</w:t>
            </w:r>
          </w:p>
        </w:tc>
        <w:tc>
          <w:tcPr>
            <w:tcW w:w="1008" w:type="dxa"/>
            <w:noWrap/>
            <w:vAlign w:val="center"/>
          </w:tcPr>
          <w:p w14:paraId="35E5B937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示值</w:t>
            </w:r>
            <w:r>
              <w:rPr>
                <w:i/>
                <w:iCs/>
                <w:kern w:val="0"/>
                <w:szCs w:val="21"/>
              </w:rPr>
              <w:t>I</w:t>
            </w:r>
          </w:p>
        </w:tc>
        <w:tc>
          <w:tcPr>
            <w:tcW w:w="1707" w:type="dxa"/>
            <w:gridSpan w:val="3"/>
            <w:noWrap/>
            <w:vAlign w:val="center"/>
          </w:tcPr>
          <w:p w14:paraId="48FF3D3C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附加载荷</w:t>
            </w:r>
            <w:r>
              <w:rPr>
                <w:i/>
                <w:iCs/>
                <w:kern w:val="0"/>
                <w:szCs w:val="21"/>
              </w:rPr>
              <w:t>ΔL</w:t>
            </w:r>
          </w:p>
        </w:tc>
        <w:tc>
          <w:tcPr>
            <w:tcW w:w="1335" w:type="dxa"/>
            <w:gridSpan w:val="2"/>
            <w:noWrap/>
            <w:vAlign w:val="center"/>
          </w:tcPr>
          <w:p w14:paraId="02DD00DD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误差</w:t>
            </w:r>
            <w:r>
              <w:rPr>
                <w:i/>
                <w:iCs/>
                <w:kern w:val="0"/>
                <w:szCs w:val="21"/>
              </w:rPr>
              <w:t>E</w:t>
            </w:r>
          </w:p>
        </w:tc>
        <w:tc>
          <w:tcPr>
            <w:tcW w:w="1357" w:type="dxa"/>
            <w:gridSpan w:val="3"/>
            <w:noWrap/>
            <w:vAlign w:val="center"/>
          </w:tcPr>
          <w:p w14:paraId="7376DE7F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修正误差</w:t>
            </w:r>
            <w:r>
              <w:rPr>
                <w:i/>
                <w:iCs/>
                <w:kern w:val="0"/>
                <w:szCs w:val="21"/>
              </w:rPr>
              <w:t>E</w:t>
            </w:r>
            <w:r>
              <w:rPr>
                <w:kern w:val="0"/>
                <w:szCs w:val="21"/>
                <w:vertAlign w:val="subscript"/>
              </w:rPr>
              <w:t>c</w:t>
            </w:r>
          </w:p>
        </w:tc>
        <w:tc>
          <w:tcPr>
            <w:tcW w:w="2213" w:type="dxa"/>
            <w:gridSpan w:val="3"/>
            <w:noWrap/>
            <w:vAlign w:val="center"/>
          </w:tcPr>
          <w:p w14:paraId="3242A188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扩展不确定度</w:t>
            </w:r>
            <w:r>
              <w:rPr>
                <w:i/>
                <w:iCs/>
                <w:kern w:val="0"/>
                <w:szCs w:val="21"/>
              </w:rPr>
              <w:t>U</w:t>
            </w:r>
            <w:r>
              <w:rPr>
                <w:kern w:val="0"/>
                <w:szCs w:val="21"/>
              </w:rPr>
              <w:t>（</w:t>
            </w:r>
            <w:r>
              <w:rPr>
                <w:i/>
                <w:iCs/>
                <w:kern w:val="0"/>
                <w:szCs w:val="21"/>
              </w:rPr>
              <w:t>k</w:t>
            </w:r>
            <w:r>
              <w:rPr>
                <w:kern w:val="0"/>
                <w:szCs w:val="21"/>
              </w:rPr>
              <w:t>=2）</w:t>
            </w:r>
          </w:p>
        </w:tc>
      </w:tr>
      <w:tr w14:paraId="7B215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720" w:type="dxa"/>
            <w:noWrap/>
            <w:vAlign w:val="center"/>
          </w:tcPr>
          <w:p w14:paraId="273B470C"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*</w:t>
            </w:r>
          </w:p>
        </w:tc>
        <w:tc>
          <w:tcPr>
            <w:tcW w:w="1008" w:type="dxa"/>
            <w:noWrap/>
            <w:vAlign w:val="center"/>
          </w:tcPr>
          <w:p w14:paraId="28216EF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07" w:type="dxa"/>
            <w:gridSpan w:val="3"/>
            <w:noWrap/>
            <w:vAlign w:val="center"/>
          </w:tcPr>
          <w:p w14:paraId="25AA4715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noWrap/>
            <w:vAlign w:val="center"/>
          </w:tcPr>
          <w:p w14:paraId="1075AC33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57" w:type="dxa"/>
            <w:gridSpan w:val="3"/>
            <w:noWrap/>
            <w:vAlign w:val="center"/>
          </w:tcPr>
          <w:p w14:paraId="0D5BE38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213" w:type="dxa"/>
            <w:gridSpan w:val="3"/>
            <w:noWrap/>
            <w:vAlign w:val="center"/>
          </w:tcPr>
          <w:p w14:paraId="19340144">
            <w:pPr>
              <w:jc w:val="center"/>
              <w:rPr>
                <w:kern w:val="0"/>
                <w:szCs w:val="21"/>
              </w:rPr>
            </w:pPr>
          </w:p>
        </w:tc>
      </w:tr>
      <w:tr w14:paraId="5D5F6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720" w:type="dxa"/>
            <w:noWrap/>
            <w:vAlign w:val="center"/>
          </w:tcPr>
          <w:p w14:paraId="4A210198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008" w:type="dxa"/>
            <w:noWrap/>
            <w:vAlign w:val="center"/>
          </w:tcPr>
          <w:p w14:paraId="6F46EFF8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07" w:type="dxa"/>
            <w:gridSpan w:val="3"/>
            <w:noWrap/>
            <w:vAlign w:val="center"/>
          </w:tcPr>
          <w:p w14:paraId="0F70EF7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noWrap/>
            <w:vAlign w:val="center"/>
          </w:tcPr>
          <w:p w14:paraId="7A9E565A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57" w:type="dxa"/>
            <w:gridSpan w:val="3"/>
            <w:noWrap/>
            <w:vAlign w:val="center"/>
          </w:tcPr>
          <w:p w14:paraId="2763C38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213" w:type="dxa"/>
            <w:gridSpan w:val="3"/>
            <w:noWrap/>
            <w:vAlign w:val="center"/>
          </w:tcPr>
          <w:p w14:paraId="39506C81">
            <w:pPr>
              <w:jc w:val="center"/>
              <w:rPr>
                <w:kern w:val="0"/>
                <w:szCs w:val="21"/>
              </w:rPr>
            </w:pPr>
          </w:p>
        </w:tc>
      </w:tr>
      <w:tr w14:paraId="57A1C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720" w:type="dxa"/>
            <w:noWrap/>
            <w:vAlign w:val="center"/>
          </w:tcPr>
          <w:p w14:paraId="308A6D31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008" w:type="dxa"/>
            <w:noWrap/>
            <w:vAlign w:val="center"/>
          </w:tcPr>
          <w:p w14:paraId="498BCE5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07" w:type="dxa"/>
            <w:gridSpan w:val="3"/>
            <w:noWrap/>
            <w:vAlign w:val="center"/>
          </w:tcPr>
          <w:p w14:paraId="1376A0E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noWrap/>
            <w:vAlign w:val="center"/>
          </w:tcPr>
          <w:p w14:paraId="49080048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57" w:type="dxa"/>
            <w:gridSpan w:val="3"/>
            <w:noWrap/>
            <w:vAlign w:val="center"/>
          </w:tcPr>
          <w:p w14:paraId="52FFAABD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213" w:type="dxa"/>
            <w:gridSpan w:val="3"/>
            <w:noWrap/>
            <w:vAlign w:val="center"/>
          </w:tcPr>
          <w:p w14:paraId="3545F3AC">
            <w:pPr>
              <w:jc w:val="center"/>
              <w:rPr>
                <w:kern w:val="0"/>
                <w:szCs w:val="21"/>
              </w:rPr>
            </w:pPr>
          </w:p>
        </w:tc>
      </w:tr>
      <w:tr w14:paraId="75B8D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720" w:type="dxa"/>
            <w:noWrap/>
            <w:vAlign w:val="center"/>
          </w:tcPr>
          <w:p w14:paraId="754BD9D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008" w:type="dxa"/>
            <w:noWrap/>
            <w:vAlign w:val="center"/>
          </w:tcPr>
          <w:p w14:paraId="79F08216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07" w:type="dxa"/>
            <w:gridSpan w:val="3"/>
            <w:noWrap/>
            <w:vAlign w:val="center"/>
          </w:tcPr>
          <w:p w14:paraId="1ABB91BC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noWrap/>
            <w:vAlign w:val="center"/>
          </w:tcPr>
          <w:p w14:paraId="28D2A9FF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57" w:type="dxa"/>
            <w:gridSpan w:val="3"/>
            <w:noWrap/>
            <w:vAlign w:val="center"/>
          </w:tcPr>
          <w:p w14:paraId="34D0672A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213" w:type="dxa"/>
            <w:gridSpan w:val="3"/>
            <w:noWrap/>
            <w:vAlign w:val="center"/>
          </w:tcPr>
          <w:p w14:paraId="3A1293B2">
            <w:pPr>
              <w:jc w:val="center"/>
              <w:rPr>
                <w:kern w:val="0"/>
                <w:szCs w:val="21"/>
              </w:rPr>
            </w:pPr>
          </w:p>
        </w:tc>
      </w:tr>
      <w:tr w14:paraId="16CE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720" w:type="dxa"/>
            <w:noWrap/>
            <w:vAlign w:val="center"/>
          </w:tcPr>
          <w:p w14:paraId="4FA50041">
            <w:pPr>
              <w:jc w:val="center"/>
              <w:rPr>
                <w:kern w:val="0"/>
                <w:szCs w:val="21"/>
              </w:rPr>
            </w:pPr>
            <w:bookmarkStart w:id="83" w:name="_Toc18627"/>
          </w:p>
        </w:tc>
        <w:tc>
          <w:tcPr>
            <w:tcW w:w="1008" w:type="dxa"/>
            <w:noWrap/>
            <w:vAlign w:val="center"/>
          </w:tcPr>
          <w:p w14:paraId="08079DE6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07" w:type="dxa"/>
            <w:gridSpan w:val="3"/>
            <w:noWrap/>
            <w:vAlign w:val="center"/>
          </w:tcPr>
          <w:p w14:paraId="274143B1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noWrap/>
            <w:vAlign w:val="center"/>
          </w:tcPr>
          <w:p w14:paraId="0DCEAD8D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57" w:type="dxa"/>
            <w:gridSpan w:val="3"/>
            <w:noWrap/>
            <w:vAlign w:val="center"/>
          </w:tcPr>
          <w:p w14:paraId="4CE4C24E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213" w:type="dxa"/>
            <w:gridSpan w:val="3"/>
            <w:noWrap/>
            <w:vAlign w:val="center"/>
          </w:tcPr>
          <w:p w14:paraId="7EFEFA22">
            <w:pPr>
              <w:jc w:val="center"/>
              <w:rPr>
                <w:kern w:val="0"/>
                <w:szCs w:val="21"/>
              </w:rPr>
            </w:pPr>
          </w:p>
        </w:tc>
      </w:tr>
      <w:tr w14:paraId="1DF71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720" w:type="dxa"/>
            <w:noWrap/>
            <w:vAlign w:val="center"/>
          </w:tcPr>
          <w:p w14:paraId="17DB9FDC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008" w:type="dxa"/>
            <w:noWrap/>
            <w:vAlign w:val="center"/>
          </w:tcPr>
          <w:p w14:paraId="5F907D4F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07" w:type="dxa"/>
            <w:gridSpan w:val="3"/>
            <w:noWrap/>
            <w:vAlign w:val="center"/>
          </w:tcPr>
          <w:p w14:paraId="452416FE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noWrap/>
            <w:vAlign w:val="center"/>
          </w:tcPr>
          <w:p w14:paraId="1492D93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57" w:type="dxa"/>
            <w:gridSpan w:val="3"/>
            <w:noWrap/>
            <w:vAlign w:val="center"/>
          </w:tcPr>
          <w:p w14:paraId="60A36BF1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213" w:type="dxa"/>
            <w:gridSpan w:val="3"/>
            <w:noWrap/>
            <w:vAlign w:val="center"/>
          </w:tcPr>
          <w:p w14:paraId="7870E466">
            <w:pPr>
              <w:jc w:val="center"/>
              <w:rPr>
                <w:kern w:val="0"/>
                <w:szCs w:val="21"/>
              </w:rPr>
            </w:pPr>
          </w:p>
        </w:tc>
      </w:tr>
      <w:tr w14:paraId="250D0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340" w:type="dxa"/>
            <w:gridSpan w:val="13"/>
            <w:noWrap/>
            <w:vAlign w:val="center"/>
          </w:tcPr>
          <w:p w14:paraId="2AC00F05"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2.仰角/倾角</w:t>
            </w:r>
            <w:r>
              <w:rPr>
                <w:rFonts w:hint="eastAsia"/>
                <w:kern w:val="0"/>
                <w:szCs w:val="21"/>
              </w:rPr>
              <w:t>变化的</w:t>
            </w:r>
            <w:r>
              <w:rPr>
                <w:kern w:val="0"/>
                <w:szCs w:val="21"/>
              </w:rPr>
              <w:t xml:space="preserve">示值误差                                                 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单位：</w:t>
            </w:r>
          </w:p>
        </w:tc>
      </w:tr>
      <w:tr w14:paraId="3D3B0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9340" w:type="dxa"/>
            <w:gridSpan w:val="13"/>
            <w:noWrap/>
            <w:vAlign w:val="center"/>
          </w:tcPr>
          <w:p w14:paraId="7EF94E3A"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仰角角度：                                倾斜角度：</w:t>
            </w:r>
          </w:p>
        </w:tc>
      </w:tr>
      <w:tr w14:paraId="45BD2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720" w:type="dxa"/>
            <w:noWrap/>
            <w:vAlign w:val="center"/>
          </w:tcPr>
          <w:p w14:paraId="1DC66C6A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位置</w:t>
            </w:r>
          </w:p>
        </w:tc>
        <w:tc>
          <w:tcPr>
            <w:tcW w:w="1389" w:type="dxa"/>
            <w:gridSpan w:val="2"/>
            <w:noWrap/>
            <w:vAlign w:val="center"/>
          </w:tcPr>
          <w:p w14:paraId="6039F2E0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载荷</w:t>
            </w:r>
            <w:r>
              <w:rPr>
                <w:i/>
                <w:iCs/>
                <w:kern w:val="0"/>
                <w:szCs w:val="21"/>
              </w:rPr>
              <w:t>L</w:t>
            </w:r>
          </w:p>
        </w:tc>
        <w:tc>
          <w:tcPr>
            <w:tcW w:w="1556" w:type="dxa"/>
            <w:gridSpan w:val="3"/>
            <w:noWrap/>
            <w:vAlign w:val="center"/>
          </w:tcPr>
          <w:p w14:paraId="2A276972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示值</w:t>
            </w:r>
            <w:r>
              <w:rPr>
                <w:i/>
                <w:iCs/>
                <w:kern w:val="0"/>
                <w:szCs w:val="21"/>
              </w:rPr>
              <w:t>I</w:t>
            </w:r>
          </w:p>
        </w:tc>
        <w:tc>
          <w:tcPr>
            <w:tcW w:w="1555" w:type="dxa"/>
            <w:gridSpan w:val="2"/>
            <w:noWrap/>
            <w:vAlign w:val="center"/>
          </w:tcPr>
          <w:p w14:paraId="45050DBC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附加载荷</w:t>
            </w:r>
            <w:r>
              <w:rPr>
                <w:i/>
                <w:iCs/>
                <w:kern w:val="0"/>
                <w:szCs w:val="21"/>
              </w:rPr>
              <w:t>ΔL</w:t>
            </w:r>
          </w:p>
        </w:tc>
        <w:tc>
          <w:tcPr>
            <w:tcW w:w="1556" w:type="dxa"/>
            <w:gridSpan w:val="4"/>
            <w:noWrap/>
            <w:vAlign w:val="center"/>
          </w:tcPr>
          <w:p w14:paraId="6DECBE8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误差</w:t>
            </w:r>
            <w:r>
              <w:rPr>
                <w:i/>
                <w:iCs/>
                <w:kern w:val="0"/>
                <w:szCs w:val="21"/>
              </w:rPr>
              <w:t>E</w:t>
            </w:r>
          </w:p>
        </w:tc>
        <w:tc>
          <w:tcPr>
            <w:tcW w:w="1564" w:type="dxa"/>
            <w:noWrap/>
            <w:vAlign w:val="center"/>
          </w:tcPr>
          <w:p w14:paraId="2E56746C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修正误差</w:t>
            </w:r>
            <w:r>
              <w:rPr>
                <w:i/>
                <w:iCs/>
                <w:kern w:val="0"/>
                <w:szCs w:val="21"/>
              </w:rPr>
              <w:t>E</w:t>
            </w:r>
            <w:r>
              <w:rPr>
                <w:kern w:val="0"/>
                <w:szCs w:val="21"/>
                <w:vertAlign w:val="subscript"/>
              </w:rPr>
              <w:t>c</w:t>
            </w:r>
          </w:p>
        </w:tc>
      </w:tr>
      <w:tr w14:paraId="3F366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720" w:type="dxa"/>
            <w:noWrap/>
            <w:vAlign w:val="center"/>
          </w:tcPr>
          <w:p w14:paraId="049C8D68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仰 角</w:t>
            </w:r>
          </w:p>
        </w:tc>
        <w:tc>
          <w:tcPr>
            <w:tcW w:w="1389" w:type="dxa"/>
            <w:gridSpan w:val="2"/>
            <w:noWrap/>
            <w:vAlign w:val="center"/>
          </w:tcPr>
          <w:p w14:paraId="04E9881B">
            <w:pPr>
              <w:ind w:firstLine="105" w:firstLineChars="5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*</w:t>
            </w:r>
          </w:p>
        </w:tc>
        <w:tc>
          <w:tcPr>
            <w:tcW w:w="1556" w:type="dxa"/>
            <w:gridSpan w:val="3"/>
            <w:noWrap/>
            <w:vAlign w:val="center"/>
          </w:tcPr>
          <w:p w14:paraId="0E17259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5" w:type="dxa"/>
            <w:gridSpan w:val="2"/>
            <w:noWrap/>
            <w:vAlign w:val="center"/>
          </w:tcPr>
          <w:p w14:paraId="2908D02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4"/>
            <w:noWrap/>
            <w:vAlign w:val="center"/>
          </w:tcPr>
          <w:p w14:paraId="5226C6B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64" w:type="dxa"/>
            <w:noWrap/>
            <w:vAlign w:val="center"/>
          </w:tcPr>
          <w:p w14:paraId="34A1D35D">
            <w:pPr>
              <w:jc w:val="center"/>
              <w:rPr>
                <w:kern w:val="0"/>
                <w:szCs w:val="21"/>
              </w:rPr>
            </w:pPr>
          </w:p>
        </w:tc>
      </w:tr>
      <w:tr w14:paraId="5D234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720" w:type="dxa"/>
            <w:noWrap/>
            <w:vAlign w:val="center"/>
          </w:tcPr>
          <w:p w14:paraId="2512ECBE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倾 斜</w:t>
            </w:r>
          </w:p>
        </w:tc>
        <w:tc>
          <w:tcPr>
            <w:tcW w:w="1389" w:type="dxa"/>
            <w:gridSpan w:val="2"/>
            <w:noWrap/>
            <w:vAlign w:val="center"/>
          </w:tcPr>
          <w:p w14:paraId="6210EAD2">
            <w:pPr>
              <w:ind w:firstLine="105" w:firstLineChars="5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*</w:t>
            </w:r>
          </w:p>
        </w:tc>
        <w:tc>
          <w:tcPr>
            <w:tcW w:w="1556" w:type="dxa"/>
            <w:gridSpan w:val="3"/>
            <w:noWrap/>
            <w:vAlign w:val="center"/>
          </w:tcPr>
          <w:p w14:paraId="3E0D642A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5" w:type="dxa"/>
            <w:gridSpan w:val="2"/>
            <w:noWrap/>
            <w:vAlign w:val="center"/>
          </w:tcPr>
          <w:p w14:paraId="22C86BFD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4"/>
            <w:noWrap/>
            <w:vAlign w:val="center"/>
          </w:tcPr>
          <w:p w14:paraId="7DE37C62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64" w:type="dxa"/>
            <w:noWrap/>
            <w:vAlign w:val="center"/>
          </w:tcPr>
          <w:p w14:paraId="1B27B3A4">
            <w:pPr>
              <w:jc w:val="center"/>
              <w:rPr>
                <w:kern w:val="0"/>
                <w:szCs w:val="21"/>
              </w:rPr>
            </w:pPr>
          </w:p>
        </w:tc>
      </w:tr>
      <w:tr w14:paraId="50858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40" w:type="dxa"/>
            <w:gridSpan w:val="13"/>
            <w:noWrap/>
            <w:vAlign w:val="center"/>
          </w:tcPr>
          <w:p w14:paraId="2E6AC147">
            <w:pPr>
              <w:pStyle w:val="142"/>
              <w:spacing w:line="360" w:lineRule="auto"/>
              <w:ind w:right="0" w:rightChars="0"/>
              <w:outlineLvl w:val="1"/>
              <w:rPr>
                <w:rFonts w:ascii="Times New Roman"/>
                <w:spacing w:val="0"/>
                <w:szCs w:val="21"/>
              </w:rPr>
            </w:pPr>
            <w:r>
              <w:rPr>
                <w:rFonts w:ascii="Times New Roman" w:eastAsia="宋体"/>
                <w:spacing w:val="0"/>
                <w:szCs w:val="21"/>
              </w:rPr>
              <w:t>3.</w:t>
            </w:r>
            <w:r>
              <w:rPr>
                <w:rFonts w:hint="eastAsia" w:ascii="Times New Roman" w:eastAsia="宋体"/>
                <w:spacing w:val="0"/>
                <w:szCs w:val="21"/>
              </w:rPr>
              <w:t>变换行</w:t>
            </w:r>
            <w:r>
              <w:rPr>
                <w:rFonts w:ascii="Times New Roman" w:eastAsia="宋体"/>
                <w:spacing w:val="0"/>
                <w:szCs w:val="21"/>
              </w:rPr>
              <w:t>驶速度后的示值</w:t>
            </w:r>
            <w:r>
              <w:rPr>
                <w:rFonts w:hint="eastAsia" w:ascii="Times New Roman" w:eastAsia="宋体"/>
                <w:spacing w:val="0"/>
                <w:szCs w:val="21"/>
              </w:rPr>
              <w:t>误差</w:t>
            </w:r>
            <w:r>
              <w:rPr>
                <w:rFonts w:ascii="Times New Roman" w:eastAsia="宋体"/>
                <w:spacing w:val="0"/>
                <w:szCs w:val="21"/>
              </w:rPr>
              <w:t xml:space="preserve">     </w:t>
            </w:r>
            <w:r>
              <w:rPr>
                <w:rFonts w:hint="eastAsia" w:ascii="Times New Roman" w:eastAsia="宋体"/>
                <w:spacing w:val="0"/>
                <w:szCs w:val="21"/>
              </w:rPr>
              <w:t xml:space="preserve">    </w:t>
            </w:r>
            <w:r>
              <w:rPr>
                <w:rFonts w:ascii="Times New Roman" w:eastAsia="宋体"/>
                <w:spacing w:val="0"/>
                <w:szCs w:val="21"/>
              </w:rPr>
              <w:t xml:space="preserve"> 最大速度：</w:t>
            </w:r>
            <w:r>
              <w:rPr>
                <w:rFonts w:ascii="Times New Roman"/>
                <w:spacing w:val="0"/>
                <w:szCs w:val="21"/>
              </w:rPr>
              <w:t>（      km/h）</w:t>
            </w:r>
            <w:r>
              <w:rPr>
                <w:rFonts w:ascii="Times New Roman" w:eastAsia="宋体"/>
                <w:spacing w:val="0"/>
                <w:szCs w:val="21"/>
              </w:rPr>
              <w:t xml:space="preserve">              </w:t>
            </w:r>
            <w:r>
              <w:rPr>
                <w:rFonts w:hint="eastAsia" w:ascii="Times New Roman" w:eastAsia="宋体"/>
                <w:spacing w:val="0"/>
                <w:szCs w:val="21"/>
              </w:rPr>
              <w:t xml:space="preserve"> </w:t>
            </w:r>
            <w:r>
              <w:rPr>
                <w:rFonts w:ascii="Times New Roman" w:eastAsia="宋体"/>
                <w:spacing w:val="0"/>
                <w:szCs w:val="21"/>
              </w:rPr>
              <w:t>单位：</w:t>
            </w:r>
          </w:p>
        </w:tc>
      </w:tr>
      <w:tr w14:paraId="00A4F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720" w:type="dxa"/>
            <w:noWrap/>
            <w:vAlign w:val="center"/>
          </w:tcPr>
          <w:p w14:paraId="2D317110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次数</w:t>
            </w:r>
          </w:p>
        </w:tc>
        <w:tc>
          <w:tcPr>
            <w:tcW w:w="1389" w:type="dxa"/>
            <w:gridSpan w:val="2"/>
            <w:noWrap/>
            <w:vAlign w:val="center"/>
          </w:tcPr>
          <w:p w14:paraId="5CCB4CA6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载荷</w:t>
            </w:r>
            <w:r>
              <w:rPr>
                <w:i/>
                <w:iCs/>
                <w:kern w:val="0"/>
                <w:szCs w:val="21"/>
              </w:rPr>
              <w:t>L</w:t>
            </w:r>
          </w:p>
        </w:tc>
        <w:tc>
          <w:tcPr>
            <w:tcW w:w="1556" w:type="dxa"/>
            <w:gridSpan w:val="3"/>
            <w:noWrap/>
            <w:vAlign w:val="center"/>
          </w:tcPr>
          <w:p w14:paraId="7E487456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示值</w:t>
            </w:r>
            <w:r>
              <w:rPr>
                <w:i/>
                <w:iCs/>
                <w:kern w:val="0"/>
                <w:szCs w:val="21"/>
              </w:rPr>
              <w:t>I</w:t>
            </w:r>
          </w:p>
        </w:tc>
        <w:tc>
          <w:tcPr>
            <w:tcW w:w="1555" w:type="dxa"/>
            <w:gridSpan w:val="2"/>
            <w:noWrap/>
            <w:vAlign w:val="center"/>
          </w:tcPr>
          <w:p w14:paraId="3CA406FF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附加载荷</w:t>
            </w:r>
            <w:r>
              <w:rPr>
                <w:i/>
                <w:iCs/>
                <w:kern w:val="0"/>
                <w:szCs w:val="21"/>
              </w:rPr>
              <w:t>ΔL</w:t>
            </w:r>
          </w:p>
        </w:tc>
        <w:tc>
          <w:tcPr>
            <w:tcW w:w="1556" w:type="dxa"/>
            <w:gridSpan w:val="4"/>
            <w:noWrap/>
            <w:vAlign w:val="center"/>
          </w:tcPr>
          <w:p w14:paraId="7BAD32EF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误差</w:t>
            </w:r>
            <w:r>
              <w:rPr>
                <w:i/>
                <w:iCs/>
                <w:kern w:val="0"/>
                <w:szCs w:val="21"/>
              </w:rPr>
              <w:t>E</w:t>
            </w:r>
          </w:p>
        </w:tc>
        <w:tc>
          <w:tcPr>
            <w:tcW w:w="1564" w:type="dxa"/>
            <w:noWrap/>
            <w:vAlign w:val="center"/>
          </w:tcPr>
          <w:p w14:paraId="3E87F3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误差</w:t>
            </w:r>
            <w:r>
              <w:rPr>
                <w:i/>
                <w:color w:val="000000" w:themeColor="text1"/>
                <w:kern w:val="0"/>
                <w:sz w:val="20"/>
                <w:szCs w:val="21"/>
              </w:rPr>
              <w:t>E</w:t>
            </w:r>
            <w:r>
              <w:rPr>
                <w:color w:val="000000" w:themeColor="text1"/>
                <w:kern w:val="0"/>
                <w:sz w:val="20"/>
                <w:szCs w:val="21"/>
                <w:vertAlign w:val="subscript"/>
              </w:rPr>
              <w:t>R</w:t>
            </w:r>
          </w:p>
        </w:tc>
      </w:tr>
      <w:tr w14:paraId="0773F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720" w:type="dxa"/>
            <w:noWrap/>
            <w:vAlign w:val="center"/>
          </w:tcPr>
          <w:p w14:paraId="540484C2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1389" w:type="dxa"/>
            <w:gridSpan w:val="2"/>
            <w:vMerge w:val="restart"/>
            <w:noWrap/>
            <w:vAlign w:val="center"/>
          </w:tcPr>
          <w:p w14:paraId="4C65D77A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3"/>
            <w:noWrap/>
            <w:vAlign w:val="center"/>
          </w:tcPr>
          <w:p w14:paraId="7A082FD2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5" w:type="dxa"/>
            <w:gridSpan w:val="2"/>
            <w:noWrap/>
            <w:vAlign w:val="center"/>
          </w:tcPr>
          <w:p w14:paraId="271F7697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4"/>
            <w:noWrap/>
            <w:vAlign w:val="center"/>
          </w:tcPr>
          <w:p w14:paraId="7D153686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64" w:type="dxa"/>
            <w:vMerge w:val="restart"/>
            <w:noWrap/>
            <w:vAlign w:val="center"/>
          </w:tcPr>
          <w:p w14:paraId="31D9B14F">
            <w:pPr>
              <w:jc w:val="center"/>
              <w:rPr>
                <w:kern w:val="0"/>
                <w:szCs w:val="21"/>
              </w:rPr>
            </w:pPr>
          </w:p>
        </w:tc>
      </w:tr>
      <w:tr w14:paraId="5A695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720" w:type="dxa"/>
            <w:noWrap/>
            <w:vAlign w:val="center"/>
          </w:tcPr>
          <w:p w14:paraId="07AFEA5C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1389" w:type="dxa"/>
            <w:gridSpan w:val="2"/>
            <w:vMerge w:val="continue"/>
            <w:noWrap/>
            <w:vAlign w:val="center"/>
          </w:tcPr>
          <w:p w14:paraId="02BE898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3"/>
            <w:noWrap/>
            <w:vAlign w:val="center"/>
          </w:tcPr>
          <w:p w14:paraId="62AF3CDC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5" w:type="dxa"/>
            <w:gridSpan w:val="2"/>
            <w:noWrap/>
            <w:vAlign w:val="center"/>
          </w:tcPr>
          <w:p w14:paraId="77BEB9EF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4"/>
            <w:noWrap/>
            <w:vAlign w:val="center"/>
          </w:tcPr>
          <w:p w14:paraId="6AEFF9E3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64" w:type="dxa"/>
            <w:vMerge w:val="continue"/>
            <w:noWrap/>
            <w:vAlign w:val="center"/>
          </w:tcPr>
          <w:p w14:paraId="1352613E">
            <w:pPr>
              <w:jc w:val="center"/>
              <w:rPr>
                <w:kern w:val="0"/>
                <w:szCs w:val="21"/>
              </w:rPr>
            </w:pPr>
          </w:p>
        </w:tc>
      </w:tr>
      <w:tr w14:paraId="71C79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720" w:type="dxa"/>
            <w:noWrap/>
            <w:vAlign w:val="center"/>
          </w:tcPr>
          <w:p w14:paraId="15565AA7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1389" w:type="dxa"/>
            <w:gridSpan w:val="2"/>
            <w:vMerge w:val="continue"/>
            <w:noWrap/>
            <w:vAlign w:val="center"/>
          </w:tcPr>
          <w:p w14:paraId="2CE07BB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3"/>
            <w:noWrap/>
            <w:vAlign w:val="center"/>
          </w:tcPr>
          <w:p w14:paraId="3AF77E37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5" w:type="dxa"/>
            <w:gridSpan w:val="2"/>
            <w:noWrap/>
            <w:vAlign w:val="center"/>
          </w:tcPr>
          <w:p w14:paraId="43B1D02F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4"/>
            <w:noWrap/>
            <w:vAlign w:val="center"/>
          </w:tcPr>
          <w:p w14:paraId="178C6A8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64" w:type="dxa"/>
            <w:vMerge w:val="continue"/>
            <w:noWrap/>
            <w:vAlign w:val="center"/>
          </w:tcPr>
          <w:p w14:paraId="00DE78A9">
            <w:pPr>
              <w:jc w:val="center"/>
              <w:rPr>
                <w:kern w:val="0"/>
                <w:szCs w:val="21"/>
              </w:rPr>
            </w:pPr>
          </w:p>
        </w:tc>
      </w:tr>
      <w:tr w14:paraId="403E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720" w:type="dxa"/>
            <w:noWrap/>
            <w:vAlign w:val="center"/>
          </w:tcPr>
          <w:p w14:paraId="11B0C7FE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89" w:type="dxa"/>
            <w:gridSpan w:val="2"/>
            <w:vMerge w:val="continue"/>
            <w:noWrap/>
            <w:vAlign w:val="center"/>
          </w:tcPr>
          <w:p w14:paraId="45F5030F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3"/>
            <w:noWrap/>
            <w:vAlign w:val="center"/>
          </w:tcPr>
          <w:p w14:paraId="63834198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5" w:type="dxa"/>
            <w:gridSpan w:val="2"/>
            <w:noWrap/>
            <w:vAlign w:val="center"/>
          </w:tcPr>
          <w:p w14:paraId="3D785AAE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4"/>
            <w:noWrap/>
            <w:vAlign w:val="center"/>
          </w:tcPr>
          <w:p w14:paraId="4D3BA5B8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64" w:type="dxa"/>
            <w:vMerge w:val="continue"/>
            <w:noWrap/>
            <w:vAlign w:val="center"/>
          </w:tcPr>
          <w:p w14:paraId="04515BE3">
            <w:pPr>
              <w:jc w:val="center"/>
              <w:rPr>
                <w:kern w:val="0"/>
                <w:szCs w:val="21"/>
              </w:rPr>
            </w:pPr>
          </w:p>
        </w:tc>
      </w:tr>
      <w:tr w14:paraId="4666A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720" w:type="dxa"/>
            <w:noWrap/>
            <w:vAlign w:val="center"/>
          </w:tcPr>
          <w:p w14:paraId="45D860E6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89" w:type="dxa"/>
            <w:gridSpan w:val="2"/>
            <w:vMerge w:val="continue"/>
            <w:noWrap/>
            <w:vAlign w:val="center"/>
          </w:tcPr>
          <w:p w14:paraId="190A4328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3"/>
            <w:noWrap/>
            <w:vAlign w:val="center"/>
          </w:tcPr>
          <w:p w14:paraId="39BF02B7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5" w:type="dxa"/>
            <w:gridSpan w:val="2"/>
            <w:noWrap/>
            <w:vAlign w:val="center"/>
          </w:tcPr>
          <w:p w14:paraId="6FD7EE42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4"/>
            <w:noWrap/>
            <w:vAlign w:val="center"/>
          </w:tcPr>
          <w:p w14:paraId="49DC5AA1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64" w:type="dxa"/>
            <w:vMerge w:val="continue"/>
            <w:noWrap/>
            <w:vAlign w:val="center"/>
          </w:tcPr>
          <w:p w14:paraId="258DA7AF">
            <w:pPr>
              <w:jc w:val="center"/>
              <w:rPr>
                <w:kern w:val="0"/>
                <w:szCs w:val="21"/>
              </w:rPr>
            </w:pPr>
          </w:p>
        </w:tc>
      </w:tr>
      <w:tr w14:paraId="54CD5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720" w:type="dxa"/>
            <w:noWrap/>
            <w:vAlign w:val="center"/>
          </w:tcPr>
          <w:p w14:paraId="6BE9399A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89" w:type="dxa"/>
            <w:gridSpan w:val="2"/>
            <w:vMerge w:val="continue"/>
            <w:noWrap/>
            <w:vAlign w:val="center"/>
          </w:tcPr>
          <w:p w14:paraId="6D53CC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3"/>
            <w:noWrap/>
            <w:vAlign w:val="center"/>
          </w:tcPr>
          <w:p w14:paraId="42DFA28C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5" w:type="dxa"/>
            <w:gridSpan w:val="2"/>
            <w:noWrap/>
            <w:vAlign w:val="center"/>
          </w:tcPr>
          <w:p w14:paraId="186BBA6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4"/>
            <w:noWrap/>
            <w:vAlign w:val="center"/>
          </w:tcPr>
          <w:p w14:paraId="77DA4685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64" w:type="dxa"/>
            <w:vMerge w:val="continue"/>
            <w:noWrap/>
            <w:vAlign w:val="center"/>
          </w:tcPr>
          <w:p w14:paraId="0BD0655D">
            <w:pPr>
              <w:jc w:val="center"/>
              <w:rPr>
                <w:kern w:val="0"/>
                <w:szCs w:val="21"/>
              </w:rPr>
            </w:pPr>
          </w:p>
        </w:tc>
      </w:tr>
      <w:tr w14:paraId="638A2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6" w:hRule="atLeast"/>
        </w:trPr>
        <w:tc>
          <w:tcPr>
            <w:tcW w:w="1720" w:type="dxa"/>
            <w:noWrap/>
            <w:vAlign w:val="center"/>
          </w:tcPr>
          <w:p w14:paraId="656E114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389" w:type="dxa"/>
            <w:gridSpan w:val="2"/>
            <w:vMerge w:val="continue"/>
            <w:noWrap/>
            <w:vAlign w:val="center"/>
          </w:tcPr>
          <w:p w14:paraId="4A99540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3"/>
            <w:noWrap/>
            <w:vAlign w:val="center"/>
          </w:tcPr>
          <w:p w14:paraId="7738F005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5" w:type="dxa"/>
            <w:gridSpan w:val="2"/>
            <w:noWrap/>
            <w:vAlign w:val="center"/>
          </w:tcPr>
          <w:p w14:paraId="5E5CF676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56" w:type="dxa"/>
            <w:gridSpan w:val="4"/>
            <w:noWrap/>
            <w:vAlign w:val="center"/>
          </w:tcPr>
          <w:p w14:paraId="2F67F671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564" w:type="dxa"/>
            <w:vMerge w:val="continue"/>
            <w:noWrap/>
            <w:vAlign w:val="center"/>
          </w:tcPr>
          <w:p w14:paraId="42662444">
            <w:pPr>
              <w:jc w:val="center"/>
              <w:rPr>
                <w:kern w:val="0"/>
                <w:szCs w:val="21"/>
              </w:rPr>
            </w:pPr>
          </w:p>
        </w:tc>
      </w:tr>
    </w:tbl>
    <w:p w14:paraId="473AEFB7">
      <w:pPr>
        <w:jc w:val="left"/>
        <w:rPr>
          <w:rFonts w:hint="eastAsia" w:ascii="黑体" w:hAnsi="黑体"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br w:type="page"/>
      </w:r>
      <w:r>
        <w:rPr>
          <w:rFonts w:ascii="黑体" w:hAnsi="黑体" w:eastAsia="黑体"/>
          <w:kern w:val="0"/>
          <w:sz w:val="28"/>
          <w:szCs w:val="28"/>
        </w:rPr>
        <w:t xml:space="preserve">附录 B   </w:t>
      </w:r>
    </w:p>
    <w:p w14:paraId="3B0B26F5">
      <w:pPr>
        <w:wordWrap w:val="0"/>
        <w:spacing w:before="50" w:after="50" w:line="440" w:lineRule="exact"/>
        <w:ind w:right="370"/>
        <w:outlineLvl w:val="0"/>
        <w:rPr>
          <w:rFonts w:eastAsia="黑体"/>
          <w:kern w:val="0"/>
          <w:sz w:val="28"/>
          <w:szCs w:val="28"/>
        </w:rPr>
      </w:pPr>
    </w:p>
    <w:p w14:paraId="35E258ED">
      <w:pPr>
        <w:wordWrap w:val="0"/>
        <w:spacing w:before="50" w:after="50" w:line="440" w:lineRule="exact"/>
        <w:ind w:right="370"/>
        <w:jc w:val="center"/>
        <w:outlineLvl w:val="0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校准证书内页推荐格式</w:t>
      </w:r>
      <w:bookmarkEnd w:id="83"/>
    </w:p>
    <w:p w14:paraId="477A405B">
      <w:pPr>
        <w:wordWrap w:val="0"/>
        <w:spacing w:before="50" w:after="50" w:line="440" w:lineRule="exact"/>
        <w:ind w:right="370"/>
        <w:jc w:val="center"/>
        <w:outlineLvl w:val="0"/>
        <w:rPr>
          <w:rFonts w:eastAsia="黑体"/>
          <w:kern w:val="0"/>
          <w:sz w:val="28"/>
          <w:szCs w:val="28"/>
        </w:rPr>
      </w:pPr>
    </w:p>
    <w:p w14:paraId="052D15CE">
      <w:pPr>
        <w:wordWrap w:val="0"/>
        <w:spacing w:before="50" w:after="50" w:line="440" w:lineRule="exact"/>
        <w:ind w:right="370"/>
        <w:jc w:val="center"/>
        <w:outlineLvl w:val="0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校准结果</w:t>
      </w:r>
    </w:p>
    <w:p w14:paraId="2DAA2EE4">
      <w:pPr>
        <w:wordWrap w:val="0"/>
        <w:spacing w:before="50" w:after="50" w:line="440" w:lineRule="exact"/>
        <w:ind w:right="370" w:firstLine="240" w:firstLineChars="100"/>
        <w:outlineLvl w:val="0"/>
        <w:rPr>
          <w:kern w:val="0"/>
          <w:sz w:val="24"/>
        </w:rPr>
      </w:pPr>
      <w:r>
        <w:rPr>
          <w:i/>
          <w:iCs/>
          <w:kern w:val="0"/>
          <w:sz w:val="24"/>
        </w:rPr>
        <w:t>Max</w:t>
      </w:r>
      <w:r>
        <w:rPr>
          <w:kern w:val="0"/>
          <w:sz w:val="24"/>
        </w:rPr>
        <w:t xml:space="preserve">=                   </w:t>
      </w:r>
      <w:r>
        <w:rPr>
          <w:i/>
          <w:iCs/>
          <w:kern w:val="0"/>
          <w:sz w:val="24"/>
        </w:rPr>
        <w:t>d</w:t>
      </w:r>
      <w:r>
        <w:rPr>
          <w:kern w:val="0"/>
          <w:sz w:val="24"/>
        </w:rPr>
        <w:t>=</w:t>
      </w:r>
    </w:p>
    <w:p w14:paraId="74D5BD5D">
      <w:pPr>
        <w:wordWrap w:val="0"/>
        <w:spacing w:before="50" w:after="50" w:line="440" w:lineRule="exact"/>
        <w:ind w:right="370" w:firstLine="210" w:firstLineChars="100"/>
        <w:outlineLvl w:val="0"/>
        <w:rPr>
          <w:kern w:val="0"/>
          <w:szCs w:val="21"/>
        </w:rPr>
      </w:pPr>
      <w:r>
        <w:rPr>
          <w:kern w:val="0"/>
          <w:szCs w:val="21"/>
        </w:rPr>
        <w:t>1.称重示值误差</w:t>
      </w:r>
    </w:p>
    <w:tbl>
      <w:tblPr>
        <w:tblStyle w:val="3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2094"/>
        <w:gridCol w:w="2700"/>
        <w:gridCol w:w="2701"/>
      </w:tblGrid>
      <w:tr w14:paraId="7C892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noWrap/>
            <w:vAlign w:val="center"/>
          </w:tcPr>
          <w:p w14:paraId="46CE7F23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载荷</w:t>
            </w:r>
            <w:r>
              <w:rPr>
                <w:bCs/>
                <w:i/>
                <w:kern w:val="0"/>
                <w:szCs w:val="21"/>
              </w:rPr>
              <w:t>L</w:t>
            </w:r>
            <w:r>
              <w:rPr>
                <w:bCs/>
                <w:iCs/>
                <w:kern w:val="0"/>
                <w:szCs w:val="21"/>
              </w:rPr>
              <w:t xml:space="preserve">(    </w:t>
            </w:r>
            <w:r>
              <w:rPr>
                <w:bCs/>
                <w:iCs/>
                <w:color w:val="000000"/>
                <w:kern w:val="0"/>
                <w:sz w:val="22"/>
              </w:rPr>
              <w:t>)</w:t>
            </w:r>
          </w:p>
        </w:tc>
        <w:tc>
          <w:tcPr>
            <w:tcW w:w="2094" w:type="dxa"/>
            <w:noWrap/>
            <w:vAlign w:val="center"/>
          </w:tcPr>
          <w:p w14:paraId="7AF04059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示值</w:t>
            </w:r>
            <w:r>
              <w:rPr>
                <w:bCs/>
                <w:i/>
                <w:color w:val="000000"/>
                <w:kern w:val="0"/>
                <w:sz w:val="22"/>
              </w:rPr>
              <w:t>I</w:t>
            </w:r>
            <w:r>
              <w:rPr>
                <w:bCs/>
                <w:iCs/>
                <w:kern w:val="0"/>
                <w:szCs w:val="21"/>
              </w:rPr>
              <w:t xml:space="preserve">(    </w:t>
            </w:r>
            <w:r>
              <w:rPr>
                <w:bCs/>
                <w:iCs/>
                <w:color w:val="000000"/>
                <w:kern w:val="0"/>
                <w:sz w:val="22"/>
              </w:rPr>
              <w:t>)</w:t>
            </w:r>
          </w:p>
        </w:tc>
        <w:tc>
          <w:tcPr>
            <w:tcW w:w="2700" w:type="dxa"/>
            <w:noWrap/>
            <w:vAlign w:val="center"/>
          </w:tcPr>
          <w:p w14:paraId="6DE17FFA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 w:val="22"/>
              </w:rPr>
              <w:t>修正误差</w:t>
            </w:r>
            <w:r>
              <w:rPr>
                <w:bCs/>
                <w:i/>
                <w:color w:val="000000"/>
                <w:kern w:val="0"/>
                <w:sz w:val="22"/>
              </w:rPr>
              <w:t>E</w:t>
            </w:r>
            <w:r>
              <w:rPr>
                <w:bCs/>
                <w:i/>
                <w:color w:val="000000"/>
                <w:kern w:val="0"/>
                <w:sz w:val="22"/>
                <w:vertAlign w:val="subscript"/>
              </w:rPr>
              <w:t>c</w:t>
            </w:r>
            <w:r>
              <w:rPr>
                <w:bCs/>
                <w:iCs/>
                <w:kern w:val="0"/>
                <w:szCs w:val="21"/>
              </w:rPr>
              <w:t xml:space="preserve">(    </w:t>
            </w:r>
            <w:r>
              <w:rPr>
                <w:bCs/>
                <w:iCs/>
                <w:color w:val="000000"/>
                <w:kern w:val="0"/>
                <w:sz w:val="22"/>
              </w:rPr>
              <w:t>)</w:t>
            </w:r>
          </w:p>
        </w:tc>
        <w:tc>
          <w:tcPr>
            <w:tcW w:w="2701" w:type="dxa"/>
            <w:noWrap/>
            <w:vAlign w:val="center"/>
          </w:tcPr>
          <w:p w14:paraId="7EF79E84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扩展不确定度</w:t>
            </w:r>
            <w:r>
              <w:rPr>
                <w:i/>
                <w:iCs/>
                <w:kern w:val="0"/>
                <w:szCs w:val="21"/>
              </w:rPr>
              <w:t>U</w:t>
            </w:r>
            <w:r>
              <w:rPr>
                <w:bCs/>
                <w:iCs/>
                <w:kern w:val="0"/>
                <w:szCs w:val="21"/>
              </w:rPr>
              <w:t xml:space="preserve">(    </w:t>
            </w:r>
            <w:r>
              <w:rPr>
                <w:bCs/>
                <w:iCs/>
                <w:color w:val="000000"/>
                <w:kern w:val="0"/>
                <w:sz w:val="22"/>
              </w:rPr>
              <w:t>)</w:t>
            </w:r>
            <w:r>
              <w:rPr>
                <w:kern w:val="0"/>
                <w:szCs w:val="21"/>
              </w:rPr>
              <w:t>，</w:t>
            </w:r>
            <w:r>
              <w:rPr>
                <w:i/>
                <w:iCs/>
                <w:kern w:val="0"/>
                <w:szCs w:val="21"/>
              </w:rPr>
              <w:t>k</w:t>
            </w:r>
            <w:r>
              <w:rPr>
                <w:kern w:val="0"/>
                <w:szCs w:val="21"/>
              </w:rPr>
              <w:t>=2</w:t>
            </w:r>
          </w:p>
        </w:tc>
      </w:tr>
      <w:tr w14:paraId="37746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noWrap/>
            <w:vAlign w:val="center"/>
          </w:tcPr>
          <w:p w14:paraId="33F09AF9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094" w:type="dxa"/>
            <w:noWrap/>
            <w:vAlign w:val="center"/>
          </w:tcPr>
          <w:p w14:paraId="307603B9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700" w:type="dxa"/>
            <w:noWrap/>
            <w:vAlign w:val="center"/>
          </w:tcPr>
          <w:p w14:paraId="3A798BB3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701" w:type="dxa"/>
            <w:noWrap/>
            <w:vAlign w:val="center"/>
          </w:tcPr>
          <w:p w14:paraId="63F13468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</w:tr>
      <w:tr w14:paraId="63984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noWrap/>
            <w:vAlign w:val="center"/>
          </w:tcPr>
          <w:p w14:paraId="07900BB8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094" w:type="dxa"/>
            <w:noWrap/>
            <w:vAlign w:val="center"/>
          </w:tcPr>
          <w:p w14:paraId="3C1E3E0D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700" w:type="dxa"/>
            <w:noWrap/>
            <w:vAlign w:val="center"/>
          </w:tcPr>
          <w:p w14:paraId="6F3F5901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701" w:type="dxa"/>
            <w:noWrap/>
            <w:vAlign w:val="center"/>
          </w:tcPr>
          <w:p w14:paraId="6C4664DC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</w:tr>
      <w:tr w14:paraId="1A815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noWrap/>
            <w:vAlign w:val="center"/>
          </w:tcPr>
          <w:p w14:paraId="633D49EC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094" w:type="dxa"/>
            <w:noWrap/>
            <w:vAlign w:val="center"/>
          </w:tcPr>
          <w:p w14:paraId="4149DFDD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700" w:type="dxa"/>
            <w:noWrap/>
            <w:vAlign w:val="center"/>
          </w:tcPr>
          <w:p w14:paraId="4A1E0829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701" w:type="dxa"/>
            <w:noWrap/>
            <w:vAlign w:val="center"/>
          </w:tcPr>
          <w:p w14:paraId="7D2BF5CA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</w:tr>
      <w:tr w14:paraId="46B9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noWrap/>
            <w:vAlign w:val="center"/>
          </w:tcPr>
          <w:p w14:paraId="6E32A694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094" w:type="dxa"/>
            <w:noWrap/>
            <w:vAlign w:val="center"/>
          </w:tcPr>
          <w:p w14:paraId="282D75E7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700" w:type="dxa"/>
            <w:noWrap/>
            <w:vAlign w:val="center"/>
          </w:tcPr>
          <w:p w14:paraId="7310D563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701" w:type="dxa"/>
            <w:noWrap/>
            <w:vAlign w:val="center"/>
          </w:tcPr>
          <w:p w14:paraId="67D73930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</w:tr>
      <w:tr w14:paraId="25FE2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noWrap/>
            <w:vAlign w:val="center"/>
          </w:tcPr>
          <w:p w14:paraId="6311876C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094" w:type="dxa"/>
            <w:noWrap/>
            <w:vAlign w:val="center"/>
          </w:tcPr>
          <w:p w14:paraId="328530B2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700" w:type="dxa"/>
            <w:noWrap/>
            <w:vAlign w:val="center"/>
          </w:tcPr>
          <w:p w14:paraId="3AA9FD2C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701" w:type="dxa"/>
            <w:noWrap/>
            <w:vAlign w:val="center"/>
          </w:tcPr>
          <w:p w14:paraId="26625907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</w:tr>
      <w:tr w14:paraId="1EE65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noWrap/>
            <w:vAlign w:val="center"/>
          </w:tcPr>
          <w:p w14:paraId="21EEB62B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094" w:type="dxa"/>
            <w:noWrap/>
            <w:vAlign w:val="center"/>
          </w:tcPr>
          <w:p w14:paraId="5DCF54DA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700" w:type="dxa"/>
            <w:noWrap/>
            <w:vAlign w:val="center"/>
          </w:tcPr>
          <w:p w14:paraId="75F7291A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701" w:type="dxa"/>
            <w:noWrap/>
            <w:vAlign w:val="center"/>
          </w:tcPr>
          <w:p w14:paraId="25F0B898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</w:tr>
      <w:tr w14:paraId="42BA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2" w:type="dxa"/>
            <w:gridSpan w:val="4"/>
            <w:noWrap/>
            <w:vAlign w:val="center"/>
          </w:tcPr>
          <w:p w14:paraId="0516474E">
            <w:pPr>
              <w:wordWrap w:val="0"/>
              <w:spacing w:line="360" w:lineRule="auto"/>
              <w:ind w:right="370"/>
              <w:outlineLvl w:val="0"/>
              <w:rPr>
                <w:kern w:val="0"/>
                <w:szCs w:val="21"/>
              </w:rPr>
            </w:pPr>
          </w:p>
        </w:tc>
      </w:tr>
    </w:tbl>
    <w:p w14:paraId="7C606AB2">
      <w:pPr>
        <w:wordWrap w:val="0"/>
        <w:spacing w:before="50" w:after="50" w:line="440" w:lineRule="exact"/>
        <w:ind w:right="370"/>
        <w:outlineLvl w:val="0"/>
        <w:rPr>
          <w:kern w:val="0"/>
          <w:sz w:val="24"/>
        </w:rPr>
      </w:pPr>
    </w:p>
    <w:p w14:paraId="19EA2AF9">
      <w:pPr>
        <w:wordWrap w:val="0"/>
        <w:spacing w:before="50" w:after="50" w:line="440" w:lineRule="exact"/>
        <w:ind w:right="370" w:firstLine="240" w:firstLineChars="100"/>
        <w:outlineLvl w:val="0"/>
        <w:rPr>
          <w:kern w:val="0"/>
          <w:sz w:val="24"/>
        </w:rPr>
      </w:pPr>
      <w:r>
        <w:rPr>
          <w:kern w:val="0"/>
          <w:sz w:val="24"/>
        </w:rPr>
        <w:t>2.</w:t>
      </w:r>
      <w:r>
        <w:rPr>
          <w:kern w:val="0"/>
          <w:szCs w:val="21"/>
        </w:rPr>
        <w:t>仰角/倾角</w:t>
      </w:r>
      <w:r>
        <w:rPr>
          <w:rFonts w:hint="eastAsia"/>
          <w:kern w:val="0"/>
          <w:szCs w:val="21"/>
        </w:rPr>
        <w:t>变化的</w:t>
      </w:r>
      <w:r>
        <w:rPr>
          <w:kern w:val="0"/>
          <w:szCs w:val="21"/>
        </w:rPr>
        <w:t xml:space="preserve">示值误差 </w:t>
      </w:r>
    </w:p>
    <w:tbl>
      <w:tblPr>
        <w:tblStyle w:val="36"/>
        <w:tblW w:w="8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309"/>
        <w:gridCol w:w="2129"/>
        <w:gridCol w:w="2352"/>
      </w:tblGrid>
      <w:tr w14:paraId="60568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008" w:type="dxa"/>
            <w:noWrap/>
            <w:vAlign w:val="center"/>
          </w:tcPr>
          <w:p w14:paraId="477F531F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位置</w:t>
            </w:r>
          </w:p>
        </w:tc>
        <w:tc>
          <w:tcPr>
            <w:tcW w:w="2309" w:type="dxa"/>
            <w:noWrap/>
            <w:vAlign w:val="center"/>
          </w:tcPr>
          <w:p w14:paraId="7AA49CBB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载荷</w:t>
            </w:r>
            <w:r>
              <w:rPr>
                <w:bCs/>
                <w:i/>
                <w:kern w:val="0"/>
                <w:szCs w:val="21"/>
              </w:rPr>
              <w:t>L</w:t>
            </w:r>
            <w:r>
              <w:rPr>
                <w:bCs/>
                <w:iCs/>
                <w:kern w:val="0"/>
                <w:szCs w:val="21"/>
              </w:rPr>
              <w:t xml:space="preserve">(    </w:t>
            </w:r>
            <w:r>
              <w:rPr>
                <w:bCs/>
                <w:iCs/>
                <w:color w:val="000000"/>
                <w:kern w:val="0"/>
                <w:sz w:val="22"/>
              </w:rPr>
              <w:t>)</w:t>
            </w:r>
          </w:p>
        </w:tc>
        <w:tc>
          <w:tcPr>
            <w:tcW w:w="2129" w:type="dxa"/>
            <w:noWrap/>
            <w:vAlign w:val="center"/>
          </w:tcPr>
          <w:p w14:paraId="181DB549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示值</w:t>
            </w:r>
            <w:r>
              <w:rPr>
                <w:bCs/>
                <w:i/>
                <w:color w:val="000000"/>
                <w:kern w:val="0"/>
                <w:sz w:val="22"/>
              </w:rPr>
              <w:t>I</w:t>
            </w:r>
            <w:r>
              <w:rPr>
                <w:bCs/>
                <w:iCs/>
                <w:kern w:val="0"/>
                <w:szCs w:val="21"/>
              </w:rPr>
              <w:t xml:space="preserve">(    </w:t>
            </w:r>
            <w:r>
              <w:rPr>
                <w:bCs/>
                <w:iCs/>
                <w:color w:val="000000"/>
                <w:kern w:val="0"/>
                <w:sz w:val="22"/>
              </w:rPr>
              <w:t>)</w:t>
            </w:r>
          </w:p>
        </w:tc>
        <w:tc>
          <w:tcPr>
            <w:tcW w:w="2352" w:type="dxa"/>
            <w:noWrap/>
            <w:vAlign w:val="center"/>
          </w:tcPr>
          <w:p w14:paraId="46C07508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 w:val="22"/>
              </w:rPr>
              <w:t>修正误差</w:t>
            </w:r>
            <w:r>
              <w:rPr>
                <w:bCs/>
                <w:i/>
                <w:color w:val="000000"/>
                <w:kern w:val="0"/>
                <w:sz w:val="22"/>
              </w:rPr>
              <w:t>E</w:t>
            </w:r>
            <w:r>
              <w:rPr>
                <w:bCs/>
                <w:i/>
                <w:color w:val="000000"/>
                <w:kern w:val="0"/>
                <w:sz w:val="22"/>
                <w:vertAlign w:val="subscript"/>
              </w:rPr>
              <w:t>c</w:t>
            </w:r>
            <w:r>
              <w:rPr>
                <w:bCs/>
                <w:iCs/>
                <w:kern w:val="0"/>
                <w:szCs w:val="21"/>
              </w:rPr>
              <w:t xml:space="preserve">(    </w:t>
            </w:r>
            <w:r>
              <w:rPr>
                <w:bCs/>
                <w:iCs/>
                <w:color w:val="000000"/>
                <w:kern w:val="0"/>
                <w:sz w:val="22"/>
              </w:rPr>
              <w:t>)</w:t>
            </w:r>
          </w:p>
        </w:tc>
      </w:tr>
      <w:tr w14:paraId="530F6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008" w:type="dxa"/>
            <w:noWrap/>
            <w:vAlign w:val="center"/>
          </w:tcPr>
          <w:p w14:paraId="7191A0B0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仰 角</w:t>
            </w:r>
          </w:p>
        </w:tc>
        <w:tc>
          <w:tcPr>
            <w:tcW w:w="2309" w:type="dxa"/>
            <w:noWrap/>
            <w:vAlign w:val="center"/>
          </w:tcPr>
          <w:p w14:paraId="7ACE77F8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129" w:type="dxa"/>
            <w:noWrap/>
            <w:vAlign w:val="center"/>
          </w:tcPr>
          <w:p w14:paraId="5DDD64FF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352" w:type="dxa"/>
            <w:noWrap/>
            <w:vAlign w:val="center"/>
          </w:tcPr>
          <w:p w14:paraId="117866E0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</w:tr>
      <w:tr w14:paraId="0031F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008" w:type="dxa"/>
            <w:noWrap/>
            <w:vAlign w:val="center"/>
          </w:tcPr>
          <w:p w14:paraId="115CBF2B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倾 角</w:t>
            </w:r>
          </w:p>
        </w:tc>
        <w:tc>
          <w:tcPr>
            <w:tcW w:w="2309" w:type="dxa"/>
            <w:noWrap/>
            <w:vAlign w:val="center"/>
          </w:tcPr>
          <w:p w14:paraId="2E1E8879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129" w:type="dxa"/>
            <w:noWrap/>
            <w:vAlign w:val="center"/>
          </w:tcPr>
          <w:p w14:paraId="6466581B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352" w:type="dxa"/>
            <w:noWrap/>
            <w:vAlign w:val="center"/>
          </w:tcPr>
          <w:p w14:paraId="454EEEF5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</w:tr>
    </w:tbl>
    <w:p w14:paraId="18C7AEF5">
      <w:pPr>
        <w:wordWrap w:val="0"/>
        <w:spacing w:before="50" w:after="50" w:line="440" w:lineRule="exact"/>
        <w:ind w:right="370"/>
        <w:outlineLvl w:val="0"/>
        <w:rPr>
          <w:kern w:val="0"/>
          <w:sz w:val="24"/>
        </w:rPr>
      </w:pPr>
    </w:p>
    <w:p w14:paraId="1AEF159E">
      <w:pPr>
        <w:wordWrap w:val="0"/>
        <w:spacing w:before="50" w:after="50" w:line="440" w:lineRule="exact"/>
        <w:ind w:right="370" w:firstLine="240" w:firstLineChars="100"/>
        <w:outlineLvl w:val="0"/>
        <w:rPr>
          <w:kern w:val="0"/>
          <w:sz w:val="24"/>
        </w:rPr>
      </w:pPr>
      <w:r>
        <w:rPr>
          <w:rFonts w:hint="eastAsia"/>
          <w:kern w:val="0"/>
          <w:sz w:val="24"/>
        </w:rPr>
        <w:t>3</w:t>
      </w:r>
      <w:r>
        <w:rPr>
          <w:kern w:val="0"/>
          <w:sz w:val="24"/>
        </w:rPr>
        <w:t>.</w:t>
      </w:r>
      <w:r>
        <w:rPr>
          <w:rFonts w:hint="eastAsia"/>
          <w:kern w:val="0"/>
          <w:szCs w:val="21"/>
        </w:rPr>
        <w:t>变换行驶速度后的</w:t>
      </w:r>
      <w:r>
        <w:rPr>
          <w:kern w:val="0"/>
          <w:szCs w:val="21"/>
        </w:rPr>
        <w:t xml:space="preserve">示值误差 </w:t>
      </w:r>
    </w:p>
    <w:tbl>
      <w:tblPr>
        <w:tblStyle w:val="36"/>
        <w:tblW w:w="8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309"/>
        <w:gridCol w:w="2129"/>
        <w:gridCol w:w="2352"/>
      </w:tblGrid>
      <w:tr w14:paraId="31724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008" w:type="dxa"/>
            <w:noWrap/>
            <w:vAlign w:val="center"/>
          </w:tcPr>
          <w:p w14:paraId="611D0325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载荷</w:t>
            </w:r>
            <w:r>
              <w:rPr>
                <w:bCs/>
                <w:i/>
                <w:kern w:val="0"/>
                <w:szCs w:val="21"/>
              </w:rPr>
              <w:t>L</w:t>
            </w:r>
            <w:r>
              <w:rPr>
                <w:bCs/>
                <w:iCs/>
                <w:kern w:val="0"/>
                <w:szCs w:val="21"/>
              </w:rPr>
              <w:t xml:space="preserve">(    </w:t>
            </w:r>
            <w:r>
              <w:rPr>
                <w:bCs/>
                <w:iCs/>
                <w:color w:val="000000"/>
                <w:kern w:val="0"/>
                <w:sz w:val="22"/>
              </w:rPr>
              <w:t>)</w:t>
            </w:r>
          </w:p>
        </w:tc>
        <w:tc>
          <w:tcPr>
            <w:tcW w:w="2309" w:type="dxa"/>
            <w:noWrap/>
            <w:vAlign w:val="center"/>
          </w:tcPr>
          <w:p w14:paraId="310E9DD9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示值</w:t>
            </w:r>
            <w:r>
              <w:rPr>
                <w:bCs/>
                <w:i/>
                <w:color w:val="000000"/>
                <w:kern w:val="0"/>
                <w:sz w:val="22"/>
              </w:rPr>
              <w:t>I</w:t>
            </w:r>
            <w:r>
              <w:rPr>
                <w:bCs/>
                <w:iCs/>
                <w:kern w:val="0"/>
                <w:szCs w:val="21"/>
              </w:rPr>
              <w:t xml:space="preserve">(    </w:t>
            </w:r>
            <w:r>
              <w:rPr>
                <w:bCs/>
                <w:iCs/>
                <w:color w:val="000000"/>
                <w:kern w:val="0"/>
                <w:sz w:val="22"/>
              </w:rPr>
              <w:t>)</w:t>
            </w:r>
          </w:p>
        </w:tc>
        <w:tc>
          <w:tcPr>
            <w:tcW w:w="2129" w:type="dxa"/>
            <w:noWrap/>
            <w:vAlign w:val="center"/>
          </w:tcPr>
          <w:p w14:paraId="18CA6DE5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bCs/>
                <w:color w:val="000000"/>
                <w:kern w:val="0"/>
                <w:sz w:val="22"/>
              </w:rPr>
              <w:t>修正误差</w:t>
            </w:r>
            <w:r>
              <w:rPr>
                <w:bCs/>
                <w:i/>
                <w:color w:val="000000"/>
                <w:kern w:val="0"/>
                <w:sz w:val="22"/>
              </w:rPr>
              <w:t>E</w:t>
            </w:r>
            <w:r>
              <w:rPr>
                <w:bCs/>
                <w:i/>
                <w:color w:val="000000"/>
                <w:kern w:val="0"/>
                <w:sz w:val="22"/>
                <w:vertAlign w:val="subscript"/>
              </w:rPr>
              <w:t>c</w:t>
            </w:r>
            <w:r>
              <w:rPr>
                <w:bCs/>
                <w:iCs/>
                <w:kern w:val="0"/>
                <w:szCs w:val="21"/>
              </w:rPr>
              <w:t xml:space="preserve">(    </w:t>
            </w:r>
            <w:r>
              <w:rPr>
                <w:bCs/>
                <w:iCs/>
                <w:color w:val="000000"/>
                <w:kern w:val="0"/>
                <w:sz w:val="22"/>
              </w:rPr>
              <w:t>)</w:t>
            </w:r>
          </w:p>
        </w:tc>
        <w:tc>
          <w:tcPr>
            <w:tcW w:w="2352" w:type="dxa"/>
            <w:noWrap/>
            <w:vAlign w:val="center"/>
          </w:tcPr>
          <w:p w14:paraId="28E6986D">
            <w:pPr>
              <w:spacing w:before="50" w:after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误差</w:t>
            </w:r>
            <w:r>
              <w:rPr>
                <w:i/>
                <w:color w:val="000000" w:themeColor="text1"/>
                <w:kern w:val="0"/>
                <w:sz w:val="20"/>
                <w:szCs w:val="21"/>
              </w:rPr>
              <w:t>E</w:t>
            </w:r>
            <w:r>
              <w:rPr>
                <w:color w:val="000000" w:themeColor="text1"/>
                <w:kern w:val="0"/>
                <w:sz w:val="20"/>
                <w:szCs w:val="21"/>
                <w:vertAlign w:val="subscript"/>
              </w:rPr>
              <w:t>R</w:t>
            </w:r>
          </w:p>
        </w:tc>
      </w:tr>
      <w:tr w14:paraId="109DD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008" w:type="dxa"/>
            <w:noWrap/>
            <w:vAlign w:val="center"/>
          </w:tcPr>
          <w:p w14:paraId="07A1A2CB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309" w:type="dxa"/>
            <w:noWrap/>
            <w:vAlign w:val="center"/>
          </w:tcPr>
          <w:p w14:paraId="5EEEF9BF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129" w:type="dxa"/>
            <w:noWrap/>
            <w:vAlign w:val="center"/>
          </w:tcPr>
          <w:p w14:paraId="10EFF07A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352" w:type="dxa"/>
            <w:vMerge w:val="restart"/>
            <w:noWrap/>
            <w:vAlign w:val="center"/>
          </w:tcPr>
          <w:p w14:paraId="5FE934DC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</w:tr>
      <w:tr w14:paraId="06F8B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008" w:type="dxa"/>
            <w:noWrap/>
            <w:vAlign w:val="center"/>
          </w:tcPr>
          <w:p w14:paraId="13BBAB19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309" w:type="dxa"/>
            <w:noWrap/>
            <w:vAlign w:val="center"/>
          </w:tcPr>
          <w:p w14:paraId="219F959B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129" w:type="dxa"/>
            <w:noWrap/>
            <w:vAlign w:val="center"/>
          </w:tcPr>
          <w:p w14:paraId="023B25A4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352" w:type="dxa"/>
            <w:vMerge w:val="continue"/>
            <w:noWrap/>
            <w:vAlign w:val="center"/>
          </w:tcPr>
          <w:p w14:paraId="321FBF40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</w:tr>
      <w:tr w14:paraId="7AF8E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008" w:type="dxa"/>
            <w:noWrap/>
            <w:vAlign w:val="center"/>
          </w:tcPr>
          <w:p w14:paraId="11B998D2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309" w:type="dxa"/>
            <w:noWrap/>
            <w:vAlign w:val="center"/>
          </w:tcPr>
          <w:p w14:paraId="18285F1F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129" w:type="dxa"/>
            <w:noWrap/>
            <w:vAlign w:val="center"/>
          </w:tcPr>
          <w:p w14:paraId="5FD5EFE4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  <w:tc>
          <w:tcPr>
            <w:tcW w:w="2352" w:type="dxa"/>
            <w:vMerge w:val="continue"/>
            <w:noWrap/>
            <w:vAlign w:val="center"/>
          </w:tcPr>
          <w:p w14:paraId="2D60F08B">
            <w:pPr>
              <w:spacing w:before="50" w:after="50"/>
              <w:jc w:val="center"/>
              <w:rPr>
                <w:kern w:val="0"/>
                <w:szCs w:val="21"/>
              </w:rPr>
            </w:pPr>
          </w:p>
        </w:tc>
      </w:tr>
    </w:tbl>
    <w:p w14:paraId="297373C7">
      <w:pPr>
        <w:wordWrap w:val="0"/>
        <w:spacing w:before="50" w:after="50" w:line="440" w:lineRule="exact"/>
        <w:ind w:right="370"/>
        <w:outlineLvl w:val="0"/>
        <w:rPr>
          <w:rFonts w:hint="eastAsia" w:ascii="黑体" w:hAnsi="黑体" w:eastAsia="黑体"/>
          <w:kern w:val="0"/>
          <w:sz w:val="28"/>
          <w:szCs w:val="28"/>
        </w:rPr>
      </w:pPr>
      <w:bookmarkStart w:id="84" w:name="_Toc26954"/>
      <w:r>
        <w:rPr>
          <w:rFonts w:ascii="黑体" w:hAnsi="黑体" w:eastAsia="黑体"/>
          <w:kern w:val="0"/>
          <w:sz w:val="28"/>
          <w:szCs w:val="28"/>
        </w:rPr>
        <w:t xml:space="preserve">附录 </w:t>
      </w:r>
      <w:bookmarkEnd w:id="80"/>
      <w:bookmarkEnd w:id="81"/>
      <w:r>
        <w:rPr>
          <w:rFonts w:ascii="黑体" w:hAnsi="黑体" w:eastAsia="黑体"/>
          <w:kern w:val="0"/>
          <w:sz w:val="28"/>
          <w:szCs w:val="28"/>
        </w:rPr>
        <w:t xml:space="preserve">C   </w:t>
      </w:r>
    </w:p>
    <w:p w14:paraId="4D2D748E">
      <w:pPr>
        <w:wordWrap w:val="0"/>
        <w:spacing w:before="50" w:after="50" w:line="440" w:lineRule="exact"/>
        <w:ind w:right="370"/>
        <w:jc w:val="center"/>
        <w:outlineLvl w:val="0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机动式叉车秤测量结果不确定度评定</w:t>
      </w:r>
      <w:bookmarkEnd w:id="84"/>
      <w:r>
        <w:rPr>
          <w:rFonts w:eastAsia="黑体"/>
          <w:color w:val="000000" w:themeColor="text1"/>
          <w:kern w:val="0"/>
          <w:sz w:val="28"/>
          <w:szCs w:val="28"/>
        </w:rPr>
        <w:t>方法</w:t>
      </w:r>
    </w:p>
    <w:p w14:paraId="63DD4E90">
      <w:pPr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C.1  概述</w:t>
      </w:r>
    </w:p>
    <w:p w14:paraId="3C1BE87E">
      <w:pPr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C.1.1  测量对象：机动式叉车秤；</w:t>
      </w:r>
    </w:p>
    <w:p w14:paraId="15B2FF1F">
      <w:pPr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C.1.2  测量标准：标准砝码；</w:t>
      </w:r>
    </w:p>
    <w:p w14:paraId="0EF1F778">
      <w:pPr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C.1.3  测量依据：JJF XXX-202X《机动式叉车秤校准规范》；</w:t>
      </w:r>
    </w:p>
    <w:p w14:paraId="73AF7AB3">
      <w:pPr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C.1.4  环境条件：</w:t>
      </w:r>
      <w:r>
        <w:rPr>
          <w:kern w:val="0"/>
          <w:sz w:val="24"/>
        </w:rPr>
        <w:t>环境温度</w:t>
      </w:r>
      <w:r>
        <w:rPr>
          <w:color w:val="000000" w:themeColor="text1"/>
          <w:kern w:val="0"/>
          <w:sz w:val="24"/>
        </w:rPr>
        <w:t>（-10~+40）</w:t>
      </w:r>
      <w:r>
        <w:rPr>
          <w:rFonts w:ascii="宋体"/>
          <w:color w:val="000000" w:themeColor="text1"/>
          <w:kern w:val="0"/>
          <w:sz w:val="24"/>
        </w:rPr>
        <w:t>℃</w:t>
      </w:r>
      <w:r>
        <w:rPr>
          <w:color w:val="000000" w:themeColor="text1"/>
          <w:kern w:val="0"/>
          <w:sz w:val="24"/>
        </w:rPr>
        <w:t>、</w:t>
      </w:r>
      <w:r>
        <w:rPr>
          <w:kern w:val="0"/>
          <w:sz w:val="24"/>
        </w:rPr>
        <w:t>相对湿度≤85%</w:t>
      </w:r>
      <w:r>
        <w:rPr>
          <w:color w:val="000000" w:themeColor="text1"/>
          <w:kern w:val="0"/>
          <w:sz w:val="24"/>
        </w:rPr>
        <w:t>；</w:t>
      </w:r>
    </w:p>
    <w:p w14:paraId="2E032981">
      <w:pPr>
        <w:spacing w:line="360" w:lineRule="auto"/>
        <w:jc w:val="left"/>
        <w:rPr>
          <w:rFonts w:eastAsia="黑体"/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C.1.5  测量过程：在规定的环境条件下，用砝码对叉车秤进行校准，分别校准各称量点的示值误差。</w:t>
      </w:r>
    </w:p>
    <w:p w14:paraId="4A5BF2BC">
      <w:pPr>
        <w:spacing w:line="360" w:lineRule="auto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C.2  测量模型：</w:t>
      </w:r>
    </w:p>
    <w:p w14:paraId="447BEAF7">
      <w:pPr>
        <w:autoSpaceDE w:val="0"/>
        <w:autoSpaceDN w:val="0"/>
        <w:adjustRightInd w:val="0"/>
        <w:spacing w:line="360" w:lineRule="auto"/>
        <w:jc w:val="right"/>
        <w:rPr>
          <w:rFonts w:eastAsia="仿宋_GB2312"/>
          <w:kern w:val="0"/>
          <w:sz w:val="24"/>
        </w:rPr>
      </w:pPr>
      <w:r>
        <w:rPr>
          <w:rFonts w:hint="eastAsia" w:eastAsia="仿宋_GB2312"/>
          <w:kern w:val="0"/>
          <w:sz w:val="24"/>
        </w:rPr>
        <w:t xml:space="preserve">   </w:t>
      </w:r>
      <w:r>
        <w:rPr>
          <w:rFonts w:eastAsia="仿宋_GB2312"/>
          <w:kern w:val="0"/>
          <w:position w:val="-6"/>
          <w:sz w:val="24"/>
        </w:rPr>
        <w:object>
          <v:shape id="_x0000_i1028" o:spt="75" type="#_x0000_t75" style="height:14.5pt;width:143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s" ShapeID="_x0000_i1028" DrawAspect="Content" ObjectID="_1468075728" r:id="rId20">
            <o:LockedField>false</o:LockedField>
          </o:OLEObject>
        </w:object>
      </w:r>
      <w:r>
        <w:rPr>
          <w:rFonts w:eastAsia="仿宋_GB2312"/>
          <w:kern w:val="0"/>
          <w:position w:val="-6"/>
          <w:sz w:val="24"/>
        </w:rPr>
        <w:t xml:space="preserve">                  </w:t>
      </w:r>
      <w:r>
        <w:rPr>
          <w:rFonts w:hint="eastAsia" w:eastAsia="仿宋_GB2312"/>
          <w:kern w:val="0"/>
          <w:position w:val="-6"/>
          <w:sz w:val="24"/>
        </w:rPr>
        <w:t xml:space="preserve"> </w:t>
      </w:r>
      <w:r>
        <w:rPr>
          <w:rFonts w:eastAsia="仿宋_GB2312"/>
          <w:kern w:val="0"/>
          <w:position w:val="-6"/>
          <w:sz w:val="24"/>
        </w:rPr>
        <w:t>（C.1）</w:t>
      </w:r>
    </w:p>
    <w:p w14:paraId="60F1E94F">
      <w:pPr>
        <w:autoSpaceDE w:val="0"/>
        <w:autoSpaceDN w:val="0"/>
        <w:adjustRightInd w:val="0"/>
        <w:spacing w:line="360" w:lineRule="auto"/>
        <w:ind w:firstLine="480" w:firstLineChars="200"/>
        <w:rPr>
          <w:kern w:val="0"/>
          <w:sz w:val="24"/>
        </w:rPr>
      </w:pPr>
      <w:r>
        <w:rPr>
          <w:kern w:val="0"/>
          <w:sz w:val="24"/>
        </w:rPr>
        <w:t>式中：</w:t>
      </w:r>
    </w:p>
    <w:p w14:paraId="3B9064E6">
      <w:pPr>
        <w:autoSpaceDE w:val="0"/>
        <w:autoSpaceDN w:val="0"/>
        <w:adjustRightInd w:val="0"/>
        <w:spacing w:line="360" w:lineRule="auto"/>
        <w:ind w:firstLine="960" w:firstLineChars="400"/>
        <w:rPr>
          <w:kern w:val="0"/>
          <w:sz w:val="24"/>
        </w:rPr>
      </w:pPr>
      <w:r>
        <w:rPr>
          <w:i/>
          <w:iCs/>
          <w:kern w:val="0"/>
          <w:sz w:val="24"/>
        </w:rPr>
        <w:t>E</w:t>
      </w:r>
      <w:r>
        <w:rPr>
          <w:kern w:val="0"/>
          <w:sz w:val="24"/>
        </w:rPr>
        <w:t>——化整前的误差，t、kg、g；</w:t>
      </w:r>
    </w:p>
    <w:p w14:paraId="2D7BA64B">
      <w:pPr>
        <w:autoSpaceDE w:val="0"/>
        <w:autoSpaceDN w:val="0"/>
        <w:adjustRightInd w:val="0"/>
        <w:spacing w:line="360" w:lineRule="auto"/>
        <w:ind w:firstLine="960" w:firstLineChars="400"/>
        <w:rPr>
          <w:kern w:val="0"/>
          <w:sz w:val="24"/>
        </w:rPr>
      </w:pPr>
      <w:r>
        <w:rPr>
          <w:i/>
          <w:iCs/>
          <w:kern w:val="0"/>
          <w:sz w:val="24"/>
        </w:rPr>
        <w:t>P</w:t>
      </w:r>
      <w:r>
        <w:rPr>
          <w:kern w:val="0"/>
          <w:sz w:val="24"/>
        </w:rPr>
        <w:t>——化整前的示值，t、kg、g；</w:t>
      </w:r>
    </w:p>
    <w:p w14:paraId="7BA763CF">
      <w:pPr>
        <w:autoSpaceDE w:val="0"/>
        <w:autoSpaceDN w:val="0"/>
        <w:adjustRightInd w:val="0"/>
        <w:spacing w:line="360" w:lineRule="auto"/>
        <w:ind w:firstLine="960" w:firstLineChars="400"/>
        <w:rPr>
          <w:kern w:val="0"/>
          <w:sz w:val="24"/>
        </w:rPr>
      </w:pPr>
      <w:r>
        <w:rPr>
          <w:i/>
          <w:iCs/>
          <w:kern w:val="0"/>
          <w:sz w:val="24"/>
        </w:rPr>
        <w:t>I</w:t>
      </w:r>
      <w:r>
        <w:rPr>
          <w:kern w:val="0"/>
          <w:sz w:val="24"/>
        </w:rPr>
        <w:t>——示值，t、kg、g；</w:t>
      </w:r>
    </w:p>
    <w:p w14:paraId="5FACF0DC">
      <w:pPr>
        <w:autoSpaceDE w:val="0"/>
        <w:autoSpaceDN w:val="0"/>
        <w:adjustRightInd w:val="0"/>
        <w:spacing w:line="360" w:lineRule="auto"/>
        <w:ind w:firstLine="960" w:firstLineChars="400"/>
        <w:rPr>
          <w:kern w:val="0"/>
          <w:sz w:val="24"/>
        </w:rPr>
      </w:pPr>
      <w:r>
        <w:rPr>
          <w:i/>
          <w:iCs/>
          <w:kern w:val="0"/>
          <w:sz w:val="24"/>
        </w:rPr>
        <w:t>L</w:t>
      </w:r>
      <w:r>
        <w:rPr>
          <w:kern w:val="0"/>
          <w:sz w:val="24"/>
        </w:rPr>
        <w:t>——载荷，t、kg、g；</w:t>
      </w:r>
    </w:p>
    <w:p w14:paraId="08A12116">
      <w:pPr>
        <w:autoSpaceDE w:val="0"/>
        <w:autoSpaceDN w:val="0"/>
        <w:adjustRightInd w:val="0"/>
        <w:spacing w:line="360" w:lineRule="auto"/>
        <w:ind w:firstLine="960" w:firstLineChars="400"/>
        <w:rPr>
          <w:kern w:val="0"/>
          <w:sz w:val="24"/>
        </w:rPr>
      </w:pPr>
      <w:r>
        <w:rPr>
          <w:kern w:val="0"/>
          <w:sz w:val="24"/>
        </w:rPr>
        <w:t>Δ</w:t>
      </w:r>
      <w:r>
        <w:rPr>
          <w:i/>
          <w:iCs/>
          <w:kern w:val="0"/>
          <w:sz w:val="24"/>
        </w:rPr>
        <w:t>L</w:t>
      </w:r>
      <w:r>
        <w:rPr>
          <w:kern w:val="0"/>
          <w:sz w:val="24"/>
        </w:rPr>
        <w:t>——附加载荷，t、kg、g；</w:t>
      </w:r>
    </w:p>
    <w:p w14:paraId="287EF175">
      <w:pPr>
        <w:spacing w:line="360" w:lineRule="auto"/>
        <w:ind w:firstLine="480" w:firstLineChars="200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当叉车秤具备扩展指示装置且在校准中使用时，上述公式可直接简化为</w:t>
      </w:r>
      <w:r>
        <w:rPr>
          <w:i/>
          <w:iCs/>
          <w:color w:val="000000" w:themeColor="text1"/>
          <w:kern w:val="0"/>
          <w:sz w:val="24"/>
        </w:rPr>
        <w:t>E</w:t>
      </w:r>
      <w:r>
        <w:rPr>
          <w:color w:val="000000" w:themeColor="text1"/>
          <w:kern w:val="0"/>
          <w:sz w:val="24"/>
        </w:rPr>
        <w:t>=</w:t>
      </w:r>
      <w:r>
        <w:rPr>
          <w:i/>
          <w:iCs/>
          <w:color w:val="000000" w:themeColor="text1"/>
          <w:kern w:val="0"/>
          <w:sz w:val="24"/>
        </w:rPr>
        <w:t>I</w:t>
      </w:r>
      <w:r>
        <w:rPr>
          <w:color w:val="000000" w:themeColor="text1"/>
          <w:kern w:val="0"/>
          <w:sz w:val="24"/>
        </w:rPr>
        <w:t>-</w:t>
      </w:r>
      <w:r>
        <w:rPr>
          <w:i/>
          <w:iCs/>
          <w:color w:val="000000" w:themeColor="text1"/>
          <w:kern w:val="0"/>
          <w:sz w:val="24"/>
        </w:rPr>
        <w:t>L</w:t>
      </w:r>
      <w:r>
        <w:rPr>
          <w:color w:val="000000" w:themeColor="text1"/>
          <w:kern w:val="0"/>
          <w:sz w:val="24"/>
        </w:rPr>
        <w:t>。</w:t>
      </w:r>
    </w:p>
    <w:p w14:paraId="2901CC47">
      <w:pPr>
        <w:spacing w:line="360" w:lineRule="auto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C.</w:t>
      </w:r>
      <w:r>
        <w:rPr>
          <w:rFonts w:hint="eastAsia"/>
          <w:color w:val="000000"/>
          <w:kern w:val="0"/>
          <w:sz w:val="24"/>
        </w:rPr>
        <w:t>3</w:t>
      </w:r>
      <w:r>
        <w:rPr>
          <w:color w:val="000000"/>
          <w:kern w:val="0"/>
          <w:sz w:val="24"/>
        </w:rPr>
        <w:t xml:space="preserve"> 方差和灵敏系数</w:t>
      </w:r>
    </w:p>
    <w:p w14:paraId="4506912A">
      <w:pPr>
        <w:ind w:firstLine="480" w:firstLineChars="200"/>
        <w:rPr>
          <w:rFonts w:eastAsia="仿宋_GB2312"/>
          <w:kern w:val="0"/>
          <w:sz w:val="24"/>
        </w:rPr>
      </w:pPr>
      <w:r>
        <w:rPr>
          <w:kern w:val="0"/>
          <w:sz w:val="24"/>
        </w:rPr>
        <w:t>方差公式：</w:t>
      </w:r>
      <w:r>
        <w:rPr>
          <w:rFonts w:eastAsia="仿宋_GB2312"/>
          <w:b/>
          <w:bCs/>
          <w:kern w:val="0"/>
          <w:position w:val="-12"/>
          <w:sz w:val="24"/>
        </w:rPr>
        <w:object>
          <v:shape id="_x0000_i1029" o:spt="75" type="#_x0000_t75" style="height:19pt;width:17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s" ShapeID="_x0000_i1029" DrawAspect="Content" ObjectID="_1468075729" r:id="rId22">
            <o:LockedField>false</o:LockedField>
          </o:OLEObject>
        </w:object>
      </w:r>
    </w:p>
    <w:p w14:paraId="27FBDC24">
      <w:pPr>
        <w:ind w:firstLine="480" w:firstLineChars="200"/>
        <w:rPr>
          <w:rFonts w:eastAsia="仿宋_GB2312"/>
          <w:kern w:val="0"/>
          <w:sz w:val="24"/>
        </w:rPr>
      </w:pPr>
      <w:r>
        <w:rPr>
          <w:kern w:val="0"/>
          <w:sz w:val="24"/>
        </w:rPr>
        <w:t>灵敏系数：</w:t>
      </w:r>
      <w:r>
        <w:rPr>
          <w:rFonts w:eastAsia="仿宋_GB2312"/>
          <w:kern w:val="0"/>
          <w:position w:val="-24"/>
          <w:sz w:val="24"/>
        </w:rPr>
        <w:object>
          <v:shape id="_x0000_i1030" o:spt="75" type="#_x0000_t75" style="height:31.5pt;width:5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s" ShapeID="_x0000_i1030" DrawAspect="Content" ObjectID="_1468075730" r:id="rId24">
            <o:LockedField>false</o:LockedField>
          </o:OLEObject>
        </w:object>
      </w:r>
      <w:r>
        <w:rPr>
          <w:rFonts w:eastAsia="仿宋_GB2312"/>
          <w:kern w:val="0"/>
          <w:position w:val="-24"/>
          <w:sz w:val="24"/>
        </w:rPr>
        <w:object>
          <v:shape id="_x0000_i1031" o:spt="75" type="#_x0000_t75" style="height:31.5pt;width:65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s" ShapeID="_x0000_i1031" DrawAspect="Content" ObjectID="_1468075731" r:id="rId26">
            <o:LockedField>false</o:LockedField>
          </o:OLEObject>
        </w:object>
      </w:r>
      <w:r>
        <w:rPr>
          <w:rFonts w:eastAsia="仿宋_GB2312"/>
          <w:kern w:val="0"/>
          <w:position w:val="-24"/>
          <w:sz w:val="24"/>
        </w:rPr>
        <w:object>
          <v:shape id="_x0000_i1032" o:spt="75" type="#_x0000_t75" style="height:31.5pt;width:71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s" ShapeID="_x0000_i1032" DrawAspect="Content" ObjectID="_1468075732" r:id="rId28">
            <o:LockedField>false</o:LockedField>
          </o:OLEObject>
        </w:object>
      </w:r>
    </w:p>
    <w:p w14:paraId="0439096E">
      <w:pPr>
        <w:ind w:firstLine="480" w:firstLineChars="200"/>
        <w:rPr>
          <w:kern w:val="0"/>
          <w:position w:val="-16"/>
          <w:sz w:val="24"/>
        </w:rPr>
      </w:pPr>
      <w:r>
        <w:rPr>
          <w:kern w:val="0"/>
          <w:sz w:val="24"/>
        </w:rPr>
        <w:t>化简公式为：</w:t>
      </w:r>
      <w:r>
        <w:rPr>
          <w:rFonts w:eastAsia="仿宋_GB2312"/>
          <w:kern w:val="0"/>
          <w:position w:val="-10"/>
          <w:sz w:val="24"/>
        </w:rPr>
        <w:object>
          <v:shape id="_x0000_i1033" o:spt="75" type="#_x0000_t75" style="height:19pt;width:10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s" ShapeID="_x0000_i1033" DrawAspect="Content" ObjectID="_1468075733" r:id="rId30">
            <o:LockedField>false</o:LockedField>
          </o:OLEObject>
        </w:object>
      </w:r>
    </w:p>
    <w:p w14:paraId="1B2B64DB">
      <w:pPr>
        <w:spacing w:line="360" w:lineRule="auto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C.</w:t>
      </w:r>
      <w:r>
        <w:rPr>
          <w:rFonts w:hint="eastAsia"/>
          <w:color w:val="000000"/>
          <w:kern w:val="0"/>
          <w:sz w:val="24"/>
        </w:rPr>
        <w:t>4</w:t>
      </w:r>
      <w:r>
        <w:rPr>
          <w:color w:val="000000"/>
          <w:kern w:val="0"/>
          <w:sz w:val="24"/>
        </w:rPr>
        <w:t xml:space="preserve">  不确定度的分量评定</w:t>
      </w:r>
    </w:p>
    <w:p w14:paraId="6AC8D942">
      <w:pPr>
        <w:pStyle w:val="32"/>
        <w:spacing w:before="0" w:beforeAutospacing="0" w:after="0" w:afterAutospacing="0" w:line="360" w:lineRule="auto"/>
        <w:ind w:firstLine="480" w:firstLineChars="200"/>
        <w:jc w:val="both"/>
        <w:rPr>
          <w:color w:val="000000" w:themeColor="text1"/>
        </w:rPr>
      </w:pPr>
      <w:r>
        <w:rPr>
          <w:color w:val="000000" w:themeColor="text1"/>
        </w:rPr>
        <w:t>不确定度来源主要包括：</w:t>
      </w:r>
    </w:p>
    <w:p w14:paraId="36439F8E">
      <w:pPr>
        <w:spacing w:line="360" w:lineRule="auto"/>
        <w:ind w:left="425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softHyphen/>
      </w:r>
      <w:r>
        <w:rPr>
          <w:i/>
          <w:color w:val="000000" w:themeColor="text1"/>
          <w:kern w:val="0"/>
          <w:sz w:val="24"/>
        </w:rPr>
        <w:t>—</w:t>
      </w:r>
      <w:r>
        <w:rPr>
          <w:iCs/>
          <w:color w:val="000000" w:themeColor="text1"/>
          <w:kern w:val="0"/>
          <w:sz w:val="24"/>
        </w:rPr>
        <w:t>—</w:t>
      </w:r>
      <w:r>
        <w:rPr>
          <w:color w:val="000000" w:themeColor="text1"/>
          <w:kern w:val="0"/>
          <w:sz w:val="24"/>
        </w:rPr>
        <w:t>重复性引入的标准不确定分量</w:t>
      </w:r>
      <w:r>
        <w:rPr>
          <w:bCs/>
          <w:i/>
          <w:iCs/>
          <w:kern w:val="0"/>
          <w:sz w:val="24"/>
        </w:rPr>
        <w:t>u</w:t>
      </w:r>
      <w:r>
        <w:rPr>
          <w:bCs/>
          <w:kern w:val="0"/>
          <w:sz w:val="24"/>
          <w:vertAlign w:val="subscript"/>
        </w:rPr>
        <w:t>1</w:t>
      </w:r>
      <w:r>
        <w:rPr>
          <w:bCs/>
          <w:kern w:val="0"/>
          <w:sz w:val="24"/>
        </w:rPr>
        <w:t>(</w:t>
      </w:r>
      <w:r>
        <w:rPr>
          <w:bCs/>
          <w:i/>
          <w:iCs/>
          <w:kern w:val="0"/>
          <w:sz w:val="24"/>
        </w:rPr>
        <w:t>I</w:t>
      </w:r>
      <w:r>
        <w:rPr>
          <w:bCs/>
          <w:kern w:val="0"/>
          <w:sz w:val="24"/>
        </w:rPr>
        <w:t>)</w:t>
      </w:r>
      <w:r>
        <w:rPr>
          <w:color w:val="000000" w:themeColor="text1"/>
          <w:kern w:val="0"/>
          <w:sz w:val="24"/>
        </w:rPr>
        <w:t>（A类评定）；</w:t>
      </w:r>
    </w:p>
    <w:p w14:paraId="5B4CD7B0">
      <w:pPr>
        <w:spacing w:line="360" w:lineRule="auto"/>
        <w:ind w:left="425"/>
        <w:rPr>
          <w:color w:val="000000" w:themeColor="text1"/>
          <w:kern w:val="0"/>
          <w:sz w:val="24"/>
        </w:rPr>
      </w:pPr>
      <w:r>
        <w:rPr>
          <w:i/>
          <w:color w:val="000000" w:themeColor="text1"/>
          <w:kern w:val="0"/>
          <w:sz w:val="24"/>
        </w:rPr>
        <w:t>—</w:t>
      </w:r>
      <w:r>
        <w:rPr>
          <w:iCs/>
          <w:color w:val="000000" w:themeColor="text1"/>
          <w:kern w:val="0"/>
          <w:sz w:val="24"/>
        </w:rPr>
        <w:t>—</w:t>
      </w:r>
      <w:r>
        <w:rPr>
          <w:color w:val="000000" w:themeColor="text1"/>
          <w:kern w:val="0"/>
          <w:sz w:val="24"/>
        </w:rPr>
        <w:t>叉车秤分辨力引入的标准不确定度分量</w:t>
      </w:r>
      <w:r>
        <w:rPr>
          <w:bCs/>
          <w:i/>
          <w:iCs/>
          <w:kern w:val="0"/>
          <w:sz w:val="24"/>
        </w:rPr>
        <w:t>u</w:t>
      </w:r>
      <w:r>
        <w:rPr>
          <w:bCs/>
          <w:kern w:val="0"/>
          <w:sz w:val="24"/>
          <w:vertAlign w:val="subscript"/>
        </w:rPr>
        <w:t>2</w:t>
      </w:r>
      <w:r>
        <w:rPr>
          <w:bCs/>
          <w:kern w:val="0"/>
          <w:sz w:val="24"/>
        </w:rPr>
        <w:t>(</w:t>
      </w:r>
      <w:r>
        <w:rPr>
          <w:bCs/>
          <w:i/>
          <w:iCs/>
          <w:kern w:val="0"/>
          <w:sz w:val="24"/>
        </w:rPr>
        <w:t>I</w:t>
      </w:r>
      <w:r>
        <w:rPr>
          <w:bCs/>
          <w:kern w:val="0"/>
          <w:sz w:val="24"/>
        </w:rPr>
        <w:t>)</w:t>
      </w:r>
      <w:r>
        <w:rPr>
          <w:color w:val="000000" w:themeColor="text1"/>
          <w:kern w:val="0"/>
          <w:sz w:val="24"/>
        </w:rPr>
        <w:t>（B类评定）；</w:t>
      </w:r>
    </w:p>
    <w:p w14:paraId="2DFB5142">
      <w:pPr>
        <w:spacing w:line="360" w:lineRule="auto"/>
        <w:ind w:left="425"/>
        <w:rPr>
          <w:color w:val="000000" w:themeColor="text1"/>
          <w:kern w:val="0"/>
          <w:sz w:val="24"/>
        </w:rPr>
      </w:pPr>
      <w:r>
        <w:rPr>
          <w:i/>
          <w:color w:val="000000" w:themeColor="text1"/>
          <w:kern w:val="0"/>
          <w:sz w:val="24"/>
        </w:rPr>
        <w:t>—</w:t>
      </w:r>
      <w:r>
        <w:rPr>
          <w:iCs/>
          <w:color w:val="000000" w:themeColor="text1"/>
          <w:kern w:val="0"/>
          <w:sz w:val="24"/>
        </w:rPr>
        <w:t>—</w:t>
      </w:r>
      <w:r>
        <w:rPr>
          <w:color w:val="000000" w:themeColor="text1"/>
          <w:kern w:val="0"/>
          <w:sz w:val="24"/>
        </w:rPr>
        <w:t>叉车秤仰角/倾角示值误差引入的标准不确定度分量</w:t>
      </w:r>
      <w:r>
        <w:rPr>
          <w:bCs/>
          <w:i/>
          <w:iCs/>
          <w:kern w:val="0"/>
          <w:sz w:val="24"/>
        </w:rPr>
        <w:t>u</w:t>
      </w:r>
      <w:r>
        <w:rPr>
          <w:bCs/>
          <w:kern w:val="0"/>
          <w:sz w:val="24"/>
          <w:vertAlign w:val="subscript"/>
        </w:rPr>
        <w:t>3</w:t>
      </w:r>
      <w:r>
        <w:rPr>
          <w:bCs/>
          <w:kern w:val="0"/>
          <w:sz w:val="24"/>
        </w:rPr>
        <w:t>(</w:t>
      </w:r>
      <w:r>
        <w:rPr>
          <w:bCs/>
          <w:i/>
          <w:iCs/>
          <w:kern w:val="0"/>
          <w:sz w:val="24"/>
        </w:rPr>
        <w:t>I</w:t>
      </w:r>
      <w:r>
        <w:rPr>
          <w:bCs/>
          <w:kern w:val="0"/>
          <w:sz w:val="24"/>
        </w:rPr>
        <w:t>)</w:t>
      </w:r>
      <w:r>
        <w:rPr>
          <w:color w:val="000000" w:themeColor="text1"/>
          <w:kern w:val="0"/>
          <w:sz w:val="24"/>
        </w:rPr>
        <w:t>（B类评定）；</w:t>
      </w:r>
    </w:p>
    <w:p w14:paraId="1D690E0C">
      <w:pPr>
        <w:spacing w:line="360" w:lineRule="auto"/>
        <w:ind w:left="425"/>
        <w:rPr>
          <w:color w:val="000000" w:themeColor="text1"/>
          <w:kern w:val="0"/>
          <w:sz w:val="24"/>
        </w:rPr>
      </w:pPr>
      <w:r>
        <w:rPr>
          <w:i/>
          <w:color w:val="000000" w:themeColor="text1"/>
          <w:kern w:val="0"/>
          <w:sz w:val="24"/>
        </w:rPr>
        <w:t>—</w:t>
      </w:r>
      <w:r>
        <w:rPr>
          <w:iCs/>
          <w:color w:val="000000" w:themeColor="text1"/>
          <w:kern w:val="0"/>
          <w:sz w:val="24"/>
        </w:rPr>
        <w:t>—</w:t>
      </w:r>
      <w:r>
        <w:rPr>
          <w:color w:val="000000" w:themeColor="text1"/>
          <w:kern w:val="0"/>
          <w:sz w:val="24"/>
        </w:rPr>
        <w:t>叉车秤不同行驶速度后的示值重复性引入的标准不确定度分量</w:t>
      </w:r>
      <w:r>
        <w:rPr>
          <w:bCs/>
          <w:i/>
          <w:iCs/>
          <w:kern w:val="0"/>
          <w:sz w:val="24"/>
        </w:rPr>
        <w:t>u</w:t>
      </w:r>
      <w:r>
        <w:rPr>
          <w:bCs/>
          <w:kern w:val="0"/>
          <w:sz w:val="24"/>
          <w:vertAlign w:val="subscript"/>
        </w:rPr>
        <w:t>4</w:t>
      </w:r>
      <w:r>
        <w:rPr>
          <w:bCs/>
          <w:kern w:val="0"/>
          <w:sz w:val="24"/>
        </w:rPr>
        <w:t>(</w:t>
      </w:r>
      <w:r>
        <w:rPr>
          <w:bCs/>
          <w:i/>
          <w:iCs/>
          <w:kern w:val="0"/>
          <w:sz w:val="24"/>
        </w:rPr>
        <w:t>I</w:t>
      </w:r>
      <w:r>
        <w:rPr>
          <w:bCs/>
          <w:kern w:val="0"/>
          <w:sz w:val="24"/>
        </w:rPr>
        <w:t>)</w:t>
      </w:r>
      <w:r>
        <w:rPr>
          <w:color w:val="000000" w:themeColor="text1"/>
          <w:kern w:val="0"/>
          <w:sz w:val="24"/>
        </w:rPr>
        <w:t>（B类评定）；</w:t>
      </w:r>
    </w:p>
    <w:p w14:paraId="624C9742">
      <w:pPr>
        <w:spacing w:line="360" w:lineRule="auto"/>
        <w:ind w:left="425"/>
        <w:rPr>
          <w:color w:val="000000" w:themeColor="text1"/>
          <w:kern w:val="0"/>
          <w:sz w:val="24"/>
        </w:rPr>
      </w:pPr>
      <w:r>
        <w:rPr>
          <w:i/>
          <w:color w:val="000000" w:themeColor="text1"/>
          <w:kern w:val="0"/>
          <w:sz w:val="24"/>
        </w:rPr>
        <w:t>—</w:t>
      </w:r>
      <w:r>
        <w:rPr>
          <w:iCs/>
          <w:color w:val="000000" w:themeColor="text1"/>
          <w:kern w:val="0"/>
          <w:sz w:val="24"/>
        </w:rPr>
        <w:t>—</w:t>
      </w:r>
      <w:r>
        <w:rPr>
          <w:color w:val="000000" w:themeColor="text1"/>
          <w:kern w:val="0"/>
          <w:sz w:val="24"/>
        </w:rPr>
        <w:t>砝码引入的标准不确定度分量</w:t>
      </w:r>
      <w:r>
        <w:rPr>
          <w:bCs/>
          <w:i/>
          <w:iCs/>
          <w:kern w:val="0"/>
          <w:sz w:val="24"/>
        </w:rPr>
        <w:t>u</w:t>
      </w:r>
      <w:r>
        <w:rPr>
          <w:bCs/>
          <w:kern w:val="0"/>
          <w:sz w:val="24"/>
        </w:rPr>
        <w:t>(</w:t>
      </w:r>
      <w:r>
        <w:rPr>
          <w:bCs/>
          <w:i/>
          <w:iCs/>
          <w:kern w:val="0"/>
          <w:sz w:val="24"/>
        </w:rPr>
        <w:t>L</w:t>
      </w:r>
      <w:r>
        <w:rPr>
          <w:bCs/>
          <w:kern w:val="0"/>
          <w:sz w:val="24"/>
        </w:rPr>
        <w:t>)</w:t>
      </w:r>
      <w:r>
        <w:rPr>
          <w:color w:val="000000" w:themeColor="text1"/>
          <w:kern w:val="0"/>
          <w:sz w:val="24"/>
        </w:rPr>
        <w:t>（B类评定）。</w:t>
      </w:r>
    </w:p>
    <w:p w14:paraId="2F53A1F5">
      <w:pPr>
        <w:spacing w:line="360" w:lineRule="auto"/>
        <w:rPr>
          <w:bCs/>
          <w:kern w:val="0"/>
          <w:sz w:val="24"/>
        </w:rPr>
      </w:pPr>
      <w:r>
        <w:rPr>
          <w:bCs/>
          <w:kern w:val="0"/>
          <w:sz w:val="24"/>
        </w:rPr>
        <w:t>C.</w:t>
      </w:r>
      <w:r>
        <w:rPr>
          <w:rFonts w:hint="eastAsia"/>
          <w:bCs/>
          <w:kern w:val="0"/>
          <w:sz w:val="24"/>
        </w:rPr>
        <w:t>4</w:t>
      </w:r>
      <w:r>
        <w:rPr>
          <w:bCs/>
          <w:kern w:val="0"/>
          <w:sz w:val="24"/>
        </w:rPr>
        <w:t>.1 叉车秤示值引入的标准不确定度</w:t>
      </w:r>
      <w:r>
        <w:rPr>
          <w:bCs/>
          <w:i/>
          <w:iCs/>
          <w:kern w:val="0"/>
          <w:sz w:val="24"/>
        </w:rPr>
        <w:t>u</w:t>
      </w:r>
      <w:r>
        <w:rPr>
          <w:bCs/>
          <w:kern w:val="0"/>
          <w:sz w:val="24"/>
        </w:rPr>
        <w:t>(</w:t>
      </w:r>
      <w:r>
        <w:rPr>
          <w:bCs/>
          <w:i/>
          <w:iCs/>
          <w:kern w:val="0"/>
          <w:sz w:val="24"/>
        </w:rPr>
        <w:t>I</w:t>
      </w:r>
      <w:r>
        <w:rPr>
          <w:bCs/>
          <w:kern w:val="0"/>
          <w:sz w:val="24"/>
        </w:rPr>
        <w:t>)</w:t>
      </w:r>
    </w:p>
    <w:p w14:paraId="36790BD2">
      <w:pPr>
        <w:spacing w:line="300" w:lineRule="auto"/>
        <w:rPr>
          <w:bCs/>
          <w:kern w:val="0"/>
          <w:sz w:val="24"/>
        </w:rPr>
      </w:pPr>
      <w:r>
        <w:rPr>
          <w:bCs/>
          <w:kern w:val="0"/>
          <w:sz w:val="24"/>
        </w:rPr>
        <w:t>C.</w:t>
      </w:r>
      <w:r>
        <w:rPr>
          <w:rFonts w:hint="eastAsia"/>
          <w:bCs/>
          <w:kern w:val="0"/>
          <w:sz w:val="24"/>
        </w:rPr>
        <w:t>4</w:t>
      </w:r>
      <w:r>
        <w:rPr>
          <w:bCs/>
          <w:kern w:val="0"/>
          <w:sz w:val="24"/>
        </w:rPr>
        <w:t>.1.1 叉车秤测量</w:t>
      </w:r>
      <w:r>
        <w:rPr>
          <w:kern w:val="0"/>
          <w:sz w:val="24"/>
        </w:rPr>
        <w:t>示值误差</w:t>
      </w:r>
      <w:r>
        <w:rPr>
          <w:bCs/>
          <w:kern w:val="0"/>
          <w:sz w:val="24"/>
        </w:rPr>
        <w:t xml:space="preserve">引入的标准不确定度 </w:t>
      </w:r>
      <w:r>
        <w:rPr>
          <w:bCs/>
          <w:i/>
          <w:iCs/>
          <w:kern w:val="0"/>
          <w:sz w:val="24"/>
        </w:rPr>
        <w:t>u</w:t>
      </w:r>
      <w:r>
        <w:rPr>
          <w:bCs/>
          <w:kern w:val="0"/>
          <w:sz w:val="24"/>
          <w:vertAlign w:val="subscript"/>
        </w:rPr>
        <w:t>1</w:t>
      </w:r>
      <w:r>
        <w:rPr>
          <w:bCs/>
          <w:kern w:val="0"/>
          <w:sz w:val="24"/>
        </w:rPr>
        <w:t>(</w:t>
      </w:r>
      <w:r>
        <w:rPr>
          <w:bCs/>
          <w:i/>
          <w:iCs/>
          <w:kern w:val="0"/>
          <w:sz w:val="24"/>
        </w:rPr>
        <w:t>I</w:t>
      </w:r>
      <w:r>
        <w:rPr>
          <w:bCs/>
          <w:kern w:val="0"/>
          <w:sz w:val="24"/>
        </w:rPr>
        <w:t>)</w:t>
      </w:r>
    </w:p>
    <w:p w14:paraId="5CC74CA2">
      <w:pPr>
        <w:spacing w:line="360" w:lineRule="auto"/>
        <w:ind w:firstLine="480" w:firstLineChars="200"/>
        <w:rPr>
          <w:bCs/>
          <w:kern w:val="0"/>
          <w:sz w:val="24"/>
        </w:rPr>
      </w:pPr>
      <w:r>
        <w:rPr>
          <w:bCs/>
          <w:kern w:val="0"/>
          <w:sz w:val="24"/>
        </w:rPr>
        <w:t>采用A类不确定度的评定方法，由极差法确定：</w:t>
      </w:r>
    </w:p>
    <w:p w14:paraId="64D3B86B">
      <w:pPr>
        <w:spacing w:line="360" w:lineRule="auto"/>
        <w:jc w:val="center"/>
        <w:rPr>
          <w:rFonts w:eastAsia="仿宋_GB2312"/>
          <w:kern w:val="0"/>
          <w:sz w:val="24"/>
        </w:rPr>
      </w:pPr>
      <w:r>
        <w:rPr>
          <w:rFonts w:hint="eastAsia" w:eastAsia="仿宋_GB2312"/>
          <w:kern w:val="0"/>
          <w:sz w:val="24"/>
        </w:rPr>
        <w:t xml:space="preserve">                              </w:t>
      </w:r>
      <m:oMath>
        <m:sSub>
          <m:sSub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sSubPr>
          <m:e>
            <m:r>
              <m:rPr/>
              <w:rPr>
                <w:rFonts w:ascii="Cambria Math" w:hAnsi="Cambria Math" w:eastAsia="仿宋_GB2312"/>
                <w:kern w:val="0"/>
                <w:sz w:val="24"/>
              </w:rPr>
              <m:t>u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e>
          <m:sub>
            <m:r>
              <m:rPr/>
              <w:rPr>
                <w:rFonts w:ascii="Cambria Math" w:hAnsi="Cambria Math" w:eastAsia="仿宋_GB2312"/>
                <w:kern w:val="0"/>
                <w:sz w:val="24"/>
              </w:rPr>
              <m:t>1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sub>
        </m:sSub>
        <m:d>
          <m:d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dPr>
          <m:e>
            <m:r>
              <m:rPr/>
              <w:rPr>
                <w:rFonts w:ascii="Cambria Math" w:hAnsi="Cambria Math" w:eastAsia="仿宋_GB2312"/>
                <w:kern w:val="0"/>
                <w:sz w:val="24"/>
              </w:rPr>
              <m:t>I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e>
        </m:d>
        <m:r>
          <m:rPr/>
          <w:rPr>
            <w:rFonts w:ascii="Cambria Math" w:hAnsi="Cambria Math" w:eastAsia="仿宋_GB2312"/>
            <w:kern w:val="0"/>
            <w:sz w:val="24"/>
          </w:rPr>
          <m:t>=</m:t>
        </m:r>
        <m:f>
          <m:f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 w:eastAsia="仿宋_GB2312"/>
                    <w:kern w:val="0"/>
                    <w:sz w:val="24"/>
                  </w:rPr>
                  <m:t>E</m:t>
                </m:r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e>
              <m:sub>
                <m:r>
                  <m:rPr/>
                  <w:rPr>
                    <w:rFonts w:ascii="Cambria Math" w:hAnsi="Cambria Math" w:eastAsia="仿宋_GB2312"/>
                    <w:kern w:val="0"/>
                    <w:sz w:val="24"/>
                  </w:rPr>
                  <m:t>R</m:t>
                </m:r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sub>
            </m:sSub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仿宋_GB2312"/>
                <w:kern w:val="0"/>
                <w:sz w:val="24"/>
              </w:rPr>
              <m:t>C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den>
        </m:f>
      </m:oMath>
      <w:r>
        <w:rPr>
          <w:rFonts w:hint="eastAsia" w:eastAsia="仿宋_GB2312"/>
          <w:kern w:val="0"/>
          <w:sz w:val="24"/>
        </w:rPr>
        <w:t xml:space="preserve">                              </w:t>
      </w:r>
      <w:r>
        <w:rPr>
          <w:rFonts w:hint="eastAsia"/>
          <w:color w:val="000000" w:themeColor="text1"/>
          <w:kern w:val="0"/>
          <w:sz w:val="24"/>
        </w:rPr>
        <w:t>（</w:t>
      </w:r>
      <w:r>
        <w:rPr>
          <w:color w:val="000000" w:themeColor="text1"/>
          <w:kern w:val="0"/>
          <w:sz w:val="24"/>
        </w:rPr>
        <w:t>C.2</w:t>
      </w:r>
      <w:r>
        <w:rPr>
          <w:rFonts w:hint="eastAsia"/>
          <w:color w:val="000000" w:themeColor="text1"/>
          <w:kern w:val="0"/>
          <w:sz w:val="24"/>
        </w:rPr>
        <w:t>）</w:t>
      </w:r>
    </w:p>
    <w:p w14:paraId="2956CB59">
      <w:pPr>
        <w:spacing w:line="360" w:lineRule="auto"/>
        <w:rPr>
          <w:bCs/>
          <w:kern w:val="0"/>
          <w:sz w:val="24"/>
        </w:rPr>
      </w:pPr>
      <w:r>
        <w:rPr>
          <w:bCs/>
          <w:kern w:val="0"/>
          <w:sz w:val="24"/>
        </w:rPr>
        <w:t>C.</w:t>
      </w:r>
      <w:r>
        <w:rPr>
          <w:rFonts w:hint="eastAsia"/>
          <w:bCs/>
          <w:kern w:val="0"/>
          <w:sz w:val="24"/>
        </w:rPr>
        <w:t>4</w:t>
      </w:r>
      <w:r>
        <w:rPr>
          <w:bCs/>
          <w:kern w:val="0"/>
          <w:sz w:val="24"/>
        </w:rPr>
        <w:t>.1.2 叉车秤分辨力引入的不确定度为</w:t>
      </w:r>
      <w:r>
        <w:rPr>
          <w:bCs/>
          <w:i/>
          <w:iCs/>
          <w:kern w:val="0"/>
          <w:sz w:val="24"/>
        </w:rPr>
        <w:t>u</w:t>
      </w:r>
      <w:r>
        <w:rPr>
          <w:bCs/>
          <w:kern w:val="0"/>
          <w:sz w:val="24"/>
          <w:vertAlign w:val="subscript"/>
        </w:rPr>
        <w:t>2</w:t>
      </w:r>
      <w:r>
        <w:rPr>
          <w:bCs/>
          <w:kern w:val="0"/>
          <w:sz w:val="24"/>
        </w:rPr>
        <w:t>(</w:t>
      </w:r>
      <w:r>
        <w:rPr>
          <w:bCs/>
          <w:i/>
          <w:iCs/>
          <w:kern w:val="0"/>
          <w:sz w:val="24"/>
        </w:rPr>
        <w:t>I</w:t>
      </w:r>
      <w:r>
        <w:rPr>
          <w:bCs/>
          <w:kern w:val="0"/>
          <w:sz w:val="24"/>
        </w:rPr>
        <w:t>)</w:t>
      </w:r>
    </w:p>
    <w:p w14:paraId="01C3CD15">
      <w:pPr>
        <w:tabs>
          <w:tab w:val="left" w:pos="720"/>
        </w:tabs>
        <w:ind w:firstLine="480" w:firstLineChars="200"/>
        <w:rPr>
          <w:bCs/>
          <w:kern w:val="0"/>
          <w:sz w:val="24"/>
        </w:rPr>
      </w:pPr>
      <w:r>
        <w:rPr>
          <w:bCs/>
          <w:kern w:val="0"/>
          <w:sz w:val="24"/>
        </w:rPr>
        <w:t>叉车秤分辨力为</w:t>
      </w:r>
      <w:r>
        <w:rPr>
          <w:bCs/>
          <w:i/>
          <w:iCs/>
          <w:kern w:val="0"/>
          <w:sz w:val="24"/>
        </w:rPr>
        <w:t>d</w:t>
      </w:r>
      <w:r>
        <w:rPr>
          <w:bCs/>
          <w:kern w:val="0"/>
          <w:sz w:val="24"/>
        </w:rPr>
        <w:t>，</w:t>
      </w:r>
      <w:r>
        <w:rPr>
          <w:kern w:val="0"/>
          <w:sz w:val="24"/>
        </w:rPr>
        <w:t>服从均匀分布，包含因子</w:t>
      </w:r>
      <w:r>
        <w:rPr>
          <w:kern w:val="0"/>
          <w:position w:val="-8"/>
          <w:sz w:val="24"/>
        </w:rPr>
        <w:object>
          <v:shape id="_x0000_i1034" o:spt="75" type="#_x0000_t75" style="height:19pt;width:3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s" ShapeID="_x0000_i1034" DrawAspect="Content" ObjectID="_1468075734" r:id="rId32">
            <o:LockedField>false</o:LockedField>
          </o:OLEObject>
        </w:object>
      </w:r>
      <w:r>
        <w:rPr>
          <w:kern w:val="0"/>
          <w:sz w:val="24"/>
        </w:rPr>
        <w:t>，</w:t>
      </w:r>
      <w:r>
        <w:rPr>
          <w:color w:val="000000" w:themeColor="text1"/>
          <w:kern w:val="0"/>
          <w:sz w:val="24"/>
        </w:rPr>
        <w:t>则其标准不确定度：</w:t>
      </w:r>
    </w:p>
    <w:p w14:paraId="4F9F5780">
      <w:pPr>
        <w:tabs>
          <w:tab w:val="left" w:pos="720"/>
        </w:tabs>
        <w:jc w:val="center"/>
        <w:rPr>
          <w:rFonts w:eastAsia="仿宋_GB2312"/>
          <w:kern w:val="0"/>
          <w:position w:val="-28"/>
          <w:sz w:val="24"/>
        </w:rPr>
      </w:pPr>
      <w:r>
        <w:rPr>
          <w:rFonts w:hint="eastAsia" w:eastAsia="仿宋_GB2312"/>
          <w:kern w:val="0"/>
          <w:sz w:val="24"/>
        </w:rPr>
        <w:t xml:space="preserve">                          </w:t>
      </w:r>
      <m:oMath>
        <m:sSub>
          <m:sSub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sSubPr>
          <m:e>
            <m:r>
              <m:rPr/>
              <w:rPr>
                <w:rFonts w:ascii="Cambria Math" w:hAnsi="Cambria Math" w:eastAsia="仿宋_GB2312"/>
                <w:kern w:val="0"/>
                <w:sz w:val="24"/>
              </w:rPr>
              <m:t>u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e>
          <m:sub>
            <m:r>
              <m:rPr/>
              <w:rPr>
                <w:rFonts w:ascii="Cambria Math" w:hAnsi="Cambria Math" w:eastAsia="仿宋_GB2312"/>
                <w:kern w:val="0"/>
                <w:sz w:val="24"/>
              </w:rPr>
              <m:t>2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sub>
        </m:sSub>
        <m:d>
          <m:d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dPr>
          <m:e>
            <m:r>
              <m:rPr/>
              <w:rPr>
                <w:rFonts w:ascii="Cambria Math" w:hAnsi="Cambria Math" w:eastAsia="仿宋_GB2312"/>
                <w:kern w:val="0"/>
                <w:sz w:val="24"/>
              </w:rPr>
              <m:t>I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e>
        </m:d>
        <m:r>
          <m:rPr/>
          <w:rPr>
            <w:rFonts w:ascii="Cambria Math" w:hAnsi="Cambria Math" w:eastAsia="仿宋_GB2312"/>
            <w:kern w:val="0"/>
            <w:sz w:val="24"/>
          </w:rPr>
          <m:t>=</m:t>
        </m:r>
        <m:f>
          <m:f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fPr>
          <m:num>
            <m:r>
              <m:rPr/>
              <w:rPr>
                <w:rFonts w:ascii="Cambria Math" w:hAnsi="Cambria Math" w:eastAsia="仿宋_GB2312"/>
                <w:kern w:val="0"/>
                <w:sz w:val="24"/>
              </w:rPr>
              <m:t>0.1</m:t>
            </m:r>
            <m:r>
              <m:rPr/>
              <w:rPr>
                <w:rFonts w:hint="eastAsia" w:ascii="Cambria Math" w:hAnsi="Cambria Math" w:eastAsia="仿宋_GB2312"/>
                <w:kern w:val="0"/>
                <w:sz w:val="24"/>
              </w:rPr>
              <m:t>d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num>
          <m:den>
            <m:r>
              <m:rPr/>
              <w:rPr>
                <w:rFonts w:ascii="Cambria Math" w:hAnsi="Cambria Math" w:eastAsia="仿宋_GB2312"/>
                <w:kern w:val="0"/>
                <w:sz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radPr>
              <m:deg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deg>
              <m:e>
                <m:r>
                  <m:rPr/>
                  <w:rPr>
                    <w:rFonts w:ascii="Cambria Math" w:hAnsi="Cambria Math" w:eastAsia="仿宋_GB2312"/>
                    <w:kern w:val="0"/>
                    <w:sz w:val="24"/>
                  </w:rPr>
                  <m:t>3</m:t>
                </m:r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e>
            </m:rad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den>
        </m:f>
        <m:r>
          <m:rPr/>
          <w:rPr>
            <w:rFonts w:ascii="Cambria Math" w:hAnsi="Cambria Math" w:eastAsia="仿宋_GB2312"/>
            <w:kern w:val="0"/>
            <w:sz w:val="24"/>
          </w:rPr>
          <m:t>=0.029d</m:t>
        </m:r>
      </m:oMath>
      <w:r>
        <w:rPr>
          <w:rFonts w:hint="eastAsia" w:eastAsia="仿宋_GB2312"/>
          <w:kern w:val="0"/>
          <w:sz w:val="24"/>
        </w:rPr>
        <w:t xml:space="preserve">                        </w:t>
      </w:r>
      <w:r>
        <w:rPr>
          <w:rFonts w:hint="eastAsia"/>
          <w:color w:val="000000" w:themeColor="text1"/>
          <w:kern w:val="0"/>
          <w:sz w:val="24"/>
        </w:rPr>
        <w:t>（</w:t>
      </w:r>
      <w:r>
        <w:rPr>
          <w:color w:val="000000" w:themeColor="text1"/>
          <w:kern w:val="0"/>
          <w:sz w:val="24"/>
        </w:rPr>
        <w:t>C.3</w:t>
      </w:r>
      <w:r>
        <w:rPr>
          <w:rFonts w:hint="eastAsia"/>
          <w:color w:val="000000" w:themeColor="text1"/>
          <w:kern w:val="0"/>
          <w:sz w:val="24"/>
        </w:rPr>
        <w:t>）</w:t>
      </w:r>
    </w:p>
    <w:p w14:paraId="2EEC9E2C">
      <w:pPr>
        <w:spacing w:line="360" w:lineRule="auto"/>
        <w:rPr>
          <w:bCs/>
          <w:kern w:val="0"/>
          <w:sz w:val="24"/>
        </w:rPr>
      </w:pPr>
      <w:r>
        <w:rPr>
          <w:bCs/>
          <w:kern w:val="0"/>
          <w:sz w:val="24"/>
        </w:rPr>
        <w:t>C.</w:t>
      </w:r>
      <w:r>
        <w:rPr>
          <w:rFonts w:hint="eastAsia"/>
          <w:bCs/>
          <w:kern w:val="0"/>
          <w:sz w:val="24"/>
        </w:rPr>
        <w:t>4</w:t>
      </w:r>
      <w:r>
        <w:rPr>
          <w:bCs/>
          <w:kern w:val="0"/>
          <w:sz w:val="24"/>
        </w:rPr>
        <w:t>.1.3</w:t>
      </w:r>
      <w:r>
        <w:rPr>
          <w:color w:val="000000" w:themeColor="text1"/>
          <w:kern w:val="0"/>
          <w:sz w:val="24"/>
        </w:rPr>
        <w:t>叉车秤仰角/倾角</w:t>
      </w:r>
      <w:r>
        <w:rPr>
          <w:rFonts w:hint="eastAsia"/>
          <w:color w:val="000000" w:themeColor="text1"/>
          <w:kern w:val="0"/>
          <w:sz w:val="24"/>
        </w:rPr>
        <w:t>变化后</w:t>
      </w:r>
      <w:r>
        <w:rPr>
          <w:color w:val="000000" w:themeColor="text1"/>
          <w:kern w:val="0"/>
          <w:sz w:val="24"/>
        </w:rPr>
        <w:t>示值误差引入的标准不确定度分量</w:t>
      </w:r>
      <w:r>
        <w:rPr>
          <w:bCs/>
          <w:i/>
          <w:iCs/>
          <w:kern w:val="0"/>
          <w:sz w:val="24"/>
        </w:rPr>
        <w:t>u</w:t>
      </w:r>
      <w:r>
        <w:rPr>
          <w:bCs/>
          <w:kern w:val="0"/>
          <w:sz w:val="24"/>
          <w:vertAlign w:val="subscript"/>
        </w:rPr>
        <w:t>3</w:t>
      </w:r>
      <w:r>
        <w:rPr>
          <w:bCs/>
          <w:kern w:val="0"/>
          <w:sz w:val="24"/>
        </w:rPr>
        <w:t>(</w:t>
      </w:r>
      <w:r>
        <w:rPr>
          <w:bCs/>
          <w:i/>
          <w:iCs/>
          <w:kern w:val="0"/>
          <w:sz w:val="24"/>
        </w:rPr>
        <w:t>I</w:t>
      </w:r>
      <w:r>
        <w:rPr>
          <w:bCs/>
          <w:kern w:val="0"/>
          <w:sz w:val="24"/>
        </w:rPr>
        <w:t>)</w:t>
      </w:r>
    </w:p>
    <w:p w14:paraId="467CD234">
      <w:pPr>
        <w:spacing w:line="360" w:lineRule="auto"/>
        <w:ind w:firstLine="480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载荷在不同仰角/倾角示值偏差与载荷值成比例，假设为均匀分布，其标准不确定度为：</w:t>
      </w:r>
    </w:p>
    <w:p w14:paraId="3D98F506">
      <w:pPr>
        <w:spacing w:line="360" w:lineRule="auto"/>
        <w:jc w:val="right"/>
        <w:rPr>
          <w:color w:val="000000" w:themeColor="text1"/>
          <w:sz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</w:rPr>
              <m:t>u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sub>
            <m:r>
              <m:rPr/>
              <w:rPr>
                <w:rFonts w:ascii="Cambria Math"/>
                <w:color w:val="000000" w:themeColor="text1"/>
                <w:sz w:val="24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ub>
        </m:sSub>
        <m:d>
          <m:d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dPr>
          <m:e>
            <m:r>
              <m:rPr/>
              <w:rPr>
                <w:rFonts w:ascii="Cambria Math" w:hAnsi="Cambria Math" w:eastAsia="仿宋_GB2312"/>
                <w:kern w:val="0"/>
                <w:sz w:val="24"/>
              </w:rPr>
              <m:t>I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e>
        </m:d>
        <m:r>
          <m:rPr>
            <m:sty m:val="p"/>
          </m:rPr>
          <w:rPr>
            <w:rFonts w:ascii="Cambria Math"/>
            <w:color w:val="000000" w:themeColor="text1"/>
            <w:sz w:val="24"/>
          </w:rPr>
          <m:t>=</m:t>
        </m:r>
        <m:r>
          <m:rPr/>
          <w:rPr>
            <w:rFonts w:ascii="Cambria Math"/>
            <w:color w:val="000000" w:themeColor="text1"/>
            <w:sz w:val="24"/>
          </w:rPr>
          <m:t>I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</w:rPr>
              <m:t>D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sub>
            <m:r>
              <m:rPr/>
              <w:rPr>
                <w:rFonts w:ascii="Cambria Math"/>
                <w:color w:val="000000" w:themeColor="text1"/>
                <w:sz w:val="24"/>
              </w:rPr>
              <m:t>L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ub>
        </m:sSub>
        <m:r>
          <m:rPr/>
          <w:rPr>
            <w:rFonts w:ascii="Cambria Math"/>
            <w:color w:val="000000" w:themeColor="text1"/>
            <w:sz w:val="24"/>
          </w:rPr>
          <m:t>/2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</w:rPr>
              <m:t>L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  <w:sz w:val="24"/>
              </w:rPr>
              <m:t>el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sub>
        </m:sSub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radPr>
          <m:deg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deg>
          <m:e>
            <m:r>
              <m:rPr/>
              <w:rPr>
                <w:rFonts w:ascii="Cambria Math"/>
                <w:color w:val="000000" w:themeColor="text1"/>
                <w:sz w:val="24"/>
              </w:rPr>
              <m:t>3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e>
        </m:rad>
      </m:oMath>
      <w:r>
        <w:rPr>
          <w:color w:val="000000" w:themeColor="text1"/>
          <w:sz w:val="24"/>
        </w:rPr>
        <w:t xml:space="preserve">                </w:t>
      </w:r>
      <w:r>
        <w:rPr>
          <w:rFonts w:hint="eastAsia"/>
          <w:color w:val="000000" w:themeColor="text1"/>
          <w:sz w:val="24"/>
        </w:rPr>
        <w:t xml:space="preserve">    </w:t>
      </w:r>
      <w:r>
        <w:rPr>
          <w:color w:val="000000" w:themeColor="text1"/>
          <w:sz w:val="24"/>
        </w:rPr>
        <w:t xml:space="preserve">       </w:t>
      </w:r>
      <w:r>
        <w:rPr>
          <w:rFonts w:hint="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C.4</w:t>
      </w:r>
      <w:r>
        <w:rPr>
          <w:rFonts w:hint="eastAsia"/>
          <w:color w:val="000000" w:themeColor="text1"/>
          <w:sz w:val="24"/>
        </w:rPr>
        <w:t>）</w:t>
      </w:r>
    </w:p>
    <w:p w14:paraId="2FFCC2BE">
      <w:pPr>
        <w:spacing w:line="360" w:lineRule="auto"/>
        <w:ind w:right="482" w:firstLine="480" w:firstLineChars="20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式中：</w:t>
      </w:r>
    </w:p>
    <w:p w14:paraId="0EC7CB84">
      <w:pPr>
        <w:spacing w:line="360" w:lineRule="auto"/>
        <w:ind w:right="482" w:firstLine="480" w:firstLineChars="200"/>
        <w:rPr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I  —</w:t>
      </w:r>
      <w:r>
        <w:rPr>
          <w:iCs/>
          <w:color w:val="000000" w:themeColor="text1"/>
          <w:sz w:val="24"/>
        </w:rPr>
        <w:t>—</w:t>
      </w:r>
      <w:r>
        <w:rPr>
          <w:color w:val="000000" w:themeColor="text1"/>
          <w:sz w:val="24"/>
        </w:rPr>
        <w:t>示值</w:t>
      </w:r>
      <w:r>
        <w:rPr>
          <w:color w:val="000000" w:themeColor="text1"/>
          <w:kern w:val="0"/>
          <w:sz w:val="24"/>
        </w:rPr>
        <w:t>，</w:t>
      </w:r>
      <w:r>
        <w:rPr>
          <w:sz w:val="24"/>
        </w:rPr>
        <w:t>kg或g</w:t>
      </w:r>
      <w:r>
        <w:rPr>
          <w:color w:val="000000" w:themeColor="text1"/>
          <w:sz w:val="24"/>
        </w:rPr>
        <w:t>；</w:t>
      </w:r>
    </w:p>
    <w:p w14:paraId="21D74E49">
      <w:pPr>
        <w:spacing w:line="360" w:lineRule="auto"/>
        <w:ind w:right="482" w:firstLine="480" w:firstLineChars="200"/>
        <w:rPr>
          <w:color w:val="000000" w:themeColor="text1"/>
          <w:sz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</w:rPr>
              <m:t>D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sub>
            <m:r>
              <m:rPr/>
              <w:rPr>
                <w:rFonts w:ascii="Cambria Math"/>
                <w:color w:val="000000" w:themeColor="text1"/>
                <w:sz w:val="24"/>
              </w:rPr>
              <m:t>L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ub>
        </m:sSub>
      </m:oMath>
      <w:r>
        <w:rPr>
          <w:i/>
          <w:color w:val="000000" w:themeColor="text1"/>
          <w:sz w:val="24"/>
        </w:rPr>
        <w:t>—</w:t>
      </w:r>
      <w:r>
        <w:rPr>
          <w:iCs/>
          <w:color w:val="000000" w:themeColor="text1"/>
          <w:sz w:val="24"/>
        </w:rPr>
        <w:t>—</w:t>
      </w:r>
      <w:r>
        <w:rPr>
          <w:color w:val="000000" w:themeColor="text1"/>
          <w:sz w:val="24"/>
        </w:rPr>
        <w:t>载荷在不同仰角/倾角示值最大值与最小值之差</w:t>
      </w:r>
      <w:r>
        <w:rPr>
          <w:color w:val="000000" w:themeColor="text1"/>
          <w:kern w:val="0"/>
          <w:sz w:val="24"/>
        </w:rPr>
        <w:t>，</w:t>
      </w:r>
      <w:r>
        <w:rPr>
          <w:sz w:val="24"/>
        </w:rPr>
        <w:t>kg或g</w:t>
      </w:r>
      <w:r>
        <w:rPr>
          <w:color w:val="000000" w:themeColor="text1"/>
          <w:sz w:val="24"/>
        </w:rPr>
        <w:t>；</w:t>
      </w:r>
    </w:p>
    <w:p w14:paraId="5BE31D5C">
      <w:pPr>
        <w:spacing w:line="360" w:lineRule="auto"/>
        <w:ind w:right="482" w:firstLine="480" w:firstLineChars="200"/>
        <w:rPr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L</w:t>
      </w:r>
      <w:r>
        <w:rPr>
          <w:color w:val="000000" w:themeColor="text1"/>
          <w:sz w:val="24"/>
          <w:vertAlign w:val="subscript"/>
        </w:rPr>
        <w:t xml:space="preserve">el </w:t>
      </w:r>
      <w:r>
        <w:rPr>
          <w:i/>
          <w:color w:val="000000" w:themeColor="text1"/>
          <w:sz w:val="24"/>
        </w:rPr>
        <w:t>—</w:t>
      </w:r>
      <w:r>
        <w:rPr>
          <w:iCs/>
          <w:color w:val="000000" w:themeColor="text1"/>
          <w:sz w:val="24"/>
        </w:rPr>
        <w:t>—</w:t>
      </w:r>
      <w:r>
        <w:rPr>
          <w:color w:val="000000" w:themeColor="text1"/>
          <w:sz w:val="24"/>
        </w:rPr>
        <w:t>试验载荷标准值</w:t>
      </w:r>
      <w:r>
        <w:rPr>
          <w:color w:val="000000" w:themeColor="text1"/>
          <w:kern w:val="0"/>
          <w:sz w:val="24"/>
        </w:rPr>
        <w:t>，</w:t>
      </w:r>
      <w:r>
        <w:rPr>
          <w:sz w:val="24"/>
        </w:rPr>
        <w:t>kg或g</w:t>
      </w:r>
      <w:r>
        <w:rPr>
          <w:color w:val="000000" w:themeColor="text1"/>
          <w:sz w:val="24"/>
        </w:rPr>
        <w:t>。</w:t>
      </w:r>
    </w:p>
    <w:p w14:paraId="32EA4045">
      <w:pPr>
        <w:spacing w:line="360" w:lineRule="auto"/>
        <w:rPr>
          <w:bCs/>
          <w:kern w:val="0"/>
          <w:sz w:val="24"/>
        </w:rPr>
      </w:pPr>
      <w:r>
        <w:rPr>
          <w:bCs/>
          <w:kern w:val="0"/>
          <w:sz w:val="24"/>
        </w:rPr>
        <w:t>C.</w:t>
      </w:r>
      <w:r>
        <w:rPr>
          <w:rFonts w:hint="eastAsia"/>
          <w:bCs/>
          <w:kern w:val="0"/>
          <w:sz w:val="24"/>
        </w:rPr>
        <w:t>4</w:t>
      </w:r>
      <w:r>
        <w:rPr>
          <w:bCs/>
          <w:kern w:val="0"/>
          <w:sz w:val="24"/>
        </w:rPr>
        <w:t>.1.4</w:t>
      </w:r>
      <w:r>
        <w:rPr>
          <w:bCs/>
          <w:color w:val="000000" w:themeColor="text1"/>
          <w:kern w:val="0"/>
          <w:sz w:val="24"/>
        </w:rPr>
        <w:t>叉车秤</w:t>
      </w:r>
      <w:r>
        <w:rPr>
          <w:rFonts w:hint="eastAsia"/>
          <w:bCs/>
          <w:color w:val="000000" w:themeColor="text1"/>
          <w:kern w:val="0"/>
          <w:sz w:val="24"/>
        </w:rPr>
        <w:t>变换</w:t>
      </w:r>
      <w:r>
        <w:rPr>
          <w:bCs/>
          <w:color w:val="000000" w:themeColor="text1"/>
          <w:kern w:val="0"/>
          <w:sz w:val="24"/>
        </w:rPr>
        <w:t>行驶速度后的示值重复性引入的标准不确定度分量</w:t>
      </w:r>
      <w:r>
        <w:rPr>
          <w:bCs/>
          <w:i/>
          <w:iCs/>
          <w:kern w:val="0"/>
          <w:sz w:val="24"/>
        </w:rPr>
        <w:t>u</w:t>
      </w:r>
      <w:r>
        <w:rPr>
          <w:bCs/>
          <w:kern w:val="0"/>
          <w:sz w:val="24"/>
          <w:vertAlign w:val="subscript"/>
        </w:rPr>
        <w:t>4</w:t>
      </w:r>
      <w:r>
        <w:rPr>
          <w:bCs/>
          <w:kern w:val="0"/>
          <w:sz w:val="24"/>
        </w:rPr>
        <w:t>(</w:t>
      </w:r>
      <w:r>
        <w:rPr>
          <w:bCs/>
          <w:i/>
          <w:iCs/>
          <w:kern w:val="0"/>
          <w:sz w:val="24"/>
        </w:rPr>
        <w:t>I</w:t>
      </w:r>
      <w:r>
        <w:rPr>
          <w:bCs/>
          <w:kern w:val="0"/>
          <w:sz w:val="24"/>
        </w:rPr>
        <w:t>)</w:t>
      </w:r>
    </w:p>
    <w:p w14:paraId="5FB0557B">
      <w:pPr>
        <w:tabs>
          <w:tab w:val="left" w:pos="720"/>
        </w:tabs>
        <w:ind w:firstLine="480" w:firstLineChars="200"/>
        <w:rPr>
          <w:bCs/>
          <w:kern w:val="0"/>
          <w:sz w:val="24"/>
        </w:rPr>
      </w:pPr>
      <w:r>
        <w:rPr>
          <w:bCs/>
          <w:kern w:val="0"/>
          <w:sz w:val="24"/>
        </w:rPr>
        <w:t>叉车秤在不同行驶速度后的示值重复性为</w:t>
      </w:r>
      <w:r>
        <w:rPr>
          <w:bCs/>
          <w:i/>
          <w:iCs/>
          <w:kern w:val="0"/>
          <w:sz w:val="24"/>
        </w:rPr>
        <w:t>E</w:t>
      </w:r>
      <w:r>
        <w:rPr>
          <w:bCs/>
          <w:iCs/>
          <w:kern w:val="0"/>
          <w:sz w:val="24"/>
          <w:vertAlign w:val="subscript"/>
        </w:rPr>
        <w:t>R</w:t>
      </w:r>
      <w:r>
        <w:rPr>
          <w:bCs/>
          <w:kern w:val="0"/>
          <w:sz w:val="24"/>
        </w:rPr>
        <w:t>，</w:t>
      </w:r>
      <w:r>
        <w:rPr>
          <w:kern w:val="0"/>
          <w:sz w:val="24"/>
        </w:rPr>
        <w:t>服从均匀分布，包含因子</w:t>
      </w:r>
      <w:r>
        <w:rPr>
          <w:kern w:val="0"/>
          <w:position w:val="-8"/>
          <w:sz w:val="24"/>
        </w:rPr>
        <w:object>
          <v:shape id="_x0000_i1035" o:spt="75" type="#_x0000_t75" style="height:19pt;width:3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s" ShapeID="_x0000_i1035" DrawAspect="Content" ObjectID="_1468075735" r:id="rId34">
            <o:LockedField>false</o:LockedField>
          </o:OLEObject>
        </w:object>
      </w:r>
      <w:r>
        <w:rPr>
          <w:kern w:val="0"/>
          <w:sz w:val="24"/>
        </w:rPr>
        <w:t>，</w:t>
      </w:r>
      <w:r>
        <w:rPr>
          <w:color w:val="000000" w:themeColor="text1"/>
          <w:kern w:val="0"/>
          <w:sz w:val="24"/>
        </w:rPr>
        <w:t>则其标准不确定度：</w:t>
      </w:r>
    </w:p>
    <w:p w14:paraId="0ACC354A">
      <w:pPr>
        <w:tabs>
          <w:tab w:val="left" w:pos="720"/>
        </w:tabs>
        <w:jc w:val="center"/>
        <w:rPr>
          <w:rFonts w:eastAsia="仿宋_GB2312"/>
          <w:kern w:val="0"/>
          <w:position w:val="-28"/>
          <w:sz w:val="24"/>
        </w:rPr>
      </w:pPr>
      <w:r>
        <w:rPr>
          <w:rFonts w:hint="eastAsia"/>
          <w:kern w:val="0"/>
          <w:sz w:val="24"/>
        </w:rPr>
        <w:t xml:space="preserve">                           </w:t>
      </w:r>
      <m:oMath>
        <m:sSub>
          <m:sSub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sSubPr>
          <m:e>
            <m:r>
              <m:rPr/>
              <w:rPr>
                <w:rFonts w:ascii="Cambria Math" w:hAnsi="Cambria Math" w:eastAsia="仿宋_GB2312"/>
                <w:kern w:val="0"/>
                <w:sz w:val="24"/>
              </w:rPr>
              <m:t>u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e>
          <m:sub>
            <m:r>
              <m:rPr/>
              <w:rPr>
                <w:rFonts w:ascii="Cambria Math" w:hAnsi="Cambria Math" w:eastAsia="仿宋_GB2312"/>
                <w:kern w:val="0"/>
                <w:sz w:val="24"/>
              </w:rPr>
              <m:t>4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sub>
        </m:sSub>
        <m:d>
          <m:d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dPr>
          <m:e>
            <m:r>
              <m:rPr/>
              <w:rPr>
                <w:rFonts w:ascii="Cambria Math" w:hAnsi="Cambria Math" w:eastAsia="仿宋_GB2312"/>
                <w:kern w:val="0"/>
                <w:sz w:val="24"/>
              </w:rPr>
              <m:t>I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e>
        </m:d>
        <m:r>
          <m:rPr/>
          <w:rPr>
            <w:rFonts w:ascii="Cambria Math" w:hAnsi="Cambria Math" w:eastAsia="仿宋_GB2312"/>
            <w:kern w:val="0"/>
            <w:sz w:val="24"/>
          </w:rPr>
          <m:t>=</m:t>
        </m:r>
        <m:f>
          <m:f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 w:eastAsia="仿宋_GB2312"/>
                    <w:kern w:val="0"/>
                    <w:sz w:val="24"/>
                  </w:rPr>
                  <m:t>E</m:t>
                </m:r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e>
              <m:sub>
                <m:r>
                  <m:rPr/>
                  <w:rPr>
                    <w:rFonts w:ascii="Cambria Math" w:hAnsi="Cambria Math" w:eastAsia="仿宋_GB2312"/>
                    <w:kern w:val="0"/>
                    <w:sz w:val="24"/>
                  </w:rPr>
                  <m:t>R</m:t>
                </m:r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sub>
            </m:sSub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num>
          <m:den>
            <m:r>
              <m:rPr/>
              <w:rPr>
                <w:rFonts w:ascii="Cambria Math" w:hAnsi="Cambria Math" w:eastAsia="仿宋_GB2312"/>
                <w:kern w:val="0"/>
                <w:sz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radPr>
              <m:deg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deg>
              <m:e>
                <m:r>
                  <m:rPr/>
                  <w:rPr>
                    <w:rFonts w:ascii="Cambria Math" w:hAnsi="Cambria Math" w:eastAsia="仿宋_GB2312"/>
                    <w:kern w:val="0"/>
                    <w:sz w:val="24"/>
                  </w:rPr>
                  <m:t>3</m:t>
                </m:r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e>
            </m:rad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den>
        </m:f>
      </m:oMath>
      <w:r>
        <w:rPr>
          <w:color w:val="000000" w:themeColor="text1"/>
          <w:kern w:val="0"/>
          <w:sz w:val="24"/>
        </w:rPr>
        <w:t xml:space="preserve"> </w:t>
      </w:r>
      <w:r>
        <w:rPr>
          <w:rFonts w:hint="eastAsia"/>
          <w:color w:val="000000" w:themeColor="text1"/>
          <w:kern w:val="0"/>
          <w:sz w:val="24"/>
        </w:rPr>
        <w:t xml:space="preserve">                             （</w:t>
      </w:r>
      <w:r>
        <w:rPr>
          <w:color w:val="000000" w:themeColor="text1"/>
          <w:kern w:val="0"/>
          <w:sz w:val="24"/>
        </w:rPr>
        <w:t>C.5</w:t>
      </w:r>
      <w:r>
        <w:rPr>
          <w:rFonts w:hint="eastAsia"/>
          <w:color w:val="000000" w:themeColor="text1"/>
          <w:kern w:val="0"/>
          <w:sz w:val="24"/>
        </w:rPr>
        <w:t>）</w:t>
      </w:r>
    </w:p>
    <w:p w14:paraId="5725170C">
      <w:pPr>
        <w:spacing w:line="360" w:lineRule="auto"/>
        <w:rPr>
          <w:bCs/>
          <w:kern w:val="0"/>
          <w:sz w:val="24"/>
        </w:rPr>
      </w:pPr>
      <w:r>
        <w:rPr>
          <w:bCs/>
          <w:kern w:val="0"/>
          <w:sz w:val="24"/>
        </w:rPr>
        <w:t>C.</w:t>
      </w:r>
      <w:r>
        <w:rPr>
          <w:rFonts w:hint="eastAsia"/>
          <w:bCs/>
          <w:kern w:val="0"/>
          <w:sz w:val="24"/>
        </w:rPr>
        <w:t>4</w:t>
      </w:r>
      <w:r>
        <w:rPr>
          <w:bCs/>
          <w:kern w:val="0"/>
          <w:sz w:val="24"/>
        </w:rPr>
        <w:t>.2  由标准砝码引入的不确定度</w:t>
      </w:r>
      <w:r>
        <w:rPr>
          <w:bCs/>
          <w:i/>
          <w:iCs/>
          <w:kern w:val="0"/>
          <w:sz w:val="24"/>
        </w:rPr>
        <w:t>u</w:t>
      </w:r>
      <w:r>
        <w:rPr>
          <w:bCs/>
          <w:kern w:val="0"/>
          <w:sz w:val="24"/>
        </w:rPr>
        <w:t>(</w:t>
      </w:r>
      <w:r>
        <w:rPr>
          <w:bCs/>
          <w:i/>
          <w:iCs/>
          <w:kern w:val="0"/>
          <w:sz w:val="24"/>
        </w:rPr>
        <w:t>L</w:t>
      </w:r>
      <w:r>
        <w:rPr>
          <w:bCs/>
          <w:kern w:val="0"/>
          <w:sz w:val="24"/>
        </w:rPr>
        <w:t>)</w:t>
      </w:r>
    </w:p>
    <w:p w14:paraId="44F205EB">
      <w:pPr>
        <w:pStyle w:val="32"/>
        <w:spacing w:before="0" w:beforeAutospacing="0" w:after="0" w:afterAutospacing="0" w:line="360" w:lineRule="auto"/>
        <w:ind w:firstLine="480" w:firstLineChars="200"/>
        <w:rPr>
          <w:color w:val="000000" w:themeColor="text1"/>
        </w:rPr>
      </w:pPr>
      <w:r>
        <w:rPr>
          <w:color w:val="000000" w:themeColor="text1"/>
        </w:rPr>
        <w:t>砝码的最大允许误差为其区间半宽度，服从均匀分布，</w:t>
      </w:r>
      <w:r>
        <w:rPr>
          <w:bCs/>
        </w:rPr>
        <w:t>包含因子</w:t>
      </w:r>
      <w:r>
        <w:rPr>
          <w:position w:val="-8"/>
          <w:szCs w:val="24"/>
        </w:rPr>
        <w:object>
          <v:shape id="_x0000_i1036" o:spt="75" type="#_x0000_t75" style="height:19pt;width:3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s" ShapeID="_x0000_i1036" DrawAspect="Content" ObjectID="_1468075736" r:id="rId35">
            <o:LockedField>false</o:LockedField>
          </o:OLEObject>
        </w:object>
      </w:r>
      <w:r>
        <w:rPr>
          <w:position w:val="-8"/>
          <w:szCs w:val="24"/>
        </w:rPr>
        <w:t>，</w:t>
      </w:r>
      <w:r>
        <w:rPr>
          <w:color w:val="000000" w:themeColor="text1"/>
        </w:rPr>
        <w:t>其标准不确定为：</w:t>
      </w:r>
    </w:p>
    <w:p w14:paraId="13D9EB0E">
      <w:pPr>
        <w:spacing w:line="360" w:lineRule="auto"/>
        <w:ind w:firstLine="480" w:firstLineChars="200"/>
        <w:jc w:val="center"/>
        <w:rPr>
          <w:rFonts w:eastAsia="仿宋_GB2312"/>
          <w:kern w:val="0"/>
          <w:position w:val="-28"/>
          <w:sz w:val="24"/>
        </w:rPr>
      </w:pPr>
      <w:r>
        <w:rPr>
          <w:rFonts w:hint="eastAsia"/>
          <w:kern w:val="0"/>
          <w:sz w:val="24"/>
        </w:rPr>
        <w:t xml:space="preserve">                       </w:t>
      </w:r>
      <m:oMath>
        <m:r>
          <m:rPr/>
          <w:rPr>
            <w:rFonts w:hint="eastAsia" w:ascii="Cambria Math" w:hAnsi="Cambria Math" w:eastAsia="仿宋_GB2312"/>
            <w:kern w:val="0"/>
            <w:sz w:val="24"/>
          </w:rPr>
          <m:t>u</m:t>
        </m:r>
        <m:d>
          <m:d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dPr>
          <m:e>
            <m:r>
              <m:rPr/>
              <w:rPr>
                <w:rFonts w:ascii="Cambria Math" w:hAnsi="Cambria Math" w:eastAsia="仿宋_GB2312"/>
                <w:kern w:val="0"/>
                <w:sz w:val="24"/>
              </w:rPr>
              <m:t>L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e>
        </m:d>
        <m:r>
          <m:rPr/>
          <w:rPr>
            <w:rFonts w:ascii="Cambria Math" w:hAnsi="Cambria Math" w:eastAsia="仿宋_GB2312"/>
            <w:kern w:val="0"/>
            <w:sz w:val="24"/>
          </w:rPr>
          <m:t>=</m:t>
        </m:r>
        <m:f>
          <m:fPr>
            <m:ctrlPr>
              <w:rPr>
                <w:rFonts w:ascii="Cambria Math" w:hAnsi="Cambria Math" w:eastAsia="仿宋_GB2312"/>
                <w:iCs/>
                <w:kern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仿宋_GB2312"/>
                <w:kern w:val="0"/>
                <w:sz w:val="24"/>
              </w:rPr>
              <m:t>MPE</m:t>
            </m:r>
            <m:ctrlPr>
              <w:rPr>
                <w:rFonts w:ascii="Cambria Math" w:hAnsi="Cambria Math" w:eastAsia="仿宋_GB2312"/>
                <w:iCs/>
                <w:kern w:val="0"/>
                <w:sz w:val="24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 w:eastAsia="仿宋_GB2312"/>
                    <w:iCs/>
                    <w:kern w:val="0"/>
                    <w:sz w:val="24"/>
                  </w:rPr>
                </m:ctrlPr>
              </m:radPr>
              <m:deg>
                <m:ctrlPr>
                  <w:rPr>
                    <w:rFonts w:ascii="Cambria Math" w:hAnsi="Cambria Math" w:eastAsia="仿宋_GB2312"/>
                    <w:iCs/>
                    <w:kern w:val="0"/>
                    <w:sz w:val="24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仿宋_GB2312"/>
                    <w:kern w:val="0"/>
                    <w:sz w:val="24"/>
                  </w:rPr>
                  <m:t>3</m:t>
                </m:r>
                <m:ctrlPr>
                  <w:rPr>
                    <w:rFonts w:ascii="Cambria Math" w:hAnsi="Cambria Math" w:eastAsia="仿宋_GB2312"/>
                    <w:iCs/>
                    <w:kern w:val="0"/>
                    <w:sz w:val="24"/>
                  </w:rPr>
                </m:ctrlPr>
              </m:e>
            </m:rad>
            <m:ctrlPr>
              <w:rPr>
                <w:rFonts w:ascii="Cambria Math" w:hAnsi="Cambria Math" w:eastAsia="仿宋_GB2312"/>
                <w:iCs/>
                <w:kern w:val="0"/>
                <w:sz w:val="24"/>
              </w:rPr>
            </m:ctrlPr>
          </m:den>
        </m:f>
      </m:oMath>
      <w:r>
        <w:rPr>
          <w:rFonts w:hint="eastAsia" w:eastAsia="仿宋_GB2312"/>
          <w:kern w:val="0"/>
          <w:sz w:val="24"/>
        </w:rPr>
        <w:t xml:space="preserve">                              </w:t>
      </w:r>
      <w:r>
        <w:rPr>
          <w:rFonts w:hint="eastAsia"/>
          <w:color w:val="000000" w:themeColor="text1"/>
          <w:kern w:val="0"/>
          <w:sz w:val="24"/>
        </w:rPr>
        <w:t>（</w:t>
      </w:r>
      <w:r>
        <w:rPr>
          <w:color w:val="000000" w:themeColor="text1"/>
          <w:kern w:val="0"/>
          <w:sz w:val="24"/>
        </w:rPr>
        <w:t>C.6</w:t>
      </w:r>
      <w:r>
        <w:rPr>
          <w:rFonts w:hint="eastAsia"/>
          <w:color w:val="000000" w:themeColor="text1"/>
          <w:kern w:val="0"/>
          <w:sz w:val="24"/>
        </w:rPr>
        <w:t>）</w:t>
      </w:r>
    </w:p>
    <w:p w14:paraId="2A1B3408">
      <w:pPr>
        <w:spacing w:line="360" w:lineRule="auto"/>
        <w:rPr>
          <w:bCs/>
          <w:kern w:val="0"/>
          <w:sz w:val="24"/>
        </w:rPr>
      </w:pPr>
      <w:r>
        <w:rPr>
          <w:bCs/>
          <w:kern w:val="0"/>
          <w:sz w:val="24"/>
        </w:rPr>
        <w:t>C.</w:t>
      </w:r>
      <w:r>
        <w:rPr>
          <w:rFonts w:hint="eastAsia"/>
          <w:bCs/>
          <w:kern w:val="0"/>
          <w:sz w:val="24"/>
        </w:rPr>
        <w:t>4</w:t>
      </w:r>
      <w:r>
        <w:rPr>
          <w:bCs/>
          <w:kern w:val="0"/>
          <w:sz w:val="24"/>
        </w:rPr>
        <w:t>.3  标准不确定度分量表</w:t>
      </w:r>
    </w:p>
    <w:p w14:paraId="70A7D65E">
      <w:pPr>
        <w:spacing w:line="360" w:lineRule="auto"/>
        <w:ind w:firstLine="480" w:firstLineChars="200"/>
        <w:jc w:val="left"/>
        <w:rPr>
          <w:rFonts w:eastAsia="黑体"/>
          <w:kern w:val="0"/>
          <w:szCs w:val="21"/>
        </w:rPr>
      </w:pPr>
      <w:r>
        <w:rPr>
          <w:kern w:val="0"/>
          <w:sz w:val="24"/>
        </w:rPr>
        <w:t>各标准不确定度分量见表C.1。</w:t>
      </w:r>
    </w:p>
    <w:p w14:paraId="71D7CE94">
      <w:pPr>
        <w:wordWrap w:val="0"/>
        <w:spacing w:before="50" w:after="50" w:line="360" w:lineRule="auto"/>
        <w:ind w:right="370"/>
        <w:jc w:val="center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表C.1标准不确定度分量表</w:t>
      </w:r>
    </w:p>
    <w:tbl>
      <w:tblPr>
        <w:tblStyle w:val="36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2057"/>
        <w:gridCol w:w="1673"/>
        <w:gridCol w:w="1673"/>
        <w:gridCol w:w="1526"/>
      </w:tblGrid>
      <w:tr w14:paraId="46ADC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6" w:type="dxa"/>
            <w:vAlign w:val="center"/>
          </w:tcPr>
          <w:p w14:paraId="7F1CFC79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不确定度分量</w:t>
            </w:r>
          </w:p>
        </w:tc>
        <w:tc>
          <w:tcPr>
            <w:tcW w:w="2057" w:type="dxa"/>
            <w:vAlign w:val="center"/>
          </w:tcPr>
          <w:p w14:paraId="160E9FC7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不确定度来源</w:t>
            </w:r>
          </w:p>
        </w:tc>
        <w:tc>
          <w:tcPr>
            <w:tcW w:w="1673" w:type="dxa"/>
            <w:vAlign w:val="center"/>
          </w:tcPr>
          <w:p w14:paraId="4A144579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评定方法</w:t>
            </w:r>
          </w:p>
        </w:tc>
        <w:tc>
          <w:tcPr>
            <w:tcW w:w="1673" w:type="dxa"/>
            <w:vAlign w:val="center"/>
          </w:tcPr>
          <w:p w14:paraId="06BA04EF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标准不确定度</w:t>
            </w:r>
          </w:p>
        </w:tc>
        <w:tc>
          <w:tcPr>
            <w:tcW w:w="1526" w:type="dxa"/>
          </w:tcPr>
          <w:p w14:paraId="295BED5D">
            <w:pPr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灵敏系数</w:t>
            </w:r>
          </w:p>
        </w:tc>
      </w:tr>
      <w:tr w14:paraId="4CAAA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6" w:type="dxa"/>
            <w:vAlign w:val="center"/>
          </w:tcPr>
          <w:p w14:paraId="13A5F64C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kern w:val="0"/>
                <w:position w:val="-14"/>
                <w:szCs w:val="21"/>
              </w:rPr>
              <w:object>
                <v:shape id="_x0000_i1037" o:spt="75" type="#_x0000_t75" style="height:16.5pt;width:26.5pt;" o:ole="t" filled="f" o:preferrelative="t" stroked="f" coordsize="21600,21600">
                  <v:path/>
                  <v:fill on="f" focussize="0,0"/>
                  <v:stroke on="f" joinstyle="miter"/>
                  <v:imagedata r:id="rId37" o:title=""/>
                  <o:lock v:ext="edit" aspectratio="t"/>
                  <w10:wrap type="none"/>
                  <w10:anchorlock/>
                </v:shape>
                <o:OLEObject Type="Embed" ProgID="Equations" ShapeID="_x0000_i1037" DrawAspect="Content" ObjectID="_1468075737" r:id="rId36">
                  <o:LockedField>false</o:LockedField>
                </o:OLEObject>
              </w:object>
            </w:r>
          </w:p>
        </w:tc>
        <w:tc>
          <w:tcPr>
            <w:tcW w:w="2057" w:type="dxa"/>
            <w:vAlign w:val="center"/>
          </w:tcPr>
          <w:p w14:paraId="60E67F80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重复性</w:t>
            </w:r>
          </w:p>
        </w:tc>
        <w:tc>
          <w:tcPr>
            <w:tcW w:w="1673" w:type="dxa"/>
            <w:vAlign w:val="center"/>
          </w:tcPr>
          <w:p w14:paraId="05B62CB1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A</w:t>
            </w:r>
          </w:p>
        </w:tc>
        <w:tc>
          <w:tcPr>
            <w:tcW w:w="1673" w:type="dxa"/>
            <w:vAlign w:val="center"/>
          </w:tcPr>
          <w:p w14:paraId="38DD37F3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color w:val="000000" w:themeColor="text1"/>
                        <w:kern w:val="0"/>
                        <w:sz w:val="24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kern w:val="0"/>
                            <w:sz w:val="24"/>
                            <w:szCs w:val="20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/>
                            <w:color w:val="000000" w:themeColor="text1"/>
                            <w:kern w:val="0"/>
                            <w:sz w:val="20"/>
                            <w:szCs w:val="20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kern w:val="0"/>
                            <w:sz w:val="24"/>
                            <w:szCs w:val="20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000000" w:themeColor="text1"/>
                            <w:kern w:val="0"/>
                            <w:sz w:val="20"/>
                            <w:szCs w:val="20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kern w:val="0"/>
                            <w:sz w:val="24"/>
                            <w:szCs w:val="20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color w:val="000000" w:themeColor="text1"/>
                        <w:kern w:val="0"/>
                        <w:sz w:val="24"/>
                        <w:szCs w:val="20"/>
                      </w:rPr>
                    </m:ctrlPr>
                  </m:num>
                  <m:den>
                    <m:r>
                      <m:rPr/>
                      <w:rPr>
                        <w:rFonts w:ascii="Cambria Math"/>
                        <w:color w:val="000000" w:themeColor="text1"/>
                        <w:kern w:val="0"/>
                        <w:sz w:val="20"/>
                        <w:szCs w:val="20"/>
                      </w:rPr>
                      <m:t>C</m:t>
                    </m:r>
                    <m:ctrlPr>
                      <w:rPr>
                        <w:rFonts w:ascii="Cambria Math" w:hAnsi="Cambria Math"/>
                        <w:color w:val="000000" w:themeColor="text1"/>
                        <w:kern w:val="0"/>
                        <w:sz w:val="24"/>
                        <w:szCs w:val="20"/>
                      </w:rPr>
                    </m:ctrlPr>
                  </m:den>
                </m:f>
              </m:oMath>
            </m:oMathPara>
          </w:p>
        </w:tc>
        <w:tc>
          <w:tcPr>
            <w:tcW w:w="1526" w:type="dxa"/>
          </w:tcPr>
          <w:p w14:paraId="19B84138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</w:tr>
      <w:tr w14:paraId="643E8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6" w:type="dxa"/>
            <w:vAlign w:val="center"/>
          </w:tcPr>
          <w:p w14:paraId="4B2CD65E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position w:val="-14"/>
                <w:szCs w:val="21"/>
              </w:rPr>
              <w:object>
                <v:shape id="_x0000_i1038" o:spt="75" type="#_x0000_t75" style="height:16.5pt;width:28.5pt;" o:ole="t" filled="f" o:preferrelative="t" stroked="f" coordsize="21600,21600">
                  <v:path/>
                  <v:fill on="f" focussize="0,0"/>
                  <v:stroke on="f" joinstyle="miter"/>
                  <v:imagedata r:id="rId39" o:title=""/>
                  <o:lock v:ext="edit" aspectratio="t"/>
                  <w10:wrap type="none"/>
                  <w10:anchorlock/>
                </v:shape>
                <o:OLEObject Type="Embed" ProgID="Equations" ShapeID="_x0000_i1038" DrawAspect="Content" ObjectID="_1468075738" r:id="rId38">
                  <o:LockedField>false</o:LockedField>
                </o:OLEObject>
              </w:object>
            </w:r>
          </w:p>
        </w:tc>
        <w:tc>
          <w:tcPr>
            <w:tcW w:w="2057" w:type="dxa"/>
            <w:vAlign w:val="center"/>
          </w:tcPr>
          <w:p w14:paraId="1228ACDE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分辨力</w:t>
            </w:r>
          </w:p>
        </w:tc>
        <w:tc>
          <w:tcPr>
            <w:tcW w:w="1673" w:type="dxa"/>
            <w:vAlign w:val="center"/>
          </w:tcPr>
          <w:p w14:paraId="3D7C7686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B</w:t>
            </w:r>
          </w:p>
        </w:tc>
        <w:tc>
          <w:tcPr>
            <w:tcW w:w="1673" w:type="dxa"/>
            <w:vAlign w:val="center"/>
          </w:tcPr>
          <w:p w14:paraId="6ADBBD28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kern w:val="0"/>
                        <w:sz w:val="20"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ascii="Cambria Math"/>
                        <w:color w:val="000000" w:themeColor="text1"/>
                        <w:kern w:val="0"/>
                        <w:sz w:val="20"/>
                        <w:szCs w:val="21"/>
                      </w:rPr>
                      <m:t>d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kern w:val="0"/>
                        <w:sz w:val="20"/>
                        <w:szCs w:val="21"/>
                      </w:rPr>
                    </m:ctrlPr>
                  </m:num>
                  <m:den>
                    <m:r>
                      <m:rPr/>
                      <w:rPr>
                        <w:rFonts w:ascii="Cambria Math"/>
                        <w:color w:val="000000" w:themeColor="text1"/>
                        <w:kern w:val="0"/>
                        <w:sz w:val="20"/>
                        <w:szCs w:val="21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kern w:val="0"/>
                            <w:sz w:val="20"/>
                            <w:szCs w:val="21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kern w:val="0"/>
                            <w:sz w:val="20"/>
                            <w:szCs w:val="21"/>
                          </w:rPr>
                        </m:ctrlPr>
                      </m:deg>
                      <m:e>
                        <m:r>
                          <m:rPr/>
                          <w:rPr>
                            <w:rFonts w:ascii="Cambria Math"/>
                            <w:color w:val="000000" w:themeColor="text1"/>
                            <w:kern w:val="0"/>
                            <w:sz w:val="20"/>
                            <w:szCs w:val="21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kern w:val="0"/>
                            <w:sz w:val="20"/>
                            <w:szCs w:val="21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  <w:i/>
                        <w:color w:val="000000" w:themeColor="text1"/>
                        <w:kern w:val="0"/>
                        <w:sz w:val="20"/>
                        <w:szCs w:val="21"/>
                      </w:rPr>
                    </m:ctrlPr>
                  </m:den>
                </m:f>
              </m:oMath>
            </m:oMathPara>
          </w:p>
        </w:tc>
        <w:tc>
          <w:tcPr>
            <w:tcW w:w="1526" w:type="dxa"/>
          </w:tcPr>
          <w:p w14:paraId="0AF49681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</w:tr>
      <w:tr w14:paraId="44C45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6" w:type="dxa"/>
            <w:vAlign w:val="center"/>
          </w:tcPr>
          <w:p w14:paraId="4DC5C880">
            <w:pPr>
              <w:spacing w:line="360" w:lineRule="auto"/>
              <w:jc w:val="center"/>
              <w:rPr>
                <w:position w:val="-14"/>
                <w:szCs w:val="21"/>
              </w:rPr>
            </w:pPr>
            <w:r>
              <w:rPr>
                <w:position w:val="-10"/>
                <w:szCs w:val="21"/>
              </w:rPr>
              <w:object>
                <v:shape id="_x0000_i1039" o:spt="75" type="#_x0000_t75" style="height:17pt;width:28.5pt;" o:ole="t" filled="f" o:preferrelative="t" stroked="f" coordsize="21600,21600">
                  <v:path/>
                  <v:fill on="f" focussize="0,0"/>
                  <v:stroke on="f" joinstyle="miter"/>
                  <v:imagedata r:id="rId41" o:title=""/>
                  <o:lock v:ext="edit" aspectratio="t"/>
                  <w10:wrap type="none"/>
                  <w10:anchorlock/>
                </v:shape>
                <o:OLEObject Type="Embed" ProgID="Equations" ShapeID="_x0000_i1039" DrawAspect="Content" ObjectID="_1468075739" r:id="rId40">
                  <o:LockedField>false</o:LockedField>
                </o:OLEObject>
              </w:object>
            </w:r>
          </w:p>
        </w:tc>
        <w:tc>
          <w:tcPr>
            <w:tcW w:w="2057" w:type="dxa"/>
            <w:vAlign w:val="center"/>
          </w:tcPr>
          <w:p w14:paraId="37A9BD87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color w:val="000000" w:themeColor="text1"/>
                <w:kern w:val="0"/>
                <w:sz w:val="20"/>
                <w:szCs w:val="20"/>
              </w:rPr>
              <w:t>叉车秤仰角/倾角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变化后</w:t>
            </w:r>
            <w:r>
              <w:rPr>
                <w:color w:val="000000" w:themeColor="text1"/>
                <w:kern w:val="0"/>
                <w:sz w:val="20"/>
                <w:szCs w:val="20"/>
              </w:rPr>
              <w:t>示值误差</w:t>
            </w:r>
          </w:p>
        </w:tc>
        <w:tc>
          <w:tcPr>
            <w:tcW w:w="1673" w:type="dxa"/>
            <w:vAlign w:val="center"/>
          </w:tcPr>
          <w:p w14:paraId="05D8B485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B</w:t>
            </w:r>
          </w:p>
        </w:tc>
        <w:tc>
          <w:tcPr>
            <w:tcW w:w="1673" w:type="dxa"/>
            <w:vAlign w:val="center"/>
          </w:tcPr>
          <w:p w14:paraId="659208F0">
            <w:pPr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m:oMathPara>
              <m:oMath>
                <m:r>
                  <m:rPr/>
                  <w:rPr>
                    <w:rFonts w:ascii="Cambria Math"/>
                    <w:color w:val="000000" w:themeColor="text1"/>
                    <w:sz w:val="24"/>
                  </w:rPr>
                  <m:t>I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</m:ctrlPr>
                  </m:sSubPr>
                  <m:e>
                    <m:r>
                      <m:rPr/>
                      <w:rPr>
                        <w:rFonts w:ascii="Cambria Math"/>
                        <w:color w:val="000000" w:themeColor="text1"/>
                        <w:sz w:val="24"/>
                      </w:rPr>
                      <m:t>D</m:t>
                    </m:r>
                    <m:ctrl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</m:ctrlPr>
                  </m:e>
                  <m:sub>
                    <m:r>
                      <m:rPr/>
                      <w:rPr>
                        <w:rFonts w:ascii="Cambria Math"/>
                        <w:color w:val="000000" w:themeColor="text1"/>
                        <w:sz w:val="24"/>
                      </w:rPr>
                      <m:t>L</m:t>
                    </m:r>
                    <m:ctrl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</m:ctrlPr>
                  </m:sub>
                </m:sSub>
                <m:r>
                  <m:rPr/>
                  <w:rPr>
                    <w:rFonts w:ascii="Cambria Math"/>
                    <w:color w:val="000000" w:themeColor="text1"/>
                    <w:sz w:val="24"/>
                  </w:rPr>
                  <m:t>/2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</w:rPr>
                    </m:ctrlPr>
                  </m:sSubPr>
                  <m:e>
                    <m:r>
                      <m:rPr/>
                      <w:rPr>
                        <w:rFonts w:ascii="Cambria Math"/>
                        <w:color w:val="000000" w:themeColor="text1"/>
                        <w:sz w:val="24"/>
                      </w:rPr>
                      <m:t>L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</w:rPr>
                    </m:ctrlPr>
                  </m:e>
                  <m:sub>
                    <m:r>
                      <m:rPr/>
                      <w:rPr>
                        <w:rFonts w:ascii="Cambria Math"/>
                        <w:color w:val="000000" w:themeColor="text1"/>
                        <w:sz w:val="24"/>
                      </w:rPr>
                      <m:t>el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</w:rPr>
                    </m:ctrlP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</w:rPr>
                    </m:ctrlPr>
                  </m:deg>
                  <m:e>
                    <m:r>
                      <m:rPr/>
                      <w:rPr>
                        <w:rFonts w:ascii="Cambria Math"/>
                        <w:color w:val="000000" w:themeColor="text1"/>
                        <w:sz w:val="24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</w:rPr>
                    </m:ctrlPr>
                  </m:e>
                </m:rad>
              </m:oMath>
            </m:oMathPara>
          </w:p>
        </w:tc>
        <w:tc>
          <w:tcPr>
            <w:tcW w:w="1526" w:type="dxa"/>
          </w:tcPr>
          <w:p w14:paraId="2E6DC8FD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</w:tr>
      <w:tr w14:paraId="1B974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6" w:type="dxa"/>
            <w:vAlign w:val="center"/>
          </w:tcPr>
          <w:p w14:paraId="3B641915">
            <w:pPr>
              <w:spacing w:line="360" w:lineRule="auto"/>
              <w:jc w:val="center"/>
              <w:rPr>
                <w:position w:val="-14"/>
                <w:szCs w:val="21"/>
              </w:rPr>
            </w:pPr>
            <w:r>
              <w:rPr>
                <w:position w:val="-10"/>
                <w:szCs w:val="21"/>
              </w:rPr>
              <w:object>
                <v:shape id="_x0000_i1040" o:spt="75" type="#_x0000_t75" style="height:17pt;width:29.5pt;" o:ole="t" filled="f" o:preferrelative="t" stroked="f" coordsize="21600,21600">
                  <v:path/>
                  <v:fill on="f" focussize="0,0"/>
                  <v:stroke on="f" joinstyle="miter"/>
                  <v:imagedata r:id="rId43" o:title=""/>
                  <o:lock v:ext="edit" aspectratio="t"/>
                  <w10:wrap type="none"/>
                  <w10:anchorlock/>
                </v:shape>
                <o:OLEObject Type="Embed" ProgID="Equations" ShapeID="_x0000_i1040" DrawAspect="Content" ObjectID="_1468075740" r:id="rId42">
                  <o:LockedField>false</o:LockedField>
                </o:OLEObject>
              </w:object>
            </w:r>
          </w:p>
        </w:tc>
        <w:tc>
          <w:tcPr>
            <w:tcW w:w="2057" w:type="dxa"/>
            <w:vAlign w:val="center"/>
          </w:tcPr>
          <w:p w14:paraId="0A230BEE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color w:val="000000" w:themeColor="text1"/>
                <w:kern w:val="0"/>
                <w:sz w:val="20"/>
                <w:szCs w:val="20"/>
              </w:rPr>
              <w:t>叉车秤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变换</w:t>
            </w:r>
            <w:r>
              <w:rPr>
                <w:color w:val="000000" w:themeColor="text1"/>
                <w:kern w:val="0"/>
                <w:sz w:val="20"/>
                <w:szCs w:val="20"/>
              </w:rPr>
              <w:t>行驶速度后的示值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误差</w:t>
            </w:r>
          </w:p>
        </w:tc>
        <w:tc>
          <w:tcPr>
            <w:tcW w:w="1673" w:type="dxa"/>
            <w:vAlign w:val="center"/>
          </w:tcPr>
          <w:p w14:paraId="7D8D6001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B</w:t>
            </w:r>
          </w:p>
        </w:tc>
        <w:tc>
          <w:tcPr>
            <w:tcW w:w="1673" w:type="dxa"/>
            <w:vAlign w:val="center"/>
          </w:tcPr>
          <w:p w14:paraId="33A90F8F">
            <w:pPr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position w:val="-30"/>
              </w:rPr>
              <w:object>
                <v:shape id="_x0000_i1041" o:spt="75" type="#_x0000_t75" style="height:38.5pt;width:26.5pt;" o:ole="t" filled="f" o:preferrelative="t" stroked="f" coordsize="21600,21600">
                  <v:path/>
                  <v:fill on="f" focussize="0,0"/>
                  <v:stroke on="f" joinstyle="miter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s" ShapeID="_x0000_i1041" DrawAspect="Content" ObjectID="_1468075741" r:id="rId44">
                  <o:LockedField>false</o:LockedField>
                </o:OLEObject>
              </w:object>
            </w:r>
          </w:p>
        </w:tc>
        <w:tc>
          <w:tcPr>
            <w:tcW w:w="1526" w:type="dxa"/>
          </w:tcPr>
          <w:p w14:paraId="77C6AAE6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</w:tr>
      <w:tr w14:paraId="27B3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6" w:type="dxa"/>
            <w:vAlign w:val="center"/>
          </w:tcPr>
          <w:p w14:paraId="152AA6CF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4"/>
              </w:rPr>
            </w:pPr>
            <w:r>
              <w:rPr>
                <w:position w:val="-14"/>
                <w:szCs w:val="21"/>
              </w:rPr>
              <w:object>
                <v:shape id="_x0000_i1042" o:spt="75" type="#_x0000_t75" style="height:16.5pt;width:24pt;" o:ole="t" filled="f" o:preferrelative="t" stroked="f" coordsize="21600,21600">
                  <v:path/>
                  <v:fill on="f" focussize="0,0"/>
                  <v:stroke on="f" joinstyle="miter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s" ShapeID="_x0000_i1042" DrawAspect="Content" ObjectID="_1468075742" r:id="rId46">
                  <o:LockedField>false</o:LockedField>
                </o:OLEObject>
              </w:object>
            </w:r>
          </w:p>
        </w:tc>
        <w:tc>
          <w:tcPr>
            <w:tcW w:w="2057" w:type="dxa"/>
            <w:vAlign w:val="center"/>
          </w:tcPr>
          <w:p w14:paraId="204E064D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标准砝码</w:t>
            </w:r>
          </w:p>
        </w:tc>
        <w:tc>
          <w:tcPr>
            <w:tcW w:w="1673" w:type="dxa"/>
            <w:vAlign w:val="center"/>
          </w:tcPr>
          <w:p w14:paraId="6C548D2A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B</w:t>
            </w:r>
          </w:p>
        </w:tc>
        <w:tc>
          <w:tcPr>
            <w:tcW w:w="1673" w:type="dxa"/>
            <w:vAlign w:val="center"/>
          </w:tcPr>
          <w:p w14:paraId="02B87242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  <w:kern w:val="0"/>
                    <w:sz w:val="20"/>
                    <w:szCs w:val="21"/>
                  </w:rPr>
                  <m:t>MPE/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000000" w:themeColor="text1"/>
                        <w:kern w:val="0"/>
                        <w:sz w:val="20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color w:val="000000" w:themeColor="text1"/>
                        <w:kern w:val="0"/>
                        <w:sz w:val="20"/>
                        <w:szCs w:val="21"/>
                      </w:rPr>
                    </m:ctrlPr>
                  </m:deg>
                  <m:e>
                    <m:r>
                      <m:rPr/>
                      <w:rPr>
                        <w:rFonts w:ascii="Cambria Math"/>
                        <w:color w:val="000000" w:themeColor="text1"/>
                        <w:kern w:val="0"/>
                        <w:sz w:val="20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/>
                        <w:color w:val="000000" w:themeColor="text1"/>
                        <w:kern w:val="0"/>
                        <w:sz w:val="20"/>
                        <w:szCs w:val="21"/>
                      </w:rPr>
                    </m:ctrlPr>
                  </m:e>
                </m:rad>
              </m:oMath>
            </m:oMathPara>
          </w:p>
        </w:tc>
        <w:tc>
          <w:tcPr>
            <w:tcW w:w="1526" w:type="dxa"/>
          </w:tcPr>
          <w:p w14:paraId="7903F3F6">
            <w:pPr>
              <w:spacing w:line="360" w:lineRule="auto"/>
              <w:jc w:val="center"/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 w:val="20"/>
                <w:szCs w:val="21"/>
              </w:rPr>
              <w:t>-1</w:t>
            </w:r>
          </w:p>
        </w:tc>
      </w:tr>
    </w:tbl>
    <w:p w14:paraId="1F15F7B6">
      <w:pPr>
        <w:spacing w:line="360" w:lineRule="auto"/>
        <w:rPr>
          <w:bCs/>
          <w:sz w:val="24"/>
        </w:rPr>
      </w:pPr>
      <w:r>
        <w:rPr>
          <w:bCs/>
          <w:sz w:val="24"/>
        </w:rPr>
        <w:t>C.</w:t>
      </w:r>
      <w:r>
        <w:rPr>
          <w:rFonts w:hint="eastAsia"/>
          <w:bCs/>
          <w:sz w:val="24"/>
        </w:rPr>
        <w:t>5</w:t>
      </w:r>
      <w:r>
        <w:rPr>
          <w:bCs/>
          <w:sz w:val="24"/>
        </w:rPr>
        <w:t xml:space="preserve">  合成标准不确定度</w:t>
      </w:r>
    </w:p>
    <w:p w14:paraId="28CCD68A">
      <w:pPr>
        <w:spacing w:line="360" w:lineRule="auto"/>
        <w:ind w:firstLine="480"/>
        <w:rPr>
          <w:sz w:val="24"/>
        </w:rPr>
      </w:pPr>
      <w:r>
        <w:rPr>
          <w:sz w:val="24"/>
        </w:rPr>
        <w:t>以上各不确定度分量不相关，</w:t>
      </w:r>
      <w:r>
        <w:rPr>
          <w:color w:val="000000"/>
          <w:sz w:val="24"/>
        </w:rPr>
        <w:t>合成标准不确定度为</w:t>
      </w:r>
      <w:r>
        <w:rPr>
          <w:sz w:val="24"/>
        </w:rPr>
        <w:t>：</w:t>
      </w:r>
    </w:p>
    <w:p w14:paraId="554F224E">
      <w:pPr>
        <w:spacing w:line="360" w:lineRule="auto"/>
        <w:ind w:firstLine="2520" w:firstLineChars="1200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u</m:t>
            </m:r>
            <m:ctrlPr>
              <w:rPr>
                <w:rFonts w:ascii="Cambria Math" w:hAnsi="Cambria Math"/>
                <w:i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c</m:t>
            </m:r>
            <m:ctrlPr>
              <w:rPr>
                <w:rFonts w:ascii="Cambria Math" w:hAnsi="Cambria Math"/>
                <w:i/>
                <w:color w:val="000000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m:rPr/>
              <w:rPr>
                <w:rFonts w:ascii="Cambria Math" w:hAnsi="Cambria Math"/>
                <w:color w:val="000000"/>
              </w:rPr>
              <m:t>E</m:t>
            </m:r>
            <m:ctrlPr>
              <w:rPr>
                <w:rFonts w:ascii="Cambria Math" w:hAnsi="Cambria Math"/>
                <w:i/>
                <w:color w:val="000000"/>
              </w:rPr>
            </m:ctrlPr>
          </m:e>
        </m:d>
        <m:r>
          <m:rPr/>
          <w:rPr>
            <w:rFonts w:ascii="Cambria Math" w:hAnsi="Cambria Math"/>
            <w:color w:val="000000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>
            <m:ctrlPr>
              <w:rPr>
                <w:rFonts w:ascii="Cambria Math" w:hAnsi="Cambria Math"/>
                <w:i/>
                <w:color w:val="000000"/>
              </w:rPr>
            </m:ctrlPr>
          </m:deg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color w:val="000000"/>
                  </w:rPr>
                  <m:t>u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/>
                  </w:rPr>
                  <m:t>1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m:rPr/>
                  <w:rPr>
                    <w:rFonts w:ascii="Cambria Math" w:hAnsi="Cambria Math"/>
                    <w:color w:val="000000"/>
                  </w:rPr>
                  <m:t>I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</m:d>
            <m:r>
              <m:rPr/>
              <w:rPr>
                <w:rFonts w:ascii="Cambria Math" w:hAnsi="Cambria Math"/>
                <w:color w:val="00000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color w:val="000000"/>
                  </w:rPr>
                  <m:t>u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m:rPr/>
                  <w:rPr>
                    <w:rFonts w:ascii="Cambria Math" w:hAnsi="Cambria Math"/>
                    <w:color w:val="000000"/>
                  </w:rPr>
                  <m:t>I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</m:d>
            <m:r>
              <m:rPr/>
              <w:rPr>
                <w:rFonts w:ascii="Cambria Math" w:hAnsi="Cambria Math"/>
                <w:color w:val="00000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color w:val="000000"/>
                  </w:rPr>
                  <m:t>u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/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m:rPr/>
                  <w:rPr>
                    <w:rFonts w:ascii="Cambria Math" w:hAnsi="Cambria Math"/>
                    <w:color w:val="000000"/>
                  </w:rPr>
                  <m:t>I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</m:d>
            <m:r>
              <m:rPr/>
              <w:rPr>
                <w:rFonts w:ascii="Cambria Math" w:hAnsi="Cambria Math"/>
                <w:color w:val="00000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color w:val="000000"/>
                  </w:rPr>
                  <m:t>u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/>
                  </w:rPr>
                  <m:t>4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m:rPr/>
                  <w:rPr>
                    <w:rFonts w:ascii="Cambria Math" w:hAnsi="Cambria Math"/>
                    <w:color w:val="000000"/>
                  </w:rPr>
                  <m:t>I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</m:d>
            <m:r>
              <m:rPr/>
              <w:rPr>
                <w:rFonts w:ascii="Cambria Math" w:hAnsi="Cambria Math"/>
                <w:color w:val="00000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color w:val="000000"/>
                  </w:rPr>
                  <m:t>u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  <m:sup>
                <m:r>
                  <m:rPr/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up>
            </m:sSup>
            <m:r>
              <m:rPr/>
              <w:rPr>
                <w:rFonts w:ascii="Cambria Math" w:hAnsi="Cambria Math"/>
                <w:color w:val="000000"/>
              </w:rPr>
              <m:t>(L)</m:t>
            </m:r>
            <m:ctrlPr>
              <w:rPr>
                <w:rFonts w:ascii="Cambria Math" w:hAnsi="Cambria Math"/>
                <w:i/>
                <w:color w:val="000000"/>
              </w:rPr>
            </m:ctrlPr>
          </m:e>
        </m:rad>
      </m:oMath>
      <w:r>
        <w:rPr>
          <w:rFonts w:hint="eastAsia"/>
          <w:color w:val="000000"/>
        </w:rPr>
        <w:t xml:space="preserve">            </w:t>
      </w:r>
      <w:r>
        <w:rPr>
          <w:color w:val="000000" w:themeColor="text1"/>
          <w:sz w:val="24"/>
        </w:rPr>
        <w:t xml:space="preserve"> </w:t>
      </w:r>
      <w:r>
        <w:rPr>
          <w:rFonts w:hint="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C.7</w:t>
      </w:r>
      <w:r>
        <w:rPr>
          <w:rFonts w:hint="eastAsia"/>
          <w:color w:val="000000" w:themeColor="text1"/>
          <w:sz w:val="24"/>
        </w:rPr>
        <w:t>）</w:t>
      </w:r>
    </w:p>
    <w:p w14:paraId="57E3F0B0">
      <w:pPr>
        <w:spacing w:line="360" w:lineRule="auto"/>
        <w:rPr>
          <w:bCs/>
          <w:sz w:val="24"/>
        </w:rPr>
      </w:pPr>
      <w:r>
        <w:rPr>
          <w:bCs/>
          <w:sz w:val="24"/>
        </w:rPr>
        <w:t>C.</w:t>
      </w:r>
      <w:r>
        <w:rPr>
          <w:rFonts w:hint="eastAsia"/>
          <w:bCs/>
          <w:sz w:val="24"/>
        </w:rPr>
        <w:t>6</w:t>
      </w:r>
      <w:r>
        <w:rPr>
          <w:bCs/>
          <w:sz w:val="24"/>
        </w:rPr>
        <w:t xml:space="preserve">  扩展不确定度</w:t>
      </w:r>
    </w:p>
    <w:p w14:paraId="5E956E6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取包含因子</w:t>
      </w:r>
      <w:r>
        <w:rPr>
          <w:i/>
          <w:iCs/>
          <w:sz w:val="24"/>
        </w:rPr>
        <w:t>k</w:t>
      </w:r>
      <w:r>
        <w:rPr>
          <w:sz w:val="24"/>
        </w:rPr>
        <w:t>=2，则扩展不确定度</w:t>
      </w:r>
      <w:r>
        <w:rPr>
          <w:i/>
          <w:iCs/>
          <w:sz w:val="24"/>
        </w:rPr>
        <w:t>U</w:t>
      </w:r>
      <w:r>
        <w:rPr>
          <w:sz w:val="24"/>
        </w:rPr>
        <w:t>为：</w:t>
      </w:r>
    </w:p>
    <w:p w14:paraId="25BA00F3">
      <w:pPr>
        <w:spacing w:line="360" w:lineRule="auto"/>
        <w:jc w:val="center"/>
        <w:rPr>
          <w:color w:val="000000" w:themeColor="text1"/>
          <w:sz w:val="24"/>
        </w:rPr>
      </w:pPr>
      <w:r>
        <w:rPr>
          <w:rFonts w:hint="eastAsia"/>
          <w:color w:val="FF0000"/>
          <w:sz w:val="24"/>
        </w:rPr>
        <w:t xml:space="preserve">                            </w:t>
      </w:r>
      <m:oMath>
        <m:r>
          <m:rPr/>
          <w:rPr>
            <w:rFonts w:ascii="Cambria Math" w:hAnsi="Cambria Math"/>
            <w:sz w:val="24"/>
          </w:rPr>
          <m:t>U=k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/>
          <w:color w:val="FF0000"/>
          <w:sz w:val="24"/>
        </w:rPr>
        <w:t xml:space="preserve">                               </w:t>
      </w:r>
      <w:r>
        <w:rPr>
          <w:rFonts w:hint="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C.8</w:t>
      </w:r>
      <w:r>
        <w:rPr>
          <w:rFonts w:hint="eastAsia"/>
          <w:color w:val="000000" w:themeColor="text1"/>
          <w:sz w:val="24"/>
        </w:rPr>
        <w:t>）</w:t>
      </w:r>
    </w:p>
    <w:p w14:paraId="6BC32A57">
      <w:pPr>
        <w:widowControl/>
        <w:jc w:val="left"/>
        <w:rPr>
          <w:rFonts w:eastAsia="黑体"/>
          <w:b/>
          <w:bCs/>
          <w:sz w:val="28"/>
          <w:szCs w:val="28"/>
        </w:rPr>
      </w:pPr>
      <w:bookmarkStart w:id="85" w:name="_Toc156289314"/>
      <w:r>
        <w:rPr>
          <w:rFonts w:eastAsia="黑体"/>
          <w:sz w:val="28"/>
          <w:szCs w:val="28"/>
        </w:rPr>
        <w:br w:type="page"/>
      </w:r>
    </w:p>
    <w:p w14:paraId="393C310F">
      <w:pPr>
        <w:pStyle w:val="33"/>
        <w:jc w:val="left"/>
        <w:rPr>
          <w:rFonts w:ascii="Times New Roman" w:hAnsi="Times New Roman" w:eastAsia="黑体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黑体" w:cs="Times New Roman"/>
          <w:b w:val="0"/>
          <w:bCs w:val="0"/>
          <w:sz w:val="28"/>
          <w:szCs w:val="28"/>
        </w:rPr>
        <w:t>附录D</w:t>
      </w:r>
      <w:bookmarkEnd w:id="85"/>
    </w:p>
    <w:p w14:paraId="5532E430">
      <w:pPr>
        <w:jc w:val="center"/>
        <w:rPr>
          <w:rFonts w:eastAsia="黑体"/>
          <w:color w:val="000000" w:themeColor="text1"/>
          <w:sz w:val="28"/>
          <w:szCs w:val="28"/>
        </w:rPr>
      </w:pPr>
      <w:r>
        <w:rPr>
          <w:rFonts w:eastAsia="黑体"/>
          <w:color w:val="000000" w:themeColor="text1"/>
          <w:sz w:val="28"/>
          <w:szCs w:val="28"/>
        </w:rPr>
        <w:t>机动式叉车秤测量不确定度</w:t>
      </w:r>
      <w:bookmarkStart w:id="86" w:name="_Hlk227229603"/>
      <w:r>
        <w:rPr>
          <w:rFonts w:eastAsia="黑体"/>
          <w:color w:val="000000" w:themeColor="text1"/>
          <w:sz w:val="28"/>
          <w:szCs w:val="28"/>
        </w:rPr>
        <w:t>评定示例</w:t>
      </w:r>
      <w:bookmarkEnd w:id="86"/>
    </w:p>
    <w:p w14:paraId="1C68FA2E">
      <w:pPr>
        <w:spacing w:line="360" w:lineRule="auto"/>
        <w:rPr>
          <w:color w:val="000000" w:themeColor="text1"/>
          <w:sz w:val="24"/>
          <w:szCs w:val="20"/>
        </w:rPr>
      </w:pPr>
      <w:bookmarkStart w:id="87" w:name="_Hlk227229627"/>
      <w:r>
        <w:rPr>
          <w:color w:val="000000" w:themeColor="text1"/>
          <w:sz w:val="24"/>
          <w:szCs w:val="20"/>
        </w:rPr>
        <w:t>D.1  校准对象</w:t>
      </w:r>
    </w:p>
    <w:p w14:paraId="02526A0A">
      <w:pPr>
        <w:spacing w:line="360" w:lineRule="auto"/>
        <w:ind w:firstLine="480" w:firstLineChars="200"/>
        <w:rPr>
          <w:color w:val="000000" w:themeColor="text1"/>
          <w:sz w:val="24"/>
          <w:szCs w:val="20"/>
        </w:rPr>
      </w:pPr>
      <w:r>
        <w:rPr>
          <w:color w:val="000000" w:themeColor="text1"/>
          <w:sz w:val="24"/>
          <w:szCs w:val="20"/>
        </w:rPr>
        <w:t>以最大量程1000 kg，分度值</w:t>
      </w:r>
      <w:r>
        <w:rPr>
          <w:i/>
          <w:iCs/>
          <w:color w:val="000000" w:themeColor="text1"/>
          <w:sz w:val="24"/>
          <w:szCs w:val="20"/>
        </w:rPr>
        <w:t>d</w:t>
      </w:r>
      <w:r>
        <w:rPr>
          <w:color w:val="000000" w:themeColor="text1"/>
          <w:sz w:val="24"/>
          <w:szCs w:val="20"/>
        </w:rPr>
        <w:t>为1 kg，分度数</w:t>
      </w:r>
      <w:r>
        <w:rPr>
          <w:i/>
          <w:iCs/>
          <w:color w:val="000000" w:themeColor="text1"/>
          <w:sz w:val="24"/>
          <w:szCs w:val="20"/>
        </w:rPr>
        <w:t>n</w:t>
      </w:r>
      <w:r>
        <w:rPr>
          <w:color w:val="000000" w:themeColor="text1"/>
          <w:sz w:val="24"/>
          <w:szCs w:val="20"/>
        </w:rPr>
        <w:t>为1000的叉车秤为校准对象，进行测量不确定度评定。</w:t>
      </w:r>
    </w:p>
    <w:p w14:paraId="2EBAC55F">
      <w:pPr>
        <w:spacing w:line="360" w:lineRule="auto"/>
        <w:rPr>
          <w:color w:val="000000" w:themeColor="text1"/>
          <w:sz w:val="24"/>
          <w:szCs w:val="20"/>
        </w:rPr>
      </w:pPr>
      <w:r>
        <w:rPr>
          <w:color w:val="000000" w:themeColor="text1"/>
          <w:sz w:val="24"/>
          <w:szCs w:val="20"/>
        </w:rPr>
        <w:t>D.2  称量点选取</w:t>
      </w:r>
    </w:p>
    <w:p w14:paraId="4E3288C8">
      <w:pPr>
        <w:spacing w:line="360" w:lineRule="auto"/>
        <w:ind w:firstLine="480"/>
        <w:rPr>
          <w:color w:val="000000" w:themeColor="text1"/>
          <w:sz w:val="24"/>
          <w:szCs w:val="20"/>
        </w:rPr>
      </w:pPr>
      <w:r>
        <w:rPr>
          <w:color w:val="000000" w:themeColor="text1"/>
          <w:sz w:val="24"/>
          <w:szCs w:val="20"/>
        </w:rPr>
        <w:t>选取试验载荷为1000 kg称量点进行评定。</w:t>
      </w:r>
    </w:p>
    <w:p w14:paraId="03B64524">
      <w:pPr>
        <w:pStyle w:val="32"/>
        <w:spacing w:before="0" w:beforeAutospacing="0" w:after="0" w:afterAutospacing="0" w:line="360" w:lineRule="auto"/>
        <w:rPr>
          <w:color w:val="000000" w:themeColor="text1"/>
        </w:rPr>
      </w:pPr>
      <w:r>
        <w:rPr>
          <w:color w:val="000000" w:themeColor="text1"/>
        </w:rPr>
        <w:t xml:space="preserve">D.2.1  </w:t>
      </w:r>
      <w:r>
        <w:rPr>
          <w:bCs/>
        </w:rPr>
        <w:t>叉车秤测量</w:t>
      </w:r>
      <w:r>
        <w:rPr>
          <w:kern w:val="2"/>
          <w:sz w:val="21"/>
          <w:szCs w:val="21"/>
        </w:rPr>
        <w:t>示值误差</w:t>
      </w:r>
      <w:r>
        <w:rPr>
          <w:color w:val="000000" w:themeColor="text1"/>
        </w:rPr>
        <w:t>引入的不确定度分量</w:t>
      </w:r>
      <w:r>
        <w:rPr>
          <w:i/>
          <w:color w:val="000000" w:themeColor="text1"/>
        </w:rPr>
        <w:t>u</w:t>
      </w:r>
      <w:r>
        <w:rPr>
          <w:color w:val="000000" w:themeColor="text1"/>
          <w:vertAlign w:val="subscript"/>
        </w:rPr>
        <w:t>1</w:t>
      </w:r>
      <w:r>
        <w:rPr>
          <w:color w:val="000000" w:themeColor="text1"/>
        </w:rPr>
        <w:t>(</w:t>
      </w:r>
      <w:r>
        <w:rPr>
          <w:i/>
          <w:color w:val="000000" w:themeColor="text1"/>
        </w:rPr>
        <w:t>I</w:t>
      </w:r>
      <w:r>
        <w:rPr>
          <w:color w:val="000000" w:themeColor="text1"/>
        </w:rPr>
        <w:t>)</w:t>
      </w:r>
    </w:p>
    <w:p w14:paraId="0287197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用1000 kg砝码对叉车秤测量3次得到实测值：1000.3 kg、1000.5 kg、1000.5 kg，引入的标准不确定度为：</w:t>
      </w:r>
    </w:p>
    <w:p w14:paraId="13E7FA11">
      <w:pPr>
        <w:spacing w:line="360" w:lineRule="auto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                        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/>
              <w:rPr>
                <w:rFonts w:ascii="Cambria Math"/>
                <w:color w:val="000000" w:themeColor="text1"/>
              </w:rPr>
              <m:t>u</m:t>
            </m:r>
            <m:ctrlPr>
              <w:rPr>
                <w:rFonts w:ascii="Cambria Math" w:hAnsi="Cambria Math"/>
                <w:color w:val="000000" w:themeColor="text1"/>
              </w:rPr>
            </m:ctrlPr>
          </m:e>
          <m:sub>
            <m:r>
              <m:rPr>
                <m:sty m:val="p"/>
              </m:rPr>
              <w:rPr>
                <w:rFonts w:ascii="Cambria Math"/>
                <w:color w:val="000000" w:themeColor="text1"/>
              </w:rPr>
              <m:t>1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/>
              <w:rPr>
                <w:rFonts w:ascii="Cambria Math"/>
                <w:color w:val="000000" w:themeColor="text1"/>
              </w:rPr>
              <m:t>I</m:t>
            </m:r>
            <m:ctrlPr>
              <w:rPr>
                <w:rFonts w:ascii="Cambria Math" w:hAnsi="Cambria Math"/>
                <w:color w:val="000000" w:themeColor="text1"/>
              </w:rPr>
            </m:ctrlPr>
          </m:e>
        </m:d>
        <m:r>
          <m:rPr/>
          <w:rPr>
            <w:rFonts w:asci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m:rPr/>
                  <w:rPr>
                    <w:rFonts w:ascii="Cambria Math"/>
                    <w:color w:val="000000" w:themeColor="text1"/>
                  </w:rPr>
                  <m:t>E</m:t>
                </m: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</w:rPr>
                  <m:t>R</m:t>
                </m: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ub>
            </m:sSub>
            <m:ctrlPr>
              <w:rPr>
                <w:rFonts w:ascii="Cambria Math" w:hAnsi="Cambria Math"/>
                <w:color w:val="000000" w:themeColor="text1"/>
              </w:rPr>
            </m:ctrlPr>
          </m:num>
          <m:den>
            <m:r>
              <m:rPr/>
              <w:rPr>
                <w:rFonts w:ascii="Cambria Math"/>
                <w:color w:val="000000" w:themeColor="text1"/>
              </w:rPr>
              <m:t>C</m:t>
            </m:r>
            <m:ctrlPr>
              <w:rPr>
                <w:rFonts w:ascii="Cambria Math" w:hAnsi="Cambria Math"/>
                <w:color w:val="000000" w:themeColor="text1"/>
              </w:rPr>
            </m:ctrlPr>
          </m:den>
        </m:f>
        <m:r>
          <m:rPr/>
          <w:rPr>
            <w:rFonts w:asci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m:rPr/>
              <w:rPr>
                <w:rFonts w:ascii="Cambria Math"/>
                <w:color w:val="000000" w:themeColor="text1"/>
              </w:rPr>
              <m:t>0.2</m:t>
            </m:r>
            <m:ctrlPr>
              <w:rPr>
                <w:rFonts w:ascii="Cambria Math" w:hAnsi="Cambria Math"/>
                <w:i/>
                <w:color w:val="000000" w:themeColor="text1"/>
              </w:rPr>
            </m:ctrlPr>
          </m:num>
          <m:den>
            <m:r>
              <m:rPr/>
              <w:rPr>
                <w:rFonts w:ascii="Cambria Math"/>
                <w:color w:val="000000" w:themeColor="text1"/>
              </w:rPr>
              <m:t>1.69</m:t>
            </m:r>
            <m:ctrlPr>
              <w:rPr>
                <w:rFonts w:ascii="Cambria Math" w:hAnsi="Cambria Math"/>
                <w:i/>
                <w:color w:val="000000" w:themeColor="text1"/>
              </w:rPr>
            </m:ctrlPr>
          </m:den>
        </m:f>
        <m:r>
          <m:rPr>
            <m:sty m:val="p"/>
          </m:rPr>
          <w:rPr>
            <w:rFonts w:ascii="Cambria Math"/>
            <w:color w:val="000000" w:themeColor="text1"/>
          </w:rPr>
          <m:t>≈0.118 kg</m:t>
        </m:r>
      </m:oMath>
      <w:r>
        <w:rPr>
          <w:rFonts w:hint="eastAsia"/>
          <w:color w:val="000000" w:themeColor="text1"/>
        </w:rPr>
        <w:t xml:space="preserve">                           </w:t>
      </w:r>
      <w:r>
        <w:rPr>
          <w:color w:val="000000" w:themeColor="text1"/>
          <w:sz w:val="24"/>
        </w:rPr>
        <w:t>（D.1）</w:t>
      </w:r>
    </w:p>
    <w:p w14:paraId="457114E0">
      <w:pPr>
        <w:spacing w:line="360" w:lineRule="auto"/>
        <w:rPr>
          <w:color w:val="000000" w:themeColor="text1"/>
          <w:sz w:val="24"/>
        </w:rPr>
      </w:pPr>
      <w:r>
        <w:rPr>
          <w:color w:val="000000" w:themeColor="text1"/>
          <w:kern w:val="0"/>
          <w:sz w:val="24"/>
          <w:szCs w:val="20"/>
        </w:rPr>
        <w:t xml:space="preserve">D.2.2 </w:t>
      </w:r>
      <w:r>
        <w:rPr>
          <w:color w:val="000000" w:themeColor="text1"/>
          <w:sz w:val="24"/>
        </w:rPr>
        <w:t>叉车秤分辨力引入的不确定度分量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</w:rPr>
              <m:t>u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sub>
            <m:r>
              <m:rPr/>
              <w:rPr>
                <w:rFonts w:ascii="Cambria Math"/>
                <w:color w:val="000000" w:themeColor="text1"/>
                <w:sz w:val="24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ub>
        </m:sSub>
        <m:r>
          <m:rPr>
            <m:sty m:val="p"/>
          </m:rPr>
          <w:rPr>
            <w:rFonts w:ascii="Cambria Math"/>
            <w:color w:val="000000" w:themeColor="text1"/>
            <w:sz w:val="24"/>
          </w:rPr>
          <m:t>(</m:t>
        </m:r>
        <m:r>
          <m:rPr/>
          <w:rPr>
            <w:rFonts w:ascii="Cambria Math"/>
            <w:color w:val="000000" w:themeColor="text1"/>
            <w:sz w:val="24"/>
          </w:rPr>
          <m:t>I</m:t>
        </m:r>
        <m:r>
          <m:rPr>
            <m:sty m:val="p"/>
          </m:rPr>
          <w:rPr>
            <w:rFonts w:ascii="Cambria Math"/>
            <w:color w:val="000000" w:themeColor="text1"/>
            <w:sz w:val="24"/>
          </w:rPr>
          <m:t>)</m:t>
        </m:r>
      </m:oMath>
    </w:p>
    <w:p w14:paraId="1E3AB6C9">
      <w:pPr>
        <w:tabs>
          <w:tab w:val="left" w:pos="720"/>
        </w:tabs>
        <w:spacing w:line="360" w:lineRule="auto"/>
        <w:ind w:firstLine="480" w:firstLineChars="200"/>
        <w:rPr>
          <w:bCs/>
          <w:sz w:val="24"/>
        </w:rPr>
      </w:pPr>
      <w:r>
        <w:rPr>
          <w:bCs/>
          <w:sz w:val="24"/>
        </w:rPr>
        <w:t>对于实际分度值</w:t>
      </w:r>
      <w:r>
        <w:rPr>
          <w:bCs/>
          <w:i/>
          <w:iCs/>
          <w:sz w:val="24"/>
        </w:rPr>
        <w:t>d</w:t>
      </w:r>
      <w:r>
        <w:rPr>
          <w:bCs/>
          <w:sz w:val="24"/>
        </w:rPr>
        <w:t>=1 kg的秤，半宽为0.5 kg，</w:t>
      </w:r>
      <w:r>
        <w:rPr>
          <w:sz w:val="24"/>
        </w:rPr>
        <w:t>服从均匀分布，包含因子</w:t>
      </w:r>
      <w:r>
        <w:rPr>
          <w:position w:val="-8"/>
          <w:sz w:val="24"/>
        </w:rPr>
        <w:object>
          <v:shape id="_x0000_i1043" o:spt="75" type="#_x0000_t75" style="height:19pt;width:3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s" ShapeID="_x0000_i1043" DrawAspect="Content" ObjectID="_1468075743" r:id="rId48">
            <o:LockedField>false</o:LockedField>
          </o:OLEObject>
        </w:object>
      </w:r>
      <w:r>
        <w:rPr>
          <w:sz w:val="24"/>
        </w:rPr>
        <w:t>；由于叉车秤的示值误差校准过程是通过逐个添加0.1</w:t>
      </w:r>
      <w:r>
        <w:rPr>
          <w:i/>
          <w:iCs/>
          <w:sz w:val="24"/>
        </w:rPr>
        <w:t>d</w:t>
      </w:r>
      <w:r>
        <w:rPr>
          <w:sz w:val="24"/>
        </w:rPr>
        <w:t>的小砝码，采用找闪变点的方法确定，因此:</w:t>
      </w:r>
    </w:p>
    <w:p w14:paraId="4D82F597">
      <w:pPr>
        <w:spacing w:line="360" w:lineRule="auto"/>
        <w:jc w:val="right"/>
        <w:rPr>
          <w:color w:val="000000" w:themeColor="text1"/>
          <w:sz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</w:rPr>
              <m:t>u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sub>
            <m:r>
              <m:rPr/>
              <w:rPr>
                <w:rFonts w:ascii="Cambria Math"/>
                <w:color w:val="000000" w:themeColor="text1"/>
                <w:sz w:val="24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Pr>
          <m:e>
            <m:r>
              <m:rPr/>
              <w:rPr>
                <w:rFonts w:ascii="Cambria Math"/>
                <w:color w:val="000000" w:themeColor="text1"/>
                <w:sz w:val="24"/>
              </w:rPr>
              <m:t>I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</m:d>
        <m:r>
          <m:rPr/>
          <w:rPr>
            <w:rFonts w:ascii="Cambria Math"/>
            <w:color w:val="000000" w:themeColor="text1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fPr>
          <m:num>
            <m:r>
              <m:rPr/>
              <w:rPr>
                <w:rFonts w:ascii="Cambria Math"/>
                <w:color w:val="000000" w:themeColor="text1"/>
                <w:sz w:val="24"/>
              </w:rPr>
              <m:t>0.1d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num>
          <m:den>
            <m:r>
              <m:rPr/>
              <w:rPr>
                <w:rFonts w:ascii="Cambria Math"/>
                <w:color w:val="000000" w:themeColor="text1"/>
                <w:sz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deg>
              <m:e>
                <m:r>
                  <m:rPr/>
                  <w:rPr>
                    <w:rFonts w:ascii="Cambria Math"/>
                    <w:color w:val="000000" w:themeColor="text1"/>
                    <w:sz w:val="24"/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e>
            </m:rad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den>
        </m:f>
        <m:r>
          <m:rPr/>
          <w:rPr>
            <w:rFonts w:ascii="Cambria Math"/>
            <w:color w:val="000000" w:themeColor="text1"/>
            <w:sz w:val="24"/>
          </w:rPr>
          <m:t xml:space="preserve">=0.029d=0.029 </m:t>
        </m:r>
        <m:r>
          <m:rPr>
            <m:sty m:val="p"/>
          </m:rPr>
          <w:rPr>
            <w:rFonts w:ascii="Cambria Math"/>
            <w:color w:val="000000" w:themeColor="text1"/>
            <w:sz w:val="24"/>
          </w:rPr>
          <m:t>kg</m:t>
        </m:r>
      </m:oMath>
      <w:r>
        <w:rPr>
          <w:color w:val="000000" w:themeColor="text1"/>
          <w:sz w:val="24"/>
        </w:rPr>
        <w:t xml:space="preserve">          </w:t>
      </w:r>
      <w:r>
        <w:rPr>
          <w:rFonts w:hint="eastAsia"/>
          <w:color w:val="000000" w:themeColor="text1"/>
          <w:sz w:val="24"/>
        </w:rPr>
        <w:t xml:space="preserve">  </w:t>
      </w:r>
      <w:r>
        <w:rPr>
          <w:color w:val="000000" w:themeColor="text1"/>
          <w:sz w:val="24"/>
        </w:rPr>
        <w:t xml:space="preserve">     （D.2）</w:t>
      </w:r>
    </w:p>
    <w:p w14:paraId="34148104">
      <w:pPr>
        <w:spacing w:line="360" w:lineRule="auto"/>
        <w:rPr>
          <w:b/>
          <w:bCs/>
          <w:kern w:val="0"/>
          <w:sz w:val="24"/>
        </w:rPr>
      </w:pPr>
      <w:r>
        <w:rPr>
          <w:bCs/>
          <w:color w:val="000000" w:themeColor="text1"/>
          <w:sz w:val="24"/>
        </w:rPr>
        <w:t>D.2.3</w:t>
      </w:r>
      <w:r>
        <w:rPr>
          <w:sz w:val="24"/>
        </w:rPr>
        <w:t>叉车秤仰角/倾角</w:t>
      </w:r>
      <w:r>
        <w:rPr>
          <w:rFonts w:hint="eastAsia"/>
          <w:sz w:val="24"/>
        </w:rPr>
        <w:t>变化后</w:t>
      </w:r>
      <w:r>
        <w:rPr>
          <w:sz w:val="24"/>
        </w:rPr>
        <w:t>示值误差引入的标准不确定度分量</w:t>
      </w:r>
      <w:r>
        <w:rPr>
          <w:i/>
          <w:iCs/>
          <w:kern w:val="0"/>
          <w:sz w:val="24"/>
        </w:rPr>
        <w:t>u</w:t>
      </w:r>
      <w:r>
        <w:rPr>
          <w:kern w:val="0"/>
          <w:sz w:val="24"/>
          <w:vertAlign w:val="subscript"/>
        </w:rPr>
        <w:t>3</w:t>
      </w:r>
      <w:r>
        <w:rPr>
          <w:kern w:val="0"/>
          <w:sz w:val="24"/>
        </w:rPr>
        <w:t>(</w:t>
      </w:r>
      <w:r>
        <w:rPr>
          <w:i/>
          <w:iCs/>
          <w:kern w:val="0"/>
          <w:sz w:val="24"/>
        </w:rPr>
        <w:t>I</w:t>
      </w:r>
      <w:r>
        <w:rPr>
          <w:kern w:val="0"/>
          <w:sz w:val="24"/>
        </w:rPr>
        <w:t>)</w:t>
      </w:r>
    </w:p>
    <w:p w14:paraId="11A64428">
      <w:pPr>
        <w:spacing w:line="360" w:lineRule="auto"/>
        <w:ind w:firstLine="480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该不确定度分量符合均匀分布，按照规范7.2.4方法用试验载荷</w:t>
      </w:r>
      <w:r>
        <w:rPr>
          <w:i/>
          <w:color w:val="000000" w:themeColor="text1"/>
          <w:sz w:val="24"/>
        </w:rPr>
        <w:t>L</w:t>
      </w:r>
      <w:r>
        <w:rPr>
          <w:color w:val="000000" w:themeColor="text1"/>
          <w:sz w:val="24"/>
          <w:vertAlign w:val="subscript"/>
        </w:rPr>
        <w:t>el</w:t>
      </w:r>
      <w:r>
        <w:rPr>
          <w:color w:val="000000" w:themeColor="text1"/>
          <w:sz w:val="24"/>
        </w:rPr>
        <w:t>=1000 kg确定载荷在不同仰角/倾角最大值与最小值之差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</w:rPr>
              <m:t>D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sub>
            <m:r>
              <m:rPr/>
              <w:rPr>
                <w:rFonts w:ascii="Cambria Math"/>
                <w:color w:val="000000" w:themeColor="text1"/>
                <w:sz w:val="24"/>
              </w:rPr>
              <m:t>L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ub>
        </m:sSub>
      </m:oMath>
      <w:r>
        <w:rPr>
          <w:color w:val="000000" w:themeColor="text1"/>
          <w:sz w:val="24"/>
        </w:rPr>
        <w:t>=1.3kg，由公式（C.4）确定：</w:t>
      </w:r>
    </w:p>
    <w:p w14:paraId="329173DF">
      <w:pPr>
        <w:spacing w:line="360" w:lineRule="auto"/>
        <w:jc w:val="center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 xml:space="preserve">                   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SubPr>
          <m:e>
            <m:r>
              <m:rPr/>
              <w:rPr>
                <w:rFonts w:ascii="Cambria Math"/>
                <w:color w:val="000000" w:themeColor="text1"/>
                <w:sz w:val="24"/>
              </w:rPr>
              <m:t>u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sub>
            <m:r>
              <m:rPr/>
              <w:rPr>
                <w:rFonts w:ascii="Cambria Math"/>
                <w:color w:val="000000" w:themeColor="text1"/>
                <w:sz w:val="24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Pr>
          <m:e>
            <m:r>
              <m:rPr/>
              <w:rPr>
                <w:rFonts w:ascii="Cambria Math"/>
                <w:color w:val="000000" w:themeColor="text1"/>
                <w:sz w:val="24"/>
              </w:rPr>
              <m:t>I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</m:d>
        <m:r>
          <m:rPr/>
          <w:rPr>
            <w:rFonts w:ascii="Cambria Math"/>
            <w:color w:val="000000" w:themeColor="text1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fPr>
          <m:num>
            <m:r>
              <m:rPr/>
              <w:rPr>
                <w:rFonts w:ascii="Cambria Math"/>
                <w:color w:val="000000" w:themeColor="text1"/>
                <w:sz w:val="24"/>
              </w:rPr>
              <m:t>1001.0×1.3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num>
          <m:den>
            <m:r>
              <m:rPr/>
              <w:rPr>
                <w:rFonts w:ascii="Cambria Math"/>
                <w:color w:val="000000" w:themeColor="text1"/>
                <w:sz w:val="24"/>
              </w:rPr>
              <m:t>2×1000×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deg>
              <m:e>
                <m:r>
                  <m:rPr/>
                  <w:rPr>
                    <w:rFonts w:ascii="Cambria Math"/>
                    <w:color w:val="000000" w:themeColor="text1"/>
                    <w:sz w:val="24"/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e>
            </m:rad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den>
        </m:f>
        <m:r>
          <m:rPr/>
          <w:rPr>
            <w:rFonts w:ascii="Cambria Math"/>
            <w:color w:val="000000" w:themeColor="text1"/>
            <w:sz w:val="24"/>
          </w:rPr>
          <m:t>≈0.375</m:t>
        </m:r>
        <m:r>
          <m:rPr>
            <m:sty m:val="p"/>
          </m:rPr>
          <w:rPr>
            <w:rFonts w:ascii="Cambria Math"/>
            <w:color w:val="000000" w:themeColor="text1"/>
            <w:sz w:val="24"/>
          </w:rPr>
          <m:t>kg</m:t>
        </m:r>
      </m:oMath>
      <w:r>
        <w:rPr>
          <w:color w:val="000000" w:themeColor="text1"/>
          <w:sz w:val="24"/>
        </w:rPr>
        <w:t xml:space="preserve"> </w:t>
      </w:r>
      <w:r>
        <w:rPr>
          <w:rFonts w:hint="eastAsia"/>
          <w:color w:val="000000" w:themeColor="text1"/>
          <w:sz w:val="24"/>
        </w:rPr>
        <w:t xml:space="preserve">                   </w:t>
      </w:r>
      <w:r>
        <w:rPr>
          <w:color w:val="000000" w:themeColor="text1"/>
          <w:sz w:val="24"/>
        </w:rPr>
        <w:t xml:space="preserve"> </w:t>
      </w:r>
      <w:r>
        <w:rPr>
          <w:rFonts w:hint="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D.3</w:t>
      </w:r>
      <w:r>
        <w:rPr>
          <w:rFonts w:hint="eastAsia"/>
          <w:color w:val="000000" w:themeColor="text1"/>
          <w:sz w:val="24"/>
        </w:rPr>
        <w:t>）</w:t>
      </w:r>
    </w:p>
    <w:p w14:paraId="1116F47A">
      <w:pPr>
        <w:spacing w:line="360" w:lineRule="auto"/>
        <w:rPr>
          <w:b/>
          <w:bCs/>
          <w:kern w:val="0"/>
          <w:sz w:val="24"/>
        </w:rPr>
      </w:pPr>
      <w:r>
        <w:rPr>
          <w:bCs/>
          <w:color w:val="000000" w:themeColor="text1"/>
          <w:sz w:val="24"/>
        </w:rPr>
        <w:t>D.2.4</w:t>
      </w:r>
      <w:r>
        <w:rPr>
          <w:sz w:val="24"/>
        </w:rPr>
        <w:t>叉车秤</w:t>
      </w:r>
      <w:r>
        <w:rPr>
          <w:rFonts w:hint="eastAsia"/>
          <w:sz w:val="24"/>
        </w:rPr>
        <w:t>变化</w:t>
      </w:r>
      <w:r>
        <w:rPr>
          <w:sz w:val="24"/>
        </w:rPr>
        <w:t>行驶速度后的示值</w:t>
      </w:r>
      <w:r>
        <w:rPr>
          <w:rFonts w:hint="eastAsia"/>
          <w:sz w:val="24"/>
        </w:rPr>
        <w:t>误差</w:t>
      </w:r>
      <w:r>
        <w:rPr>
          <w:sz w:val="24"/>
        </w:rPr>
        <w:t>引入的标准不确定度分量</w:t>
      </w:r>
      <w:r>
        <w:rPr>
          <w:i/>
          <w:iCs/>
          <w:kern w:val="0"/>
          <w:sz w:val="24"/>
        </w:rPr>
        <w:t>u</w:t>
      </w:r>
      <w:r>
        <w:rPr>
          <w:kern w:val="0"/>
          <w:sz w:val="24"/>
          <w:vertAlign w:val="subscript"/>
        </w:rPr>
        <w:t>4</w:t>
      </w:r>
      <w:r>
        <w:rPr>
          <w:kern w:val="0"/>
          <w:sz w:val="24"/>
        </w:rPr>
        <w:t>(</w:t>
      </w:r>
      <w:r>
        <w:rPr>
          <w:i/>
          <w:iCs/>
          <w:kern w:val="0"/>
          <w:sz w:val="24"/>
        </w:rPr>
        <w:t>I</w:t>
      </w:r>
      <w:r>
        <w:rPr>
          <w:kern w:val="0"/>
          <w:sz w:val="24"/>
        </w:rPr>
        <w:t>)</w:t>
      </w:r>
    </w:p>
    <w:p w14:paraId="38ADA438">
      <w:pPr>
        <w:tabs>
          <w:tab w:val="left" w:pos="720"/>
        </w:tabs>
        <w:ind w:firstLine="480" w:firstLineChars="200"/>
        <w:rPr>
          <w:bCs/>
          <w:kern w:val="0"/>
          <w:sz w:val="24"/>
        </w:rPr>
      </w:pPr>
      <w:r>
        <w:rPr>
          <w:bCs/>
          <w:kern w:val="0"/>
          <w:sz w:val="24"/>
        </w:rPr>
        <w:t>按照规范7.2.5确定叉车秤在不同行驶速度后的示值重复性为</w:t>
      </w:r>
      <w:r>
        <w:rPr>
          <w:bCs/>
          <w:i/>
          <w:iCs/>
          <w:kern w:val="0"/>
          <w:sz w:val="24"/>
        </w:rPr>
        <w:t>E</w:t>
      </w:r>
      <w:r>
        <w:rPr>
          <w:bCs/>
          <w:iCs/>
          <w:kern w:val="0"/>
          <w:sz w:val="24"/>
          <w:vertAlign w:val="subscript"/>
        </w:rPr>
        <w:t>R</w:t>
      </w:r>
      <w:r>
        <w:rPr>
          <w:bCs/>
          <w:iCs/>
          <w:kern w:val="0"/>
          <w:sz w:val="24"/>
        </w:rPr>
        <w:t>=1</w:t>
      </w:r>
      <w:r>
        <w:rPr>
          <w:bCs/>
          <w:kern w:val="0"/>
          <w:sz w:val="24"/>
        </w:rPr>
        <w:t>.5kg，</w:t>
      </w:r>
      <w:r>
        <w:rPr>
          <w:kern w:val="0"/>
          <w:sz w:val="24"/>
        </w:rPr>
        <w:t>服从均匀分布，包含因子</w:t>
      </w:r>
      <w:r>
        <w:rPr>
          <w:kern w:val="0"/>
          <w:position w:val="-8"/>
          <w:sz w:val="24"/>
        </w:rPr>
        <w:object>
          <v:shape id="_x0000_i1044" o:spt="75" type="#_x0000_t75" style="height:19pt;width:3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s" ShapeID="_x0000_i1044" DrawAspect="Content" ObjectID="_1468075744" r:id="rId49">
            <o:LockedField>false</o:LockedField>
          </o:OLEObject>
        </w:object>
      </w:r>
      <w:r>
        <w:rPr>
          <w:kern w:val="0"/>
          <w:sz w:val="24"/>
        </w:rPr>
        <w:t>，</w:t>
      </w:r>
      <w:r>
        <w:rPr>
          <w:color w:val="000000" w:themeColor="text1"/>
          <w:kern w:val="0"/>
          <w:sz w:val="24"/>
        </w:rPr>
        <w:t>则其标准不确定度：</w:t>
      </w:r>
    </w:p>
    <w:p w14:paraId="7881BF26">
      <w:pPr>
        <w:tabs>
          <w:tab w:val="left" w:pos="720"/>
        </w:tabs>
        <w:jc w:val="center"/>
        <w:rPr>
          <w:rFonts w:eastAsia="仿宋_GB2312"/>
          <w:kern w:val="0"/>
          <w:position w:val="-28"/>
          <w:sz w:val="24"/>
        </w:rPr>
      </w:pPr>
      <w:r>
        <w:rPr>
          <w:rFonts w:hint="eastAsia"/>
          <w:kern w:val="0"/>
          <w:sz w:val="24"/>
        </w:rPr>
        <w:t xml:space="preserve">                     </w:t>
      </w:r>
      <m:oMath>
        <m:sSub>
          <m:sSub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sSubPr>
          <m:e>
            <m:r>
              <m:rPr/>
              <w:rPr>
                <w:rFonts w:ascii="Cambria Math" w:hAnsi="Cambria Math" w:eastAsia="仿宋_GB2312"/>
                <w:kern w:val="0"/>
                <w:sz w:val="24"/>
              </w:rPr>
              <m:t>u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e>
          <m:sub>
            <m:r>
              <m:rPr/>
              <w:rPr>
                <w:rFonts w:ascii="Cambria Math" w:hAnsi="Cambria Math" w:eastAsia="仿宋_GB2312"/>
                <w:kern w:val="0"/>
                <w:sz w:val="24"/>
              </w:rPr>
              <m:t>4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sub>
        </m:sSub>
        <m:d>
          <m:d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dPr>
          <m:e>
            <m:r>
              <m:rPr/>
              <w:rPr>
                <w:rFonts w:ascii="Cambria Math" w:hAnsi="Cambria Math" w:eastAsia="仿宋_GB2312"/>
                <w:kern w:val="0"/>
                <w:sz w:val="24"/>
              </w:rPr>
              <m:t>I</m:t>
            </m: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e>
        </m:d>
        <m:r>
          <m:rPr/>
          <w:rPr>
            <w:rFonts w:ascii="Cambria Math" w:hAnsi="Cambria Math" w:eastAsia="仿宋_GB2312"/>
            <w:kern w:val="0"/>
            <w:sz w:val="24"/>
          </w:rPr>
          <m:t>=</m:t>
        </m:r>
        <m:f>
          <m:fPr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 w:eastAsia="仿宋_GB2312"/>
                    <w:kern w:val="0"/>
                    <w:sz w:val="24"/>
                  </w:rPr>
                  <m:t>E</m:t>
                </m:r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e>
              <m:sub>
                <m:r>
                  <m:rPr/>
                  <w:rPr>
                    <w:rFonts w:ascii="Cambria Math" w:hAnsi="Cambria Math" w:eastAsia="仿宋_GB2312"/>
                    <w:kern w:val="0"/>
                    <w:sz w:val="24"/>
                  </w:rPr>
                  <m:t>R</m:t>
                </m:r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sub>
            </m:sSub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num>
          <m:den>
            <m:r>
              <m:rPr/>
              <w:rPr>
                <w:rFonts w:ascii="Cambria Math" w:hAnsi="Cambria Math" w:eastAsia="仿宋_GB2312"/>
                <w:kern w:val="0"/>
                <w:sz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radPr>
              <m:deg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deg>
              <m:e>
                <m:r>
                  <m:rPr/>
                  <w:rPr>
                    <w:rFonts w:ascii="Cambria Math" w:hAnsi="Cambria Math" w:eastAsia="仿宋_GB2312"/>
                    <w:kern w:val="0"/>
                    <w:sz w:val="24"/>
                  </w:rPr>
                  <m:t>3</m:t>
                </m:r>
                <m:ctrlPr>
                  <w:rPr>
                    <w:rFonts w:ascii="Cambria Math" w:hAnsi="Cambria Math" w:eastAsia="仿宋_GB2312"/>
                    <w:i/>
                    <w:kern w:val="0"/>
                    <w:sz w:val="24"/>
                  </w:rPr>
                </m:ctrlPr>
              </m:e>
            </m:rad>
            <m:ctrlPr>
              <w:rPr>
                <w:rFonts w:ascii="Cambria Math" w:hAnsi="Cambria Math" w:eastAsia="仿宋_GB2312"/>
                <w:i/>
                <w:kern w:val="0"/>
                <w:sz w:val="24"/>
              </w:rPr>
            </m:ctrlPr>
          </m:den>
        </m:f>
        <m:r>
          <m:rPr/>
          <w:rPr>
            <w:rFonts w:ascii="Cambria Math"/>
            <w:color w:val="000000" w:themeColor="text1"/>
            <w:sz w:val="24"/>
          </w:rPr>
          <m:t xml:space="preserve">≈0.433 </m:t>
        </m:r>
        <m:r>
          <m:rPr>
            <m:sty m:val="p"/>
          </m:rPr>
          <w:rPr>
            <w:rFonts w:ascii="Cambria Math"/>
            <w:color w:val="000000" w:themeColor="text1"/>
            <w:sz w:val="24"/>
          </w:rPr>
          <m:t>kg</m:t>
        </m:r>
      </m:oMath>
      <w:r>
        <w:rPr>
          <w:rFonts w:eastAsia="仿宋_GB2312"/>
          <w:color w:val="000000" w:themeColor="text1"/>
          <w:sz w:val="24"/>
        </w:rPr>
        <w:t xml:space="preserve">      </w:t>
      </w:r>
      <w:r>
        <w:rPr>
          <w:rFonts w:hint="eastAsia" w:eastAsia="仿宋_GB2312"/>
          <w:color w:val="000000" w:themeColor="text1"/>
          <w:sz w:val="24"/>
        </w:rPr>
        <w:t xml:space="preserve">               </w:t>
      </w:r>
      <w:r>
        <w:rPr>
          <w:rFonts w:eastAsia="仿宋_GB2312"/>
          <w:color w:val="000000" w:themeColor="text1"/>
          <w:sz w:val="24"/>
        </w:rPr>
        <w:t xml:space="preserve">    </w:t>
      </w:r>
      <w:r>
        <w:rPr>
          <w:rFonts w:hint="eastAsia" w:eastAsia="仿宋_GB2312"/>
          <w:color w:val="000000" w:themeColor="text1"/>
          <w:sz w:val="24"/>
        </w:rPr>
        <w:t>（</w:t>
      </w:r>
      <w:r>
        <w:rPr>
          <w:rFonts w:eastAsia="仿宋_GB2312"/>
          <w:color w:val="000000" w:themeColor="text1"/>
          <w:sz w:val="24"/>
        </w:rPr>
        <w:t>D.4</w:t>
      </w:r>
      <w:r>
        <w:rPr>
          <w:rFonts w:hint="eastAsia" w:eastAsia="仿宋_GB2312"/>
          <w:color w:val="000000" w:themeColor="text1"/>
          <w:sz w:val="24"/>
        </w:rPr>
        <w:t>）</w:t>
      </w:r>
    </w:p>
    <w:p w14:paraId="248F0799">
      <w:pPr>
        <w:spacing w:line="360" w:lineRule="auto"/>
        <w:rPr>
          <w:color w:val="000000" w:themeColor="text1"/>
        </w:rPr>
      </w:pPr>
      <w:r>
        <w:rPr>
          <w:color w:val="000000" w:themeColor="text1"/>
          <w:sz w:val="24"/>
        </w:rPr>
        <w:t>D.2.5由砝码引入的不确定度分量</w:t>
      </w:r>
      <m:oMath>
        <m:r>
          <m:rPr/>
          <w:rPr>
            <w:rFonts w:ascii="Cambria Math"/>
            <w:color w:val="000000" w:themeColor="text1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/>
              <w:rPr>
                <w:rFonts w:ascii="Cambria Math"/>
                <w:color w:val="000000" w:themeColor="text1"/>
              </w:rPr>
              <m:t>L</m:t>
            </m:r>
            <m:ctrlPr>
              <w:rPr>
                <w:rFonts w:ascii="Cambria Math" w:hAnsi="Cambria Math"/>
                <w:color w:val="000000" w:themeColor="text1"/>
              </w:rPr>
            </m:ctrlPr>
          </m:e>
        </m:d>
      </m:oMath>
    </w:p>
    <w:p w14:paraId="1E23368D">
      <w:pPr>
        <w:pStyle w:val="32"/>
        <w:spacing w:before="0" w:beforeAutospacing="0" w:after="0" w:afterAutospacing="0" w:line="360" w:lineRule="auto"/>
        <w:ind w:firstLine="480" w:firstLineChars="200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  <w:szCs w:val="24"/>
        </w:rPr>
        <w:t>以1000kg载荷点为例，</w:t>
      </w:r>
      <w:r>
        <w:rPr>
          <w:rFonts w:eastAsiaTheme="minorEastAsia"/>
          <w:color w:val="000000" w:themeColor="text1"/>
        </w:rPr>
        <w:t>根据JJG 99-2022《砝码》，1000kg M</w:t>
      </w:r>
      <w:r>
        <w:rPr>
          <w:rFonts w:eastAsiaTheme="minorEastAsia"/>
          <w:color w:val="000000" w:themeColor="text1"/>
          <w:vertAlign w:val="subscript"/>
        </w:rPr>
        <w:t>1</w:t>
      </w:r>
      <w:r>
        <w:rPr>
          <w:rFonts w:eastAsiaTheme="minorEastAsia"/>
          <w:color w:val="000000" w:themeColor="text1"/>
        </w:rPr>
        <w:t>等级砝码最大允差为50g，因此:</w:t>
      </w:r>
    </w:p>
    <w:p w14:paraId="47F07B04">
      <w:pPr>
        <w:pStyle w:val="32"/>
        <w:spacing w:before="0" w:beforeAutospacing="0" w:after="0" w:afterAutospacing="0" w:line="360" w:lineRule="auto"/>
        <w:ind w:firstLine="480" w:firstLineChars="200"/>
        <w:jc w:val="center"/>
        <w:rPr>
          <w:rFonts w:eastAsiaTheme="minorEastAsia"/>
          <w:color w:val="000000" w:themeColor="text1"/>
          <w:kern w:val="2"/>
          <w:szCs w:val="24"/>
        </w:rPr>
      </w:pPr>
      <w:r>
        <w:rPr>
          <w:rFonts w:hint="eastAsia" w:eastAsiaTheme="minorEastAsia"/>
          <w:color w:val="000000" w:themeColor="text1"/>
          <w:szCs w:val="24"/>
        </w:rPr>
        <w:t xml:space="preserve">                        </w:t>
      </w:r>
      <m:oMath>
        <m:r>
          <m:rPr/>
          <w:rPr>
            <w:rFonts w:ascii="Cambria Math"/>
            <w:color w:val="000000" w:themeColor="text1"/>
            <w:szCs w:val="24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dPr>
          <m:e>
            <m:r>
              <m:rPr/>
              <w:rPr>
                <w:rFonts w:ascii="Cambria Math"/>
                <w:color w:val="000000" w:themeColor="text1"/>
                <w:szCs w:val="24"/>
              </w:rPr>
              <m:t>L</m:t>
            </m: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e>
        </m:d>
        <m:r>
          <m:rPr>
            <m:sty m:val="p"/>
          </m:rPr>
          <w:rPr>
            <w:rFonts w:ascii="Cambria Math"/>
            <w:color w:val="000000" w:themeColor="text1"/>
            <w:szCs w:val="24"/>
          </w:rPr>
          <m:t xml:space="preserve">=0.029 kg       </m:t>
        </m:r>
      </m:oMath>
      <w:r>
        <w:rPr>
          <w:rFonts w:hint="eastAsia" w:eastAsiaTheme="minorEastAsia"/>
          <w:color w:val="000000" w:themeColor="text1"/>
          <w:kern w:val="2"/>
          <w:szCs w:val="24"/>
        </w:rPr>
        <w:t xml:space="preserve">                      （</w:t>
      </w:r>
      <w:r>
        <w:rPr>
          <w:rFonts w:eastAsiaTheme="minorEastAsia"/>
          <w:color w:val="000000" w:themeColor="text1"/>
          <w:kern w:val="2"/>
          <w:szCs w:val="24"/>
        </w:rPr>
        <w:t>D.5</w:t>
      </w:r>
      <w:r>
        <w:rPr>
          <w:rFonts w:hint="eastAsia" w:eastAsiaTheme="minorEastAsia"/>
          <w:color w:val="000000" w:themeColor="text1"/>
          <w:kern w:val="2"/>
          <w:szCs w:val="24"/>
        </w:rPr>
        <w:t>）</w:t>
      </w:r>
    </w:p>
    <w:p w14:paraId="6FAC2057">
      <w:pPr>
        <w:pStyle w:val="32"/>
        <w:spacing w:before="0" w:beforeAutospacing="0" w:after="0" w:afterAutospacing="0"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D.2.6  合成标准不确定度</w:t>
      </w:r>
    </w:p>
    <w:p w14:paraId="3961AC48">
      <w:pPr>
        <w:pStyle w:val="32"/>
        <w:spacing w:before="0" w:beforeAutospacing="0" w:after="0" w:afterAutospacing="0" w:line="360" w:lineRule="auto"/>
        <w:ind w:firstLine="480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合成标准不确定度用公式（C.11）计算如下：</w:t>
      </w:r>
    </w:p>
    <w:p w14:paraId="731B179A">
      <w:pPr>
        <w:pStyle w:val="32"/>
        <w:spacing w:before="0" w:beforeAutospacing="0" w:after="0" w:afterAutospacing="0" w:line="360" w:lineRule="auto"/>
        <w:ind w:firstLine="480"/>
        <w:jc w:val="center"/>
        <w:rPr>
          <w:color w:val="000000" w:themeColor="text1"/>
        </w:rPr>
      </w:pPr>
      <w:r>
        <w:rPr>
          <w:rFonts w:hint="eastAsia"/>
          <w:color w:val="000000"/>
          <w:kern w:val="2"/>
          <w:sz w:val="21"/>
          <w:szCs w:val="24"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color w:val="000000"/>
                <w:kern w:val="2"/>
                <w:sz w:val="21"/>
                <w:szCs w:val="24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u</m:t>
            </m:r>
            <m:ctrlPr>
              <w:rPr>
                <w:rFonts w:ascii="Cambria Math" w:hAnsi="Cambria Math"/>
                <w:i/>
                <w:color w:val="000000"/>
                <w:kern w:val="2"/>
                <w:sz w:val="21"/>
                <w:szCs w:val="24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c</m:t>
            </m:r>
            <m:ctrlPr>
              <w:rPr>
                <w:rFonts w:ascii="Cambria Math" w:hAnsi="Cambria Math"/>
                <w:i/>
                <w:color w:val="000000"/>
                <w:kern w:val="2"/>
                <w:sz w:val="21"/>
                <w:szCs w:val="24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m:rPr/>
              <w:rPr>
                <w:rFonts w:ascii="Cambria Math" w:hAnsi="Cambria Math"/>
                <w:color w:val="000000"/>
              </w:rPr>
              <m:t>E</m:t>
            </m:r>
            <m:ctrlPr>
              <w:rPr>
                <w:rFonts w:ascii="Cambria Math" w:hAnsi="Cambria Math"/>
                <w:i/>
                <w:color w:val="000000"/>
              </w:rPr>
            </m:ctrlPr>
          </m:e>
        </m:d>
        <m:r>
          <m:rPr/>
          <w:rPr>
            <w:rFonts w:ascii="Cambria Math" w:hAnsi="Cambria Math"/>
            <w:color w:val="000000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kern w:val="2"/>
                <w:sz w:val="21"/>
                <w:szCs w:val="24"/>
              </w:rPr>
            </m:ctrlPr>
          </m:radPr>
          <m:deg>
            <m:ctrlPr>
              <w:rPr>
                <w:rFonts w:ascii="Cambria Math" w:hAnsi="Cambria Math"/>
                <w:i/>
                <w:color w:val="000000"/>
                <w:kern w:val="2"/>
                <w:sz w:val="21"/>
                <w:szCs w:val="24"/>
              </w:rPr>
            </m:ctrlPr>
          </m:deg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color w:val="000000"/>
                  </w:rPr>
                  <m:t>u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/>
                  </w:rPr>
                  <m:t>1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m:rPr/>
                  <w:rPr>
                    <w:rFonts w:ascii="Cambria Math" w:hAnsi="Cambria Math"/>
                    <w:color w:val="000000"/>
                  </w:rPr>
                  <m:t>I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</m:d>
            <m:r>
              <m:rPr/>
              <w:rPr>
                <w:rFonts w:ascii="Cambria Math" w:hAnsi="Cambria Math"/>
                <w:color w:val="00000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color w:val="000000"/>
                  </w:rPr>
                  <m:t>u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m:rPr/>
                  <w:rPr>
                    <w:rFonts w:ascii="Cambria Math" w:hAnsi="Cambria Math"/>
                    <w:color w:val="000000"/>
                  </w:rPr>
                  <m:t>I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</m:d>
            <m:r>
              <m:rPr/>
              <w:rPr>
                <w:rFonts w:ascii="Cambria Math" w:hAnsi="Cambria Math"/>
                <w:color w:val="00000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color w:val="000000"/>
                  </w:rPr>
                  <m:t>u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/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m:rPr/>
                  <w:rPr>
                    <w:rFonts w:ascii="Cambria Math" w:hAnsi="Cambria Math"/>
                    <w:color w:val="000000"/>
                  </w:rPr>
                  <m:t>I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</m:d>
            <m:r>
              <m:rPr/>
              <w:rPr>
                <w:rFonts w:ascii="Cambria Math" w:hAnsi="Cambria Math"/>
                <w:color w:val="00000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color w:val="000000"/>
                  </w:rPr>
                  <m:t>u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/>
                  </w:rPr>
                  <m:t>4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m:rPr/>
                  <w:rPr>
                    <w:rFonts w:ascii="Cambria Math" w:hAnsi="Cambria Math"/>
                    <w:color w:val="000000"/>
                  </w:rPr>
                  <m:t>I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</m:d>
            <m:r>
              <m:rPr/>
              <w:rPr>
                <w:rFonts w:ascii="Cambria Math" w:hAnsi="Cambria Math"/>
                <w:color w:val="00000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color w:val="000000"/>
                  </w:rPr>
                  <m:t>u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e>
              <m:sup>
                <m:r>
                  <m:rPr/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  <w:szCs w:val="24"/>
                  </w:rPr>
                </m:ctrlPr>
              </m:sup>
            </m:sSup>
            <m:r>
              <m:rPr/>
              <w:rPr>
                <w:rFonts w:ascii="Cambria Math" w:hAnsi="Cambria Math"/>
                <w:color w:val="000000"/>
              </w:rPr>
              <m:t>(L)</m:t>
            </m:r>
            <m:ctrlPr>
              <w:rPr>
                <w:rFonts w:ascii="Cambria Math" w:hAnsi="Cambria Math"/>
                <w:i/>
                <w:color w:val="000000"/>
                <w:kern w:val="2"/>
                <w:sz w:val="21"/>
                <w:szCs w:val="24"/>
              </w:rPr>
            </m:ctrlPr>
          </m:e>
        </m:rad>
        <m:r>
          <m:rPr>
            <m:sty m:val="p"/>
          </m:rPr>
          <w:rPr>
            <w:rFonts w:ascii="Cambria Math" w:eastAsiaTheme="minorEastAsia"/>
            <w:color w:val="000000" w:themeColor="text1"/>
          </w:rPr>
          <m:t>≈</m:t>
        </m:r>
        <m:r>
          <m:rPr/>
          <w:rPr>
            <w:rFonts w:ascii="Cambria Math" w:eastAsiaTheme="minorEastAsia"/>
            <w:color w:val="000000" w:themeColor="text1"/>
          </w:rPr>
          <m:t>0.216</m:t>
        </m:r>
        <m:r>
          <m:rPr>
            <m:sty m:val="p"/>
          </m:rPr>
          <w:rPr>
            <w:rFonts w:ascii="Cambria Math" w:eastAsiaTheme="minorEastAsia"/>
            <w:color w:val="000000" w:themeColor="text1"/>
          </w:rPr>
          <m:t>kg</m:t>
        </m:r>
      </m:oMath>
      <w:r>
        <w:rPr>
          <w:color w:val="000000" w:themeColor="text1"/>
        </w:rPr>
        <w:t xml:space="preserve">   </w:t>
      </w:r>
      <w:r>
        <w:rPr>
          <w:rFonts w:hint="eastAsia"/>
          <w:color w:val="000000" w:themeColor="text1"/>
        </w:rPr>
        <w:t xml:space="preserve">     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（</w:t>
      </w:r>
      <w:r>
        <w:rPr>
          <w:color w:val="000000" w:themeColor="text1"/>
        </w:rPr>
        <w:t>D.6</w:t>
      </w:r>
      <w:r>
        <w:rPr>
          <w:rFonts w:hint="eastAsia"/>
          <w:color w:val="000000" w:themeColor="text1"/>
        </w:rPr>
        <w:t>）</w:t>
      </w:r>
    </w:p>
    <w:p w14:paraId="716559CA">
      <w:pPr>
        <w:pStyle w:val="32"/>
        <w:spacing w:before="0" w:beforeAutospacing="0" w:after="0" w:afterAutospacing="0" w:line="360" w:lineRule="auto"/>
        <w:rPr>
          <w:color w:val="000000" w:themeColor="text1"/>
        </w:rPr>
      </w:pPr>
      <w:r>
        <w:rPr>
          <w:color w:val="000000" w:themeColor="text1"/>
        </w:rPr>
        <w:t>D.2.7  扩展不确定度</w:t>
      </w:r>
    </w:p>
    <w:p w14:paraId="58329B7C">
      <w:pPr>
        <w:pStyle w:val="32"/>
        <w:spacing w:before="0" w:beforeAutospacing="0" w:after="0" w:afterAutospacing="0" w:line="360" w:lineRule="auto"/>
        <w:ind w:firstLine="480"/>
        <w:rPr>
          <w:color w:val="000000" w:themeColor="text1"/>
        </w:rPr>
      </w:pPr>
      <w:r>
        <w:rPr>
          <w:color w:val="000000" w:themeColor="text1"/>
        </w:rPr>
        <w:t>取</w:t>
      </w:r>
      <w:r>
        <w:rPr>
          <w:i/>
          <w:iCs/>
          <w:color w:val="000000" w:themeColor="text1"/>
        </w:rPr>
        <w:t>k</w:t>
      </w:r>
      <w:r>
        <w:rPr>
          <w:color w:val="000000" w:themeColor="text1"/>
        </w:rPr>
        <w:t>=2，叉车秤</w:t>
      </w:r>
      <w:r>
        <w:rPr>
          <w:rFonts w:eastAsiaTheme="minorEastAsia"/>
          <w:color w:val="000000" w:themeColor="text1"/>
        </w:rPr>
        <w:t>1000kg</w:t>
      </w:r>
      <w:r>
        <w:rPr>
          <w:color w:val="000000" w:themeColor="text1"/>
        </w:rPr>
        <w:t>载荷点的扩展不确定度为：</w:t>
      </w:r>
    </w:p>
    <w:p w14:paraId="2883BCB0">
      <w:pPr>
        <w:pStyle w:val="32"/>
        <w:spacing w:before="0" w:beforeAutospacing="0" w:after="0" w:afterAutospacing="0" w:line="360" w:lineRule="auto"/>
        <w:ind w:firstLine="480"/>
        <w:jc w:val="right"/>
        <w:rPr>
          <w:color w:val="000000" w:themeColor="text1"/>
          <w:szCs w:val="24"/>
        </w:rPr>
      </w:pPr>
      <m:oMath>
        <m:r>
          <m:rPr/>
          <w:rPr>
            <w:rFonts w:ascii="Cambria Math"/>
            <w:color w:val="000000" w:themeColor="text1"/>
          </w:rPr>
          <m:t>U=k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m:rPr/>
              <w:rPr>
                <w:rFonts w:ascii="Cambria Math"/>
                <w:color w:val="000000" w:themeColor="text1"/>
              </w:rPr>
              <m:t>u</m:t>
            </m:r>
            <m:ctrlPr>
              <w:rPr>
                <w:rFonts w:ascii="Cambria Math" w:hAnsi="Cambria Math"/>
                <w:i/>
                <w:color w:val="000000" w:themeColor="text1"/>
              </w:rPr>
            </m:ctrlPr>
          </m:e>
          <m:sub>
            <m:r>
              <m:rPr/>
              <w:rPr>
                <w:rFonts w:ascii="Cambria Math"/>
                <w:color w:val="000000" w:themeColor="text1"/>
              </w:rPr>
              <m:t>c</m:t>
            </m:r>
            <m:ctrlPr>
              <w:rPr>
                <w:rFonts w:ascii="Cambria Math" w:hAnsi="Cambria Math"/>
                <w:i/>
                <w:color w:val="000000" w:themeColor="text1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m:rPr/>
              <w:rPr>
                <w:rFonts w:ascii="Cambria Math"/>
                <w:color w:val="000000" w:themeColor="text1"/>
              </w:rPr>
              <m:t>E</m:t>
            </m:r>
            <m:ctrlPr>
              <w:rPr>
                <w:rFonts w:ascii="Cambria Math" w:hAnsi="Cambria Math"/>
                <w:i/>
                <w:color w:val="000000" w:themeColor="text1"/>
              </w:rPr>
            </m:ctrlPr>
          </m:e>
        </m:d>
        <m:r>
          <m:rPr>
            <m:sty m:val="p"/>
          </m:rPr>
          <w:rPr>
            <w:rFonts w:ascii="Cambria Math"/>
            <w:color w:val="000000" w:themeColor="text1"/>
          </w:rPr>
          <m:t>≈0.5 kg</m:t>
        </m:r>
      </m:oMath>
      <w:r>
        <w:rPr>
          <w:rFonts w:eastAsiaTheme="minorEastAsia"/>
          <w:color w:val="000000" w:themeColor="text1"/>
          <w:kern w:val="2"/>
          <w:szCs w:val="24"/>
        </w:rPr>
        <w:t xml:space="preserve">           </w:t>
      </w:r>
      <w:r>
        <w:rPr>
          <w:rFonts w:hint="eastAsia" w:eastAsiaTheme="minorEastAsia"/>
          <w:color w:val="000000" w:themeColor="text1"/>
          <w:kern w:val="2"/>
          <w:szCs w:val="24"/>
        </w:rPr>
        <w:t xml:space="preserve"> </w:t>
      </w:r>
      <w:r>
        <w:rPr>
          <w:rFonts w:eastAsiaTheme="minorEastAsia"/>
          <w:color w:val="000000" w:themeColor="text1"/>
          <w:kern w:val="2"/>
          <w:szCs w:val="24"/>
        </w:rPr>
        <w:t xml:space="preserve">        </w:t>
      </w:r>
      <w:r>
        <w:rPr>
          <w:rFonts w:hint="eastAsia" w:eastAsiaTheme="minorEastAsia"/>
          <w:color w:val="000000" w:themeColor="text1"/>
          <w:kern w:val="2"/>
          <w:szCs w:val="24"/>
        </w:rPr>
        <w:t xml:space="preserve"> </w:t>
      </w:r>
      <w:r>
        <w:rPr>
          <w:rFonts w:eastAsiaTheme="minorEastAsia"/>
          <w:color w:val="000000" w:themeColor="text1"/>
          <w:kern w:val="2"/>
          <w:szCs w:val="24"/>
        </w:rPr>
        <w:t xml:space="preserve"> </w:t>
      </w:r>
      <w:r>
        <w:rPr>
          <w:rFonts w:hint="eastAsia" w:eastAsiaTheme="minorEastAsia"/>
          <w:color w:val="000000" w:themeColor="text1"/>
          <w:kern w:val="2"/>
          <w:szCs w:val="24"/>
        </w:rPr>
        <w:t>（</w:t>
      </w:r>
      <w:r>
        <w:rPr>
          <w:rFonts w:eastAsiaTheme="minorEastAsia"/>
          <w:color w:val="000000" w:themeColor="text1"/>
          <w:kern w:val="2"/>
          <w:szCs w:val="24"/>
        </w:rPr>
        <w:t>D.7</w:t>
      </w:r>
      <w:r>
        <w:rPr>
          <w:rFonts w:hint="eastAsia" w:eastAsiaTheme="minorEastAsia"/>
          <w:color w:val="000000" w:themeColor="text1"/>
          <w:kern w:val="2"/>
          <w:szCs w:val="24"/>
        </w:rPr>
        <w:t>）</w:t>
      </w:r>
    </w:p>
    <w:p w14:paraId="60EA8134">
      <w:pPr>
        <w:spacing w:line="360" w:lineRule="auto"/>
        <w:jc w:val="center"/>
        <w:rPr>
          <w:color w:val="000000" w:themeColor="text1"/>
          <w:sz w:val="24"/>
        </w:rPr>
      </w:pPr>
    </w:p>
    <w:bookmarkEnd w:id="87"/>
    <w:p w14:paraId="742958BB">
      <w:pPr>
        <w:spacing w:line="360" w:lineRule="auto"/>
        <w:jc w:val="center"/>
        <w:rPr>
          <w:color w:val="000000" w:themeColor="text1"/>
          <w:sz w:val="24"/>
        </w:rPr>
      </w:pPr>
    </w:p>
    <w:p w14:paraId="6EDBBE08">
      <w:pPr>
        <w:spacing w:line="360" w:lineRule="auto"/>
        <w:jc w:val="center"/>
        <w:rPr>
          <w:color w:val="000000" w:themeColor="text1"/>
          <w:sz w:val="24"/>
        </w:rPr>
      </w:pPr>
    </w:p>
    <w:p w14:paraId="12D8F614">
      <w:pPr>
        <w:spacing w:line="360" w:lineRule="auto"/>
        <w:jc w:val="center"/>
        <w:rPr>
          <w:color w:val="000000" w:themeColor="text1"/>
          <w:sz w:val="24"/>
        </w:rPr>
      </w:pPr>
    </w:p>
    <w:p w14:paraId="4726675E">
      <w:pPr>
        <w:spacing w:line="360" w:lineRule="auto"/>
        <w:jc w:val="center"/>
        <w:rPr>
          <w:color w:val="000000" w:themeColor="text1"/>
          <w:sz w:val="24"/>
        </w:rPr>
      </w:pPr>
    </w:p>
    <w:p w14:paraId="069E4B72">
      <w:pPr>
        <w:spacing w:line="360" w:lineRule="auto"/>
        <w:jc w:val="center"/>
        <w:rPr>
          <w:color w:val="000000" w:themeColor="text1"/>
          <w:sz w:val="24"/>
        </w:rPr>
      </w:pPr>
    </w:p>
    <w:p w14:paraId="63366012">
      <w:pPr>
        <w:spacing w:line="360" w:lineRule="auto"/>
        <w:jc w:val="center"/>
        <w:rPr>
          <w:color w:val="000000" w:themeColor="text1"/>
          <w:sz w:val="24"/>
        </w:rPr>
      </w:pPr>
    </w:p>
    <w:p w14:paraId="6B651387">
      <w:pPr>
        <w:spacing w:line="360" w:lineRule="auto"/>
        <w:jc w:val="center"/>
        <w:rPr>
          <w:color w:val="000000" w:themeColor="text1"/>
          <w:sz w:val="24"/>
        </w:rPr>
      </w:pPr>
    </w:p>
    <w:p w14:paraId="025F074C">
      <w:pPr>
        <w:spacing w:line="360" w:lineRule="auto"/>
        <w:jc w:val="center"/>
        <w:rPr>
          <w:color w:val="000000" w:themeColor="text1"/>
          <w:sz w:val="24"/>
        </w:rPr>
      </w:pPr>
    </w:p>
    <w:p w14:paraId="43751E01">
      <w:pPr>
        <w:spacing w:line="360" w:lineRule="auto"/>
        <w:jc w:val="center"/>
        <w:rPr>
          <w:color w:val="000000" w:themeColor="text1"/>
          <w:sz w:val="24"/>
        </w:rPr>
      </w:pPr>
    </w:p>
    <w:p w14:paraId="2C0DB465">
      <w:pPr>
        <w:spacing w:line="360" w:lineRule="auto"/>
        <w:jc w:val="center"/>
        <w:rPr>
          <w:color w:val="000000" w:themeColor="text1"/>
          <w:sz w:val="24"/>
        </w:rPr>
      </w:pPr>
    </w:p>
    <w:p w14:paraId="17804AF3">
      <w:pPr>
        <w:spacing w:line="360" w:lineRule="auto"/>
        <w:jc w:val="center"/>
        <w:rPr>
          <w:color w:val="000000" w:themeColor="text1"/>
          <w:sz w:val="24"/>
        </w:rPr>
      </w:pPr>
    </w:p>
    <w:p w14:paraId="28F006AA">
      <w:pPr>
        <w:spacing w:line="360" w:lineRule="auto"/>
        <w:jc w:val="center"/>
        <w:rPr>
          <w:color w:val="000000" w:themeColor="text1"/>
          <w:sz w:val="24"/>
        </w:rPr>
      </w:pPr>
    </w:p>
    <w:p w14:paraId="772E4B53">
      <w:pPr>
        <w:spacing w:line="360" w:lineRule="auto"/>
        <w:jc w:val="center"/>
        <w:rPr>
          <w:color w:val="000000" w:themeColor="text1"/>
          <w:sz w:val="24"/>
        </w:rPr>
      </w:pPr>
    </w:p>
    <w:p w14:paraId="703441DB">
      <w:pPr>
        <w:spacing w:line="360" w:lineRule="auto"/>
        <w:jc w:val="center"/>
        <w:rPr>
          <w:color w:val="000000" w:themeColor="text1"/>
          <w:sz w:val="24"/>
        </w:rPr>
      </w:pPr>
    </w:p>
    <w:p w14:paraId="6F699398">
      <w:pPr>
        <w:spacing w:line="360" w:lineRule="auto"/>
        <w:jc w:val="center"/>
        <w:rPr>
          <w:color w:val="000000" w:themeColor="text1"/>
          <w:sz w:val="24"/>
        </w:rPr>
      </w:pPr>
    </w:p>
    <w:p w14:paraId="5BBBFD77">
      <w:pPr>
        <w:spacing w:line="360" w:lineRule="auto"/>
        <w:jc w:val="center"/>
        <w:rPr>
          <w:color w:val="000000" w:themeColor="text1"/>
          <w:sz w:val="24"/>
        </w:rPr>
      </w:pPr>
    </w:p>
    <w:p w14:paraId="180A4B46">
      <w:pPr>
        <w:spacing w:line="360" w:lineRule="auto"/>
        <w:jc w:val="center"/>
        <w:rPr>
          <w:color w:val="000000" w:themeColor="text1"/>
          <w:sz w:val="24"/>
        </w:rPr>
      </w:pPr>
    </w:p>
    <w:p w14:paraId="51B44E83">
      <w:pPr>
        <w:spacing w:line="360" w:lineRule="auto"/>
        <w:jc w:val="center"/>
        <w:rPr>
          <w:color w:val="000000" w:themeColor="text1"/>
          <w:sz w:val="24"/>
        </w:rPr>
      </w:pPr>
    </w:p>
    <w:p w14:paraId="41D1326A">
      <w:pPr>
        <w:spacing w:line="360" w:lineRule="auto"/>
        <w:jc w:val="center"/>
        <w:rPr>
          <w:color w:val="000000" w:themeColor="text1"/>
          <w:sz w:val="24"/>
        </w:rPr>
      </w:pPr>
    </w:p>
    <w:p w14:paraId="1F5A73A0">
      <w:pPr>
        <w:spacing w:line="360" w:lineRule="auto"/>
        <w:jc w:val="center"/>
        <w:rPr>
          <w:color w:val="000000" w:themeColor="text1"/>
          <w:sz w:val="24"/>
        </w:rPr>
      </w:pPr>
    </w:p>
    <w:p w14:paraId="6403C6A2">
      <w:pPr>
        <w:spacing w:line="360" w:lineRule="auto"/>
        <w:jc w:val="center"/>
        <w:rPr>
          <w:color w:val="000000" w:themeColor="text1"/>
          <w:sz w:val="24"/>
        </w:rPr>
      </w:pPr>
    </w:p>
    <w:p w14:paraId="35ED60BD">
      <w:pPr>
        <w:spacing w:line="360" w:lineRule="auto"/>
        <w:jc w:val="center"/>
        <w:textAlignment w:val="center"/>
        <w:rPr>
          <w:rFonts w:eastAsia="黑体"/>
          <w:sz w:val="28"/>
          <w:szCs w:val="28"/>
        </w:rPr>
      </w:pPr>
      <w:r>
        <w:pict>
          <v:shape id="文本框 9" o:spid="_x0000_s2112" o:spt="202" type="#_x0000_t202" style="position:absolute;left:0pt;margin-left:435.95pt;margin-top:14.45pt;height:151.2pt;width:41.45pt;z-index:251663360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">
            <v:path arrowok="t"/>
            <v:fill focussize="0,0"/>
            <v:stroke color="#FFFFFF" joinstyle="miter"/>
            <v:imagedata o:title=""/>
            <o:lock v:ext="edit"/>
            <v:textbox style="layout-flow:vertical;mso-layout-flow-alt:bottom-to-top;">
              <w:txbxContent>
                <w:p w14:paraId="5C6113F4">
                  <w:pPr>
                    <w:rPr>
                      <w:rFonts w:hint="eastAsia" w:ascii="黑体" w:hAnsi="黑体" w:eastAsia="黑体"/>
                      <w:spacing w:val="20"/>
                      <w:sz w:val="28"/>
                      <w:szCs w:val="28"/>
                    </w:rPr>
                  </w:pPr>
                  <w:r>
                    <w:rPr>
                      <w:rFonts w:hint="eastAsia" w:ascii="黑体" w:hAnsi="黑体" w:eastAsia="黑体"/>
                      <w:spacing w:val="20"/>
                      <w:sz w:val="28"/>
                      <w:szCs w:val="28"/>
                    </w:rPr>
                    <w:t>JJF***—***</w:t>
                  </w:r>
                </w:p>
              </w:txbxContent>
            </v:textbox>
          </v:shape>
        </w:pict>
      </w:r>
    </w:p>
    <w:p w14:paraId="6EA509B9">
      <w:pPr>
        <w:rPr>
          <w:sz w:val="24"/>
        </w:rPr>
      </w:pPr>
    </w:p>
    <w:p w14:paraId="4C7300F5">
      <w:pPr>
        <w:pStyle w:val="21"/>
        <w:tabs>
          <w:tab w:val="left" w:pos="765"/>
          <w:tab w:val="left" w:pos="930"/>
        </w:tabs>
        <w:spacing w:line="440" w:lineRule="exact"/>
        <w:ind w:right="11"/>
        <w:textAlignment w:val="center"/>
        <w:rPr>
          <w:rFonts w:hint="default" w:ascii="Times New Roman" w:hAnsi="Times New Roman"/>
          <w:b/>
          <w:bCs/>
          <w:sz w:val="32"/>
        </w:rPr>
      </w:pPr>
    </w:p>
    <w:p w14:paraId="72F88F7E">
      <w:pPr>
        <w:pStyle w:val="21"/>
        <w:tabs>
          <w:tab w:val="left" w:pos="765"/>
          <w:tab w:val="left" w:pos="930"/>
        </w:tabs>
        <w:spacing w:line="440" w:lineRule="exact"/>
        <w:ind w:right="11"/>
        <w:textAlignment w:val="center"/>
        <w:rPr>
          <w:rFonts w:hint="default" w:ascii="Times New Roman" w:hAnsi="Times New Roman"/>
          <w:b/>
          <w:bCs/>
          <w:sz w:val="32"/>
        </w:rPr>
      </w:pPr>
    </w:p>
    <w:p w14:paraId="44A5C278">
      <w:pPr>
        <w:pStyle w:val="21"/>
        <w:tabs>
          <w:tab w:val="left" w:pos="765"/>
          <w:tab w:val="left" w:pos="930"/>
        </w:tabs>
        <w:spacing w:line="440" w:lineRule="exact"/>
        <w:ind w:right="11"/>
        <w:textAlignment w:val="center"/>
        <w:rPr>
          <w:rFonts w:hint="default" w:ascii="Times New Roman" w:hAnsi="Times New Roman"/>
          <w:b/>
          <w:bCs/>
          <w:sz w:val="32"/>
        </w:rPr>
      </w:pPr>
    </w:p>
    <w:p w14:paraId="26224C70">
      <w:pPr>
        <w:pStyle w:val="21"/>
        <w:tabs>
          <w:tab w:val="left" w:pos="765"/>
          <w:tab w:val="left" w:pos="930"/>
        </w:tabs>
        <w:spacing w:line="440" w:lineRule="exact"/>
        <w:ind w:right="11"/>
        <w:textAlignment w:val="center"/>
        <w:rPr>
          <w:rFonts w:hint="default" w:ascii="Times New Roman" w:hAnsi="Times New Roman"/>
          <w:b/>
          <w:bCs/>
          <w:sz w:val="32"/>
        </w:rPr>
      </w:pPr>
    </w:p>
    <w:p w14:paraId="0CDB2C2C">
      <w:pPr>
        <w:pStyle w:val="21"/>
        <w:tabs>
          <w:tab w:val="left" w:pos="765"/>
          <w:tab w:val="left" w:pos="930"/>
        </w:tabs>
        <w:spacing w:line="440" w:lineRule="exact"/>
        <w:ind w:right="11"/>
        <w:textAlignment w:val="center"/>
        <w:rPr>
          <w:rFonts w:hint="default" w:ascii="Times New Roman" w:hAnsi="Times New Roman"/>
          <w:b/>
          <w:bCs/>
          <w:sz w:val="32"/>
        </w:rPr>
      </w:pPr>
    </w:p>
    <w:p w14:paraId="4F3A5266">
      <w:pPr>
        <w:pStyle w:val="21"/>
        <w:tabs>
          <w:tab w:val="left" w:pos="765"/>
          <w:tab w:val="left" w:pos="930"/>
        </w:tabs>
        <w:spacing w:line="440" w:lineRule="exact"/>
        <w:ind w:right="11"/>
        <w:textAlignment w:val="center"/>
        <w:rPr>
          <w:rFonts w:hint="default" w:ascii="Times New Roman" w:hAnsi="Times New Roman"/>
          <w:b/>
          <w:bCs/>
          <w:sz w:val="32"/>
        </w:rPr>
      </w:pPr>
    </w:p>
    <w:p w14:paraId="0B77F8A9">
      <w:pPr>
        <w:pStyle w:val="21"/>
        <w:tabs>
          <w:tab w:val="left" w:pos="765"/>
          <w:tab w:val="left" w:pos="930"/>
        </w:tabs>
        <w:spacing w:line="440" w:lineRule="exact"/>
        <w:ind w:right="11"/>
        <w:textAlignment w:val="center"/>
        <w:rPr>
          <w:rFonts w:hint="default" w:ascii="Times New Roman" w:hAnsi="Times New Roman"/>
          <w:b/>
          <w:bCs/>
          <w:sz w:val="32"/>
        </w:rPr>
      </w:pPr>
    </w:p>
    <w:p w14:paraId="148B2A90">
      <w:pPr>
        <w:tabs>
          <w:tab w:val="left" w:pos="5460"/>
        </w:tabs>
      </w:pPr>
    </w:p>
    <w:p w14:paraId="12A4EE92">
      <w:pPr>
        <w:spacing w:line="360" w:lineRule="auto"/>
        <w:jc w:val="center"/>
        <w:rPr>
          <w:color w:val="000000" w:themeColor="text1"/>
          <w:sz w:val="24"/>
        </w:rPr>
      </w:pPr>
    </w:p>
    <w:sectPr>
      <w:footerReference r:id="rId8" w:type="default"/>
      <w:type w:val="continuous"/>
      <w:pgSz w:w="11906" w:h="16838"/>
      <w:pgMar w:top="1418" w:right="1531" w:bottom="1418" w:left="1531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B2CD8">
    <w:pPr>
      <w:pStyle w:val="2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19086">
    <w:pPr>
      <w:pStyle w:val="26"/>
      <w:framePr w:wrap="around" w:vAnchor="text" w:hAnchor="margin" w:xAlign="center" w:y="1"/>
      <w:rPr>
        <w:rStyle w:val="38"/>
      </w:rPr>
    </w:pPr>
    <w:r>
      <w:rPr>
        <w:rStyle w:val="38"/>
      </w:rPr>
      <w:fldChar w:fldCharType="begin"/>
    </w:r>
    <w:r>
      <w:rPr>
        <w:rStyle w:val="38"/>
      </w:rPr>
      <w:instrText xml:space="preserve">PAGE  </w:instrText>
    </w:r>
    <w:r>
      <w:rPr>
        <w:rStyle w:val="38"/>
      </w:rPr>
      <w:fldChar w:fldCharType="end"/>
    </w:r>
  </w:p>
  <w:p w14:paraId="1FF21D41">
    <w:pPr>
      <w:pStyle w:val="2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B5472">
    <w:pPr>
      <w:pStyle w:val="26"/>
    </w:pPr>
    <w:r>
      <w:pict>
        <v:shape id="_x0000_s1025" o:spid="_x0000_s1025" o:spt="202" type="#_x0000_t202" style="position:absolute;left:0pt;margin-top:0pt;height:144pt;width:144pt;mso-position-horizontal:inside;mso-position-horizontal-relative:margin;mso-wrap-style:none;z-index:25166438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FgAAAGRycy9QSwEC&#10;FAAUAAAACACHTuJAzql5uc8AAAAFAQAADwAAAAAAAAABACAAAAA4AAAAZHJzL2Rvd25yZXYueG1s&#10;UEsBAhQAFAAAAAgAh07iQFi9oG+yAQAAWwMAAA4AAAAAAAAAAQAgAAAANAEAAGRycy9lMm9Eb2Mu&#10;eG1sUEsFBgAAAAAGAAYAWQEAAF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1D84E23B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II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2EEA8">
    <w:pPr>
      <w:pStyle w:val="26"/>
      <w:jc w:val="both"/>
    </w:pPr>
    <w:r>
      <w:rPr>
        <w:rStyle w:val="38"/>
      </w:rPr>
      <w:fldChar w:fldCharType="begin"/>
    </w:r>
    <w:r>
      <w:rPr>
        <w:rStyle w:val="38"/>
      </w:rPr>
      <w:instrText xml:space="preserve"> PAGE </w:instrText>
    </w:r>
    <w:r>
      <w:rPr>
        <w:rStyle w:val="38"/>
      </w:rPr>
      <w:fldChar w:fldCharType="separate"/>
    </w:r>
    <w:r>
      <w:rPr>
        <w:rStyle w:val="38"/>
      </w:rPr>
      <w:t>IV</w:t>
    </w:r>
    <w:r>
      <w:rPr>
        <w:rStyle w:val="3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2BFD6">
    <w:pPr>
      <w:pStyle w:val="26"/>
      <w:framePr w:wrap="around" w:vAnchor="text" w:hAnchor="margin" w:xAlign="center" w:y="1"/>
      <w:rPr>
        <w:rStyle w:val="38"/>
      </w:rPr>
    </w:pPr>
    <w:r>
      <w:rPr>
        <w:rStyle w:val="38"/>
      </w:rPr>
      <w:fldChar w:fldCharType="begin"/>
    </w:r>
    <w:r>
      <w:rPr>
        <w:rStyle w:val="38"/>
      </w:rPr>
      <w:instrText xml:space="preserve">PAGE  </w:instrText>
    </w:r>
    <w:r>
      <w:rPr>
        <w:rStyle w:val="38"/>
      </w:rPr>
      <w:fldChar w:fldCharType="separate"/>
    </w:r>
    <w:r>
      <w:rPr>
        <w:rStyle w:val="38"/>
      </w:rPr>
      <w:t>1</w:t>
    </w:r>
    <w:r>
      <w:rPr>
        <w:rStyle w:val="38"/>
      </w:rPr>
      <w:fldChar w:fldCharType="end"/>
    </w:r>
  </w:p>
  <w:p w14:paraId="1BC6308A">
    <w:pPr>
      <w:pStyle w:val="26"/>
      <w:ind w:right="360"/>
    </w:pPr>
  </w:p>
  <w:p w14:paraId="1D40CFAA"/>
  <w:p w14:paraId="5A6B711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EF9096">
    <w:pPr>
      <w:pStyle w:val="27"/>
      <w:rPr>
        <w:rFonts w:ascii="黑体" w:eastAsia="黑体"/>
        <w:sz w:val="21"/>
        <w:szCs w:val="21"/>
      </w:rPr>
    </w:pPr>
    <w:r>
      <w:rPr>
        <w:rFonts w:hint="eastAsia" w:ascii="黑体" w:eastAsia="黑体"/>
        <w:bCs/>
        <w:sz w:val="21"/>
      </w:rPr>
      <w:t>JJF</w:t>
    </w:r>
    <w:r>
      <w:rPr>
        <w:rFonts w:hint="eastAsia" w:ascii="黑体" w:eastAsia="黑体"/>
        <w:bCs/>
        <w:sz w:val="21"/>
        <w:szCs w:val="21"/>
      </w:rPr>
      <w:t>***-20**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23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79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11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16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22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 w:tentative="0">
      <w:start w:val="1"/>
      <w:numFmt w:val="none"/>
      <w:pStyle w:val="113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07E65F9"/>
    <w:multiLevelType w:val="multilevel"/>
    <w:tmpl w:val="407E65F9"/>
    <w:lvl w:ilvl="0" w:tentative="0">
      <w:start w:val="1"/>
      <w:numFmt w:val="none"/>
      <w:pStyle w:val="105"/>
      <w:lvlText w:val="%1·　"/>
      <w:lvlJc w:val="left"/>
      <w:pPr>
        <w:tabs>
          <w:tab w:val="left" w:pos="1140"/>
        </w:tabs>
        <w:ind w:left="737" w:hanging="317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496E4D7B"/>
    <w:multiLevelType w:val="multilevel"/>
    <w:tmpl w:val="496E4D7B"/>
    <w:lvl w:ilvl="0" w:tentative="0">
      <w:start w:val="1"/>
      <w:numFmt w:val="none"/>
      <w:pStyle w:val="127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57C2AF5"/>
    <w:multiLevelType w:val="multilevel"/>
    <w:tmpl w:val="557C2AF5"/>
    <w:lvl w:ilvl="0" w:tentative="0">
      <w:start w:val="1"/>
      <w:numFmt w:val="decimal"/>
      <w:pStyle w:val="125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>
    <w:nsid w:val="646260FA"/>
    <w:multiLevelType w:val="multilevel"/>
    <w:tmpl w:val="646260FA"/>
    <w:lvl w:ilvl="0" w:tentative="0">
      <w:start w:val="1"/>
      <w:numFmt w:val="decimal"/>
      <w:pStyle w:val="124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>
    <w:nsid w:val="657D3FBC"/>
    <w:multiLevelType w:val="multilevel"/>
    <w:tmpl w:val="657D3FBC"/>
    <w:lvl w:ilvl="0" w:tentative="0">
      <w:start w:val="1"/>
      <w:numFmt w:val="upperLetter"/>
      <w:pStyle w:val="92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94"/>
      <w:suff w:val="nothing"/>
      <w:lvlText w:val="%1.%2　"/>
      <w:lvlJc w:val="left"/>
      <w:pPr>
        <w:ind w:left="126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9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9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8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00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pStyle w:val="74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76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77"/>
      <w:suff w:val="nothing"/>
      <w:lvlText w:val="%1%2.%3　"/>
      <w:lvlJc w:val="left"/>
      <w:pPr>
        <w:ind w:left="21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78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10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15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21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6DBF04F4"/>
    <w:multiLevelType w:val="multilevel"/>
    <w:tmpl w:val="6DBF04F4"/>
    <w:lvl w:ilvl="0" w:tentative="0">
      <w:start w:val="1"/>
      <w:numFmt w:val="none"/>
      <w:pStyle w:val="126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6933334"/>
    <w:multiLevelType w:val="multilevel"/>
    <w:tmpl w:val="76933334"/>
    <w:lvl w:ilvl="0" w:tentative="0">
      <w:start w:val="1"/>
      <w:numFmt w:val="none"/>
      <w:pStyle w:val="10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2"/>
  </w:num>
  <w:num w:numId="6">
    <w:abstractNumId w:val="1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5N2VjNWFmNjk5OTA2NWFkZTIwMzM0MTY4NDU5NmEifQ=="/>
  </w:docVars>
  <w:rsids>
    <w:rsidRoot w:val="00E14613"/>
    <w:rsid w:val="00000379"/>
    <w:rsid w:val="00001EA5"/>
    <w:rsid w:val="000037C3"/>
    <w:rsid w:val="0000393F"/>
    <w:rsid w:val="000043E9"/>
    <w:rsid w:val="000079E3"/>
    <w:rsid w:val="00012F24"/>
    <w:rsid w:val="000156EB"/>
    <w:rsid w:val="00015CAC"/>
    <w:rsid w:val="00021F5B"/>
    <w:rsid w:val="0002216E"/>
    <w:rsid w:val="00024AD4"/>
    <w:rsid w:val="00027F91"/>
    <w:rsid w:val="000312E0"/>
    <w:rsid w:val="00033CC3"/>
    <w:rsid w:val="00036877"/>
    <w:rsid w:val="00036912"/>
    <w:rsid w:val="00036BA0"/>
    <w:rsid w:val="00037222"/>
    <w:rsid w:val="000409DF"/>
    <w:rsid w:val="00043C69"/>
    <w:rsid w:val="0004401C"/>
    <w:rsid w:val="000445E7"/>
    <w:rsid w:val="00046174"/>
    <w:rsid w:val="00047BA3"/>
    <w:rsid w:val="0005398F"/>
    <w:rsid w:val="00055106"/>
    <w:rsid w:val="00056091"/>
    <w:rsid w:val="0005758B"/>
    <w:rsid w:val="00057845"/>
    <w:rsid w:val="00062375"/>
    <w:rsid w:val="00062C32"/>
    <w:rsid w:val="00065BA9"/>
    <w:rsid w:val="00067573"/>
    <w:rsid w:val="00067A31"/>
    <w:rsid w:val="00070ED8"/>
    <w:rsid w:val="00071A2E"/>
    <w:rsid w:val="000772E3"/>
    <w:rsid w:val="00077577"/>
    <w:rsid w:val="00077A0B"/>
    <w:rsid w:val="000852AB"/>
    <w:rsid w:val="000858BC"/>
    <w:rsid w:val="00086E31"/>
    <w:rsid w:val="000903C3"/>
    <w:rsid w:val="0009249B"/>
    <w:rsid w:val="00093A26"/>
    <w:rsid w:val="00094E83"/>
    <w:rsid w:val="00097B02"/>
    <w:rsid w:val="000A0D6A"/>
    <w:rsid w:val="000A2D2A"/>
    <w:rsid w:val="000A6BE0"/>
    <w:rsid w:val="000A6E85"/>
    <w:rsid w:val="000B0530"/>
    <w:rsid w:val="000B1DB3"/>
    <w:rsid w:val="000B47B2"/>
    <w:rsid w:val="000B5A27"/>
    <w:rsid w:val="000C28EC"/>
    <w:rsid w:val="000C3803"/>
    <w:rsid w:val="000C4BE7"/>
    <w:rsid w:val="000D22B7"/>
    <w:rsid w:val="000D23A1"/>
    <w:rsid w:val="000D4C52"/>
    <w:rsid w:val="000D7EFC"/>
    <w:rsid w:val="000F12B7"/>
    <w:rsid w:val="000F2993"/>
    <w:rsid w:val="000F3EAE"/>
    <w:rsid w:val="00103820"/>
    <w:rsid w:val="00106B91"/>
    <w:rsid w:val="00106C09"/>
    <w:rsid w:val="00107C59"/>
    <w:rsid w:val="00110B9F"/>
    <w:rsid w:val="00112A94"/>
    <w:rsid w:val="00113F97"/>
    <w:rsid w:val="00116EFE"/>
    <w:rsid w:val="0012020D"/>
    <w:rsid w:val="00120416"/>
    <w:rsid w:val="00123BF2"/>
    <w:rsid w:val="001243AA"/>
    <w:rsid w:val="001246BC"/>
    <w:rsid w:val="00125A82"/>
    <w:rsid w:val="001318B3"/>
    <w:rsid w:val="0013756C"/>
    <w:rsid w:val="00140DF6"/>
    <w:rsid w:val="00141C64"/>
    <w:rsid w:val="0014256A"/>
    <w:rsid w:val="00143200"/>
    <w:rsid w:val="00156092"/>
    <w:rsid w:val="00157D6D"/>
    <w:rsid w:val="001628ED"/>
    <w:rsid w:val="00165854"/>
    <w:rsid w:val="0016627A"/>
    <w:rsid w:val="00167C5F"/>
    <w:rsid w:val="00172C57"/>
    <w:rsid w:val="001779E8"/>
    <w:rsid w:val="00182907"/>
    <w:rsid w:val="00183978"/>
    <w:rsid w:val="0018411D"/>
    <w:rsid w:val="00184604"/>
    <w:rsid w:val="00184DAD"/>
    <w:rsid w:val="001949A2"/>
    <w:rsid w:val="0019590F"/>
    <w:rsid w:val="00195A43"/>
    <w:rsid w:val="001A0E60"/>
    <w:rsid w:val="001A0EBD"/>
    <w:rsid w:val="001A2905"/>
    <w:rsid w:val="001A6C09"/>
    <w:rsid w:val="001B0AB0"/>
    <w:rsid w:val="001B25B2"/>
    <w:rsid w:val="001B466E"/>
    <w:rsid w:val="001B4BBB"/>
    <w:rsid w:val="001B5424"/>
    <w:rsid w:val="001C2202"/>
    <w:rsid w:val="001C39BA"/>
    <w:rsid w:val="001C59DB"/>
    <w:rsid w:val="001C6278"/>
    <w:rsid w:val="001C7C3E"/>
    <w:rsid w:val="001D07A8"/>
    <w:rsid w:val="001D18B3"/>
    <w:rsid w:val="001D35B5"/>
    <w:rsid w:val="001D3AC2"/>
    <w:rsid w:val="001D480F"/>
    <w:rsid w:val="001D5C80"/>
    <w:rsid w:val="001D62B9"/>
    <w:rsid w:val="001E0A28"/>
    <w:rsid w:val="001E3411"/>
    <w:rsid w:val="001E5B4E"/>
    <w:rsid w:val="001F075A"/>
    <w:rsid w:val="001F239D"/>
    <w:rsid w:val="001F4404"/>
    <w:rsid w:val="001F4681"/>
    <w:rsid w:val="001F46A0"/>
    <w:rsid w:val="001F4B08"/>
    <w:rsid w:val="001F7ABE"/>
    <w:rsid w:val="001F7AF1"/>
    <w:rsid w:val="00200DB4"/>
    <w:rsid w:val="00204DEF"/>
    <w:rsid w:val="00210157"/>
    <w:rsid w:val="0021232A"/>
    <w:rsid w:val="002136C8"/>
    <w:rsid w:val="00213C36"/>
    <w:rsid w:val="002202E7"/>
    <w:rsid w:val="00221DC3"/>
    <w:rsid w:val="002236A4"/>
    <w:rsid w:val="00223E59"/>
    <w:rsid w:val="0023718C"/>
    <w:rsid w:val="002401D4"/>
    <w:rsid w:val="00240D51"/>
    <w:rsid w:val="00241CB9"/>
    <w:rsid w:val="0024671C"/>
    <w:rsid w:val="002474D8"/>
    <w:rsid w:val="002515C9"/>
    <w:rsid w:val="00263DA5"/>
    <w:rsid w:val="00264DA3"/>
    <w:rsid w:val="002712AE"/>
    <w:rsid w:val="0027186F"/>
    <w:rsid w:val="00277036"/>
    <w:rsid w:val="00277DDE"/>
    <w:rsid w:val="00283D78"/>
    <w:rsid w:val="002858EC"/>
    <w:rsid w:val="002864C4"/>
    <w:rsid w:val="002911DD"/>
    <w:rsid w:val="00294E39"/>
    <w:rsid w:val="00296585"/>
    <w:rsid w:val="002A02D9"/>
    <w:rsid w:val="002A091F"/>
    <w:rsid w:val="002A0A8F"/>
    <w:rsid w:val="002A0FEA"/>
    <w:rsid w:val="002A7559"/>
    <w:rsid w:val="002B0A9C"/>
    <w:rsid w:val="002B172A"/>
    <w:rsid w:val="002B1C5C"/>
    <w:rsid w:val="002B46F3"/>
    <w:rsid w:val="002B7334"/>
    <w:rsid w:val="002C112C"/>
    <w:rsid w:val="002C1860"/>
    <w:rsid w:val="002C2819"/>
    <w:rsid w:val="002C3859"/>
    <w:rsid w:val="002C5278"/>
    <w:rsid w:val="002C7507"/>
    <w:rsid w:val="002D0E48"/>
    <w:rsid w:val="002D24B8"/>
    <w:rsid w:val="002D4F5C"/>
    <w:rsid w:val="002D5C3C"/>
    <w:rsid w:val="002E0096"/>
    <w:rsid w:val="002E2114"/>
    <w:rsid w:val="002E32F2"/>
    <w:rsid w:val="002E490F"/>
    <w:rsid w:val="002E51C4"/>
    <w:rsid w:val="002E524F"/>
    <w:rsid w:val="002E5C78"/>
    <w:rsid w:val="002E6DCF"/>
    <w:rsid w:val="002F040D"/>
    <w:rsid w:val="002F5053"/>
    <w:rsid w:val="002F64A9"/>
    <w:rsid w:val="002F718D"/>
    <w:rsid w:val="0030045C"/>
    <w:rsid w:val="0030114A"/>
    <w:rsid w:val="00303D75"/>
    <w:rsid w:val="00304B80"/>
    <w:rsid w:val="00306066"/>
    <w:rsid w:val="00313926"/>
    <w:rsid w:val="00314DBB"/>
    <w:rsid w:val="00315FA7"/>
    <w:rsid w:val="003175DD"/>
    <w:rsid w:val="003212C3"/>
    <w:rsid w:val="003244E5"/>
    <w:rsid w:val="0032750A"/>
    <w:rsid w:val="0032770B"/>
    <w:rsid w:val="0032785F"/>
    <w:rsid w:val="0033124F"/>
    <w:rsid w:val="00332817"/>
    <w:rsid w:val="003409F7"/>
    <w:rsid w:val="00341075"/>
    <w:rsid w:val="0034227E"/>
    <w:rsid w:val="003443FF"/>
    <w:rsid w:val="003445E5"/>
    <w:rsid w:val="003460C8"/>
    <w:rsid w:val="00346A3E"/>
    <w:rsid w:val="00346B53"/>
    <w:rsid w:val="003505A4"/>
    <w:rsid w:val="00350A7A"/>
    <w:rsid w:val="00350B33"/>
    <w:rsid w:val="00351FED"/>
    <w:rsid w:val="00352355"/>
    <w:rsid w:val="0036193C"/>
    <w:rsid w:val="00362223"/>
    <w:rsid w:val="003629BB"/>
    <w:rsid w:val="00363066"/>
    <w:rsid w:val="00364364"/>
    <w:rsid w:val="00366B8D"/>
    <w:rsid w:val="00366BAC"/>
    <w:rsid w:val="003707F0"/>
    <w:rsid w:val="0037520C"/>
    <w:rsid w:val="00380E4F"/>
    <w:rsid w:val="003817A3"/>
    <w:rsid w:val="00381F21"/>
    <w:rsid w:val="00381FD7"/>
    <w:rsid w:val="003869D9"/>
    <w:rsid w:val="00387D0B"/>
    <w:rsid w:val="003911DF"/>
    <w:rsid w:val="003935B8"/>
    <w:rsid w:val="00395282"/>
    <w:rsid w:val="003955A3"/>
    <w:rsid w:val="00395E05"/>
    <w:rsid w:val="003A0CD9"/>
    <w:rsid w:val="003A1502"/>
    <w:rsid w:val="003A2033"/>
    <w:rsid w:val="003A2864"/>
    <w:rsid w:val="003A2F08"/>
    <w:rsid w:val="003A43CE"/>
    <w:rsid w:val="003A43F3"/>
    <w:rsid w:val="003A5590"/>
    <w:rsid w:val="003A631D"/>
    <w:rsid w:val="003A70FA"/>
    <w:rsid w:val="003B044D"/>
    <w:rsid w:val="003B15D9"/>
    <w:rsid w:val="003B49C4"/>
    <w:rsid w:val="003B535D"/>
    <w:rsid w:val="003B6355"/>
    <w:rsid w:val="003C1D40"/>
    <w:rsid w:val="003C1FDD"/>
    <w:rsid w:val="003C3F33"/>
    <w:rsid w:val="003C66E8"/>
    <w:rsid w:val="003D58AD"/>
    <w:rsid w:val="003D76CF"/>
    <w:rsid w:val="003E0862"/>
    <w:rsid w:val="003E1084"/>
    <w:rsid w:val="003E2A23"/>
    <w:rsid w:val="003E2D45"/>
    <w:rsid w:val="003E513F"/>
    <w:rsid w:val="003E6B3D"/>
    <w:rsid w:val="003F1CF5"/>
    <w:rsid w:val="003F60FC"/>
    <w:rsid w:val="003F7249"/>
    <w:rsid w:val="003F7A57"/>
    <w:rsid w:val="0040304D"/>
    <w:rsid w:val="00405788"/>
    <w:rsid w:val="0040606D"/>
    <w:rsid w:val="004073E6"/>
    <w:rsid w:val="00411CC0"/>
    <w:rsid w:val="00412612"/>
    <w:rsid w:val="00415615"/>
    <w:rsid w:val="00415FD6"/>
    <w:rsid w:val="00423538"/>
    <w:rsid w:val="00424820"/>
    <w:rsid w:val="00424A1E"/>
    <w:rsid w:val="0042553B"/>
    <w:rsid w:val="00427949"/>
    <w:rsid w:val="00427FC5"/>
    <w:rsid w:val="00431306"/>
    <w:rsid w:val="004319F8"/>
    <w:rsid w:val="0043321E"/>
    <w:rsid w:val="00433576"/>
    <w:rsid w:val="004341E0"/>
    <w:rsid w:val="004360EB"/>
    <w:rsid w:val="00437483"/>
    <w:rsid w:val="004448DA"/>
    <w:rsid w:val="00446D74"/>
    <w:rsid w:val="004475A6"/>
    <w:rsid w:val="00450FC9"/>
    <w:rsid w:val="00452378"/>
    <w:rsid w:val="00452E1F"/>
    <w:rsid w:val="00455FE0"/>
    <w:rsid w:val="004604DB"/>
    <w:rsid w:val="004604DE"/>
    <w:rsid w:val="00460AAC"/>
    <w:rsid w:val="00463929"/>
    <w:rsid w:val="00465A3F"/>
    <w:rsid w:val="0046645B"/>
    <w:rsid w:val="00467024"/>
    <w:rsid w:val="00470F35"/>
    <w:rsid w:val="00473929"/>
    <w:rsid w:val="00473BEB"/>
    <w:rsid w:val="004753A1"/>
    <w:rsid w:val="004757DB"/>
    <w:rsid w:val="0048082A"/>
    <w:rsid w:val="00480C68"/>
    <w:rsid w:val="004812E5"/>
    <w:rsid w:val="00482E62"/>
    <w:rsid w:val="004837F3"/>
    <w:rsid w:val="00485245"/>
    <w:rsid w:val="00485392"/>
    <w:rsid w:val="004864AC"/>
    <w:rsid w:val="00487388"/>
    <w:rsid w:val="0049059C"/>
    <w:rsid w:val="00493028"/>
    <w:rsid w:val="004A41C1"/>
    <w:rsid w:val="004B21D4"/>
    <w:rsid w:val="004B2316"/>
    <w:rsid w:val="004B5CD4"/>
    <w:rsid w:val="004C3F8D"/>
    <w:rsid w:val="004C510B"/>
    <w:rsid w:val="004C5166"/>
    <w:rsid w:val="004E4374"/>
    <w:rsid w:val="004E65E7"/>
    <w:rsid w:val="004E66AB"/>
    <w:rsid w:val="004F0932"/>
    <w:rsid w:val="004F3601"/>
    <w:rsid w:val="004F403F"/>
    <w:rsid w:val="004F50BA"/>
    <w:rsid w:val="004F5736"/>
    <w:rsid w:val="004F6A06"/>
    <w:rsid w:val="004F7577"/>
    <w:rsid w:val="00500BBC"/>
    <w:rsid w:val="00503EC9"/>
    <w:rsid w:val="005042DE"/>
    <w:rsid w:val="00507AFC"/>
    <w:rsid w:val="00511561"/>
    <w:rsid w:val="0051249B"/>
    <w:rsid w:val="005156EA"/>
    <w:rsid w:val="00516B14"/>
    <w:rsid w:val="00517AD8"/>
    <w:rsid w:val="005211AF"/>
    <w:rsid w:val="00523C09"/>
    <w:rsid w:val="00525972"/>
    <w:rsid w:val="005261C9"/>
    <w:rsid w:val="00526809"/>
    <w:rsid w:val="005305F9"/>
    <w:rsid w:val="005339C5"/>
    <w:rsid w:val="00534796"/>
    <w:rsid w:val="005361FB"/>
    <w:rsid w:val="00536FF0"/>
    <w:rsid w:val="005404A8"/>
    <w:rsid w:val="005443C8"/>
    <w:rsid w:val="005455A4"/>
    <w:rsid w:val="00547B39"/>
    <w:rsid w:val="005500E5"/>
    <w:rsid w:val="00551113"/>
    <w:rsid w:val="00552C53"/>
    <w:rsid w:val="00552D9B"/>
    <w:rsid w:val="00553660"/>
    <w:rsid w:val="0056004D"/>
    <w:rsid w:val="005600A3"/>
    <w:rsid w:val="00560CF5"/>
    <w:rsid w:val="005627FC"/>
    <w:rsid w:val="00562F72"/>
    <w:rsid w:val="00570262"/>
    <w:rsid w:val="005706A4"/>
    <w:rsid w:val="00571B73"/>
    <w:rsid w:val="0057273A"/>
    <w:rsid w:val="005766C5"/>
    <w:rsid w:val="00576C9B"/>
    <w:rsid w:val="00581D54"/>
    <w:rsid w:val="00583C01"/>
    <w:rsid w:val="0058602C"/>
    <w:rsid w:val="00586970"/>
    <w:rsid w:val="00593ABD"/>
    <w:rsid w:val="00596D0B"/>
    <w:rsid w:val="00597A7C"/>
    <w:rsid w:val="005A0B88"/>
    <w:rsid w:val="005A182B"/>
    <w:rsid w:val="005A2476"/>
    <w:rsid w:val="005A7093"/>
    <w:rsid w:val="005B01F7"/>
    <w:rsid w:val="005B3209"/>
    <w:rsid w:val="005B67E5"/>
    <w:rsid w:val="005C115F"/>
    <w:rsid w:val="005C1531"/>
    <w:rsid w:val="005C2995"/>
    <w:rsid w:val="005C699B"/>
    <w:rsid w:val="005D0B56"/>
    <w:rsid w:val="005D156F"/>
    <w:rsid w:val="005D1F18"/>
    <w:rsid w:val="005D2576"/>
    <w:rsid w:val="005E0838"/>
    <w:rsid w:val="005E27B7"/>
    <w:rsid w:val="005E32BB"/>
    <w:rsid w:val="005E36E4"/>
    <w:rsid w:val="005E3C93"/>
    <w:rsid w:val="005E4689"/>
    <w:rsid w:val="005E54FC"/>
    <w:rsid w:val="005E7D3D"/>
    <w:rsid w:val="005F0521"/>
    <w:rsid w:val="005F1704"/>
    <w:rsid w:val="005F198A"/>
    <w:rsid w:val="005F1CE7"/>
    <w:rsid w:val="005F1EFC"/>
    <w:rsid w:val="005F2CCB"/>
    <w:rsid w:val="005F53B3"/>
    <w:rsid w:val="005F726F"/>
    <w:rsid w:val="00600603"/>
    <w:rsid w:val="00601A51"/>
    <w:rsid w:val="00601C58"/>
    <w:rsid w:val="00602130"/>
    <w:rsid w:val="006026DB"/>
    <w:rsid w:val="00604907"/>
    <w:rsid w:val="00606CA4"/>
    <w:rsid w:val="00611AB8"/>
    <w:rsid w:val="00621E70"/>
    <w:rsid w:val="0062529D"/>
    <w:rsid w:val="00625530"/>
    <w:rsid w:val="00630003"/>
    <w:rsid w:val="00631D25"/>
    <w:rsid w:val="0063421A"/>
    <w:rsid w:val="0063458A"/>
    <w:rsid w:val="006347E8"/>
    <w:rsid w:val="00635AED"/>
    <w:rsid w:val="00640750"/>
    <w:rsid w:val="006414EF"/>
    <w:rsid w:val="00646546"/>
    <w:rsid w:val="00651B0B"/>
    <w:rsid w:val="0065423F"/>
    <w:rsid w:val="0065500E"/>
    <w:rsid w:val="00655EA6"/>
    <w:rsid w:val="006573CC"/>
    <w:rsid w:val="00657E8F"/>
    <w:rsid w:val="00660F6D"/>
    <w:rsid w:val="00662D53"/>
    <w:rsid w:val="0066314C"/>
    <w:rsid w:val="006635B8"/>
    <w:rsid w:val="0066389D"/>
    <w:rsid w:val="006652EE"/>
    <w:rsid w:val="00666D79"/>
    <w:rsid w:val="00671A0F"/>
    <w:rsid w:val="0067209B"/>
    <w:rsid w:val="00672A91"/>
    <w:rsid w:val="00675140"/>
    <w:rsid w:val="0067760E"/>
    <w:rsid w:val="0067779F"/>
    <w:rsid w:val="00680FA0"/>
    <w:rsid w:val="006817ED"/>
    <w:rsid w:val="00681A26"/>
    <w:rsid w:val="00686F59"/>
    <w:rsid w:val="00687C89"/>
    <w:rsid w:val="00691342"/>
    <w:rsid w:val="00695FC2"/>
    <w:rsid w:val="00696D1A"/>
    <w:rsid w:val="006A067D"/>
    <w:rsid w:val="006A1198"/>
    <w:rsid w:val="006A2751"/>
    <w:rsid w:val="006A5504"/>
    <w:rsid w:val="006A693A"/>
    <w:rsid w:val="006A69BA"/>
    <w:rsid w:val="006A728C"/>
    <w:rsid w:val="006B1809"/>
    <w:rsid w:val="006B23FE"/>
    <w:rsid w:val="006B292D"/>
    <w:rsid w:val="006B356B"/>
    <w:rsid w:val="006B4FB7"/>
    <w:rsid w:val="006B5120"/>
    <w:rsid w:val="006C0CD9"/>
    <w:rsid w:val="006C1972"/>
    <w:rsid w:val="006C210F"/>
    <w:rsid w:val="006C2299"/>
    <w:rsid w:val="006C3B8C"/>
    <w:rsid w:val="006C76BA"/>
    <w:rsid w:val="006D062D"/>
    <w:rsid w:val="006D15A8"/>
    <w:rsid w:val="006E3AB5"/>
    <w:rsid w:val="006E412F"/>
    <w:rsid w:val="006E4297"/>
    <w:rsid w:val="006F0E49"/>
    <w:rsid w:val="006F26A4"/>
    <w:rsid w:val="006F4ABE"/>
    <w:rsid w:val="006F4B02"/>
    <w:rsid w:val="006F4B5E"/>
    <w:rsid w:val="00703AEC"/>
    <w:rsid w:val="007048BC"/>
    <w:rsid w:val="0070537E"/>
    <w:rsid w:val="00705E5E"/>
    <w:rsid w:val="0071254B"/>
    <w:rsid w:val="00713C82"/>
    <w:rsid w:val="0072032F"/>
    <w:rsid w:val="00720A47"/>
    <w:rsid w:val="00721456"/>
    <w:rsid w:val="0072205B"/>
    <w:rsid w:val="007221F0"/>
    <w:rsid w:val="0072577A"/>
    <w:rsid w:val="007257C8"/>
    <w:rsid w:val="00732BE6"/>
    <w:rsid w:val="00732F00"/>
    <w:rsid w:val="007344B6"/>
    <w:rsid w:val="00734E6E"/>
    <w:rsid w:val="00740913"/>
    <w:rsid w:val="00740C9A"/>
    <w:rsid w:val="00741C3E"/>
    <w:rsid w:val="0074215A"/>
    <w:rsid w:val="00750406"/>
    <w:rsid w:val="00757491"/>
    <w:rsid w:val="0076297A"/>
    <w:rsid w:val="0076353B"/>
    <w:rsid w:val="00765C7A"/>
    <w:rsid w:val="00766419"/>
    <w:rsid w:val="00772C60"/>
    <w:rsid w:val="007743DE"/>
    <w:rsid w:val="00775315"/>
    <w:rsid w:val="00775C67"/>
    <w:rsid w:val="00780D5B"/>
    <w:rsid w:val="00782B60"/>
    <w:rsid w:val="007847EB"/>
    <w:rsid w:val="00785CB4"/>
    <w:rsid w:val="00790F31"/>
    <w:rsid w:val="007946BB"/>
    <w:rsid w:val="007A0F61"/>
    <w:rsid w:val="007A2442"/>
    <w:rsid w:val="007A3DA0"/>
    <w:rsid w:val="007B0416"/>
    <w:rsid w:val="007B09E5"/>
    <w:rsid w:val="007B1BF9"/>
    <w:rsid w:val="007B3AB9"/>
    <w:rsid w:val="007B404B"/>
    <w:rsid w:val="007B4076"/>
    <w:rsid w:val="007B4F16"/>
    <w:rsid w:val="007B50D7"/>
    <w:rsid w:val="007B5429"/>
    <w:rsid w:val="007C17E5"/>
    <w:rsid w:val="007C3B67"/>
    <w:rsid w:val="007C3E92"/>
    <w:rsid w:val="007C4845"/>
    <w:rsid w:val="007C5583"/>
    <w:rsid w:val="007D039D"/>
    <w:rsid w:val="007D0ECF"/>
    <w:rsid w:val="007D1304"/>
    <w:rsid w:val="007E3332"/>
    <w:rsid w:val="007E339B"/>
    <w:rsid w:val="007E3F29"/>
    <w:rsid w:val="007E5D6F"/>
    <w:rsid w:val="007F106E"/>
    <w:rsid w:val="007F1085"/>
    <w:rsid w:val="007F3527"/>
    <w:rsid w:val="007F6894"/>
    <w:rsid w:val="007F7584"/>
    <w:rsid w:val="007F76CF"/>
    <w:rsid w:val="007F77F4"/>
    <w:rsid w:val="007F7DED"/>
    <w:rsid w:val="00800B94"/>
    <w:rsid w:val="00801031"/>
    <w:rsid w:val="0080113B"/>
    <w:rsid w:val="008020B8"/>
    <w:rsid w:val="0080250A"/>
    <w:rsid w:val="00803498"/>
    <w:rsid w:val="00803D47"/>
    <w:rsid w:val="00806338"/>
    <w:rsid w:val="0080676E"/>
    <w:rsid w:val="008072D3"/>
    <w:rsid w:val="00811A75"/>
    <w:rsid w:val="00813832"/>
    <w:rsid w:val="0081462B"/>
    <w:rsid w:val="00816182"/>
    <w:rsid w:val="00817598"/>
    <w:rsid w:val="00817B2B"/>
    <w:rsid w:val="00820613"/>
    <w:rsid w:val="00820C31"/>
    <w:rsid w:val="00820C52"/>
    <w:rsid w:val="00821508"/>
    <w:rsid w:val="00831BB5"/>
    <w:rsid w:val="00832A12"/>
    <w:rsid w:val="00832F4D"/>
    <w:rsid w:val="00837D2F"/>
    <w:rsid w:val="00837F68"/>
    <w:rsid w:val="00841B16"/>
    <w:rsid w:val="0084296F"/>
    <w:rsid w:val="00843002"/>
    <w:rsid w:val="00846200"/>
    <w:rsid w:val="008535B8"/>
    <w:rsid w:val="008563F3"/>
    <w:rsid w:val="00860F75"/>
    <w:rsid w:val="00862CE3"/>
    <w:rsid w:val="00870124"/>
    <w:rsid w:val="008702EC"/>
    <w:rsid w:val="008715B7"/>
    <w:rsid w:val="00871F39"/>
    <w:rsid w:val="008723A2"/>
    <w:rsid w:val="00872D20"/>
    <w:rsid w:val="00873097"/>
    <w:rsid w:val="008734A8"/>
    <w:rsid w:val="00883825"/>
    <w:rsid w:val="00883B50"/>
    <w:rsid w:val="00885211"/>
    <w:rsid w:val="00885A6E"/>
    <w:rsid w:val="00886430"/>
    <w:rsid w:val="008901B6"/>
    <w:rsid w:val="00890E38"/>
    <w:rsid w:val="00893037"/>
    <w:rsid w:val="00893DB8"/>
    <w:rsid w:val="0089501E"/>
    <w:rsid w:val="00896B18"/>
    <w:rsid w:val="00897ECD"/>
    <w:rsid w:val="008A08F6"/>
    <w:rsid w:val="008A1FC8"/>
    <w:rsid w:val="008A3D50"/>
    <w:rsid w:val="008B20BD"/>
    <w:rsid w:val="008B4FE2"/>
    <w:rsid w:val="008B6F51"/>
    <w:rsid w:val="008B7923"/>
    <w:rsid w:val="008B7C24"/>
    <w:rsid w:val="008C097B"/>
    <w:rsid w:val="008C162E"/>
    <w:rsid w:val="008C1770"/>
    <w:rsid w:val="008D09E1"/>
    <w:rsid w:val="008D237D"/>
    <w:rsid w:val="008D249F"/>
    <w:rsid w:val="008D2991"/>
    <w:rsid w:val="008D425A"/>
    <w:rsid w:val="008D48D5"/>
    <w:rsid w:val="008D7613"/>
    <w:rsid w:val="008E3D44"/>
    <w:rsid w:val="008E4090"/>
    <w:rsid w:val="008E447D"/>
    <w:rsid w:val="008E5DE3"/>
    <w:rsid w:val="008F0620"/>
    <w:rsid w:val="008F1925"/>
    <w:rsid w:val="008F3BF7"/>
    <w:rsid w:val="008F5E55"/>
    <w:rsid w:val="00900967"/>
    <w:rsid w:val="00901DD4"/>
    <w:rsid w:val="0090297D"/>
    <w:rsid w:val="00903D37"/>
    <w:rsid w:val="00904CBF"/>
    <w:rsid w:val="00906146"/>
    <w:rsid w:val="00906F13"/>
    <w:rsid w:val="00910E4D"/>
    <w:rsid w:val="009132D9"/>
    <w:rsid w:val="009144AF"/>
    <w:rsid w:val="00921099"/>
    <w:rsid w:val="0092447A"/>
    <w:rsid w:val="00925CCA"/>
    <w:rsid w:val="00934DAF"/>
    <w:rsid w:val="00935652"/>
    <w:rsid w:val="0093647F"/>
    <w:rsid w:val="00940225"/>
    <w:rsid w:val="00942D95"/>
    <w:rsid w:val="00943638"/>
    <w:rsid w:val="00944D10"/>
    <w:rsid w:val="009514BA"/>
    <w:rsid w:val="0095300C"/>
    <w:rsid w:val="009572AD"/>
    <w:rsid w:val="00962F0D"/>
    <w:rsid w:val="009647C9"/>
    <w:rsid w:val="0096758F"/>
    <w:rsid w:val="009705EE"/>
    <w:rsid w:val="0097138B"/>
    <w:rsid w:val="00972ADF"/>
    <w:rsid w:val="00972C61"/>
    <w:rsid w:val="00972D9D"/>
    <w:rsid w:val="0097494E"/>
    <w:rsid w:val="009802EA"/>
    <w:rsid w:val="0098063C"/>
    <w:rsid w:val="0098257A"/>
    <w:rsid w:val="00986892"/>
    <w:rsid w:val="00986944"/>
    <w:rsid w:val="009921E3"/>
    <w:rsid w:val="00992CF7"/>
    <w:rsid w:val="0099430C"/>
    <w:rsid w:val="00996FB3"/>
    <w:rsid w:val="009A2D02"/>
    <w:rsid w:val="009A2E38"/>
    <w:rsid w:val="009A30CD"/>
    <w:rsid w:val="009A7F30"/>
    <w:rsid w:val="009B0E5F"/>
    <w:rsid w:val="009B383B"/>
    <w:rsid w:val="009B5444"/>
    <w:rsid w:val="009B6F0D"/>
    <w:rsid w:val="009B7BC3"/>
    <w:rsid w:val="009C51E5"/>
    <w:rsid w:val="009C6F9D"/>
    <w:rsid w:val="009C739E"/>
    <w:rsid w:val="009C7813"/>
    <w:rsid w:val="009D0115"/>
    <w:rsid w:val="009D158A"/>
    <w:rsid w:val="009D188E"/>
    <w:rsid w:val="009D1F72"/>
    <w:rsid w:val="009D227B"/>
    <w:rsid w:val="009D244A"/>
    <w:rsid w:val="009D266F"/>
    <w:rsid w:val="009D2AF7"/>
    <w:rsid w:val="009D41F4"/>
    <w:rsid w:val="009D7B7A"/>
    <w:rsid w:val="009E0626"/>
    <w:rsid w:val="009E0C2A"/>
    <w:rsid w:val="009E3580"/>
    <w:rsid w:val="009F113F"/>
    <w:rsid w:val="009F29E0"/>
    <w:rsid w:val="009F3675"/>
    <w:rsid w:val="009F72D3"/>
    <w:rsid w:val="00A007D9"/>
    <w:rsid w:val="00A008A0"/>
    <w:rsid w:val="00A02593"/>
    <w:rsid w:val="00A02E65"/>
    <w:rsid w:val="00A03B18"/>
    <w:rsid w:val="00A03D89"/>
    <w:rsid w:val="00A06EF2"/>
    <w:rsid w:val="00A07712"/>
    <w:rsid w:val="00A10460"/>
    <w:rsid w:val="00A152FC"/>
    <w:rsid w:val="00A20A72"/>
    <w:rsid w:val="00A20C8D"/>
    <w:rsid w:val="00A248BC"/>
    <w:rsid w:val="00A2764C"/>
    <w:rsid w:val="00A27AFE"/>
    <w:rsid w:val="00A3440D"/>
    <w:rsid w:val="00A35ADC"/>
    <w:rsid w:val="00A415C1"/>
    <w:rsid w:val="00A4180D"/>
    <w:rsid w:val="00A44591"/>
    <w:rsid w:val="00A457D1"/>
    <w:rsid w:val="00A45E1A"/>
    <w:rsid w:val="00A50391"/>
    <w:rsid w:val="00A5133F"/>
    <w:rsid w:val="00A51B5A"/>
    <w:rsid w:val="00A56903"/>
    <w:rsid w:val="00A635E0"/>
    <w:rsid w:val="00A63860"/>
    <w:rsid w:val="00A64282"/>
    <w:rsid w:val="00A66CAE"/>
    <w:rsid w:val="00A66F84"/>
    <w:rsid w:val="00A7741B"/>
    <w:rsid w:val="00A8015C"/>
    <w:rsid w:val="00A802B8"/>
    <w:rsid w:val="00A86E9E"/>
    <w:rsid w:val="00A9023A"/>
    <w:rsid w:val="00A91D57"/>
    <w:rsid w:val="00A9378C"/>
    <w:rsid w:val="00A938D6"/>
    <w:rsid w:val="00A968E1"/>
    <w:rsid w:val="00AA45B3"/>
    <w:rsid w:val="00AA4F33"/>
    <w:rsid w:val="00AA5E07"/>
    <w:rsid w:val="00AA7158"/>
    <w:rsid w:val="00AB13BE"/>
    <w:rsid w:val="00AB1CB2"/>
    <w:rsid w:val="00AB3244"/>
    <w:rsid w:val="00AB3358"/>
    <w:rsid w:val="00AB3F07"/>
    <w:rsid w:val="00AB4F8B"/>
    <w:rsid w:val="00AB5391"/>
    <w:rsid w:val="00AC1578"/>
    <w:rsid w:val="00AC42A4"/>
    <w:rsid w:val="00AC4C8E"/>
    <w:rsid w:val="00AC527A"/>
    <w:rsid w:val="00AC5DD4"/>
    <w:rsid w:val="00AC65AE"/>
    <w:rsid w:val="00AD0E64"/>
    <w:rsid w:val="00AD2141"/>
    <w:rsid w:val="00AD653A"/>
    <w:rsid w:val="00AE1353"/>
    <w:rsid w:val="00AE778F"/>
    <w:rsid w:val="00AE7DAA"/>
    <w:rsid w:val="00AF516D"/>
    <w:rsid w:val="00AF69D5"/>
    <w:rsid w:val="00AF7F57"/>
    <w:rsid w:val="00B046BE"/>
    <w:rsid w:val="00B106FA"/>
    <w:rsid w:val="00B10759"/>
    <w:rsid w:val="00B13DA6"/>
    <w:rsid w:val="00B14A45"/>
    <w:rsid w:val="00B16825"/>
    <w:rsid w:val="00B20C74"/>
    <w:rsid w:val="00B228CA"/>
    <w:rsid w:val="00B31C7C"/>
    <w:rsid w:val="00B376BA"/>
    <w:rsid w:val="00B420D7"/>
    <w:rsid w:val="00B4460E"/>
    <w:rsid w:val="00B44E66"/>
    <w:rsid w:val="00B458E4"/>
    <w:rsid w:val="00B470F8"/>
    <w:rsid w:val="00B471A5"/>
    <w:rsid w:val="00B477D6"/>
    <w:rsid w:val="00B47804"/>
    <w:rsid w:val="00B47B08"/>
    <w:rsid w:val="00B50272"/>
    <w:rsid w:val="00B50573"/>
    <w:rsid w:val="00B51B2F"/>
    <w:rsid w:val="00B52A04"/>
    <w:rsid w:val="00B54B0F"/>
    <w:rsid w:val="00B550EC"/>
    <w:rsid w:val="00B61CAB"/>
    <w:rsid w:val="00B6235C"/>
    <w:rsid w:val="00B655A8"/>
    <w:rsid w:val="00B731CC"/>
    <w:rsid w:val="00B75D59"/>
    <w:rsid w:val="00B77BD7"/>
    <w:rsid w:val="00B83A85"/>
    <w:rsid w:val="00B84CE2"/>
    <w:rsid w:val="00B86930"/>
    <w:rsid w:val="00B86ED8"/>
    <w:rsid w:val="00B876BE"/>
    <w:rsid w:val="00B914B6"/>
    <w:rsid w:val="00B917C5"/>
    <w:rsid w:val="00B92BE6"/>
    <w:rsid w:val="00B93D6C"/>
    <w:rsid w:val="00B9420A"/>
    <w:rsid w:val="00B951D2"/>
    <w:rsid w:val="00B9713E"/>
    <w:rsid w:val="00B97811"/>
    <w:rsid w:val="00BA6764"/>
    <w:rsid w:val="00BA75F5"/>
    <w:rsid w:val="00BB0AA5"/>
    <w:rsid w:val="00BC3036"/>
    <w:rsid w:val="00BC3AE7"/>
    <w:rsid w:val="00BC50D6"/>
    <w:rsid w:val="00BC5438"/>
    <w:rsid w:val="00BC7A21"/>
    <w:rsid w:val="00BD095E"/>
    <w:rsid w:val="00BD1177"/>
    <w:rsid w:val="00BD2C60"/>
    <w:rsid w:val="00BD4F4A"/>
    <w:rsid w:val="00BD58A1"/>
    <w:rsid w:val="00BD69A5"/>
    <w:rsid w:val="00BE268A"/>
    <w:rsid w:val="00BE547F"/>
    <w:rsid w:val="00BE761E"/>
    <w:rsid w:val="00BF0CC3"/>
    <w:rsid w:val="00BF1268"/>
    <w:rsid w:val="00BF29DC"/>
    <w:rsid w:val="00BF5555"/>
    <w:rsid w:val="00BF5572"/>
    <w:rsid w:val="00BF7BB2"/>
    <w:rsid w:val="00C020C8"/>
    <w:rsid w:val="00C022A7"/>
    <w:rsid w:val="00C04753"/>
    <w:rsid w:val="00C047D5"/>
    <w:rsid w:val="00C0502A"/>
    <w:rsid w:val="00C061ED"/>
    <w:rsid w:val="00C07D08"/>
    <w:rsid w:val="00C10F53"/>
    <w:rsid w:val="00C12FCB"/>
    <w:rsid w:val="00C13B01"/>
    <w:rsid w:val="00C13C6D"/>
    <w:rsid w:val="00C170CB"/>
    <w:rsid w:val="00C17136"/>
    <w:rsid w:val="00C20483"/>
    <w:rsid w:val="00C244AA"/>
    <w:rsid w:val="00C262F2"/>
    <w:rsid w:val="00C27CF2"/>
    <w:rsid w:val="00C27FFA"/>
    <w:rsid w:val="00C301FF"/>
    <w:rsid w:val="00C33F04"/>
    <w:rsid w:val="00C3483E"/>
    <w:rsid w:val="00C35D55"/>
    <w:rsid w:val="00C40F14"/>
    <w:rsid w:val="00C444B5"/>
    <w:rsid w:val="00C45870"/>
    <w:rsid w:val="00C56451"/>
    <w:rsid w:val="00C5733B"/>
    <w:rsid w:val="00C601A1"/>
    <w:rsid w:val="00C641F0"/>
    <w:rsid w:val="00C665C1"/>
    <w:rsid w:val="00C66676"/>
    <w:rsid w:val="00C70F9D"/>
    <w:rsid w:val="00C71783"/>
    <w:rsid w:val="00C71879"/>
    <w:rsid w:val="00C720B3"/>
    <w:rsid w:val="00C75E4E"/>
    <w:rsid w:val="00C76F20"/>
    <w:rsid w:val="00C81D9D"/>
    <w:rsid w:val="00C8255A"/>
    <w:rsid w:val="00C858A6"/>
    <w:rsid w:val="00C93F00"/>
    <w:rsid w:val="00C953E6"/>
    <w:rsid w:val="00C957FF"/>
    <w:rsid w:val="00C95AA0"/>
    <w:rsid w:val="00C97CED"/>
    <w:rsid w:val="00CA085C"/>
    <w:rsid w:val="00CA0F85"/>
    <w:rsid w:val="00CA396B"/>
    <w:rsid w:val="00CA734E"/>
    <w:rsid w:val="00CB316D"/>
    <w:rsid w:val="00CB3DB9"/>
    <w:rsid w:val="00CB42E9"/>
    <w:rsid w:val="00CC2171"/>
    <w:rsid w:val="00CC2173"/>
    <w:rsid w:val="00CC3488"/>
    <w:rsid w:val="00CC43F9"/>
    <w:rsid w:val="00CD0244"/>
    <w:rsid w:val="00CD0DD0"/>
    <w:rsid w:val="00CD18FF"/>
    <w:rsid w:val="00CD35D9"/>
    <w:rsid w:val="00CD3B9B"/>
    <w:rsid w:val="00CD5061"/>
    <w:rsid w:val="00CF0A68"/>
    <w:rsid w:val="00CF281D"/>
    <w:rsid w:val="00CF451C"/>
    <w:rsid w:val="00CF6D47"/>
    <w:rsid w:val="00D017B7"/>
    <w:rsid w:val="00D03AA9"/>
    <w:rsid w:val="00D04B26"/>
    <w:rsid w:val="00D04B88"/>
    <w:rsid w:val="00D04ECE"/>
    <w:rsid w:val="00D11372"/>
    <w:rsid w:val="00D20843"/>
    <w:rsid w:val="00D2492C"/>
    <w:rsid w:val="00D26439"/>
    <w:rsid w:val="00D26C7B"/>
    <w:rsid w:val="00D27AED"/>
    <w:rsid w:val="00D30BC2"/>
    <w:rsid w:val="00D3218B"/>
    <w:rsid w:val="00D3275E"/>
    <w:rsid w:val="00D341D7"/>
    <w:rsid w:val="00D41411"/>
    <w:rsid w:val="00D43796"/>
    <w:rsid w:val="00D43E7E"/>
    <w:rsid w:val="00D5366A"/>
    <w:rsid w:val="00D577AA"/>
    <w:rsid w:val="00D61F10"/>
    <w:rsid w:val="00D63B78"/>
    <w:rsid w:val="00D65C38"/>
    <w:rsid w:val="00D669FB"/>
    <w:rsid w:val="00D66A1C"/>
    <w:rsid w:val="00D70A8A"/>
    <w:rsid w:val="00D73DEF"/>
    <w:rsid w:val="00D75B99"/>
    <w:rsid w:val="00D76B88"/>
    <w:rsid w:val="00D8059A"/>
    <w:rsid w:val="00D85381"/>
    <w:rsid w:val="00D86DD4"/>
    <w:rsid w:val="00D91677"/>
    <w:rsid w:val="00D93DBC"/>
    <w:rsid w:val="00D95BF3"/>
    <w:rsid w:val="00D95CF2"/>
    <w:rsid w:val="00D96732"/>
    <w:rsid w:val="00D96AF0"/>
    <w:rsid w:val="00D9706D"/>
    <w:rsid w:val="00DA216A"/>
    <w:rsid w:val="00DA41A1"/>
    <w:rsid w:val="00DA469C"/>
    <w:rsid w:val="00DB1EF9"/>
    <w:rsid w:val="00DB203D"/>
    <w:rsid w:val="00DB5208"/>
    <w:rsid w:val="00DB7D0F"/>
    <w:rsid w:val="00DC0AA3"/>
    <w:rsid w:val="00DC1752"/>
    <w:rsid w:val="00DC2F52"/>
    <w:rsid w:val="00DC454F"/>
    <w:rsid w:val="00DC7EED"/>
    <w:rsid w:val="00DD07D6"/>
    <w:rsid w:val="00DD1F3E"/>
    <w:rsid w:val="00DD3531"/>
    <w:rsid w:val="00DD3D24"/>
    <w:rsid w:val="00DE1959"/>
    <w:rsid w:val="00DE4259"/>
    <w:rsid w:val="00DE6151"/>
    <w:rsid w:val="00DE64CA"/>
    <w:rsid w:val="00DE6637"/>
    <w:rsid w:val="00DE6972"/>
    <w:rsid w:val="00DF0761"/>
    <w:rsid w:val="00DF3CAE"/>
    <w:rsid w:val="00DF5C25"/>
    <w:rsid w:val="00DF68BF"/>
    <w:rsid w:val="00DF697D"/>
    <w:rsid w:val="00E001D4"/>
    <w:rsid w:val="00E00F91"/>
    <w:rsid w:val="00E021B9"/>
    <w:rsid w:val="00E02854"/>
    <w:rsid w:val="00E03A42"/>
    <w:rsid w:val="00E06A64"/>
    <w:rsid w:val="00E07F08"/>
    <w:rsid w:val="00E13B31"/>
    <w:rsid w:val="00E14613"/>
    <w:rsid w:val="00E21247"/>
    <w:rsid w:val="00E242C9"/>
    <w:rsid w:val="00E30180"/>
    <w:rsid w:val="00E30E4E"/>
    <w:rsid w:val="00E317F7"/>
    <w:rsid w:val="00E32B43"/>
    <w:rsid w:val="00E33DB7"/>
    <w:rsid w:val="00E35E99"/>
    <w:rsid w:val="00E368BF"/>
    <w:rsid w:val="00E378D3"/>
    <w:rsid w:val="00E37CE0"/>
    <w:rsid w:val="00E413BC"/>
    <w:rsid w:val="00E44BF6"/>
    <w:rsid w:val="00E44E90"/>
    <w:rsid w:val="00E45972"/>
    <w:rsid w:val="00E46E5C"/>
    <w:rsid w:val="00E51929"/>
    <w:rsid w:val="00E5285A"/>
    <w:rsid w:val="00E52BBD"/>
    <w:rsid w:val="00E5559F"/>
    <w:rsid w:val="00E562CA"/>
    <w:rsid w:val="00E5634B"/>
    <w:rsid w:val="00E56793"/>
    <w:rsid w:val="00E57BBC"/>
    <w:rsid w:val="00E60E6A"/>
    <w:rsid w:val="00E637E0"/>
    <w:rsid w:val="00E67ED1"/>
    <w:rsid w:val="00E67F26"/>
    <w:rsid w:val="00E702B0"/>
    <w:rsid w:val="00E73E10"/>
    <w:rsid w:val="00E76395"/>
    <w:rsid w:val="00E80050"/>
    <w:rsid w:val="00E818A6"/>
    <w:rsid w:val="00E8512F"/>
    <w:rsid w:val="00E851A8"/>
    <w:rsid w:val="00E8569D"/>
    <w:rsid w:val="00E86C4B"/>
    <w:rsid w:val="00E922DC"/>
    <w:rsid w:val="00E933D0"/>
    <w:rsid w:val="00E964EF"/>
    <w:rsid w:val="00E974FE"/>
    <w:rsid w:val="00EA5DC5"/>
    <w:rsid w:val="00EA648A"/>
    <w:rsid w:val="00EB106D"/>
    <w:rsid w:val="00EB1BDE"/>
    <w:rsid w:val="00EB1E72"/>
    <w:rsid w:val="00EB32E5"/>
    <w:rsid w:val="00EB63EA"/>
    <w:rsid w:val="00EB6A00"/>
    <w:rsid w:val="00EB6AE0"/>
    <w:rsid w:val="00EC1B4D"/>
    <w:rsid w:val="00EC540D"/>
    <w:rsid w:val="00EC61D6"/>
    <w:rsid w:val="00EC676C"/>
    <w:rsid w:val="00ED1167"/>
    <w:rsid w:val="00ED3133"/>
    <w:rsid w:val="00EE03C1"/>
    <w:rsid w:val="00EE04EA"/>
    <w:rsid w:val="00EE0B52"/>
    <w:rsid w:val="00EE0D6E"/>
    <w:rsid w:val="00EE12F0"/>
    <w:rsid w:val="00EE696D"/>
    <w:rsid w:val="00EE6B46"/>
    <w:rsid w:val="00EE6C10"/>
    <w:rsid w:val="00EE73A2"/>
    <w:rsid w:val="00EF3213"/>
    <w:rsid w:val="00EF6734"/>
    <w:rsid w:val="00EF6C5B"/>
    <w:rsid w:val="00EF7630"/>
    <w:rsid w:val="00F00919"/>
    <w:rsid w:val="00F010EF"/>
    <w:rsid w:val="00F01780"/>
    <w:rsid w:val="00F02336"/>
    <w:rsid w:val="00F03210"/>
    <w:rsid w:val="00F05D57"/>
    <w:rsid w:val="00F06754"/>
    <w:rsid w:val="00F117DB"/>
    <w:rsid w:val="00F12065"/>
    <w:rsid w:val="00F12BDB"/>
    <w:rsid w:val="00F16E55"/>
    <w:rsid w:val="00F17E56"/>
    <w:rsid w:val="00F204E1"/>
    <w:rsid w:val="00F21A27"/>
    <w:rsid w:val="00F22965"/>
    <w:rsid w:val="00F251FB"/>
    <w:rsid w:val="00F2521A"/>
    <w:rsid w:val="00F27B40"/>
    <w:rsid w:val="00F34733"/>
    <w:rsid w:val="00F4223D"/>
    <w:rsid w:val="00F43397"/>
    <w:rsid w:val="00F435F9"/>
    <w:rsid w:val="00F4460A"/>
    <w:rsid w:val="00F50D8C"/>
    <w:rsid w:val="00F5231F"/>
    <w:rsid w:val="00F62899"/>
    <w:rsid w:val="00F6332C"/>
    <w:rsid w:val="00F6576F"/>
    <w:rsid w:val="00F678A2"/>
    <w:rsid w:val="00F67AB4"/>
    <w:rsid w:val="00F70F06"/>
    <w:rsid w:val="00F7116C"/>
    <w:rsid w:val="00F71768"/>
    <w:rsid w:val="00F75E5C"/>
    <w:rsid w:val="00F77AE9"/>
    <w:rsid w:val="00F8098C"/>
    <w:rsid w:val="00F81A5B"/>
    <w:rsid w:val="00F834D5"/>
    <w:rsid w:val="00F83D6B"/>
    <w:rsid w:val="00F878BC"/>
    <w:rsid w:val="00F9337C"/>
    <w:rsid w:val="00F93DE1"/>
    <w:rsid w:val="00F9484C"/>
    <w:rsid w:val="00F95B49"/>
    <w:rsid w:val="00F95E72"/>
    <w:rsid w:val="00F9618C"/>
    <w:rsid w:val="00F97439"/>
    <w:rsid w:val="00FA03B3"/>
    <w:rsid w:val="00FA17C4"/>
    <w:rsid w:val="00FA2393"/>
    <w:rsid w:val="00FA321B"/>
    <w:rsid w:val="00FA34A9"/>
    <w:rsid w:val="00FA543A"/>
    <w:rsid w:val="00FB0E8B"/>
    <w:rsid w:val="00FB2F45"/>
    <w:rsid w:val="00FB5D09"/>
    <w:rsid w:val="00FB6225"/>
    <w:rsid w:val="00FB64BE"/>
    <w:rsid w:val="00FC2C8E"/>
    <w:rsid w:val="00FC4E6F"/>
    <w:rsid w:val="00FC4EF6"/>
    <w:rsid w:val="00FC5F28"/>
    <w:rsid w:val="00FD064B"/>
    <w:rsid w:val="00FD4B50"/>
    <w:rsid w:val="00FD548E"/>
    <w:rsid w:val="00FD57ED"/>
    <w:rsid w:val="00FE16B4"/>
    <w:rsid w:val="00FE37EE"/>
    <w:rsid w:val="00FE6315"/>
    <w:rsid w:val="00FE7B51"/>
    <w:rsid w:val="00FF1468"/>
    <w:rsid w:val="00FF37E0"/>
    <w:rsid w:val="00FF50B1"/>
    <w:rsid w:val="00FF51C9"/>
    <w:rsid w:val="00FF528E"/>
    <w:rsid w:val="00FF5B39"/>
    <w:rsid w:val="00FF5CF2"/>
    <w:rsid w:val="012A5840"/>
    <w:rsid w:val="01572FC0"/>
    <w:rsid w:val="016821A0"/>
    <w:rsid w:val="016C54AB"/>
    <w:rsid w:val="01A35CEB"/>
    <w:rsid w:val="01EC0334"/>
    <w:rsid w:val="02182ED7"/>
    <w:rsid w:val="02D35DE5"/>
    <w:rsid w:val="02D43B2E"/>
    <w:rsid w:val="030B47EA"/>
    <w:rsid w:val="035E0DBD"/>
    <w:rsid w:val="03653EFA"/>
    <w:rsid w:val="03FA06CB"/>
    <w:rsid w:val="04525250"/>
    <w:rsid w:val="048873F0"/>
    <w:rsid w:val="04C27F80"/>
    <w:rsid w:val="04F35535"/>
    <w:rsid w:val="05863DE1"/>
    <w:rsid w:val="0667442D"/>
    <w:rsid w:val="07283670"/>
    <w:rsid w:val="07E23EC4"/>
    <w:rsid w:val="0870581B"/>
    <w:rsid w:val="092A7F67"/>
    <w:rsid w:val="098A7019"/>
    <w:rsid w:val="0A0E1401"/>
    <w:rsid w:val="0A2F5262"/>
    <w:rsid w:val="0AB17370"/>
    <w:rsid w:val="0ABB4D47"/>
    <w:rsid w:val="0B247F12"/>
    <w:rsid w:val="0BD8142F"/>
    <w:rsid w:val="0BEE5425"/>
    <w:rsid w:val="0C9576C0"/>
    <w:rsid w:val="0D1B1ACD"/>
    <w:rsid w:val="0D4E59FF"/>
    <w:rsid w:val="0DDD3104"/>
    <w:rsid w:val="0E005588"/>
    <w:rsid w:val="0E0F33E0"/>
    <w:rsid w:val="0FCF24D7"/>
    <w:rsid w:val="10B41885"/>
    <w:rsid w:val="114871A2"/>
    <w:rsid w:val="11A6405B"/>
    <w:rsid w:val="11B05467"/>
    <w:rsid w:val="12171C50"/>
    <w:rsid w:val="13541895"/>
    <w:rsid w:val="14B20F69"/>
    <w:rsid w:val="163C2A6B"/>
    <w:rsid w:val="16AB0A36"/>
    <w:rsid w:val="16E758CA"/>
    <w:rsid w:val="17CD5DFE"/>
    <w:rsid w:val="18A94431"/>
    <w:rsid w:val="18C047C8"/>
    <w:rsid w:val="1A6E5932"/>
    <w:rsid w:val="1AB84DFF"/>
    <w:rsid w:val="1B913FB9"/>
    <w:rsid w:val="1C69738D"/>
    <w:rsid w:val="1C9D4496"/>
    <w:rsid w:val="1CD439C2"/>
    <w:rsid w:val="1D0B6A5C"/>
    <w:rsid w:val="1D392227"/>
    <w:rsid w:val="1D644DCB"/>
    <w:rsid w:val="1D687D8B"/>
    <w:rsid w:val="1D992CC6"/>
    <w:rsid w:val="1DE008F5"/>
    <w:rsid w:val="1E332637"/>
    <w:rsid w:val="1EDC0D36"/>
    <w:rsid w:val="1F4E188E"/>
    <w:rsid w:val="1F550E6F"/>
    <w:rsid w:val="203E6532"/>
    <w:rsid w:val="211A411E"/>
    <w:rsid w:val="214B6310"/>
    <w:rsid w:val="21B62626"/>
    <w:rsid w:val="222A4ED8"/>
    <w:rsid w:val="228C2DF9"/>
    <w:rsid w:val="228E5A9E"/>
    <w:rsid w:val="22F10EAE"/>
    <w:rsid w:val="22FE171B"/>
    <w:rsid w:val="234611FA"/>
    <w:rsid w:val="2366364A"/>
    <w:rsid w:val="242816A1"/>
    <w:rsid w:val="246175D1"/>
    <w:rsid w:val="24FB2B9F"/>
    <w:rsid w:val="25102563"/>
    <w:rsid w:val="259B3353"/>
    <w:rsid w:val="25BC02BC"/>
    <w:rsid w:val="25DD571A"/>
    <w:rsid w:val="267918E7"/>
    <w:rsid w:val="26997893"/>
    <w:rsid w:val="26A83F7A"/>
    <w:rsid w:val="26BE379D"/>
    <w:rsid w:val="275E288B"/>
    <w:rsid w:val="2771212F"/>
    <w:rsid w:val="28072D06"/>
    <w:rsid w:val="288002A3"/>
    <w:rsid w:val="28B9421C"/>
    <w:rsid w:val="28DF0942"/>
    <w:rsid w:val="29824F56"/>
    <w:rsid w:val="29AD6A44"/>
    <w:rsid w:val="2A3B6409"/>
    <w:rsid w:val="2AA27289"/>
    <w:rsid w:val="2AF3794B"/>
    <w:rsid w:val="2B1A4D1A"/>
    <w:rsid w:val="2B22254D"/>
    <w:rsid w:val="2B42499D"/>
    <w:rsid w:val="2B7408CF"/>
    <w:rsid w:val="2BA11284"/>
    <w:rsid w:val="2BAF7B59"/>
    <w:rsid w:val="2BD83A12"/>
    <w:rsid w:val="2BDF5BD4"/>
    <w:rsid w:val="2CD3562A"/>
    <w:rsid w:val="2E0750C2"/>
    <w:rsid w:val="2E5F2A84"/>
    <w:rsid w:val="2EBC487E"/>
    <w:rsid w:val="2F347AF7"/>
    <w:rsid w:val="2F921111"/>
    <w:rsid w:val="2F996B56"/>
    <w:rsid w:val="2F9B0445"/>
    <w:rsid w:val="2FDA04DD"/>
    <w:rsid w:val="31E71DFA"/>
    <w:rsid w:val="325E00EB"/>
    <w:rsid w:val="327A7A61"/>
    <w:rsid w:val="32D81743"/>
    <w:rsid w:val="34763909"/>
    <w:rsid w:val="349601B9"/>
    <w:rsid w:val="34D805E5"/>
    <w:rsid w:val="34EA3C91"/>
    <w:rsid w:val="352C795E"/>
    <w:rsid w:val="357716E7"/>
    <w:rsid w:val="36162CAE"/>
    <w:rsid w:val="361A2073"/>
    <w:rsid w:val="36780B29"/>
    <w:rsid w:val="369B1405"/>
    <w:rsid w:val="370B7304"/>
    <w:rsid w:val="371D006C"/>
    <w:rsid w:val="37BA45BF"/>
    <w:rsid w:val="3827512B"/>
    <w:rsid w:val="389F11B6"/>
    <w:rsid w:val="38D62BC9"/>
    <w:rsid w:val="391F631E"/>
    <w:rsid w:val="395C1320"/>
    <w:rsid w:val="3978218A"/>
    <w:rsid w:val="397A7B42"/>
    <w:rsid w:val="39AF02DA"/>
    <w:rsid w:val="3AF11A4C"/>
    <w:rsid w:val="3AFD268F"/>
    <w:rsid w:val="3B4A0B2B"/>
    <w:rsid w:val="3C7C50FA"/>
    <w:rsid w:val="3C7E15AD"/>
    <w:rsid w:val="3D3A3646"/>
    <w:rsid w:val="3DCB3676"/>
    <w:rsid w:val="3E792FCD"/>
    <w:rsid w:val="3EF94F1B"/>
    <w:rsid w:val="3F214472"/>
    <w:rsid w:val="3FEA0D08"/>
    <w:rsid w:val="40743210"/>
    <w:rsid w:val="413E093E"/>
    <w:rsid w:val="414C7ECC"/>
    <w:rsid w:val="4253528A"/>
    <w:rsid w:val="4344430F"/>
    <w:rsid w:val="436D5ED7"/>
    <w:rsid w:val="4391606A"/>
    <w:rsid w:val="44501A81"/>
    <w:rsid w:val="446C4D53"/>
    <w:rsid w:val="44E35F78"/>
    <w:rsid w:val="46080139"/>
    <w:rsid w:val="46595BFD"/>
    <w:rsid w:val="47EC1AC1"/>
    <w:rsid w:val="48587156"/>
    <w:rsid w:val="486F26F2"/>
    <w:rsid w:val="489A0F95"/>
    <w:rsid w:val="48A81563"/>
    <w:rsid w:val="48AD4878"/>
    <w:rsid w:val="48C4428F"/>
    <w:rsid w:val="48DD3AFF"/>
    <w:rsid w:val="48F30C2D"/>
    <w:rsid w:val="48F350D1"/>
    <w:rsid w:val="498E392B"/>
    <w:rsid w:val="49987728"/>
    <w:rsid w:val="4A7E72E8"/>
    <w:rsid w:val="4AF63D85"/>
    <w:rsid w:val="4CEF795D"/>
    <w:rsid w:val="4D9724CF"/>
    <w:rsid w:val="4DE17BEE"/>
    <w:rsid w:val="4E17716C"/>
    <w:rsid w:val="4E5D5C41"/>
    <w:rsid w:val="4EB0519D"/>
    <w:rsid w:val="4F027E1C"/>
    <w:rsid w:val="4F10565C"/>
    <w:rsid w:val="4F2558B8"/>
    <w:rsid w:val="4FA33112"/>
    <w:rsid w:val="51DC5EA2"/>
    <w:rsid w:val="52075B24"/>
    <w:rsid w:val="521F0CE5"/>
    <w:rsid w:val="525564B4"/>
    <w:rsid w:val="528D6E9E"/>
    <w:rsid w:val="52C33D66"/>
    <w:rsid w:val="52F62215"/>
    <w:rsid w:val="53542849"/>
    <w:rsid w:val="53937294"/>
    <w:rsid w:val="53AB3442"/>
    <w:rsid w:val="546B0211"/>
    <w:rsid w:val="54A60351"/>
    <w:rsid w:val="559A4451"/>
    <w:rsid w:val="55A11C1A"/>
    <w:rsid w:val="55C302C1"/>
    <w:rsid w:val="560C0C7E"/>
    <w:rsid w:val="5656342D"/>
    <w:rsid w:val="56927CD7"/>
    <w:rsid w:val="56F42740"/>
    <w:rsid w:val="58BF5B9C"/>
    <w:rsid w:val="590B7736"/>
    <w:rsid w:val="59994B1C"/>
    <w:rsid w:val="59CD7278"/>
    <w:rsid w:val="59D7776D"/>
    <w:rsid w:val="59E7033A"/>
    <w:rsid w:val="5A077C89"/>
    <w:rsid w:val="5A8D0C6D"/>
    <w:rsid w:val="5A9D30EE"/>
    <w:rsid w:val="5ACB40C5"/>
    <w:rsid w:val="5BDB517D"/>
    <w:rsid w:val="5C0F79E6"/>
    <w:rsid w:val="5C1555BE"/>
    <w:rsid w:val="5C6519EA"/>
    <w:rsid w:val="5C9F4EFC"/>
    <w:rsid w:val="5D225A44"/>
    <w:rsid w:val="5D543587"/>
    <w:rsid w:val="5DA402F0"/>
    <w:rsid w:val="5DAB5B22"/>
    <w:rsid w:val="5DCA1D31"/>
    <w:rsid w:val="5EFC21FA"/>
    <w:rsid w:val="5F180F96"/>
    <w:rsid w:val="5F6055B3"/>
    <w:rsid w:val="5F87A296"/>
    <w:rsid w:val="5FB40CBE"/>
    <w:rsid w:val="60786190"/>
    <w:rsid w:val="60DC6E8F"/>
    <w:rsid w:val="61586069"/>
    <w:rsid w:val="61A949D9"/>
    <w:rsid w:val="628030DA"/>
    <w:rsid w:val="62CF4061"/>
    <w:rsid w:val="62F67C11"/>
    <w:rsid w:val="63063CC9"/>
    <w:rsid w:val="633906F6"/>
    <w:rsid w:val="637F4A97"/>
    <w:rsid w:val="639D1C80"/>
    <w:rsid w:val="63B23767"/>
    <w:rsid w:val="63BE035D"/>
    <w:rsid w:val="63D062E3"/>
    <w:rsid w:val="6419272E"/>
    <w:rsid w:val="642F125B"/>
    <w:rsid w:val="6456253B"/>
    <w:rsid w:val="64D4770D"/>
    <w:rsid w:val="654318AA"/>
    <w:rsid w:val="655820EC"/>
    <w:rsid w:val="65606559"/>
    <w:rsid w:val="65907AD8"/>
    <w:rsid w:val="65B32646"/>
    <w:rsid w:val="661324B7"/>
    <w:rsid w:val="66E16111"/>
    <w:rsid w:val="67386679"/>
    <w:rsid w:val="68B97345"/>
    <w:rsid w:val="68BE7F21"/>
    <w:rsid w:val="693D1D24"/>
    <w:rsid w:val="698F609C"/>
    <w:rsid w:val="69D467B8"/>
    <w:rsid w:val="69FC3EC5"/>
    <w:rsid w:val="6A276445"/>
    <w:rsid w:val="6BCA186A"/>
    <w:rsid w:val="6BD35F90"/>
    <w:rsid w:val="6BE24E05"/>
    <w:rsid w:val="6BFC3DD5"/>
    <w:rsid w:val="6C270A6A"/>
    <w:rsid w:val="6C3F7B62"/>
    <w:rsid w:val="6C54385C"/>
    <w:rsid w:val="6C6770B8"/>
    <w:rsid w:val="6C771307"/>
    <w:rsid w:val="6CA200F0"/>
    <w:rsid w:val="6CE30916"/>
    <w:rsid w:val="6CED5810"/>
    <w:rsid w:val="6CFC3CA5"/>
    <w:rsid w:val="6D023CA2"/>
    <w:rsid w:val="6DD82714"/>
    <w:rsid w:val="6E880137"/>
    <w:rsid w:val="6F0B6421"/>
    <w:rsid w:val="6F1057E5"/>
    <w:rsid w:val="6F1E6154"/>
    <w:rsid w:val="6F3F60CB"/>
    <w:rsid w:val="6FDFF563"/>
    <w:rsid w:val="6FF9271D"/>
    <w:rsid w:val="701C39A1"/>
    <w:rsid w:val="70383246"/>
    <w:rsid w:val="70B630D2"/>
    <w:rsid w:val="712F289B"/>
    <w:rsid w:val="71F43249"/>
    <w:rsid w:val="72331F17"/>
    <w:rsid w:val="723D2D95"/>
    <w:rsid w:val="7262721E"/>
    <w:rsid w:val="7338355D"/>
    <w:rsid w:val="73487C44"/>
    <w:rsid w:val="73494FFA"/>
    <w:rsid w:val="73C60B68"/>
    <w:rsid w:val="74085625"/>
    <w:rsid w:val="7432360B"/>
    <w:rsid w:val="74BC04D7"/>
    <w:rsid w:val="75631380"/>
    <w:rsid w:val="759247A9"/>
    <w:rsid w:val="75B13751"/>
    <w:rsid w:val="762C07EB"/>
    <w:rsid w:val="76C375E1"/>
    <w:rsid w:val="78713799"/>
    <w:rsid w:val="78C267AA"/>
    <w:rsid w:val="78E71CAD"/>
    <w:rsid w:val="793B1E94"/>
    <w:rsid w:val="79665407"/>
    <w:rsid w:val="79A02B68"/>
    <w:rsid w:val="79D637EB"/>
    <w:rsid w:val="79E55D42"/>
    <w:rsid w:val="79EE4BAA"/>
    <w:rsid w:val="7A812DFB"/>
    <w:rsid w:val="7A9F3625"/>
    <w:rsid w:val="7BEE6EAE"/>
    <w:rsid w:val="7E5D0870"/>
    <w:rsid w:val="7E617E0B"/>
    <w:rsid w:val="7E6C0BC7"/>
    <w:rsid w:val="7E9E2A7B"/>
    <w:rsid w:val="7FA57997"/>
    <w:rsid w:val="7FE43BE9"/>
    <w:rsid w:val="7FF66A8E"/>
    <w:rsid w:val="BFD7D03A"/>
    <w:rsid w:val="DAFF4C4E"/>
    <w:rsid w:val="FFF5B7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5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5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8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59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60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6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62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63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37">
    <w:name w:val="Default Paragraph Font"/>
    <w:semiHidden/>
    <w:unhideWhenUsed/>
    <w:uiPriority w:val="1"/>
  </w:style>
  <w:style w:type="table" w:default="1" w:styleId="3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qFormat/>
    <w:uiPriority w:val="0"/>
  </w:style>
  <w:style w:type="paragraph" w:styleId="12">
    <w:name w:val="toc 6"/>
    <w:basedOn w:val="13"/>
    <w:next w:val="1"/>
    <w:qFormat/>
    <w:uiPriority w:val="0"/>
  </w:style>
  <w:style w:type="paragraph" w:styleId="13">
    <w:name w:val="toc 5"/>
    <w:basedOn w:val="14"/>
    <w:next w:val="1"/>
    <w:qFormat/>
    <w:uiPriority w:val="0"/>
  </w:style>
  <w:style w:type="paragraph" w:styleId="14">
    <w:name w:val="toc 4"/>
    <w:basedOn w:val="15"/>
    <w:next w:val="1"/>
    <w:qFormat/>
    <w:uiPriority w:val="0"/>
  </w:style>
  <w:style w:type="paragraph" w:styleId="15">
    <w:name w:val="toc 3"/>
    <w:basedOn w:val="16"/>
    <w:next w:val="1"/>
    <w:qFormat/>
    <w:uiPriority w:val="39"/>
  </w:style>
  <w:style w:type="paragraph" w:styleId="16">
    <w:name w:val="toc 2"/>
    <w:basedOn w:val="1"/>
    <w:next w:val="1"/>
    <w:qFormat/>
    <w:uiPriority w:val="39"/>
  </w:style>
  <w:style w:type="paragraph" w:styleId="17">
    <w:name w:val="Document Map"/>
    <w:basedOn w:val="1"/>
    <w:link w:val="130"/>
    <w:qFormat/>
    <w:uiPriority w:val="0"/>
    <w:pPr>
      <w:shd w:val="clear" w:color="auto" w:fill="000080"/>
    </w:pPr>
  </w:style>
  <w:style w:type="paragraph" w:styleId="18">
    <w:name w:val="annotation text"/>
    <w:basedOn w:val="1"/>
    <w:semiHidden/>
    <w:qFormat/>
    <w:uiPriority w:val="0"/>
    <w:pPr>
      <w:jc w:val="left"/>
    </w:pPr>
  </w:style>
  <w:style w:type="paragraph" w:styleId="19">
    <w:name w:val="Body Text Indent"/>
    <w:basedOn w:val="1"/>
    <w:qFormat/>
    <w:uiPriority w:val="0"/>
    <w:pPr>
      <w:ind w:firstLine="420"/>
    </w:pPr>
    <w:rPr>
      <w:sz w:val="24"/>
    </w:rPr>
  </w:style>
  <w:style w:type="paragraph" w:styleId="20">
    <w:name w:val="HTML Address"/>
    <w:basedOn w:val="1"/>
    <w:link w:val="64"/>
    <w:qFormat/>
    <w:uiPriority w:val="0"/>
    <w:rPr>
      <w:i/>
      <w:iCs/>
    </w:rPr>
  </w:style>
  <w:style w:type="paragraph" w:styleId="21">
    <w:name w:val="Plain Text"/>
    <w:basedOn w:val="1"/>
    <w:link w:val="54"/>
    <w:qFormat/>
    <w:uiPriority w:val="0"/>
    <w:rPr>
      <w:rFonts w:hint="eastAsia" w:ascii="宋体" w:hAnsi="Courier New"/>
      <w:szCs w:val="20"/>
    </w:rPr>
  </w:style>
  <w:style w:type="paragraph" w:styleId="22">
    <w:name w:val="toc 8"/>
    <w:basedOn w:val="11"/>
    <w:next w:val="1"/>
    <w:qFormat/>
    <w:uiPriority w:val="0"/>
  </w:style>
  <w:style w:type="paragraph" w:styleId="23">
    <w:name w:val="Date"/>
    <w:basedOn w:val="1"/>
    <w:next w:val="1"/>
    <w:qFormat/>
    <w:uiPriority w:val="0"/>
    <w:pPr>
      <w:ind w:left="100" w:leftChars="2500"/>
    </w:pPr>
  </w:style>
  <w:style w:type="paragraph" w:styleId="24">
    <w:name w:val="Body Text Indent 2"/>
    <w:basedOn w:val="1"/>
    <w:link w:val="129"/>
    <w:qFormat/>
    <w:uiPriority w:val="0"/>
    <w:pPr>
      <w:ind w:firstLine="600" w:firstLineChars="200"/>
      <w:jc w:val="left"/>
    </w:pPr>
    <w:rPr>
      <w:sz w:val="30"/>
    </w:rPr>
  </w:style>
  <w:style w:type="paragraph" w:styleId="25">
    <w:name w:val="Balloon Text"/>
    <w:basedOn w:val="1"/>
    <w:semiHidden/>
    <w:qFormat/>
    <w:uiPriority w:val="0"/>
    <w:rPr>
      <w:sz w:val="18"/>
      <w:szCs w:val="18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8">
    <w:name w:val="toc 1"/>
    <w:basedOn w:val="1"/>
    <w:next w:val="1"/>
    <w:qFormat/>
    <w:uiPriority w:val="39"/>
    <w:rPr>
      <w:rFonts w:ascii="宋体"/>
    </w:rPr>
  </w:style>
  <w:style w:type="paragraph" w:styleId="29">
    <w:name w:val="footnote text"/>
    <w:basedOn w:val="1"/>
    <w:link w:val="103"/>
    <w:qFormat/>
    <w:uiPriority w:val="0"/>
    <w:pPr>
      <w:snapToGrid w:val="0"/>
      <w:jc w:val="left"/>
    </w:pPr>
    <w:rPr>
      <w:sz w:val="18"/>
      <w:szCs w:val="18"/>
    </w:rPr>
  </w:style>
  <w:style w:type="paragraph" w:styleId="30">
    <w:name w:val="toc 9"/>
    <w:basedOn w:val="22"/>
    <w:next w:val="1"/>
    <w:qFormat/>
    <w:uiPriority w:val="0"/>
  </w:style>
  <w:style w:type="paragraph" w:styleId="31">
    <w:name w:val="HTML Preformatted"/>
    <w:basedOn w:val="1"/>
    <w:link w:val="65"/>
    <w:qFormat/>
    <w:uiPriority w:val="0"/>
    <w:rPr>
      <w:rFonts w:ascii="Courier New" w:hAnsi="Courier New" w:cs="Courier New"/>
      <w:sz w:val="20"/>
      <w:szCs w:val="20"/>
    </w:rPr>
  </w:style>
  <w:style w:type="paragraph" w:styleId="32">
    <w:name w:val="Normal (Web)"/>
    <w:basedOn w:val="1"/>
    <w:link w:val="148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0"/>
    </w:rPr>
  </w:style>
  <w:style w:type="paragraph" w:styleId="33">
    <w:name w:val="Title"/>
    <w:basedOn w:val="1"/>
    <w:next w:val="1"/>
    <w:link w:val="66"/>
    <w:qFormat/>
    <w:uiPriority w:val="1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4">
    <w:name w:val="annotation subject"/>
    <w:basedOn w:val="18"/>
    <w:next w:val="18"/>
    <w:semiHidden/>
    <w:qFormat/>
    <w:uiPriority w:val="0"/>
    <w:rPr>
      <w:b/>
      <w:bCs/>
    </w:rPr>
  </w:style>
  <w:style w:type="table" w:styleId="36">
    <w:name w:val="Table Grid"/>
    <w:basedOn w:val="3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page number"/>
    <w:basedOn w:val="37"/>
    <w:qFormat/>
    <w:uiPriority w:val="0"/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basedOn w:val="37"/>
    <w:qFormat/>
    <w:uiPriority w:val="20"/>
    <w:rPr>
      <w:i/>
      <w:iCs/>
    </w:rPr>
  </w:style>
  <w:style w:type="character" w:styleId="41">
    <w:name w:val="line number"/>
    <w:basedOn w:val="37"/>
    <w:qFormat/>
    <w:uiPriority w:val="0"/>
  </w:style>
  <w:style w:type="character" w:styleId="42">
    <w:name w:val="HTML Definition"/>
    <w:qFormat/>
    <w:uiPriority w:val="0"/>
    <w:rPr>
      <w:i/>
      <w:iCs/>
    </w:rPr>
  </w:style>
  <w:style w:type="character" w:styleId="43">
    <w:name w:val="HTML Typewriter"/>
    <w:qFormat/>
    <w:uiPriority w:val="0"/>
    <w:rPr>
      <w:rFonts w:ascii="Courier New" w:hAnsi="Courier New"/>
      <w:sz w:val="20"/>
      <w:szCs w:val="20"/>
    </w:rPr>
  </w:style>
  <w:style w:type="character" w:styleId="44">
    <w:name w:val="HTML Acronym"/>
    <w:basedOn w:val="37"/>
    <w:qFormat/>
    <w:uiPriority w:val="0"/>
  </w:style>
  <w:style w:type="character" w:styleId="45">
    <w:name w:val="HTML Variable"/>
    <w:qFormat/>
    <w:uiPriority w:val="0"/>
    <w:rPr>
      <w:i/>
      <w:iCs/>
    </w:rPr>
  </w:style>
  <w:style w:type="character" w:styleId="46">
    <w:name w:val="Hyperlink"/>
    <w:qFormat/>
    <w:uiPriority w:val="99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47">
    <w:name w:val="HTML Code"/>
    <w:qFormat/>
    <w:uiPriority w:val="0"/>
    <w:rPr>
      <w:rFonts w:ascii="Courier New" w:hAnsi="Courier New"/>
      <w:sz w:val="20"/>
      <w:szCs w:val="20"/>
    </w:rPr>
  </w:style>
  <w:style w:type="character" w:styleId="48">
    <w:name w:val="annotation reference"/>
    <w:semiHidden/>
    <w:qFormat/>
    <w:uiPriority w:val="0"/>
    <w:rPr>
      <w:sz w:val="21"/>
      <w:szCs w:val="21"/>
    </w:rPr>
  </w:style>
  <w:style w:type="character" w:styleId="49">
    <w:name w:val="HTML Cite"/>
    <w:qFormat/>
    <w:uiPriority w:val="0"/>
    <w:rPr>
      <w:i/>
      <w:iCs/>
    </w:rPr>
  </w:style>
  <w:style w:type="character" w:styleId="50">
    <w:name w:val="footnote reference"/>
    <w:qFormat/>
    <w:uiPriority w:val="0"/>
    <w:rPr>
      <w:vertAlign w:val="superscript"/>
    </w:rPr>
  </w:style>
  <w:style w:type="character" w:styleId="51">
    <w:name w:val="HTML Keyboard"/>
    <w:qFormat/>
    <w:uiPriority w:val="0"/>
    <w:rPr>
      <w:rFonts w:ascii="Courier New" w:hAnsi="Courier New"/>
      <w:sz w:val="20"/>
      <w:szCs w:val="20"/>
    </w:rPr>
  </w:style>
  <w:style w:type="character" w:styleId="52">
    <w:name w:val="HTML Sample"/>
    <w:qFormat/>
    <w:uiPriority w:val="0"/>
    <w:rPr>
      <w:rFonts w:ascii="Courier New" w:hAnsi="Courier New"/>
    </w:rPr>
  </w:style>
  <w:style w:type="paragraph" w:customStyle="1" w:styleId="53">
    <w:name w:val="段"/>
    <w:link w:val="147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54">
    <w:name w:val="纯文本 字符"/>
    <w:link w:val="21"/>
    <w:qFormat/>
    <w:uiPriority w:val="0"/>
    <w:rPr>
      <w:rFonts w:ascii="宋体" w:hAnsi="Courier New"/>
      <w:kern w:val="2"/>
      <w:sz w:val="21"/>
    </w:rPr>
  </w:style>
  <w:style w:type="character" w:customStyle="1" w:styleId="55">
    <w:name w:val="标题 1 字符"/>
    <w:link w:val="2"/>
    <w:qFormat/>
    <w:uiPriority w:val="0"/>
    <w:rPr>
      <w:b/>
      <w:bCs/>
      <w:kern w:val="44"/>
      <w:sz w:val="44"/>
      <w:szCs w:val="44"/>
    </w:rPr>
  </w:style>
  <w:style w:type="character" w:customStyle="1" w:styleId="56">
    <w:name w:val="标题 2 字符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57">
    <w:name w:val="标题 3 字符"/>
    <w:link w:val="4"/>
    <w:qFormat/>
    <w:uiPriority w:val="0"/>
    <w:rPr>
      <w:b/>
      <w:bCs/>
      <w:kern w:val="2"/>
      <w:sz w:val="32"/>
      <w:szCs w:val="32"/>
    </w:rPr>
  </w:style>
  <w:style w:type="character" w:customStyle="1" w:styleId="58">
    <w:name w:val="标题 4 字符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59">
    <w:name w:val="标题 5 字符"/>
    <w:link w:val="6"/>
    <w:qFormat/>
    <w:uiPriority w:val="0"/>
    <w:rPr>
      <w:b/>
      <w:bCs/>
      <w:kern w:val="2"/>
      <w:sz w:val="28"/>
      <w:szCs w:val="28"/>
    </w:rPr>
  </w:style>
  <w:style w:type="character" w:customStyle="1" w:styleId="60">
    <w:name w:val="标题 6 字符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61">
    <w:name w:val="标题 7 字符"/>
    <w:link w:val="8"/>
    <w:qFormat/>
    <w:uiPriority w:val="0"/>
    <w:rPr>
      <w:b/>
      <w:bCs/>
      <w:kern w:val="2"/>
      <w:sz w:val="24"/>
      <w:szCs w:val="24"/>
    </w:rPr>
  </w:style>
  <w:style w:type="character" w:customStyle="1" w:styleId="62">
    <w:name w:val="标题 8 字符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63">
    <w:name w:val="标题 9 字符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64">
    <w:name w:val="HTML 地址 字符"/>
    <w:link w:val="20"/>
    <w:qFormat/>
    <w:uiPriority w:val="0"/>
    <w:rPr>
      <w:i/>
      <w:iCs/>
      <w:kern w:val="2"/>
      <w:sz w:val="21"/>
      <w:szCs w:val="24"/>
    </w:rPr>
  </w:style>
  <w:style w:type="character" w:customStyle="1" w:styleId="65">
    <w:name w:val="HTML 预设格式 字符"/>
    <w:link w:val="31"/>
    <w:qFormat/>
    <w:uiPriority w:val="0"/>
    <w:rPr>
      <w:rFonts w:ascii="Courier New" w:hAnsi="Courier New" w:cs="Courier New"/>
      <w:kern w:val="2"/>
    </w:rPr>
  </w:style>
  <w:style w:type="character" w:customStyle="1" w:styleId="66">
    <w:name w:val="标题 字符"/>
    <w:link w:val="33"/>
    <w:qFormat/>
    <w:uiPriority w:val="10"/>
    <w:rPr>
      <w:rFonts w:ascii="Arial" w:hAnsi="Arial" w:cs="Arial"/>
      <w:b/>
      <w:bCs/>
      <w:kern w:val="2"/>
      <w:sz w:val="32"/>
      <w:szCs w:val="32"/>
    </w:rPr>
  </w:style>
  <w:style w:type="paragraph" w:customStyle="1" w:styleId="67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68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69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70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71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72">
    <w:name w:val="标准书眉_偶数页"/>
    <w:basedOn w:val="71"/>
    <w:next w:val="1"/>
    <w:qFormat/>
    <w:uiPriority w:val="0"/>
    <w:pPr>
      <w:jc w:val="left"/>
    </w:pPr>
  </w:style>
  <w:style w:type="paragraph" w:customStyle="1" w:styleId="73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4">
    <w:name w:val="前言、引言标题"/>
    <w:next w:val="1"/>
    <w:qFormat/>
    <w:uiPriority w:val="0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5">
    <w:name w:val="参考文献、索引标题"/>
    <w:basedOn w:val="74"/>
    <w:next w:val="1"/>
    <w:qFormat/>
    <w:uiPriority w:val="0"/>
    <w:pPr>
      <w:numPr>
        <w:numId w:val="0"/>
      </w:numPr>
      <w:spacing w:after="200"/>
    </w:pPr>
    <w:rPr>
      <w:sz w:val="21"/>
    </w:rPr>
  </w:style>
  <w:style w:type="paragraph" w:customStyle="1" w:styleId="76">
    <w:name w:val="章标题"/>
    <w:next w:val="53"/>
    <w:link w:val="131"/>
    <w:qFormat/>
    <w:uiPriority w:val="0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7">
    <w:name w:val="一级条标题"/>
    <w:basedOn w:val="76"/>
    <w:next w:val="53"/>
    <w:link w:val="132"/>
    <w:qFormat/>
    <w:uiPriority w:val="0"/>
    <w:pPr>
      <w:numPr>
        <w:ilvl w:val="2"/>
      </w:numPr>
      <w:spacing w:beforeLines="0" w:afterLines="0"/>
      <w:outlineLvl w:val="2"/>
    </w:pPr>
  </w:style>
  <w:style w:type="paragraph" w:customStyle="1" w:styleId="78">
    <w:name w:val="二级条标题"/>
    <w:basedOn w:val="77"/>
    <w:next w:val="53"/>
    <w:link w:val="133"/>
    <w:qFormat/>
    <w:uiPriority w:val="0"/>
    <w:pPr>
      <w:numPr>
        <w:ilvl w:val="3"/>
      </w:numPr>
      <w:outlineLvl w:val="3"/>
    </w:pPr>
  </w:style>
  <w:style w:type="paragraph" w:customStyle="1" w:styleId="79">
    <w:name w:val="二级无标题条"/>
    <w:basedOn w:val="1"/>
    <w:qFormat/>
    <w:uiPriority w:val="0"/>
    <w:pPr>
      <w:numPr>
        <w:ilvl w:val="3"/>
        <w:numId w:val="2"/>
      </w:numPr>
    </w:pPr>
  </w:style>
  <w:style w:type="character" w:customStyle="1" w:styleId="80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81">
    <w:name w:val="发布部门"/>
    <w:next w:val="53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8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83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84">
    <w:name w:val="封面标准号2"/>
    <w:basedOn w:val="83"/>
    <w:qFormat/>
    <w:uiPriority w:val="0"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85">
    <w:name w:val="封面标准代替信息"/>
    <w:basedOn w:val="84"/>
    <w:qFormat/>
    <w:uiPriority w:val="0"/>
    <w:pPr>
      <w:framePr w:wrap="around"/>
      <w:spacing w:before="57"/>
    </w:pPr>
    <w:rPr>
      <w:rFonts w:ascii="宋体"/>
      <w:sz w:val="21"/>
    </w:rPr>
  </w:style>
  <w:style w:type="paragraph" w:customStyle="1" w:styleId="86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87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8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89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0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91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92">
    <w:name w:val="附录标识"/>
    <w:basedOn w:val="74"/>
    <w:qFormat/>
    <w:uiPriority w:val="0"/>
    <w:pPr>
      <w:numPr>
        <w:ilvl w:val="0"/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93">
    <w:name w:val="附录表标题"/>
    <w:next w:val="53"/>
    <w:qFormat/>
    <w:uiPriority w:val="0"/>
    <w:p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4">
    <w:name w:val="附录章标题"/>
    <w:next w:val="53"/>
    <w:qFormat/>
    <w:uiPriority w:val="0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5">
    <w:name w:val="附录一级条标题"/>
    <w:basedOn w:val="94"/>
    <w:next w:val="53"/>
    <w:qFormat/>
    <w:uiPriority w:val="0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96">
    <w:name w:val="附录二级条标题"/>
    <w:basedOn w:val="95"/>
    <w:next w:val="53"/>
    <w:qFormat/>
    <w:uiPriority w:val="0"/>
    <w:pPr>
      <w:numPr>
        <w:ilvl w:val="3"/>
      </w:numPr>
      <w:outlineLvl w:val="3"/>
    </w:pPr>
  </w:style>
  <w:style w:type="paragraph" w:customStyle="1" w:styleId="97">
    <w:name w:val="附录三级条标题"/>
    <w:basedOn w:val="96"/>
    <w:next w:val="53"/>
    <w:qFormat/>
    <w:uiPriority w:val="0"/>
    <w:pPr>
      <w:numPr>
        <w:ilvl w:val="4"/>
      </w:numPr>
      <w:outlineLvl w:val="4"/>
    </w:pPr>
  </w:style>
  <w:style w:type="paragraph" w:customStyle="1" w:styleId="98">
    <w:name w:val="附录四级条标题"/>
    <w:basedOn w:val="97"/>
    <w:next w:val="53"/>
    <w:qFormat/>
    <w:uiPriority w:val="0"/>
    <w:pPr>
      <w:numPr>
        <w:ilvl w:val="5"/>
      </w:numPr>
      <w:outlineLvl w:val="5"/>
    </w:pPr>
  </w:style>
  <w:style w:type="paragraph" w:customStyle="1" w:styleId="99">
    <w:name w:val="附录图标题"/>
    <w:next w:val="53"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0">
    <w:name w:val="附录五级条标题"/>
    <w:basedOn w:val="98"/>
    <w:next w:val="53"/>
    <w:qFormat/>
    <w:uiPriority w:val="0"/>
    <w:pPr>
      <w:numPr>
        <w:ilvl w:val="6"/>
      </w:numPr>
      <w:outlineLvl w:val="6"/>
    </w:pPr>
  </w:style>
  <w:style w:type="character" w:customStyle="1" w:styleId="101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102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103">
    <w:name w:val="脚注文本 字符"/>
    <w:link w:val="29"/>
    <w:qFormat/>
    <w:uiPriority w:val="0"/>
    <w:rPr>
      <w:kern w:val="2"/>
      <w:sz w:val="18"/>
      <w:szCs w:val="18"/>
    </w:rPr>
  </w:style>
  <w:style w:type="paragraph" w:customStyle="1" w:styleId="104">
    <w:name w:val="列项——"/>
    <w:qFormat/>
    <w:uiPriority w:val="0"/>
    <w:pPr>
      <w:widowControl w:val="0"/>
      <w:numPr>
        <w:ilvl w:val="0"/>
        <w:numId w:val="4"/>
      </w:numPr>
      <w:tabs>
        <w:tab w:val="left" w:pos="854"/>
        <w:tab w:val="clear" w:pos="1140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5">
    <w:name w:val="列项·"/>
    <w:qFormat/>
    <w:uiPriority w:val="0"/>
    <w:pPr>
      <w:numPr>
        <w:ilvl w:val="0"/>
        <w:numId w:val="5"/>
      </w:numPr>
      <w:tabs>
        <w:tab w:val="left" w:pos="840"/>
        <w:tab w:val="clear" w:pos="1140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6">
    <w:name w:val="目次、标准名称标题"/>
    <w:basedOn w:val="74"/>
    <w:next w:val="53"/>
    <w:qFormat/>
    <w:uiPriority w:val="0"/>
    <w:pPr>
      <w:numPr>
        <w:numId w:val="0"/>
      </w:numPr>
      <w:spacing w:line="460" w:lineRule="exact"/>
    </w:pPr>
  </w:style>
  <w:style w:type="paragraph" w:customStyle="1" w:styleId="107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8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09">
    <w:name w:val="其他发布部门"/>
    <w:basedOn w:val="81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10">
    <w:name w:val="三级条标题"/>
    <w:basedOn w:val="78"/>
    <w:next w:val="53"/>
    <w:link w:val="134"/>
    <w:qFormat/>
    <w:uiPriority w:val="0"/>
    <w:pPr>
      <w:numPr>
        <w:ilvl w:val="4"/>
      </w:numPr>
      <w:outlineLvl w:val="4"/>
    </w:pPr>
  </w:style>
  <w:style w:type="paragraph" w:customStyle="1" w:styleId="111">
    <w:name w:val="三级无标题条"/>
    <w:basedOn w:val="1"/>
    <w:qFormat/>
    <w:uiPriority w:val="0"/>
    <w:pPr>
      <w:numPr>
        <w:ilvl w:val="4"/>
        <w:numId w:val="2"/>
      </w:numPr>
    </w:pPr>
  </w:style>
  <w:style w:type="paragraph" w:customStyle="1" w:styleId="112">
    <w:name w:val="实施日期"/>
    <w:basedOn w:val="82"/>
    <w:qFormat/>
    <w:uiPriority w:val="0"/>
    <w:pPr>
      <w:framePr w:hSpace="0" w:wrap="around" w:xAlign="right"/>
      <w:jc w:val="right"/>
    </w:pPr>
  </w:style>
  <w:style w:type="paragraph" w:customStyle="1" w:styleId="113">
    <w:name w:val="示例"/>
    <w:next w:val="53"/>
    <w:qFormat/>
    <w:uiPriority w:val="0"/>
    <w:pPr>
      <w:numPr>
        <w:ilvl w:val="0"/>
        <w:numId w:val="6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14">
    <w:name w:val="数字编号列项（二级）"/>
    <w:qFormat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5">
    <w:name w:val="四级条标题"/>
    <w:basedOn w:val="110"/>
    <w:next w:val="53"/>
    <w:qFormat/>
    <w:uiPriority w:val="0"/>
    <w:pPr>
      <w:numPr>
        <w:ilvl w:val="5"/>
      </w:numPr>
      <w:tabs>
        <w:tab w:val="left" w:pos="2520"/>
      </w:tabs>
      <w:ind w:left="2520" w:hanging="420"/>
      <w:outlineLvl w:val="5"/>
    </w:pPr>
  </w:style>
  <w:style w:type="paragraph" w:customStyle="1" w:styleId="116">
    <w:name w:val="四级无标题条"/>
    <w:basedOn w:val="1"/>
    <w:qFormat/>
    <w:uiPriority w:val="0"/>
    <w:pPr>
      <w:numPr>
        <w:ilvl w:val="5"/>
        <w:numId w:val="2"/>
      </w:numPr>
    </w:pPr>
  </w:style>
  <w:style w:type="paragraph" w:customStyle="1" w:styleId="117">
    <w:name w:val="条文脚注"/>
    <w:basedOn w:val="29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18">
    <w:name w:val="图表脚注"/>
    <w:next w:val="53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19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20">
    <w:name w:val="无标题条"/>
    <w:next w:val="53"/>
    <w:qFormat/>
    <w:uiPriority w:val="0"/>
    <w:pPr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21">
    <w:name w:val="五级条标题"/>
    <w:basedOn w:val="115"/>
    <w:next w:val="53"/>
    <w:qFormat/>
    <w:uiPriority w:val="0"/>
    <w:pPr>
      <w:numPr>
        <w:ilvl w:val="6"/>
      </w:numPr>
      <w:tabs>
        <w:tab w:val="left" w:pos="1800"/>
      </w:tabs>
      <w:ind w:left="1800" w:hanging="1800"/>
      <w:outlineLvl w:val="6"/>
    </w:pPr>
  </w:style>
  <w:style w:type="paragraph" w:customStyle="1" w:styleId="122">
    <w:name w:val="五级无标题条"/>
    <w:basedOn w:val="1"/>
    <w:qFormat/>
    <w:uiPriority w:val="0"/>
    <w:pPr>
      <w:numPr>
        <w:ilvl w:val="6"/>
        <w:numId w:val="2"/>
      </w:numPr>
    </w:pPr>
  </w:style>
  <w:style w:type="paragraph" w:customStyle="1" w:styleId="123">
    <w:name w:val="一级无标题条"/>
    <w:basedOn w:val="1"/>
    <w:qFormat/>
    <w:uiPriority w:val="0"/>
    <w:pPr>
      <w:numPr>
        <w:ilvl w:val="2"/>
        <w:numId w:val="2"/>
      </w:numPr>
    </w:pPr>
  </w:style>
  <w:style w:type="paragraph" w:customStyle="1" w:styleId="124">
    <w:name w:val="正文表标题"/>
    <w:next w:val="53"/>
    <w:qFormat/>
    <w:uiPriority w:val="0"/>
    <w:pPr>
      <w:numPr>
        <w:ilvl w:val="0"/>
        <w:numId w:val="7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5">
    <w:name w:val="正文图标题"/>
    <w:next w:val="53"/>
    <w:qFormat/>
    <w:uiPriority w:val="0"/>
    <w:pPr>
      <w:numPr>
        <w:ilvl w:val="0"/>
        <w:numId w:val="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6">
    <w:name w:val="注："/>
    <w:next w:val="53"/>
    <w:qFormat/>
    <w:uiPriority w:val="0"/>
    <w:pPr>
      <w:widowControl w:val="0"/>
      <w:numPr>
        <w:ilvl w:val="0"/>
        <w:numId w:val="9"/>
      </w:numPr>
      <w:tabs>
        <w:tab w:val="clear" w:pos="114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7">
    <w:name w:val="注×："/>
    <w:qFormat/>
    <w:uiPriority w:val="0"/>
    <w:pPr>
      <w:widowControl w:val="0"/>
      <w:numPr>
        <w:ilvl w:val="0"/>
        <w:numId w:val="10"/>
      </w:numPr>
      <w:tabs>
        <w:tab w:val="left" w:pos="630"/>
        <w:tab w:val="clear" w:pos="90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8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29">
    <w:name w:val="正文文本缩进 2 字符"/>
    <w:link w:val="24"/>
    <w:qFormat/>
    <w:uiPriority w:val="0"/>
    <w:rPr>
      <w:kern w:val="2"/>
      <w:sz w:val="30"/>
      <w:szCs w:val="24"/>
    </w:rPr>
  </w:style>
  <w:style w:type="character" w:customStyle="1" w:styleId="130">
    <w:name w:val="文档结构图 字符"/>
    <w:link w:val="17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131">
    <w:name w:val="章标题 Char"/>
    <w:link w:val="76"/>
    <w:qFormat/>
    <w:uiPriority w:val="0"/>
    <w:rPr>
      <w:rFonts w:ascii="黑体" w:eastAsia="黑体"/>
      <w:sz w:val="21"/>
    </w:rPr>
  </w:style>
  <w:style w:type="character" w:customStyle="1" w:styleId="132">
    <w:name w:val="一级条标题 Char"/>
    <w:basedOn w:val="131"/>
    <w:link w:val="77"/>
    <w:qFormat/>
    <w:uiPriority w:val="0"/>
    <w:rPr>
      <w:rFonts w:ascii="黑体" w:eastAsia="黑体"/>
      <w:sz w:val="21"/>
    </w:rPr>
  </w:style>
  <w:style w:type="character" w:customStyle="1" w:styleId="133">
    <w:name w:val="二级条标题 Char"/>
    <w:basedOn w:val="132"/>
    <w:link w:val="78"/>
    <w:qFormat/>
    <w:uiPriority w:val="0"/>
    <w:rPr>
      <w:rFonts w:ascii="黑体" w:eastAsia="黑体"/>
      <w:sz w:val="21"/>
    </w:rPr>
  </w:style>
  <w:style w:type="character" w:customStyle="1" w:styleId="134">
    <w:name w:val="三级条标题 Char"/>
    <w:basedOn w:val="133"/>
    <w:link w:val="110"/>
    <w:qFormat/>
    <w:uiPriority w:val="0"/>
    <w:rPr>
      <w:rFonts w:ascii="黑体" w:eastAsia="黑体"/>
      <w:sz w:val="21"/>
    </w:rPr>
  </w:style>
  <w:style w:type="paragraph" w:customStyle="1" w:styleId="135">
    <w:name w:val="Char Char1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character" w:customStyle="1" w:styleId="136">
    <w:name w:val="占位符文本1"/>
    <w:basedOn w:val="37"/>
    <w:semiHidden/>
    <w:qFormat/>
    <w:uiPriority w:val="99"/>
    <w:rPr>
      <w:color w:val="808080"/>
    </w:rPr>
  </w:style>
  <w:style w:type="paragraph" w:customStyle="1" w:styleId="137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paragraph" w:customStyle="1" w:styleId="138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  <w:style w:type="paragraph" w:customStyle="1" w:styleId="139">
    <w:name w:val="标准文件_章标题"/>
    <w:next w:val="140"/>
    <w:qFormat/>
    <w:uiPriority w:val="0"/>
    <w:pPr>
      <w:spacing w:beforeLines="50" w:afterLines="50"/>
      <w:ind w:right="-50" w:rightChars="-50"/>
      <w:jc w:val="both"/>
      <w:outlineLvl w:val="1"/>
    </w:pPr>
    <w:rPr>
      <w:rFonts w:ascii="黑体" w:hAnsi="Times New Roman" w:eastAsia="黑体" w:cs="Times New Roman"/>
      <w:spacing w:val="2"/>
      <w:sz w:val="21"/>
      <w:lang w:val="en-US" w:eastAsia="zh-CN" w:bidi="ar-SA"/>
    </w:rPr>
  </w:style>
  <w:style w:type="paragraph" w:customStyle="1" w:styleId="140">
    <w:name w:val="标准文件_段"/>
    <w:qFormat/>
    <w:uiPriority w:val="0"/>
    <w:pPr>
      <w:widowControl w:val="0"/>
      <w:autoSpaceDE w:val="0"/>
      <w:autoSpaceDN w:val="0"/>
      <w:adjustRightInd w:val="0"/>
      <w:snapToGrid w:val="0"/>
      <w:spacing w:afterLines="50"/>
      <w:jc w:val="center"/>
    </w:pPr>
    <w:rPr>
      <w:rFonts w:ascii="宋体" w:hAnsi="宋体" w:eastAsia="宋体" w:cs="Times New Roman"/>
      <w:spacing w:val="2"/>
      <w:sz w:val="24"/>
      <w:szCs w:val="24"/>
      <w:lang w:val="en-US" w:eastAsia="zh-CN" w:bidi="ar-SA"/>
    </w:rPr>
  </w:style>
  <w:style w:type="paragraph" w:customStyle="1" w:styleId="141">
    <w:name w:val="标准文件_一级条标题"/>
    <w:basedOn w:val="139"/>
    <w:next w:val="140"/>
    <w:qFormat/>
    <w:uiPriority w:val="0"/>
    <w:pPr>
      <w:spacing w:beforeLines="0" w:afterLines="0"/>
      <w:outlineLvl w:val="2"/>
    </w:pPr>
  </w:style>
  <w:style w:type="paragraph" w:customStyle="1" w:styleId="142">
    <w:name w:val="标准文件_二级条标题"/>
    <w:basedOn w:val="141"/>
    <w:next w:val="140"/>
    <w:qFormat/>
    <w:uiPriority w:val="0"/>
    <w:pPr>
      <w:outlineLvl w:val="3"/>
    </w:pPr>
  </w:style>
  <w:style w:type="paragraph" w:customStyle="1" w:styleId="143">
    <w:name w:val="前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44">
    <w:name w:val="标准文件_三级条标题"/>
    <w:basedOn w:val="142"/>
    <w:next w:val="1"/>
    <w:qFormat/>
    <w:uiPriority w:val="0"/>
    <w:pPr>
      <w:outlineLvl w:val="4"/>
    </w:pPr>
  </w:style>
  <w:style w:type="paragraph" w:customStyle="1" w:styleId="145">
    <w:name w:val="标准文件_四级条标题"/>
    <w:basedOn w:val="144"/>
    <w:next w:val="1"/>
    <w:qFormat/>
    <w:uiPriority w:val="0"/>
    <w:pPr>
      <w:outlineLvl w:val="5"/>
    </w:pPr>
  </w:style>
  <w:style w:type="paragraph" w:customStyle="1" w:styleId="146">
    <w:name w:val="标准文件_五级条标题"/>
    <w:basedOn w:val="145"/>
    <w:next w:val="1"/>
    <w:qFormat/>
    <w:uiPriority w:val="0"/>
    <w:pPr>
      <w:outlineLvl w:val="6"/>
    </w:pPr>
  </w:style>
  <w:style w:type="character" w:customStyle="1" w:styleId="147">
    <w:name w:val="段 Char"/>
    <w:basedOn w:val="37"/>
    <w:link w:val="53"/>
    <w:qFormat/>
    <w:uiPriority w:val="0"/>
    <w:rPr>
      <w:rFonts w:ascii="宋体"/>
      <w:sz w:val="21"/>
    </w:rPr>
  </w:style>
  <w:style w:type="character" w:customStyle="1" w:styleId="148">
    <w:name w:val="普通(网站) 字符"/>
    <w:link w:val="32"/>
    <w:qFormat/>
    <w:locked/>
    <w:uiPriority w:val="0"/>
    <w:rPr>
      <w:sz w:val="24"/>
    </w:rPr>
  </w:style>
  <w:style w:type="paragraph" w:customStyle="1" w:styleId="149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table" w:customStyle="1" w:styleId="150">
    <w:name w:val="TableGrid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1">
    <w:name w:val="Body text|2"/>
    <w:basedOn w:val="1"/>
    <w:qFormat/>
    <w:uiPriority w:val="0"/>
    <w:pPr>
      <w:spacing w:after="300"/>
      <w:jc w:val="center"/>
    </w:pPr>
    <w:rPr>
      <w:rFonts w:ascii="宋体" w:hAnsi="宋体" w:cs="宋体"/>
      <w:sz w:val="34"/>
      <w:szCs w:val="34"/>
      <w:lang w:val="zh-TW" w:eastAsia="zh-TW" w:bidi="zh-TW"/>
    </w:rPr>
  </w:style>
  <w:style w:type="paragraph" w:customStyle="1" w:styleId="152">
    <w:name w:val="Body text|5"/>
    <w:basedOn w:val="1"/>
    <w:qFormat/>
    <w:uiPriority w:val="0"/>
    <w:pPr>
      <w:spacing w:line="641" w:lineRule="exact"/>
    </w:pPr>
    <w:rPr>
      <w:sz w:val="32"/>
      <w:szCs w:val="32"/>
    </w:rPr>
  </w:style>
  <w:style w:type="paragraph" w:customStyle="1" w:styleId="153">
    <w:name w:val="Other|1"/>
    <w:basedOn w:val="1"/>
    <w:qFormat/>
    <w:uiPriority w:val="0"/>
    <w:pPr>
      <w:spacing w:after="270"/>
    </w:pPr>
    <w:rPr>
      <w:sz w:val="28"/>
      <w:szCs w:val="28"/>
      <w:lang w:val="zh-TW" w:eastAsia="zh-TW" w:bidi="zh-TW"/>
    </w:rPr>
  </w:style>
  <w:style w:type="paragraph" w:customStyle="1" w:styleId="154">
    <w:name w:val="Body text|1"/>
    <w:basedOn w:val="1"/>
    <w:qFormat/>
    <w:uiPriority w:val="0"/>
    <w:pPr>
      <w:spacing w:line="475" w:lineRule="exact"/>
      <w:ind w:firstLine="480"/>
    </w:pPr>
    <w:rPr>
      <w:rFonts w:ascii="宋体" w:hAnsi="宋体" w:cs="宋体"/>
      <w:lang w:val="zh-TW" w:eastAsia="zh-TW" w:bidi="zh-TW"/>
    </w:rPr>
  </w:style>
  <w:style w:type="paragraph" w:customStyle="1" w:styleId="155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156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styleId="157">
    <w:name w:val="Placeholder Text"/>
    <w:basedOn w:val="37"/>
    <w:unhideWhenUsed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2" Type="http://schemas.openxmlformats.org/officeDocument/2006/relationships/fontTable" Target="fontTable.xml"/><Relationship Id="rId51" Type="http://schemas.openxmlformats.org/officeDocument/2006/relationships/numbering" Target="numbering.xml"/><Relationship Id="rId50" Type="http://schemas.openxmlformats.org/officeDocument/2006/relationships/customXml" Target="../customXml/item1.xml"/><Relationship Id="rId5" Type="http://schemas.openxmlformats.org/officeDocument/2006/relationships/footer" Target="footer2.xml"/><Relationship Id="rId49" Type="http://schemas.openxmlformats.org/officeDocument/2006/relationships/oleObject" Target="embeddings/oleObject20.bin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footer" Target="footer1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oleObject" Target="embeddings/oleObject12.bin"/><Relationship Id="rId34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8.bin"/><Relationship Id="rId27" Type="http://schemas.openxmlformats.org/officeDocument/2006/relationships/image" Target="media/image11.wmf"/><Relationship Id="rId26" Type="http://schemas.openxmlformats.org/officeDocument/2006/relationships/oleObject" Target="embeddings/oleObject7.bin"/><Relationship Id="rId25" Type="http://schemas.openxmlformats.org/officeDocument/2006/relationships/image" Target="media/image10.wmf"/><Relationship Id="rId24" Type="http://schemas.openxmlformats.org/officeDocument/2006/relationships/oleObject" Target="embeddings/oleObject6.bin"/><Relationship Id="rId23" Type="http://schemas.openxmlformats.org/officeDocument/2006/relationships/image" Target="media/image9.wmf"/><Relationship Id="rId22" Type="http://schemas.openxmlformats.org/officeDocument/2006/relationships/oleObject" Target="embeddings/oleObject5.bin"/><Relationship Id="rId21" Type="http://schemas.openxmlformats.org/officeDocument/2006/relationships/image" Target="media/image8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3.bin"/><Relationship Id="rId17" Type="http://schemas.openxmlformats.org/officeDocument/2006/relationships/image" Target="media/image6.wmf"/><Relationship Id="rId16" Type="http://schemas.openxmlformats.org/officeDocument/2006/relationships/oleObject" Target="embeddings/oleObject2.bin"/><Relationship Id="rId15" Type="http://schemas.openxmlformats.org/officeDocument/2006/relationships/image" Target="media/image5.wmf"/><Relationship Id="rId14" Type="http://schemas.openxmlformats.org/officeDocument/2006/relationships/oleObject" Target="embeddings/oleObject1.bin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  <customShpInfo spid="_x0000_s2050"/>
    <customShpInfo spid="_x0000_s2081"/>
    <customShpInfo spid="_x0000_s2111"/>
    <customShpInfo spid="_x0000_s2079"/>
    <customShpInfo spid="_x0000_s211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4072</Words>
  <Characters>4837</Characters>
  <Lines>67</Lines>
  <Paragraphs>19</Paragraphs>
  <TotalTime>153</TotalTime>
  <ScaleCrop>false</ScaleCrop>
  <LinksUpToDate>false</LinksUpToDate>
  <CharactersWithSpaces>5590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2024-12-21T01:30:00Z</dcterms:created>
  <dc:creator>Lenovo</dc:creator>
  <cp:lastModifiedBy>sdb163</cp:lastModifiedBy>
  <cp:lastPrinted>2021-10-16T11:27:00Z</cp:lastPrinted>
  <dcterms:modified xsi:type="dcterms:W3CDTF">2026-04-28T10:30:53Z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E0F02488E445435F8EEF496BF26781E9_13</vt:lpwstr>
  </property>
  <property fmtid="{D5CDD505-2E9C-101B-9397-08002B2CF9AE}" pid="4" name="KSOTemplateDocerSaveRecord">
    <vt:lpwstr>eyJoZGlkIjoiMmQwOTg0MDViMTIxZDkwMGYwMzk2ZTY3MjMyOTc3OTQiLCJ1c2VySWQiOiI0MzM0MDQzNjgifQ==</vt:lpwstr>
  </property>
</Properties>
</file>