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F719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5D1F077">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3202C5F8">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03.120.10</w:t>
            </w:r>
            <w:r>
              <w:rPr>
                <w:rFonts w:ascii="黑体" w:hAnsi="黑体" w:eastAsia="黑体"/>
                <w:sz w:val="21"/>
                <w:szCs w:val="21"/>
              </w:rPr>
              <w:fldChar w:fldCharType="end"/>
            </w:r>
            <w:bookmarkEnd w:id="0"/>
          </w:p>
        </w:tc>
      </w:tr>
      <w:tr w14:paraId="0F8BF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30F6AA3">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0B32D5C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717AB306">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CMA</w:t>
                  </w:r>
                  <w:r>
                    <w:fldChar w:fldCharType="end"/>
                  </w:r>
                  <w:bookmarkEnd w:id="1"/>
                </w:p>
              </w:tc>
            </w:tr>
          </w:tbl>
          <w:p w14:paraId="38402303">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A 00</w:t>
            </w:r>
            <w:r>
              <w:rPr>
                <w:rFonts w:ascii="黑体" w:hAnsi="黑体" w:eastAsia="黑体"/>
                <w:sz w:val="21"/>
                <w:szCs w:val="21"/>
              </w:rPr>
              <w:fldChar w:fldCharType="end"/>
            </w:r>
            <w:bookmarkEnd w:id="2"/>
          </w:p>
        </w:tc>
      </w:tr>
    </w:tbl>
    <w:p w14:paraId="087FBEA6">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中国计量协会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27C18879">
      <w:pPr>
        <w:pStyle w:val="195"/>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CMA</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rPr>
          <w:rFonts w:hint="eastAsia"/>
          <w:lang w:val="en-US" w:eastAsia="zh-CN"/>
        </w:rPr>
        <w:t>CC 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w:t>
      </w:r>
      <w:r>
        <w:rPr>
          <w:rFonts w:hint="eastAsia"/>
          <w:lang w:val="en-US" w:eastAsia="zh-CN"/>
        </w:rPr>
        <w:t>6</w:t>
      </w:r>
      <w:r>
        <w:fldChar w:fldCharType="end"/>
      </w:r>
      <w:bookmarkEnd w:id="7"/>
    </w:p>
    <w:p w14:paraId="469D5D34">
      <w:pPr>
        <w:pStyle w:val="196"/>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1E0D662A">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3151DAC">
      <w:pPr>
        <w:pStyle w:val="50"/>
        <w:framePr w:w="9639" w:h="6976" w:hRule="exact" w:hSpace="0" w:vSpace="0" w:wrap="around" w:hAnchor="page" w:y="6408"/>
        <w:jc w:val="center"/>
        <w:rPr>
          <w:rFonts w:hint="eastAsia" w:ascii="黑体" w:hAnsi="黑体" w:eastAsia="黑体"/>
          <w:b w:val="0"/>
          <w:bCs w:val="0"/>
          <w:w w:val="100"/>
        </w:rPr>
      </w:pPr>
    </w:p>
    <w:p w14:paraId="5C1FFCBD">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bookmarkStart w:id="140" w:name="_GoBack"/>
      <w:bookmarkEnd w:id="140"/>
      <w:r>
        <w:rPr>
          <w:rFonts w:hint="eastAsia"/>
        </w:rPr>
        <w:t>质量基础设施数字化集成通用指南</w:t>
      </w:r>
      <w:r>
        <w:fldChar w:fldCharType="end"/>
      </w:r>
      <w:bookmarkEnd w:id="9"/>
    </w:p>
    <w:p w14:paraId="522FD3C6">
      <w:pPr>
        <w:framePr w:w="9639" w:h="6974" w:hRule="exact" w:wrap="around" w:vAnchor="page" w:hAnchor="page" w:x="1419" w:y="6408" w:anchorLock="1"/>
        <w:ind w:left="-1418"/>
      </w:pPr>
    </w:p>
    <w:p w14:paraId="0FDC401A">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 xml:space="preserve">General </w:t>
      </w:r>
      <w:r>
        <w:rPr>
          <w:rFonts w:hint="eastAsia" w:eastAsia="黑体"/>
          <w:szCs w:val="28"/>
        </w:rPr>
        <w:t>g</w:t>
      </w:r>
      <w:r>
        <w:rPr>
          <w:rFonts w:eastAsia="黑体"/>
          <w:szCs w:val="28"/>
        </w:rPr>
        <w:t xml:space="preserve">uidelines for </w:t>
      </w:r>
      <w:r>
        <w:rPr>
          <w:rFonts w:hint="eastAsia" w:eastAsia="黑体"/>
          <w:szCs w:val="28"/>
        </w:rPr>
        <w:t>d</w:t>
      </w:r>
      <w:r>
        <w:rPr>
          <w:rFonts w:eastAsia="黑体"/>
          <w:szCs w:val="28"/>
        </w:rPr>
        <w:t xml:space="preserve">igital </w:t>
      </w:r>
      <w:r>
        <w:rPr>
          <w:rFonts w:hint="eastAsia" w:eastAsia="黑体"/>
          <w:szCs w:val="28"/>
        </w:rPr>
        <w:t>i</w:t>
      </w:r>
      <w:r>
        <w:rPr>
          <w:rFonts w:eastAsia="黑体"/>
          <w:szCs w:val="28"/>
        </w:rPr>
        <w:t xml:space="preserve">ntegration of </w:t>
      </w:r>
      <w:r>
        <w:rPr>
          <w:rFonts w:hint="eastAsia" w:eastAsia="黑体"/>
          <w:szCs w:val="28"/>
        </w:rPr>
        <w:t>q</w:t>
      </w:r>
      <w:r>
        <w:rPr>
          <w:rFonts w:eastAsia="黑体"/>
          <w:szCs w:val="28"/>
        </w:rPr>
        <w:t xml:space="preserve">uality </w:t>
      </w:r>
      <w:r>
        <w:rPr>
          <w:rFonts w:hint="eastAsia" w:eastAsia="黑体"/>
          <w:szCs w:val="28"/>
        </w:rPr>
        <w:t>i</w:t>
      </w:r>
      <w:r>
        <w:rPr>
          <w:rFonts w:eastAsia="黑体"/>
          <w:szCs w:val="28"/>
        </w:rPr>
        <w:t>nfrastructure</w:t>
      </w:r>
      <w:r>
        <w:rPr>
          <w:rFonts w:eastAsia="黑体"/>
          <w:szCs w:val="28"/>
        </w:rPr>
        <w:fldChar w:fldCharType="end"/>
      </w:r>
      <w:bookmarkEnd w:id="10"/>
    </w:p>
    <w:p w14:paraId="0F93F1E0">
      <w:pPr>
        <w:framePr w:w="9639" w:h="6974" w:hRule="exact" w:wrap="around" w:vAnchor="page" w:hAnchor="page" w:x="1419" w:y="6408" w:anchorLock="1"/>
        <w:spacing w:line="760" w:lineRule="exact"/>
        <w:ind w:left="-1418"/>
      </w:pPr>
    </w:p>
    <w:p w14:paraId="39B2DC57">
      <w:pPr>
        <w:pStyle w:val="125"/>
        <w:framePr w:w="9639" w:h="6974" w:hRule="exact" w:wrap="around" w:vAnchor="page" w:hAnchor="page" w:x="1419" w:y="6408" w:anchorLock="1"/>
        <w:textAlignment w:val="bottom"/>
        <w:rPr>
          <w:rFonts w:eastAsia="黑体"/>
          <w:szCs w:val="28"/>
        </w:rPr>
      </w:pPr>
    </w:p>
    <w:p w14:paraId="1DBBD7C4">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4A512BBB">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rFonts w:hint="eastAsia"/>
          <w:sz w:val="21"/>
          <w:szCs w:val="28"/>
        </w:rPr>
        <w:t>（本草案完成时间：2026.05.</w:t>
      </w:r>
      <w:r>
        <w:rPr>
          <w:rFonts w:hint="eastAsia"/>
          <w:sz w:val="21"/>
          <w:szCs w:val="28"/>
          <w:lang w:val="en-US" w:eastAsia="zh-CN"/>
        </w:rPr>
        <w:t>17</w:t>
      </w:r>
      <w:r>
        <w:rPr>
          <w:rFonts w:hint="eastAsia"/>
          <w:sz w:val="21"/>
          <w:szCs w:val="28"/>
        </w:rPr>
        <w:t>）</w:t>
      </w:r>
      <w:r>
        <w:rPr>
          <w:sz w:val="21"/>
          <w:szCs w:val="28"/>
        </w:rPr>
        <w:fldChar w:fldCharType="end"/>
      </w:r>
      <w:bookmarkEnd w:id="12"/>
    </w:p>
    <w:p w14:paraId="2707813F">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65F61F55">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w:t>
      </w:r>
      <w:r>
        <w:rPr>
          <w:rFonts w:hint="eastAsia" w:ascii="黑体"/>
          <w:lang w:val="en-US" w:eastAsia="zh-CN"/>
        </w:rPr>
        <w:t>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2E1CEABA">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202</w:t>
      </w:r>
      <w:r>
        <w:rPr>
          <w:rFonts w:hint="eastAsia" w:ascii="黑体"/>
          <w:lang w:val="en-US" w:eastAsia="zh-CN"/>
        </w:rPr>
        <w:t>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2665BC29">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 国 计 量 协 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27F03B86">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02FEB387">
      <w:pPr>
        <w:pStyle w:val="91"/>
        <w:spacing w:after="360"/>
        <w:rPr>
          <w:rFonts w:hint="eastAsia"/>
        </w:rPr>
      </w:pPr>
      <w:bookmarkStart w:id="21" w:name="BookMark1"/>
      <w:bookmarkStart w:id="22" w:name="_Toc228815306"/>
      <w:bookmarkStart w:id="23" w:name="_Toc224314111"/>
      <w:r>
        <w:rPr>
          <w:rFonts w:hint="eastAsia"/>
          <w:spacing w:val="320"/>
        </w:rPr>
        <w:t>目</w:t>
      </w:r>
      <w:r>
        <w:rPr>
          <w:rFonts w:hint="eastAsia"/>
        </w:rPr>
        <w:t>次</w:t>
      </w:r>
    </w:p>
    <w:p w14:paraId="653EC9CD">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"_Toc228815329"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_Toc228815329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34D097D6">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"_Toc228815330" </w:instrText>
      </w:r>
      <w:r>
        <w:fldChar w:fldCharType="separate"/>
      </w:r>
      <w:r>
        <w:rPr>
          <w:rStyle w:val="32"/>
          <w:rFonts w:hint="eastAsia"/>
        </w:rPr>
        <w:t>1</w:t>
      </w:r>
      <w:r>
        <w:rPr>
          <w:rStyle w:val="32"/>
        </w:rPr>
        <w:t xml:space="preserve"> </w:t>
      </w:r>
      <w:r>
        <w:rPr>
          <w:rStyle w:val="32"/>
          <w:rFonts w:hint="eastAsia" w:ascii="Times New Roman"/>
        </w:rPr>
        <w:t xml:space="preserve"> 范围</w:t>
      </w:r>
      <w:r>
        <w:rPr>
          <w:rFonts w:hint="eastAsia"/>
        </w:rPr>
        <w:tab/>
      </w:r>
      <w:r>
        <w:rPr>
          <w:rFonts w:hint="eastAsia"/>
        </w:rPr>
        <w:fldChar w:fldCharType="begin"/>
      </w:r>
      <w:r>
        <w:rPr>
          <w:rFonts w:hint="eastAsia"/>
        </w:rPr>
        <w:instrText xml:space="preserve"> </w:instrText>
      </w:r>
      <w:r>
        <w:instrText xml:space="preserve">PAGEREF _Toc228815330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15DC8D4">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"_Toc228815331" </w:instrText>
      </w:r>
      <w:r>
        <w:fldChar w:fldCharType="separate"/>
      </w:r>
      <w:r>
        <w:rPr>
          <w:rStyle w:val="32"/>
          <w:rFonts w:hint="eastAsia"/>
        </w:rPr>
        <w:t>2</w:t>
      </w:r>
      <w:r>
        <w:rPr>
          <w:rStyle w:val="32"/>
        </w:rPr>
        <w:t xml:space="preserve"> </w:t>
      </w:r>
      <w:r>
        <w:rPr>
          <w:rStyle w:val="32"/>
          <w:rFonts w:hint="eastAsia" w:ascii="Times New Roman"/>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_Toc228815331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5EE4FEC">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"_Toc228815332" </w:instrText>
      </w:r>
      <w:r>
        <w:fldChar w:fldCharType="separate"/>
      </w:r>
      <w:r>
        <w:rPr>
          <w:rStyle w:val="32"/>
          <w:rFonts w:hint="eastAsia"/>
        </w:rPr>
        <w:t>3</w:t>
      </w:r>
      <w:r>
        <w:rPr>
          <w:rStyle w:val="32"/>
        </w:rPr>
        <w:t xml:space="preserve"> </w:t>
      </w:r>
      <w:r>
        <w:rPr>
          <w:rStyle w:val="32"/>
          <w:rFonts w:hint="eastAsia" w:ascii="Times New Roman"/>
        </w:rPr>
        <w:t xml:space="preserve"> 术语和定义</w:t>
      </w:r>
      <w:r>
        <w:rPr>
          <w:rFonts w:hint="eastAsia"/>
        </w:rPr>
        <w:tab/>
      </w:r>
      <w:r>
        <w:rPr>
          <w:rFonts w:hint="eastAsia"/>
        </w:rPr>
        <w:fldChar w:fldCharType="begin"/>
      </w:r>
      <w:r>
        <w:rPr>
          <w:rFonts w:hint="eastAsia"/>
        </w:rPr>
        <w:instrText xml:space="preserve"> </w:instrText>
      </w:r>
      <w:r>
        <w:instrText xml:space="preserve">PAGEREF _Toc228815332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27CE195">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"_Toc228815333" </w:instrText>
      </w:r>
      <w:r>
        <w:fldChar w:fldCharType="separate"/>
      </w:r>
      <w:r>
        <w:rPr>
          <w:rStyle w:val="32"/>
          <w:rFonts w:hint="eastAsia"/>
        </w:rPr>
        <w:t>4</w:t>
      </w:r>
      <w:r>
        <w:rPr>
          <w:rStyle w:val="32"/>
        </w:rPr>
        <w:t xml:space="preserve"> </w:t>
      </w:r>
      <w:r>
        <w:rPr>
          <w:rStyle w:val="32"/>
          <w:rFonts w:hint="eastAsia" w:ascii="Times New Roman"/>
        </w:rPr>
        <w:t xml:space="preserve"> 缩略语</w:t>
      </w:r>
      <w:r>
        <w:rPr>
          <w:rFonts w:hint="eastAsia"/>
        </w:rPr>
        <w:tab/>
      </w:r>
      <w:r>
        <w:rPr>
          <w:rFonts w:hint="eastAsia"/>
        </w:rPr>
        <w:fldChar w:fldCharType="begin"/>
      </w:r>
      <w:r>
        <w:rPr>
          <w:rFonts w:hint="eastAsia"/>
        </w:rPr>
        <w:instrText xml:space="preserve"> </w:instrText>
      </w:r>
      <w:r>
        <w:instrText xml:space="preserve">PAGEREF _Toc228815333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BE6EA97">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"_Toc228815334" </w:instrText>
      </w:r>
      <w:r>
        <w:fldChar w:fldCharType="separate"/>
      </w:r>
      <w:r>
        <w:rPr>
          <w:rStyle w:val="32"/>
          <w:rFonts w:hint="eastAsia"/>
        </w:rPr>
        <w:t>5</w:t>
      </w:r>
      <w:r>
        <w:rPr>
          <w:rStyle w:val="32"/>
        </w:rPr>
        <w:t xml:space="preserve"> </w:t>
      </w:r>
      <w:r>
        <w:rPr>
          <w:rStyle w:val="32"/>
          <w:rFonts w:hint="eastAsia" w:ascii="Times New Roman"/>
        </w:rPr>
        <w:t xml:space="preserve"> 总体原则</w:t>
      </w:r>
      <w:r>
        <w:rPr>
          <w:rFonts w:hint="eastAsia"/>
        </w:rPr>
        <w:tab/>
      </w:r>
      <w:r>
        <w:rPr>
          <w:rFonts w:hint="eastAsia"/>
        </w:rPr>
        <w:fldChar w:fldCharType="begin"/>
      </w:r>
      <w:r>
        <w:rPr>
          <w:rFonts w:hint="eastAsia"/>
        </w:rPr>
        <w:instrText xml:space="preserve"> </w:instrText>
      </w:r>
      <w:r>
        <w:instrText xml:space="preserve">PAGEREF _Toc228815334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14C29E6A">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"_Toc228815335" </w:instrText>
      </w:r>
      <w:r>
        <w:fldChar w:fldCharType="separate"/>
      </w:r>
      <w:r>
        <w:rPr>
          <w:rStyle w:val="32"/>
          <w:rFonts w:hint="eastAsia"/>
        </w:rPr>
        <w:t>6</w:t>
      </w:r>
      <w:r>
        <w:rPr>
          <w:rStyle w:val="32"/>
        </w:rPr>
        <w:t xml:space="preserve"> </w:t>
      </w:r>
      <w:r>
        <w:rPr>
          <w:rStyle w:val="32"/>
          <w:rFonts w:hint="eastAsia" w:ascii="Times New Roman"/>
        </w:rPr>
        <w:t xml:space="preserve"> 集成能力等级</w:t>
      </w:r>
      <w:r>
        <w:rPr>
          <w:rFonts w:hint="eastAsia"/>
        </w:rPr>
        <w:tab/>
      </w:r>
      <w:r>
        <w:rPr>
          <w:rFonts w:hint="eastAsia"/>
        </w:rPr>
        <w:fldChar w:fldCharType="begin"/>
      </w:r>
      <w:r>
        <w:rPr>
          <w:rFonts w:hint="eastAsia"/>
        </w:rPr>
        <w:instrText xml:space="preserve"> </w:instrText>
      </w:r>
      <w:r>
        <w:instrText xml:space="preserve">PAGEREF _Toc228815335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09441038">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"_Toc228815336" </w:instrText>
      </w:r>
      <w:r>
        <w:fldChar w:fldCharType="separate"/>
      </w:r>
      <w:r>
        <w:rPr>
          <w:rStyle w:val="32"/>
          <w:rFonts w:hint="eastAsia"/>
        </w:rPr>
        <w:t>7</w:t>
      </w:r>
      <w:r>
        <w:rPr>
          <w:rStyle w:val="32"/>
        </w:rPr>
        <w:t xml:space="preserve"> </w:t>
      </w:r>
      <w:r>
        <w:rPr>
          <w:rStyle w:val="32"/>
          <w:rFonts w:hint="eastAsia" w:ascii="Times New Roman"/>
        </w:rPr>
        <w:t xml:space="preserve"> 数字化集成基本架构</w:t>
      </w:r>
      <w:r>
        <w:rPr>
          <w:rFonts w:hint="eastAsia"/>
        </w:rPr>
        <w:tab/>
      </w:r>
      <w:r>
        <w:rPr>
          <w:rFonts w:hint="eastAsia"/>
        </w:rPr>
        <w:fldChar w:fldCharType="begin"/>
      </w:r>
      <w:r>
        <w:rPr>
          <w:rFonts w:hint="eastAsia"/>
        </w:rPr>
        <w:instrText xml:space="preserve"> </w:instrText>
      </w:r>
      <w:r>
        <w:instrText xml:space="preserve">PAGEREF _Toc228815336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132EE14E">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"_Toc228815337" </w:instrText>
      </w:r>
      <w:r>
        <w:fldChar w:fldCharType="separate"/>
      </w:r>
      <w:r>
        <w:rPr>
          <w:rStyle w:val="32"/>
          <w:rFonts w:hint="eastAsia"/>
        </w:rPr>
        <w:t>8</w:t>
      </w:r>
      <w:r>
        <w:rPr>
          <w:rStyle w:val="32"/>
        </w:rPr>
        <w:t xml:space="preserve"> </w:t>
      </w:r>
      <w:r>
        <w:rPr>
          <w:rStyle w:val="32"/>
          <w:rFonts w:hint="eastAsia" w:ascii="Times New Roman"/>
        </w:rPr>
        <w:t xml:space="preserve"> 基础数据层</w:t>
      </w:r>
      <w:r>
        <w:rPr>
          <w:rFonts w:hint="eastAsia"/>
        </w:rPr>
        <w:tab/>
      </w:r>
      <w:r>
        <w:rPr>
          <w:rFonts w:hint="eastAsia"/>
        </w:rPr>
        <w:fldChar w:fldCharType="begin"/>
      </w:r>
      <w:r>
        <w:rPr>
          <w:rFonts w:hint="eastAsia"/>
        </w:rPr>
        <w:instrText xml:space="preserve"> </w:instrText>
      </w:r>
      <w:r>
        <w:instrText xml:space="preserve">PAGEREF _Toc228815337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08862037">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"_Toc228815338" </w:instrText>
      </w:r>
      <w:r>
        <w:fldChar w:fldCharType="separate"/>
      </w:r>
      <w:r>
        <w:rPr>
          <w:rStyle w:val="32"/>
          <w:rFonts w:hint="eastAsia"/>
        </w:rPr>
        <w:t>9</w:t>
      </w:r>
      <w:r>
        <w:rPr>
          <w:rStyle w:val="32"/>
        </w:rPr>
        <w:t xml:space="preserve"> </w:t>
      </w:r>
      <w:r>
        <w:rPr>
          <w:rStyle w:val="32"/>
          <w:rFonts w:hint="eastAsia" w:ascii="Times New Roman"/>
        </w:rPr>
        <w:t xml:space="preserve"> 信息层</w:t>
      </w:r>
      <w:r>
        <w:rPr>
          <w:rFonts w:hint="eastAsia"/>
        </w:rPr>
        <w:tab/>
      </w:r>
      <w:r>
        <w:rPr>
          <w:rFonts w:hint="eastAsia"/>
        </w:rPr>
        <w:fldChar w:fldCharType="begin"/>
      </w:r>
      <w:r>
        <w:rPr>
          <w:rFonts w:hint="eastAsia"/>
        </w:rPr>
        <w:instrText xml:space="preserve"> </w:instrText>
      </w:r>
      <w:r>
        <w:instrText xml:space="preserve">PAGEREF _Toc228815338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1C8E9E45">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"_Toc228815339" </w:instrText>
      </w:r>
      <w:r>
        <w:fldChar w:fldCharType="separate"/>
      </w:r>
      <w:r>
        <w:rPr>
          <w:rStyle w:val="32"/>
          <w:rFonts w:hint="eastAsia"/>
        </w:rPr>
        <w:t>10</w:t>
      </w:r>
      <w:r>
        <w:rPr>
          <w:rStyle w:val="32"/>
        </w:rPr>
        <w:t xml:space="preserve"> </w:t>
      </w:r>
      <w:r>
        <w:rPr>
          <w:rStyle w:val="32"/>
          <w:rFonts w:hint="eastAsia" w:ascii="Times New Roman"/>
        </w:rPr>
        <w:t xml:space="preserve"> 功能层</w:t>
      </w:r>
      <w:r>
        <w:rPr>
          <w:rFonts w:hint="eastAsia"/>
        </w:rPr>
        <w:tab/>
      </w:r>
      <w:r>
        <w:rPr>
          <w:rFonts w:hint="eastAsia"/>
        </w:rPr>
        <w:fldChar w:fldCharType="begin"/>
      </w:r>
      <w:r>
        <w:rPr>
          <w:rFonts w:hint="eastAsia"/>
        </w:rPr>
        <w:instrText xml:space="preserve"> </w:instrText>
      </w:r>
      <w:r>
        <w:instrText xml:space="preserve">PAGEREF _Toc228815339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265A9110">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"_Toc228815340" </w:instrText>
      </w:r>
      <w:r>
        <w:fldChar w:fldCharType="separate"/>
      </w:r>
      <w:r>
        <w:rPr>
          <w:rStyle w:val="32"/>
          <w:rFonts w:hint="eastAsia"/>
        </w:rPr>
        <w:t>11</w:t>
      </w:r>
      <w:r>
        <w:rPr>
          <w:rStyle w:val="32"/>
        </w:rPr>
        <w:t xml:space="preserve"> </w:t>
      </w:r>
      <w:r>
        <w:rPr>
          <w:rStyle w:val="32"/>
          <w:rFonts w:hint="eastAsia" w:ascii="Times New Roman"/>
        </w:rPr>
        <w:t xml:space="preserve"> 业务层</w:t>
      </w:r>
      <w:r>
        <w:rPr>
          <w:rFonts w:hint="eastAsia"/>
        </w:rPr>
        <w:tab/>
      </w:r>
      <w:r>
        <w:rPr>
          <w:rFonts w:hint="eastAsia"/>
        </w:rPr>
        <w:fldChar w:fldCharType="begin"/>
      </w:r>
      <w:r>
        <w:rPr>
          <w:rFonts w:hint="eastAsia"/>
        </w:rPr>
        <w:instrText xml:space="preserve"> </w:instrText>
      </w:r>
      <w:r>
        <w:instrText xml:space="preserve">PAGEREF _Toc228815340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7B7BDE0A">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"_Toc228815341" </w:instrText>
      </w:r>
      <w:r>
        <w:fldChar w:fldCharType="separate"/>
      </w:r>
      <w:r>
        <w:rPr>
          <w:rStyle w:val="32"/>
          <w:rFonts w:hint="eastAsia"/>
        </w:rPr>
        <w:t>12</w:t>
      </w:r>
      <w:r>
        <w:rPr>
          <w:rStyle w:val="32"/>
        </w:rPr>
        <w:t xml:space="preserve"> </w:t>
      </w:r>
      <w:r>
        <w:rPr>
          <w:rStyle w:val="32"/>
          <w:rFonts w:hint="eastAsia"/>
        </w:rPr>
        <w:t xml:space="preserve"> 集成与互操作</w:t>
      </w:r>
      <w:r>
        <w:rPr>
          <w:rFonts w:hint="eastAsia"/>
        </w:rPr>
        <w:tab/>
      </w:r>
      <w:r>
        <w:rPr>
          <w:rFonts w:hint="eastAsia"/>
        </w:rPr>
        <w:fldChar w:fldCharType="begin"/>
      </w:r>
      <w:r>
        <w:rPr>
          <w:rFonts w:hint="eastAsia"/>
        </w:rPr>
        <w:instrText xml:space="preserve"> </w:instrText>
      </w:r>
      <w:r>
        <w:instrText xml:space="preserve">PAGEREF _Toc228815341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5A020D8F">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"_Toc228815342" </w:instrText>
      </w:r>
      <w:r>
        <w:fldChar w:fldCharType="separate"/>
      </w:r>
      <w:r>
        <w:rPr>
          <w:rStyle w:val="32"/>
          <w:rFonts w:hint="eastAsia"/>
        </w:rPr>
        <w:t>13</w:t>
      </w:r>
      <w:r>
        <w:rPr>
          <w:rStyle w:val="32"/>
        </w:rPr>
        <w:t xml:space="preserve"> </w:t>
      </w:r>
      <w:r>
        <w:rPr>
          <w:rStyle w:val="32"/>
          <w:rFonts w:hint="eastAsia" w:ascii="Times New Roman"/>
        </w:rPr>
        <w:t xml:space="preserve"> 集成支撑体系</w:t>
      </w:r>
      <w:r>
        <w:rPr>
          <w:rFonts w:hint="eastAsia"/>
        </w:rPr>
        <w:tab/>
      </w:r>
      <w:r>
        <w:rPr>
          <w:rFonts w:hint="eastAsia"/>
        </w:rPr>
        <w:fldChar w:fldCharType="begin"/>
      </w:r>
      <w:r>
        <w:rPr>
          <w:rFonts w:hint="eastAsia"/>
        </w:rPr>
        <w:instrText xml:space="preserve"> </w:instrText>
      </w:r>
      <w:r>
        <w:instrText xml:space="preserve">PAGEREF _Toc228815342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1BCEFE65">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"_Toc228815343" </w:instrText>
      </w:r>
      <w:r>
        <w:fldChar w:fldCharType="separate"/>
      </w:r>
      <w:r>
        <w:rPr>
          <w:rStyle w:val="32"/>
          <w:rFonts w:hint="eastAsia"/>
        </w:rPr>
        <w:t>附录A（资料性）</w:t>
      </w:r>
      <w:r>
        <w:rPr>
          <w:rStyle w:val="32"/>
        </w:rPr>
        <w:t xml:space="preserve"> </w:t>
      </w:r>
      <w:r>
        <w:rPr>
          <w:rStyle w:val="32"/>
          <w:rFonts w:hint="eastAsia"/>
        </w:rPr>
        <w:t xml:space="preserve"> 集成能力等级评估要点</w:t>
      </w:r>
      <w:r>
        <w:rPr>
          <w:rFonts w:hint="eastAsia"/>
        </w:rPr>
        <w:tab/>
      </w:r>
      <w:r>
        <w:rPr>
          <w:rFonts w:hint="eastAsia"/>
        </w:rPr>
        <w:fldChar w:fldCharType="begin"/>
      </w:r>
      <w:r>
        <w:rPr>
          <w:rFonts w:hint="eastAsia"/>
        </w:rPr>
        <w:instrText xml:space="preserve"> </w:instrText>
      </w:r>
      <w:r>
        <w:instrText xml:space="preserve">PAGEREF _Toc228815343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6F021B31">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"_Toc228815344" </w:instrText>
      </w:r>
      <w:r>
        <w:fldChar w:fldCharType="separate"/>
      </w:r>
      <w:r>
        <w:rPr>
          <w:rStyle w:val="32"/>
          <w:rFonts w:hint="eastAsia"/>
        </w:rPr>
        <w:t>参考文献</w:t>
      </w:r>
      <w:r>
        <w:rPr>
          <w:rFonts w:hint="eastAsia"/>
        </w:rPr>
        <w:tab/>
      </w:r>
      <w:r>
        <w:rPr>
          <w:rFonts w:hint="eastAsia"/>
        </w:rPr>
        <w:fldChar w:fldCharType="begin"/>
      </w:r>
      <w:r>
        <w:rPr>
          <w:rFonts w:hint="eastAsia"/>
        </w:rPr>
        <w:instrText xml:space="preserve"> </w:instrText>
      </w:r>
      <w:r>
        <w:instrText xml:space="preserve">PAGEREF _Toc228815344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22AAC8FA">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191DD96C">
      <w:pPr>
        <w:pStyle w:val="89"/>
        <w:spacing w:before="900" w:after="360"/>
      </w:pPr>
      <w:bookmarkStart w:id="24" w:name="_Toc228815329"/>
      <w:bookmarkStart w:id="25" w:name="BookMark2"/>
      <w:r>
        <w:rPr>
          <w:rFonts w:hint="eastAsia"/>
          <w:spacing w:val="320"/>
        </w:rPr>
        <w:t>前</w:t>
      </w:r>
      <w:r>
        <w:rPr>
          <w:rFonts w:hint="eastAsia"/>
        </w:rPr>
        <w:t>言</w:t>
      </w:r>
      <w:bookmarkEnd w:id="22"/>
      <w:bookmarkEnd w:id="23"/>
      <w:bookmarkEnd w:id="24"/>
    </w:p>
    <w:p w14:paraId="292AB6F6">
      <w:pPr>
        <w:pStyle w:val="56"/>
        <w:ind w:firstLine="420"/>
      </w:pPr>
      <w:r>
        <w:rPr>
          <w:rFonts w:hint="eastAsia"/>
        </w:rPr>
        <w:t>本文件按照GB/T 1.1—2020《标准化工作导则  第1部分：标准化文件的结构和起草规则》的规定起草。</w:t>
      </w:r>
    </w:p>
    <w:p w14:paraId="66B9D415">
      <w:pPr>
        <w:pStyle w:val="56"/>
        <w:ind w:firstLine="420"/>
      </w:pPr>
      <w:r>
        <w:t>请注意本文件的某些内容可能涉及专利。本文件的发布机构不承担识别专利的责任。</w:t>
      </w:r>
    </w:p>
    <w:p w14:paraId="0B961A9A">
      <w:pPr>
        <w:pStyle w:val="56"/>
        <w:ind w:firstLine="420"/>
      </w:pPr>
      <w:r>
        <w:rPr>
          <w:rFonts w:hint="eastAsia"/>
        </w:rPr>
        <w:t>本文件由</w:t>
      </w:r>
      <w:r>
        <w:t>中国计量协会</w:t>
      </w:r>
      <w:r>
        <w:rPr>
          <w:rFonts w:hint="eastAsia"/>
        </w:rPr>
        <w:t>提出。</w:t>
      </w:r>
    </w:p>
    <w:p w14:paraId="18872A70">
      <w:pPr>
        <w:pStyle w:val="56"/>
        <w:ind w:firstLine="420"/>
      </w:pPr>
      <w:r>
        <w:rPr>
          <w:rFonts w:hint="eastAsia"/>
        </w:rPr>
        <w:t>本文件由</w:t>
      </w:r>
      <w:r>
        <w:t>中国计量协会</w:t>
      </w:r>
      <w:r>
        <w:rPr>
          <w:rFonts w:hint="eastAsia"/>
        </w:rPr>
        <w:t>校准委员会归口。</w:t>
      </w:r>
    </w:p>
    <w:p w14:paraId="1473CFC6">
      <w:pPr>
        <w:pStyle w:val="56"/>
        <w:ind w:firstLine="420"/>
      </w:pPr>
      <w:r>
        <w:rPr>
          <w:rFonts w:hint="eastAsia"/>
        </w:rPr>
        <w:t>本文件起草单位：</w:t>
      </w:r>
    </w:p>
    <w:p w14:paraId="2369EA9F">
      <w:pPr>
        <w:pStyle w:val="56"/>
        <w:ind w:firstLine="420"/>
      </w:pPr>
    </w:p>
    <w:p w14:paraId="53AACD10">
      <w:pPr>
        <w:pStyle w:val="56"/>
        <w:ind w:firstLine="420"/>
      </w:pPr>
      <w:r>
        <w:rPr>
          <w:rFonts w:hint="eastAsia"/>
        </w:rPr>
        <w:t>本文件主要起草人：</w:t>
      </w:r>
    </w:p>
    <w:p w14:paraId="0C8DFFFF">
      <w:pPr>
        <w:pStyle w:val="56"/>
        <w:ind w:firstLine="420"/>
      </w:pPr>
    </w:p>
    <w:p w14:paraId="23FAD059">
      <w:pPr>
        <w:pStyle w:val="56"/>
        <w:ind w:firstLine="420"/>
      </w:pPr>
      <w:r>
        <w:rPr>
          <w:rFonts w:hint="eastAsia"/>
        </w:rPr>
        <w:t>本文件为首次制定和发布。</w:t>
      </w:r>
    </w:p>
    <w:p w14:paraId="64AC6212">
      <w:pPr>
        <w:pStyle w:val="56"/>
        <w:ind w:firstLine="420"/>
        <w:sectPr>
          <w:pgSz w:w="11906" w:h="16838"/>
          <w:pgMar w:top="1928" w:right="1134" w:bottom="1134" w:left="1134" w:header="1418" w:footer="1134" w:gutter="284"/>
          <w:pgNumType w:fmt="upperRoman"/>
          <w:cols w:space="425" w:num="1"/>
          <w:formProt w:val="0"/>
          <w:docGrid w:linePitch="312" w:charSpace="0"/>
        </w:sectPr>
      </w:pPr>
    </w:p>
    <w:bookmarkEnd w:id="25"/>
    <w:p w14:paraId="443B28B3">
      <w:pPr>
        <w:spacing w:line="20" w:lineRule="exact"/>
        <w:jc w:val="center"/>
        <w:rPr>
          <w:rFonts w:ascii="Times New Roman" w:hAnsi="Times New Roman" w:eastAsia="黑体"/>
          <w:sz w:val="32"/>
          <w:szCs w:val="32"/>
        </w:rPr>
      </w:pPr>
      <w:bookmarkStart w:id="26" w:name="BookMark4"/>
    </w:p>
    <w:p w14:paraId="2C9544E7">
      <w:pPr>
        <w:spacing w:line="20" w:lineRule="exact"/>
        <w:jc w:val="center"/>
        <w:rPr>
          <w:rFonts w:ascii="Times New Roman" w:hAnsi="Times New Roman" w:eastAsia="黑体"/>
          <w:sz w:val="32"/>
          <w:szCs w:val="32"/>
        </w:rPr>
      </w:pPr>
    </w:p>
    <w:sdt>
      <w:sdtPr>
        <w:tag w:val="NEW_STAND_NAME"/>
        <w:id w:val="595910757"/>
        <w:lock w:val="sdtLocked"/>
        <w:placeholder>
          <w:docPart w:val="25649055DE8B4FA0955853CC2B346385"/>
        </w:placeholder>
      </w:sdtPr>
      <w:sdtContent>
        <w:p w14:paraId="75811EA4">
          <w:pPr>
            <w:pStyle w:val="177"/>
            <w:spacing w:before="2" w:beforeLines="1" w:after="528" w:afterLines="220"/>
            <w:rPr>
              <w:rFonts w:hint="eastAsia"/>
            </w:rPr>
          </w:pPr>
          <w:bookmarkStart w:id="27" w:name="NEW_STAND_NAME"/>
          <w:r>
            <w:rPr>
              <w:rFonts w:hint="eastAsia"/>
            </w:rPr>
            <w:t>质量基础设施数字化集成通用指南</w:t>
          </w:r>
        </w:p>
      </w:sdtContent>
    </w:sdt>
    <w:bookmarkEnd w:id="27"/>
    <w:p w14:paraId="758179C7">
      <w:pPr>
        <w:pStyle w:val="104"/>
        <w:spacing w:before="240" w:after="240"/>
        <w:rPr>
          <w:rFonts w:ascii="Times New Roman"/>
        </w:rPr>
      </w:pPr>
      <w:bookmarkStart w:id="28" w:name="_Toc17233333"/>
      <w:bookmarkStart w:id="29" w:name="_Toc17233325"/>
      <w:bookmarkStart w:id="30" w:name="_Toc26648465"/>
      <w:bookmarkStart w:id="31" w:name="_Toc26718930"/>
      <w:bookmarkStart w:id="32" w:name="_Toc220768530"/>
      <w:bookmarkStart w:id="33" w:name="_Toc220768498"/>
      <w:bookmarkStart w:id="34" w:name="_Toc224162261"/>
      <w:bookmarkStart w:id="35" w:name="_Toc26986530"/>
      <w:bookmarkStart w:id="36" w:name="_Toc97192964"/>
      <w:bookmarkStart w:id="37" w:name="_Toc24884211"/>
      <w:bookmarkStart w:id="38" w:name="_Toc24884218"/>
      <w:bookmarkStart w:id="39" w:name="_Toc228815307"/>
      <w:bookmarkStart w:id="40" w:name="_Toc228815330"/>
      <w:bookmarkStart w:id="41" w:name="_Toc224314112"/>
      <w:bookmarkStart w:id="42" w:name="_Toc26986771"/>
      <w:r>
        <w:rPr>
          <w:rFonts w:hint="eastAsia" w:ascii="Times New Roman"/>
        </w:rPr>
        <w:t>范围</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0329BF68">
      <w:pPr>
        <w:pStyle w:val="56"/>
        <w:ind w:firstLine="420"/>
        <w:rPr>
          <w:rFonts w:ascii="Times New Roman"/>
        </w:rPr>
      </w:pPr>
      <w:bookmarkStart w:id="43" w:name="_Toc17233334"/>
      <w:bookmarkStart w:id="44" w:name="_Toc26648466"/>
      <w:bookmarkStart w:id="45" w:name="_Toc24884219"/>
      <w:bookmarkStart w:id="46" w:name="_Toc24884212"/>
      <w:bookmarkStart w:id="47" w:name="_Toc17233326"/>
      <w:r>
        <w:rPr>
          <w:rFonts w:hint="eastAsia" w:ascii="Times New Roman"/>
        </w:rPr>
        <w:t>本文件确立了质量基础设施数字化集成的总体原则、能力等级和总体架构，规定了基础数据层、信息层、功能层、业务层、集成与交互的构成与要求，明确了两大</w:t>
      </w:r>
      <w:r>
        <w:rPr>
          <w:rFonts w:ascii="Times New Roman"/>
        </w:rPr>
        <w:t>保障体系</w:t>
      </w:r>
      <w:r>
        <w:rPr>
          <w:rFonts w:hint="eastAsia" w:ascii="Times New Roman"/>
        </w:rPr>
        <w:t>。</w:t>
      </w:r>
    </w:p>
    <w:p w14:paraId="73A0B2D9">
      <w:pPr>
        <w:pStyle w:val="56"/>
        <w:ind w:firstLine="420"/>
        <w:rPr>
          <w:rFonts w:ascii="Times New Roman"/>
        </w:rPr>
      </w:pPr>
      <w:r>
        <w:rPr>
          <w:rFonts w:hint="eastAsia" w:ascii="Times New Roman"/>
        </w:rPr>
        <w:t>本文件适用于政府部门、行业组织、企业及相关机构等开展质量基础设施数字化集成活动的规划、设计、建设和评估，其他机构可参照使用。</w:t>
      </w:r>
    </w:p>
    <w:p w14:paraId="76FA2644">
      <w:pPr>
        <w:pStyle w:val="104"/>
        <w:spacing w:before="240" w:after="240"/>
        <w:rPr>
          <w:rFonts w:ascii="Times New Roman"/>
        </w:rPr>
      </w:pPr>
      <w:bookmarkStart w:id="48" w:name="_Toc220768531"/>
      <w:bookmarkStart w:id="49" w:name="_Toc224162262"/>
      <w:bookmarkStart w:id="50" w:name="_Toc228815331"/>
      <w:bookmarkStart w:id="51" w:name="_Toc26986772"/>
      <w:bookmarkStart w:id="52" w:name="_Toc224314113"/>
      <w:bookmarkStart w:id="53" w:name="_Toc26718931"/>
      <w:bookmarkStart w:id="54" w:name="_Toc97192965"/>
      <w:bookmarkStart w:id="55" w:name="_Toc26986531"/>
      <w:bookmarkStart w:id="56" w:name="_Toc220768499"/>
      <w:bookmarkStart w:id="57" w:name="_Toc228815308"/>
      <w:r>
        <w:rPr>
          <w:rFonts w:hint="eastAsia" w:ascii="Times New Roman"/>
        </w:rPr>
        <w:t>规范性引用文件</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sdt>
      <w:sdtPr>
        <w:rPr>
          <w:rFonts w:hint="eastAsia" w:ascii="Times New Roman"/>
        </w:rPr>
        <w:id w:val="715848253"/>
        <w:placeholder>
          <w:docPart w:val="8B789D6F7D9C4DD8BFE8BC4E98831F2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ascii="Times New Roman"/>
        </w:rPr>
      </w:sdtEndPr>
      <w:sdtContent>
        <w:p w14:paraId="759B0426">
          <w:pPr>
            <w:pStyle w:val="56"/>
            <w:ind w:firstLine="420"/>
            <w:rPr>
              <w:rFonts w:ascii="Times New Roman"/>
            </w:rPr>
          </w:pPr>
          <w:r>
            <w:rPr>
              <w:rFonts w:hint="eastAsia"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6FB12F9">
      <w:pPr>
        <w:pStyle w:val="56"/>
        <w:autoSpaceDE/>
        <w:autoSpaceDN/>
        <w:ind w:firstLine="420"/>
        <w:rPr>
          <w:rFonts w:hint="eastAsia" w:hAnsi="宋体"/>
        </w:rPr>
      </w:pPr>
      <w:r>
        <w:rPr>
          <w:rFonts w:hAnsi="宋体"/>
        </w:rPr>
        <w:t>GB/Z 45492—2025</w:t>
      </w:r>
      <w:r>
        <w:rPr>
          <w:rFonts w:hint="eastAsia" w:hAnsi="宋体"/>
        </w:rPr>
        <w:t xml:space="preserve"> 标准化教育课程建设指南 国家质量基础设施（NQI）及应用</w:t>
      </w:r>
    </w:p>
    <w:p w14:paraId="7913CD52">
      <w:pPr>
        <w:pStyle w:val="56"/>
        <w:autoSpaceDE/>
        <w:autoSpaceDN/>
        <w:ind w:firstLine="420"/>
        <w:rPr>
          <w:rFonts w:hint="eastAsia" w:hAnsi="宋体"/>
        </w:rPr>
      </w:pPr>
      <w:r>
        <w:rPr>
          <w:rFonts w:hAnsi="宋体"/>
        </w:rPr>
        <w:t>GB/T</w:t>
      </w:r>
      <w:r>
        <w:rPr>
          <w:rFonts w:hint="eastAsia" w:hAnsi="宋体"/>
        </w:rPr>
        <w:t xml:space="preserve"> </w:t>
      </w:r>
      <w:r>
        <w:rPr>
          <w:rFonts w:hAnsi="宋体"/>
        </w:rPr>
        <w:t>48000.1</w:t>
      </w:r>
      <w:r>
        <w:rPr>
          <w:rFonts w:hint="eastAsia" w:hAnsi="宋体"/>
        </w:rPr>
        <w:t>—2025 标准数字化 第1部分:通用指南</w:t>
      </w:r>
    </w:p>
    <w:p w14:paraId="07B8AE17">
      <w:pPr>
        <w:pStyle w:val="56"/>
        <w:autoSpaceDE/>
        <w:autoSpaceDN/>
        <w:ind w:firstLine="420"/>
        <w:rPr>
          <w:rFonts w:hint="eastAsia" w:hAnsi="宋体"/>
        </w:rPr>
      </w:pPr>
      <w:r>
        <w:rPr>
          <w:rFonts w:hAnsi="宋体"/>
        </w:rPr>
        <w:t>GB/T 5271.17</w:t>
      </w:r>
      <w:r>
        <w:rPr>
          <w:rFonts w:hint="eastAsia" w:hAnsi="宋体"/>
        </w:rPr>
        <w:t xml:space="preserve"> 信息技术 词汇 第17部分：数据库</w:t>
      </w:r>
    </w:p>
    <w:p w14:paraId="52FB6007">
      <w:pPr>
        <w:pStyle w:val="104"/>
        <w:spacing w:before="240" w:after="240"/>
        <w:rPr>
          <w:rFonts w:ascii="Times New Roman"/>
        </w:rPr>
      </w:pPr>
      <w:bookmarkStart w:id="58" w:name="_Toc220768532"/>
      <w:bookmarkStart w:id="59" w:name="_Toc228815309"/>
      <w:bookmarkStart w:id="60" w:name="_Toc228815332"/>
      <w:bookmarkStart w:id="61" w:name="_Toc220768500"/>
      <w:bookmarkStart w:id="62" w:name="_Toc97192966"/>
      <w:bookmarkStart w:id="63" w:name="_Toc224314114"/>
      <w:bookmarkStart w:id="64" w:name="_Toc224162263"/>
      <w:r>
        <w:rPr>
          <w:rFonts w:hint="eastAsia" w:ascii="Times New Roman"/>
          <w:szCs w:val="21"/>
        </w:rPr>
        <w:t>术语和定义</w:t>
      </w:r>
      <w:bookmarkEnd w:id="58"/>
      <w:bookmarkEnd w:id="59"/>
      <w:bookmarkEnd w:id="60"/>
      <w:bookmarkEnd w:id="61"/>
      <w:bookmarkEnd w:id="62"/>
      <w:bookmarkEnd w:id="63"/>
      <w:bookmarkEnd w:id="64"/>
    </w:p>
    <w:sdt>
      <w:sdtPr>
        <w:rPr>
          <w:rFonts w:hint="eastAsia"/>
        </w:rPr>
        <w:id w:val="-1909835108"/>
        <w:placeholder>
          <w:docPart w:val="560E4818A0514D48A7949C80C46BCBF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rPr>
      </w:sdtEndPr>
      <w:sdtContent>
        <w:p w14:paraId="109FC4D0">
          <w:pPr>
            <w:pStyle w:val="56"/>
            <w:autoSpaceDE/>
            <w:autoSpaceDN/>
            <w:ind w:firstLine="420"/>
            <w:rPr>
              <w:rFonts w:ascii="Times New Roman"/>
            </w:rPr>
          </w:pPr>
          <w:bookmarkStart w:id="65" w:name="_Toc26986532"/>
          <w:bookmarkEnd w:id="65"/>
          <w:r>
            <w:rPr>
              <w:rFonts w:hint="eastAsia"/>
            </w:rPr>
            <w:t>下列术语和定义适用于本文件。</w:t>
          </w:r>
        </w:p>
      </w:sdtContent>
    </w:sdt>
    <w:p w14:paraId="5C4E11FD">
      <w:pPr>
        <w:pStyle w:val="223"/>
        <w:ind w:left="420" w:hanging="420" w:hangingChars="200"/>
        <w:rPr>
          <w:rFonts w:hint="eastAsia" w:ascii="黑体" w:hAnsi="黑体" w:eastAsia="黑体"/>
        </w:rPr>
      </w:pPr>
      <w:r>
        <w:rPr>
          <w:rFonts w:ascii="Times New Roman" w:eastAsia="黑体"/>
        </w:rPr>
        <w:br w:type="textWrapping"/>
      </w:r>
      <w:r>
        <w:rPr>
          <w:rFonts w:ascii="Times New Roman" w:eastAsia="黑体"/>
        </w:rPr>
        <w:t>质量基础设施</w:t>
      </w:r>
      <w:r>
        <w:rPr>
          <w:rFonts w:ascii="黑体" w:hAnsi="黑体" w:eastAsia="黑体"/>
        </w:rPr>
        <w:t>quality infrastructure；QI</w:t>
      </w:r>
    </w:p>
    <w:p w14:paraId="2A32A381">
      <w:pPr>
        <w:pStyle w:val="56"/>
        <w:ind w:firstLine="420"/>
        <w:rPr>
          <w:rFonts w:ascii="Times New Roman"/>
        </w:rPr>
      </w:pPr>
      <w:r>
        <w:rPr>
          <w:rFonts w:ascii="Times New Roman"/>
        </w:rPr>
        <w:t>一个由</w:t>
      </w:r>
      <w:r>
        <w:rPr>
          <w:rFonts w:hint="eastAsia" w:ascii="Times New Roman"/>
        </w:rPr>
        <w:t>法律法规体系、管理体系和技术体系</w:t>
      </w:r>
      <w:r>
        <w:rPr>
          <w:rFonts w:ascii="Times New Roman"/>
        </w:rPr>
        <w:t>共同组成</w:t>
      </w:r>
      <w:r>
        <w:rPr>
          <w:rFonts w:hint="eastAsia" w:ascii="Times New Roman"/>
        </w:rPr>
        <w:t>，支撑及提升产品和服务质量，</w:t>
      </w:r>
      <w:r>
        <w:rPr>
          <w:rFonts w:ascii="Times New Roman"/>
        </w:rPr>
        <w:t>依赖于计量、标准、合格评定等要素和市场监督活动的质量系统。</w:t>
      </w:r>
    </w:p>
    <w:p w14:paraId="2E03F248">
      <w:pPr>
        <w:pStyle w:val="56"/>
        <w:ind w:firstLine="420"/>
      </w:pPr>
      <w:r>
        <w:rPr>
          <w:rFonts w:hint="eastAsia"/>
        </w:rPr>
        <w:t>[来源：</w:t>
      </w:r>
      <w:r>
        <w:t>GB/Z 45492—2025</w:t>
      </w:r>
      <w:r>
        <w:rPr>
          <w:rFonts w:hint="eastAsia"/>
        </w:rPr>
        <w:t>，3.1.1，有修改]</w:t>
      </w:r>
    </w:p>
    <w:p w14:paraId="1DA507F6">
      <w:pPr>
        <w:pStyle w:val="223"/>
        <w:ind w:left="420" w:hanging="420" w:hangingChars="200"/>
        <w:rPr>
          <w:rFonts w:ascii="Times New Roman" w:eastAsia="黑体"/>
        </w:rPr>
      </w:pPr>
      <w:r>
        <w:rPr>
          <w:rFonts w:ascii="Times New Roman" w:eastAsia="黑体"/>
        </w:rPr>
        <w:br w:type="textWrapping"/>
      </w:r>
      <w:r>
        <w:rPr>
          <w:rFonts w:hint="eastAsia" w:ascii="Times New Roman" w:eastAsia="黑体"/>
        </w:rPr>
        <w:t xml:space="preserve">数字化集成 </w:t>
      </w:r>
      <w:r>
        <w:rPr>
          <w:rFonts w:hint="eastAsia" w:ascii="黑体" w:hAnsi="黑体" w:eastAsia="黑体"/>
        </w:rPr>
        <w:t>digital integration</w:t>
      </w:r>
    </w:p>
    <w:p w14:paraId="5F2F18B2">
      <w:pPr>
        <w:pStyle w:val="56"/>
        <w:topLinePunct/>
        <w:autoSpaceDE/>
        <w:autoSpaceDN/>
        <w:ind w:firstLine="420"/>
        <w:rPr>
          <w:rFonts w:hint="eastAsia" w:hAnsi="宋体"/>
        </w:rPr>
      </w:pPr>
      <w:r>
        <w:rPr>
          <w:rFonts w:hint="eastAsia" w:hAnsi="宋体"/>
        </w:rPr>
        <w:t>利用信息技术，将计量、标准、合格评定等要素及其体系、产品、服务、质量管理中的数字化信息转变为结构化数据与非结构化数据，建立统一的数据组织模型与互操作框架，实现数据互联互通、业务一体化的过程。</w:t>
      </w:r>
    </w:p>
    <w:p w14:paraId="2CD34493">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机器可读 machine readable</w:t>
      </w:r>
    </w:p>
    <w:p w14:paraId="3FFA820F">
      <w:pPr>
        <w:pStyle w:val="56"/>
        <w:ind w:firstLine="420"/>
      </w:pPr>
      <w:r>
        <w:rPr>
          <w:rFonts w:hint="eastAsia"/>
        </w:rPr>
        <w:t>一种能够以数据相关的形式被自动输入计算机的能力。</w:t>
      </w:r>
    </w:p>
    <w:p w14:paraId="085C5E4E">
      <w:pPr>
        <w:pStyle w:val="56"/>
        <w:autoSpaceDE/>
        <w:autoSpaceDN/>
        <w:ind w:firstLine="420"/>
        <w:rPr>
          <w:rFonts w:hint="eastAsia" w:hAnsi="宋体"/>
        </w:rPr>
      </w:pPr>
      <w:r>
        <w:rPr>
          <w:rFonts w:hint="eastAsia" w:hAnsi="宋体"/>
        </w:rPr>
        <w:t>[来源：</w:t>
      </w:r>
      <w:r>
        <w:rPr>
          <w:rFonts w:hAnsi="宋体"/>
        </w:rPr>
        <w:t>GB/T</w:t>
      </w:r>
      <w:r>
        <w:rPr>
          <w:rFonts w:hint="eastAsia" w:hAnsi="宋体"/>
        </w:rPr>
        <w:t xml:space="preserve"> </w:t>
      </w:r>
      <w:r>
        <w:rPr>
          <w:rFonts w:hAnsi="宋体"/>
        </w:rPr>
        <w:t>48000.1—2025</w:t>
      </w:r>
      <w:r>
        <w:rPr>
          <w:rFonts w:hint="eastAsia" w:hAnsi="宋体"/>
        </w:rPr>
        <w:t>，3.3]</w:t>
      </w:r>
    </w:p>
    <w:p w14:paraId="5A9A9C8B">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元数据 metadata</w:t>
      </w:r>
    </w:p>
    <w:p w14:paraId="787461E6">
      <w:pPr>
        <w:pStyle w:val="56"/>
        <w:ind w:firstLine="420"/>
      </w:pPr>
      <w:r>
        <w:rPr>
          <w:rFonts w:hint="eastAsia"/>
        </w:rPr>
        <w:t>关于数据或数据元素的数据(可能包括其数据描述),以及关于数据拥有权、存取路径、访问权和数据易变性的数据。</w:t>
      </w:r>
    </w:p>
    <w:p w14:paraId="23DCB9DB">
      <w:pPr>
        <w:pStyle w:val="56"/>
        <w:topLinePunct/>
        <w:autoSpaceDE/>
        <w:autoSpaceDN/>
        <w:ind w:firstLine="420"/>
        <w:rPr>
          <w:rFonts w:hint="eastAsia" w:hAnsi="宋体"/>
        </w:rPr>
      </w:pPr>
      <w:r>
        <w:rPr>
          <w:rFonts w:hint="eastAsia" w:hAnsi="宋体"/>
        </w:rPr>
        <w:t>[来源：</w:t>
      </w:r>
      <w:r>
        <w:rPr>
          <w:rFonts w:hAnsi="宋体"/>
        </w:rPr>
        <w:t>GB/T</w:t>
      </w:r>
      <w:r>
        <w:rPr>
          <w:rFonts w:hint="eastAsia" w:hAnsi="宋体"/>
        </w:rPr>
        <w:t xml:space="preserve"> 5271.17</w:t>
      </w:r>
      <w:r>
        <w:rPr>
          <w:rFonts w:hAnsi="宋体"/>
        </w:rPr>
        <w:t>—</w:t>
      </w:r>
      <w:r>
        <w:rPr>
          <w:rFonts w:hint="eastAsia" w:hAnsi="宋体"/>
        </w:rPr>
        <w:t>2010,17.06.05]</w:t>
      </w:r>
    </w:p>
    <w:p w14:paraId="65D2BF6D">
      <w:pPr>
        <w:pStyle w:val="104"/>
        <w:spacing w:before="240" w:after="240"/>
        <w:rPr>
          <w:rFonts w:ascii="Times New Roman"/>
        </w:rPr>
      </w:pPr>
      <w:bookmarkStart w:id="66" w:name="_Toc224314115"/>
      <w:bookmarkStart w:id="67" w:name="_Toc228815310"/>
      <w:bookmarkStart w:id="68" w:name="_Toc228815333"/>
      <w:bookmarkStart w:id="69" w:name="_Toc220768501"/>
      <w:bookmarkStart w:id="70" w:name="_Toc220768533"/>
      <w:bookmarkStart w:id="71" w:name="_Toc224162264"/>
      <w:r>
        <w:rPr>
          <w:rFonts w:hint="eastAsia" w:ascii="Times New Roman"/>
        </w:rPr>
        <w:t>缩略语</w:t>
      </w:r>
      <w:bookmarkEnd w:id="66"/>
      <w:bookmarkEnd w:id="67"/>
      <w:bookmarkEnd w:id="68"/>
      <w:bookmarkEnd w:id="69"/>
      <w:bookmarkEnd w:id="70"/>
      <w:bookmarkEnd w:id="71"/>
    </w:p>
    <w:p w14:paraId="6106B3A1">
      <w:pPr>
        <w:pStyle w:val="56"/>
        <w:ind w:firstLine="420"/>
        <w:rPr>
          <w:rFonts w:ascii="Times New Roman"/>
        </w:rPr>
      </w:pPr>
      <w:r>
        <w:rPr>
          <w:rFonts w:hint="eastAsia" w:ascii="Times New Roman"/>
        </w:rPr>
        <w:t>下列缩略语适用于本文件。</w:t>
      </w:r>
    </w:p>
    <w:p w14:paraId="59260B11">
      <w:pPr>
        <w:pStyle w:val="56"/>
        <w:topLinePunct/>
        <w:autoSpaceDE/>
        <w:autoSpaceDN/>
        <w:ind w:firstLine="420"/>
        <w:rPr>
          <w:rFonts w:ascii="Times New Roman"/>
        </w:rPr>
      </w:pPr>
      <w:r>
        <w:rPr>
          <w:rFonts w:hint="eastAsia" w:ascii="Times New Roman"/>
        </w:rPr>
        <w:t>AMQP：高级消息队列协议（Advanced Message Queuing Protocol）</w:t>
      </w:r>
    </w:p>
    <w:p w14:paraId="23837461">
      <w:pPr>
        <w:pStyle w:val="56"/>
        <w:topLinePunct/>
        <w:autoSpaceDE/>
        <w:autoSpaceDN/>
        <w:ind w:firstLine="420"/>
        <w:rPr>
          <w:rFonts w:ascii="Times New Roman"/>
        </w:rPr>
      </w:pPr>
      <w:r>
        <w:rPr>
          <w:rFonts w:hint="eastAsia" w:ascii="Times New Roman"/>
        </w:rPr>
        <w:t>API：应用程序编程接口（</w:t>
      </w:r>
      <w:r>
        <w:rPr>
          <w:rFonts w:ascii="Times New Roman"/>
        </w:rPr>
        <w:t>Application Program Interface</w:t>
      </w:r>
      <w:r>
        <w:rPr>
          <w:rFonts w:hint="eastAsia" w:ascii="Times New Roman"/>
        </w:rPr>
        <w:t>）</w:t>
      </w:r>
    </w:p>
    <w:p w14:paraId="0514619E">
      <w:pPr>
        <w:pStyle w:val="56"/>
        <w:topLinePunct/>
        <w:autoSpaceDE/>
        <w:autoSpaceDN/>
        <w:ind w:firstLine="420"/>
        <w:rPr>
          <w:rFonts w:ascii="Times New Roman"/>
        </w:rPr>
      </w:pPr>
      <w:r>
        <w:rPr>
          <w:rFonts w:hint="eastAsia" w:ascii="Times New Roman"/>
        </w:rPr>
        <w:t>DCC：数字校准证书（Digital Calibration Certificate）</w:t>
      </w:r>
    </w:p>
    <w:p w14:paraId="79F19C99">
      <w:pPr>
        <w:pStyle w:val="56"/>
        <w:topLinePunct/>
        <w:autoSpaceDE/>
        <w:autoSpaceDN/>
        <w:ind w:firstLine="420"/>
        <w:rPr>
          <w:rFonts w:ascii="Times New Roman"/>
        </w:rPr>
      </w:pPr>
      <w:r>
        <w:rPr>
          <w:rFonts w:ascii="Times New Roman"/>
        </w:rPr>
        <w:t>D-CoC</w:t>
      </w:r>
      <w:r>
        <w:rPr>
          <w:rFonts w:hint="eastAsia" w:ascii="Times New Roman"/>
        </w:rPr>
        <w:t>：数字合格证书（</w:t>
      </w:r>
      <w:r>
        <w:rPr>
          <w:rFonts w:ascii="Times New Roman"/>
        </w:rPr>
        <w:t>Digital Certificate of Conformity</w:t>
      </w:r>
      <w:r>
        <w:rPr>
          <w:rFonts w:hint="eastAsia" w:ascii="Times New Roman"/>
        </w:rPr>
        <w:t>）</w:t>
      </w:r>
    </w:p>
    <w:p w14:paraId="45118E3F">
      <w:pPr>
        <w:pStyle w:val="56"/>
        <w:topLinePunct/>
        <w:autoSpaceDE/>
        <w:autoSpaceDN/>
        <w:ind w:firstLine="420"/>
        <w:rPr>
          <w:rFonts w:ascii="Times New Roman"/>
        </w:rPr>
      </w:pPr>
      <w:r>
        <w:rPr>
          <w:rFonts w:hint="eastAsia" w:ascii="Times New Roman"/>
        </w:rPr>
        <w:t>HTTP：超文本传输协议（HyperText Transfer Protocol）</w:t>
      </w:r>
    </w:p>
    <w:p w14:paraId="4D8AD9AF">
      <w:pPr>
        <w:pStyle w:val="56"/>
        <w:topLinePunct/>
        <w:autoSpaceDE/>
        <w:autoSpaceDN/>
        <w:ind w:firstLine="420"/>
        <w:rPr>
          <w:rFonts w:ascii="Times New Roman"/>
        </w:rPr>
      </w:pPr>
      <w:r>
        <w:rPr>
          <w:rFonts w:hint="eastAsia" w:ascii="Times New Roman"/>
        </w:rPr>
        <w:t>JSON：JavaScript对象标记(JavaScript Object Notation)</w:t>
      </w:r>
    </w:p>
    <w:p w14:paraId="0EB36F32">
      <w:pPr>
        <w:pStyle w:val="56"/>
        <w:topLinePunct/>
        <w:autoSpaceDE/>
        <w:autoSpaceDN/>
        <w:ind w:firstLine="420"/>
        <w:rPr>
          <w:rFonts w:ascii="Times New Roman"/>
        </w:rPr>
      </w:pPr>
      <w:r>
        <w:rPr>
          <w:rFonts w:hint="eastAsia" w:ascii="Times New Roman"/>
        </w:rPr>
        <w:t>MQTT：消息队列遥测传输（Message Queuing Telemetry Transport）</w:t>
      </w:r>
    </w:p>
    <w:p w14:paraId="14BD7C2D">
      <w:pPr>
        <w:pStyle w:val="56"/>
        <w:topLinePunct/>
        <w:autoSpaceDE/>
        <w:autoSpaceDN/>
        <w:ind w:firstLine="420"/>
        <w:rPr>
          <w:rFonts w:ascii="Times New Roman"/>
        </w:rPr>
      </w:pPr>
      <w:r>
        <w:rPr>
          <w:rFonts w:hint="eastAsia" w:ascii="Times New Roman"/>
        </w:rPr>
        <w:t>QI：质量基础设施（Quality Infrastructure）</w:t>
      </w:r>
    </w:p>
    <w:p w14:paraId="445187DD">
      <w:pPr>
        <w:pStyle w:val="56"/>
        <w:topLinePunct/>
        <w:autoSpaceDE/>
        <w:autoSpaceDN/>
        <w:ind w:firstLine="420"/>
        <w:rPr>
          <w:rFonts w:ascii="Times New Roman"/>
        </w:rPr>
      </w:pPr>
      <w:r>
        <w:rPr>
          <w:rFonts w:hint="eastAsia" w:ascii="Times New Roman"/>
        </w:rPr>
        <w:t>PKI：公钥基础设施（Public Key Infrastructure）</w:t>
      </w:r>
    </w:p>
    <w:p w14:paraId="06D60800">
      <w:pPr>
        <w:pStyle w:val="56"/>
        <w:topLinePunct/>
        <w:autoSpaceDE/>
        <w:autoSpaceDN/>
        <w:ind w:firstLine="420"/>
        <w:rPr>
          <w:rFonts w:ascii="Times New Roman"/>
        </w:rPr>
      </w:pPr>
      <w:r>
        <w:rPr>
          <w:rFonts w:hint="eastAsia" w:ascii="Times New Roman"/>
        </w:rPr>
        <w:t>RDF：资源描述框架（Resource Description Framework）</w:t>
      </w:r>
    </w:p>
    <w:p w14:paraId="5BFD8BE4">
      <w:pPr>
        <w:pStyle w:val="56"/>
        <w:topLinePunct/>
        <w:autoSpaceDE/>
        <w:autoSpaceDN/>
        <w:ind w:firstLine="420"/>
        <w:rPr>
          <w:rFonts w:ascii="Times New Roman"/>
        </w:rPr>
      </w:pPr>
      <w:r>
        <w:rPr>
          <w:rFonts w:ascii="Times New Roman"/>
        </w:rPr>
        <w:t>RESTful API</w:t>
      </w:r>
      <w:r>
        <w:rPr>
          <w:rFonts w:hint="eastAsia" w:ascii="Times New Roman"/>
        </w:rPr>
        <w:t>：表述性状态转移（</w:t>
      </w:r>
      <w:r>
        <w:rPr>
          <w:rFonts w:ascii="Times New Roman"/>
        </w:rPr>
        <w:t>Representational State Transfer</w:t>
      </w:r>
      <w:r>
        <w:rPr>
          <w:rFonts w:hint="eastAsia" w:ascii="Times New Roman"/>
        </w:rPr>
        <w:t>）</w:t>
      </w:r>
    </w:p>
    <w:p w14:paraId="28EC83E5">
      <w:pPr>
        <w:pStyle w:val="56"/>
        <w:topLinePunct/>
        <w:autoSpaceDE/>
        <w:autoSpaceDN/>
        <w:ind w:firstLine="420"/>
        <w:rPr>
          <w:rFonts w:ascii="Times New Roman"/>
        </w:rPr>
      </w:pPr>
      <w:r>
        <w:rPr>
          <w:rFonts w:hint="eastAsia" w:ascii="Times New Roman"/>
        </w:rPr>
        <w:t>XML：可扩展置标语言（Extensible Markup Language）</w:t>
      </w:r>
    </w:p>
    <w:p w14:paraId="73256ACE">
      <w:pPr>
        <w:pStyle w:val="104"/>
        <w:spacing w:before="240" w:after="240"/>
        <w:rPr>
          <w:rFonts w:ascii="Times New Roman"/>
        </w:rPr>
      </w:pPr>
      <w:bookmarkStart w:id="72" w:name="_Toc228815311"/>
      <w:bookmarkStart w:id="73" w:name="_Toc224162265"/>
      <w:bookmarkStart w:id="74" w:name="_Toc228815334"/>
      <w:bookmarkStart w:id="75" w:name="_Toc224314116"/>
      <w:bookmarkStart w:id="76" w:name="_Toc220768502"/>
      <w:bookmarkStart w:id="77" w:name="_Toc220768534"/>
      <w:r>
        <w:rPr>
          <w:rFonts w:hint="eastAsia" w:ascii="Times New Roman"/>
        </w:rPr>
        <w:t>总体原则</w:t>
      </w:r>
      <w:bookmarkEnd w:id="72"/>
      <w:bookmarkEnd w:id="73"/>
      <w:bookmarkEnd w:id="74"/>
      <w:bookmarkEnd w:id="75"/>
      <w:bookmarkEnd w:id="76"/>
      <w:bookmarkEnd w:id="77"/>
    </w:p>
    <w:p w14:paraId="7D7F568B">
      <w:pPr>
        <w:pStyle w:val="105"/>
        <w:spacing w:before="120" w:after="120"/>
        <w:rPr>
          <w:rFonts w:ascii="Times New Roman"/>
        </w:rPr>
      </w:pPr>
      <w:bookmarkStart w:id="78" w:name="_Toc220768503"/>
      <w:r>
        <w:rPr>
          <w:rFonts w:hint="eastAsia" w:ascii="Times New Roman"/>
        </w:rPr>
        <w:t>数据驱动</w:t>
      </w:r>
      <w:bookmarkEnd w:id="78"/>
    </w:p>
    <w:p w14:paraId="1928207D">
      <w:pPr>
        <w:pStyle w:val="56"/>
        <w:topLinePunct/>
        <w:autoSpaceDE/>
        <w:autoSpaceDN/>
        <w:ind w:firstLine="420"/>
        <w:rPr>
          <w:rFonts w:hint="eastAsia" w:hAnsi="宋体"/>
        </w:rPr>
      </w:pPr>
      <w:r>
        <w:rPr>
          <w:rFonts w:hint="eastAsia" w:hAnsi="宋体"/>
        </w:rPr>
        <w:t>以</w:t>
      </w:r>
      <w:r>
        <w:rPr>
          <w:rFonts w:hAnsi="宋体"/>
        </w:rPr>
        <w:t>数据流动与融合为核心，挖掘与释放数据价值，确保QI各要素数据</w:t>
      </w:r>
      <w:r>
        <w:rPr>
          <w:rFonts w:hint="eastAsia" w:hAnsi="宋体"/>
        </w:rPr>
        <w:t>实现</w:t>
      </w:r>
      <w:r>
        <w:rPr>
          <w:rFonts w:hAnsi="宋体"/>
        </w:rPr>
        <w:t>良好的机器可读、可解析与可</w:t>
      </w:r>
      <w:r>
        <w:rPr>
          <w:rFonts w:hint="eastAsia" w:hAnsi="宋体"/>
        </w:rPr>
        <w:t>推理</w:t>
      </w:r>
      <w:r>
        <w:rPr>
          <w:rFonts w:hAnsi="宋体"/>
        </w:rPr>
        <w:t>，便于上层系统调用与利用，避免集成工作流于形式。</w:t>
      </w:r>
    </w:p>
    <w:p w14:paraId="337316FB">
      <w:pPr>
        <w:pStyle w:val="105"/>
        <w:spacing w:before="120" w:after="120"/>
        <w:rPr>
          <w:rFonts w:ascii="Times New Roman"/>
        </w:rPr>
      </w:pPr>
      <w:bookmarkStart w:id="79" w:name="_Toc220768504"/>
      <w:r>
        <w:rPr>
          <w:rFonts w:hint="eastAsia" w:ascii="Times New Roman"/>
        </w:rPr>
        <w:t>标准统一</w:t>
      </w:r>
      <w:bookmarkEnd w:id="79"/>
    </w:p>
    <w:p w14:paraId="61455E2B">
      <w:pPr>
        <w:pStyle w:val="56"/>
        <w:ind w:firstLine="420"/>
        <w:rPr>
          <w:rFonts w:ascii="Times New Roman"/>
        </w:rPr>
      </w:pPr>
      <w:r>
        <w:rPr>
          <w:rFonts w:ascii="Times New Roman"/>
        </w:rPr>
        <w:t>建立统一的数据元标准、接口规范与应用协议，打破</w:t>
      </w:r>
      <w:r>
        <w:rPr>
          <w:rFonts w:hint="eastAsia" w:ascii="Times New Roman"/>
        </w:rPr>
        <w:t>“</w:t>
      </w:r>
      <w:r>
        <w:rPr>
          <w:rFonts w:ascii="Times New Roman"/>
        </w:rPr>
        <w:t>数据孤岛</w:t>
      </w:r>
      <w:r>
        <w:rPr>
          <w:rFonts w:hint="eastAsia" w:ascii="Times New Roman"/>
        </w:rPr>
        <w:t>”</w:t>
      </w:r>
      <w:r>
        <w:rPr>
          <w:rFonts w:ascii="Times New Roman"/>
        </w:rPr>
        <w:t>与</w:t>
      </w:r>
      <w:r>
        <w:rPr>
          <w:rFonts w:hint="eastAsia" w:ascii="Times New Roman"/>
        </w:rPr>
        <w:t>“</w:t>
      </w:r>
      <w:r>
        <w:rPr>
          <w:rFonts w:ascii="Times New Roman"/>
        </w:rPr>
        <w:t>系统烟囱</w:t>
      </w:r>
      <w:r>
        <w:rPr>
          <w:rFonts w:hint="eastAsia" w:ascii="Times New Roman"/>
        </w:rPr>
        <w:t>”</w:t>
      </w:r>
      <w:r>
        <w:rPr>
          <w:rFonts w:ascii="Times New Roman"/>
        </w:rPr>
        <w:t>，实现不同业务系统间的无缝对接与安全高效的数据交换，提升协同效率与数据可靠性。</w:t>
      </w:r>
    </w:p>
    <w:p w14:paraId="3D3A804C">
      <w:pPr>
        <w:pStyle w:val="105"/>
        <w:spacing w:before="120" w:after="120"/>
        <w:rPr>
          <w:rFonts w:ascii="Times New Roman"/>
        </w:rPr>
      </w:pPr>
      <w:bookmarkStart w:id="80" w:name="_Toc220768505"/>
      <w:r>
        <w:rPr>
          <w:rFonts w:hint="eastAsia" w:ascii="Times New Roman"/>
        </w:rPr>
        <w:t>平台支撑</w:t>
      </w:r>
      <w:bookmarkEnd w:id="80"/>
    </w:p>
    <w:p w14:paraId="0858B3F0">
      <w:pPr>
        <w:pStyle w:val="56"/>
        <w:topLinePunct/>
        <w:autoSpaceDE/>
        <w:autoSpaceDN/>
        <w:ind w:firstLine="420"/>
        <w:rPr>
          <w:rFonts w:hint="eastAsia" w:hAnsi="宋体"/>
        </w:rPr>
      </w:pPr>
      <w:r>
        <w:rPr>
          <w:rFonts w:hAnsi="宋体"/>
        </w:rPr>
        <w:t>宜采用</w:t>
      </w:r>
      <w:r>
        <w:rPr>
          <w:rFonts w:hint="eastAsia" w:hAnsi="宋体"/>
        </w:rPr>
        <w:t>“</w:t>
      </w:r>
      <w:r>
        <w:rPr>
          <w:rFonts w:hAnsi="宋体"/>
        </w:rPr>
        <w:t>基础平台+生态应用</w:t>
      </w:r>
      <w:r>
        <w:rPr>
          <w:rFonts w:hint="eastAsia" w:hAnsi="宋体"/>
        </w:rPr>
        <w:t>”</w:t>
      </w:r>
      <w:r>
        <w:rPr>
          <w:rFonts w:hAnsi="宋体"/>
        </w:rPr>
        <w:t>架构，通过统一数字平台整合QI资源，开放标准化API，吸引多元服务主体共建共享，形成协同共生的服务生态，提升服务覆盖与创新能力。</w:t>
      </w:r>
    </w:p>
    <w:p w14:paraId="4DFBA6DF">
      <w:pPr>
        <w:pStyle w:val="105"/>
        <w:spacing w:before="120" w:after="120"/>
        <w:rPr>
          <w:rFonts w:ascii="Times New Roman"/>
        </w:rPr>
      </w:pPr>
      <w:bookmarkStart w:id="81" w:name="_Toc220768506"/>
      <w:r>
        <w:rPr>
          <w:rFonts w:hint="eastAsia" w:ascii="Times New Roman"/>
        </w:rPr>
        <w:t>安全可靠</w:t>
      </w:r>
      <w:bookmarkEnd w:id="81"/>
    </w:p>
    <w:p w14:paraId="4A3DAB0D">
      <w:pPr>
        <w:pStyle w:val="56"/>
        <w:ind w:firstLine="420"/>
        <w:rPr>
          <w:rFonts w:ascii="Times New Roman"/>
        </w:rPr>
      </w:pPr>
      <w:r>
        <w:rPr>
          <w:rFonts w:ascii="Times New Roman"/>
        </w:rPr>
        <w:t>采用</w:t>
      </w:r>
      <w:r>
        <w:rPr>
          <w:rFonts w:hint="eastAsia" w:ascii="Times New Roman"/>
        </w:rPr>
        <w:t>可信存证</w:t>
      </w:r>
      <w:r>
        <w:rPr>
          <w:rFonts w:ascii="Times New Roman"/>
        </w:rPr>
        <w:t>、数字签名、加密传输等技术保障数据完整性、防篡改与可追溯，加强全过程安全审计与风险监测，构建覆盖</w:t>
      </w:r>
      <w:r>
        <w:rPr>
          <w:rFonts w:hint="eastAsia" w:ascii="Times New Roman"/>
        </w:rPr>
        <w:t>信息</w:t>
      </w:r>
      <w:r>
        <w:rPr>
          <w:rFonts w:ascii="Times New Roman"/>
        </w:rPr>
        <w:t>全</w:t>
      </w:r>
      <w:r>
        <w:rPr>
          <w:rFonts w:hint="eastAsia" w:ascii="Times New Roman"/>
        </w:rPr>
        <w:t>流程</w:t>
      </w:r>
      <w:r>
        <w:rPr>
          <w:rFonts w:ascii="Times New Roman"/>
        </w:rPr>
        <w:t>的可信安全保障体系。</w:t>
      </w:r>
    </w:p>
    <w:p w14:paraId="3AD7FD18">
      <w:pPr>
        <w:pStyle w:val="105"/>
        <w:spacing w:before="120" w:after="120"/>
        <w:rPr>
          <w:rFonts w:ascii="Times New Roman"/>
        </w:rPr>
      </w:pPr>
      <w:bookmarkStart w:id="82" w:name="_Toc220768507"/>
      <w:r>
        <w:rPr>
          <w:rFonts w:hint="eastAsia" w:ascii="Times New Roman"/>
        </w:rPr>
        <w:t>需求导向</w:t>
      </w:r>
      <w:bookmarkEnd w:id="82"/>
    </w:p>
    <w:p w14:paraId="0B1566BA">
      <w:pPr>
        <w:pStyle w:val="56"/>
        <w:topLinePunct/>
        <w:autoSpaceDE/>
        <w:autoSpaceDN/>
        <w:ind w:firstLine="420"/>
        <w:rPr>
          <w:rFonts w:hint="eastAsia" w:hAnsi="宋体"/>
        </w:rPr>
      </w:pPr>
      <w:r>
        <w:rPr>
          <w:rFonts w:hAnsi="宋体"/>
        </w:rPr>
        <w:t>以业务需求为导向，优先从价值高、紧迫性强的场景切入，开展QI要素的深度集成与应用</w:t>
      </w:r>
      <w:r>
        <w:rPr>
          <w:rFonts w:hint="eastAsia" w:hAnsi="宋体"/>
        </w:rPr>
        <w:t>，</w:t>
      </w:r>
      <w:r>
        <w:rPr>
          <w:rFonts w:hAnsi="宋体"/>
        </w:rPr>
        <w:t>采用小步快跑、快速迭代的方式，不断反馈和优化集成体系</w:t>
      </w:r>
      <w:r>
        <w:rPr>
          <w:rFonts w:hint="eastAsia" w:hAnsi="宋体"/>
        </w:rPr>
        <w:t>，</w:t>
      </w:r>
      <w:r>
        <w:rPr>
          <w:rFonts w:hAnsi="宋体"/>
        </w:rPr>
        <w:t>形成可复制、可推广的集成经验与制度成果。</w:t>
      </w:r>
    </w:p>
    <w:p w14:paraId="4F129B5A">
      <w:pPr>
        <w:pStyle w:val="104"/>
        <w:spacing w:before="240" w:after="240"/>
        <w:rPr>
          <w:rFonts w:ascii="Times New Roman"/>
        </w:rPr>
      </w:pPr>
      <w:bookmarkStart w:id="83" w:name="_Toc224162266"/>
      <w:bookmarkStart w:id="84" w:name="_Toc228815335"/>
      <w:bookmarkStart w:id="85" w:name="_Toc224314117"/>
      <w:bookmarkStart w:id="86" w:name="_Toc228815312"/>
      <w:r>
        <w:rPr>
          <w:rFonts w:hint="eastAsia" w:ascii="Times New Roman"/>
        </w:rPr>
        <w:t>集成能力等级</w:t>
      </w:r>
      <w:bookmarkEnd w:id="83"/>
      <w:bookmarkEnd w:id="84"/>
      <w:bookmarkEnd w:id="85"/>
      <w:bookmarkEnd w:id="86"/>
    </w:p>
    <w:p w14:paraId="17DEA4DD">
      <w:pPr>
        <w:pStyle w:val="56"/>
        <w:topLinePunct/>
        <w:ind w:firstLine="420"/>
        <w:rPr>
          <w:rFonts w:hint="eastAsia" w:hAnsi="宋体"/>
        </w:rPr>
      </w:pPr>
      <w:r>
        <w:rPr>
          <w:rFonts w:hint="eastAsia"/>
        </w:rPr>
        <w:t>数</w:t>
      </w:r>
      <w:r>
        <w:rPr>
          <w:rFonts w:hint="eastAsia" w:hAnsi="宋体"/>
        </w:rPr>
        <w:t>字化集成的对象是计量、标准、合格评定三个活动中能够进行数字化的事物,如仪器设备、文本、证书等。不同场景、不同活动对内容读取、理解、使用的需求不同,根据实际情况,将数字化集成能力分为如下等级：</w:t>
      </w:r>
    </w:p>
    <w:p w14:paraId="53676B9B">
      <w:pPr>
        <w:pStyle w:val="132"/>
        <w:topLinePunct/>
        <w:ind w:left="850" w:hanging="425"/>
        <w:rPr>
          <w:rFonts w:hint="eastAsia" w:hAnsi="宋体"/>
        </w:rPr>
      </w:pPr>
      <w:r>
        <w:rPr>
          <w:rFonts w:hint="eastAsia" w:hAnsi="宋体"/>
        </w:rPr>
        <w:t>互联级（L1）：实现计量、标准、合格评定等要素系统间的数据双向传输，建立基础的网络连接和数据通道。数据以原始格式传递，接收方需自行解析。</w:t>
      </w:r>
    </w:p>
    <w:p w14:paraId="4197F16D">
      <w:pPr>
        <w:pStyle w:val="132"/>
        <w:topLinePunct/>
        <w:rPr>
          <w:rFonts w:hint="eastAsia" w:hAnsi="宋体"/>
        </w:rPr>
      </w:pPr>
      <w:r>
        <w:rPr>
          <w:rFonts w:hint="eastAsia" w:hAnsi="宋体"/>
        </w:rPr>
        <w:t>可读级（L2）：建立统一的元数据映射机制，采用共享的核心元数据标准，使数据以结构化、语义化的形式实现机器可读。数据在传输时携带语义标签，使接收方可正确理解数据的含义和上下文。</w:t>
      </w:r>
    </w:p>
    <w:p w14:paraId="7D15AD73">
      <w:pPr>
        <w:pStyle w:val="132"/>
        <w:topLinePunct/>
        <w:rPr>
          <w:rFonts w:hint="eastAsia" w:hAnsi="宋体"/>
        </w:rPr>
      </w:pPr>
      <w:r>
        <w:rPr>
          <w:rFonts w:hint="eastAsia" w:hAnsi="宋体"/>
        </w:rPr>
        <w:t>融合级（L3）：实现跨领域的数据融合与知识关联。基于共享的语义模型和知识图谱，将计量数据、标准条款、认证结果进行深度关联，形成可被机器综合解析的信息网络。</w:t>
      </w:r>
    </w:p>
    <w:p w14:paraId="43AC003A">
      <w:pPr>
        <w:pStyle w:val="132"/>
        <w:topLinePunct/>
        <w:rPr>
          <w:rFonts w:hint="eastAsia" w:hAnsi="宋体"/>
        </w:rPr>
      </w:pPr>
      <w:r>
        <w:rPr>
          <w:rFonts w:hint="eastAsia" w:hAnsi="宋体"/>
        </w:rPr>
        <w:t>协同级（L4）：支持跨系统的业务流程协同与智能联动。系统可根据业务规则自动触发跨领域操作，如标准变更自动触发相关认证证书的状态更新，计量校准数据自动触发生产线的参数调整。</w:t>
      </w:r>
    </w:p>
    <w:p w14:paraId="389176D4">
      <w:pPr>
        <w:pStyle w:val="132"/>
        <w:topLinePunct/>
        <w:rPr>
          <w:rFonts w:hint="eastAsia" w:hAnsi="宋体"/>
        </w:rPr>
      </w:pPr>
      <w:r>
        <w:rPr>
          <w:rFonts w:hint="eastAsia" w:hAnsi="宋体"/>
        </w:rPr>
        <w:t>生态级（L5）：构建开放协同的QI数字生态，支持多主体、跨层级、跨地域的自主协作。系统具备自学习、自优化能力，能够适应新技术发展和业务模式创新。</w:t>
      </w:r>
    </w:p>
    <w:p w14:paraId="3F8880FA">
      <w:pPr>
        <w:pStyle w:val="132"/>
        <w:numPr>
          <w:ilvl w:val="0"/>
          <w:numId w:val="0"/>
        </w:numPr>
        <w:topLinePunct/>
        <w:ind w:left="425"/>
        <w:rPr>
          <w:rFonts w:ascii="Times New Roman"/>
        </w:rPr>
      </w:pPr>
      <w:r>
        <w:rPr>
          <w:rFonts w:hint="eastAsia" w:hAnsi="宋体"/>
        </w:rPr>
        <w:t>集成能力等级的评估要点见附录A。</w:t>
      </w:r>
      <w:bookmarkStart w:id="87" w:name="_Toc220768511"/>
    </w:p>
    <w:bookmarkEnd w:id="87"/>
    <w:p w14:paraId="72C8C81D">
      <w:pPr>
        <w:pStyle w:val="104"/>
        <w:spacing w:before="240" w:after="240"/>
        <w:rPr>
          <w:rFonts w:ascii="Times New Roman"/>
        </w:rPr>
      </w:pPr>
      <w:bookmarkStart w:id="88" w:name="_Toc224314118"/>
      <w:bookmarkStart w:id="89" w:name="_Toc220768513"/>
      <w:bookmarkStart w:id="90" w:name="_Toc224162267"/>
      <w:bookmarkStart w:id="91" w:name="_Toc220768536"/>
      <w:bookmarkStart w:id="92" w:name="_Toc228815313"/>
      <w:bookmarkStart w:id="93" w:name="_Toc228815336"/>
      <w:r>
        <w:rPr>
          <w:rFonts w:hint="eastAsia" w:ascii="Times New Roman"/>
        </w:rPr>
        <w:t>数字化集成基本</w:t>
      </w:r>
      <w:bookmarkEnd w:id="88"/>
      <w:bookmarkEnd w:id="89"/>
      <w:bookmarkEnd w:id="90"/>
      <w:bookmarkEnd w:id="91"/>
      <w:r>
        <w:rPr>
          <w:rFonts w:hint="eastAsia" w:ascii="Times New Roman"/>
        </w:rPr>
        <w:t>架构</w:t>
      </w:r>
      <w:bookmarkEnd w:id="92"/>
      <w:bookmarkEnd w:id="93"/>
    </w:p>
    <w:p w14:paraId="1BB203D0">
      <w:pPr>
        <w:pStyle w:val="56"/>
        <w:topLinePunct/>
        <w:autoSpaceDE/>
        <w:autoSpaceDN/>
        <w:ind w:firstLine="420"/>
        <w:rPr>
          <w:rFonts w:hint="eastAsia" w:hAnsi="宋体"/>
        </w:rPr>
      </w:pPr>
      <w:r>
        <w:rPr>
          <w:rFonts w:hint="eastAsia" w:hAnsi="宋体"/>
        </w:rPr>
        <w:t>QI数字化集成从底层到顶层依次为基础数据层、信息层、功能层、业务层，以及贯通全层级的集成与交互，辅以标准规范体系和安全保障体系两大支撑，形成结构清晰、功能完备的集成框架</w:t>
      </w:r>
      <w:r>
        <w:rPr>
          <w:rFonts w:hAnsi="宋体"/>
        </w:rPr>
        <w:t>，确保</w:t>
      </w:r>
      <w:r>
        <w:rPr>
          <w:rFonts w:hint="eastAsia" w:hAnsi="宋体"/>
        </w:rPr>
        <w:t>数字化集成</w:t>
      </w:r>
      <w:r>
        <w:rPr>
          <w:rFonts w:hAnsi="宋体"/>
        </w:rPr>
        <w:t>的开放性、可扩展性和安全性。</w:t>
      </w:r>
      <w:r>
        <w:rPr>
          <w:rFonts w:hint="eastAsia" w:hAnsi="宋体"/>
        </w:rPr>
        <w:t>QI数字化集成架构见图1。</w:t>
      </w:r>
    </w:p>
    <w:p w14:paraId="2801C882">
      <w:pPr>
        <w:pStyle w:val="56"/>
        <w:ind w:firstLine="420"/>
        <w:rPr>
          <w:rFonts w:ascii="Times New Roman"/>
        </w:rPr>
      </w:pPr>
    </w:p>
    <w:p w14:paraId="7CB58A2D">
      <w:pPr>
        <w:pStyle w:val="56"/>
        <w:ind w:left="0" w:leftChars="0" w:firstLine="0" w:firstLineChars="0"/>
        <w:jc w:val="both"/>
        <w:rPr>
          <w:rFonts w:ascii="Times New Roman"/>
        </w:rPr>
      </w:pPr>
      <w:r>
        <w:rPr>
          <w:rFonts w:ascii="Times New Roman"/>
        </w:rPr>
        <w:drawing>
          <wp:inline distT="0" distB="0" distL="0" distR="0">
            <wp:extent cx="5758180" cy="7313930"/>
            <wp:effectExtent l="0" t="0" r="0" b="0"/>
            <wp:docPr id="3429800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980020" name="图片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5758180" cy="7313930"/>
                    </a:xfrm>
                    <a:prstGeom prst="rect">
                      <a:avLst/>
                    </a:prstGeom>
                    <a:noFill/>
                    <a:ln>
                      <a:noFill/>
                    </a:ln>
                  </pic:spPr>
                </pic:pic>
              </a:graphicData>
            </a:graphic>
          </wp:inline>
        </w:drawing>
      </w:r>
    </w:p>
    <w:p w14:paraId="703ABF9A">
      <w:pPr>
        <w:pStyle w:val="114"/>
        <w:spacing w:before="120" w:after="120"/>
      </w:pPr>
      <w:r>
        <w:rPr>
          <w:rFonts w:hint="eastAsia"/>
        </w:rPr>
        <w:t>QI数字化集成架构</w:t>
      </w:r>
    </w:p>
    <w:p w14:paraId="0B38E352">
      <w:pPr>
        <w:pStyle w:val="132"/>
      </w:pPr>
      <w:r>
        <w:rPr>
          <w:rFonts w:hint="eastAsia"/>
        </w:rPr>
        <w:t>业务层</w:t>
      </w:r>
      <w:r>
        <w:t xml:space="preserve"> ↔ </w:t>
      </w:r>
      <w:r>
        <w:rPr>
          <w:rFonts w:hint="eastAsia"/>
        </w:rPr>
        <w:t>功能层：服务调用指业务层实现场景解决方案时，调用功能层的标准化</w:t>
      </w:r>
      <w:r>
        <w:t xml:space="preserve"> API </w:t>
      </w:r>
      <w:r>
        <w:rPr>
          <w:rFonts w:hint="eastAsia"/>
        </w:rPr>
        <w:t>能力（如数字证书核验、标准比对）；服务需求</w:t>
      </w:r>
      <w:r>
        <w:t>/</w:t>
      </w:r>
      <w:r>
        <w:rPr>
          <w:rFonts w:hint="eastAsia"/>
        </w:rPr>
        <w:t>异常反馈指业务层向功能层反馈</w:t>
      </w:r>
      <w:r>
        <w:t xml:space="preserve"> API </w:t>
      </w:r>
      <w:r>
        <w:rPr>
          <w:rFonts w:hint="eastAsia"/>
        </w:rPr>
        <w:t>调用需求、异常问题，优化功能层服务。</w:t>
      </w:r>
    </w:p>
    <w:p w14:paraId="20758547">
      <w:pPr>
        <w:pStyle w:val="132"/>
      </w:pPr>
      <w:r>
        <w:rPr>
          <w:rFonts w:hint="eastAsia"/>
        </w:rPr>
        <w:t>功能层</w:t>
      </w:r>
      <w:r>
        <w:t xml:space="preserve"> ↔ </w:t>
      </w:r>
      <w:r>
        <w:rPr>
          <w:rFonts w:hint="eastAsia"/>
        </w:rPr>
        <w:t>信息层：数据支撑指功能层调用</w:t>
      </w:r>
      <w:r>
        <w:t xml:space="preserve"> API </w:t>
      </w:r>
      <w:r>
        <w:rPr>
          <w:rFonts w:hint="eastAsia"/>
        </w:rPr>
        <w:t>时，需要信息层提供语义整合、元数据、数据质量管控后的规范化数据；数据需求</w:t>
      </w:r>
      <w:r>
        <w:t>/</w:t>
      </w:r>
      <w:r>
        <w:rPr>
          <w:rFonts w:hint="eastAsia"/>
        </w:rPr>
        <w:t>质量反馈指功能层向信息层反馈数据需求、数据质量问题，优化信息层数据治理。</w:t>
      </w:r>
    </w:p>
    <w:p w14:paraId="5786A904">
      <w:pPr>
        <w:pStyle w:val="132"/>
      </w:pPr>
      <w:r>
        <w:rPr>
          <w:rFonts w:hint="eastAsia"/>
        </w:rPr>
        <w:t>信息层</w:t>
      </w:r>
      <w:r>
        <w:t xml:space="preserve"> ↔ </w:t>
      </w:r>
      <w:r>
        <w:rPr>
          <w:rFonts w:hint="eastAsia"/>
        </w:rPr>
        <w:t>基础数据层：数据供给指信息层将处理后的规范化数据，从基础数据层（数据底座）中提取、供给给上层；数据调用</w:t>
      </w:r>
      <w:r>
        <w:t>/</w:t>
      </w:r>
      <w:r>
        <w:rPr>
          <w:rFonts w:hint="eastAsia"/>
        </w:rPr>
        <w:t>溯源需求指信息层向基础数据层反馈数据调用、溯源需求，保障数据底座的可用性。</w:t>
      </w:r>
    </w:p>
    <w:p w14:paraId="494DEA85">
      <w:pPr>
        <w:pStyle w:val="132"/>
      </w:pPr>
      <w:r>
        <w:rPr>
          <w:rFonts w:hint="eastAsia"/>
        </w:rPr>
        <w:t>集成与交互：贯穿所有上层层级，为上层所有层级提供承接接口管理、数据传输、互操作相关功能，衔接各层级数据与服务，实现全层级互联互通；</w:t>
      </w:r>
    </w:p>
    <w:p w14:paraId="3FBB53E9">
      <w:pPr>
        <w:pStyle w:val="132"/>
      </w:pPr>
      <w:r>
        <w:rPr>
          <w:rFonts w:hint="eastAsia"/>
        </w:rPr>
        <w:t>两大体系：贯穿全层级，分别提供合规依据和安全支撑，确保集成过程合规、数据与服务安全可信。</w:t>
      </w:r>
    </w:p>
    <w:p w14:paraId="18D57221">
      <w:pPr>
        <w:pStyle w:val="104"/>
        <w:spacing w:before="240" w:after="240"/>
        <w:rPr>
          <w:rFonts w:ascii="Times New Roman"/>
        </w:rPr>
      </w:pPr>
      <w:bookmarkStart w:id="94" w:name="_Toc220768537"/>
      <w:bookmarkStart w:id="95" w:name="_Toc228815337"/>
      <w:bookmarkStart w:id="96" w:name="_Toc228815314"/>
      <w:bookmarkStart w:id="97" w:name="_Toc220768514"/>
      <w:bookmarkStart w:id="98" w:name="_Toc224314119"/>
      <w:bookmarkStart w:id="99" w:name="_Toc224162268"/>
      <w:r>
        <w:rPr>
          <w:rFonts w:hint="eastAsia" w:ascii="Times New Roman"/>
        </w:rPr>
        <w:t>基础数据层</w:t>
      </w:r>
      <w:bookmarkEnd w:id="94"/>
      <w:bookmarkEnd w:id="95"/>
      <w:bookmarkEnd w:id="96"/>
      <w:bookmarkEnd w:id="97"/>
      <w:bookmarkEnd w:id="98"/>
      <w:bookmarkEnd w:id="99"/>
    </w:p>
    <w:p w14:paraId="4F882724">
      <w:pPr>
        <w:pStyle w:val="105"/>
        <w:spacing w:before="120" w:after="120"/>
      </w:pPr>
      <w:r>
        <w:rPr>
          <w:rFonts w:hint="eastAsia"/>
        </w:rPr>
        <w:t>概述</w:t>
      </w:r>
    </w:p>
    <w:p w14:paraId="35527109">
      <w:pPr>
        <w:pStyle w:val="56"/>
        <w:topLinePunct/>
        <w:autoSpaceDE/>
        <w:autoSpaceDN/>
        <w:ind w:firstLine="420"/>
      </w:pPr>
      <w:r>
        <w:rPr>
          <w:rFonts w:hint="eastAsia"/>
        </w:rPr>
        <w:t>基础数据层是QI数字化集成的底层基石，承载计量、标准、合格评定三大要素的核心数据与信息单元。本层提供可信、可溯源、可验证的基础数据源，为上层应用提供数据支撑。</w:t>
      </w:r>
    </w:p>
    <w:p w14:paraId="36C741C2">
      <w:pPr>
        <w:pStyle w:val="105"/>
        <w:spacing w:before="120" w:after="120"/>
      </w:pPr>
      <w:r>
        <w:rPr>
          <w:rFonts w:hint="eastAsia"/>
        </w:rPr>
        <w:t>核心数据内容</w:t>
      </w:r>
    </w:p>
    <w:p w14:paraId="15328100">
      <w:pPr>
        <w:pStyle w:val="65"/>
        <w:spacing w:before="120" w:after="120"/>
      </w:pPr>
      <w:r>
        <w:rPr>
          <w:rFonts w:hint="eastAsia"/>
        </w:rPr>
        <w:t>计量数据</w:t>
      </w:r>
    </w:p>
    <w:p w14:paraId="4D8BA874">
      <w:pPr>
        <w:pStyle w:val="56"/>
        <w:ind w:firstLine="420"/>
      </w:pPr>
      <w:r>
        <w:rPr>
          <w:rFonts w:hint="eastAsia"/>
        </w:rPr>
        <w:t>计量数据包括但不限于：</w:t>
      </w:r>
    </w:p>
    <w:p w14:paraId="01CA409D">
      <w:pPr>
        <w:pStyle w:val="132"/>
      </w:pPr>
      <w:r>
        <w:rPr>
          <w:rFonts w:hint="eastAsia"/>
        </w:rPr>
        <w:t>计量基准、副基准数据；</w:t>
      </w:r>
    </w:p>
    <w:p w14:paraId="471D6BAD">
      <w:pPr>
        <w:pStyle w:val="132"/>
      </w:pPr>
      <w:r>
        <w:rPr>
          <w:rFonts w:hint="eastAsia"/>
        </w:rPr>
        <w:t>计量器具的检定/校准数据；</w:t>
      </w:r>
    </w:p>
    <w:p w14:paraId="4EB89EDF">
      <w:pPr>
        <w:pStyle w:val="132"/>
      </w:pPr>
      <w:r>
        <w:rPr>
          <w:rFonts w:hint="eastAsia"/>
        </w:rPr>
        <w:t>量值传递与溯源链信息；</w:t>
      </w:r>
    </w:p>
    <w:p w14:paraId="1BB3A562">
      <w:pPr>
        <w:pStyle w:val="132"/>
      </w:pPr>
      <w:r>
        <w:rPr>
          <w:rFonts w:hint="eastAsia"/>
        </w:rPr>
        <w:t>测量不确定度评定数据。</w:t>
      </w:r>
    </w:p>
    <w:p w14:paraId="55DC684F">
      <w:pPr>
        <w:pStyle w:val="65"/>
        <w:spacing w:before="120" w:after="120"/>
      </w:pPr>
      <w:r>
        <w:rPr>
          <w:rFonts w:hint="eastAsia"/>
        </w:rPr>
        <w:t>标准数据</w:t>
      </w:r>
    </w:p>
    <w:p w14:paraId="039A7206">
      <w:pPr>
        <w:pStyle w:val="56"/>
        <w:ind w:firstLine="420"/>
      </w:pPr>
      <w:r>
        <w:rPr>
          <w:rFonts w:hint="eastAsia"/>
        </w:rPr>
        <w:t>标准数据包括但不限于：</w:t>
      </w:r>
    </w:p>
    <w:p w14:paraId="5715030E">
      <w:pPr>
        <w:pStyle w:val="132"/>
      </w:pPr>
      <w:r>
        <w:rPr>
          <w:rFonts w:hint="eastAsia"/>
        </w:rPr>
        <w:t>标准全文数据（国际标准、国家标准、行业标准、地方标准、团体标准、企业标准）；</w:t>
      </w:r>
    </w:p>
    <w:p w14:paraId="5C2316BC">
      <w:pPr>
        <w:pStyle w:val="132"/>
      </w:pPr>
      <w:r>
        <w:rPr>
          <w:rFonts w:hint="eastAsia"/>
        </w:rPr>
        <w:t>标准元数据（标准号、名称、发布日期、实施日期、状态等）；</w:t>
      </w:r>
    </w:p>
    <w:p w14:paraId="492C24A8">
      <w:pPr>
        <w:pStyle w:val="132"/>
      </w:pPr>
      <w:r>
        <w:rPr>
          <w:rFonts w:hint="eastAsia"/>
        </w:rPr>
        <w:t>标准修订历史与变更记录；</w:t>
      </w:r>
    </w:p>
    <w:p w14:paraId="3D870C42">
      <w:pPr>
        <w:pStyle w:val="132"/>
      </w:pPr>
      <w:r>
        <w:rPr>
          <w:rFonts w:hint="eastAsia"/>
        </w:rPr>
        <w:t>标准条款间的引用关系。</w:t>
      </w:r>
    </w:p>
    <w:p w14:paraId="00EE27E8">
      <w:pPr>
        <w:pStyle w:val="65"/>
        <w:spacing w:before="120" w:after="120"/>
      </w:pPr>
      <w:r>
        <w:rPr>
          <w:rFonts w:hint="eastAsia"/>
        </w:rPr>
        <w:t>合格评定数据</w:t>
      </w:r>
    </w:p>
    <w:p w14:paraId="4B7DA049">
      <w:pPr>
        <w:pStyle w:val="56"/>
        <w:ind w:firstLine="420"/>
      </w:pPr>
      <w:r>
        <w:rPr>
          <w:rFonts w:hint="eastAsia"/>
        </w:rPr>
        <w:t>合格评定数据包括但不限于：</w:t>
      </w:r>
    </w:p>
    <w:p w14:paraId="2D7AE26B">
      <w:pPr>
        <w:pStyle w:val="132"/>
      </w:pPr>
      <w:r>
        <w:rPr>
          <w:rFonts w:hint="eastAsia"/>
        </w:rPr>
        <w:t>认证证书数据（管理体系认证、产品认证、服务认证等）；</w:t>
      </w:r>
    </w:p>
    <w:p w14:paraId="5E4CF644">
      <w:pPr>
        <w:pStyle w:val="132"/>
      </w:pPr>
      <w:r>
        <w:rPr>
          <w:rFonts w:hint="eastAsia"/>
        </w:rPr>
        <w:t>检验检测报告数据（产品检验检测、材料测试、环境监测等）；</w:t>
      </w:r>
    </w:p>
    <w:p w14:paraId="49906EE9">
      <w:pPr>
        <w:pStyle w:val="132"/>
      </w:pPr>
      <w:r>
        <w:rPr>
          <w:rFonts w:hint="eastAsia"/>
        </w:rPr>
        <w:t>认可信息（认可机构、认可范围、有效期等）；</w:t>
      </w:r>
    </w:p>
    <w:p w14:paraId="44FBC32D">
      <w:pPr>
        <w:pStyle w:val="132"/>
      </w:pPr>
      <w:r>
        <w:rPr>
          <w:rFonts w:hint="eastAsia"/>
        </w:rPr>
        <w:t>合格评定过程其他数据。</w:t>
      </w:r>
    </w:p>
    <w:p w14:paraId="097B69B8">
      <w:pPr>
        <w:pStyle w:val="105"/>
        <w:spacing w:before="120" w:after="120"/>
      </w:pPr>
      <w:r>
        <w:rPr>
          <w:rFonts w:hint="eastAsia"/>
        </w:rPr>
        <w:t>数据要求</w:t>
      </w:r>
    </w:p>
    <w:p w14:paraId="33C70067">
      <w:pPr>
        <w:pStyle w:val="65"/>
        <w:spacing w:before="120" w:after="120"/>
      </w:pPr>
      <w:r>
        <w:rPr>
          <w:rFonts w:hint="eastAsia"/>
        </w:rPr>
        <w:t>数据保障</w:t>
      </w:r>
    </w:p>
    <w:p w14:paraId="198A3C2F">
      <w:pPr>
        <w:pStyle w:val="132"/>
      </w:pPr>
      <w:r>
        <w:rPr>
          <w:rFonts w:hint="eastAsia"/>
        </w:rPr>
        <w:t>严格落实“一数一源”原则，明确计量、标准、合格评定等核心数据的唯一来源，避免数据重复录入、多源冲突，从源头保障数据准确性；</w:t>
      </w:r>
    </w:p>
    <w:p w14:paraId="3347FC3F">
      <w:pPr>
        <w:pStyle w:val="132"/>
      </w:pPr>
      <w:r>
        <w:rPr>
          <w:rFonts w:hint="eastAsia"/>
        </w:rPr>
        <w:t>采用可信存证技术，对核心数据进行加密存证，实现数据不可篡改、可验证，确保数据全生命周期真实可信；</w:t>
      </w:r>
    </w:p>
    <w:p w14:paraId="59778A02">
      <w:pPr>
        <w:pStyle w:val="132"/>
      </w:pPr>
      <w:r>
        <w:rPr>
          <w:rFonts w:hint="eastAsia"/>
        </w:rPr>
        <w:t>建立全链路追溯机制，贯穿数据产生、采集、传输、存储、使用、销毁全流程，实现数据来源可查、去向可追、责任可究，支撑数据溯源需求。</w:t>
      </w:r>
    </w:p>
    <w:p w14:paraId="571B3513">
      <w:pPr>
        <w:pStyle w:val="65"/>
        <w:spacing w:before="120" w:after="120"/>
      </w:pPr>
      <w:r>
        <w:rPr>
          <w:rFonts w:hint="eastAsia"/>
        </w:rPr>
        <w:t>存储管理</w:t>
      </w:r>
    </w:p>
    <w:p w14:paraId="278D12D7">
      <w:pPr>
        <w:pStyle w:val="132"/>
      </w:pPr>
      <w:r>
        <w:rPr>
          <w:rFonts w:hint="eastAsia"/>
        </w:rPr>
        <w:t>采用分布式存储架构，将核心数据分散存储于多个节点，实现数据多副本备份，提升数据存储的可靠性、可用性和访问效率；</w:t>
      </w:r>
    </w:p>
    <w:p w14:paraId="60C0DB2F">
      <w:pPr>
        <w:pStyle w:val="132"/>
      </w:pPr>
      <w:r>
        <w:rPr>
          <w:rFonts w:hint="eastAsia"/>
        </w:rPr>
        <w:t>落实加密存储要求，对敏感数据（如涉密计量数据、企业隐私合格评定数据）进行传输和存储加密，防范数据泄露、非法访问等风险；</w:t>
      </w:r>
    </w:p>
    <w:p w14:paraId="5E937F8C">
      <w:pPr>
        <w:pStyle w:val="132"/>
      </w:pPr>
      <w:r>
        <w:rPr>
          <w:rFonts w:hint="eastAsia"/>
        </w:rPr>
        <w:t>实施分级存储管理，根据数据重要性、访问频率，将核心关键数据、常用数据、归档数据分类存储，优化存储资源分配，降低存储成本，同时保障常用数据的快速访问，提升数据支撑效率。</w:t>
      </w:r>
    </w:p>
    <w:p w14:paraId="2FDEC3FD">
      <w:pPr>
        <w:pStyle w:val="104"/>
        <w:spacing w:before="240" w:after="240"/>
        <w:rPr>
          <w:rFonts w:ascii="Times New Roman"/>
        </w:rPr>
      </w:pPr>
      <w:bookmarkStart w:id="100" w:name="_Toc220768518"/>
      <w:bookmarkStart w:id="101" w:name="_Toc220768539"/>
      <w:bookmarkStart w:id="102" w:name="_Toc228815315"/>
      <w:bookmarkStart w:id="103" w:name="_Toc224314121"/>
      <w:bookmarkStart w:id="104" w:name="_Toc228815338"/>
      <w:bookmarkStart w:id="105" w:name="_Toc224162270"/>
      <w:r>
        <w:rPr>
          <w:rFonts w:hint="eastAsia" w:ascii="Times New Roman"/>
        </w:rPr>
        <w:t>信息层</w:t>
      </w:r>
      <w:bookmarkEnd w:id="100"/>
      <w:bookmarkEnd w:id="101"/>
      <w:bookmarkEnd w:id="102"/>
      <w:bookmarkEnd w:id="103"/>
      <w:bookmarkEnd w:id="104"/>
      <w:bookmarkEnd w:id="105"/>
    </w:p>
    <w:p w14:paraId="10119402">
      <w:pPr>
        <w:pStyle w:val="105"/>
        <w:spacing w:before="120" w:after="120"/>
        <w:rPr>
          <w:rFonts w:ascii="Times New Roman"/>
        </w:rPr>
      </w:pPr>
      <w:bookmarkStart w:id="106" w:name="_Toc220768519"/>
      <w:r>
        <w:rPr>
          <w:rFonts w:hint="eastAsia" w:ascii="Times New Roman"/>
        </w:rPr>
        <w:t>概述</w:t>
      </w:r>
      <w:bookmarkEnd w:id="106"/>
    </w:p>
    <w:p w14:paraId="0D67D511">
      <w:pPr>
        <w:pStyle w:val="56"/>
        <w:ind w:firstLine="420"/>
        <w:rPr>
          <w:rFonts w:ascii="Times New Roman"/>
        </w:rPr>
      </w:pPr>
      <w:r>
        <w:rPr>
          <w:rFonts w:hint="eastAsia" w:ascii="Times New Roman"/>
        </w:rPr>
        <w:t>信息层整合基础数据与外部场景数据，形成满足特定业务功能的完整信息集。本层将原始数据转化为具有业务含义的信息，是构建上层功能的知识基础。</w:t>
      </w:r>
    </w:p>
    <w:p w14:paraId="63659376">
      <w:pPr>
        <w:pStyle w:val="105"/>
        <w:spacing w:before="120" w:after="120"/>
        <w:rPr>
          <w:rFonts w:ascii="Times New Roman"/>
        </w:rPr>
      </w:pPr>
      <w:r>
        <w:rPr>
          <w:rFonts w:hint="eastAsia" w:ascii="Times New Roman"/>
        </w:rPr>
        <w:t>信息整合内容</w:t>
      </w:r>
    </w:p>
    <w:p w14:paraId="4AD70F1A">
      <w:pPr>
        <w:pStyle w:val="65"/>
        <w:spacing w:before="120" w:after="120"/>
      </w:pPr>
      <w:r>
        <w:rPr>
          <w:rFonts w:hint="eastAsia"/>
        </w:rPr>
        <w:t>产品与工艺信息</w:t>
      </w:r>
    </w:p>
    <w:p w14:paraId="376B2E3D">
      <w:pPr>
        <w:pStyle w:val="56"/>
        <w:topLinePunct/>
        <w:autoSpaceDE/>
        <w:autoSpaceDN/>
        <w:ind w:firstLine="420"/>
      </w:pPr>
      <w:r>
        <w:rPr>
          <w:rFonts w:hint="eastAsia"/>
        </w:rPr>
        <w:t>将QI基础数据与产品设计、生产工艺信息整合，形成产品全生命周期质量信息集，包括但不限于：</w:t>
      </w:r>
    </w:p>
    <w:p w14:paraId="25D9B32D">
      <w:pPr>
        <w:pStyle w:val="132"/>
      </w:pPr>
      <w:r>
        <w:rPr>
          <w:rFonts w:hint="eastAsia"/>
        </w:rPr>
        <w:t>产品设计图纸中引用的标准条款；</w:t>
      </w:r>
    </w:p>
    <w:p w14:paraId="2BBB9719">
      <w:pPr>
        <w:pStyle w:val="132"/>
      </w:pPr>
      <w:r>
        <w:rPr>
          <w:rFonts w:hint="eastAsia"/>
        </w:rPr>
        <w:t>生产工艺参数对应的计量要求；</w:t>
      </w:r>
    </w:p>
    <w:p w14:paraId="56A05413">
      <w:pPr>
        <w:pStyle w:val="132"/>
      </w:pPr>
      <w:r>
        <w:rPr>
          <w:rFonts w:hint="eastAsia"/>
        </w:rPr>
        <w:t>质量控制点关联的检测规范；</w:t>
      </w:r>
    </w:p>
    <w:p w14:paraId="72397B88">
      <w:pPr>
        <w:pStyle w:val="132"/>
      </w:pPr>
      <w:r>
        <w:rPr>
          <w:rFonts w:hint="eastAsia"/>
        </w:rPr>
        <w:t>产品生产过程中的检验检测数据。</w:t>
      </w:r>
    </w:p>
    <w:p w14:paraId="5FC64D5E">
      <w:pPr>
        <w:pStyle w:val="65"/>
        <w:spacing w:before="120" w:after="120"/>
      </w:pPr>
      <w:r>
        <w:rPr>
          <w:rFonts w:hint="eastAsia"/>
        </w:rPr>
        <w:t>法规与合规信息</w:t>
      </w:r>
    </w:p>
    <w:p w14:paraId="559301A3">
      <w:pPr>
        <w:pStyle w:val="56"/>
        <w:topLinePunct/>
        <w:autoSpaceDE/>
        <w:autoSpaceDN/>
        <w:ind w:firstLine="420"/>
      </w:pPr>
      <w:r>
        <w:rPr>
          <w:rFonts w:hint="eastAsia"/>
        </w:rPr>
        <w:t>将QI基础数据与法规要求匹配，形成合规性信息集，包括但不限于：</w:t>
      </w:r>
    </w:p>
    <w:p w14:paraId="03B2B90A">
      <w:pPr>
        <w:pStyle w:val="132"/>
      </w:pPr>
      <w:r>
        <w:rPr>
          <w:rFonts w:hint="eastAsia"/>
        </w:rPr>
        <w:t>强制性产品认证目录与认证证书的关联；</w:t>
      </w:r>
    </w:p>
    <w:p w14:paraId="7A715A8B">
      <w:pPr>
        <w:pStyle w:val="132"/>
      </w:pPr>
      <w:r>
        <w:rPr>
          <w:rFonts w:hint="eastAsia"/>
        </w:rPr>
        <w:t>计量器具型式批准目录与在用器具的匹配；</w:t>
      </w:r>
    </w:p>
    <w:p w14:paraId="5C44FE05">
      <w:pPr>
        <w:pStyle w:val="132"/>
      </w:pPr>
      <w:r>
        <w:rPr>
          <w:rFonts w:hint="eastAsia"/>
        </w:rPr>
        <w:t>标准更新与相关法规变更的联动；</w:t>
      </w:r>
    </w:p>
    <w:p w14:paraId="69AB8340">
      <w:pPr>
        <w:pStyle w:val="132"/>
      </w:pPr>
      <w:r>
        <w:rPr>
          <w:rFonts w:hint="eastAsia"/>
        </w:rPr>
        <w:t>法规要求与企业执行情况。</w:t>
      </w:r>
    </w:p>
    <w:p w14:paraId="24AF5B88">
      <w:pPr>
        <w:pStyle w:val="105"/>
        <w:spacing w:before="120" w:after="120"/>
      </w:pPr>
      <w:r>
        <w:rPr>
          <w:rFonts w:hint="eastAsia"/>
        </w:rPr>
        <w:t>信息层要求</w:t>
      </w:r>
    </w:p>
    <w:p w14:paraId="765724C7">
      <w:pPr>
        <w:pStyle w:val="56"/>
        <w:topLinePunct/>
        <w:autoSpaceDE/>
        <w:autoSpaceDN/>
        <w:ind w:firstLine="420"/>
      </w:pPr>
      <w:r>
        <w:rPr>
          <w:rFonts w:hint="eastAsia"/>
        </w:rPr>
        <w:t>信息整合宜保持数据的原始可溯源性，不得篡改基础数据；信息模型宜采用语义化表达，支持机器可读、可执行和可解释；宜根据应用场景的需求，动态构建和更新信息集。</w:t>
      </w:r>
    </w:p>
    <w:p w14:paraId="082AE53A">
      <w:pPr>
        <w:pStyle w:val="104"/>
        <w:spacing w:before="240" w:after="240"/>
        <w:rPr>
          <w:rFonts w:ascii="Times New Roman"/>
        </w:rPr>
      </w:pPr>
      <w:bookmarkStart w:id="107" w:name="_Toc220768540"/>
      <w:bookmarkStart w:id="108" w:name="_Toc224162271"/>
      <w:bookmarkStart w:id="109" w:name="_Toc224314122"/>
      <w:bookmarkStart w:id="110" w:name="_Toc220768521"/>
      <w:bookmarkStart w:id="111" w:name="_Toc228815316"/>
      <w:bookmarkStart w:id="112" w:name="_Toc228815339"/>
      <w:r>
        <w:rPr>
          <w:rFonts w:hint="eastAsia" w:ascii="Times New Roman"/>
        </w:rPr>
        <w:t>功能层</w:t>
      </w:r>
      <w:bookmarkEnd w:id="107"/>
      <w:bookmarkEnd w:id="108"/>
      <w:bookmarkEnd w:id="109"/>
      <w:bookmarkEnd w:id="110"/>
      <w:bookmarkEnd w:id="111"/>
      <w:bookmarkEnd w:id="112"/>
    </w:p>
    <w:p w14:paraId="70A88A28">
      <w:pPr>
        <w:pStyle w:val="105"/>
        <w:spacing w:before="120" w:after="120"/>
        <w:rPr>
          <w:rFonts w:ascii="Times New Roman"/>
        </w:rPr>
      </w:pPr>
      <w:bookmarkStart w:id="113" w:name="_Toc220768522"/>
      <w:r>
        <w:rPr>
          <w:rFonts w:hint="eastAsia" w:ascii="Times New Roman"/>
        </w:rPr>
        <w:t>概述</w:t>
      </w:r>
      <w:bookmarkEnd w:id="113"/>
    </w:p>
    <w:p w14:paraId="719F98D8">
      <w:pPr>
        <w:pStyle w:val="56"/>
        <w:topLinePunct/>
        <w:autoSpaceDE/>
        <w:autoSpaceDN/>
        <w:ind w:firstLine="420"/>
      </w:pPr>
      <w:r>
        <w:rPr>
          <w:rFonts w:hint="eastAsia"/>
        </w:rPr>
        <w:t>功能层基于信息层构建特定功能与服务，如标准查询服务、计量器具管理服务、检测报告真伪核验服务、质量分析模型服务等，可面向计量、标准、合格评定单一领域或多领域组合形式提供业务能力。</w:t>
      </w:r>
    </w:p>
    <w:p w14:paraId="163F7491">
      <w:pPr>
        <w:pStyle w:val="56"/>
        <w:topLinePunct/>
        <w:autoSpaceDE/>
        <w:autoSpaceDN/>
        <w:ind w:firstLine="420"/>
      </w:pPr>
      <w:r>
        <w:rPr>
          <w:rFonts w:hint="eastAsia"/>
        </w:rPr>
        <w:t>本层是实现QI数字化服务价值的核心，核心定位为“标准化、可复用的服务化API能力”，仅承载服务能力建设。其核心在于实现业务逻辑与底层数据资源的解耦，上层业务应用无需关注具体的数据来源、存储结构或底层实现机制，仅通过调用相应的服务接口即可快速构建功能模块，通过统一的服务治理和能力开放，推动质量基础设施资源的共享。</w:t>
      </w:r>
    </w:p>
    <w:p w14:paraId="1B67A842">
      <w:pPr>
        <w:pStyle w:val="105"/>
        <w:spacing w:before="120" w:after="120"/>
        <w:rPr>
          <w:rFonts w:ascii="Times New Roman"/>
        </w:rPr>
      </w:pPr>
      <w:bookmarkStart w:id="114" w:name="_Toc220768523"/>
      <w:r>
        <w:rPr>
          <w:rFonts w:hint="eastAsia" w:ascii="Times New Roman"/>
        </w:rPr>
        <w:t>典型</w:t>
      </w:r>
      <w:bookmarkEnd w:id="114"/>
      <w:r>
        <w:rPr>
          <w:rFonts w:hint="eastAsia" w:ascii="Times New Roman"/>
        </w:rPr>
        <w:t>功能服务</w:t>
      </w:r>
    </w:p>
    <w:p w14:paraId="72AEADB0">
      <w:pPr>
        <w:pStyle w:val="65"/>
        <w:spacing w:before="120" w:after="120"/>
      </w:pPr>
      <w:r>
        <w:rPr>
          <w:rFonts w:hint="eastAsia"/>
        </w:rPr>
        <w:t>面向标准的功能</w:t>
      </w:r>
    </w:p>
    <w:p w14:paraId="2BC715E3">
      <w:pPr>
        <w:pStyle w:val="56"/>
        <w:ind w:firstLine="420"/>
      </w:pPr>
      <w:r>
        <w:rPr>
          <w:rFonts w:hint="eastAsia"/>
        </w:rPr>
        <w:t>包括但不限于：</w:t>
      </w:r>
    </w:p>
    <w:p w14:paraId="324A1E3E">
      <w:pPr>
        <w:pStyle w:val="132"/>
      </w:pPr>
      <w:r>
        <w:rPr>
          <w:rFonts w:hint="eastAsia"/>
        </w:rPr>
        <w:t>标准智能检索与比对：支持基于语义的标准全文检索、多版本标准差异比对；</w:t>
      </w:r>
    </w:p>
    <w:p w14:paraId="181AA5D6">
      <w:pPr>
        <w:pStyle w:val="132"/>
      </w:pPr>
      <w:r>
        <w:rPr>
          <w:rFonts w:hint="eastAsia"/>
        </w:rPr>
        <w:t>标准智能问答：基于标准知识库提供自然语言问答服务；</w:t>
      </w:r>
    </w:p>
    <w:p w14:paraId="6076FA2D">
      <w:pPr>
        <w:pStyle w:val="132"/>
      </w:pPr>
      <w:r>
        <w:rPr>
          <w:rFonts w:hint="eastAsia"/>
        </w:rPr>
        <w:t>标准合规性检查：根据产品信息自动匹配适用的标准要求；</w:t>
      </w:r>
    </w:p>
    <w:p w14:paraId="73EDF0F9">
      <w:pPr>
        <w:pStyle w:val="132"/>
      </w:pPr>
      <w:r>
        <w:rPr>
          <w:rFonts w:hint="eastAsia"/>
        </w:rPr>
        <w:t>标准变更通知：订阅特定标准的变更动态（</w:t>
      </w:r>
      <w:r>
        <w:t>立项、发布、实施、</w:t>
      </w:r>
      <w:r>
        <w:rPr>
          <w:rFonts w:hint="eastAsia"/>
        </w:rPr>
        <w:t>修改、</w:t>
      </w:r>
      <w:r>
        <w:t>废止</w:t>
      </w:r>
      <w:r>
        <w:rPr>
          <w:rFonts w:hint="eastAsia"/>
        </w:rPr>
        <w:t>），自动推送更新信息；</w:t>
      </w:r>
    </w:p>
    <w:p w14:paraId="4F687F64">
      <w:pPr>
        <w:pStyle w:val="132"/>
      </w:pPr>
      <w:r>
        <w:rPr>
          <w:rFonts w:hint="eastAsia"/>
        </w:rPr>
        <w:t>标准指标提取：自动提取标准中的技术指标和要求，支持结构化输出。</w:t>
      </w:r>
    </w:p>
    <w:p w14:paraId="76EC0082">
      <w:pPr>
        <w:pStyle w:val="65"/>
        <w:spacing w:before="120" w:after="120"/>
      </w:pPr>
      <w:r>
        <w:rPr>
          <w:rFonts w:hint="eastAsia"/>
        </w:rPr>
        <w:t>面向计量的功能</w:t>
      </w:r>
    </w:p>
    <w:p w14:paraId="415EA861">
      <w:pPr>
        <w:pStyle w:val="56"/>
        <w:ind w:firstLine="420"/>
      </w:pPr>
      <w:r>
        <w:rPr>
          <w:rFonts w:hint="eastAsia"/>
        </w:rPr>
        <w:t>包括但不限于：</w:t>
      </w:r>
    </w:p>
    <w:p w14:paraId="56DC6B9E">
      <w:pPr>
        <w:pStyle w:val="132"/>
      </w:pPr>
      <w:r>
        <w:rPr>
          <w:rFonts w:hint="eastAsia"/>
        </w:rPr>
        <w:t>计量器具全生命周期管理：器具台账、检定计划、校准记录、维护保养一体化管理；</w:t>
      </w:r>
    </w:p>
    <w:p w14:paraId="611977EB">
      <w:pPr>
        <w:pStyle w:val="132"/>
      </w:pPr>
      <w:r>
        <w:rPr>
          <w:rFonts w:hint="eastAsia"/>
        </w:rPr>
        <w:t>量值溯源可视化：展示从工作器具到国家基准的完整溯源链；</w:t>
      </w:r>
    </w:p>
    <w:p w14:paraId="2F6500DE">
      <w:pPr>
        <w:pStyle w:val="132"/>
      </w:pPr>
      <w:r>
        <w:rPr>
          <w:rFonts w:hint="eastAsia"/>
        </w:rPr>
        <w:t>远程在线校准：支持符合要求的计量器具远程校准与数据采集；</w:t>
      </w:r>
    </w:p>
    <w:p w14:paraId="2EACFD80">
      <w:pPr>
        <w:pStyle w:val="132"/>
      </w:pPr>
      <w:r>
        <w:rPr>
          <w:rFonts w:hint="eastAsia"/>
        </w:rPr>
        <w:t>测量不确定度自动评定：基于历史数据和模型自动计算测量不确定度；</w:t>
      </w:r>
    </w:p>
    <w:p w14:paraId="291A6550">
      <w:pPr>
        <w:pStyle w:val="132"/>
      </w:pPr>
      <w:r>
        <w:rPr>
          <w:rFonts w:hint="eastAsia"/>
        </w:rPr>
        <w:t>计量数据分析：分析计量数据趋势，预警异常情况。</w:t>
      </w:r>
    </w:p>
    <w:p w14:paraId="74AD79F6">
      <w:pPr>
        <w:pStyle w:val="65"/>
        <w:spacing w:before="120" w:after="120"/>
      </w:pPr>
      <w:r>
        <w:rPr>
          <w:rFonts w:hint="eastAsia"/>
        </w:rPr>
        <w:t>面向合格评定的功能</w:t>
      </w:r>
    </w:p>
    <w:p w14:paraId="407E1129">
      <w:pPr>
        <w:pStyle w:val="56"/>
        <w:ind w:firstLine="420"/>
      </w:pPr>
      <w:r>
        <w:rPr>
          <w:rFonts w:hint="eastAsia"/>
        </w:rPr>
        <w:t>包括但不限于：</w:t>
      </w:r>
    </w:p>
    <w:p w14:paraId="3E2CD2A5">
      <w:pPr>
        <w:pStyle w:val="132"/>
        <w:ind w:left="850" w:hanging="425"/>
        <w:rPr>
          <w:rFonts w:hint="eastAsia" w:hAnsi="宋体"/>
        </w:rPr>
      </w:pPr>
      <w:r>
        <w:rPr>
          <w:rFonts w:hint="eastAsia" w:hAnsi="宋体"/>
        </w:rPr>
        <w:t>数字证书管理：</w:t>
      </w:r>
      <w:r>
        <w:rPr>
          <w:rFonts w:hAnsi="宋体"/>
        </w:rPr>
        <w:t>DCC、D-CoC</w:t>
      </w:r>
      <w:r>
        <w:rPr>
          <w:rFonts w:hint="eastAsia" w:hAnsi="宋体"/>
        </w:rPr>
        <w:t>的生成、签发、验证、存储和查询；</w:t>
      </w:r>
    </w:p>
    <w:p w14:paraId="0B6B15A0">
      <w:pPr>
        <w:pStyle w:val="132"/>
      </w:pPr>
      <w:r>
        <w:rPr>
          <w:rFonts w:hint="eastAsia"/>
        </w:rPr>
        <w:t>认证状态监控：跟踪认证证书的有效状态，自动预警即将到期证书；</w:t>
      </w:r>
    </w:p>
    <w:p w14:paraId="7F5D885C">
      <w:pPr>
        <w:pStyle w:val="132"/>
      </w:pPr>
      <w:r>
        <w:rPr>
          <w:rFonts w:hint="eastAsia"/>
        </w:rPr>
        <w:t>认可信息服务：查询认可机构资质、认可范围和认可状态；</w:t>
      </w:r>
    </w:p>
    <w:p w14:paraId="1962EDF8">
      <w:pPr>
        <w:pStyle w:val="132"/>
      </w:pPr>
      <w:r>
        <w:rPr>
          <w:rFonts w:hint="eastAsia"/>
        </w:rPr>
        <w:t>检验检测过程数字化：支持检验检测全流程电子化记录和管理；</w:t>
      </w:r>
    </w:p>
    <w:p w14:paraId="21B01566">
      <w:pPr>
        <w:pStyle w:val="132"/>
      </w:pPr>
      <w:r>
        <w:rPr>
          <w:rFonts w:hint="eastAsia"/>
        </w:rPr>
        <w:t>检测报告真伪核验：通过API接口实时验证报告真伪。</w:t>
      </w:r>
    </w:p>
    <w:p w14:paraId="7B31B8A7">
      <w:pPr>
        <w:pStyle w:val="65"/>
        <w:spacing w:before="120" w:after="120"/>
      </w:pPr>
      <w:r>
        <w:rPr>
          <w:rFonts w:hint="eastAsia"/>
        </w:rPr>
        <w:t>跨领域融合功能</w:t>
      </w:r>
    </w:p>
    <w:p w14:paraId="75109B6E">
      <w:pPr>
        <w:pStyle w:val="56"/>
        <w:ind w:firstLine="420"/>
      </w:pPr>
      <w:r>
        <w:rPr>
          <w:rFonts w:hint="eastAsia"/>
        </w:rPr>
        <w:t>包括但不限于：</w:t>
      </w:r>
    </w:p>
    <w:p w14:paraId="3D85CD43">
      <w:pPr>
        <w:pStyle w:val="132"/>
      </w:pPr>
      <w:r>
        <w:rPr>
          <w:rFonts w:hint="eastAsia"/>
        </w:rPr>
        <w:t>标准-计量联动：标准变更触发相关计量要求的更新提示；</w:t>
      </w:r>
    </w:p>
    <w:p w14:paraId="51206113">
      <w:pPr>
        <w:pStyle w:val="132"/>
      </w:pPr>
      <w:r>
        <w:rPr>
          <w:rFonts w:hint="eastAsia"/>
        </w:rPr>
        <w:t>标准-认证协同：标准更新自动评估对现有认证证书的影响；</w:t>
      </w:r>
    </w:p>
    <w:p w14:paraId="2E47C1B2">
      <w:pPr>
        <w:pStyle w:val="132"/>
      </w:pPr>
      <w:r>
        <w:rPr>
          <w:rFonts w:hint="eastAsia"/>
        </w:rPr>
        <w:t>计量-认证互认：采信经过认可的计量数据作为认证依据；</w:t>
      </w:r>
    </w:p>
    <w:p w14:paraId="6238F8A8">
      <w:pPr>
        <w:pStyle w:val="132"/>
      </w:pPr>
      <w:r>
        <w:rPr>
          <w:rFonts w:hint="eastAsia"/>
        </w:rPr>
        <w:t>产品质量综合分析：整合产品全生命周期的 QI 数据，进行质量综合评估。</w:t>
      </w:r>
    </w:p>
    <w:p w14:paraId="28215CAA">
      <w:pPr>
        <w:pStyle w:val="65"/>
        <w:spacing w:before="120" w:after="120"/>
      </w:pPr>
      <w:r>
        <w:rPr>
          <w:rFonts w:hint="eastAsia"/>
        </w:rPr>
        <w:t>数据服务</w:t>
      </w:r>
    </w:p>
    <w:p w14:paraId="7253C2EA">
      <w:pPr>
        <w:pStyle w:val="56"/>
        <w:ind w:firstLine="420"/>
      </w:pPr>
      <w:r>
        <w:rPr>
          <w:rFonts w:hint="eastAsia"/>
        </w:rPr>
        <w:t>包括但不限于：</w:t>
      </w:r>
    </w:p>
    <w:p w14:paraId="25634DA2">
      <w:pPr>
        <w:pStyle w:val="132"/>
      </w:pPr>
      <w:r>
        <w:rPr>
          <w:rFonts w:hint="eastAsia"/>
        </w:rPr>
        <w:t>数据查询；</w:t>
      </w:r>
    </w:p>
    <w:p w14:paraId="34C09FB3">
      <w:pPr>
        <w:pStyle w:val="132"/>
      </w:pPr>
      <w:r>
        <w:rPr>
          <w:rFonts w:hint="eastAsia"/>
        </w:rPr>
        <w:t>数据统计</w:t>
      </w:r>
    </w:p>
    <w:p w14:paraId="2D19F32C">
      <w:pPr>
        <w:pStyle w:val="132"/>
      </w:pPr>
      <w:r>
        <w:rPr>
          <w:rFonts w:hint="eastAsia"/>
        </w:rPr>
        <w:t>数据挖掘分析</w:t>
      </w:r>
    </w:p>
    <w:p w14:paraId="786655E1">
      <w:pPr>
        <w:pStyle w:val="132"/>
      </w:pPr>
      <w:r>
        <w:rPr>
          <w:rFonts w:hint="eastAsia"/>
        </w:rPr>
        <w:t>数据溯源。</w:t>
      </w:r>
    </w:p>
    <w:p w14:paraId="3EA82E4E">
      <w:pPr>
        <w:pStyle w:val="105"/>
        <w:spacing w:before="120" w:after="120"/>
      </w:pPr>
      <w:r>
        <w:rPr>
          <w:rFonts w:hint="eastAsia"/>
        </w:rPr>
        <w:t>功能层要求</w:t>
      </w:r>
    </w:p>
    <w:p w14:paraId="5505480B">
      <w:pPr>
        <w:pStyle w:val="56"/>
        <w:topLinePunct/>
        <w:autoSpaceDE/>
        <w:autoSpaceDN/>
        <w:ind w:firstLine="420"/>
        <w:rPr>
          <w:rFonts w:hint="eastAsia" w:hAnsi="宋体"/>
        </w:rPr>
      </w:pPr>
      <w:r>
        <w:rPr>
          <w:rFonts w:hint="eastAsia" w:hAnsi="宋体"/>
        </w:rPr>
        <w:t>功能服务宜封装为标准化的API，便于上层应用调用；功能的构建宜基于信息层整合的可信数据；功能的设计宜遵循模块化、松耦合原则，支持灵活组合。</w:t>
      </w:r>
    </w:p>
    <w:p w14:paraId="46A9A271">
      <w:pPr>
        <w:pStyle w:val="104"/>
        <w:spacing w:before="240" w:after="240"/>
        <w:rPr>
          <w:rFonts w:ascii="Times New Roman"/>
        </w:rPr>
      </w:pPr>
      <w:bookmarkStart w:id="115" w:name="_Toc224162272"/>
      <w:bookmarkStart w:id="116" w:name="_Toc224314123"/>
      <w:bookmarkStart w:id="117" w:name="_Toc228815317"/>
      <w:bookmarkStart w:id="118" w:name="_Toc220768524"/>
      <w:bookmarkStart w:id="119" w:name="_Toc220768541"/>
      <w:bookmarkStart w:id="120" w:name="_Toc228815340"/>
      <w:r>
        <w:rPr>
          <w:rFonts w:hint="eastAsia" w:ascii="Times New Roman"/>
        </w:rPr>
        <w:t>业务层</w:t>
      </w:r>
      <w:bookmarkEnd w:id="115"/>
      <w:bookmarkEnd w:id="116"/>
      <w:bookmarkEnd w:id="117"/>
      <w:bookmarkEnd w:id="118"/>
      <w:bookmarkEnd w:id="119"/>
      <w:bookmarkEnd w:id="120"/>
    </w:p>
    <w:p w14:paraId="74C997B9">
      <w:pPr>
        <w:pStyle w:val="105"/>
        <w:spacing w:before="120" w:after="120"/>
        <w:rPr>
          <w:rFonts w:ascii="Times New Roman"/>
        </w:rPr>
      </w:pPr>
      <w:bookmarkStart w:id="121" w:name="_Toc220768525"/>
      <w:r>
        <w:rPr>
          <w:rFonts w:hint="eastAsia" w:ascii="Times New Roman"/>
        </w:rPr>
        <w:t>概述</w:t>
      </w:r>
      <w:bookmarkEnd w:id="121"/>
    </w:p>
    <w:p w14:paraId="74CE89C4">
      <w:pPr>
        <w:pStyle w:val="56"/>
        <w:topLinePunct/>
        <w:autoSpaceDE/>
        <w:autoSpaceDN/>
        <w:ind w:firstLine="420"/>
        <w:rPr>
          <w:rFonts w:hint="eastAsia" w:hAnsi="宋体"/>
        </w:rPr>
      </w:pPr>
      <w:r>
        <w:rPr>
          <w:rFonts w:hint="eastAsia" w:hAnsi="宋体"/>
        </w:rPr>
        <w:t>业务层作为系统集成价值实现的关键环节，代表集成价值最终落地的具体应用场景。本层通过对下层功能服务、数据能力进行有机组合，形成端到端解决方案，解决实际业务痛点；同时以业务需求为牵引，反向驱动下层服务设计与能力建设，实现技术架构与业务目标深度对齐</w:t>
      </w:r>
      <w:r>
        <w:rPr>
          <w:rFonts w:hAnsi="宋体"/>
        </w:rPr>
        <w:t>。</w:t>
      </w:r>
    </w:p>
    <w:p w14:paraId="32882442">
      <w:pPr>
        <w:pStyle w:val="105"/>
        <w:spacing w:before="120" w:after="120"/>
        <w:rPr>
          <w:rFonts w:ascii="Times New Roman"/>
        </w:rPr>
      </w:pPr>
      <w:bookmarkStart w:id="122" w:name="_Toc220768526"/>
      <w:r>
        <w:rPr>
          <w:rFonts w:hint="eastAsia" w:ascii="Times New Roman"/>
        </w:rPr>
        <w:t>业务领域的应用</w:t>
      </w:r>
      <w:bookmarkEnd w:id="122"/>
    </w:p>
    <w:p w14:paraId="3CA65AFE">
      <w:pPr>
        <w:pStyle w:val="56"/>
        <w:ind w:firstLine="420"/>
        <w:rPr>
          <w:rFonts w:ascii="Times New Roman"/>
        </w:rPr>
      </w:pPr>
      <w:r>
        <w:rPr>
          <w:rFonts w:hint="eastAsia" w:ascii="Times New Roman"/>
        </w:rPr>
        <w:t>业务层</w:t>
      </w:r>
      <w:r>
        <w:rPr>
          <w:rFonts w:ascii="Times New Roman"/>
        </w:rPr>
        <w:t>不仅明确定义了系统集成的目标和范围，还作为业务需求的直接反映，驱动了下层应用的开发和服务的设计，确保技术投资与业务目标紧密对齐。</w:t>
      </w:r>
    </w:p>
    <w:p w14:paraId="54FD98BD">
      <w:pPr>
        <w:pStyle w:val="56"/>
        <w:ind w:firstLine="420"/>
        <w:rPr>
          <w:rFonts w:ascii="Times New Roman"/>
        </w:rPr>
      </w:pPr>
      <w:r>
        <w:rPr>
          <w:rFonts w:hint="eastAsia" w:ascii="Times New Roman"/>
        </w:rPr>
        <w:t>业务</w:t>
      </w:r>
      <w:r>
        <w:rPr>
          <w:rFonts w:ascii="Times New Roman"/>
        </w:rPr>
        <w:t>层通过验证技术架构的可行性和有效性，</w:t>
      </w:r>
      <w:r>
        <w:rPr>
          <w:rFonts w:hint="eastAsia" w:ascii="Times New Roman"/>
        </w:rPr>
        <w:t>保障</w:t>
      </w:r>
      <w:r>
        <w:rPr>
          <w:rFonts w:ascii="Times New Roman"/>
        </w:rPr>
        <w:t>整个系统的实用性和价值实现，同时为持续优化和创新提供反馈循环，使集成投资能够适应不断变化的业务环境。</w:t>
      </w:r>
    </w:p>
    <w:p w14:paraId="1FD97C07">
      <w:pPr>
        <w:pStyle w:val="105"/>
        <w:spacing w:before="120" w:after="120"/>
      </w:pPr>
      <w:r>
        <w:rPr>
          <w:rFonts w:hint="eastAsia"/>
        </w:rPr>
        <w:t>典型应用场景</w:t>
      </w:r>
    </w:p>
    <w:p w14:paraId="49DF9085">
      <w:pPr>
        <w:pStyle w:val="56"/>
        <w:ind w:firstLine="420"/>
      </w:pPr>
      <w:r>
        <w:rPr>
          <w:rFonts w:hint="eastAsia"/>
        </w:rPr>
        <w:t>——智能制造场景：系统通过整合生产监控、质量控制和供应链管理服务，实现从原材料到成品的全流程优化和实时决策支持；</w:t>
      </w:r>
    </w:p>
    <w:p w14:paraId="20B8178F">
      <w:pPr>
        <w:pStyle w:val="56"/>
        <w:ind w:firstLine="420"/>
      </w:pPr>
      <w:r>
        <w:rPr>
          <w:rFonts w:hint="eastAsia"/>
        </w:rPr>
        <w:t>——产业链协同场景：通过标准化数据接口和协作平台，促进企业间数据共享、资源调配和流程协同，从而增强整体竞争力和市场响应速度；</w:t>
      </w:r>
    </w:p>
    <w:p w14:paraId="516C893D">
      <w:pPr>
        <w:pStyle w:val="56"/>
        <w:ind w:firstLine="420"/>
      </w:pPr>
      <w:r>
        <w:rPr>
          <w:rFonts w:hint="eastAsia"/>
        </w:rPr>
        <w:t>——智慧城市与公共服务场景：涵盖智能交通、环境监测和公共安全服务，提升城市管理水平和居民生活质量；</w:t>
      </w:r>
    </w:p>
    <w:p w14:paraId="0DC1091A">
      <w:pPr>
        <w:pStyle w:val="132"/>
      </w:pPr>
      <w:r>
        <w:rPr>
          <w:rFonts w:hint="eastAsia"/>
        </w:rPr>
        <w:t>可持续发展与绿色质量场景：聚焦于能源管理、碳足迹追踪和绿色供应链，支持企业实现环保目标。</w:t>
      </w:r>
    </w:p>
    <w:p w14:paraId="72A626F9">
      <w:pPr>
        <w:pStyle w:val="105"/>
        <w:spacing w:before="120" w:after="120"/>
      </w:pPr>
      <w:r>
        <w:rPr>
          <w:rFonts w:hint="eastAsia"/>
        </w:rPr>
        <w:t>业务层要求</w:t>
      </w:r>
    </w:p>
    <w:p w14:paraId="6B321092">
      <w:pPr>
        <w:pStyle w:val="56"/>
        <w:ind w:firstLine="420"/>
      </w:pPr>
      <w:r>
        <w:rPr>
          <w:rFonts w:hint="eastAsia"/>
        </w:rPr>
        <w:t>该层贴合实际业务需求，明确场景边界和核心目标；需依托下层功能层服务和信息层数据，实现功能整合，形成端到端解决方案；业务层具备可扩展性，支持新增功能服务和业务需求；需落实标准规范和安全保障要求，确保集成应用的合规、安全。</w:t>
      </w:r>
    </w:p>
    <w:p w14:paraId="1BB196F6">
      <w:pPr>
        <w:pStyle w:val="104"/>
        <w:spacing w:before="240" w:after="240"/>
      </w:pPr>
      <w:bookmarkStart w:id="123" w:name="_Toc224162274"/>
      <w:bookmarkStart w:id="124" w:name="_Toc224314125"/>
      <w:bookmarkStart w:id="125" w:name="_Toc228815318"/>
      <w:bookmarkStart w:id="126" w:name="_Toc228815341"/>
      <w:r>
        <w:rPr>
          <w:rFonts w:hint="eastAsia"/>
        </w:rPr>
        <w:t>集成与互</w:t>
      </w:r>
      <w:bookmarkEnd w:id="123"/>
      <w:bookmarkEnd w:id="124"/>
      <w:r>
        <w:rPr>
          <w:rFonts w:hint="eastAsia"/>
        </w:rPr>
        <w:t>操作</w:t>
      </w:r>
      <w:bookmarkEnd w:id="125"/>
      <w:bookmarkEnd w:id="126"/>
    </w:p>
    <w:p w14:paraId="06F9227A">
      <w:pPr>
        <w:pStyle w:val="105"/>
        <w:spacing w:before="120" w:after="120"/>
      </w:pPr>
      <w:r>
        <w:rPr>
          <w:rFonts w:hint="eastAsia"/>
        </w:rPr>
        <w:t>概述</w:t>
      </w:r>
    </w:p>
    <w:p w14:paraId="1EAC6442">
      <w:pPr>
        <w:pStyle w:val="56"/>
        <w:ind w:firstLine="420"/>
      </w:pPr>
      <w:r>
        <w:rPr>
          <w:rFonts w:hint="eastAsia"/>
        </w:rPr>
        <w:t>为实现计量、标准、合格评定等要素在数字空间中的互联互通与业务协同，建立统一的接口与互操作规则，承担接口管理、数据传输、语义互通等核心职责，衔接各层级数据与服务，实现全层级互联互通。</w:t>
      </w:r>
    </w:p>
    <w:p w14:paraId="568F0BD2">
      <w:pPr>
        <w:pStyle w:val="105"/>
        <w:spacing w:before="120" w:after="120"/>
      </w:pPr>
      <w:r>
        <w:rPr>
          <w:rFonts w:hint="eastAsia"/>
        </w:rPr>
        <w:t>元数据集成</w:t>
      </w:r>
    </w:p>
    <w:p w14:paraId="48C55AF2">
      <w:pPr>
        <w:pStyle w:val="65"/>
        <w:spacing w:before="120" w:after="120"/>
      </w:pPr>
      <w:r>
        <w:rPr>
          <w:rFonts w:hint="eastAsia"/>
        </w:rPr>
        <w:t>核心元数据</w:t>
      </w:r>
    </w:p>
    <w:p w14:paraId="563EBFB8">
      <w:pPr>
        <w:pStyle w:val="56"/>
        <w:topLinePunct/>
        <w:autoSpaceDE/>
        <w:autoSpaceDN/>
        <w:ind w:firstLine="420"/>
        <w:rPr>
          <w:rFonts w:hint="eastAsia" w:hAnsi="宋体"/>
        </w:rPr>
      </w:pPr>
      <w:r>
        <w:rPr>
          <w:rFonts w:hAnsi="宋体"/>
        </w:rPr>
        <w:t>QI</w:t>
      </w:r>
      <w:r>
        <w:rPr>
          <w:rFonts w:hint="eastAsia" w:hAnsi="宋体"/>
        </w:rPr>
        <w:t>数字化集成中涉及的各类核心实体，核心元数据规范见表1。</w:t>
      </w:r>
    </w:p>
    <w:p w14:paraId="404DCC76">
      <w:pPr>
        <w:pStyle w:val="112"/>
        <w:spacing w:before="120" w:after="120"/>
      </w:pPr>
      <w:r>
        <w:rPr>
          <w:rFonts w:hint="eastAsia"/>
        </w:rPr>
        <w:t>核心元数据内容表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0"/>
        <w:gridCol w:w="3112"/>
        <w:gridCol w:w="3112"/>
      </w:tblGrid>
      <w:tr w14:paraId="06C618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0" w:type="dxa"/>
            <w:tcBorders>
              <w:top w:val="single" w:color="auto" w:sz="8" w:space="0"/>
              <w:bottom w:val="single" w:color="auto" w:sz="8" w:space="0"/>
            </w:tcBorders>
            <w:vAlign w:val="center"/>
          </w:tcPr>
          <w:p w14:paraId="03A9A3D0">
            <w:pPr>
              <w:pStyle w:val="178"/>
            </w:pPr>
            <w:r>
              <w:rPr>
                <w:rFonts w:hint="eastAsia"/>
              </w:rPr>
              <w:t>元数据类别</w:t>
            </w:r>
          </w:p>
        </w:tc>
        <w:tc>
          <w:tcPr>
            <w:tcW w:w="3112" w:type="dxa"/>
            <w:tcBorders>
              <w:top w:val="single" w:color="auto" w:sz="8" w:space="0"/>
              <w:bottom w:val="single" w:color="auto" w:sz="8" w:space="0"/>
            </w:tcBorders>
            <w:vAlign w:val="center"/>
          </w:tcPr>
          <w:p w14:paraId="1DFE06FB">
            <w:pPr>
              <w:pStyle w:val="178"/>
            </w:pPr>
            <w:r>
              <w:rPr>
                <w:rFonts w:hint="eastAsia"/>
              </w:rPr>
              <w:t>元数据项</w:t>
            </w:r>
          </w:p>
        </w:tc>
        <w:tc>
          <w:tcPr>
            <w:tcW w:w="3112" w:type="dxa"/>
            <w:tcBorders>
              <w:top w:val="single" w:color="auto" w:sz="8" w:space="0"/>
              <w:bottom w:val="single" w:color="auto" w:sz="8" w:space="0"/>
            </w:tcBorders>
            <w:vAlign w:val="center"/>
          </w:tcPr>
          <w:p w14:paraId="355E894D">
            <w:pPr>
              <w:pStyle w:val="178"/>
            </w:pPr>
            <w:r>
              <w:rPr>
                <w:rFonts w:hint="eastAsia"/>
              </w:rPr>
              <w:t>说明</w:t>
            </w:r>
          </w:p>
        </w:tc>
      </w:tr>
      <w:tr w14:paraId="53782F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Merge w:val="restart"/>
            <w:tcBorders>
              <w:top w:val="single" w:color="auto" w:sz="8" w:space="0"/>
            </w:tcBorders>
            <w:vAlign w:val="center"/>
          </w:tcPr>
          <w:p w14:paraId="78AE8109">
            <w:pPr>
              <w:pStyle w:val="178"/>
            </w:pPr>
            <w:r>
              <w:rPr>
                <w:rFonts w:hint="eastAsia"/>
              </w:rPr>
              <w:t>机构标识</w:t>
            </w:r>
          </w:p>
        </w:tc>
        <w:tc>
          <w:tcPr>
            <w:tcW w:w="3112" w:type="dxa"/>
            <w:tcBorders>
              <w:top w:val="single" w:color="auto" w:sz="8" w:space="0"/>
            </w:tcBorders>
            <w:vAlign w:val="center"/>
          </w:tcPr>
          <w:p w14:paraId="599939B1">
            <w:pPr>
              <w:pStyle w:val="178"/>
            </w:pPr>
            <w:r>
              <w:rPr>
                <w:rFonts w:hint="eastAsia"/>
              </w:rPr>
              <w:t>统一社会信用代码</w:t>
            </w:r>
          </w:p>
        </w:tc>
        <w:tc>
          <w:tcPr>
            <w:tcW w:w="3112" w:type="dxa"/>
            <w:tcBorders>
              <w:top w:val="single" w:color="auto" w:sz="8" w:space="0"/>
            </w:tcBorders>
            <w:vAlign w:val="center"/>
          </w:tcPr>
          <w:p w14:paraId="66472C37">
            <w:pPr>
              <w:pStyle w:val="178"/>
            </w:pPr>
            <w:r>
              <w:rPr>
                <w:rFonts w:hint="eastAsia"/>
              </w:rPr>
              <w:t>国内机构唯一标识</w:t>
            </w:r>
          </w:p>
        </w:tc>
      </w:tr>
      <w:tr w14:paraId="5E3176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Merge w:val="continue"/>
            <w:vAlign w:val="center"/>
          </w:tcPr>
          <w:p w14:paraId="44D32077">
            <w:pPr>
              <w:pStyle w:val="178"/>
            </w:pPr>
          </w:p>
        </w:tc>
        <w:tc>
          <w:tcPr>
            <w:tcW w:w="3112" w:type="dxa"/>
            <w:vAlign w:val="center"/>
          </w:tcPr>
          <w:p w14:paraId="729143C1">
            <w:pPr>
              <w:pStyle w:val="178"/>
            </w:pPr>
            <w:r>
              <w:rPr>
                <w:rFonts w:hint="eastAsia"/>
              </w:rPr>
              <w:t>全球位置编码（GLN）</w:t>
            </w:r>
          </w:p>
        </w:tc>
        <w:tc>
          <w:tcPr>
            <w:tcW w:w="3112" w:type="dxa"/>
            <w:vAlign w:val="center"/>
          </w:tcPr>
          <w:p w14:paraId="49E12ABD">
            <w:pPr>
              <w:pStyle w:val="178"/>
            </w:pPr>
            <w:r>
              <w:rPr>
                <w:rFonts w:hint="eastAsia"/>
              </w:rPr>
              <w:t>国际交互场景优先采用</w:t>
            </w:r>
          </w:p>
        </w:tc>
      </w:tr>
      <w:tr w14:paraId="45FFE1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Merge w:val="restart"/>
            <w:vAlign w:val="center"/>
          </w:tcPr>
          <w:p w14:paraId="2A9F6835">
            <w:pPr>
              <w:pStyle w:val="178"/>
            </w:pPr>
            <w:r>
              <w:rPr>
                <w:rFonts w:hint="eastAsia"/>
              </w:rPr>
              <w:t>时间标识</w:t>
            </w:r>
          </w:p>
        </w:tc>
        <w:tc>
          <w:tcPr>
            <w:tcW w:w="3112" w:type="dxa"/>
            <w:vAlign w:val="center"/>
          </w:tcPr>
          <w:p w14:paraId="406D7B91">
            <w:pPr>
              <w:pStyle w:val="178"/>
            </w:pPr>
            <w:r>
              <w:rPr>
                <w:rFonts w:hint="eastAsia"/>
              </w:rPr>
              <w:t>生效日期</w:t>
            </w:r>
          </w:p>
        </w:tc>
        <w:tc>
          <w:tcPr>
            <w:tcW w:w="3112" w:type="dxa"/>
            <w:vMerge w:val="restart"/>
            <w:vAlign w:val="center"/>
          </w:tcPr>
          <w:p w14:paraId="432A3A00">
            <w:pPr>
              <w:pStyle w:val="56"/>
              <w:topLinePunct/>
              <w:autoSpaceDE/>
              <w:autoSpaceDN/>
              <w:ind w:firstLine="0" w:firstLineChars="0"/>
              <w:jc w:val="center"/>
              <w:rPr>
                <w:rFonts w:hint="eastAsia" w:hAnsi="宋体"/>
                <w:sz w:val="18"/>
                <w:szCs w:val="18"/>
              </w:rPr>
            </w:pPr>
            <w:r>
              <w:rPr>
                <w:rFonts w:hint="eastAsia" w:hAnsi="宋体"/>
                <w:sz w:val="18"/>
                <w:szCs w:val="18"/>
              </w:rPr>
              <w:t>统一时间规范和格式</w:t>
            </w:r>
          </w:p>
        </w:tc>
      </w:tr>
      <w:tr w14:paraId="120E35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Merge w:val="continue"/>
            <w:vAlign w:val="center"/>
          </w:tcPr>
          <w:p w14:paraId="04697B67">
            <w:pPr>
              <w:pStyle w:val="178"/>
            </w:pPr>
          </w:p>
        </w:tc>
        <w:tc>
          <w:tcPr>
            <w:tcW w:w="3112" w:type="dxa"/>
            <w:vAlign w:val="center"/>
          </w:tcPr>
          <w:p w14:paraId="5DAFE36D">
            <w:pPr>
              <w:pStyle w:val="178"/>
            </w:pPr>
            <w:r>
              <w:rPr>
                <w:rFonts w:hint="eastAsia"/>
              </w:rPr>
              <w:t>失效日期</w:t>
            </w:r>
          </w:p>
        </w:tc>
        <w:tc>
          <w:tcPr>
            <w:tcW w:w="3112" w:type="dxa"/>
            <w:vMerge w:val="continue"/>
          </w:tcPr>
          <w:p w14:paraId="3FB4B19A">
            <w:pPr>
              <w:pStyle w:val="178"/>
            </w:pPr>
          </w:p>
        </w:tc>
      </w:tr>
      <w:tr w14:paraId="35793B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Merge w:val="continue"/>
            <w:vAlign w:val="center"/>
          </w:tcPr>
          <w:p w14:paraId="46178C85">
            <w:pPr>
              <w:pStyle w:val="178"/>
            </w:pPr>
          </w:p>
        </w:tc>
        <w:tc>
          <w:tcPr>
            <w:tcW w:w="3112" w:type="dxa"/>
            <w:vAlign w:val="center"/>
          </w:tcPr>
          <w:p w14:paraId="1076AA01">
            <w:pPr>
              <w:pStyle w:val="178"/>
            </w:pPr>
            <w:r>
              <w:rPr>
                <w:rFonts w:hint="eastAsia"/>
              </w:rPr>
              <w:t>版本日期</w:t>
            </w:r>
          </w:p>
        </w:tc>
        <w:tc>
          <w:tcPr>
            <w:tcW w:w="3112" w:type="dxa"/>
            <w:vMerge w:val="continue"/>
          </w:tcPr>
          <w:p w14:paraId="33649A1E">
            <w:pPr>
              <w:pStyle w:val="178"/>
            </w:pPr>
          </w:p>
        </w:tc>
      </w:tr>
      <w:tr w14:paraId="55E41C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Merge w:val="restart"/>
            <w:vAlign w:val="center"/>
          </w:tcPr>
          <w:p w14:paraId="06F62033">
            <w:pPr>
              <w:pStyle w:val="178"/>
            </w:pPr>
            <w:r>
              <w:rPr>
                <w:rFonts w:hint="eastAsia"/>
              </w:rPr>
              <w:t>状态标识</w:t>
            </w:r>
          </w:p>
        </w:tc>
        <w:tc>
          <w:tcPr>
            <w:tcW w:w="3112" w:type="dxa"/>
            <w:vAlign w:val="center"/>
          </w:tcPr>
          <w:p w14:paraId="2B3E0A23">
            <w:pPr>
              <w:pStyle w:val="178"/>
            </w:pPr>
            <w:r>
              <w:rPr>
                <w:rFonts w:hint="eastAsia"/>
              </w:rPr>
              <w:t>现行/废止</w:t>
            </w:r>
          </w:p>
        </w:tc>
        <w:tc>
          <w:tcPr>
            <w:tcW w:w="3112" w:type="dxa"/>
            <w:vAlign w:val="center"/>
          </w:tcPr>
          <w:p w14:paraId="0617B0BE">
            <w:pPr>
              <w:pStyle w:val="178"/>
            </w:pPr>
            <w:r>
              <w:rPr>
                <w:rFonts w:hint="eastAsia"/>
              </w:rPr>
              <w:t>适用于标准</w:t>
            </w:r>
          </w:p>
        </w:tc>
      </w:tr>
      <w:tr w14:paraId="3C83B5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Merge w:val="continue"/>
            <w:vAlign w:val="center"/>
          </w:tcPr>
          <w:p w14:paraId="2B1AACB1">
            <w:pPr>
              <w:pStyle w:val="178"/>
            </w:pPr>
          </w:p>
        </w:tc>
        <w:tc>
          <w:tcPr>
            <w:tcW w:w="3112" w:type="dxa"/>
            <w:vAlign w:val="center"/>
          </w:tcPr>
          <w:p w14:paraId="395FC5D0">
            <w:pPr>
              <w:pStyle w:val="178"/>
            </w:pPr>
            <w:r>
              <w:rPr>
                <w:rFonts w:hint="eastAsia"/>
              </w:rPr>
              <w:t>有效/暂停/撤销</w:t>
            </w:r>
          </w:p>
        </w:tc>
        <w:tc>
          <w:tcPr>
            <w:tcW w:w="3112" w:type="dxa"/>
            <w:vAlign w:val="center"/>
          </w:tcPr>
          <w:p w14:paraId="2A34894A">
            <w:pPr>
              <w:pStyle w:val="178"/>
            </w:pPr>
            <w:r>
              <w:rPr>
                <w:rFonts w:hint="eastAsia"/>
              </w:rPr>
              <w:t>适用于认证证书</w:t>
            </w:r>
          </w:p>
        </w:tc>
      </w:tr>
      <w:tr w14:paraId="719919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Merge w:val="continue"/>
            <w:vAlign w:val="center"/>
          </w:tcPr>
          <w:p w14:paraId="23DF4BE2">
            <w:pPr>
              <w:pStyle w:val="178"/>
            </w:pPr>
          </w:p>
        </w:tc>
        <w:tc>
          <w:tcPr>
            <w:tcW w:w="3112" w:type="dxa"/>
            <w:vAlign w:val="center"/>
          </w:tcPr>
          <w:p w14:paraId="486ED021">
            <w:pPr>
              <w:pStyle w:val="178"/>
            </w:pPr>
            <w:r>
              <w:rPr>
                <w:rFonts w:hint="eastAsia"/>
              </w:rPr>
              <w:t>合格/限用/停用</w:t>
            </w:r>
          </w:p>
        </w:tc>
        <w:tc>
          <w:tcPr>
            <w:tcW w:w="3112" w:type="dxa"/>
            <w:vAlign w:val="center"/>
          </w:tcPr>
          <w:p w14:paraId="5E335036">
            <w:pPr>
              <w:pStyle w:val="178"/>
            </w:pPr>
            <w:r>
              <w:rPr>
                <w:rFonts w:hint="eastAsia"/>
              </w:rPr>
              <w:t>适用于计量器具</w:t>
            </w:r>
          </w:p>
        </w:tc>
      </w:tr>
      <w:tr w14:paraId="0F11F9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Merge w:val="restart"/>
            <w:vAlign w:val="center"/>
          </w:tcPr>
          <w:p w14:paraId="197D0D47">
            <w:pPr>
              <w:pStyle w:val="178"/>
            </w:pPr>
            <w:r>
              <w:rPr>
                <w:rFonts w:hint="eastAsia"/>
              </w:rPr>
              <w:t>关系标识</w:t>
            </w:r>
          </w:p>
        </w:tc>
        <w:tc>
          <w:tcPr>
            <w:tcW w:w="3112" w:type="dxa"/>
            <w:vAlign w:val="center"/>
          </w:tcPr>
          <w:p w14:paraId="6D731776">
            <w:pPr>
              <w:pStyle w:val="178"/>
            </w:pPr>
            <w:r>
              <w:rPr>
                <w:rFonts w:hint="eastAsia"/>
              </w:rPr>
              <w:t>引用</w:t>
            </w:r>
          </w:p>
        </w:tc>
        <w:tc>
          <w:tcPr>
            <w:tcW w:w="3112" w:type="dxa"/>
            <w:vAlign w:val="center"/>
          </w:tcPr>
          <w:p w14:paraId="7357EC52">
            <w:pPr>
              <w:pStyle w:val="178"/>
            </w:pPr>
            <w:r>
              <w:rPr>
                <w:rFonts w:hint="eastAsia"/>
              </w:rPr>
              <w:t>如标准引用另一个标准</w:t>
            </w:r>
          </w:p>
        </w:tc>
      </w:tr>
      <w:tr w14:paraId="0176BC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Merge w:val="continue"/>
            <w:vAlign w:val="center"/>
          </w:tcPr>
          <w:p w14:paraId="3FA5483B">
            <w:pPr>
              <w:pStyle w:val="178"/>
            </w:pPr>
          </w:p>
        </w:tc>
        <w:tc>
          <w:tcPr>
            <w:tcW w:w="3112" w:type="dxa"/>
            <w:vAlign w:val="center"/>
          </w:tcPr>
          <w:p w14:paraId="42D0D11B">
            <w:pPr>
              <w:pStyle w:val="178"/>
            </w:pPr>
            <w:r>
              <w:rPr>
                <w:rFonts w:hint="eastAsia"/>
              </w:rPr>
              <w:t>依据</w:t>
            </w:r>
          </w:p>
        </w:tc>
        <w:tc>
          <w:tcPr>
            <w:tcW w:w="3112" w:type="dxa"/>
            <w:vAlign w:val="center"/>
          </w:tcPr>
          <w:p w14:paraId="5FF2D232">
            <w:pPr>
              <w:pStyle w:val="178"/>
            </w:pPr>
            <w:r>
              <w:rPr>
                <w:rFonts w:hint="eastAsia"/>
              </w:rPr>
              <w:t>如认证依据某个文件</w:t>
            </w:r>
          </w:p>
        </w:tc>
      </w:tr>
      <w:tr w14:paraId="26011B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Merge w:val="continue"/>
            <w:vAlign w:val="center"/>
          </w:tcPr>
          <w:p w14:paraId="433403DE">
            <w:pPr>
              <w:pStyle w:val="178"/>
            </w:pPr>
          </w:p>
        </w:tc>
        <w:tc>
          <w:tcPr>
            <w:tcW w:w="3112" w:type="dxa"/>
            <w:vAlign w:val="center"/>
          </w:tcPr>
          <w:p w14:paraId="3D8527A1">
            <w:pPr>
              <w:pStyle w:val="178"/>
            </w:pPr>
            <w:r>
              <w:rPr>
                <w:rFonts w:hint="eastAsia"/>
              </w:rPr>
              <w:t>补充</w:t>
            </w:r>
          </w:p>
        </w:tc>
        <w:tc>
          <w:tcPr>
            <w:tcW w:w="3112" w:type="dxa"/>
            <w:vAlign w:val="center"/>
          </w:tcPr>
          <w:p w14:paraId="384E1179">
            <w:pPr>
              <w:pStyle w:val="178"/>
            </w:pPr>
            <w:r>
              <w:rPr>
                <w:rFonts w:hint="eastAsia"/>
              </w:rPr>
              <w:t>如技术规范补充标准</w:t>
            </w:r>
          </w:p>
        </w:tc>
      </w:tr>
      <w:tr w14:paraId="225AF1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Merge w:val="continue"/>
            <w:vAlign w:val="center"/>
          </w:tcPr>
          <w:p w14:paraId="138742CE">
            <w:pPr>
              <w:pStyle w:val="178"/>
            </w:pPr>
          </w:p>
        </w:tc>
        <w:tc>
          <w:tcPr>
            <w:tcW w:w="3112" w:type="dxa"/>
            <w:vAlign w:val="center"/>
          </w:tcPr>
          <w:p w14:paraId="471A9082">
            <w:pPr>
              <w:pStyle w:val="178"/>
            </w:pPr>
            <w:r>
              <w:rPr>
                <w:rFonts w:hint="eastAsia"/>
              </w:rPr>
              <w:t>冲突</w:t>
            </w:r>
          </w:p>
        </w:tc>
        <w:tc>
          <w:tcPr>
            <w:tcW w:w="3112" w:type="dxa"/>
            <w:vAlign w:val="center"/>
          </w:tcPr>
          <w:p w14:paraId="6126A37E">
            <w:pPr>
              <w:pStyle w:val="178"/>
            </w:pPr>
            <w:r>
              <w:rPr>
                <w:rFonts w:hint="eastAsia"/>
              </w:rPr>
              <w:t>如新旧标准条款替代</w:t>
            </w:r>
          </w:p>
        </w:tc>
      </w:tr>
    </w:tbl>
    <w:p w14:paraId="15F20485">
      <w:pPr>
        <w:pStyle w:val="56"/>
        <w:ind w:firstLine="420"/>
      </w:pPr>
    </w:p>
    <w:p w14:paraId="45673223">
      <w:pPr>
        <w:pStyle w:val="56"/>
        <w:ind w:firstLine="420"/>
      </w:pPr>
      <w:r>
        <w:rPr>
          <w:rFonts w:hint="eastAsia"/>
        </w:rPr>
        <w:t>衔接信息层元数据管理中心，实现全层级元数据统一注册、映射、溯源，解决元数据异构问题，为数据传输和服务调用提供元数据支撑，适配数据接口标准相关要求。</w:t>
      </w:r>
    </w:p>
    <w:p w14:paraId="00A428AE">
      <w:pPr>
        <w:pStyle w:val="65"/>
        <w:spacing w:before="120" w:after="120"/>
      </w:pPr>
      <w:r>
        <w:rPr>
          <w:rFonts w:hint="eastAsia"/>
        </w:rPr>
        <w:t>元数据管理要求</w:t>
      </w:r>
    </w:p>
    <w:p w14:paraId="34B93DD4">
      <w:pPr>
        <w:pStyle w:val="56"/>
        <w:ind w:firstLine="420"/>
      </w:pPr>
      <w:r>
        <w:rPr>
          <w:rFonts w:hint="eastAsia"/>
        </w:rPr>
        <w:t>元数据宜随数据一起传输，确保数据自描述；元数据的变更宜有版本记录；核心元数据宜向社会公开，支持第三方系统解析和使用。</w:t>
      </w:r>
    </w:p>
    <w:p w14:paraId="4185C4B6">
      <w:pPr>
        <w:pStyle w:val="105"/>
        <w:spacing w:before="120" w:after="120"/>
      </w:pPr>
      <w:r>
        <w:rPr>
          <w:rFonts w:hint="eastAsia"/>
        </w:rPr>
        <w:t>语义集成</w:t>
      </w:r>
    </w:p>
    <w:p w14:paraId="43D83F2A">
      <w:pPr>
        <w:pStyle w:val="65"/>
        <w:spacing w:before="120" w:after="120"/>
      </w:pPr>
      <w:r>
        <w:rPr>
          <w:rFonts w:hint="eastAsia"/>
        </w:rPr>
        <w:t>本体映射</w:t>
      </w:r>
    </w:p>
    <w:p w14:paraId="0DD8CFB9">
      <w:pPr>
        <w:pStyle w:val="56"/>
        <w:topLinePunct/>
        <w:autoSpaceDE/>
        <w:autoSpaceDN/>
        <w:ind w:firstLine="420"/>
      </w:pPr>
      <w:r>
        <w:rPr>
          <w:rFonts w:hint="eastAsia" w:hAnsi="宋体"/>
        </w:rPr>
        <w:t>衔接信息层语义映射功能，建立QI顶层本体，实现</w:t>
      </w:r>
      <w:r>
        <w:rPr>
          <w:rFonts w:hAnsi="宋体"/>
        </w:rPr>
        <w:t>各领域术语在数据交换时</w:t>
      </w:r>
      <w:r>
        <w:rPr>
          <w:rFonts w:hint="eastAsia" w:hAnsi="宋体"/>
        </w:rPr>
        <w:t>可</w:t>
      </w:r>
      <w:r>
        <w:rPr>
          <w:rFonts w:hAnsi="宋体"/>
        </w:rPr>
        <w:t>通过映射关系与QI顶层本体对齐</w:t>
      </w:r>
      <w:r>
        <w:rPr>
          <w:rFonts w:hint="eastAsia" w:hAnsi="宋体"/>
        </w:rPr>
        <w:t>，将信息层的语义映射结果转化为可互操作的语义规范，支撑各层级数据理解和服务协同，贴合标准语义知识库与外部系统数据接口规则要求。</w:t>
      </w:r>
    </w:p>
    <w:p w14:paraId="51A5A899">
      <w:pPr>
        <w:pStyle w:val="65"/>
        <w:spacing w:before="120" w:after="120"/>
      </w:pPr>
      <w:r>
        <w:rPr>
          <w:rFonts w:hint="eastAsia"/>
        </w:rPr>
        <w:t>知识图谱构建规范</w:t>
      </w:r>
    </w:p>
    <w:p w14:paraId="5B41DEDB">
      <w:pPr>
        <w:pStyle w:val="56"/>
        <w:topLinePunct/>
        <w:autoSpaceDE/>
        <w:autoSpaceDN/>
        <w:ind w:firstLine="420"/>
        <w:rPr>
          <w:rFonts w:hint="eastAsia" w:hAnsi="宋体"/>
        </w:rPr>
      </w:pPr>
      <w:r>
        <w:rPr>
          <w:rFonts w:hAnsi="宋体"/>
        </w:rPr>
        <w:t>鼓励基于知识图谱技术实现QI要素的深度关联。知识图谱构建</w:t>
      </w:r>
      <w:r>
        <w:rPr>
          <w:rFonts w:hint="eastAsia" w:hAnsi="宋体"/>
        </w:rPr>
        <w:t>宜</w:t>
      </w:r>
      <w:r>
        <w:rPr>
          <w:rFonts w:hAnsi="宋体"/>
        </w:rPr>
        <w:t>遵循RDF三元组规范。</w:t>
      </w:r>
    </w:p>
    <w:p w14:paraId="090F5945">
      <w:pPr>
        <w:pStyle w:val="105"/>
        <w:spacing w:before="120" w:after="120"/>
      </w:pPr>
      <w:r>
        <w:rPr>
          <w:rFonts w:hint="eastAsia"/>
        </w:rPr>
        <w:t>技术集成</w:t>
      </w:r>
    </w:p>
    <w:p w14:paraId="2CE05A26">
      <w:pPr>
        <w:pStyle w:val="65"/>
        <w:spacing w:before="120" w:after="120"/>
      </w:pPr>
      <w:r>
        <w:rPr>
          <w:rFonts w:hint="eastAsia"/>
        </w:rPr>
        <w:t>API规范</w:t>
      </w:r>
    </w:p>
    <w:p w14:paraId="35EF327B">
      <w:pPr>
        <w:pStyle w:val="56"/>
        <w:topLinePunct/>
        <w:autoSpaceDE/>
        <w:autoSpaceDN/>
        <w:ind w:firstLine="420"/>
        <w:rPr>
          <w:rFonts w:hint="eastAsia" w:hAnsi="宋体"/>
        </w:rPr>
      </w:pPr>
      <w:r>
        <w:rPr>
          <w:rFonts w:hAnsi="宋体"/>
        </w:rPr>
        <w:t>QI数字服务平台</w:t>
      </w:r>
      <w:r>
        <w:rPr>
          <w:rFonts w:hint="eastAsia" w:hAnsi="宋体"/>
        </w:rPr>
        <w:t>宜</w:t>
      </w:r>
      <w:r>
        <w:rPr>
          <w:rFonts w:hAnsi="宋体"/>
        </w:rPr>
        <w:t>提供标准化的RESTful API，</w:t>
      </w:r>
      <w:r>
        <w:rPr>
          <w:rFonts w:hint="eastAsia" w:hAnsi="宋体"/>
        </w:rPr>
        <w:t>并至少包含表2中的通用接口：</w:t>
      </w:r>
    </w:p>
    <w:p w14:paraId="347067E2">
      <w:pPr>
        <w:pStyle w:val="112"/>
        <w:spacing w:before="120" w:after="120"/>
      </w:pPr>
      <w:r>
        <w:rPr>
          <w:rFonts w:hint="eastAsia"/>
        </w:rPr>
        <w:t>通用接口表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0"/>
        <w:gridCol w:w="3112"/>
        <w:gridCol w:w="3112"/>
      </w:tblGrid>
      <w:tr w14:paraId="24BE41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0" w:type="dxa"/>
            <w:tcBorders>
              <w:top w:val="single" w:color="auto" w:sz="8" w:space="0"/>
              <w:bottom w:val="single" w:color="auto" w:sz="8" w:space="0"/>
            </w:tcBorders>
            <w:vAlign w:val="center"/>
          </w:tcPr>
          <w:p w14:paraId="574E22B7">
            <w:pPr>
              <w:pStyle w:val="178"/>
            </w:pPr>
            <w:r>
              <w:rPr>
                <w:rFonts w:hint="eastAsia"/>
              </w:rPr>
              <w:t>接口类型</w:t>
            </w:r>
          </w:p>
        </w:tc>
        <w:tc>
          <w:tcPr>
            <w:tcW w:w="3112" w:type="dxa"/>
            <w:tcBorders>
              <w:top w:val="single" w:color="auto" w:sz="8" w:space="0"/>
              <w:bottom w:val="single" w:color="auto" w:sz="8" w:space="0"/>
            </w:tcBorders>
            <w:vAlign w:val="center"/>
          </w:tcPr>
          <w:p w14:paraId="6B96A99C">
            <w:pPr>
              <w:pStyle w:val="178"/>
            </w:pPr>
            <w:r>
              <w:rPr>
                <w:rFonts w:hint="eastAsia"/>
              </w:rPr>
              <w:t>功能描述</w:t>
            </w:r>
          </w:p>
        </w:tc>
        <w:tc>
          <w:tcPr>
            <w:tcW w:w="3112" w:type="dxa"/>
            <w:tcBorders>
              <w:top w:val="single" w:color="auto" w:sz="8" w:space="0"/>
              <w:bottom w:val="single" w:color="auto" w:sz="8" w:space="0"/>
            </w:tcBorders>
            <w:vAlign w:val="center"/>
          </w:tcPr>
          <w:p w14:paraId="0DF5AB6E">
            <w:pPr>
              <w:pStyle w:val="178"/>
            </w:pPr>
            <w:r>
              <w:rPr>
                <w:rFonts w:hint="eastAsia"/>
              </w:rPr>
              <w:t>典型应用场景</w:t>
            </w:r>
          </w:p>
        </w:tc>
      </w:tr>
      <w:tr w14:paraId="5DB412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Borders>
              <w:top w:val="single" w:color="auto" w:sz="8" w:space="0"/>
            </w:tcBorders>
            <w:vAlign w:val="center"/>
          </w:tcPr>
          <w:p w14:paraId="31F10616">
            <w:pPr>
              <w:pStyle w:val="178"/>
            </w:pPr>
            <w:r>
              <w:rPr>
                <w:rFonts w:hint="eastAsia"/>
              </w:rPr>
              <w:t>查询接口</w:t>
            </w:r>
          </w:p>
        </w:tc>
        <w:tc>
          <w:tcPr>
            <w:tcW w:w="3112" w:type="dxa"/>
            <w:tcBorders>
              <w:top w:val="single" w:color="auto" w:sz="8" w:space="0"/>
            </w:tcBorders>
            <w:vAlign w:val="center"/>
          </w:tcPr>
          <w:p w14:paraId="0683552F">
            <w:pPr>
              <w:pStyle w:val="178"/>
            </w:pPr>
            <w:r>
              <w:rPr>
                <w:rFonts w:hint="eastAsia"/>
              </w:rPr>
              <w:t>根据关键字段查询关联信息</w:t>
            </w:r>
          </w:p>
        </w:tc>
        <w:tc>
          <w:tcPr>
            <w:tcW w:w="3112" w:type="dxa"/>
            <w:tcBorders>
              <w:top w:val="single" w:color="auto" w:sz="8" w:space="0"/>
            </w:tcBorders>
            <w:vAlign w:val="center"/>
          </w:tcPr>
          <w:p w14:paraId="7767A1B8">
            <w:pPr>
              <w:pStyle w:val="178"/>
            </w:pPr>
            <w:r>
              <w:rPr>
                <w:rFonts w:hint="eastAsia"/>
              </w:rPr>
              <w:t>根据产品型号查询适用的标准和认证要求</w:t>
            </w:r>
          </w:p>
        </w:tc>
      </w:tr>
      <w:tr w14:paraId="772E1B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Align w:val="center"/>
          </w:tcPr>
          <w:p w14:paraId="6028EA7C">
            <w:pPr>
              <w:pStyle w:val="178"/>
            </w:pPr>
            <w:r>
              <w:rPr>
                <w:rFonts w:hint="eastAsia"/>
              </w:rPr>
              <w:t>验证接口</w:t>
            </w:r>
          </w:p>
        </w:tc>
        <w:tc>
          <w:tcPr>
            <w:tcW w:w="3112" w:type="dxa"/>
            <w:vAlign w:val="center"/>
          </w:tcPr>
          <w:p w14:paraId="1CB8771C">
            <w:pPr>
              <w:pStyle w:val="178"/>
            </w:pPr>
            <w:r>
              <w:rPr>
                <w:rFonts w:hint="eastAsia"/>
              </w:rPr>
              <w:t>验证数字证书真伪和有效性</w:t>
            </w:r>
          </w:p>
        </w:tc>
        <w:tc>
          <w:tcPr>
            <w:tcW w:w="3112" w:type="dxa"/>
            <w:vAlign w:val="center"/>
          </w:tcPr>
          <w:p w14:paraId="6BBE1B66">
            <w:pPr>
              <w:pStyle w:val="178"/>
            </w:pPr>
            <w:r>
              <w:rPr>
                <w:rFonts w:hint="eastAsia"/>
              </w:rPr>
              <w:t>在线验证DCC、</w:t>
            </w:r>
            <w:r>
              <w:t>D-CoC</w:t>
            </w:r>
          </w:p>
        </w:tc>
      </w:tr>
      <w:tr w14:paraId="357E35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Align w:val="center"/>
          </w:tcPr>
          <w:p w14:paraId="3ECFC8DD">
            <w:pPr>
              <w:pStyle w:val="178"/>
            </w:pPr>
            <w:r>
              <w:rPr>
                <w:rFonts w:hint="eastAsia"/>
              </w:rPr>
              <w:t>订阅接口</w:t>
            </w:r>
          </w:p>
        </w:tc>
        <w:tc>
          <w:tcPr>
            <w:tcW w:w="3112" w:type="dxa"/>
            <w:vAlign w:val="center"/>
          </w:tcPr>
          <w:p w14:paraId="4459A0B9">
            <w:pPr>
              <w:pStyle w:val="178"/>
            </w:pPr>
            <w:r>
              <w:rPr>
                <w:rFonts w:hint="eastAsia"/>
              </w:rPr>
              <w:t>订阅标准/法规变更通知</w:t>
            </w:r>
          </w:p>
        </w:tc>
        <w:tc>
          <w:tcPr>
            <w:tcW w:w="3112" w:type="dxa"/>
            <w:vAlign w:val="center"/>
          </w:tcPr>
          <w:p w14:paraId="3D77BC43">
            <w:pPr>
              <w:pStyle w:val="178"/>
            </w:pPr>
            <w:r>
              <w:rPr>
                <w:rFonts w:hint="eastAsia"/>
              </w:rPr>
              <w:t>企业订阅产品相关标准的更新信息</w:t>
            </w:r>
          </w:p>
        </w:tc>
      </w:tr>
    </w:tbl>
    <w:p w14:paraId="45C8DDD9">
      <w:pPr>
        <w:pStyle w:val="56"/>
        <w:ind w:firstLine="420"/>
      </w:pPr>
    </w:p>
    <w:p w14:paraId="57588F5E">
      <w:pPr>
        <w:pStyle w:val="65"/>
        <w:spacing w:before="120" w:after="120"/>
      </w:pPr>
      <w:r>
        <w:rPr>
          <w:rFonts w:hint="eastAsia"/>
        </w:rPr>
        <w:t>接口管理</w:t>
      </w:r>
    </w:p>
    <w:p w14:paraId="3E21BD2B">
      <w:pPr>
        <w:pStyle w:val="56"/>
        <w:ind w:firstLine="420"/>
      </w:pPr>
      <w:r>
        <w:rPr>
          <w:rFonts w:hint="eastAsia"/>
        </w:rPr>
        <w:t>实现API全流程管控，保障API调用合规、安全、高效，包括但不限于：</w:t>
      </w:r>
    </w:p>
    <w:p w14:paraId="2F630013">
      <w:pPr>
        <w:pStyle w:val="56"/>
        <w:ind w:firstLine="420"/>
      </w:pPr>
      <w:r>
        <w:rPr>
          <w:rFonts w:hint="eastAsia"/>
        </w:rPr>
        <w:t>——API注册与发布；</w:t>
      </w:r>
    </w:p>
    <w:p w14:paraId="0406B07F">
      <w:pPr>
        <w:pStyle w:val="56"/>
        <w:ind w:firstLine="420"/>
      </w:pPr>
      <w:r>
        <w:rPr>
          <w:rFonts w:hint="eastAsia"/>
        </w:rPr>
        <w:t>——访问鉴权与流量控制；</w:t>
      </w:r>
    </w:p>
    <w:p w14:paraId="4D28550C">
      <w:pPr>
        <w:pStyle w:val="132"/>
      </w:pPr>
      <w:r>
        <w:rPr>
          <w:rFonts w:hint="eastAsia"/>
        </w:rPr>
        <w:t>调用监控与日志记录。</w:t>
      </w:r>
    </w:p>
    <w:p w14:paraId="67256BD7">
      <w:pPr>
        <w:pStyle w:val="65"/>
        <w:spacing w:before="120" w:after="120"/>
      </w:pPr>
      <w:r>
        <w:rPr>
          <w:rFonts w:hint="eastAsia"/>
        </w:rPr>
        <w:t>数据传输</w:t>
      </w:r>
    </w:p>
    <w:p w14:paraId="39D0AEBF">
      <w:pPr>
        <w:pStyle w:val="56"/>
        <w:ind w:firstLine="420"/>
      </w:pPr>
      <w:r>
        <w:rPr>
          <w:rFonts w:hint="eastAsia"/>
        </w:rPr>
        <w:t>支持多种传输模式，包括但不限于：</w:t>
      </w:r>
    </w:p>
    <w:p w14:paraId="15CCB659">
      <w:pPr>
        <w:pStyle w:val="56"/>
        <w:ind w:firstLine="420"/>
      </w:pPr>
      <w:r>
        <w:rPr>
          <w:rFonts w:hint="eastAsia"/>
        </w:rPr>
        <w:t>——同步请求/响应；</w:t>
      </w:r>
    </w:p>
    <w:p w14:paraId="697C2974">
      <w:pPr>
        <w:pStyle w:val="56"/>
        <w:ind w:firstLine="420"/>
      </w:pPr>
      <w:r>
        <w:rPr>
          <w:rFonts w:hint="eastAsia"/>
        </w:rPr>
        <w:t>——异步消息队列；</w:t>
      </w:r>
    </w:p>
    <w:p w14:paraId="5B4F3F06">
      <w:pPr>
        <w:pStyle w:val="56"/>
        <w:ind w:firstLine="420"/>
      </w:pPr>
      <w:r>
        <w:rPr>
          <w:rFonts w:hint="eastAsia"/>
        </w:rPr>
        <w:t>——流式数据推送；</w:t>
      </w:r>
    </w:p>
    <w:p w14:paraId="04948DBC">
      <w:pPr>
        <w:pStyle w:val="132"/>
      </w:pPr>
      <w:r>
        <w:rPr>
          <w:rFonts w:hint="eastAsia"/>
        </w:rPr>
        <w:t>批量数据同步。</w:t>
      </w:r>
    </w:p>
    <w:p w14:paraId="3F05274D">
      <w:pPr>
        <w:pStyle w:val="65"/>
        <w:spacing w:before="120" w:after="120"/>
      </w:pPr>
      <w:r>
        <w:rPr>
          <w:rFonts w:hint="eastAsia"/>
        </w:rPr>
        <w:t>数据转换</w:t>
      </w:r>
    </w:p>
    <w:p w14:paraId="55ECC6CB">
      <w:pPr>
        <w:pStyle w:val="56"/>
        <w:ind w:firstLine="420"/>
      </w:pPr>
      <w:r>
        <w:rPr>
          <w:rFonts w:hint="eastAsia"/>
        </w:rPr>
        <w:t>实现不同系统、不同层级间的数据传输协议适配、数据格式转换，包括但不限于：</w:t>
      </w:r>
    </w:p>
    <w:p w14:paraId="77934C4F">
      <w:pPr>
        <w:pStyle w:val="56"/>
        <w:ind w:firstLine="420"/>
      </w:pPr>
      <w:r>
        <w:rPr>
          <w:rFonts w:hint="eastAsia"/>
        </w:rPr>
        <w:t>——数据格式转换（XML/JSON/二进制）；</w:t>
      </w:r>
    </w:p>
    <w:p w14:paraId="68E3687C">
      <w:pPr>
        <w:pStyle w:val="56"/>
        <w:ind w:firstLine="420"/>
      </w:pPr>
      <w:r>
        <w:rPr>
          <w:rFonts w:hint="eastAsia"/>
        </w:rPr>
        <w:t>——协议适配（HTTP/MQTT/AMQP）；</w:t>
      </w:r>
    </w:p>
    <w:p w14:paraId="4B6DE185">
      <w:pPr>
        <w:pStyle w:val="132"/>
      </w:pPr>
      <w:r>
        <w:rPr>
          <w:rFonts w:hint="eastAsia"/>
        </w:rPr>
        <w:t>编码转换。</w:t>
      </w:r>
    </w:p>
    <w:p w14:paraId="65ACD681">
      <w:pPr>
        <w:pStyle w:val="104"/>
        <w:spacing w:before="240" w:after="240"/>
        <w:rPr>
          <w:rFonts w:ascii="Times New Roman"/>
        </w:rPr>
      </w:pPr>
      <w:bookmarkStart w:id="127" w:name="_Toc228815342"/>
      <w:bookmarkStart w:id="128" w:name="_Toc228815319"/>
      <w:r>
        <w:rPr>
          <w:rFonts w:hint="eastAsia" w:ascii="Times New Roman"/>
        </w:rPr>
        <w:t>集成支撑体系</w:t>
      </w:r>
      <w:bookmarkEnd w:id="127"/>
      <w:bookmarkEnd w:id="128"/>
    </w:p>
    <w:p w14:paraId="32AE02BB">
      <w:pPr>
        <w:pStyle w:val="105"/>
        <w:spacing w:before="120" w:after="120"/>
        <w:rPr>
          <w:rFonts w:ascii="Times New Roman"/>
        </w:rPr>
      </w:pPr>
      <w:r>
        <w:rPr>
          <w:rFonts w:hint="eastAsia" w:ascii="Times New Roman"/>
        </w:rPr>
        <w:t>概述</w:t>
      </w:r>
    </w:p>
    <w:p w14:paraId="58ABA10A">
      <w:pPr>
        <w:pStyle w:val="56"/>
        <w:ind w:firstLine="420"/>
      </w:pPr>
      <w:r>
        <w:rPr>
          <w:rFonts w:hint="eastAsia"/>
        </w:rPr>
        <w:t>集成支撑体系包括标准规范体系和安全保障体系，两大体系分别布局于架构两侧，贯穿基础数据层、信息层、功能层、业务层和互联互通与集成，为QI数字化集成提供合规依据和安全支撑，确保集成过程规范、数据安全、服务可信，支撑质量基础设施现代化建设。</w:t>
      </w:r>
    </w:p>
    <w:p w14:paraId="4B4DE60E">
      <w:pPr>
        <w:pStyle w:val="105"/>
        <w:spacing w:before="120" w:after="120"/>
        <w:rPr>
          <w:rFonts w:ascii="Times New Roman"/>
        </w:rPr>
      </w:pPr>
      <w:r>
        <w:rPr>
          <w:rFonts w:hint="eastAsia" w:ascii="Times New Roman"/>
        </w:rPr>
        <w:t>标准规范保障</w:t>
      </w:r>
    </w:p>
    <w:p w14:paraId="067F96BC">
      <w:pPr>
        <w:pStyle w:val="56"/>
        <w:topLinePunct/>
        <w:autoSpaceDE/>
        <w:autoSpaceDN/>
        <w:ind w:firstLine="420"/>
        <w:rPr>
          <w:rFonts w:hint="eastAsia" w:hAnsi="宋体"/>
        </w:rPr>
      </w:pPr>
      <w:r>
        <w:rPr>
          <w:rFonts w:hint="eastAsia" w:hAnsi="宋体"/>
        </w:rPr>
        <w:t>通过制定和实施数据标准、技术标准、管理标准、服务标准，</w:t>
      </w:r>
      <w:r>
        <w:rPr>
          <w:rFonts w:hAnsi="宋体"/>
        </w:rPr>
        <w:t>统一数据格式和技术接口，规范管理流程和服务质量，</w:t>
      </w:r>
      <w:r>
        <w:rPr>
          <w:rFonts w:hint="eastAsia" w:hAnsi="宋体"/>
        </w:rPr>
        <w:t>为QI数字化集成提供统一规则。</w:t>
      </w:r>
    </w:p>
    <w:p w14:paraId="67C65022">
      <w:pPr>
        <w:pStyle w:val="56"/>
        <w:topLinePunct/>
        <w:autoSpaceDE/>
        <w:autoSpaceDN/>
        <w:ind w:firstLine="420"/>
        <w:rPr>
          <w:rFonts w:hint="eastAsia" w:hAnsi="宋体"/>
        </w:rPr>
      </w:pPr>
      <w:r>
        <w:rPr>
          <w:rFonts w:hint="eastAsia" w:hAnsi="宋体"/>
        </w:rPr>
        <w:t>——数据标准：数据元标准、元数据注册表、代码表标准；</w:t>
      </w:r>
    </w:p>
    <w:p w14:paraId="3DFD1E24">
      <w:pPr>
        <w:pStyle w:val="56"/>
        <w:topLinePunct/>
        <w:autoSpaceDE/>
        <w:autoSpaceDN/>
        <w:ind w:firstLine="420"/>
        <w:rPr>
          <w:rFonts w:hint="eastAsia" w:hAnsi="宋体"/>
        </w:rPr>
      </w:pPr>
      <w:r>
        <w:rPr>
          <w:rFonts w:hint="eastAsia" w:hAnsi="宋体"/>
        </w:rPr>
        <w:t>——技术标准：接口规范、数据交换格式、API设计规范；</w:t>
      </w:r>
    </w:p>
    <w:p w14:paraId="327A133C">
      <w:pPr>
        <w:pStyle w:val="56"/>
        <w:topLinePunct/>
        <w:autoSpaceDE/>
        <w:autoSpaceDN/>
        <w:ind w:firstLine="420"/>
        <w:rPr>
          <w:rFonts w:hint="eastAsia" w:hAnsi="宋体"/>
        </w:rPr>
      </w:pPr>
      <w:r>
        <w:rPr>
          <w:rFonts w:hint="eastAsia" w:hAnsi="宋体"/>
        </w:rPr>
        <w:t>——管理标准：数据质量管理、服务等级协议、运维管理规范；</w:t>
      </w:r>
    </w:p>
    <w:p w14:paraId="1040BB91">
      <w:pPr>
        <w:pStyle w:val="56"/>
        <w:topLinePunct/>
        <w:autoSpaceDE/>
        <w:autoSpaceDN/>
        <w:ind w:firstLine="420"/>
        <w:rPr>
          <w:rFonts w:hint="eastAsia" w:hAnsi="宋体"/>
        </w:rPr>
      </w:pPr>
      <w:r>
        <w:rPr>
          <w:rFonts w:hint="eastAsia" w:hAnsi="宋体"/>
        </w:rPr>
        <w:t>——服务标准：服务目录、服务流程、服务评价指标。</w:t>
      </w:r>
    </w:p>
    <w:p w14:paraId="1E686A31">
      <w:pPr>
        <w:pStyle w:val="105"/>
        <w:spacing w:before="120" w:after="120"/>
        <w:rPr>
          <w:rFonts w:ascii="Times New Roman"/>
        </w:rPr>
      </w:pPr>
      <w:r>
        <w:rPr>
          <w:rFonts w:hint="eastAsia" w:ascii="Times New Roman"/>
        </w:rPr>
        <w:t>安全保障体系</w:t>
      </w:r>
    </w:p>
    <w:p w14:paraId="26BE9C57">
      <w:pPr>
        <w:pStyle w:val="56"/>
        <w:ind w:firstLine="420"/>
        <w:rPr>
          <w:rFonts w:ascii="Times New Roman"/>
        </w:rPr>
      </w:pPr>
      <w:r>
        <w:rPr>
          <w:rFonts w:hint="eastAsia" w:ascii="Times New Roman"/>
        </w:rPr>
        <w:t>构建覆盖信息全生命周期的可信安全保障体系，</w:t>
      </w:r>
      <w:r>
        <w:rPr>
          <w:rFonts w:ascii="Times New Roman"/>
        </w:rPr>
        <w:t>为整个集成体系提供全方位的安全保障</w:t>
      </w:r>
      <w:r>
        <w:rPr>
          <w:rFonts w:hint="eastAsia" w:ascii="Times New Roman"/>
        </w:rPr>
        <w:t>，提高各方对数字化集成的信任度</w:t>
      </w:r>
      <w:r>
        <w:rPr>
          <w:rFonts w:ascii="Times New Roman"/>
        </w:rPr>
        <w:t>。</w:t>
      </w:r>
    </w:p>
    <w:p w14:paraId="79807478">
      <w:pPr>
        <w:pStyle w:val="56"/>
        <w:ind w:firstLine="420"/>
        <w:rPr>
          <w:rFonts w:ascii="Times New Roman"/>
        </w:rPr>
      </w:pPr>
      <w:r>
        <w:rPr>
          <w:rFonts w:ascii="Times New Roman"/>
        </w:rPr>
        <w:t>具体包括但不限于</w:t>
      </w:r>
      <w:r>
        <w:rPr>
          <w:rFonts w:hint="eastAsia" w:ascii="Times New Roman"/>
        </w:rPr>
        <w:t>：</w:t>
      </w:r>
    </w:p>
    <w:p w14:paraId="500108A4">
      <w:pPr>
        <w:pStyle w:val="56"/>
        <w:ind w:firstLine="420"/>
        <w:rPr>
          <w:rFonts w:ascii="Times New Roman"/>
        </w:rPr>
      </w:pPr>
      <w:r>
        <w:rPr>
          <w:rFonts w:hint="eastAsia" w:ascii="Times New Roman"/>
        </w:rPr>
        <w:t>——网络安全：网络隔离、防火墙部署、入侵检测；</w:t>
      </w:r>
    </w:p>
    <w:p w14:paraId="52B56EE4">
      <w:pPr>
        <w:pStyle w:val="56"/>
        <w:ind w:firstLine="420"/>
        <w:rPr>
          <w:rFonts w:ascii="Times New Roman"/>
        </w:rPr>
      </w:pPr>
      <w:r>
        <w:rPr>
          <w:rFonts w:hint="eastAsia" w:ascii="Times New Roman"/>
        </w:rPr>
        <w:t>——数据安全：传输加密、存储加密、数据脱敏；</w:t>
      </w:r>
    </w:p>
    <w:p w14:paraId="156C0F93">
      <w:pPr>
        <w:pStyle w:val="56"/>
        <w:ind w:firstLine="420"/>
        <w:rPr>
          <w:rFonts w:ascii="Times New Roman"/>
        </w:rPr>
      </w:pPr>
      <w:r>
        <w:rPr>
          <w:rFonts w:hint="eastAsia" w:ascii="Times New Roman"/>
        </w:rPr>
        <w:t>——身份认证：多因素认证、数字证书、生物识别；</w:t>
      </w:r>
    </w:p>
    <w:p w14:paraId="6D9E3FB5">
      <w:pPr>
        <w:pStyle w:val="56"/>
        <w:ind w:firstLine="420"/>
        <w:rPr>
          <w:rFonts w:ascii="Times New Roman"/>
        </w:rPr>
      </w:pPr>
      <w:r>
        <w:rPr>
          <w:rFonts w:hint="eastAsia" w:ascii="Times New Roman"/>
        </w:rPr>
        <w:t>——权限控制：基于角色的访问控制、最小权限原则；</w:t>
      </w:r>
    </w:p>
    <w:p w14:paraId="6AFF03A1">
      <w:pPr>
        <w:pStyle w:val="56"/>
        <w:ind w:firstLine="420"/>
        <w:rPr>
          <w:rFonts w:ascii="Times New Roman"/>
        </w:rPr>
      </w:pPr>
      <w:r>
        <w:rPr>
          <w:rFonts w:hint="eastAsia" w:ascii="Times New Roman"/>
        </w:rPr>
        <w:t>——审计追溯：操作日志、审计跟踪、行为分析；</w:t>
      </w:r>
    </w:p>
    <w:p w14:paraId="543B2183">
      <w:pPr>
        <w:pStyle w:val="56"/>
        <w:ind w:firstLine="420"/>
        <w:rPr>
          <w:rFonts w:ascii="Times New Roman"/>
        </w:rPr>
      </w:pPr>
      <w:r>
        <w:rPr>
          <w:rFonts w:hint="eastAsia" w:ascii="Times New Roman"/>
        </w:rPr>
        <w:t>——可信存证：关键数据区块链存证、数字签名验证。</w:t>
      </w:r>
    </w:p>
    <w:p w14:paraId="7B817953">
      <w:pPr>
        <w:pStyle w:val="56"/>
        <w:ind w:firstLine="420"/>
        <w:rPr>
          <w:rFonts w:ascii="Times New Roman"/>
        </w:rPr>
      </w:pPr>
      <w:r>
        <w:rPr>
          <w:rFonts w:ascii="Times New Roman"/>
        </w:rPr>
        <w:t>确保在各个环节都能及时发现和应对潜在的安全威胁，从而有效保障系统的整体安全性和可靠性。</w:t>
      </w:r>
    </w:p>
    <w:p w14:paraId="306C2CB4">
      <w:pPr>
        <w:pStyle w:val="56"/>
        <w:ind w:firstLine="420"/>
        <w:sectPr>
          <w:pgSz w:w="11906" w:h="16838"/>
          <w:pgMar w:top="1928" w:right="1134" w:bottom="1134" w:left="1134" w:header="1418" w:footer="1134" w:gutter="284"/>
          <w:pgNumType w:start="1"/>
          <w:cols w:space="425" w:num="1"/>
          <w:formProt w:val="0"/>
          <w:docGrid w:linePitch="312" w:charSpace="0"/>
        </w:sectPr>
      </w:pPr>
    </w:p>
    <w:bookmarkEnd w:id="26"/>
    <w:p w14:paraId="40FBB574">
      <w:pPr>
        <w:pStyle w:val="198"/>
        <w:rPr>
          <w:rFonts w:hint="eastAsia"/>
          <w:vanish w:val="0"/>
        </w:rPr>
      </w:pPr>
      <w:bookmarkStart w:id="129" w:name="BookMark5"/>
    </w:p>
    <w:p w14:paraId="136D0899">
      <w:pPr>
        <w:pStyle w:val="199"/>
        <w:rPr>
          <w:vanish w:val="0"/>
        </w:rPr>
      </w:pPr>
    </w:p>
    <w:p w14:paraId="58EF86CF">
      <w:pPr>
        <w:pStyle w:val="76"/>
        <w:spacing w:after="120"/>
      </w:pPr>
      <w:r>
        <w:br w:type="textWrapping"/>
      </w:r>
      <w:bookmarkStart w:id="130" w:name="_Toc228815320"/>
      <w:bookmarkStart w:id="131" w:name="_Toc224162275"/>
      <w:bookmarkStart w:id="132" w:name="_Toc228815343"/>
      <w:bookmarkStart w:id="133" w:name="_Toc224314126"/>
      <w:r>
        <w:rPr>
          <w:rFonts w:hint="eastAsia"/>
        </w:rPr>
        <w:t>（资料性）</w:t>
      </w:r>
      <w:r>
        <w:br w:type="textWrapping"/>
      </w:r>
      <w:r>
        <w:rPr>
          <w:rFonts w:hint="eastAsia"/>
        </w:rPr>
        <w:t>集成能力等级评估要点</w:t>
      </w:r>
      <w:bookmarkEnd w:id="130"/>
      <w:bookmarkEnd w:id="131"/>
      <w:bookmarkEnd w:id="132"/>
      <w:bookmarkEnd w:id="133"/>
    </w:p>
    <w:p w14:paraId="781399FF">
      <w:pPr>
        <w:pStyle w:val="78"/>
        <w:spacing w:before="120" w:after="120"/>
      </w:pPr>
      <w:r>
        <w:rPr>
          <w:rFonts w:hint="eastAsia"/>
        </w:rPr>
        <w:t>集成能力等级评估要点</w:t>
      </w:r>
    </w:p>
    <w:p w14:paraId="2307D3EF">
      <w:pPr>
        <w:pStyle w:val="77"/>
        <w:spacing w:before="120" w:after="120"/>
      </w:pPr>
      <w:r>
        <w:rPr>
          <w:rFonts w:hint="eastAsia"/>
        </w:rPr>
        <w:t>集成能力等级评估要点表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24"/>
        <w:gridCol w:w="1701"/>
        <w:gridCol w:w="2410"/>
        <w:gridCol w:w="4099"/>
      </w:tblGrid>
      <w:tr w14:paraId="16B974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124" w:type="dxa"/>
            <w:tcBorders>
              <w:top w:val="single" w:color="auto" w:sz="8" w:space="0"/>
              <w:bottom w:val="single" w:color="auto" w:sz="8" w:space="0"/>
            </w:tcBorders>
            <w:vAlign w:val="center"/>
          </w:tcPr>
          <w:p w14:paraId="7E5A3AE2">
            <w:pPr>
              <w:pStyle w:val="178"/>
            </w:pPr>
            <w:r>
              <w:rPr>
                <w:rFonts w:hint="eastAsia"/>
              </w:rPr>
              <w:t>等级</w:t>
            </w:r>
          </w:p>
        </w:tc>
        <w:tc>
          <w:tcPr>
            <w:tcW w:w="1701" w:type="dxa"/>
            <w:tcBorders>
              <w:top w:val="single" w:color="auto" w:sz="8" w:space="0"/>
              <w:bottom w:val="single" w:color="auto" w:sz="8" w:space="0"/>
            </w:tcBorders>
            <w:vAlign w:val="center"/>
          </w:tcPr>
          <w:p w14:paraId="6691DFBE">
            <w:pPr>
              <w:pStyle w:val="178"/>
            </w:pPr>
            <w:r>
              <w:rPr>
                <w:rFonts w:hint="eastAsia"/>
              </w:rPr>
              <w:t>等级名称</w:t>
            </w:r>
          </w:p>
        </w:tc>
        <w:tc>
          <w:tcPr>
            <w:tcW w:w="2410" w:type="dxa"/>
            <w:tcBorders>
              <w:top w:val="single" w:color="auto" w:sz="8" w:space="0"/>
              <w:bottom w:val="single" w:color="auto" w:sz="8" w:space="0"/>
            </w:tcBorders>
            <w:vAlign w:val="center"/>
          </w:tcPr>
          <w:p w14:paraId="05416EBE">
            <w:pPr>
              <w:pStyle w:val="178"/>
            </w:pPr>
            <w:r>
              <w:rPr>
                <w:rFonts w:hint="eastAsia"/>
              </w:rPr>
              <w:t>关键特征</w:t>
            </w:r>
          </w:p>
        </w:tc>
        <w:tc>
          <w:tcPr>
            <w:tcW w:w="4099" w:type="dxa"/>
            <w:tcBorders>
              <w:top w:val="single" w:color="auto" w:sz="8" w:space="0"/>
              <w:bottom w:val="single" w:color="auto" w:sz="8" w:space="0"/>
            </w:tcBorders>
            <w:vAlign w:val="center"/>
          </w:tcPr>
          <w:p w14:paraId="3A422605">
            <w:pPr>
              <w:pStyle w:val="178"/>
            </w:pPr>
            <w:r>
              <w:rPr>
                <w:rFonts w:hint="eastAsia"/>
              </w:rPr>
              <w:t>评估要点</w:t>
            </w:r>
          </w:p>
        </w:tc>
      </w:tr>
      <w:tr w14:paraId="1D9FAE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tcBorders>
              <w:top w:val="single" w:color="auto" w:sz="8" w:space="0"/>
            </w:tcBorders>
            <w:vAlign w:val="center"/>
          </w:tcPr>
          <w:p w14:paraId="63A7943C">
            <w:pPr>
              <w:pStyle w:val="178"/>
            </w:pPr>
            <w:r>
              <w:t>L1</w:t>
            </w:r>
          </w:p>
        </w:tc>
        <w:tc>
          <w:tcPr>
            <w:tcW w:w="1701" w:type="dxa"/>
            <w:tcBorders>
              <w:top w:val="single" w:color="auto" w:sz="8" w:space="0"/>
            </w:tcBorders>
            <w:vAlign w:val="center"/>
          </w:tcPr>
          <w:p w14:paraId="2EEEA1A2">
            <w:pPr>
              <w:pStyle w:val="178"/>
            </w:pPr>
            <w:r>
              <w:rPr>
                <w:rFonts w:hint="eastAsia"/>
              </w:rPr>
              <w:t>互联级</w:t>
            </w:r>
          </w:p>
        </w:tc>
        <w:tc>
          <w:tcPr>
            <w:tcW w:w="2410" w:type="dxa"/>
            <w:tcBorders>
              <w:top w:val="single" w:color="auto" w:sz="8" w:space="0"/>
            </w:tcBorders>
            <w:vAlign w:val="center"/>
          </w:tcPr>
          <w:p w14:paraId="13BB838B">
            <w:pPr>
              <w:pStyle w:val="178"/>
            </w:pPr>
            <w:r>
              <w:rPr>
                <w:rFonts w:hint="eastAsia"/>
              </w:rPr>
              <w:t>数据双向传输</w:t>
            </w:r>
          </w:p>
        </w:tc>
        <w:tc>
          <w:tcPr>
            <w:tcW w:w="4099" w:type="dxa"/>
            <w:tcBorders>
              <w:top w:val="single" w:color="auto" w:sz="8" w:space="0"/>
            </w:tcBorders>
            <w:vAlign w:val="center"/>
          </w:tcPr>
          <w:p w14:paraId="1BB22E1C">
            <w:pPr>
              <w:pStyle w:val="178"/>
            </w:pPr>
            <w:r>
              <w:rPr>
                <w:rFonts w:hint="eastAsia"/>
              </w:rPr>
              <w:t>系统间有网络连接；支持数据发送和接收；数据格式各异，需人工或定制开发解析，</w:t>
            </w:r>
            <w:r>
              <w:t>检查网络通断与数据包是否可达</w:t>
            </w:r>
            <w:r>
              <w:rPr>
                <w:rFonts w:hint="eastAsia"/>
              </w:rPr>
              <w:t>。</w:t>
            </w:r>
          </w:p>
        </w:tc>
      </w:tr>
      <w:tr w14:paraId="3B1EFD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11E3414B">
            <w:pPr>
              <w:pStyle w:val="178"/>
            </w:pPr>
            <w:r>
              <w:t>L</w:t>
            </w:r>
            <w:r>
              <w:rPr>
                <w:rFonts w:hint="eastAsia"/>
              </w:rPr>
              <w:t>2</w:t>
            </w:r>
          </w:p>
        </w:tc>
        <w:tc>
          <w:tcPr>
            <w:tcW w:w="1701" w:type="dxa"/>
            <w:vAlign w:val="center"/>
          </w:tcPr>
          <w:p w14:paraId="564CA76C">
            <w:pPr>
              <w:pStyle w:val="178"/>
            </w:pPr>
            <w:r>
              <w:rPr>
                <w:rFonts w:hint="eastAsia"/>
              </w:rPr>
              <w:t>可读级</w:t>
            </w:r>
          </w:p>
        </w:tc>
        <w:tc>
          <w:tcPr>
            <w:tcW w:w="2410" w:type="dxa"/>
            <w:vAlign w:val="center"/>
          </w:tcPr>
          <w:p w14:paraId="55BFB785">
            <w:pPr>
              <w:pStyle w:val="178"/>
            </w:pPr>
            <w:r>
              <w:rPr>
                <w:rFonts w:hint="eastAsia"/>
              </w:rPr>
              <w:t>元数据映射</w:t>
            </w:r>
          </w:p>
        </w:tc>
        <w:tc>
          <w:tcPr>
            <w:tcW w:w="4099" w:type="dxa"/>
            <w:vAlign w:val="center"/>
          </w:tcPr>
          <w:p w14:paraId="36F048A0">
            <w:pPr>
              <w:pStyle w:val="178"/>
            </w:pPr>
            <w:r>
              <w:rPr>
                <w:rFonts w:hint="eastAsia"/>
              </w:rPr>
              <w:t>建立共享的元数据标准，数据携带语义标签，机器可读，接收方可自动解析数据的含义，。</w:t>
            </w:r>
          </w:p>
        </w:tc>
      </w:tr>
      <w:tr w14:paraId="1C8CE2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2EFA014D">
            <w:pPr>
              <w:pStyle w:val="178"/>
            </w:pPr>
            <w:r>
              <w:t>L</w:t>
            </w:r>
            <w:r>
              <w:rPr>
                <w:rFonts w:hint="eastAsia"/>
              </w:rPr>
              <w:t>3</w:t>
            </w:r>
          </w:p>
        </w:tc>
        <w:tc>
          <w:tcPr>
            <w:tcW w:w="1701" w:type="dxa"/>
            <w:vAlign w:val="center"/>
          </w:tcPr>
          <w:p w14:paraId="4810AA2F">
            <w:pPr>
              <w:pStyle w:val="178"/>
            </w:pPr>
            <w:r>
              <w:rPr>
                <w:rFonts w:hint="eastAsia"/>
              </w:rPr>
              <w:t>融合级</w:t>
            </w:r>
          </w:p>
        </w:tc>
        <w:tc>
          <w:tcPr>
            <w:tcW w:w="2410" w:type="dxa"/>
            <w:vAlign w:val="center"/>
          </w:tcPr>
          <w:p w14:paraId="425DA44A">
            <w:pPr>
              <w:pStyle w:val="178"/>
            </w:pPr>
            <w:r>
              <w:rPr>
                <w:rFonts w:hint="eastAsia"/>
              </w:rPr>
              <w:t>知识关联</w:t>
            </w:r>
          </w:p>
        </w:tc>
        <w:tc>
          <w:tcPr>
            <w:tcW w:w="4099" w:type="dxa"/>
            <w:vAlign w:val="center"/>
          </w:tcPr>
          <w:p w14:paraId="1D749535">
            <w:pPr>
              <w:pStyle w:val="178"/>
            </w:pPr>
            <w:r>
              <w:rPr>
                <w:rFonts w:hint="eastAsia"/>
              </w:rPr>
              <w:t>构建跨领域知识图谱，数据实现语义级关联，支持跨系统的综合查询和解析。</w:t>
            </w:r>
          </w:p>
        </w:tc>
      </w:tr>
      <w:tr w14:paraId="5DFC70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63D75712">
            <w:pPr>
              <w:pStyle w:val="178"/>
            </w:pPr>
            <w:r>
              <w:t>L</w:t>
            </w:r>
            <w:r>
              <w:rPr>
                <w:rFonts w:hint="eastAsia"/>
              </w:rPr>
              <w:t>4</w:t>
            </w:r>
          </w:p>
        </w:tc>
        <w:tc>
          <w:tcPr>
            <w:tcW w:w="1701" w:type="dxa"/>
            <w:vAlign w:val="center"/>
          </w:tcPr>
          <w:p w14:paraId="573447D2">
            <w:pPr>
              <w:pStyle w:val="178"/>
            </w:pPr>
            <w:r>
              <w:rPr>
                <w:rFonts w:hint="eastAsia"/>
              </w:rPr>
              <w:t>协同级</w:t>
            </w:r>
          </w:p>
        </w:tc>
        <w:tc>
          <w:tcPr>
            <w:tcW w:w="2410" w:type="dxa"/>
            <w:vAlign w:val="center"/>
          </w:tcPr>
          <w:p w14:paraId="0BB42DEA">
            <w:pPr>
              <w:pStyle w:val="178"/>
            </w:pPr>
            <w:r>
              <w:rPr>
                <w:rFonts w:hint="eastAsia"/>
              </w:rPr>
              <w:t>智能联动</w:t>
            </w:r>
          </w:p>
        </w:tc>
        <w:tc>
          <w:tcPr>
            <w:tcW w:w="4099" w:type="dxa"/>
            <w:vAlign w:val="center"/>
          </w:tcPr>
          <w:p w14:paraId="1A522FB2">
            <w:pPr>
              <w:pStyle w:val="178"/>
            </w:pPr>
            <w:r>
              <w:rPr>
                <w:rFonts w:hint="eastAsia"/>
              </w:rPr>
              <w:t>支持跨系统业务流程自动化，事件可触发跨领域操作，系统间具备闭环反馈机制。</w:t>
            </w:r>
          </w:p>
        </w:tc>
      </w:tr>
      <w:tr w14:paraId="6BEB0E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386CC2AA">
            <w:pPr>
              <w:pStyle w:val="178"/>
            </w:pPr>
            <w:r>
              <w:t>L</w:t>
            </w:r>
            <w:r>
              <w:rPr>
                <w:rFonts w:hint="eastAsia"/>
              </w:rPr>
              <w:t>5</w:t>
            </w:r>
          </w:p>
        </w:tc>
        <w:tc>
          <w:tcPr>
            <w:tcW w:w="1701" w:type="dxa"/>
            <w:vAlign w:val="center"/>
          </w:tcPr>
          <w:p w14:paraId="3F74D04B">
            <w:pPr>
              <w:pStyle w:val="178"/>
            </w:pPr>
            <w:r>
              <w:rPr>
                <w:rFonts w:hint="eastAsia"/>
              </w:rPr>
              <w:t>生态级</w:t>
            </w:r>
          </w:p>
        </w:tc>
        <w:tc>
          <w:tcPr>
            <w:tcW w:w="2410" w:type="dxa"/>
            <w:vAlign w:val="center"/>
          </w:tcPr>
          <w:p w14:paraId="7F67B398">
            <w:pPr>
              <w:pStyle w:val="178"/>
            </w:pPr>
            <w:r>
              <w:rPr>
                <w:rFonts w:hint="eastAsia"/>
              </w:rPr>
              <w:t>开放协作</w:t>
            </w:r>
          </w:p>
        </w:tc>
        <w:tc>
          <w:tcPr>
            <w:tcW w:w="4099" w:type="dxa"/>
            <w:vAlign w:val="center"/>
          </w:tcPr>
          <w:p w14:paraId="4861D311">
            <w:pPr>
              <w:pStyle w:val="178"/>
              <w:topLinePunct/>
              <w:autoSpaceDE/>
              <w:autoSpaceDN/>
            </w:pPr>
            <w:r>
              <w:rPr>
                <w:rFonts w:hint="eastAsia"/>
              </w:rPr>
              <w:t>支持多主体自主接入，系统具备自学习和自适应能力，形成开放协同的QI数字生态。</w:t>
            </w:r>
          </w:p>
        </w:tc>
      </w:tr>
    </w:tbl>
    <w:p w14:paraId="33A9E0C3">
      <w:pPr>
        <w:pStyle w:val="56"/>
        <w:ind w:firstLine="420"/>
      </w:pPr>
    </w:p>
    <w:bookmarkEnd w:id="129"/>
    <w:p w14:paraId="1AA0BD47">
      <w:pPr>
        <w:pStyle w:val="56"/>
        <w:ind w:firstLine="199" w:firstLineChars="95"/>
        <w:sectPr>
          <w:pgSz w:w="11906" w:h="16838"/>
          <w:pgMar w:top="1928" w:right="1134" w:bottom="1134" w:left="1134" w:header="1418" w:footer="1134" w:gutter="284"/>
          <w:cols w:space="425" w:num="1"/>
          <w:formProt w:val="0"/>
          <w:docGrid w:linePitch="312" w:charSpace="0"/>
        </w:sectPr>
      </w:pPr>
      <w:bookmarkStart w:id="134" w:name="BookMark6"/>
    </w:p>
    <w:p w14:paraId="238A11A7">
      <w:pPr>
        <w:pStyle w:val="63"/>
        <w:spacing w:after="120"/>
      </w:pPr>
      <w:bookmarkStart w:id="135" w:name="_Toc228815321"/>
      <w:bookmarkStart w:id="136" w:name="_Toc224314127"/>
      <w:bookmarkStart w:id="137" w:name="_Toc224162276"/>
      <w:bookmarkStart w:id="138" w:name="_Toc228815344"/>
      <w:r>
        <w:rPr>
          <w:rFonts w:hint="eastAsia"/>
          <w:spacing w:val="105"/>
        </w:rPr>
        <w:t>参考文</w:t>
      </w:r>
      <w:r>
        <w:rPr>
          <w:rFonts w:hint="eastAsia"/>
        </w:rPr>
        <w:t>献</w:t>
      </w:r>
      <w:bookmarkEnd w:id="135"/>
      <w:bookmarkEnd w:id="136"/>
      <w:bookmarkEnd w:id="137"/>
      <w:bookmarkEnd w:id="138"/>
    </w:p>
    <w:p w14:paraId="02D40ABD">
      <w:pPr>
        <w:pStyle w:val="56"/>
        <w:ind w:firstLine="420"/>
      </w:pPr>
      <w:r>
        <w:rPr>
          <w:rFonts w:hint="eastAsia"/>
        </w:rPr>
        <w:t>[1] GB/T 7408 日期和时间 信息交换表示法</w:t>
      </w:r>
    </w:p>
    <w:p w14:paraId="1BACAAB0">
      <w:pPr>
        <w:pStyle w:val="56"/>
        <w:ind w:firstLine="420"/>
      </w:pPr>
      <w:r>
        <w:rPr>
          <w:rFonts w:hint="eastAsia"/>
        </w:rPr>
        <w:t xml:space="preserve">[2] </w:t>
      </w:r>
      <w:r>
        <w:t>ISO/IEC Guide 99:2007 International vocabulary of metrology — Basic and general concepts and associated terms (VIM)</w:t>
      </w:r>
    </w:p>
    <w:p w14:paraId="4A1CD3FE">
      <w:pPr>
        <w:pStyle w:val="56"/>
        <w:ind w:firstLine="420"/>
      </w:pPr>
      <w:r>
        <w:rPr>
          <w:rFonts w:hint="eastAsia"/>
        </w:rPr>
        <w:t>[3] GB/T 20000.1-2014 标准化工作指南 第1部分：标准化和相关活动的通用术语</w:t>
      </w:r>
    </w:p>
    <w:p w14:paraId="4EFD8EA4">
      <w:pPr>
        <w:pStyle w:val="56"/>
        <w:ind w:firstLine="420"/>
      </w:pPr>
      <w:r>
        <w:rPr>
          <w:rFonts w:hint="eastAsia"/>
        </w:rPr>
        <w:t>[4] GB/T 27000-2023 合格评定 词汇和通用原则</w:t>
      </w:r>
    </w:p>
    <w:p w14:paraId="2CDCD120">
      <w:pPr>
        <w:pStyle w:val="56"/>
        <w:ind w:firstLine="420"/>
      </w:pPr>
      <w:r>
        <w:rPr>
          <w:rFonts w:hint="eastAsia"/>
        </w:rPr>
        <w:t xml:space="preserve">[5] </w:t>
      </w:r>
      <w:r>
        <w:t>GB/T 47120-2026</w:t>
      </w:r>
      <w:r>
        <w:rPr>
          <w:rFonts w:hint="eastAsia"/>
        </w:rPr>
        <w:t xml:space="preserve"> 压力容器数字化交付规范</w:t>
      </w:r>
    </w:p>
    <w:bookmarkEnd w:id="134"/>
    <w:p w14:paraId="7055FB79">
      <w:pPr>
        <w:pStyle w:val="56"/>
        <w:ind w:firstLine="0" w:firstLineChars="0"/>
        <w:jc w:val="center"/>
      </w:pPr>
      <w:bookmarkStart w:id="139" w:name="BookMark8"/>
      <w:r>
        <w:rPr>
          <w:rFonts w:hint="eastAsia"/>
        </w:rPr>
        <w:drawing>
          <wp:inline distT="0" distB="0" distL="0" distR="0">
            <wp:extent cx="1485900" cy="317500"/>
            <wp:effectExtent l="0" t="0" r="0" b="6350"/>
            <wp:docPr id="411459167" name="图片 3"/>
            <wp:cNvGraphicFramePr/>
            <a:graphic xmlns:a="http://schemas.openxmlformats.org/drawingml/2006/main">
              <a:graphicData uri="http://schemas.openxmlformats.org/drawingml/2006/picture">
                <pic:pic xmlns:pic="http://schemas.openxmlformats.org/drawingml/2006/picture">
                  <pic:nvPicPr>
                    <pic:cNvPr id="411459167" name="图片 3"/>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39"/>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E5002">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6C3E0">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E78D2">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263DC">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A0A57">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CD72F">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D105F">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BCB57">
    <w:pPr>
      <w:pStyle w:val="61"/>
      <w:rPr>
        <w:rFonts w:hint="eastAsia"/>
      </w:rPr>
    </w:pPr>
    <w:r>
      <w:fldChar w:fldCharType="begin"/>
    </w:r>
    <w:r>
      <w:instrText xml:space="preserve"> STYLEREF  标准文件_文件编号  \* MERGEFORMAT </w:instrText>
    </w:r>
    <w:r>
      <w:fldChar w:fldCharType="separate"/>
    </w:r>
    <w:r>
      <w:t>T/CMA CC XXXX—2026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E35C0">
    <w:pPr>
      <w:pStyle w:val="18"/>
      <w:jc w:val="right"/>
    </w:pPr>
    <w:r>
      <w:fldChar w:fldCharType="begin"/>
    </w:r>
    <w:r>
      <w:instrText xml:space="preserve"> STYLEREF  标准文件_文件编号  \* MERGEFORMAT </w:instrText>
    </w:r>
    <w:r>
      <w:fldChar w:fldCharType="separate"/>
    </w:r>
    <w:r>
      <w:t>T/CMA CC XXXX—2026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dit="forms" w:enforcement="1" w:cryptProviderType="rsaAES" w:cryptAlgorithmClass="hash" w:cryptAlgorithmType="typeAny" w:cryptAlgorithmSid="14" w:cryptSpinCount="100000" w:hash="7a+lQ85rx6+6wNC2lqV5Vgs0G3bs+PnUkp51de1rocqxvfYSY1aCLqkKq37emA6D+Cr3rgW/yLaoLguJVu8SbA==" w:salt="JFQ2ovCZJuXMMAQ/2Cj4fw=="/>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D91"/>
    <w:rsid w:val="0000040A"/>
    <w:rsid w:val="00000A94"/>
    <w:rsid w:val="00001972"/>
    <w:rsid w:val="00001D9A"/>
    <w:rsid w:val="00007B3A"/>
    <w:rsid w:val="000107E0"/>
    <w:rsid w:val="00011FDE"/>
    <w:rsid w:val="00012FFD"/>
    <w:rsid w:val="00014162"/>
    <w:rsid w:val="00014340"/>
    <w:rsid w:val="00016A9C"/>
    <w:rsid w:val="00020839"/>
    <w:rsid w:val="00022184"/>
    <w:rsid w:val="00022762"/>
    <w:rsid w:val="000238E0"/>
    <w:rsid w:val="000249DB"/>
    <w:rsid w:val="0002595E"/>
    <w:rsid w:val="000303C3"/>
    <w:rsid w:val="000331D3"/>
    <w:rsid w:val="000346A5"/>
    <w:rsid w:val="000359C3"/>
    <w:rsid w:val="00035A7D"/>
    <w:rsid w:val="000365ED"/>
    <w:rsid w:val="00036BCF"/>
    <w:rsid w:val="00041598"/>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2F3"/>
    <w:rsid w:val="00073C8C"/>
    <w:rsid w:val="00074AA9"/>
    <w:rsid w:val="000768CE"/>
    <w:rsid w:val="00077B64"/>
    <w:rsid w:val="00080A1C"/>
    <w:rsid w:val="0008171C"/>
    <w:rsid w:val="00082317"/>
    <w:rsid w:val="00083D2C"/>
    <w:rsid w:val="00086AA1"/>
    <w:rsid w:val="00087A77"/>
    <w:rsid w:val="00090CA6"/>
    <w:rsid w:val="00092B8A"/>
    <w:rsid w:val="00092FB0"/>
    <w:rsid w:val="000934C5"/>
    <w:rsid w:val="00093D25"/>
    <w:rsid w:val="00093DAB"/>
    <w:rsid w:val="00094D73"/>
    <w:rsid w:val="00096D63"/>
    <w:rsid w:val="00097896"/>
    <w:rsid w:val="000A0B60"/>
    <w:rsid w:val="000A0EB8"/>
    <w:rsid w:val="000A19FC"/>
    <w:rsid w:val="000A296B"/>
    <w:rsid w:val="000A7311"/>
    <w:rsid w:val="000B060F"/>
    <w:rsid w:val="000B1592"/>
    <w:rsid w:val="000B1FF2"/>
    <w:rsid w:val="000B3CDA"/>
    <w:rsid w:val="000B65B2"/>
    <w:rsid w:val="000B6A0B"/>
    <w:rsid w:val="000C0C5A"/>
    <w:rsid w:val="000C0F6C"/>
    <w:rsid w:val="000C11DB"/>
    <w:rsid w:val="000C1492"/>
    <w:rsid w:val="000C2FBD"/>
    <w:rsid w:val="000C4B41"/>
    <w:rsid w:val="000C57D6"/>
    <w:rsid w:val="000C6362"/>
    <w:rsid w:val="000C7666"/>
    <w:rsid w:val="000D0A9C"/>
    <w:rsid w:val="000D0F23"/>
    <w:rsid w:val="000D1795"/>
    <w:rsid w:val="000D3184"/>
    <w:rsid w:val="000D329A"/>
    <w:rsid w:val="000D4B9C"/>
    <w:rsid w:val="000D4EB6"/>
    <w:rsid w:val="000D753B"/>
    <w:rsid w:val="000D7551"/>
    <w:rsid w:val="000E1F0A"/>
    <w:rsid w:val="000E4C9E"/>
    <w:rsid w:val="000E6FD7"/>
    <w:rsid w:val="000E7144"/>
    <w:rsid w:val="000F06E1"/>
    <w:rsid w:val="000F0E3C"/>
    <w:rsid w:val="000F19D5"/>
    <w:rsid w:val="000F4050"/>
    <w:rsid w:val="000F4AEA"/>
    <w:rsid w:val="000F67E9"/>
    <w:rsid w:val="00104926"/>
    <w:rsid w:val="00113B1E"/>
    <w:rsid w:val="0011711C"/>
    <w:rsid w:val="001203BE"/>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08C"/>
    <w:rsid w:val="001852C9"/>
    <w:rsid w:val="00187A0B"/>
    <w:rsid w:val="00190087"/>
    <w:rsid w:val="001913C4"/>
    <w:rsid w:val="0019162C"/>
    <w:rsid w:val="001921C9"/>
    <w:rsid w:val="0019348F"/>
    <w:rsid w:val="00193A07"/>
    <w:rsid w:val="00194C95"/>
    <w:rsid w:val="00195C34"/>
    <w:rsid w:val="00196EF5"/>
    <w:rsid w:val="001A0A9C"/>
    <w:rsid w:val="001A1A53"/>
    <w:rsid w:val="001A234A"/>
    <w:rsid w:val="001A4CF3"/>
    <w:rsid w:val="001A6696"/>
    <w:rsid w:val="001B06E8"/>
    <w:rsid w:val="001B3D3A"/>
    <w:rsid w:val="001B6CD4"/>
    <w:rsid w:val="001B714A"/>
    <w:rsid w:val="001B71D0"/>
    <w:rsid w:val="001B71EE"/>
    <w:rsid w:val="001C04A8"/>
    <w:rsid w:val="001C2C03"/>
    <w:rsid w:val="001C42F7"/>
    <w:rsid w:val="001C49E5"/>
    <w:rsid w:val="001C680C"/>
    <w:rsid w:val="001C6B02"/>
    <w:rsid w:val="001C7FEA"/>
    <w:rsid w:val="001D0499"/>
    <w:rsid w:val="001D0BBE"/>
    <w:rsid w:val="001D0ED4"/>
    <w:rsid w:val="001D2090"/>
    <w:rsid w:val="001D212F"/>
    <w:rsid w:val="001D29D7"/>
    <w:rsid w:val="001D2DE7"/>
    <w:rsid w:val="001D411C"/>
    <w:rsid w:val="001D6A8A"/>
    <w:rsid w:val="001E06FE"/>
    <w:rsid w:val="001E1B6A"/>
    <w:rsid w:val="001E2484"/>
    <w:rsid w:val="001E3CC4"/>
    <w:rsid w:val="001E4882"/>
    <w:rsid w:val="001E694C"/>
    <w:rsid w:val="001E73AB"/>
    <w:rsid w:val="001F092D"/>
    <w:rsid w:val="001F143A"/>
    <w:rsid w:val="001F1605"/>
    <w:rsid w:val="001F2508"/>
    <w:rsid w:val="001F3FE9"/>
    <w:rsid w:val="001F4816"/>
    <w:rsid w:val="001F5757"/>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699A"/>
    <w:rsid w:val="00247F52"/>
    <w:rsid w:val="00250B25"/>
    <w:rsid w:val="00250BBE"/>
    <w:rsid w:val="002515C2"/>
    <w:rsid w:val="0025194F"/>
    <w:rsid w:val="00253433"/>
    <w:rsid w:val="00256A31"/>
    <w:rsid w:val="0026148A"/>
    <w:rsid w:val="00262696"/>
    <w:rsid w:val="00263D25"/>
    <w:rsid w:val="002643C3"/>
    <w:rsid w:val="00264A0C"/>
    <w:rsid w:val="00266EEB"/>
    <w:rsid w:val="00267EF4"/>
    <w:rsid w:val="00270CB8"/>
    <w:rsid w:val="00272B08"/>
    <w:rsid w:val="0027676D"/>
    <w:rsid w:val="00281BB8"/>
    <w:rsid w:val="00281E9E"/>
    <w:rsid w:val="00282405"/>
    <w:rsid w:val="00283748"/>
    <w:rsid w:val="00284566"/>
    <w:rsid w:val="00285170"/>
    <w:rsid w:val="00285361"/>
    <w:rsid w:val="00292D60"/>
    <w:rsid w:val="00293B30"/>
    <w:rsid w:val="00294D34"/>
    <w:rsid w:val="00294E3B"/>
    <w:rsid w:val="00296193"/>
    <w:rsid w:val="00296883"/>
    <w:rsid w:val="00296C66"/>
    <w:rsid w:val="00296EBE"/>
    <w:rsid w:val="002974E3"/>
    <w:rsid w:val="002A084B"/>
    <w:rsid w:val="002A0FAB"/>
    <w:rsid w:val="002A1260"/>
    <w:rsid w:val="002A1589"/>
    <w:rsid w:val="002A1608"/>
    <w:rsid w:val="002A25DC"/>
    <w:rsid w:val="002A3718"/>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0A1"/>
    <w:rsid w:val="00300E63"/>
    <w:rsid w:val="00302F5F"/>
    <w:rsid w:val="0030441D"/>
    <w:rsid w:val="00306063"/>
    <w:rsid w:val="003061D9"/>
    <w:rsid w:val="00313B85"/>
    <w:rsid w:val="00317988"/>
    <w:rsid w:val="003221B4"/>
    <w:rsid w:val="0032258D"/>
    <w:rsid w:val="00322E62"/>
    <w:rsid w:val="00324D13"/>
    <w:rsid w:val="00324EDD"/>
    <w:rsid w:val="00331CDE"/>
    <w:rsid w:val="003331E4"/>
    <w:rsid w:val="00334B15"/>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E41"/>
    <w:rsid w:val="00365F86"/>
    <w:rsid w:val="00365F87"/>
    <w:rsid w:val="00366E89"/>
    <w:rsid w:val="003705F4"/>
    <w:rsid w:val="00370D58"/>
    <w:rsid w:val="00371316"/>
    <w:rsid w:val="00376713"/>
    <w:rsid w:val="00381815"/>
    <w:rsid w:val="003819AF"/>
    <w:rsid w:val="00381CA9"/>
    <w:rsid w:val="003820E9"/>
    <w:rsid w:val="00382DE7"/>
    <w:rsid w:val="00384FFC"/>
    <w:rsid w:val="003872FC"/>
    <w:rsid w:val="00387ADC"/>
    <w:rsid w:val="00390020"/>
    <w:rsid w:val="003903D6"/>
    <w:rsid w:val="00390EE6"/>
    <w:rsid w:val="0039118F"/>
    <w:rsid w:val="0039294A"/>
    <w:rsid w:val="00392AD7"/>
    <w:rsid w:val="003938D9"/>
    <w:rsid w:val="00394376"/>
    <w:rsid w:val="003943FF"/>
    <w:rsid w:val="00396E8F"/>
    <w:rsid w:val="003974EB"/>
    <w:rsid w:val="003979A8"/>
    <w:rsid w:val="00397CC5"/>
    <w:rsid w:val="003A11D1"/>
    <w:rsid w:val="003A1582"/>
    <w:rsid w:val="003A3D9C"/>
    <w:rsid w:val="003A4077"/>
    <w:rsid w:val="003A4AA7"/>
    <w:rsid w:val="003B09AD"/>
    <w:rsid w:val="003B169A"/>
    <w:rsid w:val="003B1F18"/>
    <w:rsid w:val="003B5BF0"/>
    <w:rsid w:val="003B60BF"/>
    <w:rsid w:val="003B6BE3"/>
    <w:rsid w:val="003C010C"/>
    <w:rsid w:val="003C0A6C"/>
    <w:rsid w:val="003C14F8"/>
    <w:rsid w:val="003C5A43"/>
    <w:rsid w:val="003D0519"/>
    <w:rsid w:val="003D0FF6"/>
    <w:rsid w:val="003D262C"/>
    <w:rsid w:val="003D6D61"/>
    <w:rsid w:val="003D6D69"/>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4C1E"/>
    <w:rsid w:val="00474CAC"/>
    <w:rsid w:val="0047583F"/>
    <w:rsid w:val="00475DE8"/>
    <w:rsid w:val="00481C44"/>
    <w:rsid w:val="00484936"/>
    <w:rsid w:val="00485C89"/>
    <w:rsid w:val="00486BE3"/>
    <w:rsid w:val="004905E4"/>
    <w:rsid w:val="00490A89"/>
    <w:rsid w:val="00490AB4"/>
    <w:rsid w:val="00492F02"/>
    <w:rsid w:val="004939AE"/>
    <w:rsid w:val="00493B3C"/>
    <w:rsid w:val="004A12DF"/>
    <w:rsid w:val="004A1BA8"/>
    <w:rsid w:val="004A4B57"/>
    <w:rsid w:val="004A63FA"/>
    <w:rsid w:val="004A6A3D"/>
    <w:rsid w:val="004B0272"/>
    <w:rsid w:val="004B045B"/>
    <w:rsid w:val="004B0B83"/>
    <w:rsid w:val="004B2701"/>
    <w:rsid w:val="004B2E1B"/>
    <w:rsid w:val="004B3AA8"/>
    <w:rsid w:val="004B3E93"/>
    <w:rsid w:val="004C0DE1"/>
    <w:rsid w:val="004C1FBC"/>
    <w:rsid w:val="004C25A2"/>
    <w:rsid w:val="004C3F1D"/>
    <w:rsid w:val="004C458D"/>
    <w:rsid w:val="004C7556"/>
    <w:rsid w:val="004C7E8B"/>
    <w:rsid w:val="004C7E9D"/>
    <w:rsid w:val="004C7F67"/>
    <w:rsid w:val="004D076D"/>
    <w:rsid w:val="004D0EF1"/>
    <w:rsid w:val="004D138F"/>
    <w:rsid w:val="004D2253"/>
    <w:rsid w:val="004D4406"/>
    <w:rsid w:val="004D78F5"/>
    <w:rsid w:val="004D7C42"/>
    <w:rsid w:val="004E0465"/>
    <w:rsid w:val="004E127B"/>
    <w:rsid w:val="004E1C0A"/>
    <w:rsid w:val="004E30C5"/>
    <w:rsid w:val="004E4AA5"/>
    <w:rsid w:val="004E4AEE"/>
    <w:rsid w:val="004E59E3"/>
    <w:rsid w:val="004E67C0"/>
    <w:rsid w:val="004F391A"/>
    <w:rsid w:val="004F3CFB"/>
    <w:rsid w:val="004F5CEA"/>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926"/>
    <w:rsid w:val="00534BDF"/>
    <w:rsid w:val="005354EA"/>
    <w:rsid w:val="0053585F"/>
    <w:rsid w:val="00535EC4"/>
    <w:rsid w:val="00535ED9"/>
    <w:rsid w:val="0053692B"/>
    <w:rsid w:val="0054086D"/>
    <w:rsid w:val="00541853"/>
    <w:rsid w:val="00543625"/>
    <w:rsid w:val="00543BDA"/>
    <w:rsid w:val="005441CC"/>
    <w:rsid w:val="005476E0"/>
    <w:rsid w:val="005479DA"/>
    <w:rsid w:val="00547BCC"/>
    <w:rsid w:val="0055013B"/>
    <w:rsid w:val="00551F6F"/>
    <w:rsid w:val="00555044"/>
    <w:rsid w:val="005575A8"/>
    <w:rsid w:val="00561475"/>
    <w:rsid w:val="00562308"/>
    <w:rsid w:val="0056487B"/>
    <w:rsid w:val="00564FB9"/>
    <w:rsid w:val="00565750"/>
    <w:rsid w:val="00573D9E"/>
    <w:rsid w:val="00574A3A"/>
    <w:rsid w:val="00580003"/>
    <w:rsid w:val="005801E3"/>
    <w:rsid w:val="00581802"/>
    <w:rsid w:val="00581A01"/>
    <w:rsid w:val="005836A8"/>
    <w:rsid w:val="0058409C"/>
    <w:rsid w:val="00584262"/>
    <w:rsid w:val="00586630"/>
    <w:rsid w:val="00587ADD"/>
    <w:rsid w:val="00587ADF"/>
    <w:rsid w:val="00587FD3"/>
    <w:rsid w:val="00592D24"/>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5DC2"/>
    <w:rsid w:val="005B6CF6"/>
    <w:rsid w:val="005B7422"/>
    <w:rsid w:val="005C29B8"/>
    <w:rsid w:val="005C33B4"/>
    <w:rsid w:val="005C5F21"/>
    <w:rsid w:val="005C7156"/>
    <w:rsid w:val="005D0C75"/>
    <w:rsid w:val="005D4171"/>
    <w:rsid w:val="005D6A95"/>
    <w:rsid w:val="005D6B2C"/>
    <w:rsid w:val="005D6D9C"/>
    <w:rsid w:val="005E2335"/>
    <w:rsid w:val="005E34CA"/>
    <w:rsid w:val="005E3C18"/>
    <w:rsid w:val="005E4250"/>
    <w:rsid w:val="005E6812"/>
    <w:rsid w:val="005E6CE3"/>
    <w:rsid w:val="005E7881"/>
    <w:rsid w:val="005E78E0"/>
    <w:rsid w:val="005F0D9C"/>
    <w:rsid w:val="005F284E"/>
    <w:rsid w:val="005F3E32"/>
    <w:rsid w:val="005F4107"/>
    <w:rsid w:val="006015CE"/>
    <w:rsid w:val="00604784"/>
    <w:rsid w:val="00606419"/>
    <w:rsid w:val="0060655D"/>
    <w:rsid w:val="00607D29"/>
    <w:rsid w:val="00612952"/>
    <w:rsid w:val="00614CC1"/>
    <w:rsid w:val="00615A9D"/>
    <w:rsid w:val="00616052"/>
    <w:rsid w:val="00617387"/>
    <w:rsid w:val="006205D6"/>
    <w:rsid w:val="00621C90"/>
    <w:rsid w:val="006252D8"/>
    <w:rsid w:val="006259BC"/>
    <w:rsid w:val="0062636B"/>
    <w:rsid w:val="00632182"/>
    <w:rsid w:val="00632AE0"/>
    <w:rsid w:val="00633C17"/>
    <w:rsid w:val="00634D9E"/>
    <w:rsid w:val="00636E3E"/>
    <w:rsid w:val="006379F7"/>
    <w:rsid w:val="00637E4D"/>
    <w:rsid w:val="00640620"/>
    <w:rsid w:val="0064170F"/>
    <w:rsid w:val="00641A1F"/>
    <w:rsid w:val="00643845"/>
    <w:rsid w:val="006450CF"/>
    <w:rsid w:val="00645904"/>
    <w:rsid w:val="006516E8"/>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97101"/>
    <w:rsid w:val="006A07AA"/>
    <w:rsid w:val="006A2413"/>
    <w:rsid w:val="006A25E5"/>
    <w:rsid w:val="006A2B46"/>
    <w:rsid w:val="006A336D"/>
    <w:rsid w:val="006A37B9"/>
    <w:rsid w:val="006B2672"/>
    <w:rsid w:val="006B54BF"/>
    <w:rsid w:val="006B5F44"/>
    <w:rsid w:val="006B5F90"/>
    <w:rsid w:val="006B62E4"/>
    <w:rsid w:val="006C1BBA"/>
    <w:rsid w:val="006C2079"/>
    <w:rsid w:val="006C5A62"/>
    <w:rsid w:val="006C5AAF"/>
    <w:rsid w:val="006C5D68"/>
    <w:rsid w:val="006C6976"/>
    <w:rsid w:val="006C6DD0"/>
    <w:rsid w:val="006D04EA"/>
    <w:rsid w:val="006D16C4"/>
    <w:rsid w:val="006D3E96"/>
    <w:rsid w:val="006D4515"/>
    <w:rsid w:val="006D4BB1"/>
    <w:rsid w:val="006D6593"/>
    <w:rsid w:val="006E5FCE"/>
    <w:rsid w:val="006E6949"/>
    <w:rsid w:val="006F03A8"/>
    <w:rsid w:val="006F1767"/>
    <w:rsid w:val="006F2ACA"/>
    <w:rsid w:val="006F2ADC"/>
    <w:rsid w:val="006F2BFE"/>
    <w:rsid w:val="006F31E9"/>
    <w:rsid w:val="006F6284"/>
    <w:rsid w:val="006F69BC"/>
    <w:rsid w:val="006F745E"/>
    <w:rsid w:val="007002C5"/>
    <w:rsid w:val="00704387"/>
    <w:rsid w:val="00707669"/>
    <w:rsid w:val="00707BC4"/>
    <w:rsid w:val="00711CBA"/>
    <w:rsid w:val="00711FB5"/>
    <w:rsid w:val="007129F8"/>
    <w:rsid w:val="00712A01"/>
    <w:rsid w:val="00714F58"/>
    <w:rsid w:val="00722D66"/>
    <w:rsid w:val="00722FBF"/>
    <w:rsid w:val="00722FC2"/>
    <w:rsid w:val="00724E1B"/>
    <w:rsid w:val="00725949"/>
    <w:rsid w:val="00727FA2"/>
    <w:rsid w:val="007322D9"/>
    <w:rsid w:val="00732BC0"/>
    <w:rsid w:val="0073720F"/>
    <w:rsid w:val="00737796"/>
    <w:rsid w:val="0074165C"/>
    <w:rsid w:val="00742C35"/>
    <w:rsid w:val="0074321E"/>
    <w:rsid w:val="007432CA"/>
    <w:rsid w:val="007439EB"/>
    <w:rsid w:val="00743CB4"/>
    <w:rsid w:val="00743F0A"/>
    <w:rsid w:val="007444E8"/>
    <w:rsid w:val="0074548E"/>
    <w:rsid w:val="00745773"/>
    <w:rsid w:val="00746800"/>
    <w:rsid w:val="007501A8"/>
    <w:rsid w:val="00750D61"/>
    <w:rsid w:val="00750EE1"/>
    <w:rsid w:val="00752B4D"/>
    <w:rsid w:val="00753D6C"/>
    <w:rsid w:val="00755402"/>
    <w:rsid w:val="00756B26"/>
    <w:rsid w:val="00756EDF"/>
    <w:rsid w:val="007600E3"/>
    <w:rsid w:val="007655B2"/>
    <w:rsid w:val="00765C43"/>
    <w:rsid w:val="00765EFB"/>
    <w:rsid w:val="007671CA"/>
    <w:rsid w:val="00767C61"/>
    <w:rsid w:val="0077008A"/>
    <w:rsid w:val="00773C1F"/>
    <w:rsid w:val="00774DA4"/>
    <w:rsid w:val="00776599"/>
    <w:rsid w:val="0078114B"/>
    <w:rsid w:val="00781DD2"/>
    <w:rsid w:val="00783ECF"/>
    <w:rsid w:val="0078413A"/>
    <w:rsid w:val="00784EC5"/>
    <w:rsid w:val="007959E8"/>
    <w:rsid w:val="00795E9C"/>
    <w:rsid w:val="007A0005"/>
    <w:rsid w:val="007A0521"/>
    <w:rsid w:val="007A2908"/>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397F"/>
    <w:rsid w:val="007D6518"/>
    <w:rsid w:val="007D76BD"/>
    <w:rsid w:val="007E0BF1"/>
    <w:rsid w:val="007E5674"/>
    <w:rsid w:val="007F0ED8"/>
    <w:rsid w:val="007F0F63"/>
    <w:rsid w:val="007F75CE"/>
    <w:rsid w:val="00800689"/>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4C65"/>
    <w:rsid w:val="00825138"/>
    <w:rsid w:val="008269DD"/>
    <w:rsid w:val="00830621"/>
    <w:rsid w:val="0083348C"/>
    <w:rsid w:val="00834E05"/>
    <w:rsid w:val="008373D3"/>
    <w:rsid w:val="00840617"/>
    <w:rsid w:val="008409E7"/>
    <w:rsid w:val="00840F84"/>
    <w:rsid w:val="00842A47"/>
    <w:rsid w:val="00843C13"/>
    <w:rsid w:val="00843DEF"/>
    <w:rsid w:val="00843F1B"/>
    <w:rsid w:val="008454F8"/>
    <w:rsid w:val="008457AB"/>
    <w:rsid w:val="008462F2"/>
    <w:rsid w:val="0085173A"/>
    <w:rsid w:val="008603CE"/>
    <w:rsid w:val="008620FC"/>
    <w:rsid w:val="008627A5"/>
    <w:rsid w:val="00863E05"/>
    <w:rsid w:val="00865ACA"/>
    <w:rsid w:val="00865D28"/>
    <w:rsid w:val="00865F85"/>
    <w:rsid w:val="00867C10"/>
    <w:rsid w:val="00870439"/>
    <w:rsid w:val="00870DA1"/>
    <w:rsid w:val="0087426F"/>
    <w:rsid w:val="00882024"/>
    <w:rsid w:val="00883F93"/>
    <w:rsid w:val="00884DB3"/>
    <w:rsid w:val="00885A9D"/>
    <w:rsid w:val="008864F6"/>
    <w:rsid w:val="0089049D"/>
    <w:rsid w:val="008928C9"/>
    <w:rsid w:val="008930CB"/>
    <w:rsid w:val="008938DC"/>
    <w:rsid w:val="00893FD1"/>
    <w:rsid w:val="00894836"/>
    <w:rsid w:val="00895172"/>
    <w:rsid w:val="0089554D"/>
    <w:rsid w:val="00895680"/>
    <w:rsid w:val="00896DFF"/>
    <w:rsid w:val="0089762C"/>
    <w:rsid w:val="008A1361"/>
    <w:rsid w:val="008A173B"/>
    <w:rsid w:val="008A1893"/>
    <w:rsid w:val="008A3626"/>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3547"/>
    <w:rsid w:val="008E4BB6"/>
    <w:rsid w:val="008E5518"/>
    <w:rsid w:val="008E6A84"/>
    <w:rsid w:val="008F0CDC"/>
    <w:rsid w:val="008F17A3"/>
    <w:rsid w:val="008F1ED3"/>
    <w:rsid w:val="008F4C29"/>
    <w:rsid w:val="008F573B"/>
    <w:rsid w:val="008F70BD"/>
    <w:rsid w:val="008F788F"/>
    <w:rsid w:val="008F7EA2"/>
    <w:rsid w:val="00902722"/>
    <w:rsid w:val="009027BC"/>
    <w:rsid w:val="009062E6"/>
    <w:rsid w:val="00911BE5"/>
    <w:rsid w:val="009122EE"/>
    <w:rsid w:val="00913CA9"/>
    <w:rsid w:val="009145AE"/>
    <w:rsid w:val="009146CE"/>
    <w:rsid w:val="00914CA7"/>
    <w:rsid w:val="00915C3E"/>
    <w:rsid w:val="009161A8"/>
    <w:rsid w:val="00923CC0"/>
    <w:rsid w:val="009245AE"/>
    <w:rsid w:val="009245F5"/>
    <w:rsid w:val="009249EC"/>
    <w:rsid w:val="009273B3"/>
    <w:rsid w:val="009305B5"/>
    <w:rsid w:val="00933C41"/>
    <w:rsid w:val="009378DD"/>
    <w:rsid w:val="00941F78"/>
    <w:rsid w:val="009423FD"/>
    <w:rsid w:val="009429D5"/>
    <w:rsid w:val="00942BF1"/>
    <w:rsid w:val="00945180"/>
    <w:rsid w:val="00945428"/>
    <w:rsid w:val="0094607B"/>
    <w:rsid w:val="009508D0"/>
    <w:rsid w:val="00951D5C"/>
    <w:rsid w:val="00953604"/>
    <w:rsid w:val="0095496B"/>
    <w:rsid w:val="00956A2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5F1C"/>
    <w:rsid w:val="009B6029"/>
    <w:rsid w:val="009B6971"/>
    <w:rsid w:val="009B6A74"/>
    <w:rsid w:val="009B6F7D"/>
    <w:rsid w:val="009C27F1"/>
    <w:rsid w:val="009C3152"/>
    <w:rsid w:val="009C3257"/>
    <w:rsid w:val="009C4CFA"/>
    <w:rsid w:val="009C5070"/>
    <w:rsid w:val="009C5A06"/>
    <w:rsid w:val="009D112C"/>
    <w:rsid w:val="009D1385"/>
    <w:rsid w:val="009D47FA"/>
    <w:rsid w:val="009D4C5B"/>
    <w:rsid w:val="009D50D2"/>
    <w:rsid w:val="009D6BCA"/>
    <w:rsid w:val="009D76CD"/>
    <w:rsid w:val="009E0F62"/>
    <w:rsid w:val="009E4A58"/>
    <w:rsid w:val="009E5A2D"/>
    <w:rsid w:val="009E5AB2"/>
    <w:rsid w:val="009E6219"/>
    <w:rsid w:val="009F03B3"/>
    <w:rsid w:val="009F78C9"/>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3A35"/>
    <w:rsid w:val="00A30EFC"/>
    <w:rsid w:val="00A31984"/>
    <w:rsid w:val="00A32D73"/>
    <w:rsid w:val="00A3367B"/>
    <w:rsid w:val="00A33C67"/>
    <w:rsid w:val="00A3597D"/>
    <w:rsid w:val="00A36334"/>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33AD"/>
    <w:rsid w:val="00A77CCB"/>
    <w:rsid w:val="00A83D8D"/>
    <w:rsid w:val="00A8446B"/>
    <w:rsid w:val="00A8473F"/>
    <w:rsid w:val="00A85F4C"/>
    <w:rsid w:val="00A862D6"/>
    <w:rsid w:val="00A8715E"/>
    <w:rsid w:val="00A90729"/>
    <w:rsid w:val="00A91399"/>
    <w:rsid w:val="00A9295B"/>
    <w:rsid w:val="00A93B09"/>
    <w:rsid w:val="00A952D7"/>
    <w:rsid w:val="00A963F7"/>
    <w:rsid w:val="00A96AD8"/>
    <w:rsid w:val="00AA052C"/>
    <w:rsid w:val="00AA1E45"/>
    <w:rsid w:val="00AA4286"/>
    <w:rsid w:val="00AA456B"/>
    <w:rsid w:val="00AA57F5"/>
    <w:rsid w:val="00AA6403"/>
    <w:rsid w:val="00AA672E"/>
    <w:rsid w:val="00AA6EC9"/>
    <w:rsid w:val="00AA7CA4"/>
    <w:rsid w:val="00AB2438"/>
    <w:rsid w:val="00AB6309"/>
    <w:rsid w:val="00AB6C5F"/>
    <w:rsid w:val="00AB7129"/>
    <w:rsid w:val="00AC27A6"/>
    <w:rsid w:val="00AC30F7"/>
    <w:rsid w:val="00AC3A5A"/>
    <w:rsid w:val="00AC4D95"/>
    <w:rsid w:val="00AC5DF4"/>
    <w:rsid w:val="00AD0AEF"/>
    <w:rsid w:val="00AD0E2D"/>
    <w:rsid w:val="00AD11B7"/>
    <w:rsid w:val="00AD1A94"/>
    <w:rsid w:val="00AD1C05"/>
    <w:rsid w:val="00AD4126"/>
    <w:rsid w:val="00AD421C"/>
    <w:rsid w:val="00AD44FA"/>
    <w:rsid w:val="00AD669B"/>
    <w:rsid w:val="00AE070A"/>
    <w:rsid w:val="00AE101C"/>
    <w:rsid w:val="00AE2A69"/>
    <w:rsid w:val="00AE37E5"/>
    <w:rsid w:val="00AE55E1"/>
    <w:rsid w:val="00AE5EB4"/>
    <w:rsid w:val="00AF0C18"/>
    <w:rsid w:val="00AF1575"/>
    <w:rsid w:val="00AF47C5"/>
    <w:rsid w:val="00AF5398"/>
    <w:rsid w:val="00AF7886"/>
    <w:rsid w:val="00B048CD"/>
    <w:rsid w:val="00B049AF"/>
    <w:rsid w:val="00B05C5D"/>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103D"/>
    <w:rsid w:val="00B62B58"/>
    <w:rsid w:val="00B65149"/>
    <w:rsid w:val="00B66567"/>
    <w:rsid w:val="00B66F52"/>
    <w:rsid w:val="00B66FE5"/>
    <w:rsid w:val="00B71960"/>
    <w:rsid w:val="00B72880"/>
    <w:rsid w:val="00B758BF"/>
    <w:rsid w:val="00B77EC8"/>
    <w:rsid w:val="00B827A6"/>
    <w:rsid w:val="00B831CE"/>
    <w:rsid w:val="00B8515C"/>
    <w:rsid w:val="00B86677"/>
    <w:rsid w:val="00B87131"/>
    <w:rsid w:val="00B939B1"/>
    <w:rsid w:val="00B96D40"/>
    <w:rsid w:val="00B97386"/>
    <w:rsid w:val="00BA263B"/>
    <w:rsid w:val="00BA30A9"/>
    <w:rsid w:val="00BA42B2"/>
    <w:rsid w:val="00BA58D4"/>
    <w:rsid w:val="00BA5B9E"/>
    <w:rsid w:val="00BA7C9A"/>
    <w:rsid w:val="00BB5F8F"/>
    <w:rsid w:val="00BB657A"/>
    <w:rsid w:val="00BC05DF"/>
    <w:rsid w:val="00BC1A4E"/>
    <w:rsid w:val="00BC5DC7"/>
    <w:rsid w:val="00BC6B8B"/>
    <w:rsid w:val="00BC73D8"/>
    <w:rsid w:val="00BD0F9B"/>
    <w:rsid w:val="00BD52D7"/>
    <w:rsid w:val="00BD5AD2"/>
    <w:rsid w:val="00BE22F3"/>
    <w:rsid w:val="00BE5B52"/>
    <w:rsid w:val="00BE7172"/>
    <w:rsid w:val="00BE7B8D"/>
    <w:rsid w:val="00BF0993"/>
    <w:rsid w:val="00BF10A9"/>
    <w:rsid w:val="00BF1703"/>
    <w:rsid w:val="00BF231C"/>
    <w:rsid w:val="00BF2FED"/>
    <w:rsid w:val="00BF47B6"/>
    <w:rsid w:val="00BF51E5"/>
    <w:rsid w:val="00BF74A6"/>
    <w:rsid w:val="00BF79B8"/>
    <w:rsid w:val="00C00D1E"/>
    <w:rsid w:val="00C013AD"/>
    <w:rsid w:val="00C04904"/>
    <w:rsid w:val="00C056B3"/>
    <w:rsid w:val="00C103E5"/>
    <w:rsid w:val="00C1105E"/>
    <w:rsid w:val="00C124A5"/>
    <w:rsid w:val="00C13319"/>
    <w:rsid w:val="00C13EE9"/>
    <w:rsid w:val="00C168C6"/>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46A81"/>
    <w:rsid w:val="00C521D6"/>
    <w:rsid w:val="00C5335A"/>
    <w:rsid w:val="00C55232"/>
    <w:rsid w:val="00C553A4"/>
    <w:rsid w:val="00C55A06"/>
    <w:rsid w:val="00C55D03"/>
    <w:rsid w:val="00C601BC"/>
    <w:rsid w:val="00C6329F"/>
    <w:rsid w:val="00C63340"/>
    <w:rsid w:val="00C643F9"/>
    <w:rsid w:val="00C64E95"/>
    <w:rsid w:val="00C67D8F"/>
    <w:rsid w:val="00C71372"/>
    <w:rsid w:val="00C72410"/>
    <w:rsid w:val="00C7279D"/>
    <w:rsid w:val="00C7287F"/>
    <w:rsid w:val="00C80B45"/>
    <w:rsid w:val="00C80CB8"/>
    <w:rsid w:val="00C819F8"/>
    <w:rsid w:val="00C8248C"/>
    <w:rsid w:val="00C84E33"/>
    <w:rsid w:val="00C86D6F"/>
    <w:rsid w:val="00C905FC"/>
    <w:rsid w:val="00C92D03"/>
    <w:rsid w:val="00C9319C"/>
    <w:rsid w:val="00C93E70"/>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762B"/>
    <w:rsid w:val="00CE0C4F"/>
    <w:rsid w:val="00CE30EA"/>
    <w:rsid w:val="00CF048A"/>
    <w:rsid w:val="00CF155A"/>
    <w:rsid w:val="00CF2947"/>
    <w:rsid w:val="00CF686F"/>
    <w:rsid w:val="00CF6E60"/>
    <w:rsid w:val="00CF7BCA"/>
    <w:rsid w:val="00D008FD"/>
    <w:rsid w:val="00D0321C"/>
    <w:rsid w:val="00D035EC"/>
    <w:rsid w:val="00D062AA"/>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CEC"/>
    <w:rsid w:val="00D27EC4"/>
    <w:rsid w:val="00D32719"/>
    <w:rsid w:val="00D33333"/>
    <w:rsid w:val="00D352A2"/>
    <w:rsid w:val="00D35485"/>
    <w:rsid w:val="00D36C02"/>
    <w:rsid w:val="00D4162B"/>
    <w:rsid w:val="00D4514F"/>
    <w:rsid w:val="00D451E2"/>
    <w:rsid w:val="00D45E89"/>
    <w:rsid w:val="00D45E8D"/>
    <w:rsid w:val="00D466AE"/>
    <w:rsid w:val="00D4734F"/>
    <w:rsid w:val="00D51BF3"/>
    <w:rsid w:val="00D66846"/>
    <w:rsid w:val="00D66BAA"/>
    <w:rsid w:val="00D675FB"/>
    <w:rsid w:val="00D70D7F"/>
    <w:rsid w:val="00D71F25"/>
    <w:rsid w:val="00D72A9C"/>
    <w:rsid w:val="00D76948"/>
    <w:rsid w:val="00D77031"/>
    <w:rsid w:val="00D84941"/>
    <w:rsid w:val="00D84FA1"/>
    <w:rsid w:val="00D851F0"/>
    <w:rsid w:val="00D86DB7"/>
    <w:rsid w:val="00D87BF5"/>
    <w:rsid w:val="00D90721"/>
    <w:rsid w:val="00D926D0"/>
    <w:rsid w:val="00D92D26"/>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D756F"/>
    <w:rsid w:val="00DE0A4B"/>
    <w:rsid w:val="00DE2410"/>
    <w:rsid w:val="00DE2939"/>
    <w:rsid w:val="00DE3AF8"/>
    <w:rsid w:val="00DE6200"/>
    <w:rsid w:val="00DE6E81"/>
    <w:rsid w:val="00DE703F"/>
    <w:rsid w:val="00DE7595"/>
    <w:rsid w:val="00DF1961"/>
    <w:rsid w:val="00DF3069"/>
    <w:rsid w:val="00DF44DE"/>
    <w:rsid w:val="00E01138"/>
    <w:rsid w:val="00E02DFB"/>
    <w:rsid w:val="00E030F9"/>
    <w:rsid w:val="00E0311A"/>
    <w:rsid w:val="00E03138"/>
    <w:rsid w:val="00E04680"/>
    <w:rsid w:val="00E048EA"/>
    <w:rsid w:val="00E06404"/>
    <w:rsid w:val="00E11A85"/>
    <w:rsid w:val="00E12495"/>
    <w:rsid w:val="00E15CCD"/>
    <w:rsid w:val="00E202EF"/>
    <w:rsid w:val="00E210B5"/>
    <w:rsid w:val="00E2552F"/>
    <w:rsid w:val="00E3137A"/>
    <w:rsid w:val="00E32CCF"/>
    <w:rsid w:val="00E3331F"/>
    <w:rsid w:val="00E34A98"/>
    <w:rsid w:val="00E35D1E"/>
    <w:rsid w:val="00E364F9"/>
    <w:rsid w:val="00E365FA"/>
    <w:rsid w:val="00E36789"/>
    <w:rsid w:val="00E44A83"/>
    <w:rsid w:val="00E502C1"/>
    <w:rsid w:val="00E502DD"/>
    <w:rsid w:val="00E50D3A"/>
    <w:rsid w:val="00E51387"/>
    <w:rsid w:val="00E51E68"/>
    <w:rsid w:val="00E52EFD"/>
    <w:rsid w:val="00E5408A"/>
    <w:rsid w:val="00E553C0"/>
    <w:rsid w:val="00E56800"/>
    <w:rsid w:val="00E572CF"/>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3287"/>
    <w:rsid w:val="00E846C8"/>
    <w:rsid w:val="00E84957"/>
    <w:rsid w:val="00E84A55"/>
    <w:rsid w:val="00E85BFF"/>
    <w:rsid w:val="00E90391"/>
    <w:rsid w:val="00E906C2"/>
    <w:rsid w:val="00E9311F"/>
    <w:rsid w:val="00E934D1"/>
    <w:rsid w:val="00E94AF0"/>
    <w:rsid w:val="00E95D13"/>
    <w:rsid w:val="00E95DD3"/>
    <w:rsid w:val="00E969D5"/>
    <w:rsid w:val="00EA140B"/>
    <w:rsid w:val="00EA58D1"/>
    <w:rsid w:val="00EA61BC"/>
    <w:rsid w:val="00EA681A"/>
    <w:rsid w:val="00EA735B"/>
    <w:rsid w:val="00EB1E69"/>
    <w:rsid w:val="00EB2086"/>
    <w:rsid w:val="00EB31ED"/>
    <w:rsid w:val="00EB5EDF"/>
    <w:rsid w:val="00EB60FE"/>
    <w:rsid w:val="00EB7104"/>
    <w:rsid w:val="00EB74DB"/>
    <w:rsid w:val="00EC5359"/>
    <w:rsid w:val="00EC562A"/>
    <w:rsid w:val="00EC7B1B"/>
    <w:rsid w:val="00ED067A"/>
    <w:rsid w:val="00ED2B50"/>
    <w:rsid w:val="00EE0350"/>
    <w:rsid w:val="00EE0719"/>
    <w:rsid w:val="00EE0E80"/>
    <w:rsid w:val="00EE613F"/>
    <w:rsid w:val="00EE7295"/>
    <w:rsid w:val="00EE7869"/>
    <w:rsid w:val="00EF054A"/>
    <w:rsid w:val="00EF3235"/>
    <w:rsid w:val="00EF66DA"/>
    <w:rsid w:val="00EF6D38"/>
    <w:rsid w:val="00EF7E72"/>
    <w:rsid w:val="00F055A9"/>
    <w:rsid w:val="00F06D37"/>
    <w:rsid w:val="00F07B9D"/>
    <w:rsid w:val="00F11586"/>
    <w:rsid w:val="00F1183B"/>
    <w:rsid w:val="00F11C9F"/>
    <w:rsid w:val="00F12263"/>
    <w:rsid w:val="00F1409D"/>
    <w:rsid w:val="00F14214"/>
    <w:rsid w:val="00F157A9"/>
    <w:rsid w:val="00F16F00"/>
    <w:rsid w:val="00F25BB6"/>
    <w:rsid w:val="00F26B7E"/>
    <w:rsid w:val="00F271BF"/>
    <w:rsid w:val="00F27A3B"/>
    <w:rsid w:val="00F32780"/>
    <w:rsid w:val="00F33817"/>
    <w:rsid w:val="00F36009"/>
    <w:rsid w:val="00F419E2"/>
    <w:rsid w:val="00F420D5"/>
    <w:rsid w:val="00F43BBB"/>
    <w:rsid w:val="00F451EA"/>
    <w:rsid w:val="00F45447"/>
    <w:rsid w:val="00F456C6"/>
    <w:rsid w:val="00F4577B"/>
    <w:rsid w:val="00F45D24"/>
    <w:rsid w:val="00F46496"/>
    <w:rsid w:val="00F474D0"/>
    <w:rsid w:val="00F50179"/>
    <w:rsid w:val="00F515EE"/>
    <w:rsid w:val="00F56511"/>
    <w:rsid w:val="00F60F6F"/>
    <w:rsid w:val="00F6194E"/>
    <w:rsid w:val="00F623AC"/>
    <w:rsid w:val="00F6412A"/>
    <w:rsid w:val="00F65893"/>
    <w:rsid w:val="00F66A4A"/>
    <w:rsid w:val="00F701A7"/>
    <w:rsid w:val="00F71E22"/>
    <w:rsid w:val="00F72142"/>
    <w:rsid w:val="00F7287B"/>
    <w:rsid w:val="00F72AE7"/>
    <w:rsid w:val="00F72D91"/>
    <w:rsid w:val="00F833BA"/>
    <w:rsid w:val="00F84FD0"/>
    <w:rsid w:val="00F859A8"/>
    <w:rsid w:val="00F86D87"/>
    <w:rsid w:val="00F9108B"/>
    <w:rsid w:val="00F91349"/>
    <w:rsid w:val="00F93A8A"/>
    <w:rsid w:val="00F94D48"/>
    <w:rsid w:val="00F95248"/>
    <w:rsid w:val="00F956A9"/>
    <w:rsid w:val="00F963ED"/>
    <w:rsid w:val="00F966CF"/>
    <w:rsid w:val="00F96CAE"/>
    <w:rsid w:val="00F97C99"/>
    <w:rsid w:val="00FA0000"/>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127"/>
    <w:rsid w:val="00FD59EB"/>
    <w:rsid w:val="00FD7299"/>
    <w:rsid w:val="00FE1FBE"/>
    <w:rsid w:val="00FE3901"/>
    <w:rsid w:val="00FE39D3"/>
    <w:rsid w:val="00FE3A2D"/>
    <w:rsid w:val="00FE4BCE"/>
    <w:rsid w:val="00FE54AE"/>
    <w:rsid w:val="00FE576A"/>
    <w:rsid w:val="00FE7E79"/>
    <w:rsid w:val="00FF163C"/>
    <w:rsid w:val="00FF2A7A"/>
    <w:rsid w:val="00FF3E7D"/>
    <w:rsid w:val="00FF55FC"/>
    <w:rsid w:val="00FF5B99"/>
    <w:rsid w:val="00FF730C"/>
    <w:rsid w:val="00FF73F4"/>
    <w:rsid w:val="00FF7CE4"/>
    <w:rsid w:val="00FF7E39"/>
    <w:rsid w:val="021F6013"/>
    <w:rsid w:val="03D96719"/>
    <w:rsid w:val="052B2A4D"/>
    <w:rsid w:val="0E7D6EDB"/>
    <w:rsid w:val="0F000F7B"/>
    <w:rsid w:val="18A60DE5"/>
    <w:rsid w:val="1B6D5BEA"/>
    <w:rsid w:val="1BAF6202"/>
    <w:rsid w:val="209D0D1F"/>
    <w:rsid w:val="232F3C8F"/>
    <w:rsid w:val="23810484"/>
    <w:rsid w:val="334943EF"/>
    <w:rsid w:val="38DD31C1"/>
    <w:rsid w:val="3B4C0F20"/>
    <w:rsid w:val="3B7B70D6"/>
    <w:rsid w:val="4BE30109"/>
    <w:rsid w:val="59253410"/>
    <w:rsid w:val="5A0A3C71"/>
    <w:rsid w:val="5B046CCA"/>
    <w:rsid w:val="5EFC6636"/>
    <w:rsid w:val="5F724B4A"/>
    <w:rsid w:val="67990800"/>
    <w:rsid w:val="73E86D31"/>
    <w:rsid w:val="77046B2F"/>
    <w:rsid w:val="78EB6441"/>
    <w:rsid w:val="7BE42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glossaryDocument" Target="glossary/document.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jpe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5649055DE8B4FA0955853CC2B346385"/>
        <w:style w:val=""/>
        <w:category>
          <w:name w:val="常规"/>
          <w:gallery w:val="placeholder"/>
        </w:category>
        <w:types>
          <w:type w:val="bbPlcHdr"/>
        </w:types>
        <w:behaviors>
          <w:behavior w:val="content"/>
        </w:behaviors>
        <w:description w:val=""/>
        <w:guid w:val="{3591A03D-0E53-4D7D-8C32-3F7BF16FDBEE}"/>
      </w:docPartPr>
      <w:docPartBody>
        <w:p w14:paraId="1F6D36C5">
          <w:pPr>
            <w:pStyle w:val="5"/>
            <w:rPr>
              <w:rFonts w:hint="eastAsia"/>
            </w:rPr>
          </w:pPr>
          <w:r>
            <w:rPr>
              <w:rStyle w:val="4"/>
              <w:rFonts w:hint="eastAsia"/>
            </w:rPr>
            <w:t>单击或点击此处输入文字。</w:t>
          </w:r>
        </w:p>
      </w:docPartBody>
    </w:docPart>
    <w:docPart>
      <w:docPartPr>
        <w:name w:val="8B789D6F7D9C4DD8BFE8BC4E98831F2B"/>
        <w:style w:val=""/>
        <w:category>
          <w:name w:val="常规"/>
          <w:gallery w:val="placeholder"/>
        </w:category>
        <w:types>
          <w:type w:val="bbPlcHdr"/>
        </w:types>
        <w:behaviors>
          <w:behavior w:val="content"/>
        </w:behaviors>
        <w:description w:val=""/>
        <w:guid w:val="{BC5B2599-9697-4512-85AF-0FA9930BB37A}"/>
      </w:docPartPr>
      <w:docPartBody>
        <w:p w14:paraId="35507537">
          <w:pPr>
            <w:pStyle w:val="6"/>
            <w:rPr>
              <w:rFonts w:hint="eastAsia"/>
            </w:rPr>
          </w:pPr>
          <w:r>
            <w:rPr>
              <w:rStyle w:val="4"/>
              <w:rFonts w:hint="eastAsia"/>
            </w:rPr>
            <w:t>选择一项。</w:t>
          </w:r>
        </w:p>
      </w:docPartBody>
    </w:docPart>
    <w:docPart>
      <w:docPartPr>
        <w:name w:val="560E4818A0514D48A7949C80C46BCBFB"/>
        <w:style w:val=""/>
        <w:category>
          <w:name w:val="常规"/>
          <w:gallery w:val="placeholder"/>
        </w:category>
        <w:types>
          <w:type w:val="bbPlcHdr"/>
        </w:types>
        <w:behaviors>
          <w:behavior w:val="content"/>
        </w:behaviors>
        <w:description w:val=""/>
        <w:guid w:val="{1D132D79-BDE8-4C9C-A0FA-0D4BAA719E3A}"/>
      </w:docPartPr>
      <w:docPartBody>
        <w:p w14:paraId="4A59AC9E">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AEF"/>
    <w:rsid w:val="00066684"/>
    <w:rsid w:val="001B6CD4"/>
    <w:rsid w:val="00283748"/>
    <w:rsid w:val="0048423A"/>
    <w:rsid w:val="00534926"/>
    <w:rsid w:val="00565750"/>
    <w:rsid w:val="00641808"/>
    <w:rsid w:val="006F283B"/>
    <w:rsid w:val="00753D6C"/>
    <w:rsid w:val="007A49DB"/>
    <w:rsid w:val="00871B5B"/>
    <w:rsid w:val="008A1361"/>
    <w:rsid w:val="009508D0"/>
    <w:rsid w:val="009C71B8"/>
    <w:rsid w:val="00BE1F6F"/>
    <w:rsid w:val="00C1105E"/>
    <w:rsid w:val="00C45AEF"/>
    <w:rsid w:val="00E45F3F"/>
    <w:rsid w:val="00EB7B79"/>
    <w:rsid w:val="00EF66DA"/>
    <w:rsid w:val="00F45D24"/>
    <w:rsid w:val="00FA5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25649055DE8B4FA0955853CC2B346385"/>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8B789D6F7D9C4DD8BFE8BC4E98831F2B"/>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560E4818A0514D48A7949C80C46BCBFB"/>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14</Pages>
  <Words>7124</Words>
  <Characters>7952</Characters>
  <Lines>294</Lines>
  <Paragraphs>394</Paragraphs>
  <TotalTime>587</TotalTime>
  <ScaleCrop>false</ScaleCrop>
  <LinksUpToDate>false</LinksUpToDate>
  <CharactersWithSpaces>8119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2026-05-04T01:37:00Z</dcterms:created>
  <dc:creator>dai'li</dc:creator>
  <dc:description>&lt;config cover="true" show_menu="true" version="1.0.0" doctype="SDKXY"&gt;_x000d_
&lt;/config&gt;</dc:description>
  <cp:lastModifiedBy>颜鹰</cp:lastModifiedBy>
  <cp:lastPrinted>2021-02-02T08:22:00Z</cp:lastPrinted>
  <dcterms:modified xsi:type="dcterms:W3CDTF">2026-05-19T01:46:38Z</dcterms:modified>
  <dc:title>团体标准</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eyJoZGlkIjoiNjAyY2ViYTVkYmIzNzQwMjAxYzhkMGFjODgwNTM3NjEiLCJ1c2VySWQiOiI1NDcwNjk0NjYifQ==</vt:lpwstr>
  </property>
  <property fmtid="{D5CDD505-2E9C-101B-9397-08002B2CF9AE}" pid="15" name="KSOProductBuildVer">
    <vt:lpwstr>2052-12.1.0.25865</vt:lpwstr>
  </property>
  <property fmtid="{D5CDD505-2E9C-101B-9397-08002B2CF9AE}" pid="16" name="ICV">
    <vt:lpwstr>439C647F550D4634A83C5406779CFE6C_12</vt:lpwstr>
  </property>
</Properties>
</file>