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0E82CB">
      <w:pPr>
        <w:wordWrap w:val="0"/>
        <w:ind w:firstLine="480"/>
        <w:jc w:val="right"/>
        <w:rPr>
          <w:rFonts w:ascii="宋体" w:hAnsi="宋体" w:cs="宋体"/>
          <w:kern w:val="0"/>
        </w:rPr>
      </w:pPr>
      <w:r>
        <w:rPr>
          <w:rFonts w:ascii="宋体" w:hAnsi="宋体" w:cs="宋体"/>
          <w:kern w:val="0"/>
        </w:rPr>
        <w:fldChar w:fldCharType="begin"/>
      </w:r>
      <w:r>
        <w:rPr>
          <w:rFonts w:ascii="宋体" w:hAnsi="宋体" w:cs="宋体"/>
          <w:kern w:val="0"/>
        </w:rPr>
        <w:instrText xml:space="preserve"> MACROBUTTON MTEditEquationSection2 </w:instrText>
      </w:r>
      <w:r>
        <w:rPr>
          <w:rStyle w:val="56"/>
          <w:rFonts w:hint="eastAsia"/>
        </w:rPr>
        <w:instrText xml:space="preserve">公式章</w:instrText>
      </w:r>
      <w:r>
        <w:rPr>
          <w:rStyle w:val="56"/>
        </w:rPr>
        <w:instrText xml:space="preserve"> 1 节 1</w:instrText>
      </w:r>
      <w:r>
        <w:rPr>
          <w:rFonts w:ascii="宋体" w:hAnsi="宋体" w:cs="宋体"/>
          <w:kern w:val="0"/>
        </w:rPr>
        <w:fldChar w:fldCharType="begin"/>
      </w:r>
      <w:r>
        <w:rPr>
          <w:rFonts w:ascii="宋体" w:hAnsi="宋体" w:cs="宋体"/>
          <w:kern w:val="0"/>
        </w:rPr>
        <w:instrText xml:space="preserve"> SEQ MTEqn \r \h \* MERGEFORMAT </w:instrText>
      </w:r>
      <w:r>
        <w:rPr>
          <w:rFonts w:ascii="宋体" w:hAnsi="宋体" w:cs="宋体"/>
          <w:kern w:val="0"/>
        </w:rPr>
        <w:fldChar w:fldCharType="end"/>
      </w:r>
      <w:r>
        <w:rPr>
          <w:rFonts w:ascii="宋体" w:hAnsi="宋体" w:cs="宋体"/>
          <w:kern w:val="0"/>
        </w:rPr>
        <w:fldChar w:fldCharType="begin"/>
      </w:r>
      <w:r>
        <w:rPr>
          <w:rFonts w:ascii="宋体" w:hAnsi="宋体" w:cs="宋体"/>
          <w:kern w:val="0"/>
        </w:rPr>
        <w:instrText xml:space="preserve"> SEQ MTSec \r 1 \h \* MERGEFORMAT </w:instrText>
      </w:r>
      <w:r>
        <w:rPr>
          <w:rFonts w:ascii="宋体" w:hAnsi="宋体" w:cs="宋体"/>
          <w:kern w:val="0"/>
        </w:rPr>
        <w:fldChar w:fldCharType="end"/>
      </w:r>
      <w:r>
        <w:rPr>
          <w:rFonts w:ascii="宋体" w:hAnsi="宋体" w:cs="宋体"/>
          <w:kern w:val="0"/>
        </w:rPr>
        <w:fldChar w:fldCharType="begin"/>
      </w:r>
      <w:r>
        <w:rPr>
          <w:rFonts w:ascii="宋体" w:hAnsi="宋体" w:cs="宋体"/>
          <w:kern w:val="0"/>
        </w:rPr>
        <w:instrText xml:space="preserve"> SEQ MTChap \r 1 \h \* MERGEFORMAT </w:instrText>
      </w:r>
      <w:r>
        <w:rPr>
          <w:rFonts w:ascii="宋体" w:hAnsi="宋体" w:cs="宋体"/>
          <w:kern w:val="0"/>
        </w:rPr>
        <w:fldChar w:fldCharType="end"/>
      </w:r>
      <w:r>
        <w:rPr>
          <w:rFonts w:ascii="宋体" w:hAnsi="宋体" w:cs="宋体"/>
          <w:kern w:val="0"/>
        </w:rPr>
        <w:fldChar w:fldCharType="end"/>
      </w:r>
      <w:r>
        <w:rPr>
          <w:rFonts w:ascii="宋体" w:hAnsi="宋体" w:cs="宋体"/>
          <w:kern w:val="0"/>
        </w:rPr>
        <w:drawing>
          <wp:inline distT="0" distB="0" distL="0" distR="0">
            <wp:extent cx="1937385" cy="848995"/>
            <wp:effectExtent l="0" t="0" r="0" b="0"/>
            <wp:docPr id="1" name="图片 1" descr="772~1O4HXZEI_K7XGVEJ3Z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72~1O4HXZEI_K7XGVEJ3Z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7385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</w:rPr>
        <w:t xml:space="preserve">    </w:t>
      </w:r>
    </w:p>
    <w:p w14:paraId="1D8D74FF">
      <w:pPr>
        <w:spacing w:before="624" w:beforeLines="200" w:line="360" w:lineRule="auto"/>
        <w:ind w:firstLine="1204"/>
        <w:jc w:val="center"/>
        <w:rPr>
          <w:rFonts w:ascii="宋体" w:hAnsi="宋体"/>
          <w:b/>
          <w:spacing w:val="40"/>
          <w:sz w:val="52"/>
          <w:szCs w:val="52"/>
        </w:rPr>
      </w:pPr>
      <w:r>
        <w:rPr>
          <w:rFonts w:hint="eastAsia" w:ascii="宋体" w:hAnsi="宋体"/>
          <w:b/>
          <w:spacing w:val="40"/>
          <w:sz w:val="52"/>
          <w:szCs w:val="52"/>
        </w:rPr>
        <w:t>贵州省计量技术规范</w:t>
      </w:r>
    </w:p>
    <w:p w14:paraId="5E417AAE">
      <w:pPr>
        <w:ind w:firstLine="0" w:firstLineChars="0"/>
        <w:rPr>
          <w:rFonts w:eastAsia="方正大标宋简体"/>
        </w:rPr>
      </w:pPr>
    </w:p>
    <w:p w14:paraId="07C5981E">
      <w:pPr>
        <w:ind w:firstLine="480"/>
        <w:jc w:val="right"/>
        <w:rPr>
          <w:rFonts w:ascii="黑体" w:hAnsi="黑体" w:eastAsia="黑体"/>
          <w:sz w:val="28"/>
          <w:szCs w:val="28"/>
        </w:rPr>
      </w:pPr>
      <w:bookmarkStart w:id="0" w:name="_Toc514316609"/>
      <w:r>
        <w:rPr>
          <w:rFonts w:hint="eastAsia"/>
        </w:rPr>
        <w:t xml:space="preserve">        </w:t>
      </w:r>
      <w:r>
        <w:rPr>
          <w:rFonts w:hint="eastAsia"/>
          <w:sz w:val="28"/>
          <w:szCs w:val="28"/>
        </w:rPr>
        <w:t xml:space="preserve"> </w:t>
      </w:r>
      <w:bookmarkStart w:id="1" w:name="_Toc529806650"/>
      <w:bookmarkStart w:id="2" w:name="_Toc54707736"/>
      <w:bookmarkStart w:id="3" w:name="_Toc101281453"/>
      <w:bookmarkStart w:id="4" w:name="_Toc101442443"/>
      <w:r>
        <w:rPr>
          <w:rFonts w:hint="eastAsia" w:ascii="黑体" w:hAnsi="黑体" w:eastAsia="黑体"/>
          <w:sz w:val="28"/>
          <w:szCs w:val="28"/>
        </w:rPr>
        <w:t>JJF（黔） XXXX-XXXX</w:t>
      </w:r>
      <w:bookmarkEnd w:id="0"/>
      <w:bookmarkEnd w:id="1"/>
      <w:bookmarkEnd w:id="2"/>
      <w:bookmarkEnd w:id="3"/>
      <w:bookmarkEnd w:id="4"/>
    </w:p>
    <w:p w14:paraId="2C6DF342">
      <w:pPr>
        <w:ind w:firstLine="400"/>
        <w:rPr>
          <w:rFonts w:eastAsia="方正大标宋简体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6221730" cy="0"/>
                <wp:effectExtent l="14605" t="13970" r="12065" b="14605"/>
                <wp:wrapNone/>
                <wp:docPr id="16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18pt;margin-top:0pt;height:0pt;width:489.9pt;z-index:251660288;mso-width-relative:page;mso-height-relative:page;" filled="f" stroked="t" coordsize="21600,21600" o:gfxdata="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MyTLq9QAAAAFAQAADwAAAAAAAAABACAA&#10;AAAiAAAAZHJzL2Rvd25yZXYueG1sUEsBAhQAFAAAAAgAh07iQFIsrs7YAQAAowMAAA4AAAAAAAAA&#10;AQAgAAAAIwEAAGRycy9lMm9Eb2MueG1sUEsFBgAAAAAGAAYAWQEAAG0FAAAAAA=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6D3843B1">
      <w:pPr>
        <w:ind w:firstLine="480"/>
        <w:rPr>
          <w:color w:val="000000"/>
          <w:szCs w:val="24"/>
        </w:rPr>
      </w:pPr>
    </w:p>
    <w:p w14:paraId="0F3687B6">
      <w:pPr>
        <w:ind w:firstLine="480"/>
        <w:rPr>
          <w:color w:val="000000"/>
          <w:szCs w:val="24"/>
        </w:rPr>
      </w:pPr>
    </w:p>
    <w:p w14:paraId="790CC356">
      <w:pPr>
        <w:ind w:firstLine="480"/>
        <w:rPr>
          <w:color w:val="000000"/>
          <w:szCs w:val="24"/>
        </w:rPr>
      </w:pPr>
    </w:p>
    <w:p w14:paraId="5108A977">
      <w:pPr>
        <w:ind w:firstLine="480"/>
        <w:rPr>
          <w:color w:val="000000"/>
          <w:szCs w:val="24"/>
        </w:rPr>
      </w:pPr>
    </w:p>
    <w:p w14:paraId="25BF1E83">
      <w:pPr>
        <w:ind w:firstLine="0" w:firstLineChars="0"/>
        <w:jc w:val="center"/>
        <w:rPr>
          <w:rFonts w:ascii="黑体" w:eastAsia="黑体"/>
          <w:b/>
          <w:color w:val="000000"/>
          <w:sz w:val="52"/>
          <w:szCs w:val="52"/>
        </w:rPr>
      </w:pPr>
      <w:r>
        <w:rPr>
          <w:rFonts w:hint="eastAsia" w:eastAsia="黑体" w:cs="黑体"/>
          <w:b/>
          <w:sz w:val="52"/>
          <w:szCs w:val="52"/>
        </w:rPr>
        <w:t>多参数食品现场快速检测仪校准规范</w:t>
      </w:r>
    </w:p>
    <w:p w14:paraId="049FED9A">
      <w:pPr>
        <w:adjustRightInd w:val="0"/>
        <w:snapToGrid w:val="0"/>
        <w:spacing w:line="360" w:lineRule="auto"/>
        <w:ind w:firstLine="0" w:firstLineChars="0"/>
        <w:jc w:val="center"/>
        <w:rPr>
          <w:rFonts w:ascii="黑体" w:eastAsia="黑体"/>
          <w:color w:val="000000"/>
          <w:sz w:val="28"/>
          <w:szCs w:val="28"/>
        </w:rPr>
      </w:pPr>
      <w:r>
        <w:rPr>
          <w:rFonts w:ascii="黑体" w:hAnsi="黑体" w:eastAsia="黑体"/>
          <w:bCs/>
          <w:sz w:val="28"/>
          <w:szCs w:val="28"/>
        </w:rPr>
        <w:t xml:space="preserve">Calibration Specification </w:t>
      </w:r>
      <w:bookmarkStart w:id="5" w:name="OLE_LINK90"/>
      <w:bookmarkStart w:id="6" w:name="OLE_LINK89"/>
      <w:r>
        <w:rPr>
          <w:rFonts w:ascii="黑体" w:hAnsi="黑体" w:eastAsia="黑体"/>
          <w:bCs/>
          <w:sz w:val="28"/>
          <w:szCs w:val="28"/>
        </w:rPr>
        <w:t>of Multi-parameter Rapid Food Detector</w:t>
      </w:r>
      <w:bookmarkEnd w:id="5"/>
      <w:bookmarkEnd w:id="6"/>
    </w:p>
    <w:p w14:paraId="0013C7A4"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（征求意见稿）</w:t>
      </w:r>
    </w:p>
    <w:p w14:paraId="77C6032E">
      <w:pPr>
        <w:ind w:firstLine="560"/>
        <w:jc w:val="center"/>
        <w:rPr>
          <w:rFonts w:ascii="黑体" w:eastAsia="黑体"/>
          <w:color w:val="000000"/>
          <w:sz w:val="28"/>
          <w:szCs w:val="28"/>
        </w:rPr>
      </w:pPr>
      <w:bookmarkStart w:id="268" w:name="_GoBack"/>
      <w:bookmarkEnd w:id="268"/>
    </w:p>
    <w:p w14:paraId="286786A2">
      <w:pPr>
        <w:ind w:firstLine="480"/>
        <w:rPr>
          <w:color w:val="000000"/>
          <w:szCs w:val="24"/>
        </w:rPr>
      </w:pPr>
    </w:p>
    <w:p w14:paraId="186C669E">
      <w:pPr>
        <w:ind w:firstLine="480"/>
        <w:rPr>
          <w:color w:val="000000"/>
          <w:szCs w:val="24"/>
        </w:rPr>
      </w:pPr>
    </w:p>
    <w:p w14:paraId="31F05F82">
      <w:pPr>
        <w:ind w:firstLine="480"/>
        <w:rPr>
          <w:color w:val="000000"/>
          <w:szCs w:val="24"/>
        </w:rPr>
      </w:pPr>
    </w:p>
    <w:p w14:paraId="59139670">
      <w:pPr>
        <w:ind w:firstLine="480"/>
        <w:rPr>
          <w:color w:val="000000"/>
          <w:szCs w:val="24"/>
        </w:rPr>
      </w:pPr>
    </w:p>
    <w:p w14:paraId="5E4359AC">
      <w:pPr>
        <w:ind w:firstLine="480"/>
        <w:rPr>
          <w:color w:val="000000"/>
          <w:szCs w:val="24"/>
        </w:rPr>
      </w:pPr>
    </w:p>
    <w:p w14:paraId="41C38A31">
      <w:pPr>
        <w:ind w:firstLine="480"/>
        <w:rPr>
          <w:color w:val="000000"/>
          <w:szCs w:val="24"/>
        </w:rPr>
      </w:pPr>
    </w:p>
    <w:p w14:paraId="49824DA3">
      <w:pPr>
        <w:ind w:firstLine="480"/>
        <w:rPr>
          <w:color w:val="000000"/>
          <w:szCs w:val="24"/>
        </w:rPr>
      </w:pPr>
    </w:p>
    <w:p w14:paraId="0D869A0D">
      <w:pPr>
        <w:ind w:firstLine="480"/>
        <w:rPr>
          <w:color w:val="000000"/>
          <w:szCs w:val="24"/>
        </w:rPr>
      </w:pPr>
    </w:p>
    <w:p w14:paraId="375D581A">
      <w:pPr>
        <w:ind w:firstLine="480"/>
        <w:rPr>
          <w:color w:val="000000"/>
          <w:szCs w:val="24"/>
        </w:rPr>
      </w:pPr>
    </w:p>
    <w:p w14:paraId="6BB5057E">
      <w:pPr>
        <w:ind w:firstLine="0" w:firstLineChars="0"/>
        <w:rPr>
          <w:color w:val="000000"/>
          <w:szCs w:val="24"/>
        </w:rPr>
      </w:pPr>
    </w:p>
    <w:p w14:paraId="7207A1E3">
      <w:pPr>
        <w:spacing w:after="156" w:afterLines="50"/>
        <w:ind w:firstLine="0" w:firstLineChars="0"/>
        <w:rPr>
          <w:rFonts w:ascii="黑体" w:eastAsia="黑体"/>
          <w:b/>
          <w:bCs/>
          <w:sz w:val="28"/>
          <w:szCs w:val="28"/>
        </w:rPr>
      </w:pPr>
      <w:bookmarkStart w:id="7" w:name="_Toc511311514"/>
      <w:bookmarkStart w:id="8" w:name="_Toc511320447"/>
      <w:r>
        <w:rPr>
          <w:rFonts w:hint="eastAsia" w:ascii="黑体" w:eastAsia="黑体"/>
          <w:b/>
          <w:bCs/>
          <w:sz w:val="28"/>
          <w:szCs w:val="28"/>
        </w:rPr>
        <w:t>XXXX-XX-XX发布</w:t>
      </w:r>
      <w:r>
        <w:rPr>
          <w:rFonts w:hint="eastAsia" w:ascii="黑体" w:eastAsia="黑体"/>
          <w:b/>
          <w:bCs/>
          <w:sz w:val="28"/>
          <w:szCs w:val="28"/>
        </w:rPr>
        <w:tab/>
      </w:r>
      <w:r>
        <w:rPr>
          <w:rFonts w:hint="eastAsia" w:ascii="黑体" w:eastAsia="黑体"/>
          <w:b/>
          <w:bCs/>
          <w:sz w:val="28"/>
          <w:szCs w:val="28"/>
        </w:rPr>
        <w:tab/>
      </w:r>
      <w:r>
        <w:rPr>
          <w:rFonts w:hint="eastAsia" w:ascii="黑体" w:eastAsia="黑体"/>
          <w:b/>
          <w:bCs/>
          <w:sz w:val="28"/>
          <w:szCs w:val="28"/>
        </w:rPr>
        <w:tab/>
      </w:r>
      <w:r>
        <w:rPr>
          <w:rFonts w:hint="eastAsia" w:ascii="黑体" w:eastAsia="黑体"/>
          <w:b/>
          <w:bCs/>
          <w:sz w:val="28"/>
          <w:szCs w:val="28"/>
        </w:rPr>
        <w:tab/>
      </w:r>
      <w:r>
        <w:rPr>
          <w:rFonts w:hint="eastAsia" w:ascii="黑体" w:eastAsia="黑体"/>
          <w:b/>
          <w:bCs/>
          <w:sz w:val="28"/>
          <w:szCs w:val="28"/>
        </w:rPr>
        <w:tab/>
      </w:r>
      <w:r>
        <w:rPr>
          <w:rFonts w:hint="eastAsia" w:ascii="黑体" w:eastAsia="黑体"/>
          <w:b/>
          <w:bCs/>
          <w:sz w:val="28"/>
          <w:szCs w:val="28"/>
        </w:rPr>
        <w:tab/>
      </w:r>
      <w:r>
        <w:rPr>
          <w:rFonts w:hint="eastAsia" w:ascii="黑体" w:eastAsia="黑体"/>
          <w:b/>
          <w:bCs/>
          <w:sz w:val="28"/>
          <w:szCs w:val="28"/>
        </w:rPr>
        <w:tab/>
      </w:r>
      <w:r>
        <w:rPr>
          <w:rFonts w:hint="eastAsia" w:ascii="黑体" w:eastAsia="黑体"/>
          <w:b/>
          <w:bCs/>
          <w:sz w:val="28"/>
          <w:szCs w:val="28"/>
        </w:rPr>
        <w:tab/>
      </w:r>
      <w:r>
        <w:rPr>
          <w:rFonts w:hint="eastAsia" w:ascii="黑体" w:eastAsia="黑体"/>
          <w:b/>
          <w:bCs/>
          <w:sz w:val="28"/>
          <w:szCs w:val="28"/>
        </w:rPr>
        <w:tab/>
      </w:r>
      <w:r>
        <w:rPr>
          <w:rFonts w:hint="eastAsia" w:ascii="黑体" w:eastAsia="黑体"/>
          <w:b/>
          <w:bCs/>
          <w:sz w:val="28"/>
          <w:szCs w:val="28"/>
        </w:rPr>
        <w:tab/>
      </w:r>
      <w:r>
        <w:rPr>
          <w:rFonts w:hint="eastAsia" w:ascii="黑体" w:eastAsia="黑体"/>
          <w:b/>
          <w:bCs/>
          <w:sz w:val="28"/>
          <w:szCs w:val="28"/>
        </w:rPr>
        <w:tab/>
      </w:r>
      <w:r>
        <w:rPr>
          <w:rFonts w:hint="eastAsia" w:ascii="黑体" w:eastAsia="黑体"/>
          <w:b/>
          <w:bCs/>
          <w:sz w:val="28"/>
          <w:szCs w:val="28"/>
        </w:rPr>
        <w:tab/>
      </w:r>
      <w:r>
        <w:rPr>
          <w:rFonts w:hint="eastAsia" w:ascii="黑体" w:eastAsia="黑体"/>
          <w:b/>
          <w:bCs/>
          <w:sz w:val="28"/>
          <w:szCs w:val="28"/>
        </w:rPr>
        <w:t xml:space="preserve">  XXXX-XX-XX实施</w:t>
      </w:r>
      <w:r>
        <w:rPr>
          <w:rFonts w:ascii="黑体" w:eastAsia="黑体"/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453390</wp:posOffset>
                </wp:positionV>
                <wp:extent cx="6221730" cy="0"/>
                <wp:effectExtent l="14605" t="13335" r="12065" b="15240"/>
                <wp:wrapNone/>
                <wp:docPr id="15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-18pt;margin-top:35.7pt;height:0pt;width:489.9pt;z-index:251661312;mso-width-relative:page;mso-height-relative:page;" filled="f" stroked="t" coordsize="21600,21600" o:gfxdata="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yha1F1gAAAAkBAAAPAAAAAAAAAAEA&#10;IAAAACIAAABkcnMvZG93bnJldi54bWxQSwECFAAUAAAACACHTuJAGCu8HNgBAACjAwAADgAAAAAA&#10;AAABACAAAAAlAQAAZHJzL2Uyb0RvYy54bWxQSwUGAAAAAAYABgBZAQAAbwUAAAAA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0F7F8739">
      <w:pPr>
        <w:ind w:firstLine="880"/>
        <w:jc w:val="center"/>
        <w:rPr>
          <w:rFonts w:asciiTheme="minorEastAsia" w:hAnsiTheme="minorEastAsia" w:eastAsiaTheme="minorEastAsia"/>
          <w:bCs/>
          <w:sz w:val="44"/>
          <w:szCs w:val="44"/>
        </w:rPr>
      </w:pPr>
    </w:p>
    <w:p w14:paraId="4E01D1D2">
      <w:pPr>
        <w:ind w:firstLine="880"/>
        <w:jc w:val="center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Fmt w:val="decimalFullWidth"/>
            <w:numRestart w:val="eachPage"/>
          </w:footnotePr>
          <w:pgSz w:w="11906" w:h="16838"/>
          <w:pgMar w:top="1588" w:right="1418" w:bottom="1418" w:left="1418" w:header="851" w:footer="992" w:gutter="0"/>
          <w:cols w:space="720" w:num="1"/>
          <w:docGrid w:type="lines" w:linePitch="312" w:charSpace="0"/>
        </w:sectPr>
      </w:pPr>
      <w:r>
        <w:rPr>
          <w:rFonts w:hint="eastAsia" w:asciiTheme="minorEastAsia" w:hAnsiTheme="minorEastAsia" w:eastAsiaTheme="minorEastAsia"/>
          <w:bCs/>
          <w:sz w:val="44"/>
          <w:szCs w:val="44"/>
        </w:rPr>
        <w:t>贵州省市场监督管理局</w:t>
      </w:r>
      <w:r>
        <w:rPr>
          <w:rFonts w:hint="eastAsia" w:ascii="黑体" w:eastAsia="黑体"/>
          <w:bCs/>
          <w:sz w:val="28"/>
          <w:szCs w:val="28"/>
        </w:rPr>
        <w:t>发 布</w:t>
      </w:r>
    </w:p>
    <w:p w14:paraId="5762E0D2">
      <w:pPr>
        <w:tabs>
          <w:tab w:val="left" w:pos="6079"/>
        </w:tabs>
        <w:spacing w:line="700" w:lineRule="exact"/>
        <w:ind w:firstLine="482" w:firstLineChars="100"/>
        <w:rPr>
          <w:rFonts w:ascii="黑体" w:hAnsi="黑体" w:eastAsia="黑体"/>
          <w:b/>
          <w:spacing w:val="20"/>
          <w:sz w:val="44"/>
          <w:szCs w:val="44"/>
        </w:rPr>
      </w:pPr>
    </w:p>
    <w:p w14:paraId="6ABAA3EC">
      <w:pPr>
        <w:tabs>
          <w:tab w:val="left" w:pos="6316"/>
        </w:tabs>
        <w:spacing w:line="700" w:lineRule="exact"/>
        <w:ind w:firstLine="482" w:firstLineChars="100"/>
        <w:rPr>
          <w:rFonts w:ascii="黑体" w:hAnsi="黑体" w:eastAsia="黑体"/>
          <w:spacing w:val="20"/>
          <w:szCs w:val="28"/>
        </w:rPr>
      </w:pPr>
      <w:r>
        <w:rPr>
          <w:rFonts w:hint="eastAsia" w:ascii="黑体" w:hAnsi="黑体" w:eastAsia="黑体"/>
          <w:b/>
          <w:spacing w:val="20"/>
          <w:sz w:val="44"/>
          <w:szCs w:val="44"/>
        </w:rPr>
        <w:t>多参数食品现场快</w:t>
      </w:r>
      <w:r>
        <w:rPr>
          <w:rFonts w:ascii="黑体" w:hAnsi="黑体" w:eastAsia="黑体"/>
          <w:b/>
          <w:spacing w:val="20"/>
          <w:sz w:val="44"/>
          <w:szCs w:val="44"/>
        </w:rPr>
        <w:tab/>
      </w:r>
      <w:r>
        <w:rPr>
          <w:rFonts w:hint="eastAsia" w:ascii="黑体" w:hAnsi="黑体" w:eastAsia="黑体"/>
          <w:spacing w:val="20"/>
          <w:sz w:val="28"/>
          <w:szCs w:val="28"/>
        </w:rPr>
        <w:t>JJFXXXX-XXXX</w:t>
      </w:r>
    </w:p>
    <w:p w14:paraId="3C1316C2">
      <w:pPr>
        <w:tabs>
          <w:tab w:val="left" w:pos="6079"/>
        </w:tabs>
        <w:spacing w:line="700" w:lineRule="exact"/>
        <w:ind w:firstLine="477" w:firstLineChars="99"/>
        <w:rPr>
          <w:rFonts w:eastAsia="方正大黑简体"/>
          <w:b/>
          <w:color w:val="FF0000"/>
          <w:spacing w:val="20"/>
          <w:sz w:val="40"/>
        </w:rPr>
      </w:pPr>
      <w:r>
        <w:rPr>
          <w:rFonts w:hint="eastAsia" w:ascii="黑体" w:hAnsi="黑体" w:eastAsia="黑体"/>
          <w:b/>
          <w:spacing w:val="20"/>
          <w:sz w:val="44"/>
          <w:szCs w:val="44"/>
        </w:rPr>
        <w:t>速检测仪校准规范</w:t>
      </w:r>
      <w:r>
        <w:drawing>
          <wp:anchor distT="0" distB="0" distL="114300" distR="114300" simplePos="0" relativeHeight="251662336" behindDoc="1" locked="1" layoutInCell="1" allowOverlap="1">
            <wp:simplePos x="0" y="0"/>
            <wp:positionH relativeFrom="page">
              <wp:posOffset>4693285</wp:posOffset>
            </wp:positionH>
            <wp:positionV relativeFrom="page">
              <wp:posOffset>1158240</wp:posOffset>
            </wp:positionV>
            <wp:extent cx="1963420" cy="790575"/>
            <wp:effectExtent l="0" t="0" r="0" b="0"/>
            <wp:wrapNone/>
            <wp:docPr id="103" name="_x0000_s1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_x0000_s119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342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spacing w:val="20"/>
          <w:sz w:val="44"/>
          <w:szCs w:val="44"/>
        </w:rPr>
        <w:t xml:space="preserve">        </w:t>
      </w:r>
    </w:p>
    <w:p w14:paraId="25F7A007">
      <w:pPr>
        <w:spacing w:line="700" w:lineRule="exact"/>
        <w:ind w:firstLine="560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Calibration Specification</w:t>
      </w:r>
      <w:r>
        <w:rPr>
          <w:rFonts w:ascii="黑体" w:hAnsi="黑体" w:eastAsia="黑体"/>
          <w:bCs/>
          <w:sz w:val="28"/>
          <w:szCs w:val="28"/>
        </w:rPr>
        <w:t xml:space="preserve"> of </w:t>
      </w:r>
    </w:p>
    <w:p w14:paraId="39DEC01F">
      <w:pPr>
        <w:spacing w:line="700" w:lineRule="exact"/>
        <w:ind w:firstLine="560"/>
        <w:rPr>
          <w:rFonts w:ascii="黑体" w:hAnsi="黑体" w:eastAsia="黑体"/>
          <w:b/>
          <w:bCs/>
          <w:color w:val="0000FF"/>
          <w:sz w:val="28"/>
          <w:szCs w:val="28"/>
        </w:rPr>
      </w:pPr>
      <w:r>
        <w:rPr>
          <w:rFonts w:ascii="黑体" w:hAnsi="黑体" w:eastAsia="黑体"/>
          <w:bCs/>
          <w:sz w:val="28"/>
          <w:szCs w:val="28"/>
        </w:rPr>
        <w:t>Multi-parameter Rapid Food Detector</w:t>
      </w:r>
    </w:p>
    <w:p w14:paraId="2E290078">
      <w:pPr>
        <w:spacing w:line="700" w:lineRule="exact"/>
        <w:ind w:firstLine="472" w:firstLineChars="196"/>
        <w:rPr>
          <w:rFonts w:ascii="黑体" w:hAnsi="黑体" w:eastAsia="黑体"/>
          <w:b/>
          <w:bCs/>
          <w:color w:val="0000FF"/>
          <w:szCs w:val="28"/>
        </w:rPr>
      </w:pPr>
    </w:p>
    <w:p w14:paraId="3D16FD6D">
      <w:pPr>
        <w:ind w:firstLine="480"/>
        <w:rPr>
          <w:rFonts w:eastAsia="方正大标宋简体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118110</wp:posOffset>
                </wp:positionV>
                <wp:extent cx="5805170" cy="0"/>
                <wp:effectExtent l="14605" t="15875" r="9525" b="12700"/>
                <wp:wrapNone/>
                <wp:docPr id="14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517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-1.5pt;margin-top:9.3pt;height:0pt;width:457.1pt;z-index:251659264;mso-width-relative:page;mso-height-relative:page;" filled="f" stroked="t" coordsize="21600,21600" o:gfxdata="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JwEiLfVAAAACAEAAA8AAAAAAAAAAQAg&#10;AAAAIgAAAGRycy9kb3ducmV2LnhtbFBLAQIUABQAAAAIAIdO4kAtG/Yv2AEAAKMDAAAOAAAAAAAA&#10;AAEAIAAAACQBAABkcnMvZTJvRG9jLnhtbFBLBQYAAAAABgAGAFkBAABu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54C90515">
      <w:pPr>
        <w:ind w:left="-98" w:leftChars="-161" w:hanging="288" w:hangingChars="120"/>
        <w:rPr>
          <w:rFonts w:eastAsia="方正大标宋简体"/>
          <w:spacing w:val="6"/>
        </w:rPr>
      </w:pPr>
      <w:r>
        <w:rPr>
          <w:rFonts w:hint="eastAsia" w:eastAsia="方正大标宋简体"/>
        </w:rPr>
        <w:t xml:space="preserve">      </w:t>
      </w:r>
    </w:p>
    <w:p w14:paraId="59B143CD">
      <w:pPr>
        <w:ind w:firstLine="480"/>
        <w:rPr>
          <w:rFonts w:eastAsia="方正大标宋简体"/>
        </w:rPr>
      </w:pPr>
    </w:p>
    <w:p w14:paraId="6BE8F34D">
      <w:pPr>
        <w:ind w:firstLine="480"/>
        <w:rPr>
          <w:rFonts w:eastAsia="方正大标宋简体"/>
        </w:rPr>
      </w:pPr>
    </w:p>
    <w:p w14:paraId="2D79BEB2">
      <w:pPr>
        <w:ind w:firstLine="480"/>
        <w:rPr>
          <w:rFonts w:eastAsia="方正大标宋简体"/>
        </w:rPr>
      </w:pPr>
    </w:p>
    <w:p w14:paraId="6E472799">
      <w:pPr>
        <w:ind w:firstLine="480"/>
        <w:rPr>
          <w:rFonts w:eastAsia="方正大标宋简体"/>
        </w:rPr>
      </w:pPr>
    </w:p>
    <w:p w14:paraId="2E768230">
      <w:pPr>
        <w:ind w:firstLine="480"/>
        <w:rPr>
          <w:rFonts w:eastAsia="方正大标宋简体"/>
        </w:rPr>
      </w:pPr>
    </w:p>
    <w:p w14:paraId="7E327FAD">
      <w:pPr>
        <w:ind w:firstLine="480"/>
        <w:rPr>
          <w:rFonts w:eastAsia="方正大标宋简体"/>
        </w:rPr>
      </w:pPr>
    </w:p>
    <w:p w14:paraId="3FF03773">
      <w:pPr>
        <w:ind w:firstLine="480"/>
        <w:rPr>
          <w:rFonts w:eastAsia="方正大标宋简体"/>
        </w:rPr>
      </w:pPr>
    </w:p>
    <w:p w14:paraId="4CAB29D8">
      <w:pPr>
        <w:ind w:firstLine="480"/>
        <w:rPr>
          <w:rFonts w:eastAsia="方正大标宋简体"/>
        </w:rPr>
      </w:pPr>
    </w:p>
    <w:p w14:paraId="4AFA014D">
      <w:pPr>
        <w:ind w:firstLine="480"/>
        <w:rPr>
          <w:rFonts w:eastAsia="方正大标宋简体"/>
        </w:rPr>
      </w:pPr>
    </w:p>
    <w:p w14:paraId="3E38CE6A">
      <w:pPr>
        <w:ind w:firstLine="0" w:firstLineChars="0"/>
        <w:rPr>
          <w:rFonts w:eastAsia="方正大标宋简体"/>
        </w:rPr>
      </w:pPr>
    </w:p>
    <w:p w14:paraId="2CE146C8">
      <w:pPr>
        <w:ind w:firstLine="1260" w:firstLineChars="450"/>
        <w:rPr>
          <w:rFonts w:ascii="黑体" w:hAnsi="黑体" w:eastAsia="黑体"/>
          <w:color w:val="000000"/>
          <w:sz w:val="28"/>
        </w:rPr>
      </w:pPr>
      <w:r>
        <w:rPr>
          <w:rFonts w:hint="eastAsia" w:ascii="黑体" w:eastAsia="黑体"/>
          <w:sz w:val="28"/>
        </w:rPr>
        <w:t>归</w:t>
      </w:r>
      <w:r>
        <w:rPr>
          <w:rFonts w:hint="eastAsia" w:ascii="黑体" w:eastAsia="黑体"/>
          <w:sz w:val="18"/>
          <w:szCs w:val="18"/>
        </w:rPr>
        <w:t xml:space="preserve">  </w:t>
      </w:r>
      <w:r>
        <w:rPr>
          <w:rFonts w:hint="eastAsia" w:ascii="黑体" w:eastAsia="黑体"/>
          <w:sz w:val="28"/>
        </w:rPr>
        <w:t>口</w:t>
      </w:r>
      <w:r>
        <w:rPr>
          <w:rFonts w:hint="eastAsia" w:ascii="黑体" w:eastAsia="黑体"/>
          <w:sz w:val="18"/>
          <w:szCs w:val="18"/>
        </w:rPr>
        <w:t xml:space="preserve">  </w:t>
      </w:r>
      <w:r>
        <w:rPr>
          <w:rFonts w:hint="eastAsia" w:ascii="黑体" w:eastAsia="黑体"/>
          <w:sz w:val="28"/>
        </w:rPr>
        <w:t>单</w:t>
      </w:r>
      <w:r>
        <w:rPr>
          <w:rFonts w:hint="eastAsia" w:ascii="黑体" w:eastAsia="黑体"/>
          <w:sz w:val="18"/>
          <w:szCs w:val="18"/>
        </w:rPr>
        <w:t xml:space="preserve">  </w:t>
      </w:r>
      <w:r>
        <w:rPr>
          <w:rFonts w:hint="eastAsia" w:ascii="黑体" w:eastAsia="黑体"/>
          <w:sz w:val="28"/>
        </w:rPr>
        <w:t>位</w:t>
      </w:r>
      <w:r>
        <w:rPr>
          <w:rFonts w:hint="eastAsia" w:ascii="黑体" w:eastAsia="黑体"/>
          <w:bCs/>
          <w:sz w:val="28"/>
        </w:rPr>
        <w:t>：</w:t>
      </w:r>
      <w:r>
        <w:rPr>
          <w:rFonts w:hint="eastAsia" w:ascii="黑体" w:hAnsi="黑体" w:eastAsia="黑体"/>
          <w:color w:val="000000"/>
          <w:sz w:val="28"/>
        </w:rPr>
        <w:t xml:space="preserve"> 遵义市市场监督管理局</w:t>
      </w:r>
    </w:p>
    <w:p w14:paraId="70B6AE12">
      <w:pPr>
        <w:ind w:firstLine="1260" w:firstLineChars="450"/>
        <w:rPr>
          <w:rFonts w:ascii="黑体" w:hAnsi="黑体" w:eastAsia="黑体"/>
          <w:color w:val="000000"/>
          <w:sz w:val="28"/>
        </w:rPr>
      </w:pPr>
      <w:r>
        <w:rPr>
          <w:rFonts w:hint="eastAsia" w:ascii="黑体" w:hAnsi="黑体" w:eastAsia="黑体"/>
          <w:color w:val="000000"/>
          <w:sz w:val="28"/>
        </w:rPr>
        <w:t>主要起草单位： 遵义市产品质量检验检测院</w:t>
      </w:r>
    </w:p>
    <w:p w14:paraId="70C475E5">
      <w:pPr>
        <w:ind w:firstLine="1260" w:firstLineChars="450"/>
        <w:rPr>
          <w:rFonts w:ascii="黑体" w:hAnsi="黑体" w:eastAsia="黑体"/>
          <w:color w:val="000000"/>
          <w:sz w:val="28"/>
        </w:rPr>
      </w:pPr>
      <w:r>
        <w:rPr>
          <w:rFonts w:hint="eastAsia" w:ascii="黑体" w:hAnsi="黑体" w:eastAsia="黑体"/>
          <w:color w:val="000000"/>
          <w:sz w:val="28"/>
        </w:rPr>
        <w:t xml:space="preserve">              （遵义市综合检验检测中心）</w:t>
      </w:r>
    </w:p>
    <w:p w14:paraId="1326AA88">
      <w:pPr>
        <w:ind w:firstLine="1260" w:firstLineChars="450"/>
        <w:rPr>
          <w:rFonts w:ascii="黑体" w:hAnsi="黑体" w:eastAsia="黑体"/>
          <w:color w:val="000000"/>
          <w:sz w:val="28"/>
        </w:rPr>
      </w:pPr>
      <w:r>
        <w:rPr>
          <w:rFonts w:hint="eastAsia" w:ascii="黑体" w:hAnsi="黑体" w:eastAsia="黑体"/>
          <w:color w:val="000000"/>
          <w:sz w:val="28"/>
        </w:rPr>
        <w:t xml:space="preserve">                            </w:t>
      </w:r>
    </w:p>
    <w:p w14:paraId="194F8631">
      <w:pPr>
        <w:ind w:firstLine="1260" w:firstLineChars="450"/>
        <w:rPr>
          <w:rFonts w:ascii="黑体" w:hAnsi="黑体" w:eastAsia="黑体"/>
          <w:color w:val="000000"/>
          <w:sz w:val="28"/>
        </w:rPr>
      </w:pPr>
      <w:r>
        <w:rPr>
          <w:rFonts w:hint="eastAsia" w:ascii="黑体" w:hAnsi="黑体" w:eastAsia="黑体"/>
          <w:color w:val="000000"/>
          <w:sz w:val="28"/>
        </w:rPr>
        <w:t>参加起草单位：贵州省计量测试院</w:t>
      </w:r>
    </w:p>
    <w:p w14:paraId="0B31B095">
      <w:pPr>
        <w:ind w:firstLine="0" w:firstLineChars="0"/>
        <w:rPr>
          <w:rFonts w:ascii="宋体" w:hAnsi="宋体"/>
        </w:rPr>
      </w:pPr>
    </w:p>
    <w:p w14:paraId="2199B501">
      <w:pPr>
        <w:ind w:firstLine="0" w:firstLineChars="0"/>
        <w:rPr>
          <w:rFonts w:eastAsia="方正大标宋简体"/>
        </w:rPr>
      </w:pPr>
    </w:p>
    <w:p w14:paraId="7A681383">
      <w:pPr>
        <w:ind w:firstLine="0" w:firstLineChars="0"/>
        <w:rPr>
          <w:rFonts w:eastAsia="方正大标宋简体"/>
        </w:rPr>
      </w:pPr>
    </w:p>
    <w:p w14:paraId="2123FA07">
      <w:pPr>
        <w:ind w:firstLine="0" w:firstLineChars="0"/>
        <w:rPr>
          <w:rFonts w:eastAsia="方正大标宋简体"/>
        </w:rPr>
      </w:pPr>
    </w:p>
    <w:p w14:paraId="42823D32">
      <w:pPr>
        <w:ind w:firstLine="0" w:firstLineChars="0"/>
        <w:rPr>
          <w:rFonts w:eastAsia="方正大标宋简体"/>
        </w:rPr>
      </w:pPr>
    </w:p>
    <w:p w14:paraId="26C5D3DE">
      <w:pPr>
        <w:spacing w:line="500" w:lineRule="exact"/>
        <w:ind w:firstLine="56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本规范委托遵义市产品质量检验检测院（遵义市综合检验检测中性）负责解释</w:t>
      </w:r>
    </w:p>
    <w:p w14:paraId="79303906">
      <w:pPr>
        <w:ind w:firstLine="480"/>
        <w:jc w:val="left"/>
        <w:outlineLvl w:val="0"/>
        <w:rPr>
          <w:rFonts w:eastAsia="黑体" w:cs="黑体"/>
          <w:szCs w:val="28"/>
        </w:rPr>
      </w:pPr>
      <w:bookmarkStart w:id="9" w:name="_Toc89184070"/>
      <w:bookmarkStart w:id="10" w:name="_Toc101281454"/>
      <w:bookmarkStart w:id="11" w:name="_Toc101442444"/>
    </w:p>
    <w:p w14:paraId="08A2618A">
      <w:pPr>
        <w:ind w:firstLine="0" w:firstLineChars="0"/>
        <w:rPr>
          <w:rFonts w:ascii="黑体" w:hAnsi="黑体" w:eastAsia="黑体"/>
          <w:b/>
          <w:szCs w:val="28"/>
        </w:rPr>
      </w:pPr>
    </w:p>
    <w:p w14:paraId="063F0906">
      <w:pPr>
        <w:ind w:firstLine="0" w:firstLineChars="0"/>
        <w:rPr>
          <w:rFonts w:ascii="黑体" w:hAnsi="黑体" w:eastAsia="黑体"/>
          <w:b/>
          <w:szCs w:val="28"/>
        </w:rPr>
      </w:pPr>
    </w:p>
    <w:p w14:paraId="3BA83A78">
      <w:pPr>
        <w:ind w:firstLine="562"/>
        <w:rPr>
          <w:rFonts w:ascii="黑体" w:hAnsi="黑体" w:eastAsia="黑体" w:cs="宋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本规范主要起草人</w:t>
      </w:r>
      <w:r>
        <w:rPr>
          <w:rFonts w:hint="eastAsia" w:ascii="黑体" w:hAnsi="黑体" w:eastAsia="黑体" w:cs="宋体"/>
          <w:b/>
          <w:bCs/>
          <w:sz w:val="28"/>
          <w:szCs w:val="28"/>
        </w:rPr>
        <w:t>：</w:t>
      </w:r>
      <w:bookmarkEnd w:id="7"/>
      <w:bookmarkEnd w:id="8"/>
      <w:bookmarkEnd w:id="9"/>
      <w:bookmarkEnd w:id="10"/>
      <w:bookmarkEnd w:id="11"/>
    </w:p>
    <w:p w14:paraId="6C946931">
      <w:pPr>
        <w:ind w:left="2522" w:leftChars="584" w:hanging="1120" w:hangingChars="4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邹明松  </w:t>
      </w:r>
      <w:bookmarkStart w:id="12" w:name="OLE_LINK1"/>
      <w:bookmarkStart w:id="13" w:name="OLE_LINK2"/>
      <w:r>
        <w:rPr>
          <w:rFonts w:hint="eastAsia" w:asciiTheme="minorEastAsia" w:hAnsiTheme="minorEastAsia" w:eastAsiaTheme="minorEastAsia"/>
          <w:sz w:val="28"/>
          <w:szCs w:val="28"/>
        </w:rPr>
        <w:t>[遵义市产品质量检验检测院（遵义市综合检验检测中心</w:t>
      </w:r>
      <w:r>
        <w:rPr>
          <w:rFonts w:asciiTheme="minorEastAsia" w:hAnsiTheme="minorEastAsia" w:eastAsiaTheme="minorEastAsia"/>
          <w:sz w:val="28"/>
          <w:szCs w:val="28"/>
        </w:rPr>
        <w:t>）</w:t>
      </w:r>
      <w:r>
        <w:rPr>
          <w:rFonts w:hint="eastAsia" w:asciiTheme="minorEastAsia" w:hAnsiTheme="minorEastAsia" w:eastAsiaTheme="minorEastAsia"/>
          <w:sz w:val="28"/>
          <w:szCs w:val="28"/>
        </w:rPr>
        <w:t>]</w:t>
      </w:r>
    </w:p>
    <w:bookmarkEnd w:id="12"/>
    <w:bookmarkEnd w:id="13"/>
    <w:p w14:paraId="5E220020">
      <w:pPr>
        <w:ind w:firstLine="56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闵世俊 （贵州省计量测试院）</w:t>
      </w:r>
    </w:p>
    <w:p w14:paraId="00AF274C">
      <w:pPr>
        <w:ind w:left="2522" w:leftChars="584" w:hanging="1120" w:hangingChars="4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范贵鹏  </w:t>
      </w:r>
      <w:bookmarkStart w:id="14" w:name="_Toc89184071"/>
      <w:bookmarkStart w:id="15" w:name="_Toc511311518"/>
      <w:bookmarkStart w:id="16" w:name="_Toc511320451"/>
      <w:bookmarkStart w:id="17" w:name="_Toc101281458"/>
      <w:bookmarkStart w:id="18" w:name="_Toc101442448"/>
      <w:r>
        <w:rPr>
          <w:rFonts w:hint="eastAsia" w:asciiTheme="minorEastAsia" w:hAnsiTheme="minorEastAsia" w:eastAsiaTheme="minorEastAsia"/>
          <w:sz w:val="28"/>
          <w:szCs w:val="28"/>
        </w:rPr>
        <w:t>[遵义市产品质量检验检测院（遵义市综合检验检测中心）]</w:t>
      </w:r>
    </w:p>
    <w:p w14:paraId="2AC7E4F2">
      <w:pPr>
        <w:ind w:firstLine="562"/>
        <w:rPr>
          <w:rFonts w:ascii="黑体" w:hAnsi="黑体" w:eastAsia="黑体"/>
          <w:b/>
          <w:sz w:val="28"/>
          <w:szCs w:val="28"/>
        </w:rPr>
      </w:pP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参加起草人：</w:t>
      </w:r>
      <w:bookmarkEnd w:id="14"/>
      <w:bookmarkEnd w:id="15"/>
      <w:bookmarkEnd w:id="16"/>
      <w:bookmarkEnd w:id="17"/>
      <w:bookmarkEnd w:id="18"/>
    </w:p>
    <w:p w14:paraId="27DBEAA7">
      <w:pPr>
        <w:ind w:left="2522" w:leftChars="584" w:hanging="1120" w:hangingChars="4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黑体" w:asciiTheme="minorEastAsia" w:hAnsiTheme="minorEastAsia" w:eastAsiaTheme="minorEastAsia"/>
          <w:sz w:val="28"/>
          <w:szCs w:val="28"/>
        </w:rPr>
        <w:t xml:space="preserve">黄永松  </w:t>
      </w:r>
      <w:r>
        <w:rPr>
          <w:rFonts w:hint="eastAsia" w:asciiTheme="minorEastAsia" w:hAnsiTheme="minorEastAsia" w:eastAsiaTheme="minorEastAsia"/>
          <w:sz w:val="28"/>
          <w:szCs w:val="28"/>
        </w:rPr>
        <w:t>[遵义市产品质量检验检测院（遵义市综合检验检测中心）]</w:t>
      </w:r>
    </w:p>
    <w:p w14:paraId="4708EC09">
      <w:pPr>
        <w:ind w:left="2522" w:leftChars="584" w:hanging="1120" w:hangingChars="4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唐斌斌  </w:t>
      </w:r>
      <w:bookmarkStart w:id="19" w:name="OLE_LINK3"/>
      <w:bookmarkStart w:id="20" w:name="OLE_LINK4"/>
      <w:r>
        <w:rPr>
          <w:rFonts w:hint="eastAsia" w:asciiTheme="minorEastAsia" w:hAnsiTheme="minorEastAsia" w:eastAsiaTheme="minorEastAsia"/>
          <w:sz w:val="28"/>
          <w:szCs w:val="28"/>
        </w:rPr>
        <w:t>[遵义市产品质量检验检测院（遵义市综合检验检测中心）]</w:t>
      </w:r>
    </w:p>
    <w:bookmarkEnd w:id="19"/>
    <w:bookmarkEnd w:id="20"/>
    <w:p w14:paraId="09423637">
      <w:pPr>
        <w:ind w:left="2522" w:leftChars="584" w:hanging="1120" w:hangingChars="4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李留进  [遵义市产品质量检验检测院（遵义市综合检验检测中心）]</w:t>
      </w:r>
    </w:p>
    <w:p w14:paraId="4A81F193">
      <w:pPr>
        <w:ind w:firstLine="1318" w:firstLineChars="471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张晓娟 （贵州省计量测试院）</w:t>
      </w:r>
    </w:p>
    <w:p w14:paraId="3D56861F">
      <w:pPr>
        <w:ind w:firstLine="480"/>
        <w:jc w:val="left"/>
        <w:outlineLvl w:val="0"/>
        <w:rPr>
          <w:rFonts w:ascii="宋体" w:hAnsi="宋体"/>
          <w:szCs w:val="28"/>
        </w:rPr>
      </w:pPr>
      <w:r>
        <w:rPr>
          <w:szCs w:val="28"/>
        </w:rPr>
        <w:t xml:space="preserve">        </w:t>
      </w:r>
      <w:r>
        <w:rPr>
          <w:rFonts w:hint="eastAsia"/>
          <w:szCs w:val="28"/>
        </w:rPr>
        <w:t xml:space="preserve"> </w:t>
      </w:r>
      <w:r>
        <w:rPr>
          <w:szCs w:val="28"/>
        </w:rPr>
        <w:t xml:space="preserve"> </w:t>
      </w:r>
    </w:p>
    <w:p w14:paraId="3F450FD0">
      <w:pPr>
        <w:ind w:firstLine="480"/>
        <w:jc w:val="left"/>
        <w:outlineLvl w:val="0"/>
        <w:rPr>
          <w:rFonts w:eastAsia="黑体"/>
          <w:color w:val="FFC000"/>
          <w:szCs w:val="28"/>
        </w:rPr>
        <w:sectPr>
          <w:headerReference r:id="rId11" w:type="default"/>
          <w:footerReference r:id="rId12" w:type="default"/>
          <w:pgSz w:w="11906" w:h="16838"/>
          <w:pgMar w:top="1264" w:right="1418" w:bottom="1418" w:left="1418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eastAsia="黑体"/>
          <w:szCs w:val="28"/>
        </w:rPr>
        <w:t xml:space="preserve">      </w:t>
      </w:r>
    </w:p>
    <w:p w14:paraId="170C3931">
      <w:pPr>
        <w:pStyle w:val="17"/>
        <w:ind w:firstLine="883"/>
      </w:pPr>
    </w:p>
    <w:p w14:paraId="24BE243E">
      <w:pPr>
        <w:pStyle w:val="17"/>
        <w:ind w:firstLine="883"/>
        <w:rPr>
          <w:szCs w:val="28"/>
        </w:rPr>
      </w:pPr>
      <w:r>
        <w:rPr>
          <w:rFonts w:hint="eastAsia"/>
        </w:rPr>
        <w:t>目  录</w:t>
      </w:r>
    </w:p>
    <w:sdt>
      <w:sdtPr>
        <w:rPr>
          <w:rFonts w:ascii="Times New Roman" w:hAnsi="Times New Roman" w:eastAsia="宋体" w:cs="Times New Roman"/>
          <w:bCs w:val="0"/>
          <w:color w:val="auto"/>
          <w:kern w:val="2"/>
          <w:sz w:val="24"/>
          <w:szCs w:val="21"/>
          <w:lang w:val="zh-CN"/>
        </w:rPr>
        <w:id w:val="604313485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="Times New Roman"/>
          <w:b/>
          <w:bCs w:val="0"/>
          <w:color w:val="auto"/>
          <w:kern w:val="2"/>
          <w:sz w:val="24"/>
          <w:szCs w:val="21"/>
          <w:lang w:val="zh-CN"/>
        </w:rPr>
      </w:sdtEndPr>
      <w:sdtContent>
        <w:p w14:paraId="29113C1B">
          <w:pPr>
            <w:pStyle w:val="55"/>
            <w:rPr>
              <w:rFonts w:asciiTheme="minorEastAsia" w:hAnsiTheme="minorEastAsia" w:eastAsiaTheme="minorEastAsia"/>
              <w:sz w:val="24"/>
              <w:szCs w:val="24"/>
            </w:rPr>
          </w:pPr>
          <w:bookmarkStart w:id="21" w:name="_Toc54707737"/>
          <w:bookmarkStart w:id="22" w:name="_Toc229426236"/>
          <w:bookmarkStart w:id="23" w:name="_Toc229426185"/>
          <w:bookmarkStart w:id="24" w:name="_Toc229426357"/>
          <w:bookmarkStart w:id="25" w:name="_Toc101442454"/>
        </w:p>
        <w:p w14:paraId="3D4C4AAE">
          <w:pPr>
            <w:pStyle w:val="16"/>
            <w:ind w:firstLine="480"/>
            <w:rPr>
              <w:rFonts w:asciiTheme="minorEastAsia" w:hAnsiTheme="minorEastAsia" w:eastAsiaTheme="minorEastAsia" w:cstheme="minorBidi"/>
              <w:szCs w:val="24"/>
            </w:rPr>
          </w:pPr>
          <w:r>
            <w:rPr>
              <w:rFonts w:asciiTheme="minorEastAsia" w:hAnsiTheme="minorEastAsia" w:eastAsiaTheme="minorEastAsia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szCs w:val="24"/>
            </w:rPr>
            <w:instrText xml:space="preserve"> TOC \o "1-3" \h \z \u </w:instrText>
          </w:r>
          <w:r>
            <w:rPr>
              <w:rFonts w:asciiTheme="minorEastAsia" w:hAnsiTheme="minorEastAsia" w:eastAsiaTheme="minorEastAsia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"_Toc229431097" </w:instrText>
          </w:r>
          <w:r>
            <w:fldChar w:fldCharType="separate"/>
          </w:r>
          <w:r>
            <w:rPr>
              <w:rStyle w:val="24"/>
              <w:rFonts w:hint="eastAsia" w:asciiTheme="minorEastAsia" w:hAnsiTheme="minorEastAsia" w:eastAsiaTheme="minorEastAsia"/>
              <w:szCs w:val="24"/>
            </w:rPr>
            <w:t>引</w:t>
          </w:r>
          <w:r>
            <w:rPr>
              <w:rStyle w:val="24"/>
              <w:rFonts w:asciiTheme="minorEastAsia" w:hAnsiTheme="minorEastAsia" w:eastAsiaTheme="minorEastAsia"/>
              <w:szCs w:val="24"/>
            </w:rPr>
            <w:t xml:space="preserve">  </w:t>
          </w:r>
          <w:r>
            <w:rPr>
              <w:rStyle w:val="24"/>
              <w:rFonts w:hint="eastAsia" w:asciiTheme="minorEastAsia" w:hAnsiTheme="minorEastAsia" w:eastAsiaTheme="minorEastAsia"/>
              <w:szCs w:val="24"/>
            </w:rPr>
            <w:t>言</w:t>
          </w:r>
          <w:r>
            <w:rPr>
              <w:rFonts w:asciiTheme="minorEastAsia" w:hAnsiTheme="minorEastAsia" w:eastAsiaTheme="minorEastAsia"/>
              <w:szCs w:val="24"/>
            </w:rPr>
            <w:tab/>
          </w:r>
          <w:r>
            <w:rPr>
              <w:rFonts w:asciiTheme="minorEastAsia" w:hAnsiTheme="minorEastAsia" w:eastAsiaTheme="minorEastAsia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szCs w:val="24"/>
            </w:rPr>
            <w:instrText xml:space="preserve"> PAGEREF _Toc229431097 \h </w:instrText>
          </w:r>
          <w:r>
            <w:rPr>
              <w:rFonts w:asciiTheme="minorEastAsia" w:hAnsiTheme="minorEastAsia" w:eastAsiaTheme="minorEastAsia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szCs w:val="24"/>
            </w:rPr>
            <w:t>II</w:t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</w:p>
        <w:p w14:paraId="6218795C">
          <w:pPr>
            <w:pStyle w:val="16"/>
            <w:ind w:firstLine="480"/>
            <w:rPr>
              <w:rFonts w:asciiTheme="minorEastAsia" w:hAnsiTheme="minorEastAsia" w:eastAsiaTheme="minorEastAsia" w:cstheme="minorBidi"/>
              <w:szCs w:val="24"/>
            </w:rPr>
          </w:pPr>
          <w:r>
            <w:fldChar w:fldCharType="begin"/>
          </w:r>
          <w:r>
            <w:instrText xml:space="preserve"> HYPERLINK \l "_Toc229431098"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szCs w:val="24"/>
            </w:rPr>
            <w:t xml:space="preserve">1  </w:t>
          </w:r>
          <w:r>
            <w:rPr>
              <w:rStyle w:val="24"/>
              <w:rFonts w:hint="eastAsia" w:asciiTheme="minorEastAsia" w:hAnsiTheme="minorEastAsia" w:eastAsiaTheme="minorEastAsia"/>
              <w:szCs w:val="24"/>
            </w:rPr>
            <w:t>范围</w:t>
          </w:r>
          <w:r>
            <w:rPr>
              <w:rFonts w:asciiTheme="minorEastAsia" w:hAnsiTheme="minorEastAsia" w:eastAsiaTheme="minorEastAsia"/>
              <w:szCs w:val="24"/>
            </w:rPr>
            <w:tab/>
          </w:r>
          <w:r>
            <w:rPr>
              <w:rFonts w:asciiTheme="minorEastAsia" w:hAnsiTheme="minorEastAsia" w:eastAsiaTheme="minorEastAsia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szCs w:val="24"/>
            </w:rPr>
            <w:instrText xml:space="preserve"> PAGEREF _Toc229431098 \h </w:instrText>
          </w:r>
          <w:r>
            <w:rPr>
              <w:rFonts w:asciiTheme="minorEastAsia" w:hAnsiTheme="minorEastAsia" w:eastAsiaTheme="minorEastAsia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szCs w:val="24"/>
            </w:rPr>
            <w:t>1</w:t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</w:p>
        <w:p w14:paraId="37022D62">
          <w:pPr>
            <w:pStyle w:val="16"/>
            <w:ind w:firstLine="480"/>
            <w:rPr>
              <w:rFonts w:asciiTheme="minorEastAsia" w:hAnsiTheme="minorEastAsia" w:eastAsiaTheme="minorEastAsia" w:cstheme="minorBidi"/>
              <w:szCs w:val="24"/>
            </w:rPr>
          </w:pPr>
          <w:r>
            <w:fldChar w:fldCharType="begin"/>
          </w:r>
          <w:r>
            <w:instrText xml:space="preserve"> HYPERLINK \l "_Toc229431099"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szCs w:val="24"/>
            </w:rPr>
            <w:t xml:space="preserve">2  </w:t>
          </w:r>
          <w:r>
            <w:rPr>
              <w:rStyle w:val="24"/>
              <w:rFonts w:hint="eastAsia" w:asciiTheme="minorEastAsia" w:hAnsiTheme="minorEastAsia" w:eastAsiaTheme="minorEastAsia"/>
              <w:szCs w:val="24"/>
            </w:rPr>
            <w:t>引用文件</w:t>
          </w:r>
          <w:r>
            <w:rPr>
              <w:rFonts w:asciiTheme="minorEastAsia" w:hAnsiTheme="minorEastAsia" w:eastAsiaTheme="minorEastAsia"/>
              <w:szCs w:val="24"/>
            </w:rPr>
            <w:tab/>
          </w:r>
          <w:r>
            <w:rPr>
              <w:rFonts w:asciiTheme="minorEastAsia" w:hAnsiTheme="minorEastAsia" w:eastAsiaTheme="minorEastAsia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szCs w:val="24"/>
            </w:rPr>
            <w:instrText xml:space="preserve"> PAGEREF _Toc229431099 \h </w:instrText>
          </w:r>
          <w:r>
            <w:rPr>
              <w:rFonts w:asciiTheme="minorEastAsia" w:hAnsiTheme="minorEastAsia" w:eastAsiaTheme="minorEastAsia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szCs w:val="24"/>
            </w:rPr>
            <w:t>1</w:t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</w:p>
        <w:p w14:paraId="35112AB2">
          <w:pPr>
            <w:pStyle w:val="16"/>
            <w:ind w:firstLine="480"/>
            <w:rPr>
              <w:rFonts w:asciiTheme="minorEastAsia" w:hAnsiTheme="minorEastAsia" w:eastAsiaTheme="minorEastAsia" w:cstheme="minorBidi"/>
              <w:szCs w:val="24"/>
            </w:rPr>
          </w:pPr>
          <w:r>
            <w:fldChar w:fldCharType="begin"/>
          </w:r>
          <w:r>
            <w:instrText xml:space="preserve"> HYPERLINK \l "_Toc229431100"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szCs w:val="24"/>
            </w:rPr>
            <w:t xml:space="preserve">3  </w:t>
          </w:r>
          <w:r>
            <w:rPr>
              <w:rStyle w:val="24"/>
              <w:rFonts w:hint="eastAsia" w:asciiTheme="minorEastAsia" w:hAnsiTheme="minorEastAsia" w:eastAsiaTheme="minorEastAsia"/>
              <w:szCs w:val="24"/>
            </w:rPr>
            <w:t>概述</w:t>
          </w:r>
          <w:r>
            <w:rPr>
              <w:rFonts w:asciiTheme="minorEastAsia" w:hAnsiTheme="minorEastAsia" w:eastAsiaTheme="minorEastAsia"/>
              <w:szCs w:val="24"/>
            </w:rPr>
            <w:tab/>
          </w:r>
          <w:r>
            <w:rPr>
              <w:rFonts w:asciiTheme="minorEastAsia" w:hAnsiTheme="minorEastAsia" w:eastAsiaTheme="minorEastAsia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szCs w:val="24"/>
            </w:rPr>
            <w:instrText xml:space="preserve"> PAGEREF _Toc229431100 \h </w:instrText>
          </w:r>
          <w:r>
            <w:rPr>
              <w:rFonts w:asciiTheme="minorEastAsia" w:hAnsiTheme="minorEastAsia" w:eastAsiaTheme="minorEastAsia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szCs w:val="24"/>
            </w:rPr>
            <w:t>1</w:t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</w:p>
        <w:p w14:paraId="411D7886">
          <w:pPr>
            <w:pStyle w:val="16"/>
            <w:ind w:firstLine="480"/>
            <w:rPr>
              <w:rFonts w:asciiTheme="minorEastAsia" w:hAnsiTheme="minorEastAsia" w:eastAsiaTheme="minorEastAsia" w:cstheme="minorBidi"/>
              <w:szCs w:val="24"/>
            </w:rPr>
          </w:pPr>
          <w:r>
            <w:fldChar w:fldCharType="begin"/>
          </w:r>
          <w:r>
            <w:instrText xml:space="preserve"> HYPERLINK \l "_Toc229431101"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szCs w:val="24"/>
            </w:rPr>
            <w:t xml:space="preserve">4  </w:t>
          </w:r>
          <w:r>
            <w:rPr>
              <w:rStyle w:val="24"/>
              <w:rFonts w:hint="eastAsia" w:asciiTheme="minorEastAsia" w:hAnsiTheme="minorEastAsia" w:eastAsiaTheme="minorEastAsia"/>
              <w:szCs w:val="24"/>
            </w:rPr>
            <w:t>计量特性</w:t>
          </w:r>
          <w:r>
            <w:rPr>
              <w:rFonts w:asciiTheme="minorEastAsia" w:hAnsiTheme="minorEastAsia" w:eastAsiaTheme="minorEastAsia"/>
              <w:szCs w:val="24"/>
            </w:rPr>
            <w:tab/>
          </w:r>
          <w:r>
            <w:rPr>
              <w:rFonts w:asciiTheme="minorEastAsia" w:hAnsiTheme="minorEastAsia" w:eastAsiaTheme="minorEastAsia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szCs w:val="24"/>
            </w:rPr>
            <w:instrText xml:space="preserve"> PAGEREF _Toc229431101 \h </w:instrText>
          </w:r>
          <w:r>
            <w:rPr>
              <w:rFonts w:asciiTheme="minorEastAsia" w:hAnsiTheme="minorEastAsia" w:eastAsiaTheme="minorEastAsia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szCs w:val="24"/>
            </w:rPr>
            <w:t>1</w:t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</w:p>
        <w:p w14:paraId="3308C6C9">
          <w:pPr>
            <w:pStyle w:val="17"/>
            <w:ind w:firstLine="883"/>
            <w:rPr>
              <w:rFonts w:asciiTheme="minorEastAsia" w:hAnsiTheme="minorEastAsia" w:eastAsiaTheme="minorEastAsia" w:cstheme="minorBidi"/>
              <w:b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"_Toc229431102"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b w:val="0"/>
              <w:sz w:val="24"/>
              <w:szCs w:val="24"/>
            </w:rPr>
            <w:t xml:space="preserve">4.1 </w:t>
          </w:r>
          <w:r>
            <w:rPr>
              <w:rStyle w:val="24"/>
              <w:rFonts w:hint="eastAsia" w:asciiTheme="minorEastAsia" w:hAnsiTheme="minorEastAsia" w:eastAsiaTheme="minorEastAsia"/>
              <w:b w:val="0"/>
              <w:sz w:val="24"/>
              <w:szCs w:val="24"/>
            </w:rPr>
            <w:t>波长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ab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instrText xml:space="preserve"> PAGEREF _Toc229431102 \h </w:instrTex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>1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</w:p>
        <w:p w14:paraId="7F007F88">
          <w:pPr>
            <w:pStyle w:val="17"/>
            <w:ind w:firstLine="883"/>
            <w:rPr>
              <w:rFonts w:asciiTheme="minorEastAsia" w:hAnsiTheme="minorEastAsia" w:eastAsiaTheme="minorEastAsia" w:cstheme="minorBidi"/>
              <w:b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"_Toc229431103"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b w:val="0"/>
              <w:sz w:val="24"/>
              <w:szCs w:val="24"/>
            </w:rPr>
            <w:t xml:space="preserve">4.2 </w:t>
          </w:r>
          <w:r>
            <w:rPr>
              <w:rStyle w:val="24"/>
              <w:rFonts w:hint="eastAsia" w:asciiTheme="minorEastAsia" w:hAnsiTheme="minorEastAsia" w:eastAsiaTheme="minorEastAsia"/>
              <w:b w:val="0"/>
              <w:sz w:val="24"/>
              <w:szCs w:val="24"/>
            </w:rPr>
            <w:t>透射比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ab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instrText xml:space="preserve"> PAGEREF _Toc229431103 \h </w:instrTex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>1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</w:p>
        <w:p w14:paraId="27E260D8">
          <w:pPr>
            <w:pStyle w:val="17"/>
            <w:ind w:firstLine="883"/>
            <w:rPr>
              <w:rFonts w:asciiTheme="minorEastAsia" w:hAnsiTheme="minorEastAsia" w:eastAsiaTheme="minorEastAsia" w:cstheme="minorBidi"/>
              <w:b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"_Toc229431104"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b w:val="0"/>
              <w:sz w:val="24"/>
              <w:szCs w:val="24"/>
            </w:rPr>
            <w:t xml:space="preserve">4.3 </w:t>
          </w:r>
          <w:r>
            <w:rPr>
              <w:rStyle w:val="24"/>
              <w:rFonts w:hint="eastAsia" w:asciiTheme="minorEastAsia" w:hAnsiTheme="minorEastAsia" w:eastAsiaTheme="minorEastAsia"/>
              <w:b w:val="0"/>
              <w:sz w:val="24"/>
              <w:szCs w:val="24"/>
            </w:rPr>
            <w:t>线性相关系数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ab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instrText xml:space="preserve"> PAGEREF _Toc229431104 \h </w:instrTex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>1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</w:p>
        <w:p w14:paraId="08BD51B6">
          <w:pPr>
            <w:pStyle w:val="17"/>
            <w:ind w:firstLine="883"/>
            <w:rPr>
              <w:rFonts w:asciiTheme="minorEastAsia" w:hAnsiTheme="minorEastAsia" w:eastAsiaTheme="minorEastAsia" w:cstheme="minorBidi"/>
              <w:b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"_Toc229431105"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b w:val="0"/>
              <w:sz w:val="24"/>
              <w:szCs w:val="24"/>
            </w:rPr>
            <w:t xml:space="preserve">4.4 </w:t>
          </w:r>
          <w:r>
            <w:rPr>
              <w:rStyle w:val="24"/>
              <w:rFonts w:hint="eastAsia" w:asciiTheme="minorEastAsia" w:hAnsiTheme="minorEastAsia" w:eastAsiaTheme="minorEastAsia"/>
              <w:b w:val="0"/>
              <w:sz w:val="24"/>
              <w:szCs w:val="24"/>
            </w:rPr>
            <w:t>稳定性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ab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instrText xml:space="preserve"> PAGEREF _Toc229431105 \h </w:instrTex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>1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</w:p>
        <w:p w14:paraId="4F570645">
          <w:pPr>
            <w:pStyle w:val="17"/>
            <w:ind w:firstLine="883"/>
            <w:rPr>
              <w:rFonts w:asciiTheme="minorEastAsia" w:hAnsiTheme="minorEastAsia" w:eastAsiaTheme="minorEastAsia" w:cstheme="minorBidi"/>
              <w:b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"_Toc229431106"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b w:val="0"/>
              <w:sz w:val="24"/>
              <w:szCs w:val="24"/>
            </w:rPr>
            <w:t xml:space="preserve">4.5 </w:t>
          </w:r>
          <w:r>
            <w:rPr>
              <w:rStyle w:val="24"/>
              <w:rFonts w:hint="eastAsia" w:asciiTheme="minorEastAsia" w:hAnsiTheme="minorEastAsia" w:eastAsiaTheme="minorEastAsia"/>
              <w:b w:val="0"/>
              <w:sz w:val="24"/>
              <w:szCs w:val="24"/>
            </w:rPr>
            <w:t>通道间差异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ab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instrText xml:space="preserve"> PAGEREF _Toc229431106 \h </w:instrTex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>1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</w:p>
        <w:p w14:paraId="5B24B61F">
          <w:pPr>
            <w:pStyle w:val="17"/>
            <w:ind w:firstLine="883"/>
            <w:rPr>
              <w:rFonts w:asciiTheme="minorEastAsia" w:hAnsiTheme="minorEastAsia" w:eastAsiaTheme="minorEastAsia" w:cstheme="minorBidi"/>
              <w:b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"_Toc229431107"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b w:val="0"/>
              <w:sz w:val="24"/>
              <w:szCs w:val="24"/>
            </w:rPr>
            <w:t xml:space="preserve">4.6 </w:t>
          </w:r>
          <w:r>
            <w:rPr>
              <w:rStyle w:val="24"/>
              <w:rFonts w:hint="eastAsia" w:asciiTheme="minorEastAsia" w:hAnsiTheme="minorEastAsia" w:eastAsiaTheme="minorEastAsia"/>
              <w:b w:val="0"/>
              <w:sz w:val="24"/>
              <w:szCs w:val="24"/>
            </w:rPr>
            <w:t>检测仪的示值误差与重复性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ab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instrText xml:space="preserve"> PAGEREF _Toc229431107 \h </w:instrTex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>1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</w:p>
        <w:p w14:paraId="3AC99D92">
          <w:pPr>
            <w:pStyle w:val="17"/>
            <w:ind w:firstLine="883"/>
            <w:rPr>
              <w:rFonts w:asciiTheme="minorEastAsia" w:hAnsiTheme="minorEastAsia" w:eastAsiaTheme="minorEastAsia" w:cstheme="minorBidi"/>
              <w:b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"_Toc229431108"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b w:val="0"/>
              <w:sz w:val="24"/>
              <w:szCs w:val="24"/>
            </w:rPr>
            <w:t xml:space="preserve">4.7 </w:t>
          </w:r>
          <w:r>
            <w:rPr>
              <w:rStyle w:val="24"/>
              <w:rFonts w:hint="eastAsia" w:asciiTheme="minorEastAsia" w:hAnsiTheme="minorEastAsia" w:eastAsiaTheme="minorEastAsia"/>
              <w:b w:val="0"/>
              <w:sz w:val="24"/>
              <w:szCs w:val="24"/>
            </w:rPr>
            <w:t>灵敏度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ab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instrText xml:space="preserve"> PAGEREF _Toc229431108 \h </w:instrTex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>2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</w:p>
        <w:p w14:paraId="1753C886">
          <w:pPr>
            <w:pStyle w:val="16"/>
            <w:ind w:firstLine="480"/>
            <w:rPr>
              <w:rFonts w:asciiTheme="minorEastAsia" w:hAnsiTheme="minorEastAsia" w:eastAsiaTheme="minorEastAsia" w:cstheme="minorBidi"/>
              <w:szCs w:val="24"/>
            </w:rPr>
          </w:pPr>
          <w:r>
            <w:fldChar w:fldCharType="begin"/>
          </w:r>
          <w:r>
            <w:instrText xml:space="preserve"> HYPERLINK \l "_Toc229431109"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szCs w:val="24"/>
            </w:rPr>
            <w:t xml:space="preserve">5  </w:t>
          </w:r>
          <w:r>
            <w:rPr>
              <w:rStyle w:val="24"/>
              <w:rFonts w:hint="eastAsia" w:asciiTheme="minorEastAsia" w:hAnsiTheme="minorEastAsia" w:eastAsiaTheme="minorEastAsia"/>
              <w:szCs w:val="24"/>
            </w:rPr>
            <w:t>校准条件</w:t>
          </w:r>
          <w:r>
            <w:rPr>
              <w:rFonts w:asciiTheme="minorEastAsia" w:hAnsiTheme="minorEastAsia" w:eastAsiaTheme="minorEastAsia"/>
              <w:szCs w:val="24"/>
            </w:rPr>
            <w:tab/>
          </w:r>
          <w:r>
            <w:rPr>
              <w:rFonts w:asciiTheme="minorEastAsia" w:hAnsiTheme="minorEastAsia" w:eastAsiaTheme="minorEastAsia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szCs w:val="24"/>
            </w:rPr>
            <w:instrText xml:space="preserve"> PAGEREF _Toc229431109 \h </w:instrText>
          </w:r>
          <w:r>
            <w:rPr>
              <w:rFonts w:asciiTheme="minorEastAsia" w:hAnsiTheme="minorEastAsia" w:eastAsiaTheme="minorEastAsia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szCs w:val="24"/>
            </w:rPr>
            <w:t>2</w:t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</w:p>
        <w:p w14:paraId="6E7EE0A0">
          <w:pPr>
            <w:pStyle w:val="17"/>
            <w:ind w:firstLine="883"/>
            <w:rPr>
              <w:rFonts w:asciiTheme="minorEastAsia" w:hAnsiTheme="minorEastAsia" w:eastAsiaTheme="minorEastAsia" w:cstheme="minorBidi"/>
              <w:b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"_Toc229431110"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b w:val="0"/>
              <w:sz w:val="24"/>
              <w:szCs w:val="24"/>
            </w:rPr>
            <w:t xml:space="preserve">5.1 </w:t>
          </w:r>
          <w:r>
            <w:rPr>
              <w:rStyle w:val="24"/>
              <w:rFonts w:hint="eastAsia" w:asciiTheme="minorEastAsia" w:hAnsiTheme="minorEastAsia" w:eastAsiaTheme="minorEastAsia"/>
              <w:b w:val="0"/>
              <w:sz w:val="24"/>
              <w:szCs w:val="24"/>
            </w:rPr>
            <w:t>环境条件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ab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instrText xml:space="preserve"> PAGEREF _Toc229431110 \h </w:instrTex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>2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</w:p>
        <w:p w14:paraId="6B2DEBE6">
          <w:pPr>
            <w:pStyle w:val="17"/>
            <w:ind w:firstLine="883"/>
            <w:rPr>
              <w:rFonts w:asciiTheme="minorEastAsia" w:hAnsiTheme="minorEastAsia" w:eastAsiaTheme="minorEastAsia" w:cstheme="minorBidi"/>
              <w:b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"_Toc229431111"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b w:val="0"/>
              <w:sz w:val="24"/>
              <w:szCs w:val="24"/>
            </w:rPr>
            <w:t xml:space="preserve">5.2 </w:t>
          </w:r>
          <w:r>
            <w:rPr>
              <w:rStyle w:val="24"/>
              <w:rFonts w:hint="eastAsia" w:asciiTheme="minorEastAsia" w:hAnsiTheme="minorEastAsia" w:eastAsiaTheme="minorEastAsia"/>
              <w:b w:val="0"/>
              <w:sz w:val="24"/>
              <w:szCs w:val="24"/>
            </w:rPr>
            <w:t>校准设备及标准物质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ab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instrText xml:space="preserve"> PAGEREF _Toc229431111 \h </w:instrTex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>2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</w:p>
        <w:p w14:paraId="014AB0E5">
          <w:pPr>
            <w:pStyle w:val="16"/>
            <w:ind w:firstLine="480"/>
            <w:rPr>
              <w:rFonts w:asciiTheme="minorEastAsia" w:hAnsiTheme="minorEastAsia" w:eastAsiaTheme="minorEastAsia" w:cstheme="minorBidi"/>
              <w:szCs w:val="24"/>
            </w:rPr>
          </w:pPr>
          <w:r>
            <w:fldChar w:fldCharType="begin"/>
          </w:r>
          <w:r>
            <w:instrText xml:space="preserve"> HYPERLINK \l "_Toc229431112"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szCs w:val="24"/>
            </w:rPr>
            <w:t xml:space="preserve">6  </w:t>
          </w:r>
          <w:r>
            <w:rPr>
              <w:rStyle w:val="24"/>
              <w:rFonts w:hint="eastAsia" w:asciiTheme="minorEastAsia" w:hAnsiTheme="minorEastAsia" w:eastAsiaTheme="minorEastAsia"/>
              <w:szCs w:val="24"/>
            </w:rPr>
            <w:t>校准项目和校准方法</w:t>
          </w:r>
          <w:r>
            <w:rPr>
              <w:rFonts w:asciiTheme="minorEastAsia" w:hAnsiTheme="minorEastAsia" w:eastAsiaTheme="minorEastAsia"/>
              <w:szCs w:val="24"/>
            </w:rPr>
            <w:tab/>
          </w:r>
          <w:r>
            <w:rPr>
              <w:rFonts w:asciiTheme="minorEastAsia" w:hAnsiTheme="minorEastAsia" w:eastAsiaTheme="minorEastAsia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szCs w:val="24"/>
            </w:rPr>
            <w:instrText xml:space="preserve"> PAGEREF _Toc229431112 \h </w:instrText>
          </w:r>
          <w:r>
            <w:rPr>
              <w:rFonts w:asciiTheme="minorEastAsia" w:hAnsiTheme="minorEastAsia" w:eastAsiaTheme="minorEastAsia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szCs w:val="24"/>
            </w:rPr>
            <w:t>2</w:t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</w:p>
        <w:p w14:paraId="0424A6B7">
          <w:pPr>
            <w:pStyle w:val="17"/>
            <w:ind w:firstLine="883"/>
            <w:rPr>
              <w:rFonts w:asciiTheme="minorEastAsia" w:hAnsiTheme="minorEastAsia" w:eastAsiaTheme="minorEastAsia" w:cstheme="minorBidi"/>
              <w:b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"_Toc229431113"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b w:val="0"/>
              <w:sz w:val="24"/>
              <w:szCs w:val="24"/>
            </w:rPr>
            <w:t xml:space="preserve">6.1 </w:t>
          </w:r>
          <w:r>
            <w:rPr>
              <w:rStyle w:val="24"/>
              <w:rFonts w:hint="eastAsia" w:asciiTheme="minorEastAsia" w:hAnsiTheme="minorEastAsia" w:eastAsiaTheme="minorEastAsia"/>
              <w:b w:val="0"/>
              <w:sz w:val="24"/>
              <w:szCs w:val="24"/>
            </w:rPr>
            <w:t>波长示值误差和重复性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ab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instrText xml:space="preserve"> PAGEREF _Toc229431113 \h </w:instrTex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>2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</w:p>
        <w:p w14:paraId="3DF0C5B7">
          <w:pPr>
            <w:pStyle w:val="17"/>
            <w:ind w:firstLine="883"/>
            <w:rPr>
              <w:rFonts w:asciiTheme="minorEastAsia" w:hAnsiTheme="minorEastAsia" w:eastAsiaTheme="minorEastAsia" w:cstheme="minorBidi"/>
              <w:b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"_Toc229431114"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b w:val="0"/>
              <w:sz w:val="24"/>
              <w:szCs w:val="24"/>
            </w:rPr>
            <w:t xml:space="preserve">6.2 </w:t>
          </w:r>
          <w:r>
            <w:rPr>
              <w:rStyle w:val="24"/>
              <w:rFonts w:hint="eastAsia" w:asciiTheme="minorEastAsia" w:hAnsiTheme="minorEastAsia" w:eastAsiaTheme="minorEastAsia"/>
              <w:b w:val="0"/>
              <w:sz w:val="24"/>
              <w:szCs w:val="24"/>
            </w:rPr>
            <w:t>透射比示值误差和重复性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ab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instrText xml:space="preserve"> PAGEREF _Toc229431114 \h </w:instrTex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>3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</w:p>
        <w:p w14:paraId="5716A550">
          <w:pPr>
            <w:pStyle w:val="17"/>
            <w:ind w:firstLine="883"/>
            <w:rPr>
              <w:rFonts w:asciiTheme="minorEastAsia" w:hAnsiTheme="minorEastAsia" w:eastAsiaTheme="minorEastAsia" w:cstheme="minorBidi"/>
              <w:b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"_Toc229431115"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b w:val="0"/>
              <w:sz w:val="24"/>
              <w:szCs w:val="24"/>
            </w:rPr>
            <w:t xml:space="preserve">6.3 </w:t>
          </w:r>
          <w:r>
            <w:rPr>
              <w:rStyle w:val="24"/>
              <w:rFonts w:hint="eastAsia" w:asciiTheme="minorEastAsia" w:hAnsiTheme="minorEastAsia" w:eastAsiaTheme="minorEastAsia"/>
              <w:b w:val="0"/>
              <w:sz w:val="24"/>
              <w:szCs w:val="24"/>
            </w:rPr>
            <w:t>线性相关系数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ab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instrText xml:space="preserve"> PAGEREF _Toc229431115 \h </w:instrTex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>3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</w:p>
        <w:p w14:paraId="40035933">
          <w:pPr>
            <w:pStyle w:val="17"/>
            <w:ind w:firstLine="883"/>
            <w:rPr>
              <w:rFonts w:asciiTheme="minorEastAsia" w:hAnsiTheme="minorEastAsia" w:eastAsiaTheme="minorEastAsia" w:cstheme="minorBidi"/>
              <w:b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"_Toc229431116"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b w:val="0"/>
              <w:sz w:val="24"/>
              <w:szCs w:val="24"/>
            </w:rPr>
            <w:t xml:space="preserve">6.4 </w:t>
          </w:r>
          <w:r>
            <w:rPr>
              <w:rStyle w:val="24"/>
              <w:rFonts w:hint="eastAsia" w:asciiTheme="minorEastAsia" w:hAnsiTheme="minorEastAsia" w:eastAsiaTheme="minorEastAsia"/>
              <w:b w:val="0"/>
              <w:sz w:val="24"/>
              <w:szCs w:val="24"/>
            </w:rPr>
            <w:t>稳定性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ab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instrText xml:space="preserve"> PAGEREF _Toc229431116 \h </w:instrTex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>3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</w:p>
        <w:p w14:paraId="0B17530B">
          <w:pPr>
            <w:pStyle w:val="17"/>
            <w:ind w:firstLine="883"/>
            <w:rPr>
              <w:rFonts w:asciiTheme="minorEastAsia" w:hAnsiTheme="minorEastAsia" w:eastAsiaTheme="minorEastAsia" w:cstheme="minorBidi"/>
              <w:b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"_Toc229431117"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b w:val="0"/>
              <w:sz w:val="24"/>
              <w:szCs w:val="24"/>
            </w:rPr>
            <w:t xml:space="preserve">6.5 </w:t>
          </w:r>
          <w:r>
            <w:rPr>
              <w:rStyle w:val="24"/>
              <w:rFonts w:hint="eastAsia" w:asciiTheme="minorEastAsia" w:hAnsiTheme="minorEastAsia" w:eastAsiaTheme="minorEastAsia"/>
              <w:b w:val="0"/>
              <w:sz w:val="24"/>
              <w:szCs w:val="24"/>
            </w:rPr>
            <w:t>通道间差异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ab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instrText xml:space="preserve"> PAGEREF _Toc229431117 \h </w:instrTex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>3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</w:p>
        <w:p w14:paraId="2D7B7370">
          <w:pPr>
            <w:pStyle w:val="17"/>
            <w:ind w:firstLine="883"/>
            <w:rPr>
              <w:rFonts w:asciiTheme="minorEastAsia" w:hAnsiTheme="minorEastAsia" w:eastAsiaTheme="minorEastAsia" w:cstheme="minorBidi"/>
              <w:b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"_Toc229431118"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b w:val="0"/>
              <w:sz w:val="24"/>
              <w:szCs w:val="24"/>
            </w:rPr>
            <w:t xml:space="preserve">6.6 </w:t>
          </w:r>
          <w:r>
            <w:rPr>
              <w:rStyle w:val="24"/>
              <w:rFonts w:hint="eastAsia" w:asciiTheme="minorEastAsia" w:hAnsiTheme="minorEastAsia" w:eastAsiaTheme="minorEastAsia"/>
              <w:b w:val="0"/>
              <w:sz w:val="24"/>
              <w:szCs w:val="24"/>
            </w:rPr>
            <w:t>检测仪的示值误差和重复性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ab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instrText xml:space="preserve"> PAGEREF _Toc229431118 \h </w:instrTex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>4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</w:p>
        <w:p w14:paraId="3E511BEC">
          <w:pPr>
            <w:pStyle w:val="17"/>
            <w:ind w:firstLine="883"/>
            <w:rPr>
              <w:rFonts w:asciiTheme="minorEastAsia" w:hAnsiTheme="minorEastAsia" w:eastAsiaTheme="minorEastAsia" w:cstheme="minorBidi"/>
              <w:b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"_Toc229431119"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b w:val="0"/>
              <w:sz w:val="24"/>
              <w:szCs w:val="24"/>
            </w:rPr>
            <w:t xml:space="preserve">6.7 </w:t>
          </w:r>
          <w:r>
            <w:rPr>
              <w:rStyle w:val="24"/>
              <w:rFonts w:hint="eastAsia" w:asciiTheme="minorEastAsia" w:hAnsiTheme="minorEastAsia" w:eastAsiaTheme="minorEastAsia"/>
              <w:b w:val="0"/>
              <w:sz w:val="24"/>
              <w:szCs w:val="24"/>
            </w:rPr>
            <w:t>灵敏度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ab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instrText xml:space="preserve"> PAGEREF _Toc229431119 \h </w:instrTex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t>4</w:t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b w:val="0"/>
              <w:sz w:val="24"/>
              <w:szCs w:val="24"/>
            </w:rPr>
            <w:fldChar w:fldCharType="end"/>
          </w:r>
        </w:p>
        <w:p w14:paraId="6E596DAE">
          <w:pPr>
            <w:pStyle w:val="16"/>
            <w:ind w:firstLine="480"/>
            <w:rPr>
              <w:rFonts w:asciiTheme="minorEastAsia" w:hAnsiTheme="minorEastAsia" w:eastAsiaTheme="minorEastAsia" w:cstheme="minorBidi"/>
              <w:szCs w:val="24"/>
            </w:rPr>
          </w:pPr>
          <w:r>
            <w:fldChar w:fldCharType="begin"/>
          </w:r>
          <w:r>
            <w:instrText xml:space="preserve"> HYPERLINK \l "_Toc229431120"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szCs w:val="24"/>
            </w:rPr>
            <w:t xml:space="preserve">7  </w:t>
          </w:r>
          <w:r>
            <w:rPr>
              <w:rStyle w:val="24"/>
              <w:rFonts w:hint="eastAsia" w:asciiTheme="minorEastAsia" w:hAnsiTheme="minorEastAsia" w:eastAsiaTheme="minorEastAsia"/>
              <w:szCs w:val="24"/>
            </w:rPr>
            <w:t>校准结果的表达</w:t>
          </w:r>
          <w:r>
            <w:rPr>
              <w:rFonts w:asciiTheme="minorEastAsia" w:hAnsiTheme="minorEastAsia" w:eastAsiaTheme="minorEastAsia"/>
              <w:szCs w:val="24"/>
            </w:rPr>
            <w:tab/>
          </w:r>
          <w:r>
            <w:rPr>
              <w:rFonts w:asciiTheme="minorEastAsia" w:hAnsiTheme="minorEastAsia" w:eastAsiaTheme="minorEastAsia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szCs w:val="24"/>
            </w:rPr>
            <w:instrText xml:space="preserve"> PAGEREF _Toc229431120 \h </w:instrText>
          </w:r>
          <w:r>
            <w:rPr>
              <w:rFonts w:asciiTheme="minorEastAsia" w:hAnsiTheme="minorEastAsia" w:eastAsiaTheme="minorEastAsia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szCs w:val="24"/>
            </w:rPr>
            <w:t>5</w:t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</w:p>
        <w:p w14:paraId="2AE688B4">
          <w:pPr>
            <w:pStyle w:val="16"/>
            <w:ind w:firstLine="480"/>
            <w:rPr>
              <w:rFonts w:asciiTheme="minorEastAsia" w:hAnsiTheme="minorEastAsia" w:eastAsiaTheme="minorEastAsia" w:cstheme="minorBidi"/>
              <w:szCs w:val="24"/>
            </w:rPr>
          </w:pPr>
          <w:r>
            <w:fldChar w:fldCharType="begin"/>
          </w:r>
          <w:r>
            <w:instrText xml:space="preserve"> HYPERLINK \l "_Toc229431121" </w:instrText>
          </w:r>
          <w:r>
            <w:fldChar w:fldCharType="separate"/>
          </w:r>
          <w:r>
            <w:rPr>
              <w:rStyle w:val="24"/>
              <w:rFonts w:asciiTheme="minorEastAsia" w:hAnsiTheme="minorEastAsia" w:eastAsiaTheme="minorEastAsia"/>
              <w:szCs w:val="24"/>
            </w:rPr>
            <w:t xml:space="preserve">8  </w:t>
          </w:r>
          <w:r>
            <w:rPr>
              <w:rStyle w:val="24"/>
              <w:rFonts w:hint="eastAsia" w:asciiTheme="minorEastAsia" w:hAnsiTheme="minorEastAsia" w:eastAsiaTheme="minorEastAsia"/>
              <w:szCs w:val="24"/>
            </w:rPr>
            <w:t>复校时间间隔</w:t>
          </w:r>
          <w:r>
            <w:rPr>
              <w:rFonts w:asciiTheme="minorEastAsia" w:hAnsiTheme="minorEastAsia" w:eastAsiaTheme="minorEastAsia"/>
              <w:szCs w:val="24"/>
            </w:rPr>
            <w:tab/>
          </w:r>
          <w:r>
            <w:rPr>
              <w:rFonts w:asciiTheme="minorEastAsia" w:hAnsiTheme="minorEastAsia" w:eastAsiaTheme="minorEastAsia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szCs w:val="24"/>
            </w:rPr>
            <w:instrText xml:space="preserve"> PAGEREF _Toc229431121 \h </w:instrText>
          </w:r>
          <w:r>
            <w:rPr>
              <w:rFonts w:asciiTheme="minorEastAsia" w:hAnsiTheme="minorEastAsia" w:eastAsiaTheme="minorEastAsia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szCs w:val="24"/>
            </w:rPr>
            <w:t>5</w:t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</w:p>
        <w:p w14:paraId="27B9C26A">
          <w:pPr>
            <w:pStyle w:val="16"/>
            <w:ind w:firstLine="480"/>
            <w:rPr>
              <w:rFonts w:asciiTheme="minorEastAsia" w:hAnsiTheme="minorEastAsia" w:eastAsiaTheme="minorEastAsia" w:cstheme="minorBidi"/>
              <w:szCs w:val="24"/>
            </w:rPr>
          </w:pPr>
          <w:r>
            <w:fldChar w:fldCharType="begin"/>
          </w:r>
          <w:r>
            <w:instrText xml:space="preserve"> HYPERLINK \l "_Toc229431122" </w:instrText>
          </w:r>
          <w:r>
            <w:fldChar w:fldCharType="separate"/>
          </w:r>
          <w:r>
            <w:rPr>
              <w:rStyle w:val="24"/>
              <w:rFonts w:hint="eastAsia" w:asciiTheme="minorEastAsia" w:hAnsiTheme="minorEastAsia" w:eastAsiaTheme="minorEastAsia"/>
              <w:bCs/>
              <w:szCs w:val="24"/>
            </w:rPr>
            <w:t>附录</w:t>
          </w:r>
          <w:r>
            <w:rPr>
              <w:rStyle w:val="24"/>
              <w:rFonts w:asciiTheme="minorEastAsia" w:hAnsiTheme="minorEastAsia" w:eastAsiaTheme="minorEastAsia"/>
              <w:bCs/>
              <w:szCs w:val="24"/>
            </w:rPr>
            <w:t>A</w:t>
          </w:r>
          <w:r>
            <w:rPr>
              <w:rStyle w:val="24"/>
              <w:rFonts w:hint="eastAsia" w:asciiTheme="minorEastAsia" w:hAnsiTheme="minorEastAsia" w:eastAsiaTheme="minorEastAsia"/>
              <w:bCs/>
              <w:szCs w:val="24"/>
            </w:rPr>
            <w:t xml:space="preserve">  重铬酸钾溶液的配制</w:t>
          </w:r>
          <w:r>
            <w:rPr>
              <w:rFonts w:asciiTheme="minorEastAsia" w:hAnsiTheme="minorEastAsia" w:eastAsiaTheme="minorEastAsia"/>
              <w:szCs w:val="24"/>
            </w:rPr>
            <w:tab/>
          </w:r>
          <w:r>
            <w:rPr>
              <w:rFonts w:asciiTheme="minorEastAsia" w:hAnsiTheme="minorEastAsia" w:eastAsiaTheme="minorEastAsia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szCs w:val="24"/>
            </w:rPr>
            <w:instrText xml:space="preserve"> PAGEREF _Toc229431122 \h </w:instrText>
          </w:r>
          <w:r>
            <w:rPr>
              <w:rFonts w:asciiTheme="minorEastAsia" w:hAnsiTheme="minorEastAsia" w:eastAsiaTheme="minorEastAsia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szCs w:val="24"/>
            </w:rPr>
            <w:t>6</w:t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</w:p>
        <w:p w14:paraId="7F719D23">
          <w:pPr>
            <w:pStyle w:val="16"/>
            <w:ind w:firstLine="480"/>
            <w:rPr>
              <w:rFonts w:asciiTheme="minorEastAsia" w:hAnsiTheme="minorEastAsia" w:eastAsiaTheme="minorEastAsia" w:cstheme="minorBidi"/>
              <w:szCs w:val="24"/>
            </w:rPr>
          </w:pPr>
          <w:r>
            <w:fldChar w:fldCharType="begin"/>
          </w:r>
          <w:r>
            <w:instrText xml:space="preserve"> HYPERLINK \l "_Toc229431123" </w:instrText>
          </w:r>
          <w:r>
            <w:fldChar w:fldCharType="separate"/>
          </w:r>
          <w:r>
            <w:rPr>
              <w:rStyle w:val="24"/>
              <w:rFonts w:hint="eastAsia" w:asciiTheme="minorEastAsia" w:hAnsiTheme="minorEastAsia" w:eastAsiaTheme="minorEastAsia"/>
              <w:szCs w:val="24"/>
            </w:rPr>
            <w:t>附录</w:t>
          </w:r>
          <w:r>
            <w:rPr>
              <w:rStyle w:val="24"/>
              <w:rFonts w:asciiTheme="minorEastAsia" w:hAnsiTheme="minorEastAsia" w:eastAsiaTheme="minorEastAsia"/>
              <w:szCs w:val="24"/>
            </w:rPr>
            <w:t>B</w:t>
          </w:r>
          <w:r>
            <w:rPr>
              <w:rStyle w:val="24"/>
              <w:rFonts w:hint="eastAsia" w:asciiTheme="minorEastAsia" w:hAnsiTheme="minorEastAsia" w:eastAsiaTheme="minorEastAsia"/>
              <w:szCs w:val="24"/>
            </w:rPr>
            <w:t xml:space="preserve">  线性回归法中相关系数的计算</w:t>
          </w:r>
          <w:r>
            <w:rPr>
              <w:rFonts w:asciiTheme="minorEastAsia" w:hAnsiTheme="minorEastAsia" w:eastAsiaTheme="minorEastAsia"/>
              <w:szCs w:val="24"/>
            </w:rPr>
            <w:tab/>
          </w:r>
          <w:r>
            <w:rPr>
              <w:rFonts w:asciiTheme="minorEastAsia" w:hAnsiTheme="minorEastAsia" w:eastAsiaTheme="minorEastAsia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szCs w:val="24"/>
            </w:rPr>
            <w:instrText xml:space="preserve"> PAGEREF _Toc229431123 \h </w:instrText>
          </w:r>
          <w:r>
            <w:rPr>
              <w:rFonts w:asciiTheme="minorEastAsia" w:hAnsiTheme="minorEastAsia" w:eastAsiaTheme="minorEastAsia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szCs w:val="24"/>
            </w:rPr>
            <w:t>7</w:t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</w:p>
        <w:p w14:paraId="37ABB632">
          <w:pPr>
            <w:pStyle w:val="16"/>
            <w:ind w:firstLine="480"/>
            <w:rPr>
              <w:rFonts w:asciiTheme="minorEastAsia" w:hAnsiTheme="minorEastAsia" w:eastAsiaTheme="minorEastAsia" w:cstheme="minorBidi"/>
              <w:szCs w:val="24"/>
            </w:rPr>
          </w:pPr>
          <w:r>
            <w:fldChar w:fldCharType="begin"/>
          </w:r>
          <w:r>
            <w:instrText xml:space="preserve"> HYPERLINK \l "_Toc229431124" </w:instrText>
          </w:r>
          <w:r>
            <w:fldChar w:fldCharType="separate"/>
          </w:r>
          <w:r>
            <w:rPr>
              <w:rStyle w:val="24"/>
              <w:rFonts w:hint="eastAsia" w:asciiTheme="minorEastAsia" w:hAnsiTheme="minorEastAsia" w:eastAsiaTheme="minorEastAsia"/>
              <w:szCs w:val="24"/>
            </w:rPr>
            <w:t>附录</w:t>
          </w:r>
          <w:r>
            <w:rPr>
              <w:rStyle w:val="24"/>
              <w:rFonts w:asciiTheme="minorEastAsia" w:hAnsiTheme="minorEastAsia" w:eastAsiaTheme="minorEastAsia"/>
              <w:szCs w:val="24"/>
            </w:rPr>
            <w:t>C</w:t>
          </w:r>
          <w:r>
            <w:rPr>
              <w:rStyle w:val="24"/>
              <w:rFonts w:hint="eastAsia" w:asciiTheme="minorEastAsia" w:hAnsiTheme="minorEastAsia" w:eastAsiaTheme="minorEastAsia"/>
              <w:szCs w:val="24"/>
            </w:rPr>
            <w:t xml:space="preserve">  校准记录格式（参考）</w:t>
          </w:r>
          <w:r>
            <w:rPr>
              <w:rFonts w:asciiTheme="minorEastAsia" w:hAnsiTheme="minorEastAsia" w:eastAsiaTheme="minorEastAsia"/>
              <w:szCs w:val="24"/>
            </w:rPr>
            <w:tab/>
          </w:r>
          <w:r>
            <w:rPr>
              <w:rFonts w:asciiTheme="minorEastAsia" w:hAnsiTheme="minorEastAsia" w:eastAsiaTheme="minorEastAsia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szCs w:val="24"/>
            </w:rPr>
            <w:instrText xml:space="preserve"> PAGEREF _Toc229431124 \h </w:instrText>
          </w:r>
          <w:r>
            <w:rPr>
              <w:rFonts w:asciiTheme="minorEastAsia" w:hAnsiTheme="minorEastAsia" w:eastAsiaTheme="minorEastAsia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szCs w:val="24"/>
            </w:rPr>
            <w:t>8</w:t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</w:p>
        <w:p w14:paraId="38144349">
          <w:pPr>
            <w:pStyle w:val="16"/>
            <w:ind w:firstLine="480"/>
            <w:rPr>
              <w:rFonts w:asciiTheme="minorEastAsia" w:hAnsiTheme="minorEastAsia" w:eastAsiaTheme="minorEastAsia" w:cstheme="minorBidi"/>
              <w:szCs w:val="24"/>
            </w:rPr>
          </w:pPr>
          <w:r>
            <w:fldChar w:fldCharType="begin"/>
          </w:r>
          <w:r>
            <w:instrText xml:space="preserve"> HYPERLINK \l "_Toc229431125" </w:instrText>
          </w:r>
          <w:r>
            <w:fldChar w:fldCharType="separate"/>
          </w:r>
          <w:r>
            <w:rPr>
              <w:rStyle w:val="24"/>
              <w:rFonts w:hint="eastAsia" w:asciiTheme="minorEastAsia" w:hAnsiTheme="minorEastAsia" w:eastAsiaTheme="minorEastAsia"/>
              <w:szCs w:val="24"/>
            </w:rPr>
            <w:t>附录</w:t>
          </w:r>
          <w:r>
            <w:rPr>
              <w:rStyle w:val="24"/>
              <w:rFonts w:asciiTheme="minorEastAsia" w:hAnsiTheme="minorEastAsia" w:eastAsiaTheme="minorEastAsia"/>
              <w:szCs w:val="24"/>
            </w:rPr>
            <w:t>D</w:t>
          </w:r>
          <w:r>
            <w:rPr>
              <w:rStyle w:val="24"/>
              <w:rFonts w:hint="eastAsia" w:asciiTheme="minorEastAsia" w:hAnsiTheme="minorEastAsia" w:eastAsiaTheme="minorEastAsia"/>
              <w:szCs w:val="24"/>
            </w:rPr>
            <w:t xml:space="preserve">  校准证书内页（参考）格式</w:t>
          </w:r>
          <w:r>
            <w:rPr>
              <w:rFonts w:asciiTheme="minorEastAsia" w:hAnsiTheme="minorEastAsia" w:eastAsiaTheme="minorEastAsia"/>
              <w:szCs w:val="24"/>
            </w:rPr>
            <w:tab/>
          </w:r>
          <w:r>
            <w:rPr>
              <w:rFonts w:asciiTheme="minorEastAsia" w:hAnsiTheme="minorEastAsia" w:eastAsiaTheme="minorEastAsia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szCs w:val="24"/>
            </w:rPr>
            <w:instrText xml:space="preserve"> PAGEREF _Toc229431125 \h </w:instrText>
          </w:r>
          <w:r>
            <w:rPr>
              <w:rFonts w:asciiTheme="minorEastAsia" w:hAnsiTheme="minorEastAsia" w:eastAsiaTheme="minorEastAsia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szCs w:val="24"/>
            </w:rPr>
            <w:t>11</w:t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</w:p>
        <w:p w14:paraId="5DE774F1">
          <w:pPr>
            <w:pStyle w:val="16"/>
            <w:ind w:firstLine="480"/>
            <w:rPr>
              <w:rFonts w:asciiTheme="minorEastAsia" w:hAnsiTheme="minorEastAsia" w:eastAsiaTheme="minorEastAsia" w:cstheme="minorBidi"/>
              <w:szCs w:val="24"/>
            </w:rPr>
          </w:pPr>
          <w:r>
            <w:fldChar w:fldCharType="begin"/>
          </w:r>
          <w:r>
            <w:instrText xml:space="preserve"> HYPERLINK \l "_Toc229431126" </w:instrText>
          </w:r>
          <w:r>
            <w:fldChar w:fldCharType="separate"/>
          </w:r>
          <w:r>
            <w:rPr>
              <w:rStyle w:val="24"/>
              <w:rFonts w:hint="eastAsia" w:asciiTheme="minorEastAsia" w:hAnsiTheme="minorEastAsia" w:eastAsiaTheme="minorEastAsia"/>
              <w:szCs w:val="24"/>
            </w:rPr>
            <w:t>附录</w:t>
          </w:r>
          <w:r>
            <w:rPr>
              <w:rStyle w:val="24"/>
              <w:rFonts w:asciiTheme="minorEastAsia" w:hAnsiTheme="minorEastAsia" w:eastAsiaTheme="minorEastAsia"/>
              <w:szCs w:val="24"/>
            </w:rPr>
            <w:t>E</w:t>
          </w:r>
          <w:r>
            <w:rPr>
              <w:rStyle w:val="24"/>
              <w:rFonts w:hint="eastAsia" w:asciiTheme="minorEastAsia" w:hAnsiTheme="minorEastAsia" w:eastAsiaTheme="minorEastAsia"/>
              <w:szCs w:val="24"/>
            </w:rPr>
            <w:t xml:space="preserve">  测量结果的不确定度评定示例</w:t>
          </w:r>
          <w:r>
            <w:rPr>
              <w:rFonts w:asciiTheme="minorEastAsia" w:hAnsiTheme="minorEastAsia" w:eastAsiaTheme="minorEastAsia"/>
              <w:szCs w:val="24"/>
            </w:rPr>
            <w:tab/>
          </w:r>
          <w:r>
            <w:rPr>
              <w:rFonts w:asciiTheme="minorEastAsia" w:hAnsiTheme="minorEastAsia" w:eastAsiaTheme="minorEastAsia"/>
              <w:szCs w:val="24"/>
            </w:rPr>
            <w:fldChar w:fldCharType="begin"/>
          </w:r>
          <w:r>
            <w:rPr>
              <w:rFonts w:asciiTheme="minorEastAsia" w:hAnsiTheme="minorEastAsia" w:eastAsiaTheme="minorEastAsia"/>
              <w:szCs w:val="24"/>
            </w:rPr>
            <w:instrText xml:space="preserve"> PAGEREF _Toc229431126 \h </w:instrText>
          </w:r>
          <w:r>
            <w:rPr>
              <w:rFonts w:asciiTheme="minorEastAsia" w:hAnsiTheme="minorEastAsia" w:eastAsiaTheme="minorEastAsia"/>
              <w:szCs w:val="24"/>
            </w:rPr>
            <w:fldChar w:fldCharType="separate"/>
          </w:r>
          <w:r>
            <w:rPr>
              <w:rFonts w:asciiTheme="minorEastAsia" w:hAnsiTheme="minorEastAsia" w:eastAsiaTheme="minorEastAsia"/>
              <w:szCs w:val="24"/>
            </w:rPr>
            <w:t>12</w:t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  <w:r>
            <w:rPr>
              <w:rFonts w:asciiTheme="minorEastAsia" w:hAnsiTheme="minorEastAsia" w:eastAsiaTheme="minorEastAsia"/>
              <w:szCs w:val="24"/>
            </w:rPr>
            <w:fldChar w:fldCharType="end"/>
          </w:r>
        </w:p>
        <w:p w14:paraId="03F8BFFC">
          <w:pPr>
            <w:ind w:firstLine="482"/>
          </w:pPr>
          <w:r>
            <w:rPr>
              <w:rFonts w:asciiTheme="minorEastAsia" w:hAnsiTheme="minorEastAsia" w:eastAsiaTheme="minorEastAsia"/>
              <w:b/>
              <w:bCs/>
              <w:szCs w:val="24"/>
              <w:lang w:val="zh-CN"/>
            </w:rPr>
            <w:fldChar w:fldCharType="end"/>
          </w:r>
        </w:p>
      </w:sdtContent>
    </w:sdt>
    <w:p w14:paraId="60AEBD98">
      <w:pPr>
        <w:ind w:firstLine="0" w:firstLineChars="0"/>
        <w:outlineLvl w:val="2"/>
      </w:pPr>
    </w:p>
    <w:p w14:paraId="3F738C92">
      <w:pPr>
        <w:widowControl/>
        <w:ind w:firstLine="0" w:firstLineChars="0"/>
        <w:jc w:val="left"/>
        <w:rPr>
          <w:szCs w:val="28"/>
        </w:rPr>
      </w:pPr>
    </w:p>
    <w:p w14:paraId="34EC528E">
      <w:pPr>
        <w:widowControl/>
        <w:ind w:firstLine="0" w:firstLineChars="0"/>
        <w:jc w:val="left"/>
        <w:rPr>
          <w:szCs w:val="28"/>
        </w:rPr>
      </w:pPr>
      <w:r>
        <w:rPr>
          <w:szCs w:val="28"/>
        </w:rPr>
        <w:br w:type="page"/>
      </w:r>
    </w:p>
    <w:p w14:paraId="7D2A9967">
      <w:pPr>
        <w:tabs>
          <w:tab w:val="left" w:pos="1335"/>
        </w:tabs>
        <w:ind w:firstLine="0" w:firstLineChars="0"/>
        <w:rPr>
          <w:szCs w:val="28"/>
        </w:rPr>
      </w:pPr>
    </w:p>
    <w:p w14:paraId="266E1D28">
      <w:pPr>
        <w:pStyle w:val="2"/>
        <w:jc w:val="center"/>
        <w:rPr>
          <w:sz w:val="44"/>
          <w:szCs w:val="44"/>
        </w:rPr>
      </w:pPr>
      <w:bookmarkStart w:id="26" w:name="_Toc229428714"/>
      <w:bookmarkStart w:id="27" w:name="_Toc229431097"/>
      <w:r>
        <w:rPr>
          <w:rFonts w:hint="eastAsia"/>
          <w:sz w:val="44"/>
          <w:szCs w:val="44"/>
        </w:rPr>
        <w:t>引  言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8B00CE9">
      <w:pPr>
        <w:ind w:firstLine="480"/>
        <w:rPr>
          <w:lang w:val="zh-CN"/>
        </w:rPr>
      </w:pPr>
    </w:p>
    <w:p w14:paraId="7E1D1DD5">
      <w:pPr>
        <w:ind w:firstLine="480"/>
      </w:pPr>
      <w:r>
        <w:rPr>
          <w:rFonts w:hint="eastAsia"/>
        </w:rPr>
        <w:t>本规范依据</w:t>
      </w:r>
      <w:r>
        <w:rPr>
          <w:rFonts w:hint="eastAsia"/>
          <w:lang w:val="zh-CN"/>
        </w:rPr>
        <w:t>JJF 1071—2010</w:t>
      </w:r>
      <w:r>
        <w:rPr>
          <w:rFonts w:hint="eastAsia"/>
        </w:rPr>
        <w:t>《国家计量校准规范编写规则》、</w:t>
      </w:r>
      <w:r>
        <w:rPr>
          <w:rFonts w:hint="eastAsia"/>
          <w:lang w:val="zh-CN"/>
        </w:rPr>
        <w:t>JJF 1001—2011</w:t>
      </w:r>
      <w:r>
        <w:rPr>
          <w:rFonts w:hint="eastAsia"/>
        </w:rPr>
        <w:t>《通用计量术语及定义》和</w:t>
      </w:r>
      <w:r>
        <w:rPr>
          <w:rFonts w:hint="eastAsia"/>
          <w:lang w:val="zh-CN"/>
        </w:rPr>
        <w:t>JJF 1059.1—2012</w:t>
      </w:r>
      <w:r>
        <w:rPr>
          <w:rFonts w:hint="eastAsia"/>
        </w:rPr>
        <w:t>《测量不确定度评定与表示》编写。</w:t>
      </w:r>
    </w:p>
    <w:p w14:paraId="06A728DF">
      <w:pPr>
        <w:ind w:firstLine="480"/>
      </w:pPr>
      <w:r>
        <w:rPr>
          <w:rFonts w:hint="eastAsia"/>
        </w:rPr>
        <w:t>本规范的制定，参考了</w:t>
      </w:r>
      <w:r>
        <w:rPr>
          <w:rFonts w:hint="eastAsia"/>
          <w:lang w:val="zh-CN"/>
        </w:rPr>
        <w:t>JB/T 12019-2014</w:t>
      </w:r>
      <w:r>
        <w:rPr>
          <w:rFonts w:hint="eastAsia"/>
        </w:rPr>
        <w:t>《多参数食品现场快速检测仪通用技术条件》</w:t>
      </w:r>
      <w:r>
        <w:rPr>
          <w:color w:val="010101"/>
          <w:w w:val="110"/>
        </w:rPr>
        <w:t>、</w:t>
      </w:r>
      <w:r>
        <w:rPr>
          <w:rFonts w:hint="eastAsia"/>
          <w:lang w:val="zh-CN"/>
        </w:rPr>
        <w:t>JB/T 12967—2016</w:t>
      </w:r>
      <w:r>
        <w:rPr>
          <w:rFonts w:hint="eastAsia"/>
        </w:rPr>
        <w:t>《有机磷和氨基甲酸酯农药残留快速检测仪》</w:t>
      </w:r>
      <w:r>
        <w:rPr>
          <w:rFonts w:hint="eastAsia"/>
          <w:lang w:val="zh-CN"/>
        </w:rPr>
        <w:t>、JJF 1729—2018《农药残留检测仪校准规范》</w:t>
      </w:r>
      <w:r>
        <w:rPr>
          <w:rFonts w:hint="eastAsia"/>
        </w:rPr>
        <w:t>的部分内容。</w:t>
      </w:r>
    </w:p>
    <w:p w14:paraId="6E111685">
      <w:pPr>
        <w:ind w:firstLine="480"/>
      </w:pPr>
      <w:r>
        <w:t>本规范为首次发布。</w:t>
      </w:r>
    </w:p>
    <w:p w14:paraId="24773B03">
      <w:pPr>
        <w:ind w:firstLine="480"/>
      </w:pPr>
    </w:p>
    <w:p w14:paraId="44D4F570">
      <w:pPr>
        <w:ind w:firstLine="480"/>
      </w:pPr>
    </w:p>
    <w:p w14:paraId="7C1CE0AE">
      <w:pPr>
        <w:ind w:firstLine="480"/>
      </w:pPr>
    </w:p>
    <w:p w14:paraId="10682381">
      <w:pPr>
        <w:ind w:firstLine="480"/>
      </w:pPr>
    </w:p>
    <w:p w14:paraId="581BEE1C">
      <w:pPr>
        <w:ind w:firstLine="480"/>
      </w:pPr>
    </w:p>
    <w:p w14:paraId="13E77A04">
      <w:pPr>
        <w:ind w:firstLine="480"/>
      </w:pPr>
    </w:p>
    <w:p w14:paraId="5FF5EFDA">
      <w:pPr>
        <w:ind w:firstLine="480"/>
      </w:pPr>
    </w:p>
    <w:p w14:paraId="1A4F3D8C">
      <w:pPr>
        <w:ind w:firstLine="480"/>
      </w:pPr>
    </w:p>
    <w:p w14:paraId="722E2F61">
      <w:pPr>
        <w:ind w:firstLine="480"/>
      </w:pPr>
    </w:p>
    <w:p w14:paraId="36A036E9">
      <w:pPr>
        <w:ind w:firstLine="480"/>
      </w:pPr>
    </w:p>
    <w:p w14:paraId="3B4EB303">
      <w:pPr>
        <w:ind w:firstLine="480"/>
      </w:pPr>
    </w:p>
    <w:p w14:paraId="2B2CE480">
      <w:pPr>
        <w:ind w:firstLine="480"/>
      </w:pPr>
    </w:p>
    <w:p w14:paraId="32E9D25C">
      <w:pPr>
        <w:ind w:firstLine="480"/>
      </w:pPr>
    </w:p>
    <w:p w14:paraId="7EBB808B">
      <w:pPr>
        <w:ind w:firstLine="480"/>
      </w:pPr>
    </w:p>
    <w:p w14:paraId="0E7490E8">
      <w:pPr>
        <w:ind w:firstLine="480"/>
        <w:sectPr>
          <w:headerReference r:id="rId13" w:type="default"/>
          <w:footerReference r:id="rId14" w:type="default"/>
          <w:pgSz w:w="11906" w:h="16838"/>
          <w:pgMar w:top="1264" w:right="1418" w:bottom="1418" w:left="1418" w:header="851" w:footer="992" w:gutter="0"/>
          <w:pgNumType w:fmt="upperRoman" w:start="1"/>
          <w:cols w:space="720" w:num="1"/>
          <w:docGrid w:type="lines" w:linePitch="312" w:charSpace="0"/>
        </w:sectPr>
      </w:pPr>
    </w:p>
    <w:p w14:paraId="0E88BBE0">
      <w:pPr>
        <w:ind w:firstLine="64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多参数食品现场快速检测仪校准规范</w:t>
      </w:r>
    </w:p>
    <w:p w14:paraId="54004868">
      <w:pPr>
        <w:pStyle w:val="2"/>
      </w:pPr>
      <w:bookmarkStart w:id="28" w:name="_Toc101442455"/>
      <w:bookmarkStart w:id="29" w:name="_Toc229426237"/>
      <w:bookmarkStart w:id="30" w:name="_Toc229426358"/>
      <w:bookmarkStart w:id="31" w:name="_Toc229428715"/>
      <w:bookmarkStart w:id="32" w:name="_Toc229431098"/>
      <w:bookmarkStart w:id="33" w:name="_Toc229426186"/>
      <w:r>
        <w:rPr>
          <w:rFonts w:hint="eastAsia"/>
        </w:rPr>
        <w:t xml:space="preserve">1  </w:t>
      </w:r>
      <w:r>
        <w:t>范围</w:t>
      </w:r>
      <w:bookmarkEnd w:id="28"/>
      <w:bookmarkEnd w:id="29"/>
      <w:bookmarkEnd w:id="30"/>
      <w:bookmarkEnd w:id="31"/>
      <w:bookmarkEnd w:id="32"/>
      <w:bookmarkEnd w:id="33"/>
      <w:bookmarkStart w:id="34" w:name="_Toc101442456"/>
    </w:p>
    <w:p w14:paraId="46E6A62E">
      <w:pPr>
        <w:ind w:firstLine="480"/>
      </w:pPr>
      <w:r>
        <w:rPr>
          <w:rFonts w:hint="eastAsia"/>
        </w:rPr>
        <w:t>本规范适用于采用光度吸收法（波长范围为</w:t>
      </w:r>
      <w:r>
        <w:t>360nm</w:t>
      </w:r>
      <w:bookmarkStart w:id="35" w:name="OLE_LINK5"/>
      <w:r>
        <w:t>~</w:t>
      </w:r>
      <w:bookmarkEnd w:id="35"/>
      <w:r>
        <w:t>800nm</w:t>
      </w:r>
      <w:r>
        <w:rPr>
          <w:rFonts w:hint="eastAsia"/>
        </w:rPr>
        <w:t>）原理，使用试剂盒（包）对食品中物质进行快速检测的仪器（以下简称“检测仪”）的校准。</w:t>
      </w:r>
    </w:p>
    <w:p w14:paraId="37F30B0F">
      <w:pPr>
        <w:pStyle w:val="2"/>
      </w:pPr>
      <w:bookmarkStart w:id="36" w:name="_Toc229426187"/>
      <w:bookmarkStart w:id="37" w:name="_Toc229426238"/>
      <w:bookmarkStart w:id="38" w:name="_Toc229426359"/>
      <w:bookmarkStart w:id="39" w:name="_Toc229428716"/>
      <w:bookmarkStart w:id="40" w:name="_Toc229431099"/>
      <w:r>
        <w:t>2  引用文</w:t>
      </w:r>
      <w:r>
        <w:rPr>
          <w:rFonts w:hint="eastAsia"/>
        </w:rPr>
        <w:t>件</w:t>
      </w:r>
      <w:bookmarkEnd w:id="34"/>
      <w:bookmarkEnd w:id="36"/>
      <w:bookmarkEnd w:id="37"/>
      <w:bookmarkEnd w:id="38"/>
      <w:bookmarkEnd w:id="39"/>
      <w:bookmarkEnd w:id="40"/>
    </w:p>
    <w:p w14:paraId="4996A237">
      <w:pPr>
        <w:ind w:firstLine="480"/>
      </w:pPr>
      <w:r>
        <w:rPr>
          <w:rFonts w:hint="eastAsia"/>
        </w:rPr>
        <w:t>本规范引用了下列文件：</w:t>
      </w:r>
    </w:p>
    <w:p w14:paraId="46F642F6">
      <w:pPr>
        <w:ind w:firstLine="480"/>
      </w:pPr>
      <w:r>
        <w:rPr>
          <w:rFonts w:hint="eastAsia"/>
        </w:rPr>
        <w:t>JB/T 12019-2014《多参数食品现场快速检测仪通用技术条件》</w:t>
      </w:r>
    </w:p>
    <w:p w14:paraId="276AF027">
      <w:pPr>
        <w:ind w:firstLine="480"/>
      </w:pPr>
      <w:r>
        <w:rPr>
          <w:rFonts w:hint="eastAsia"/>
        </w:rPr>
        <w:t>JB/T 12967—2016《有机磷和氨基甲酸酯农药残留快速检测仪》</w:t>
      </w:r>
    </w:p>
    <w:p w14:paraId="6A44E92A">
      <w:pPr>
        <w:ind w:firstLine="480"/>
      </w:pPr>
      <w:r>
        <w:rPr>
          <w:rFonts w:hint="eastAsia"/>
        </w:rPr>
        <w:t>JJF 1729—2018《农药残留检测仪校准规范》</w:t>
      </w:r>
    </w:p>
    <w:p w14:paraId="60F64B43">
      <w:pPr>
        <w:ind w:firstLine="480"/>
      </w:pPr>
      <w:r>
        <w:rPr>
          <w:rFonts w:hint="eastAsia"/>
        </w:rPr>
        <w:t>凡是注日期的引用文件，仅注日期的版本适用于本规范；凡是不注日期的引用文件，其最新版本（包括所有的修改单）适用于本规范。</w:t>
      </w:r>
    </w:p>
    <w:p w14:paraId="0FF0A3C4">
      <w:pPr>
        <w:pStyle w:val="2"/>
      </w:pPr>
      <w:bookmarkStart w:id="41" w:name="_Toc229426188"/>
      <w:bookmarkStart w:id="42" w:name="_Toc101442457"/>
      <w:bookmarkStart w:id="43" w:name="_Toc229431100"/>
      <w:bookmarkStart w:id="44" w:name="_Toc229426360"/>
      <w:bookmarkStart w:id="45" w:name="_Toc229426239"/>
      <w:bookmarkStart w:id="46" w:name="_Toc229428717"/>
      <w:r>
        <w:t>3  概述</w:t>
      </w:r>
      <w:bookmarkEnd w:id="41"/>
      <w:bookmarkEnd w:id="42"/>
      <w:bookmarkEnd w:id="43"/>
      <w:bookmarkEnd w:id="44"/>
      <w:bookmarkEnd w:id="45"/>
      <w:bookmarkEnd w:id="46"/>
    </w:p>
    <w:p w14:paraId="1D92ECFB">
      <w:pPr>
        <w:ind w:firstLine="480"/>
        <w:rPr>
          <w:w w:val="110"/>
        </w:rPr>
      </w:pPr>
      <w:r>
        <w:rPr>
          <w:rFonts w:hint="eastAsia" w:hAnsi="宋体"/>
          <w:kern w:val="0"/>
        </w:rPr>
        <w:t>检测仪是用于测量食品中甲醛</w:t>
      </w:r>
      <w:r>
        <w:rPr>
          <w:w w:val="110"/>
        </w:rPr>
        <w:t>、</w:t>
      </w:r>
      <w:r>
        <w:rPr>
          <w:rFonts w:hint="eastAsia"/>
          <w:w w:val="110"/>
        </w:rPr>
        <w:t>亚硝酸盐</w:t>
      </w:r>
      <w:r>
        <w:rPr>
          <w:w w:val="110"/>
        </w:rPr>
        <w:t>、</w:t>
      </w:r>
      <w:r>
        <w:rPr>
          <w:rFonts w:hint="eastAsia"/>
          <w:w w:val="110"/>
        </w:rPr>
        <w:t>亚硫酸盐等单种或多种物质的现场快速（各参数从取样到得出检测结果的时间均小于90min）检测仪器。检测仪由样品前处理装置</w:t>
      </w:r>
      <w:r>
        <w:rPr>
          <w:w w:val="110"/>
        </w:rPr>
        <w:t>、</w:t>
      </w:r>
      <w:r>
        <w:rPr>
          <w:rFonts w:hint="eastAsia"/>
          <w:w w:val="110"/>
        </w:rPr>
        <w:t>仪器主机</w:t>
      </w:r>
      <w:r>
        <w:rPr>
          <w:w w:val="110"/>
        </w:rPr>
        <w:t>、</w:t>
      </w:r>
      <w:r>
        <w:rPr>
          <w:rFonts w:hint="eastAsia"/>
          <w:w w:val="110"/>
        </w:rPr>
        <w:t>质控品和试剂盒（包）组成。</w:t>
      </w:r>
    </w:p>
    <w:p w14:paraId="704FFE00">
      <w:pPr>
        <w:pStyle w:val="2"/>
      </w:pPr>
      <w:bookmarkStart w:id="47" w:name="_Toc229426189"/>
      <w:bookmarkStart w:id="48" w:name="_Toc229426240"/>
      <w:bookmarkStart w:id="49" w:name="_Toc229428718"/>
      <w:bookmarkStart w:id="50" w:name="_Toc229431101"/>
      <w:bookmarkStart w:id="51" w:name="_Toc229426361"/>
      <w:bookmarkStart w:id="52" w:name="_Toc101442458"/>
      <w:r>
        <w:rPr>
          <w:rFonts w:hint="eastAsia"/>
        </w:rPr>
        <w:t>4  计量特性</w:t>
      </w:r>
      <w:bookmarkEnd w:id="47"/>
      <w:bookmarkEnd w:id="48"/>
      <w:bookmarkEnd w:id="49"/>
      <w:bookmarkEnd w:id="50"/>
      <w:bookmarkEnd w:id="51"/>
      <w:bookmarkEnd w:id="52"/>
    </w:p>
    <w:p w14:paraId="7732F38C">
      <w:pPr>
        <w:pStyle w:val="3"/>
      </w:pPr>
      <w:bookmarkStart w:id="53" w:name="_Toc229426241"/>
      <w:bookmarkStart w:id="54" w:name="_Toc229431102"/>
      <w:bookmarkStart w:id="55" w:name="_Toc229428719"/>
      <w:bookmarkStart w:id="56" w:name="_Toc229426362"/>
      <w:bookmarkStart w:id="57" w:name="_Toc229426190"/>
      <w:r>
        <w:rPr>
          <w:rFonts w:hint="eastAsia"/>
        </w:rPr>
        <w:t>4.1</w:t>
      </w:r>
      <w:bookmarkStart w:id="58" w:name="OLE_LINK78"/>
      <w:r>
        <w:rPr>
          <w:rFonts w:hint="eastAsia"/>
        </w:rPr>
        <w:t xml:space="preserve"> 波长</w:t>
      </w:r>
      <w:bookmarkEnd w:id="53"/>
      <w:bookmarkEnd w:id="54"/>
      <w:bookmarkEnd w:id="55"/>
      <w:bookmarkEnd w:id="56"/>
      <w:bookmarkEnd w:id="57"/>
    </w:p>
    <w:p w14:paraId="2BE0575C">
      <w:pPr>
        <w:ind w:firstLine="480"/>
      </w:pPr>
      <w:r>
        <w:rPr>
          <w:rFonts w:hint="eastAsia"/>
        </w:rPr>
        <w:t>最大允许误差：</w:t>
      </w:r>
      <w:r>
        <w:t>±10nm</w:t>
      </w:r>
    </w:p>
    <w:p w14:paraId="2AB1CD4E">
      <w:pPr>
        <w:ind w:firstLine="480"/>
      </w:pPr>
      <w:r>
        <w:rPr>
          <w:rFonts w:hint="eastAsia"/>
        </w:rPr>
        <w:t>重复性</w:t>
      </w:r>
      <w:r>
        <w:t>≤2nm</w:t>
      </w:r>
    </w:p>
    <w:p w14:paraId="2AD22534">
      <w:pPr>
        <w:pStyle w:val="3"/>
      </w:pPr>
      <w:bookmarkStart w:id="59" w:name="_Toc229426191"/>
      <w:bookmarkStart w:id="60" w:name="_Toc229426242"/>
      <w:bookmarkStart w:id="61" w:name="_Toc229426363"/>
      <w:bookmarkStart w:id="62" w:name="_Toc229428720"/>
      <w:bookmarkStart w:id="63" w:name="_Toc229431103"/>
      <w:r>
        <w:rPr>
          <w:rFonts w:hint="eastAsia"/>
        </w:rPr>
        <w:t>4.2 透射比</w:t>
      </w:r>
      <w:bookmarkEnd w:id="59"/>
      <w:bookmarkEnd w:id="60"/>
      <w:bookmarkEnd w:id="61"/>
      <w:bookmarkEnd w:id="62"/>
      <w:bookmarkEnd w:id="63"/>
    </w:p>
    <w:p w14:paraId="071ACADA">
      <w:pPr>
        <w:ind w:firstLine="480"/>
      </w:pPr>
      <w:r>
        <w:rPr>
          <w:rFonts w:hint="eastAsia"/>
        </w:rPr>
        <w:t>最大允许误差：</w:t>
      </w:r>
      <w:r>
        <w:t>±2.0%</w:t>
      </w:r>
    </w:p>
    <w:p w14:paraId="3D03C71D">
      <w:pPr>
        <w:ind w:firstLine="480"/>
      </w:pPr>
      <w:r>
        <w:rPr>
          <w:rFonts w:hint="eastAsia"/>
        </w:rPr>
        <w:t>重复性：</w:t>
      </w:r>
      <w:r>
        <w:t>≤0.5%</w:t>
      </w:r>
    </w:p>
    <w:p w14:paraId="2D3EFF75">
      <w:pPr>
        <w:pStyle w:val="3"/>
      </w:pPr>
      <w:bookmarkStart w:id="64" w:name="_Toc229426192"/>
      <w:bookmarkStart w:id="65" w:name="_Toc229426243"/>
      <w:bookmarkStart w:id="66" w:name="_Toc229426364"/>
      <w:bookmarkStart w:id="67" w:name="_Toc229428721"/>
      <w:bookmarkStart w:id="68" w:name="_Toc229431104"/>
      <w:r>
        <w:rPr>
          <w:rFonts w:hint="eastAsia"/>
        </w:rPr>
        <w:t>4.3 线性</w:t>
      </w:r>
      <w:bookmarkEnd w:id="64"/>
      <w:bookmarkEnd w:id="65"/>
      <w:bookmarkEnd w:id="66"/>
      <w:bookmarkEnd w:id="67"/>
      <w:bookmarkEnd w:id="68"/>
      <w:r>
        <w:rPr>
          <w:rFonts w:hint="eastAsia"/>
          <w:lang w:eastAsia="zh-CN"/>
        </w:rPr>
        <w:t>相关系数</w:t>
      </w:r>
    </w:p>
    <w:p w14:paraId="483C4F1D">
      <w:pPr>
        <w:ind w:firstLine="480"/>
      </w:pPr>
      <w:r>
        <w:rPr>
          <w:rFonts w:hint="eastAsia"/>
        </w:rPr>
        <w:t>检测参数工作曲线的线性相关系数应不小于0.990。</w:t>
      </w:r>
    </w:p>
    <w:p w14:paraId="46DA1677">
      <w:pPr>
        <w:pStyle w:val="3"/>
      </w:pPr>
      <w:bookmarkStart w:id="69" w:name="_Toc229426193"/>
      <w:bookmarkStart w:id="70" w:name="_Toc229426244"/>
      <w:bookmarkStart w:id="71" w:name="_Toc229431105"/>
      <w:bookmarkStart w:id="72" w:name="_Toc229426365"/>
      <w:bookmarkStart w:id="73" w:name="_Toc229428722"/>
      <w:r>
        <w:rPr>
          <w:rFonts w:hint="eastAsia"/>
        </w:rPr>
        <w:t>4.4 稳定性</w:t>
      </w:r>
      <w:bookmarkEnd w:id="69"/>
      <w:bookmarkEnd w:id="70"/>
      <w:bookmarkEnd w:id="71"/>
      <w:bookmarkEnd w:id="72"/>
      <w:bookmarkEnd w:id="73"/>
    </w:p>
    <w:p w14:paraId="3F0E84CA">
      <w:pPr>
        <w:ind w:firstLine="480"/>
        <w:rPr>
          <w:szCs w:val="24"/>
          <w:lang w:val="zh-CN"/>
        </w:rPr>
      </w:pPr>
      <w:r>
        <w:rPr>
          <w:rFonts w:hint="eastAsia"/>
        </w:rPr>
        <w:t>在检测仪工作波长处，30min内蒸馏水吸光度变化应不大于0.010</w:t>
      </w:r>
      <w:r>
        <w:rPr>
          <w:rFonts w:hint="eastAsia"/>
          <w:szCs w:val="24"/>
          <w:lang w:val="zh-CN"/>
        </w:rPr>
        <w:t>。</w:t>
      </w:r>
    </w:p>
    <w:p w14:paraId="17CC65D6">
      <w:pPr>
        <w:pStyle w:val="3"/>
      </w:pPr>
      <w:bookmarkStart w:id="74" w:name="_Toc229431106"/>
      <w:bookmarkStart w:id="75" w:name="_Toc229426245"/>
      <w:bookmarkStart w:id="76" w:name="_Toc229426366"/>
      <w:bookmarkStart w:id="77" w:name="_Toc229428723"/>
      <w:bookmarkStart w:id="78" w:name="_Toc229426194"/>
      <w:r>
        <w:rPr>
          <w:rFonts w:hint="eastAsia"/>
        </w:rPr>
        <w:t>4.5 通道间差异</w:t>
      </w:r>
      <w:bookmarkEnd w:id="74"/>
      <w:bookmarkEnd w:id="75"/>
      <w:bookmarkEnd w:id="76"/>
      <w:bookmarkEnd w:id="77"/>
      <w:bookmarkEnd w:id="78"/>
    </w:p>
    <w:p w14:paraId="1976DAB6">
      <w:pPr>
        <w:ind w:firstLine="480"/>
      </w:pPr>
      <w:r>
        <w:rPr>
          <w:rFonts w:hint="eastAsia"/>
        </w:rPr>
        <w:t>吸光度示值差异</w:t>
      </w:r>
      <w:r>
        <w:t>≤0.05</w:t>
      </w:r>
    </w:p>
    <w:p w14:paraId="3B29EB1B">
      <w:pPr>
        <w:pStyle w:val="3"/>
      </w:pPr>
      <w:bookmarkStart w:id="79" w:name="_Toc229426367"/>
      <w:bookmarkStart w:id="80" w:name="_Toc229428724"/>
      <w:bookmarkStart w:id="81" w:name="_Toc229431107"/>
      <w:bookmarkStart w:id="82" w:name="_Toc229426246"/>
      <w:bookmarkStart w:id="83" w:name="_Toc229426195"/>
      <w:r>
        <w:rPr>
          <w:rFonts w:hint="eastAsia"/>
        </w:rPr>
        <w:t>4.6 检测仪的示值误差与重复性</w:t>
      </w:r>
      <w:bookmarkEnd w:id="79"/>
      <w:bookmarkEnd w:id="80"/>
      <w:bookmarkEnd w:id="81"/>
      <w:bookmarkEnd w:id="82"/>
      <w:bookmarkEnd w:id="83"/>
    </w:p>
    <w:p w14:paraId="6B57CD05">
      <w:pPr>
        <w:ind w:firstLine="480"/>
        <w:rPr>
          <w:szCs w:val="24"/>
          <w:lang w:val="zh-CN"/>
        </w:rPr>
      </w:pPr>
      <w:r>
        <w:rPr>
          <w:rFonts w:hint="eastAsia"/>
        </w:rPr>
        <w:t>检测仪的示值误差与重复性要求见表1</w:t>
      </w:r>
      <w:r>
        <w:rPr>
          <w:rFonts w:hint="eastAsia"/>
          <w:szCs w:val="24"/>
          <w:lang w:val="zh-CN"/>
        </w:rPr>
        <w:t>。</w:t>
      </w:r>
    </w:p>
    <w:p w14:paraId="3602C05A">
      <w:pPr>
        <w:ind w:firstLine="420"/>
        <w:jc w:val="center"/>
        <w:rPr>
          <w:rFonts w:ascii="黑体" w:hAnsi="黑体" w:eastAsia="黑体"/>
          <w:sz w:val="21"/>
          <w:lang w:val="zh-CN"/>
        </w:rPr>
      </w:pPr>
      <w:r>
        <w:rPr>
          <w:rFonts w:hint="eastAsia" w:ascii="黑体" w:hAnsi="黑体" w:eastAsia="黑体"/>
          <w:sz w:val="21"/>
          <w:lang w:val="zh-CN"/>
        </w:rPr>
        <w:t>表1 检测仪的示值误差与重复性要求</w:t>
      </w:r>
    </w:p>
    <w:bookmarkEnd w:id="58"/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1"/>
        <w:gridCol w:w="2322"/>
        <w:gridCol w:w="2322"/>
      </w:tblGrid>
      <w:tr w14:paraId="260B3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Merge w:val="restart"/>
            <w:vAlign w:val="center"/>
          </w:tcPr>
          <w:p w14:paraId="05B7F388">
            <w:pPr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参数</w:t>
            </w:r>
          </w:p>
        </w:tc>
        <w:tc>
          <w:tcPr>
            <w:tcW w:w="6965" w:type="dxa"/>
            <w:gridSpan w:val="3"/>
            <w:vAlign w:val="center"/>
          </w:tcPr>
          <w:p w14:paraId="0382A258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项目和指标</w:t>
            </w:r>
          </w:p>
        </w:tc>
      </w:tr>
      <w:tr w14:paraId="57963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Merge w:val="continue"/>
            <w:vAlign w:val="center"/>
          </w:tcPr>
          <w:p w14:paraId="76D9CC41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</w:p>
        </w:tc>
        <w:tc>
          <w:tcPr>
            <w:tcW w:w="2321" w:type="dxa"/>
            <w:vAlign w:val="center"/>
          </w:tcPr>
          <w:p w14:paraId="1F48C31A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测量范围</w:t>
            </w:r>
          </w:p>
          <w:p w14:paraId="2A51BA5C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mg/kg</w:t>
            </w:r>
          </w:p>
        </w:tc>
        <w:tc>
          <w:tcPr>
            <w:tcW w:w="2322" w:type="dxa"/>
            <w:vAlign w:val="center"/>
          </w:tcPr>
          <w:p w14:paraId="65EF2193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示值误差</w:t>
            </w:r>
          </w:p>
          <w:p w14:paraId="140AB29F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%</w:t>
            </w:r>
          </w:p>
        </w:tc>
        <w:tc>
          <w:tcPr>
            <w:tcW w:w="2322" w:type="dxa"/>
            <w:vAlign w:val="center"/>
          </w:tcPr>
          <w:p w14:paraId="2145B008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重复性</w:t>
            </w:r>
          </w:p>
          <w:p w14:paraId="4815DEE1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%</w:t>
            </w:r>
          </w:p>
        </w:tc>
      </w:tr>
    </w:tbl>
    <w:p w14:paraId="12280DD5">
      <w:pPr>
        <w:ind w:firstLine="420"/>
        <w:jc w:val="center"/>
        <w:rPr>
          <w:rFonts w:ascii="黑体" w:hAnsi="黑体" w:eastAsia="黑体"/>
          <w:sz w:val="21"/>
          <w:lang w:val="zh-CN"/>
        </w:rPr>
      </w:pPr>
      <w:r>
        <w:rPr>
          <w:rFonts w:hint="eastAsia" w:ascii="黑体" w:hAnsi="黑体" w:eastAsia="黑体"/>
          <w:sz w:val="21"/>
          <w:lang w:val="zh-CN"/>
        </w:rPr>
        <w:t>表1 检测仪的示值误差与重复性要求（续）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1"/>
        <w:gridCol w:w="2322"/>
        <w:gridCol w:w="2322"/>
      </w:tblGrid>
      <w:tr w14:paraId="04E2D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Merge w:val="restart"/>
            <w:vAlign w:val="center"/>
          </w:tcPr>
          <w:p w14:paraId="7C9F1668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甲醛</w:t>
            </w:r>
          </w:p>
        </w:tc>
        <w:tc>
          <w:tcPr>
            <w:tcW w:w="2321" w:type="dxa"/>
            <w:vAlign w:val="center"/>
          </w:tcPr>
          <w:p w14:paraId="456713EC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[5.0</w:t>
            </w:r>
            <w:r>
              <w:t>~</w:t>
            </w: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50.0）</w:t>
            </w:r>
          </w:p>
        </w:tc>
        <w:tc>
          <w:tcPr>
            <w:tcW w:w="2322" w:type="dxa"/>
            <w:vAlign w:val="center"/>
          </w:tcPr>
          <w:p w14:paraId="5A970055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±20.0</w:t>
            </w:r>
          </w:p>
        </w:tc>
        <w:tc>
          <w:tcPr>
            <w:tcW w:w="2322" w:type="dxa"/>
            <w:vMerge w:val="restart"/>
            <w:vAlign w:val="center"/>
          </w:tcPr>
          <w:p w14:paraId="2AC6FA40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asciiTheme="minorEastAsia" w:hAnsiTheme="minorEastAsia" w:eastAsiaTheme="minorEastAsia"/>
                <w:sz w:val="21"/>
                <w:lang w:val="zh-CN"/>
              </w:rPr>
              <w:t>≤10</w:t>
            </w:r>
          </w:p>
        </w:tc>
      </w:tr>
      <w:tr w14:paraId="52D0F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Merge w:val="continue"/>
            <w:vAlign w:val="center"/>
          </w:tcPr>
          <w:p w14:paraId="4B63AF6F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</w:p>
        </w:tc>
        <w:tc>
          <w:tcPr>
            <w:tcW w:w="2321" w:type="dxa"/>
            <w:vAlign w:val="center"/>
          </w:tcPr>
          <w:p w14:paraId="591CF092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[50.0</w:t>
            </w:r>
            <w:r>
              <w:t>~</w:t>
            </w: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500.0）</w:t>
            </w:r>
          </w:p>
        </w:tc>
        <w:tc>
          <w:tcPr>
            <w:tcW w:w="2322" w:type="dxa"/>
            <w:vAlign w:val="center"/>
          </w:tcPr>
          <w:p w14:paraId="6D947704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±10.0</w:t>
            </w:r>
          </w:p>
        </w:tc>
        <w:tc>
          <w:tcPr>
            <w:tcW w:w="2322" w:type="dxa"/>
            <w:vMerge w:val="continue"/>
            <w:vAlign w:val="center"/>
          </w:tcPr>
          <w:p w14:paraId="6BE80F31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</w:p>
        </w:tc>
      </w:tr>
      <w:tr w14:paraId="2896A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Merge w:val="restart"/>
            <w:vAlign w:val="center"/>
          </w:tcPr>
          <w:p w14:paraId="2ED3CC40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亚硝酸盐</w:t>
            </w:r>
          </w:p>
        </w:tc>
        <w:tc>
          <w:tcPr>
            <w:tcW w:w="2321" w:type="dxa"/>
            <w:vAlign w:val="center"/>
          </w:tcPr>
          <w:p w14:paraId="52CB6FEC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[2.0</w:t>
            </w:r>
            <w:r>
              <w:t>~</w:t>
            </w: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20.0）</w:t>
            </w:r>
          </w:p>
        </w:tc>
        <w:tc>
          <w:tcPr>
            <w:tcW w:w="2322" w:type="dxa"/>
            <w:vAlign w:val="center"/>
          </w:tcPr>
          <w:p w14:paraId="4515A7C7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±20.0</w:t>
            </w:r>
          </w:p>
        </w:tc>
        <w:tc>
          <w:tcPr>
            <w:tcW w:w="2322" w:type="dxa"/>
            <w:vMerge w:val="continue"/>
            <w:vAlign w:val="center"/>
          </w:tcPr>
          <w:p w14:paraId="713D05B1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</w:p>
        </w:tc>
      </w:tr>
      <w:tr w14:paraId="3FE48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Merge w:val="continue"/>
            <w:vAlign w:val="center"/>
          </w:tcPr>
          <w:p w14:paraId="6C123D7F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</w:p>
        </w:tc>
        <w:tc>
          <w:tcPr>
            <w:tcW w:w="2321" w:type="dxa"/>
            <w:vAlign w:val="center"/>
          </w:tcPr>
          <w:p w14:paraId="7017DE46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[20.0</w:t>
            </w:r>
            <w:r>
              <w:t>~</w:t>
            </w: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180.0）</w:t>
            </w:r>
          </w:p>
        </w:tc>
        <w:tc>
          <w:tcPr>
            <w:tcW w:w="2322" w:type="dxa"/>
            <w:vAlign w:val="center"/>
          </w:tcPr>
          <w:p w14:paraId="7817D7EB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±10.0</w:t>
            </w:r>
          </w:p>
        </w:tc>
        <w:tc>
          <w:tcPr>
            <w:tcW w:w="2322" w:type="dxa"/>
            <w:vMerge w:val="continue"/>
            <w:vAlign w:val="center"/>
          </w:tcPr>
          <w:p w14:paraId="1D7EE909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</w:p>
        </w:tc>
      </w:tr>
      <w:tr w14:paraId="1D8F1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Merge w:val="restart"/>
            <w:vAlign w:val="center"/>
          </w:tcPr>
          <w:p w14:paraId="708D7CF9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亚硫酸盐（以二氧化硫计）</w:t>
            </w:r>
          </w:p>
        </w:tc>
        <w:tc>
          <w:tcPr>
            <w:tcW w:w="2321" w:type="dxa"/>
            <w:vAlign w:val="center"/>
          </w:tcPr>
          <w:p w14:paraId="660B142C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[10.0</w:t>
            </w:r>
            <w:r>
              <w:t>~</w:t>
            </w: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50.0）</w:t>
            </w:r>
          </w:p>
        </w:tc>
        <w:tc>
          <w:tcPr>
            <w:tcW w:w="2322" w:type="dxa"/>
            <w:vAlign w:val="center"/>
          </w:tcPr>
          <w:p w14:paraId="4E618F1F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±20.0</w:t>
            </w:r>
          </w:p>
        </w:tc>
        <w:tc>
          <w:tcPr>
            <w:tcW w:w="2322" w:type="dxa"/>
            <w:vMerge w:val="continue"/>
            <w:vAlign w:val="center"/>
          </w:tcPr>
          <w:p w14:paraId="46245A39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</w:p>
        </w:tc>
      </w:tr>
      <w:tr w14:paraId="2F61B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Merge w:val="continue"/>
            <w:vAlign w:val="center"/>
          </w:tcPr>
          <w:p w14:paraId="77A48DC2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</w:p>
        </w:tc>
        <w:tc>
          <w:tcPr>
            <w:tcW w:w="2321" w:type="dxa"/>
            <w:vAlign w:val="center"/>
          </w:tcPr>
          <w:p w14:paraId="5D72EE33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[50.0</w:t>
            </w:r>
            <w:r>
              <w:t>~</w:t>
            </w: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250.0）</w:t>
            </w:r>
          </w:p>
        </w:tc>
        <w:tc>
          <w:tcPr>
            <w:tcW w:w="2322" w:type="dxa"/>
            <w:vAlign w:val="center"/>
          </w:tcPr>
          <w:p w14:paraId="2639B0DD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val="zh-CN"/>
              </w:rPr>
              <w:t>±10.0</w:t>
            </w:r>
          </w:p>
        </w:tc>
        <w:tc>
          <w:tcPr>
            <w:tcW w:w="2322" w:type="dxa"/>
            <w:vMerge w:val="continue"/>
            <w:vAlign w:val="center"/>
          </w:tcPr>
          <w:p w14:paraId="5B883287">
            <w:pPr>
              <w:ind w:firstLine="420"/>
              <w:jc w:val="center"/>
              <w:rPr>
                <w:rFonts w:asciiTheme="minorEastAsia" w:hAnsiTheme="minorEastAsia" w:eastAsiaTheme="minorEastAsia"/>
                <w:sz w:val="21"/>
                <w:lang w:val="zh-CN"/>
              </w:rPr>
            </w:pPr>
          </w:p>
        </w:tc>
      </w:tr>
    </w:tbl>
    <w:p w14:paraId="69CB22AC">
      <w:pPr>
        <w:pStyle w:val="3"/>
        <w:rPr>
          <w:lang w:eastAsia="zh-CN"/>
        </w:rPr>
      </w:pPr>
      <w:bookmarkStart w:id="84" w:name="_Toc229426247"/>
      <w:bookmarkStart w:id="85" w:name="_Toc229431108"/>
      <w:bookmarkStart w:id="86" w:name="_Toc229426368"/>
      <w:bookmarkStart w:id="87" w:name="_Toc229428725"/>
      <w:bookmarkStart w:id="88" w:name="_Toc229426196"/>
      <w:r>
        <w:rPr>
          <w:rFonts w:hint="eastAsia"/>
        </w:rPr>
        <w:t>4.7 灵敏度</w:t>
      </w:r>
      <w:bookmarkEnd w:id="84"/>
      <w:bookmarkEnd w:id="85"/>
      <w:bookmarkEnd w:id="86"/>
      <w:bookmarkEnd w:id="87"/>
      <w:bookmarkEnd w:id="88"/>
    </w:p>
    <w:p w14:paraId="1E185C13">
      <w:pPr>
        <w:ind w:firstLine="480"/>
        <w:rPr>
          <w:szCs w:val="20"/>
        </w:rPr>
      </w:pPr>
      <w:r>
        <w:rPr>
          <w:rFonts w:hint="eastAsia"/>
        </w:rPr>
        <w:t>检测仪的灵敏度用抑制率表示。对0.8mg/L的甲胺磷和0.1mg/L的灭多威农药标准溶液进行检测，抑制率应</w:t>
      </w:r>
      <w:r>
        <w:t>≥50%</w:t>
      </w:r>
      <w:r>
        <w:rPr>
          <w:rFonts w:hint="eastAsia"/>
        </w:rPr>
        <w:t>。</w:t>
      </w:r>
    </w:p>
    <w:p w14:paraId="6F3AE087">
      <w:pPr>
        <w:ind w:firstLine="480"/>
        <w:rPr>
          <w:szCs w:val="24"/>
          <w:lang w:val="zh-CN"/>
        </w:rPr>
      </w:pPr>
      <w:r>
        <w:rPr>
          <w:rFonts w:hint="eastAsia"/>
          <w:szCs w:val="24"/>
          <w:lang w:val="zh-CN"/>
        </w:rPr>
        <w:t>注：以上计量特性要求仅供参考，不作为判定依据。</w:t>
      </w:r>
    </w:p>
    <w:p w14:paraId="09C6B5AD">
      <w:pPr>
        <w:pStyle w:val="2"/>
      </w:pPr>
      <w:bookmarkStart w:id="89" w:name="_Toc101442459"/>
      <w:bookmarkStart w:id="90" w:name="_Toc229426197"/>
      <w:bookmarkStart w:id="91" w:name="_Toc229426369"/>
      <w:bookmarkStart w:id="92" w:name="_Toc229426248"/>
      <w:bookmarkStart w:id="93" w:name="_Toc229428726"/>
      <w:bookmarkStart w:id="94" w:name="_Toc229431109"/>
      <w:r>
        <w:rPr>
          <w:rFonts w:hint="eastAsia"/>
        </w:rPr>
        <w:t>5</w:t>
      </w:r>
      <w:r>
        <w:t xml:space="preserve">  校准条件</w:t>
      </w:r>
      <w:bookmarkEnd w:id="89"/>
      <w:bookmarkEnd w:id="90"/>
      <w:bookmarkEnd w:id="91"/>
      <w:bookmarkEnd w:id="92"/>
      <w:bookmarkEnd w:id="93"/>
      <w:bookmarkEnd w:id="94"/>
    </w:p>
    <w:p w14:paraId="02D10172">
      <w:pPr>
        <w:pStyle w:val="3"/>
      </w:pPr>
      <w:bookmarkStart w:id="95" w:name="_Toc229426198"/>
      <w:bookmarkStart w:id="96" w:name="_Toc229426370"/>
      <w:bookmarkStart w:id="97" w:name="_Toc229428727"/>
      <w:bookmarkStart w:id="98" w:name="_Toc229426249"/>
      <w:bookmarkStart w:id="99" w:name="_Toc229431110"/>
      <w:r>
        <w:rPr>
          <w:rFonts w:hint="eastAsia"/>
        </w:rPr>
        <w:t>5.1 环境条件</w:t>
      </w:r>
      <w:bookmarkEnd w:id="95"/>
      <w:bookmarkEnd w:id="96"/>
      <w:bookmarkEnd w:id="97"/>
      <w:bookmarkEnd w:id="98"/>
      <w:bookmarkEnd w:id="99"/>
    </w:p>
    <w:p w14:paraId="44255081">
      <w:pPr>
        <w:ind w:firstLine="480"/>
      </w:pPr>
      <w:r>
        <w:rPr>
          <w:rFonts w:hint="eastAsia"/>
        </w:rPr>
        <w:t>供电电源</w:t>
      </w:r>
    </w:p>
    <w:p w14:paraId="129FC031">
      <w:pPr>
        <w:ind w:firstLine="480"/>
      </w:pPr>
      <w:r>
        <w:rPr>
          <w:rFonts w:hint="eastAsia"/>
        </w:rPr>
        <w:t>交流供电：电压220V±22V，频率50Hz±1Hz</w:t>
      </w:r>
    </w:p>
    <w:p w14:paraId="52506B83">
      <w:pPr>
        <w:ind w:firstLine="480"/>
      </w:pPr>
      <w:r>
        <w:rPr>
          <w:rFonts w:hint="eastAsia"/>
        </w:rPr>
        <w:t>直流供电：由仪器制造厂商规定。</w:t>
      </w:r>
    </w:p>
    <w:p w14:paraId="165D3859">
      <w:pPr>
        <w:ind w:firstLine="480"/>
      </w:pPr>
      <w:r>
        <w:rPr>
          <w:rFonts w:hint="eastAsia"/>
        </w:rPr>
        <w:t>环境温度：（5～40）℃；</w:t>
      </w:r>
    </w:p>
    <w:p w14:paraId="7ADF100C">
      <w:pPr>
        <w:ind w:firstLine="480"/>
      </w:pPr>
      <w:r>
        <w:rPr>
          <w:rFonts w:hint="eastAsia"/>
        </w:rPr>
        <w:t>相对湿度：（10～85）%；</w:t>
      </w:r>
    </w:p>
    <w:p w14:paraId="41B65F9F">
      <w:pPr>
        <w:pStyle w:val="3"/>
      </w:pPr>
      <w:bookmarkStart w:id="100" w:name="OLE_LINK147"/>
      <w:bookmarkStart w:id="101" w:name="OLE_LINK159"/>
      <w:bookmarkStart w:id="102" w:name="OLE_LINK158"/>
      <w:bookmarkStart w:id="103" w:name="OLE_LINK157"/>
      <w:bookmarkStart w:id="104" w:name="_Toc229426250"/>
      <w:bookmarkStart w:id="105" w:name="_Toc229431111"/>
      <w:bookmarkStart w:id="106" w:name="_Toc229426199"/>
      <w:bookmarkStart w:id="107" w:name="_Toc229426371"/>
      <w:bookmarkStart w:id="108" w:name="_Toc229428728"/>
      <w:bookmarkStart w:id="109" w:name="OLE_LINK73"/>
      <w:bookmarkStart w:id="110" w:name="OLE_LINK66"/>
      <w:r>
        <w:rPr>
          <w:rFonts w:hint="eastAsia"/>
        </w:rPr>
        <w:t>5.2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校准设备及</w:t>
      </w:r>
      <w:bookmarkEnd w:id="100"/>
      <w:bookmarkEnd w:id="101"/>
      <w:bookmarkEnd w:id="102"/>
      <w:bookmarkEnd w:id="103"/>
      <w:bookmarkStart w:id="111" w:name="OLE_LINK149"/>
      <w:bookmarkStart w:id="112" w:name="OLE_LINK151"/>
      <w:bookmarkStart w:id="113" w:name="OLE_LINK150"/>
      <w:r>
        <w:rPr>
          <w:rFonts w:hint="eastAsia"/>
        </w:rPr>
        <w:t>标准物质</w:t>
      </w:r>
      <w:bookmarkEnd w:id="104"/>
      <w:bookmarkEnd w:id="105"/>
      <w:bookmarkEnd w:id="106"/>
      <w:bookmarkEnd w:id="107"/>
      <w:bookmarkEnd w:id="108"/>
    </w:p>
    <w:p w14:paraId="517ACD71">
      <w:pPr>
        <w:ind w:firstLine="0" w:firstLineChars="0"/>
      </w:pPr>
      <w:bookmarkStart w:id="114" w:name="_Toc229426251"/>
      <w:bookmarkStart w:id="115" w:name="OLE_LINK60"/>
      <w:bookmarkStart w:id="116" w:name="OLE_LINK63"/>
      <w:r>
        <w:rPr>
          <w:rFonts w:hint="eastAsia"/>
        </w:rPr>
        <w:t>5.2.1</w:t>
      </w:r>
      <w:bookmarkEnd w:id="114"/>
      <w:r>
        <w:rPr>
          <w:rStyle w:val="28"/>
          <w:rFonts w:hint="eastAsia"/>
          <w:lang w:eastAsia="zh-CN"/>
        </w:rPr>
        <w:t xml:space="preserve"> </w:t>
      </w:r>
      <w:r>
        <w:rPr>
          <w:rFonts w:hint="eastAsia"/>
        </w:rPr>
        <w:t>光纤光谱仪，波长最大允许误差为±0.5nm，配有与被检仪器相匹配的光纤连接装置和光源接收装置。</w:t>
      </w:r>
    </w:p>
    <w:p w14:paraId="74A15E92">
      <w:pPr>
        <w:ind w:firstLine="0" w:firstLineChars="0"/>
        <w:rPr>
          <w:szCs w:val="24"/>
          <w:lang w:val="zh-CN"/>
        </w:rPr>
      </w:pPr>
      <w:bookmarkStart w:id="117" w:name="_Toc229426252"/>
      <w:r>
        <w:rPr>
          <w:rFonts w:hint="eastAsia"/>
        </w:rPr>
        <w:t>5.2.2</w:t>
      </w:r>
      <w:bookmarkEnd w:id="117"/>
      <w:r>
        <w:rPr>
          <w:rFonts w:hint="eastAsia"/>
        </w:rPr>
        <w:t xml:space="preserve"> 光谱中性滤光片，在测量波长下透射比标称值约为10%、20%、30%；扩展不确定度不大于1.0%（</w:t>
      </w:r>
      <w:r>
        <w:rPr>
          <w:rFonts w:hint="eastAsia"/>
          <w:i/>
        </w:rPr>
        <w:t>k</w:t>
      </w:r>
      <w:r>
        <w:rPr>
          <w:rFonts w:hint="eastAsia"/>
        </w:rPr>
        <w:t>=2）。</w:t>
      </w:r>
    </w:p>
    <w:p w14:paraId="47219493">
      <w:pPr>
        <w:ind w:firstLine="0" w:firstLineChars="0"/>
      </w:pPr>
      <w:bookmarkStart w:id="118" w:name="_Toc229426253"/>
      <w:r>
        <w:rPr>
          <w:rFonts w:hint="eastAsia"/>
        </w:rPr>
        <w:t>5.2.3</w:t>
      </w:r>
      <w:r>
        <w:rPr>
          <w:rStyle w:val="28"/>
          <w:rFonts w:hint="eastAsia"/>
          <w:lang w:eastAsia="zh-CN"/>
        </w:rPr>
        <w:t xml:space="preserve"> </w:t>
      </w:r>
      <w:r>
        <w:rPr>
          <w:rFonts w:hint="eastAsia"/>
        </w:rPr>
        <w:t>标准物质</w:t>
      </w:r>
      <w:bookmarkEnd w:id="118"/>
    </w:p>
    <w:bookmarkEnd w:id="109"/>
    <w:bookmarkEnd w:id="110"/>
    <w:bookmarkEnd w:id="111"/>
    <w:bookmarkEnd w:id="112"/>
    <w:bookmarkEnd w:id="113"/>
    <w:bookmarkEnd w:id="115"/>
    <w:bookmarkEnd w:id="116"/>
    <w:p w14:paraId="6A23C409">
      <w:pPr>
        <w:ind w:firstLine="480"/>
      </w:pPr>
      <w:r>
        <w:rPr>
          <w:rFonts w:hint="eastAsia"/>
          <w:color w:val="000000"/>
        </w:rPr>
        <w:t>校准时应使用经国家计量行政主管部门批准颁布的标准物质。</w:t>
      </w:r>
    </w:p>
    <w:p w14:paraId="5AC1D10A">
      <w:pPr>
        <w:ind w:firstLine="0" w:firstLineChars="0"/>
      </w:pPr>
      <w:bookmarkStart w:id="119" w:name="_Toc229426254"/>
      <w:r>
        <w:rPr>
          <w:rFonts w:hint="eastAsia"/>
        </w:rPr>
        <w:t>5.2.4 重铬酸钾：优级纯</w:t>
      </w:r>
      <w:bookmarkEnd w:id="119"/>
    </w:p>
    <w:p w14:paraId="577964F3">
      <w:pPr>
        <w:pStyle w:val="2"/>
        <w:rPr>
          <w:lang w:eastAsia="zh-CN"/>
        </w:rPr>
      </w:pPr>
      <w:bookmarkStart w:id="120" w:name="_Toc229426372"/>
      <w:bookmarkStart w:id="121" w:name="_Toc229431112"/>
      <w:bookmarkStart w:id="122" w:name="_Toc229428729"/>
      <w:bookmarkStart w:id="123" w:name="_Toc229426255"/>
      <w:bookmarkStart w:id="124" w:name="_Toc101442460"/>
      <w:bookmarkStart w:id="125" w:name="_Toc229426200"/>
      <w:r>
        <w:t>6</w:t>
      </w:r>
      <w:r>
        <w:rPr>
          <w:rFonts w:hint="eastAsia"/>
        </w:rPr>
        <w:t xml:space="preserve">  校准项目和校准方法</w:t>
      </w:r>
      <w:bookmarkEnd w:id="120"/>
      <w:bookmarkEnd w:id="121"/>
      <w:bookmarkEnd w:id="122"/>
      <w:bookmarkEnd w:id="123"/>
      <w:bookmarkEnd w:id="124"/>
      <w:bookmarkEnd w:id="125"/>
    </w:p>
    <w:p w14:paraId="3D1F574A">
      <w:pPr>
        <w:pStyle w:val="3"/>
      </w:pPr>
      <w:bookmarkStart w:id="126" w:name="_Toc229426201"/>
      <w:bookmarkStart w:id="127" w:name="_Toc229426256"/>
      <w:bookmarkStart w:id="128" w:name="_Toc229426373"/>
      <w:bookmarkStart w:id="129" w:name="_Toc229428730"/>
      <w:bookmarkStart w:id="130" w:name="_Toc229431113"/>
      <w:r>
        <w:rPr>
          <w:rFonts w:hint="eastAsia"/>
        </w:rPr>
        <w:t>6.1 波长示值误差和重复性</w:t>
      </w:r>
      <w:bookmarkEnd w:id="126"/>
      <w:bookmarkEnd w:id="127"/>
      <w:bookmarkEnd w:id="128"/>
      <w:bookmarkEnd w:id="129"/>
      <w:bookmarkEnd w:id="130"/>
    </w:p>
    <w:p w14:paraId="54EE1BF6">
      <w:pPr>
        <w:ind w:firstLine="480"/>
      </w:pPr>
      <w:bookmarkStart w:id="131" w:name="OLE_LINK34"/>
      <w:bookmarkStart w:id="132" w:name="OLE_LINK33"/>
      <w:r>
        <w:rPr>
          <w:rFonts w:hint="eastAsia"/>
        </w:rPr>
        <w:t>采用固体发光器件的检测仪，将光纤光谱仪的专用光源接收装置置于比色池光路中，对测量参数的工作波长进行测量，连续测量3次，按公式（1）计算波长示值误差</w:t>
      </w:r>
      <w:bookmarkEnd w:id="131"/>
      <w:bookmarkEnd w:id="132"/>
      <w:r>
        <w:rPr>
          <w:rFonts w:hint="eastAsia"/>
        </w:rPr>
        <w:t>，按公式（2）计算波长重复性。</w:t>
      </w:r>
    </w:p>
    <w:p w14:paraId="3A658562">
      <w:pPr>
        <w:ind w:firstLine="480"/>
        <w:jc w:val="center"/>
      </w:pPr>
      <w:r>
        <w:rPr>
          <w:rFonts w:hint="eastAsia"/>
        </w:rPr>
        <w:t xml:space="preserve">                         </w:t>
      </w:r>
      <w:r>
        <w:object>
          <v:shape id="_x0000_i1025" o:spt="75" type="#_x0000_t75" style="height:17.65pt;width:51.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  <w:r>
        <w:rPr>
          <w:rFonts w:hint="eastAsia"/>
        </w:rPr>
        <w:t xml:space="preserve">                                </w:t>
      </w:r>
      <w:r>
        <w:t>（1）</w:t>
      </w:r>
    </w:p>
    <w:p w14:paraId="666A22B2">
      <w:pPr>
        <w:ind w:firstLine="480"/>
      </w:pPr>
      <w:r>
        <w:rPr>
          <w:rFonts w:hint="eastAsia"/>
        </w:rPr>
        <w:t>式中：</w:t>
      </w:r>
    </w:p>
    <w:p w14:paraId="6FF01B81">
      <w:pPr>
        <w:ind w:firstLine="480"/>
      </w:pPr>
      <w:r>
        <w:rPr>
          <w:position w:val="-6"/>
        </w:rPr>
        <w:object>
          <v:shape id="_x0000_i1026" o:spt="75" type="#_x0000_t75" style="height:13.6pt;width:1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0">
            <o:LockedField>false</o:LockedField>
          </o:OLEObject>
        </w:object>
      </w:r>
      <w:bookmarkStart w:id="133" w:name="OLE_LINK24"/>
      <w:bookmarkStart w:id="134" w:name="OLE_LINK25"/>
      <w:r>
        <w:t>——</w:t>
      </w:r>
      <w:r>
        <w:rPr>
          <w:rFonts w:hint="eastAsia"/>
        </w:rPr>
        <w:t>波长示值误差</w:t>
      </w:r>
      <w:r>
        <w:t>，</w:t>
      </w:r>
      <w:bookmarkEnd w:id="133"/>
      <w:bookmarkEnd w:id="134"/>
      <w:r>
        <w:rPr>
          <w:rFonts w:hint="eastAsia"/>
        </w:rPr>
        <w:t>nm；</w:t>
      </w:r>
    </w:p>
    <w:p w14:paraId="42DA803D">
      <w:pPr>
        <w:ind w:firstLine="480"/>
      </w:pPr>
      <w:r>
        <w:rPr>
          <w:position w:val="-6"/>
        </w:rPr>
        <w:object>
          <v:shape id="_x0000_i1027" o:spt="75" type="#_x0000_t75" style="height:17.65pt;width:11.5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2">
            <o:LockedField>false</o:LockedField>
          </o:OLEObject>
        </w:object>
      </w:r>
      <w:r>
        <w:t>——</w:t>
      </w:r>
      <w:r>
        <w:rPr>
          <w:rFonts w:hint="eastAsia"/>
        </w:rPr>
        <w:t>3次测量的平均值</w:t>
      </w:r>
      <w:r>
        <w:t>，</w:t>
      </w:r>
      <w:r>
        <w:rPr>
          <w:rFonts w:hint="eastAsia"/>
        </w:rPr>
        <w:t>nm；</w:t>
      </w:r>
    </w:p>
    <w:p w14:paraId="75F50416">
      <w:pPr>
        <w:ind w:firstLine="480"/>
      </w:pPr>
      <w:r>
        <w:rPr>
          <w:position w:val="-6"/>
        </w:rPr>
        <w:object>
          <v:shape id="_x0000_i1028" o:spt="75" type="#_x0000_t75" style="height:14.25pt;width:11.5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4">
            <o:LockedField>false</o:LockedField>
          </o:OLEObject>
        </w:object>
      </w:r>
      <w:r>
        <w:t>——</w:t>
      </w:r>
      <w:r>
        <w:rPr>
          <w:rFonts w:hint="eastAsia"/>
        </w:rPr>
        <w:t>波长标称值</w:t>
      </w:r>
      <w:r>
        <w:t>，</w:t>
      </w:r>
      <w:r>
        <w:rPr>
          <w:rFonts w:hint="eastAsia"/>
        </w:rPr>
        <w:t>nm。</w:t>
      </w:r>
    </w:p>
    <w:p w14:paraId="0E22AAEC">
      <w:pPr>
        <w:spacing w:line="360" w:lineRule="auto"/>
        <w:ind w:firstLine="480"/>
        <w:jc w:val="center"/>
        <w:rPr>
          <w:szCs w:val="24"/>
          <w:lang w:val="zh-CN"/>
        </w:rPr>
      </w:pPr>
      <w:r>
        <w:rPr>
          <w:rFonts w:hint="eastAsia"/>
          <w:szCs w:val="24"/>
          <w:lang w:val="zh-CN"/>
        </w:rPr>
        <w:t xml:space="preserve">                        </w:t>
      </w:r>
      <w:r>
        <w:rPr>
          <w:position w:val="-12"/>
          <w:szCs w:val="24"/>
          <w:lang w:val="zh-CN"/>
        </w:rPr>
        <w:object>
          <v:shape id="_x0000_i1029" o:spt="75" type="#_x0000_t75" style="height:18.35pt;width:69.9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6">
            <o:LockedField>false</o:LockedField>
          </o:OLEObject>
        </w:object>
      </w:r>
      <w:r>
        <w:rPr>
          <w:rFonts w:hint="eastAsia"/>
          <w:szCs w:val="24"/>
          <w:lang w:val="zh-CN"/>
        </w:rPr>
        <w:t xml:space="preserve">                               </w:t>
      </w:r>
      <w:r>
        <w:rPr>
          <w:szCs w:val="24"/>
          <w:lang w:val="zh-CN"/>
        </w:rPr>
        <w:t>（2）</w:t>
      </w:r>
    </w:p>
    <w:p w14:paraId="189AF2E3">
      <w:pPr>
        <w:ind w:firstLine="480"/>
      </w:pPr>
      <w:r>
        <w:rPr>
          <w:rFonts w:hint="eastAsia"/>
        </w:rPr>
        <w:t>式中：</w:t>
      </w:r>
    </w:p>
    <w:p w14:paraId="7724B138">
      <w:pPr>
        <w:ind w:firstLine="480"/>
      </w:pPr>
      <w:r>
        <w:rPr>
          <w:position w:val="-12"/>
        </w:rPr>
        <w:object>
          <v:shape id="_x0000_i1030" o:spt="75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8">
            <o:LockedField>false</o:LockedField>
          </o:OLEObject>
        </w:object>
      </w:r>
      <w:r>
        <w:t>——</w:t>
      </w:r>
      <w:r>
        <w:rPr>
          <w:rFonts w:hint="eastAsia"/>
        </w:rPr>
        <w:t>波长重复性</w:t>
      </w:r>
      <w:r>
        <w:t>，</w:t>
      </w:r>
      <w:r>
        <w:rPr>
          <w:rFonts w:hint="eastAsia"/>
        </w:rPr>
        <w:t>nm；</w:t>
      </w:r>
    </w:p>
    <w:p w14:paraId="649D3D72">
      <w:pPr>
        <w:ind w:firstLine="480"/>
      </w:pPr>
      <w:r>
        <w:rPr>
          <w:position w:val="-12"/>
        </w:rPr>
        <w:object>
          <v:shape id="_x0000_i1031" o:spt="75" type="#_x0000_t75" style="height:18.35pt;width:23.1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0">
            <o:LockedField>false</o:LockedField>
          </o:OLEObject>
        </w:object>
      </w:r>
      <w:r>
        <w:t>——</w:t>
      </w:r>
      <w:r>
        <w:rPr>
          <w:rFonts w:hint="eastAsia"/>
        </w:rPr>
        <w:t>3次测量所得波长的最大值</w:t>
      </w:r>
      <w:r>
        <w:t>，</w:t>
      </w:r>
      <w:r>
        <w:rPr>
          <w:rFonts w:hint="eastAsia"/>
        </w:rPr>
        <w:t>nm；</w:t>
      </w:r>
    </w:p>
    <w:p w14:paraId="21A663F3">
      <w:pPr>
        <w:ind w:firstLine="480"/>
      </w:pPr>
      <w:r>
        <w:rPr>
          <w:position w:val="-12"/>
        </w:rPr>
        <w:object>
          <v:shape id="_x0000_i1032" o:spt="75" type="#_x0000_t75" style="height:18.35pt;width:21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2">
            <o:LockedField>false</o:LockedField>
          </o:OLEObject>
        </w:object>
      </w:r>
      <w:r>
        <w:t>——</w:t>
      </w:r>
      <w:r>
        <w:rPr>
          <w:rFonts w:hint="eastAsia"/>
        </w:rPr>
        <w:t>3次测量所得波长的最小值</w:t>
      </w:r>
      <w:r>
        <w:t>，</w:t>
      </w:r>
      <w:r>
        <w:rPr>
          <w:rFonts w:hint="eastAsia"/>
        </w:rPr>
        <w:t>nm。</w:t>
      </w:r>
    </w:p>
    <w:p w14:paraId="7D54C6D8">
      <w:pPr>
        <w:pStyle w:val="3"/>
      </w:pPr>
      <w:bookmarkStart w:id="135" w:name="_Toc229426257"/>
      <w:bookmarkStart w:id="136" w:name="_Toc229426202"/>
      <w:bookmarkStart w:id="137" w:name="_Toc229431114"/>
      <w:bookmarkStart w:id="138" w:name="_Toc229426374"/>
      <w:bookmarkStart w:id="139" w:name="_Toc229428731"/>
      <w:r>
        <w:rPr>
          <w:rFonts w:hint="eastAsia"/>
        </w:rPr>
        <w:t>6.2 透射比示值误差和重复性</w:t>
      </w:r>
      <w:bookmarkEnd w:id="135"/>
      <w:bookmarkEnd w:id="136"/>
      <w:bookmarkEnd w:id="137"/>
      <w:bookmarkEnd w:id="138"/>
      <w:bookmarkEnd w:id="139"/>
      <w:bookmarkStart w:id="140" w:name="OLE_LINK50"/>
    </w:p>
    <w:p w14:paraId="53B2BB33">
      <w:pPr>
        <w:ind w:firstLine="480"/>
      </w:pPr>
      <w:r>
        <w:rPr>
          <w:rFonts w:hint="eastAsia"/>
        </w:rPr>
        <w:t>将透射比标称值约为10%、20%、30%的光谱中性滤光片依次放入比色池光路中，在测量参数的工作波长下进行测量，连续测量3次，按公式（3）依次计算每块滤光片透射比示值误差，取最大值作为检测仪透射比示值误差。</w:t>
      </w:r>
    </w:p>
    <w:p w14:paraId="217CF15C">
      <w:pPr>
        <w:ind w:firstLine="480"/>
      </w:pPr>
      <w:r>
        <w:rPr>
          <w:rFonts w:hint="eastAsia"/>
        </w:rPr>
        <w:t xml:space="preserve">             </w:t>
      </w:r>
      <w:r>
        <w:rPr>
          <w:position w:val="-12"/>
        </w:rPr>
        <w:object>
          <v:shape id="_x0000_i1033" o:spt="75" type="#_x0000_t75" style="height:20.4pt;width:54.3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4">
            <o:LockedField>false</o:LockedField>
          </o:OLEObject>
        </w:object>
      </w:r>
      <w:r>
        <w:rPr>
          <w:rFonts w:hint="eastAsia"/>
        </w:rPr>
        <w:t xml:space="preserve">                                  </w:t>
      </w:r>
      <w:r>
        <w:t>（3）</w:t>
      </w:r>
    </w:p>
    <w:p w14:paraId="635D1A3D">
      <w:pPr>
        <w:ind w:firstLine="480"/>
      </w:pPr>
      <w:r>
        <w:rPr>
          <w:rFonts w:hint="eastAsia"/>
        </w:rPr>
        <w:t>式中：</w:t>
      </w:r>
    </w:p>
    <w:p w14:paraId="57E57984">
      <w:pPr>
        <w:ind w:firstLine="480"/>
      </w:pPr>
      <w:r>
        <w:rPr>
          <w:position w:val="-4"/>
        </w:rPr>
        <w:object>
          <v:shape id="_x0000_i1034" o:spt="75" type="#_x0000_t75" style="height:12.25pt;width:1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6">
            <o:LockedField>false</o:LockedField>
          </o:OLEObject>
        </w:object>
      </w:r>
      <w:r>
        <w:t>——</w:t>
      </w:r>
      <w:r>
        <w:rPr>
          <w:rFonts w:hint="eastAsia"/>
        </w:rPr>
        <w:t>透射比示值误差</w:t>
      </w:r>
      <w:r>
        <w:t>，</w:t>
      </w:r>
      <w:r>
        <w:rPr>
          <w:rFonts w:hint="eastAsia"/>
        </w:rPr>
        <w:t>%；</w:t>
      </w:r>
    </w:p>
    <w:p w14:paraId="1EBFC80F">
      <w:pPr>
        <w:ind w:firstLine="480"/>
      </w:pPr>
      <w:r>
        <w:rPr>
          <w:position w:val="-12"/>
        </w:rPr>
        <w:object>
          <v:shape id="_x0000_i1035" o:spt="75" type="#_x0000_t75" style="height:20.4pt;width:12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8">
            <o:LockedField>false</o:LockedField>
          </o:OLEObject>
        </w:object>
      </w:r>
      <w:r>
        <w:t>——</w:t>
      </w:r>
      <w:r>
        <w:rPr>
          <w:rFonts w:hint="eastAsia"/>
        </w:rPr>
        <w:t>每块滤光片3次测量的平均值</w:t>
      </w:r>
      <w:r>
        <w:t>，</w:t>
      </w:r>
      <w:r>
        <w:rPr>
          <w:rFonts w:hint="eastAsia"/>
        </w:rPr>
        <w:t>%；</w:t>
      </w:r>
    </w:p>
    <w:p w14:paraId="04886747">
      <w:pPr>
        <w:ind w:firstLine="480"/>
      </w:pPr>
      <w:r>
        <w:rPr>
          <w:position w:val="-12"/>
        </w:rPr>
        <w:object>
          <v:shape id="_x0000_i1036" o:spt="75" type="#_x0000_t75" style="height:18.35pt;width:12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0">
            <o:LockedField>false</o:LockedField>
          </o:OLEObject>
        </w:object>
      </w:r>
      <w:r>
        <w:t>——</w:t>
      </w:r>
      <w:r>
        <w:rPr>
          <w:rFonts w:hint="eastAsia"/>
        </w:rPr>
        <w:t>每块滤光片透射比标称值</w:t>
      </w:r>
      <w:r>
        <w:t>，</w:t>
      </w:r>
      <w:r>
        <w:rPr>
          <w:rFonts w:hint="eastAsia"/>
        </w:rPr>
        <w:t>%。</w:t>
      </w:r>
    </w:p>
    <w:p w14:paraId="057094D7">
      <w:pPr>
        <w:ind w:firstLine="480"/>
      </w:pPr>
      <w:r>
        <w:rPr>
          <w:rFonts w:hint="eastAsia"/>
        </w:rPr>
        <w:t>按公式（4）计算每块滤光片透射比重复性，取最大值作为检测仪透射比重复性。</w:t>
      </w:r>
    </w:p>
    <w:p w14:paraId="65C35B6C">
      <w:pPr>
        <w:ind w:firstLine="480"/>
      </w:pPr>
      <w:r>
        <w:rPr>
          <w:rFonts w:hint="eastAsia"/>
        </w:rPr>
        <w:t xml:space="preserve">                        </w:t>
      </w:r>
      <w:r>
        <w:rPr>
          <w:position w:val="-12"/>
        </w:rPr>
        <w:object>
          <v:shape id="_x0000_i1037" o:spt="75" type="#_x0000_t75" style="height:18.35pt;width:68.6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  <w:r>
        <w:rPr>
          <w:rFonts w:hint="eastAsia"/>
        </w:rPr>
        <w:t xml:space="preserve">                       </w:t>
      </w:r>
      <w:r>
        <w:t>（4）</w:t>
      </w:r>
    </w:p>
    <w:p w14:paraId="5DA34379">
      <w:pPr>
        <w:ind w:firstLine="480"/>
      </w:pPr>
      <w:r>
        <w:rPr>
          <w:rFonts w:hint="eastAsia"/>
        </w:rPr>
        <w:t>式中：</w:t>
      </w:r>
    </w:p>
    <w:p w14:paraId="0FB8B078">
      <w:pPr>
        <w:ind w:firstLine="480"/>
      </w:pPr>
      <w:r>
        <w:rPr>
          <w:position w:val="-12"/>
        </w:rPr>
        <w:object>
          <v:shape id="_x0000_i1038" o:spt="75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t>——</w:t>
      </w:r>
      <w:r>
        <w:rPr>
          <w:rFonts w:hint="eastAsia"/>
        </w:rPr>
        <w:t>透射比重复性</w:t>
      </w:r>
      <w:r>
        <w:t>，</w:t>
      </w:r>
      <w:r>
        <w:rPr>
          <w:rFonts w:hint="eastAsia"/>
        </w:rPr>
        <w:t>nm；</w:t>
      </w:r>
    </w:p>
    <w:p w14:paraId="33DFB5E8">
      <w:pPr>
        <w:ind w:firstLine="480"/>
      </w:pPr>
      <w:r>
        <w:rPr>
          <w:position w:val="-12"/>
        </w:rPr>
        <w:object>
          <v:shape id="_x0000_i1039" o:spt="75" type="#_x0000_t75" style="height:18.35pt;width:21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t>——</w:t>
      </w:r>
      <w:r>
        <w:rPr>
          <w:rFonts w:hint="eastAsia"/>
        </w:rPr>
        <w:t>3次测量所得透射比的最大值</w:t>
      </w:r>
      <w:r>
        <w:t>，</w:t>
      </w:r>
      <w:r>
        <w:rPr>
          <w:rFonts w:hint="eastAsia"/>
        </w:rPr>
        <w:t>nm；</w:t>
      </w:r>
    </w:p>
    <w:p w14:paraId="69D6EF6A">
      <w:pPr>
        <w:ind w:firstLine="480"/>
      </w:pPr>
      <w:r>
        <w:rPr>
          <w:position w:val="-12"/>
        </w:rPr>
        <w:object>
          <v:shape id="_x0000_i1040" o:spt="75" type="#_x0000_t75" style="height:18.35pt;width:20.4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t>——</w:t>
      </w:r>
      <w:r>
        <w:rPr>
          <w:rFonts w:hint="eastAsia"/>
        </w:rPr>
        <w:t>3次测量所得透射比的最小值</w:t>
      </w:r>
      <w:r>
        <w:t>，</w:t>
      </w:r>
      <w:r>
        <w:rPr>
          <w:rFonts w:hint="eastAsia"/>
        </w:rPr>
        <w:t>nm。</w:t>
      </w:r>
    </w:p>
    <w:p w14:paraId="7D64A3F3">
      <w:pPr>
        <w:pStyle w:val="3"/>
      </w:pPr>
      <w:bookmarkStart w:id="141" w:name="_Toc229426375"/>
      <w:bookmarkStart w:id="142" w:name="_Toc229428732"/>
      <w:bookmarkStart w:id="143" w:name="_Toc229426203"/>
      <w:bookmarkStart w:id="144" w:name="_Toc229431115"/>
      <w:bookmarkStart w:id="145" w:name="_Toc229426258"/>
      <w:r>
        <w:rPr>
          <w:rFonts w:hint="eastAsia"/>
        </w:rPr>
        <w:t>6.3 线性</w:t>
      </w:r>
      <w:bookmarkEnd w:id="141"/>
      <w:bookmarkEnd w:id="142"/>
      <w:bookmarkEnd w:id="143"/>
      <w:bookmarkEnd w:id="144"/>
      <w:bookmarkEnd w:id="145"/>
      <w:r>
        <w:rPr>
          <w:rFonts w:hint="eastAsia"/>
          <w:lang w:eastAsia="zh-CN"/>
        </w:rPr>
        <w:t>相关系数</w:t>
      </w:r>
    </w:p>
    <w:p w14:paraId="261B0DA0">
      <w:pPr>
        <w:ind w:firstLine="480"/>
      </w:pPr>
      <w:r>
        <w:rPr>
          <w:rFonts w:hint="eastAsia"/>
        </w:rPr>
        <w:t>按照检测仪使用说明书，使用检测仪对测量范围中的均匀浓度点(包括线性范围的测定下限、中间和测定上限浓度点)标准溶液进行测定，平行测定3 次，取其测定值的算术平均值，按照线性回归法求出工作曲线的线性相关系数。（见附录B）。</w:t>
      </w:r>
    </w:p>
    <w:bookmarkEnd w:id="140"/>
    <w:p w14:paraId="5C6A7327">
      <w:pPr>
        <w:pStyle w:val="3"/>
      </w:pPr>
      <w:bookmarkStart w:id="146" w:name="_Toc229426259"/>
      <w:bookmarkStart w:id="147" w:name="_Toc229431116"/>
      <w:bookmarkStart w:id="148" w:name="_Toc229426376"/>
      <w:bookmarkStart w:id="149" w:name="_Toc229428733"/>
      <w:bookmarkStart w:id="150" w:name="_Toc229426204"/>
      <w:bookmarkStart w:id="151" w:name="OLE_LINK68"/>
      <w:bookmarkStart w:id="152" w:name="OLE_LINK69"/>
      <w:bookmarkStart w:id="153" w:name="OLE_LINK74"/>
      <w:bookmarkStart w:id="154" w:name="_Toc101442469"/>
      <w:r>
        <w:rPr>
          <w:rFonts w:hint="eastAsia"/>
        </w:rPr>
        <w:t>6.4 稳定性</w:t>
      </w:r>
      <w:bookmarkEnd w:id="146"/>
      <w:bookmarkEnd w:id="147"/>
      <w:bookmarkEnd w:id="148"/>
      <w:bookmarkEnd w:id="149"/>
      <w:bookmarkEnd w:id="150"/>
    </w:p>
    <w:p w14:paraId="684B47B5">
      <w:pPr>
        <w:ind w:firstLine="480"/>
      </w:pPr>
      <w:r>
        <w:rPr>
          <w:rFonts w:hint="eastAsia"/>
        </w:rPr>
        <w:t>在检测参数工作波长处，以蒸馏水为参比溶液，在30min内每隔5min测定1次蒸馏水吸光度值，取最大值与最小值之差作为检测仪稳定性。</w:t>
      </w:r>
    </w:p>
    <w:p w14:paraId="1F3F955A">
      <w:pPr>
        <w:pStyle w:val="3"/>
      </w:pPr>
      <w:bookmarkStart w:id="155" w:name="_Toc229426377"/>
      <w:bookmarkStart w:id="156" w:name="_Toc229428734"/>
      <w:bookmarkStart w:id="157" w:name="_Toc229426205"/>
      <w:bookmarkStart w:id="158" w:name="_Toc229431117"/>
      <w:bookmarkStart w:id="159" w:name="_Toc229426260"/>
      <w:r>
        <w:rPr>
          <w:rFonts w:hint="eastAsia"/>
        </w:rPr>
        <w:t>6.5 通道间差异</w:t>
      </w:r>
      <w:bookmarkEnd w:id="155"/>
      <w:bookmarkEnd w:id="156"/>
      <w:bookmarkEnd w:id="157"/>
      <w:bookmarkEnd w:id="158"/>
      <w:bookmarkEnd w:id="159"/>
    </w:p>
    <w:p w14:paraId="405742AC">
      <w:pPr>
        <w:ind w:firstLine="480"/>
      </w:pPr>
      <w:r>
        <w:rPr>
          <w:rFonts w:hint="eastAsia"/>
        </w:rPr>
        <w:t>将100mg/L的重铬酸钾溶液放入比色池光路中，测量溶液吸光度，按式（5）计算全部通道中吸光度最大值与最小值之差</w:t>
      </w:r>
    </w:p>
    <w:p w14:paraId="22ECDAC4">
      <w:pPr>
        <w:ind w:firstLine="480"/>
      </w:pPr>
      <w:r>
        <w:rPr>
          <w:rFonts w:hint="eastAsia"/>
        </w:rPr>
        <w:t xml:space="preserve">                             </w:t>
      </w:r>
      <w:r>
        <w:rPr>
          <w:position w:val="-12"/>
        </w:rPr>
        <w:object>
          <v:shape id="_x0000_i1041" o:spt="75" type="#_x0000_t75" style="height:18.35pt;width:80.1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  <w:r>
        <w:rPr>
          <w:rFonts w:hint="eastAsia"/>
        </w:rPr>
        <w:t xml:space="preserve">                 （5）</w:t>
      </w:r>
    </w:p>
    <w:p w14:paraId="4085C276">
      <w:pPr>
        <w:ind w:firstLine="480"/>
      </w:pPr>
      <w:r>
        <w:rPr>
          <w:rFonts w:hint="eastAsia"/>
        </w:rPr>
        <w:t>式中：</w:t>
      </w:r>
    </w:p>
    <w:p w14:paraId="385DDA46">
      <w:pPr>
        <w:ind w:firstLine="480"/>
      </w:pPr>
      <w:r>
        <w:rPr>
          <w:position w:val="-4"/>
        </w:rPr>
        <w:object>
          <v:shape id="_x0000_i1042" o:spt="75" type="#_x0000_t75" style="height:12.25pt;width:18.3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2">
            <o:LockedField>false</o:LockedField>
          </o:OLEObject>
        </w:object>
      </w:r>
      <w:r>
        <w:t>——</w:t>
      </w:r>
      <w:r>
        <w:rPr>
          <w:rFonts w:hint="eastAsia"/>
        </w:rPr>
        <w:t>通道间吸光度差异；</w:t>
      </w:r>
    </w:p>
    <w:p w14:paraId="42370E79">
      <w:pPr>
        <w:ind w:firstLine="480"/>
      </w:pPr>
      <w:r>
        <w:rPr>
          <w:position w:val="-12"/>
        </w:rPr>
        <w:object>
          <v:shape id="_x0000_i1043" o:spt="75" type="#_x0000_t75" style="height:18.35pt;width:23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t>——</w:t>
      </w:r>
      <w:r>
        <w:rPr>
          <w:rFonts w:hint="eastAsia"/>
        </w:rPr>
        <w:t>全部通道测得的吸光度最大值；</w:t>
      </w:r>
    </w:p>
    <w:p w14:paraId="53230300">
      <w:pPr>
        <w:ind w:firstLine="480"/>
      </w:pPr>
      <w:r>
        <w:rPr>
          <w:position w:val="-12"/>
        </w:rPr>
        <w:object>
          <v:shape id="_x0000_i1044" o:spt="75" type="#_x0000_t75" style="height:18.35pt;width:21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  <w:r>
        <w:t>——</w:t>
      </w:r>
      <w:bookmarkEnd w:id="151"/>
      <w:bookmarkEnd w:id="152"/>
      <w:bookmarkEnd w:id="153"/>
      <w:r>
        <w:rPr>
          <w:rFonts w:hint="eastAsia"/>
        </w:rPr>
        <w:t>全部通道测得的吸光度最小值。</w:t>
      </w:r>
    </w:p>
    <w:p w14:paraId="336ACC2B">
      <w:pPr>
        <w:pStyle w:val="3"/>
      </w:pPr>
      <w:bookmarkStart w:id="160" w:name="_Toc229428735"/>
      <w:bookmarkStart w:id="161" w:name="_Toc229426378"/>
      <w:bookmarkStart w:id="162" w:name="_Toc229426261"/>
      <w:bookmarkStart w:id="163" w:name="_Toc229431118"/>
      <w:bookmarkStart w:id="164" w:name="_Toc229426206"/>
      <w:r>
        <w:rPr>
          <w:rFonts w:hint="eastAsia"/>
        </w:rPr>
        <w:t>6.6 检测仪的示值误差和重复性</w:t>
      </w:r>
      <w:bookmarkEnd w:id="160"/>
      <w:bookmarkEnd w:id="161"/>
      <w:bookmarkEnd w:id="162"/>
      <w:bookmarkEnd w:id="163"/>
      <w:bookmarkEnd w:id="164"/>
    </w:p>
    <w:p w14:paraId="7D342DFC">
      <w:pPr>
        <w:ind w:firstLine="480"/>
      </w:pPr>
      <w:r>
        <w:rPr>
          <w:rFonts w:hint="eastAsia"/>
        </w:rPr>
        <w:t>使用检测仪和配套试剂盒（包）对检测参数的有证标准物质重复测定11次，按公式（6）计算示值误差。</w:t>
      </w:r>
    </w:p>
    <w:p w14:paraId="206F8BDD">
      <w:pPr>
        <w:spacing w:line="360" w:lineRule="auto"/>
        <w:ind w:firstLine="480"/>
        <w:jc w:val="center"/>
        <w:rPr>
          <w:szCs w:val="24"/>
          <w:lang w:val="zh-CN"/>
        </w:rPr>
      </w:pPr>
      <w:r>
        <w:rPr>
          <w:rFonts w:hint="eastAsia"/>
          <w:szCs w:val="24"/>
          <w:lang w:val="zh-CN"/>
        </w:rPr>
        <w:t xml:space="preserve">                            </w:t>
      </w:r>
      <w:r>
        <w:rPr>
          <w:position w:val="-30"/>
          <w:szCs w:val="24"/>
          <w:lang w:val="zh-CN"/>
        </w:rPr>
        <w:object>
          <v:shape id="_x0000_i1045" o:spt="75" type="#_x0000_t75" style="height:36.7pt;width:86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8">
            <o:LockedField>false</o:LockedField>
          </o:OLEObject>
        </w:object>
      </w:r>
      <w:r>
        <w:rPr>
          <w:rFonts w:hint="eastAsia"/>
          <w:szCs w:val="24"/>
          <w:lang w:val="zh-CN"/>
        </w:rPr>
        <w:t xml:space="preserve">                         </w:t>
      </w:r>
      <w:r>
        <w:rPr>
          <w:rFonts w:hint="eastAsia"/>
          <w:szCs w:val="28"/>
          <w:lang w:val="zh-CN"/>
        </w:rPr>
        <w:t xml:space="preserve"> （6）</w:t>
      </w:r>
    </w:p>
    <w:p w14:paraId="6443C104">
      <w:pPr>
        <w:ind w:firstLine="480"/>
      </w:pPr>
      <w:r>
        <w:rPr>
          <w:rFonts w:hint="eastAsia"/>
        </w:rPr>
        <w:t>式中：</w:t>
      </w:r>
    </w:p>
    <w:p w14:paraId="428CDF0C">
      <w:pPr>
        <w:ind w:firstLine="480"/>
      </w:pPr>
      <w:r>
        <w:rPr>
          <w:position w:val="-6"/>
        </w:rPr>
        <w:object>
          <v:shape id="_x0000_i1046" o:spt="75" type="#_x0000_t75" style="height:14.25pt;width:11.5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0">
            <o:LockedField>false</o:LockedField>
          </o:OLEObject>
        </w:object>
      </w:r>
      <w:r>
        <w:t>——</w:t>
      </w:r>
      <w:r>
        <w:rPr>
          <w:rFonts w:hint="eastAsia"/>
        </w:rPr>
        <w:t>示值误差；</w:t>
      </w:r>
    </w:p>
    <w:p w14:paraId="283D8236">
      <w:pPr>
        <w:ind w:firstLine="480"/>
      </w:pPr>
      <w:r>
        <w:rPr>
          <w:position w:val="-6"/>
        </w:rPr>
        <w:object>
          <v:shape id="_x0000_i1047" o:spt="75" type="#_x0000_t75" style="height:17.65pt;width:9.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2">
            <o:LockedField>false</o:LockedField>
          </o:OLEObject>
        </w:object>
      </w:r>
      <w:r>
        <w:t>——</w:t>
      </w:r>
      <w:r>
        <w:rPr>
          <w:rFonts w:hint="eastAsia"/>
        </w:rPr>
        <w:t>标准物质测定结果的算术平均值；</w:t>
      </w:r>
    </w:p>
    <w:p w14:paraId="52DC9B56">
      <w:pPr>
        <w:ind w:firstLine="480"/>
      </w:pPr>
      <w:r>
        <w:rPr>
          <w:position w:val="-12"/>
        </w:rPr>
        <w:object>
          <v:shape id="_x0000_i1048" o:spt="75" type="#_x0000_t75" style="height:18.35pt;width:12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  <w:r>
        <w:t>——</w:t>
      </w:r>
      <w:r>
        <w:rPr>
          <w:rFonts w:hint="eastAsia"/>
        </w:rPr>
        <w:t>标准物质的标准值。</w:t>
      </w:r>
    </w:p>
    <w:p w14:paraId="7CD88401">
      <w:pPr>
        <w:ind w:firstLine="480"/>
      </w:pPr>
      <w:r>
        <w:rPr>
          <w:rFonts w:hint="eastAsia"/>
        </w:rPr>
        <w:t>按公式（7）计算相对标准偏差（</w:t>
      </w:r>
      <w:r>
        <w:rPr>
          <w:rFonts w:hint="eastAsia"/>
          <w:i/>
        </w:rPr>
        <w:t>RSD</w:t>
      </w:r>
      <w:r>
        <w:rPr>
          <w:rFonts w:hint="eastAsia"/>
        </w:rPr>
        <w:t>），即为检测仪的重复性。</w:t>
      </w:r>
    </w:p>
    <w:p w14:paraId="4E7A3BD4">
      <w:pPr>
        <w:spacing w:line="360" w:lineRule="auto"/>
        <w:ind w:firstLine="480"/>
        <w:jc w:val="center"/>
        <w:rPr>
          <w:szCs w:val="24"/>
          <w:lang w:val="zh-CN"/>
        </w:rPr>
      </w:pPr>
      <w:r>
        <w:rPr>
          <w:rFonts w:hint="eastAsia"/>
          <w:szCs w:val="24"/>
          <w:lang w:val="zh-CN"/>
        </w:rPr>
        <w:t xml:space="preserve">                     </w:t>
      </w:r>
      <w:r>
        <w:rPr>
          <w:position w:val="-26"/>
          <w:szCs w:val="24"/>
          <w:lang w:val="zh-CN"/>
        </w:rPr>
        <w:object>
          <v:shape id="_x0000_i1049" o:spt="75" type="#_x0000_t75" style="height:51.6pt;width:146.0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rPr>
          <w:rFonts w:hint="eastAsia"/>
          <w:szCs w:val="24"/>
          <w:lang w:val="zh-CN"/>
        </w:rPr>
        <w:t xml:space="preserve">                      </w:t>
      </w:r>
      <w:r>
        <w:rPr>
          <w:rFonts w:hint="eastAsia"/>
          <w:szCs w:val="28"/>
          <w:lang w:val="zh-CN"/>
        </w:rPr>
        <w:t>（7）</w:t>
      </w:r>
    </w:p>
    <w:p w14:paraId="24533C8D">
      <w:pPr>
        <w:ind w:firstLine="480"/>
      </w:pPr>
      <w:r>
        <w:rPr>
          <w:rFonts w:hint="eastAsia"/>
        </w:rPr>
        <w:t>式中：</w:t>
      </w:r>
    </w:p>
    <w:p w14:paraId="0FF47940">
      <w:pPr>
        <w:ind w:firstLine="480"/>
      </w:pPr>
      <w:r>
        <w:rPr>
          <w:position w:val="-6"/>
        </w:rPr>
        <w:object>
          <v:shape id="_x0000_i1050" o:spt="75" type="#_x0000_t75" style="height:14.25pt;width:25.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8">
            <o:LockedField>false</o:LockedField>
          </o:OLEObject>
        </w:object>
      </w:r>
      <w:r>
        <w:t>——</w:t>
      </w:r>
      <w:r>
        <w:rPr>
          <w:rFonts w:hint="eastAsia"/>
        </w:rPr>
        <w:t>相对标准偏差；</w:t>
      </w:r>
    </w:p>
    <w:p w14:paraId="58CC3113">
      <w:pPr>
        <w:ind w:firstLine="480"/>
      </w:pPr>
      <w:r>
        <w:rPr>
          <w:position w:val="-12"/>
        </w:rPr>
        <w:object>
          <v:shape id="_x0000_i1051" o:spt="75" type="#_x0000_t75" style="height:18.35pt;width:11.5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0">
            <o:LockedField>false</o:LockedField>
          </o:OLEObject>
        </w:object>
      </w:r>
      <w:r>
        <w:t>——</w:t>
      </w:r>
      <w:r>
        <w:rPr>
          <w:rFonts w:hint="eastAsia"/>
        </w:rPr>
        <w:t>第</w:t>
      </w:r>
      <w:r>
        <w:rPr>
          <w:rFonts w:hint="eastAsia"/>
          <w:i/>
        </w:rPr>
        <w:t>i</w:t>
      </w:r>
      <w:r>
        <w:rPr>
          <w:rFonts w:hint="eastAsia"/>
        </w:rPr>
        <w:t>次测量的结果；</w:t>
      </w:r>
    </w:p>
    <w:p w14:paraId="206CBE80">
      <w:pPr>
        <w:ind w:firstLine="480"/>
      </w:pPr>
      <w:r>
        <w:rPr>
          <w:position w:val="-6"/>
        </w:rPr>
        <w:object>
          <v:shape id="_x0000_i1052" o:spt="75" type="#_x0000_t75" style="height:17.65pt;width:9.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2">
            <o:LockedField>false</o:LockedField>
          </o:OLEObject>
        </w:object>
      </w:r>
      <w:r>
        <w:t>——</w:t>
      </w:r>
      <w:r>
        <w:rPr>
          <w:rFonts w:hint="eastAsia"/>
        </w:rPr>
        <w:t>标准物质测定结果的算术平均值。</w:t>
      </w:r>
    </w:p>
    <w:p w14:paraId="6DDB5B54">
      <w:pPr>
        <w:pStyle w:val="3"/>
      </w:pPr>
      <w:bookmarkStart w:id="165" w:name="_Toc229426262"/>
      <w:bookmarkStart w:id="166" w:name="_Toc229426379"/>
      <w:bookmarkStart w:id="167" w:name="_Toc229428736"/>
      <w:bookmarkStart w:id="168" w:name="_Toc229431119"/>
      <w:bookmarkStart w:id="169" w:name="_Toc229426207"/>
      <w:r>
        <w:rPr>
          <w:rFonts w:hint="eastAsia"/>
        </w:rPr>
        <w:t>6.7 灵敏度</w:t>
      </w:r>
      <w:bookmarkEnd w:id="165"/>
      <w:bookmarkEnd w:id="166"/>
      <w:bookmarkEnd w:id="167"/>
      <w:bookmarkEnd w:id="168"/>
      <w:bookmarkEnd w:id="169"/>
    </w:p>
    <w:p w14:paraId="6FBA21A2">
      <w:pPr>
        <w:ind w:firstLine="480"/>
      </w:pPr>
      <w:r>
        <w:rPr>
          <w:rFonts w:hint="eastAsia"/>
        </w:rPr>
        <w:t>按照检测仪使用说明书，对甲胺磷标准物质进行测定，读取标准溶液与对照溶液3min吸光度变化值，重复测量三次取平均值，按式（8）计算抑制率。</w:t>
      </w:r>
    </w:p>
    <w:p w14:paraId="2ACCE402">
      <w:pPr>
        <w:spacing w:line="360" w:lineRule="auto"/>
        <w:ind w:firstLine="480"/>
        <w:jc w:val="center"/>
        <w:rPr>
          <w:szCs w:val="24"/>
          <w:lang w:val="zh-CN"/>
        </w:rPr>
      </w:pPr>
      <w:r>
        <w:rPr>
          <w:rFonts w:hint="eastAsia"/>
          <w:szCs w:val="24"/>
          <w:lang w:val="zh-CN"/>
        </w:rPr>
        <w:t xml:space="preserve">                         </w:t>
      </w:r>
      <w:r>
        <w:rPr>
          <w:position w:val="-32"/>
          <w:szCs w:val="24"/>
          <w:lang w:val="zh-CN"/>
        </w:rPr>
        <w:object>
          <v:shape id="_x0000_i1053" o:spt="75" type="#_x0000_t75" style="height:38.05pt;width:113.4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3">
            <o:LockedField>false</o:LockedField>
          </o:OLEObject>
        </w:object>
      </w:r>
      <w:r>
        <w:rPr>
          <w:rFonts w:hint="eastAsia"/>
          <w:szCs w:val="24"/>
          <w:lang w:val="zh-CN"/>
        </w:rPr>
        <w:t xml:space="preserve">                        </w:t>
      </w:r>
      <w:r>
        <w:rPr>
          <w:rFonts w:hint="eastAsia"/>
          <w:szCs w:val="28"/>
          <w:lang w:val="zh-CN"/>
        </w:rPr>
        <w:t>（8）</w:t>
      </w:r>
    </w:p>
    <w:p w14:paraId="2554B473">
      <w:pPr>
        <w:ind w:firstLine="480"/>
      </w:pPr>
      <w:r>
        <w:rPr>
          <w:rFonts w:hint="eastAsia"/>
        </w:rPr>
        <w:t>式中：</w:t>
      </w:r>
    </w:p>
    <w:p w14:paraId="39516CBB">
      <w:pPr>
        <w:ind w:firstLine="480"/>
      </w:pPr>
      <w:r>
        <w:rPr>
          <w:position w:val="-4"/>
        </w:rPr>
        <w:object>
          <v:shape id="_x0000_i1054" o:spt="75" type="#_x0000_t75" style="height:12.25pt;width:16.3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  <w:r>
        <w:t>——</w:t>
      </w:r>
      <w:r>
        <w:rPr>
          <w:rFonts w:hint="eastAsia"/>
        </w:rPr>
        <w:t>抑制率；</w:t>
      </w:r>
    </w:p>
    <w:p w14:paraId="1EE3064E">
      <w:pPr>
        <w:ind w:firstLine="480"/>
      </w:pPr>
      <w:r>
        <w:rPr>
          <w:position w:val="-12"/>
        </w:rPr>
        <w:object>
          <v:shape id="_x0000_i1055" o:spt="75" type="#_x0000_t75" style="height:20.4pt;width:21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t>——</w:t>
      </w:r>
      <w:r>
        <w:rPr>
          <w:rFonts w:hint="eastAsia"/>
        </w:rPr>
        <w:t>对照溶液反应3min吸光度变化值的3次测量平均值；</w:t>
      </w:r>
    </w:p>
    <w:p w14:paraId="179D70AC">
      <w:pPr>
        <w:ind w:firstLine="480"/>
      </w:pPr>
      <w:r>
        <w:rPr>
          <w:position w:val="-12"/>
        </w:rPr>
        <w:object>
          <v:shape id="_x0000_i1056" o:spt="75" type="#_x0000_t75" style="height:20.4pt;width:21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t>——</w:t>
      </w:r>
      <w:r>
        <w:rPr>
          <w:rFonts w:hint="eastAsia"/>
        </w:rPr>
        <w:t>标准溶液反应3min吸光度变化值的3次测量平均值。</w:t>
      </w:r>
    </w:p>
    <w:p w14:paraId="520EDFD5">
      <w:pPr>
        <w:pStyle w:val="2"/>
      </w:pPr>
      <w:bookmarkStart w:id="170" w:name="_Toc229426380"/>
      <w:bookmarkStart w:id="171" w:name="_Toc229428737"/>
      <w:bookmarkStart w:id="172" w:name="_Toc229431120"/>
      <w:bookmarkStart w:id="173" w:name="_Toc229426263"/>
      <w:bookmarkStart w:id="174" w:name="_Toc229426208"/>
      <w:r>
        <w:t>7  校准结果的表达</w:t>
      </w:r>
      <w:bookmarkEnd w:id="154"/>
      <w:bookmarkEnd w:id="170"/>
      <w:bookmarkEnd w:id="171"/>
      <w:bookmarkEnd w:id="172"/>
      <w:bookmarkEnd w:id="173"/>
      <w:bookmarkEnd w:id="174"/>
    </w:p>
    <w:p w14:paraId="3E481897">
      <w:pPr>
        <w:ind w:firstLine="480"/>
      </w:pPr>
      <w:r>
        <w:rPr>
          <w:rFonts w:hint="eastAsia"/>
        </w:rPr>
        <w:t>校准结果应在校准证书上反映，校准证书应至少包括以下信息：</w:t>
      </w:r>
    </w:p>
    <w:p w14:paraId="7972F0B3">
      <w:pPr>
        <w:ind w:firstLine="480"/>
      </w:pPr>
      <w:r>
        <w:t xml:space="preserve">a)  </w:t>
      </w:r>
      <w:r>
        <w:rPr>
          <w:rFonts w:hint="eastAsia"/>
        </w:rPr>
        <w:t>标题，如</w:t>
      </w:r>
      <w:r>
        <w:t>“</w:t>
      </w:r>
      <w:r>
        <w:rPr>
          <w:rFonts w:hint="eastAsia"/>
        </w:rPr>
        <w:t>校准证书</w:t>
      </w:r>
      <w:r>
        <w:t>”</w:t>
      </w:r>
      <w:r>
        <w:rPr>
          <w:rFonts w:hint="eastAsia"/>
        </w:rPr>
        <w:t>；</w:t>
      </w:r>
    </w:p>
    <w:p w14:paraId="1D7751DC">
      <w:pPr>
        <w:ind w:firstLine="480"/>
      </w:pPr>
      <w:r>
        <w:t xml:space="preserve">b)  </w:t>
      </w:r>
      <w:r>
        <w:rPr>
          <w:rFonts w:hint="eastAsia"/>
        </w:rPr>
        <w:t>实验室名称和地址；</w:t>
      </w:r>
    </w:p>
    <w:p w14:paraId="0094A4E3">
      <w:pPr>
        <w:ind w:firstLine="480"/>
      </w:pPr>
      <w:r>
        <w:t xml:space="preserve">c)  </w:t>
      </w:r>
      <w:r>
        <w:rPr>
          <w:rFonts w:hint="eastAsia"/>
        </w:rPr>
        <w:t>进行校准的地点（如果与实验室的地址不同）；</w:t>
      </w:r>
    </w:p>
    <w:p w14:paraId="0F6B1F25">
      <w:pPr>
        <w:ind w:firstLine="480"/>
      </w:pPr>
      <w:r>
        <w:t xml:space="preserve">d)  </w:t>
      </w:r>
      <w:r>
        <w:rPr>
          <w:rFonts w:hint="eastAsia"/>
        </w:rPr>
        <w:t>证书或报告的唯一性标识（如编号），每页及总页数的标识；</w:t>
      </w:r>
    </w:p>
    <w:p w14:paraId="6C371169">
      <w:pPr>
        <w:ind w:firstLine="480"/>
      </w:pPr>
      <w:r>
        <w:t xml:space="preserve">e)  </w:t>
      </w:r>
      <w:r>
        <w:rPr>
          <w:rFonts w:hint="eastAsia"/>
        </w:rPr>
        <w:t>客户的名称和地址；</w:t>
      </w:r>
    </w:p>
    <w:p w14:paraId="296E7717">
      <w:pPr>
        <w:ind w:firstLine="480"/>
      </w:pPr>
      <w:r>
        <w:t xml:space="preserve">f)  </w:t>
      </w:r>
      <w:r>
        <w:rPr>
          <w:rFonts w:hint="eastAsia"/>
        </w:rPr>
        <w:t>被校对象的描述和明确标识；</w:t>
      </w:r>
    </w:p>
    <w:p w14:paraId="22316D4C">
      <w:pPr>
        <w:ind w:firstLine="480"/>
      </w:pPr>
      <w:r>
        <w:t xml:space="preserve">g)  </w:t>
      </w:r>
      <w:r>
        <w:rPr>
          <w:rFonts w:hint="eastAsia"/>
        </w:rPr>
        <w:t>进行校准的日期，如果与校准结果的有效性和应用有关时，应说明被校对象的接收日期；</w:t>
      </w:r>
      <w:r>
        <w:t xml:space="preserve"> </w:t>
      </w:r>
    </w:p>
    <w:p w14:paraId="16F6F8E0">
      <w:pPr>
        <w:ind w:firstLine="480"/>
      </w:pPr>
      <w:r>
        <w:t xml:space="preserve">h)  </w:t>
      </w:r>
      <w:r>
        <w:rPr>
          <w:rFonts w:hint="eastAsia"/>
        </w:rPr>
        <w:t>如果与校准结果的有效性和应用有关时，应对被校样品的抽样程序进行说明；</w:t>
      </w:r>
      <w:r>
        <w:t xml:space="preserve"> </w:t>
      </w:r>
    </w:p>
    <w:p w14:paraId="5D8B062E">
      <w:pPr>
        <w:ind w:firstLine="480"/>
      </w:pPr>
      <w:r>
        <w:t xml:space="preserve">i)  </w:t>
      </w:r>
      <w:r>
        <w:rPr>
          <w:rFonts w:hint="eastAsia"/>
        </w:rPr>
        <w:t>校准所依据的技术规范的标识，包括名称及代号；</w:t>
      </w:r>
    </w:p>
    <w:p w14:paraId="3B9C0D6C">
      <w:pPr>
        <w:ind w:firstLine="480"/>
      </w:pPr>
      <w:r>
        <w:t xml:space="preserve">j)  </w:t>
      </w:r>
      <w:r>
        <w:rPr>
          <w:rFonts w:hint="eastAsia"/>
        </w:rPr>
        <w:t>本次校准所用测量标准的溯源性及有效性说明；</w:t>
      </w:r>
    </w:p>
    <w:p w14:paraId="43BC0F81">
      <w:pPr>
        <w:ind w:firstLine="480"/>
      </w:pPr>
      <w:r>
        <w:t xml:space="preserve">k)  </w:t>
      </w:r>
      <w:r>
        <w:rPr>
          <w:rFonts w:hint="eastAsia"/>
        </w:rPr>
        <w:t>校准环境的描述；</w:t>
      </w:r>
    </w:p>
    <w:p w14:paraId="5011FD0F">
      <w:pPr>
        <w:ind w:firstLine="480"/>
      </w:pPr>
      <w:r>
        <w:t>l)</w:t>
      </w:r>
      <w:r>
        <w:rPr>
          <w:rFonts w:hint="eastAsia"/>
        </w:rPr>
        <w:t xml:space="preserve">  校准结果及其测量不确定度的说明；</w:t>
      </w:r>
    </w:p>
    <w:p w14:paraId="6B01232C">
      <w:pPr>
        <w:ind w:firstLine="480"/>
      </w:pPr>
      <w:r>
        <w:t xml:space="preserve">m)  </w:t>
      </w:r>
      <w:r>
        <w:rPr>
          <w:rFonts w:hint="eastAsia"/>
        </w:rPr>
        <w:t>对校准规范偏离的说明（若有）；</w:t>
      </w:r>
    </w:p>
    <w:p w14:paraId="456A5726">
      <w:pPr>
        <w:ind w:firstLine="480"/>
      </w:pPr>
      <w:r>
        <w:t xml:space="preserve">n)  </w:t>
      </w:r>
      <w:r>
        <w:rPr>
          <w:rFonts w:hint="eastAsia"/>
        </w:rPr>
        <w:t>校准证书或校准报告签发人的签名、职务或等效标识、以及签发日期；</w:t>
      </w:r>
    </w:p>
    <w:p w14:paraId="4D86C88E">
      <w:pPr>
        <w:ind w:firstLine="480"/>
      </w:pPr>
      <w:r>
        <w:t xml:space="preserve">o)  </w:t>
      </w:r>
      <w:r>
        <w:rPr>
          <w:rFonts w:hint="eastAsia"/>
        </w:rPr>
        <w:t>校准结果仅对被校对象有效的声明；</w:t>
      </w:r>
    </w:p>
    <w:p w14:paraId="1EF110E1">
      <w:pPr>
        <w:ind w:firstLine="480"/>
      </w:pPr>
      <w:r>
        <w:t xml:space="preserve">p)  </w:t>
      </w:r>
      <w:r>
        <w:rPr>
          <w:rFonts w:hint="eastAsia"/>
        </w:rPr>
        <w:t>未经实验室书面批准，不得部分复制证书的声明。</w:t>
      </w:r>
    </w:p>
    <w:p w14:paraId="1660F2E1">
      <w:pPr>
        <w:ind w:firstLine="480"/>
        <w:rPr>
          <w:rFonts w:ascii="Arial" w:hAnsi="Arial" w:cs="Arial"/>
        </w:rPr>
      </w:pPr>
      <w:r>
        <w:rPr>
          <w:rFonts w:hint="eastAsia"/>
        </w:rPr>
        <w:t>校准证书内页格式见附录A，校准原始记录见附录B。</w:t>
      </w:r>
    </w:p>
    <w:p w14:paraId="192E9B4E">
      <w:pPr>
        <w:pStyle w:val="2"/>
      </w:pPr>
      <w:bookmarkStart w:id="175" w:name="_Toc229426381"/>
      <w:bookmarkStart w:id="176" w:name="_Toc229428738"/>
      <w:bookmarkStart w:id="177" w:name="_Toc229426209"/>
      <w:bookmarkStart w:id="178" w:name="_Toc229431121"/>
      <w:bookmarkStart w:id="179" w:name="_Toc101442470"/>
      <w:bookmarkStart w:id="180" w:name="_Toc229426264"/>
      <w:r>
        <w:rPr>
          <w:rFonts w:hint="eastAsia"/>
        </w:rPr>
        <w:t>8  复校时间间隔</w:t>
      </w:r>
      <w:bookmarkEnd w:id="175"/>
      <w:bookmarkEnd w:id="176"/>
      <w:bookmarkEnd w:id="177"/>
      <w:bookmarkEnd w:id="178"/>
      <w:bookmarkEnd w:id="179"/>
      <w:bookmarkEnd w:id="180"/>
    </w:p>
    <w:p w14:paraId="454624FF">
      <w:pPr>
        <w:ind w:firstLine="480"/>
        <w:rPr>
          <w:rFonts w:ascii="Arial" w:hAnsi="Arial" w:cs="Arial"/>
        </w:rPr>
      </w:pPr>
      <w:r>
        <w:rPr>
          <w:rFonts w:hint="eastAsia"/>
        </w:rPr>
        <w:t>送校单位可根据实际使用情况自主决定复校时间间隔，建议不超过1年。</w:t>
      </w:r>
    </w:p>
    <w:p w14:paraId="6DECA887">
      <w:pPr>
        <w:ind w:firstLine="480"/>
        <w:rPr>
          <w:rFonts w:ascii="Arial" w:hAnsi="Arial" w:cs="Arial"/>
          <w:szCs w:val="24"/>
        </w:rPr>
      </w:pPr>
    </w:p>
    <w:p w14:paraId="2E9B9CB6">
      <w:pPr>
        <w:pStyle w:val="2"/>
        <w:rPr>
          <w:rFonts w:ascii="黑体" w:hAnsi="黑体"/>
          <w:bCs/>
          <w:szCs w:val="28"/>
          <w:lang w:eastAsia="zh-CN"/>
        </w:rPr>
      </w:pPr>
      <w:r>
        <w:rPr>
          <w:rFonts w:ascii="Arial" w:hAnsi="Arial" w:cs="Arial"/>
          <w:szCs w:val="24"/>
        </w:rPr>
        <w:br w:type="page"/>
      </w:r>
      <w:bookmarkStart w:id="181" w:name="_Toc229426382"/>
      <w:bookmarkStart w:id="182" w:name="_Toc229426265"/>
      <w:bookmarkStart w:id="183" w:name="_Toc229428739"/>
      <w:bookmarkStart w:id="184" w:name="_Toc229431122"/>
      <w:bookmarkStart w:id="185" w:name="_Toc229426210"/>
      <w:r>
        <w:rPr>
          <w:rFonts w:ascii="黑体" w:hAnsi="黑体"/>
          <w:bCs/>
          <w:szCs w:val="28"/>
        </w:rPr>
        <w:t>附录A</w:t>
      </w:r>
      <w:bookmarkEnd w:id="181"/>
      <w:bookmarkEnd w:id="182"/>
      <w:bookmarkEnd w:id="183"/>
      <w:bookmarkEnd w:id="184"/>
      <w:bookmarkEnd w:id="185"/>
      <w:bookmarkStart w:id="186" w:name="_Toc229426211"/>
      <w:bookmarkStart w:id="187" w:name="_Toc229426383"/>
      <w:bookmarkStart w:id="188" w:name="_Toc229426266"/>
    </w:p>
    <w:p w14:paraId="052B4AD6">
      <w:pPr>
        <w:ind w:firstLine="560"/>
        <w:jc w:val="center"/>
        <w:rPr>
          <w:rFonts w:ascii="黑体" w:hAnsi="黑体" w:eastAsia="黑体"/>
          <w:bCs/>
          <w:sz w:val="28"/>
          <w:szCs w:val="28"/>
        </w:rPr>
      </w:pPr>
      <w:bookmarkStart w:id="189" w:name="_Toc229428740"/>
      <w:r>
        <w:rPr>
          <w:rFonts w:hint="eastAsia" w:ascii="黑体" w:hAnsi="黑体" w:eastAsia="黑体"/>
          <w:sz w:val="28"/>
          <w:szCs w:val="28"/>
        </w:rPr>
        <w:t>重铬酸钾溶液的配</w:t>
      </w:r>
      <w:bookmarkEnd w:id="186"/>
      <w:bookmarkEnd w:id="187"/>
      <w:bookmarkEnd w:id="188"/>
      <w:bookmarkEnd w:id="189"/>
      <w:r>
        <w:rPr>
          <w:rFonts w:hint="eastAsia" w:ascii="黑体" w:hAnsi="黑体" w:eastAsia="黑体"/>
          <w:sz w:val="28"/>
          <w:szCs w:val="28"/>
        </w:rPr>
        <w:t>制</w:t>
      </w:r>
    </w:p>
    <w:p w14:paraId="2AAB951A">
      <w:pPr>
        <w:ind w:firstLine="482"/>
        <w:rPr>
          <w:b/>
        </w:rPr>
      </w:pPr>
    </w:p>
    <w:p w14:paraId="73E4E376">
      <w:pPr>
        <w:ind w:firstLine="480"/>
      </w:pPr>
      <w:r>
        <w:rPr>
          <w:rFonts w:hint="eastAsia"/>
        </w:rPr>
        <w:t>A．1  试剂</w:t>
      </w:r>
    </w:p>
    <w:p w14:paraId="37A4E0BB">
      <w:pPr>
        <w:ind w:firstLine="480"/>
      </w:pPr>
      <w:r>
        <w:rPr>
          <w:rFonts w:hint="eastAsia"/>
        </w:rPr>
        <w:t>A．1.1  纯水：重蒸水或去离子水，电阻率＞18.0MΩ·cm。</w:t>
      </w:r>
    </w:p>
    <w:p w14:paraId="3123B765">
      <w:pPr>
        <w:ind w:firstLine="480"/>
      </w:pPr>
      <w:r>
        <w:rPr>
          <w:rFonts w:hint="eastAsia"/>
        </w:rPr>
        <w:t>A．1.2  浓硫酸：密度为1.84g/mL。</w:t>
      </w:r>
    </w:p>
    <w:p w14:paraId="282A9A22">
      <w:pPr>
        <w:ind w:firstLine="480"/>
      </w:pPr>
      <w:r>
        <w:rPr>
          <w:rFonts w:hint="eastAsia"/>
        </w:rPr>
        <w:t>A．1.3  重铬酸钾：优级纯（110℃烘干2h）。</w:t>
      </w:r>
    </w:p>
    <w:p w14:paraId="025C1551">
      <w:pPr>
        <w:ind w:firstLine="480"/>
      </w:pPr>
      <w:r>
        <w:rPr>
          <w:rFonts w:hint="eastAsia"/>
        </w:rPr>
        <w:t>A．2  硫酸溶液配制</w:t>
      </w:r>
    </w:p>
    <w:p w14:paraId="1306C4C1">
      <w:pPr>
        <w:ind w:firstLine="480"/>
      </w:pPr>
      <w:r>
        <w:rPr>
          <w:rFonts w:hint="eastAsia"/>
        </w:rPr>
        <w:t>向100mL纯水中缓慢加入1.5mL浓硫酸（见A.1.2），边加边搅拌，然后转移到1000mL容量瓶中，用纯水定容。</w:t>
      </w:r>
    </w:p>
    <w:p w14:paraId="36210214">
      <w:pPr>
        <w:ind w:firstLine="480"/>
      </w:pPr>
      <w:r>
        <w:rPr>
          <w:rFonts w:hint="eastAsia"/>
        </w:rPr>
        <w:t>A．3  酸性重铬酸钾标准储备溶液配制</w:t>
      </w:r>
    </w:p>
    <w:p w14:paraId="2E9D23F8">
      <w:pPr>
        <w:ind w:firstLine="480"/>
        <w:rPr>
          <w:rFonts w:ascii="Arial" w:hAnsi="Arial" w:cs="Arial"/>
          <w:szCs w:val="24"/>
        </w:rPr>
      </w:pPr>
      <w:r>
        <w:rPr>
          <w:rFonts w:hint="eastAsia" w:ascii="Arial" w:hAnsi="Arial" w:cs="Arial"/>
          <w:szCs w:val="24"/>
        </w:rPr>
        <w:t>准确称量5.000g重铬酸钾（见A.1.3），用少量硫酸溶液（见A.2）溶解，移入500mL容量瓶中，用硫酸溶液（见A.2）定容。此溶液的重铬酸钾浓度为10000mg/L。</w:t>
      </w:r>
    </w:p>
    <w:p w14:paraId="1A397B27">
      <w:pPr>
        <w:ind w:firstLine="480"/>
        <w:rPr>
          <w:rFonts w:ascii="Arial" w:hAnsi="Arial" w:cs="Arial"/>
          <w:szCs w:val="24"/>
        </w:rPr>
      </w:pPr>
      <w:r>
        <w:rPr>
          <w:rFonts w:hint="eastAsia" w:ascii="Arial" w:hAnsi="Arial" w:cs="Arial"/>
          <w:szCs w:val="24"/>
        </w:rPr>
        <w:t>A．4  酸性重铬酸钾标准工作溶液配制</w:t>
      </w:r>
    </w:p>
    <w:p w14:paraId="3BC3DC9F">
      <w:pPr>
        <w:ind w:firstLine="480"/>
        <w:rPr>
          <w:rFonts w:ascii="Arial" w:hAnsi="Arial" w:cs="Arial"/>
          <w:szCs w:val="24"/>
          <w:lang w:val="zh-CN"/>
        </w:rPr>
      </w:pPr>
      <w:r>
        <w:rPr>
          <w:rFonts w:hint="eastAsia" w:ascii="Arial" w:hAnsi="Arial" w:cs="Arial"/>
          <w:szCs w:val="24"/>
        </w:rPr>
        <w:t>分别移取1.00mL</w:t>
      </w:r>
      <w:r>
        <w:rPr>
          <w:rFonts w:hint="eastAsia"/>
          <w:szCs w:val="24"/>
          <w:lang w:val="zh-CN"/>
        </w:rPr>
        <w:t>、</w:t>
      </w:r>
      <w:r>
        <w:rPr>
          <w:rFonts w:hint="eastAsia" w:ascii="Arial" w:hAnsi="Arial" w:cs="Arial"/>
          <w:szCs w:val="24"/>
        </w:rPr>
        <w:t>2.00mL</w:t>
      </w:r>
      <w:r>
        <w:rPr>
          <w:rFonts w:hint="eastAsia"/>
          <w:szCs w:val="24"/>
          <w:lang w:val="zh-CN"/>
        </w:rPr>
        <w:t>、</w:t>
      </w:r>
      <w:r>
        <w:rPr>
          <w:rFonts w:hint="eastAsia" w:ascii="Arial" w:hAnsi="Arial" w:cs="Arial"/>
          <w:szCs w:val="24"/>
        </w:rPr>
        <w:t>3.00mL</w:t>
      </w:r>
      <w:r>
        <w:rPr>
          <w:rFonts w:hint="eastAsia"/>
          <w:szCs w:val="24"/>
          <w:lang w:val="zh-CN"/>
        </w:rPr>
        <w:t>、</w:t>
      </w:r>
      <w:r>
        <w:rPr>
          <w:rFonts w:hint="eastAsia" w:ascii="Arial" w:hAnsi="Arial" w:cs="Arial"/>
          <w:szCs w:val="24"/>
        </w:rPr>
        <w:t>4.00mL</w:t>
      </w:r>
      <w:r>
        <w:rPr>
          <w:rFonts w:hint="eastAsia"/>
          <w:szCs w:val="24"/>
          <w:lang w:val="zh-CN"/>
        </w:rPr>
        <w:t>、</w:t>
      </w:r>
      <w:r>
        <w:rPr>
          <w:rFonts w:hint="eastAsia" w:ascii="Arial" w:hAnsi="Arial" w:cs="Arial"/>
          <w:szCs w:val="24"/>
        </w:rPr>
        <w:t>5.00mL</w:t>
      </w:r>
      <w:r>
        <w:rPr>
          <w:rFonts w:hint="eastAsia"/>
          <w:szCs w:val="24"/>
          <w:lang w:val="zh-CN"/>
        </w:rPr>
        <w:t>酸性重铬酸钾溶液（见A.3）至100mL容量瓶中，用硫酸溶液（见A.2）定容至刻度。各容量瓶中溶液对应的重铬酸钾浓度分别为100</w:t>
      </w:r>
      <w:bookmarkStart w:id="190" w:name="OLE_LINK7"/>
      <w:bookmarkStart w:id="191" w:name="OLE_LINK8"/>
      <w:r>
        <w:rPr>
          <w:rFonts w:hint="eastAsia"/>
          <w:szCs w:val="24"/>
          <w:lang w:val="zh-CN"/>
        </w:rPr>
        <w:t>mg/L</w:t>
      </w:r>
      <w:bookmarkEnd w:id="190"/>
      <w:bookmarkEnd w:id="191"/>
      <w:r>
        <w:rPr>
          <w:rFonts w:hint="eastAsia"/>
          <w:szCs w:val="24"/>
          <w:lang w:val="zh-CN"/>
        </w:rPr>
        <w:t>、200mg/L、300mg/L、400mg/L和500mg/L。</w:t>
      </w:r>
    </w:p>
    <w:p w14:paraId="23F192AF">
      <w:pPr>
        <w:widowControl/>
        <w:ind w:firstLine="480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589B6C1F">
      <w:pPr>
        <w:pStyle w:val="2"/>
      </w:pPr>
      <w:bookmarkStart w:id="192" w:name="_Toc101442471"/>
      <w:bookmarkStart w:id="193" w:name="_Toc229426384"/>
      <w:bookmarkStart w:id="194" w:name="_Toc229428741"/>
      <w:bookmarkStart w:id="195" w:name="_Toc229431123"/>
      <w:bookmarkStart w:id="196" w:name="_Toc229426267"/>
      <w:bookmarkStart w:id="197" w:name="_Toc229426212"/>
      <w:bookmarkStart w:id="198" w:name="OLE_LINK166"/>
      <w:bookmarkStart w:id="199" w:name="OLE_LINK152"/>
      <w:bookmarkStart w:id="200" w:name="OLE_LINK154"/>
      <w:r>
        <w:t>附录</w:t>
      </w:r>
      <w:bookmarkEnd w:id="192"/>
      <w:r>
        <w:rPr>
          <w:rFonts w:hint="eastAsia"/>
        </w:rPr>
        <w:t>B</w:t>
      </w:r>
      <w:bookmarkEnd w:id="193"/>
      <w:bookmarkEnd w:id="194"/>
      <w:bookmarkEnd w:id="195"/>
      <w:bookmarkEnd w:id="196"/>
      <w:bookmarkEnd w:id="197"/>
      <w:bookmarkStart w:id="201" w:name="_Toc229426268"/>
      <w:bookmarkStart w:id="202" w:name="_Toc229426213"/>
      <w:bookmarkStart w:id="203" w:name="_Toc229426385"/>
    </w:p>
    <w:p w14:paraId="73D30E58">
      <w:pPr>
        <w:ind w:firstLine="560"/>
        <w:jc w:val="center"/>
        <w:rPr>
          <w:rFonts w:ascii="黑体" w:hAnsi="黑体" w:eastAsia="黑体"/>
          <w:sz w:val="28"/>
          <w:szCs w:val="28"/>
        </w:rPr>
      </w:pPr>
      <w:bookmarkStart w:id="204" w:name="_Toc229428742"/>
      <w:r>
        <w:rPr>
          <w:rFonts w:hint="eastAsia" w:ascii="黑体" w:hAnsi="黑体" w:eastAsia="黑体"/>
          <w:sz w:val="28"/>
          <w:szCs w:val="28"/>
        </w:rPr>
        <w:t>线性回归法中相关系数的计算</w:t>
      </w:r>
      <w:bookmarkEnd w:id="201"/>
      <w:bookmarkEnd w:id="202"/>
      <w:bookmarkEnd w:id="203"/>
      <w:bookmarkEnd w:id="204"/>
    </w:p>
    <w:p w14:paraId="274AE2E4">
      <w:pPr>
        <w:spacing w:line="360" w:lineRule="auto"/>
        <w:ind w:left="480" w:firstLine="0" w:firstLineChars="0"/>
      </w:pPr>
      <w:r>
        <w:pict>
          <v:shape id="_x0000_s1190" o:spid="_x0000_s1190" o:spt="75" type="#_x0000_t75" style="position:absolute;left:0pt;margin-left:102.2pt;margin-top:4pt;height:14.25pt;width:50.25pt;z-index:25167052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</v:shape>
          <o:OLEObject Type="Embed" ProgID="Equation.DSMT4" ShapeID="_x0000_s1190" DrawAspect="Content" ObjectID="_1468075757" r:id="rId81">
            <o:LockedField>false</o:LockedField>
          </o:OLEObject>
        </w:pict>
      </w:r>
      <w:r>
        <w:rPr>
          <w:rFonts w:hint="eastAsia"/>
        </w:rPr>
        <w:t>1．直线方程：</w:t>
      </w:r>
    </w:p>
    <w:p w14:paraId="3EA20C3F">
      <w:pPr>
        <w:spacing w:line="360" w:lineRule="auto"/>
        <w:ind w:firstLine="480"/>
        <w:jc w:val="left"/>
      </w:pPr>
      <w:r>
        <w:pict>
          <v:shape id="_x0000_s1189" o:spid="_x0000_s1189" o:spt="75" type="#_x0000_t75" style="position:absolute;left:0pt;margin-left:85.9pt;margin-top:21.4pt;height:33.95pt;width:41.45pt;z-index:25166950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</v:shape>
          <o:OLEObject Type="Embed" ProgID="Equation.DSMT4" ShapeID="_x0000_s1189" DrawAspect="Content" ObjectID="_1468075758" r:id="rId83">
            <o:LockedField>false</o:LockedField>
          </o:OLEObject>
        </w:pict>
      </w:r>
    </w:p>
    <w:p w14:paraId="54BDAA4D">
      <w:pPr>
        <w:spacing w:line="360" w:lineRule="auto"/>
        <w:ind w:firstLine="480"/>
        <w:jc w:val="left"/>
      </w:pPr>
      <w:r>
        <w:rPr>
          <w:rFonts w:hint="eastAsia"/>
        </w:rPr>
        <w:t>2. 斜率</w:t>
      </w:r>
      <w:r>
        <w:rPr>
          <w:rFonts w:hint="eastAsia"/>
          <w:i/>
        </w:rPr>
        <w:t>b</w:t>
      </w:r>
      <w:r>
        <w:rPr>
          <w:rFonts w:hint="eastAsia"/>
        </w:rPr>
        <w:t>：</w:t>
      </w:r>
    </w:p>
    <w:p w14:paraId="5FCF2DC5">
      <w:pPr>
        <w:spacing w:line="360" w:lineRule="auto"/>
        <w:ind w:firstLine="480"/>
      </w:pPr>
    </w:p>
    <w:p w14:paraId="6238B34B">
      <w:pPr>
        <w:spacing w:line="360" w:lineRule="auto"/>
        <w:ind w:firstLine="480"/>
      </w:pPr>
      <w:bookmarkStart w:id="205" w:name="_Toc229426216"/>
      <w:bookmarkStart w:id="206" w:name="_Toc229428745"/>
      <w:bookmarkStart w:id="207" w:name="_Toc229426388"/>
      <w:bookmarkStart w:id="208" w:name="_Toc229426271"/>
      <w:r>
        <w:pict>
          <v:shape id="_x0000_s1193" o:spid="_x0000_s1193" o:spt="75" type="#_x0000_t75" style="position:absolute;left:0pt;margin-left:83.9pt;margin-top:1.45pt;height:17.65pt;width:50.25pt;z-index:25167257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</v:shape>
          <o:OLEObject Type="Embed" ProgID="Equation.DSMT4" ShapeID="_x0000_s1193" DrawAspect="Content" ObjectID="_1468075759" r:id="rId85">
            <o:LockedField>false</o:LockedField>
          </o:OLEObject>
        </w:pict>
      </w:r>
      <w:r>
        <w:rPr>
          <w:rFonts w:hint="eastAsia"/>
        </w:rPr>
        <w:t>3. 截距</w:t>
      </w:r>
      <w:r>
        <w:rPr>
          <w:rFonts w:hint="eastAsia"/>
          <w:i/>
        </w:rPr>
        <w:t>a</w:t>
      </w:r>
      <w:r>
        <w:rPr>
          <w:rFonts w:hint="eastAsia"/>
        </w:rPr>
        <w:t>：</w:t>
      </w:r>
      <w:bookmarkEnd w:id="205"/>
      <w:bookmarkEnd w:id="206"/>
      <w:bookmarkEnd w:id="207"/>
      <w:bookmarkEnd w:id="208"/>
    </w:p>
    <w:p w14:paraId="7536DEF6">
      <w:pPr>
        <w:spacing w:line="360" w:lineRule="auto"/>
        <w:ind w:firstLine="480"/>
      </w:pPr>
      <w:r>
        <w:pict>
          <v:shape id="_x0000_s1192" o:spid="_x0000_s1192" o:spt="75" type="#_x0000_t75" style="position:absolute;left:0pt;margin-left:109.05pt;margin-top:18.95pt;height:36pt;width:61.8pt;z-index:25167155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</v:shape>
          <o:OLEObject Type="Embed" ProgID="Equation.DSMT4" ShapeID="_x0000_s1192" DrawAspect="Content" ObjectID="_1468075760" r:id="rId87">
            <o:LockedField>false</o:LockedField>
          </o:OLEObject>
        </w:pict>
      </w:r>
    </w:p>
    <w:p w14:paraId="5C50928F">
      <w:pPr>
        <w:spacing w:line="360" w:lineRule="auto"/>
        <w:ind w:firstLine="480"/>
      </w:pPr>
      <w:bookmarkStart w:id="209" w:name="_Toc229426217"/>
      <w:bookmarkStart w:id="210" w:name="_Toc229428746"/>
      <w:bookmarkStart w:id="211" w:name="_Toc229426272"/>
      <w:bookmarkStart w:id="212" w:name="_Toc229426389"/>
      <w:r>
        <w:rPr>
          <w:rFonts w:hint="eastAsia"/>
        </w:rPr>
        <w:t>4. 相关系数</w:t>
      </w:r>
      <w:r>
        <w:rPr>
          <w:rFonts w:hint="eastAsia"/>
          <w:i/>
        </w:rPr>
        <w:t>r</w:t>
      </w:r>
      <w:r>
        <w:rPr>
          <w:rFonts w:hint="eastAsia"/>
        </w:rPr>
        <w:t xml:space="preserve">： </w:t>
      </w:r>
      <w:bookmarkEnd w:id="209"/>
      <w:bookmarkEnd w:id="210"/>
      <w:bookmarkEnd w:id="211"/>
      <w:bookmarkEnd w:id="212"/>
    </w:p>
    <w:p w14:paraId="205B117C">
      <w:pPr>
        <w:ind w:firstLine="480"/>
      </w:pPr>
      <w:bookmarkStart w:id="213" w:name="_Toc229426218"/>
      <w:bookmarkStart w:id="214" w:name="_Toc229426273"/>
      <w:bookmarkStart w:id="215" w:name="_Toc229426390"/>
      <w:bookmarkStart w:id="216" w:name="_Toc229428747"/>
    </w:p>
    <w:p w14:paraId="08205CE7">
      <w:pPr>
        <w:ind w:firstLine="480"/>
      </w:pPr>
      <w:r>
        <w:rPr>
          <w:rFonts w:hint="eastAsia"/>
        </w:rPr>
        <w:t>其中：</w:t>
      </w:r>
      <w:bookmarkEnd w:id="213"/>
      <w:bookmarkEnd w:id="214"/>
      <w:bookmarkEnd w:id="215"/>
      <w:bookmarkEnd w:id="216"/>
    </w:p>
    <w:p w14:paraId="5FF7F072">
      <w:pPr>
        <w:ind w:firstLine="480"/>
        <w:jc w:val="center"/>
      </w:pPr>
      <w:bookmarkStart w:id="217" w:name="_Toc229428748"/>
      <w:bookmarkEnd w:id="217"/>
      <w:bookmarkStart w:id="218" w:name="_Toc229426219"/>
      <w:bookmarkEnd w:id="218"/>
      <w:bookmarkStart w:id="219" w:name="_Toc229426391"/>
      <w:bookmarkEnd w:id="219"/>
      <w:bookmarkStart w:id="220" w:name="_Toc229426274"/>
      <w:bookmarkEnd w:id="220"/>
      <w:r>
        <w:object>
          <v:shape id="_x0000_i1057" o:spt="75" type="#_x0000_t75" style="height:33.95pt;width:103.9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57" DrawAspect="Content" ObjectID="_1468075761" r:id="rId89">
            <o:LockedField>false</o:LockedField>
          </o:OLEObject>
        </w:object>
      </w:r>
    </w:p>
    <w:p w14:paraId="47B6CE10">
      <w:pPr>
        <w:ind w:firstLine="480"/>
        <w:jc w:val="center"/>
      </w:pPr>
      <w:bookmarkStart w:id="221" w:name="_Toc229426392"/>
      <w:bookmarkEnd w:id="221"/>
      <w:bookmarkStart w:id="222" w:name="_Toc229426220"/>
      <w:bookmarkEnd w:id="222"/>
      <w:bookmarkStart w:id="223" w:name="_Toc229428749"/>
      <w:bookmarkEnd w:id="223"/>
      <w:bookmarkStart w:id="224" w:name="_Toc229426275"/>
      <w:bookmarkEnd w:id="224"/>
      <w:r>
        <w:object>
          <v:shape id="_x0000_i1058" o:spt="75" type="#_x0000_t75" style="height:33.95pt;width:99.8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58" DrawAspect="Content" ObjectID="_1468075762" r:id="rId91">
            <o:LockedField>false</o:LockedField>
          </o:OLEObject>
        </w:object>
      </w:r>
    </w:p>
    <w:p w14:paraId="19BDBDA7">
      <w:pPr>
        <w:ind w:firstLine="480"/>
        <w:jc w:val="center"/>
      </w:pPr>
      <w:bookmarkStart w:id="225" w:name="_Toc229426221"/>
      <w:bookmarkEnd w:id="225"/>
      <w:bookmarkStart w:id="226" w:name="_Toc229426393"/>
      <w:bookmarkEnd w:id="226"/>
      <w:bookmarkStart w:id="227" w:name="_Toc229426276"/>
      <w:bookmarkEnd w:id="227"/>
      <w:bookmarkStart w:id="228" w:name="_Toc229428750"/>
      <w:bookmarkEnd w:id="228"/>
      <w:r>
        <w:object>
          <v:shape id="_x0000_i1059" o:spt="75" type="#_x0000_t75" style="height:33.95pt;width:108.7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59" DrawAspect="Content" ObjectID="_1468075763" r:id="rId93">
            <o:LockedField>false</o:LockedField>
          </o:OLEObject>
        </w:object>
      </w:r>
    </w:p>
    <w:p w14:paraId="47A6E5FB">
      <w:pPr>
        <w:spacing w:line="360" w:lineRule="auto"/>
        <w:ind w:firstLine="480"/>
        <w:rPr>
          <w:rFonts w:asciiTheme="minorEastAsia" w:hAnsiTheme="minorEastAsia" w:eastAsiaTheme="minorEastAsia"/>
        </w:rPr>
      </w:pPr>
      <w:bookmarkStart w:id="229" w:name="_Toc229428751"/>
      <w:bookmarkStart w:id="230" w:name="_Toc229426394"/>
      <w:bookmarkStart w:id="231" w:name="_Toc229426222"/>
      <w:bookmarkStart w:id="232" w:name="_Toc229426277"/>
      <w:r>
        <w:rPr>
          <w:rFonts w:hint="eastAsia" w:asciiTheme="minorEastAsia" w:hAnsiTheme="minorEastAsia" w:eastAsiaTheme="minorEastAsia"/>
        </w:rPr>
        <w:t>上述式中：</w:t>
      </w:r>
      <w:r>
        <w:rPr>
          <w:rFonts w:eastAsiaTheme="minorEastAsia"/>
          <w:i/>
        </w:rPr>
        <w:t>I</w:t>
      </w:r>
      <w:r>
        <w:rPr>
          <w:rFonts w:hint="eastAsia" w:asciiTheme="minorEastAsia" w:hAnsiTheme="minorEastAsia" w:eastAsiaTheme="minorEastAsia"/>
        </w:rPr>
        <w:t>——吸光度值</w:t>
      </w:r>
      <w:bookmarkEnd w:id="229"/>
      <w:bookmarkEnd w:id="230"/>
      <w:bookmarkEnd w:id="231"/>
      <w:bookmarkEnd w:id="232"/>
    </w:p>
    <w:p w14:paraId="31444190">
      <w:pPr>
        <w:spacing w:line="360" w:lineRule="auto"/>
        <w:ind w:firstLine="48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   </w:t>
      </w:r>
      <w:bookmarkStart w:id="233" w:name="_Toc229426223"/>
      <w:bookmarkStart w:id="234" w:name="_Toc229426278"/>
      <w:bookmarkStart w:id="235" w:name="_Toc229426395"/>
      <w:bookmarkStart w:id="236" w:name="_Toc229428752"/>
      <w:r>
        <w:rPr>
          <w:rFonts w:hint="eastAsia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——斜率</w:t>
      </w:r>
      <w:bookmarkEnd w:id="233"/>
      <w:bookmarkEnd w:id="234"/>
      <w:bookmarkEnd w:id="235"/>
      <w:bookmarkEnd w:id="236"/>
    </w:p>
    <w:p w14:paraId="72DF7CA5">
      <w:pPr>
        <w:spacing w:line="360" w:lineRule="auto"/>
        <w:ind w:firstLine="48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   </w:t>
      </w:r>
      <w:bookmarkStart w:id="237" w:name="_Toc229426279"/>
      <w:bookmarkStart w:id="238" w:name="_Toc229428753"/>
      <w:bookmarkStart w:id="239" w:name="_Toc229426224"/>
      <w:bookmarkStart w:id="240" w:name="_Toc229426396"/>
      <w:r>
        <w:rPr>
          <w:rFonts w:hint="eastAsia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——截距</w:t>
      </w:r>
      <w:bookmarkEnd w:id="237"/>
      <w:bookmarkEnd w:id="238"/>
      <w:bookmarkEnd w:id="239"/>
      <w:bookmarkEnd w:id="240"/>
    </w:p>
    <w:p w14:paraId="672F8A04">
      <w:pPr>
        <w:spacing w:line="360" w:lineRule="auto"/>
        <w:ind w:firstLine="48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  </w:t>
      </w:r>
      <w:r>
        <w:rPr>
          <w:rFonts w:hint="eastAsia" w:eastAsiaTheme="minorEastAsia"/>
          <w:i/>
        </w:rPr>
        <w:t xml:space="preserve"> </w:t>
      </w:r>
      <w:bookmarkStart w:id="241" w:name="_Toc229426225"/>
      <w:bookmarkStart w:id="242" w:name="_Toc229426397"/>
      <w:bookmarkStart w:id="243" w:name="_Toc229426280"/>
      <w:bookmarkStart w:id="244" w:name="_Toc229428754"/>
      <w:r>
        <w:rPr>
          <w:rFonts w:hint="eastAsia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——标准溶液浓度</w:t>
      </w:r>
      <w:bookmarkEnd w:id="241"/>
      <w:bookmarkEnd w:id="242"/>
      <w:bookmarkEnd w:id="243"/>
      <w:bookmarkEnd w:id="244"/>
    </w:p>
    <w:p w14:paraId="642558F3">
      <w:pPr>
        <w:spacing w:line="360" w:lineRule="auto"/>
        <w:ind w:firstLine="48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   </w:t>
      </w:r>
      <w:bookmarkStart w:id="245" w:name="_Toc229426398"/>
      <w:bookmarkStart w:id="246" w:name="_Toc229428755"/>
      <w:bookmarkStart w:id="247" w:name="_Toc229426226"/>
      <w:bookmarkStart w:id="248" w:name="_Toc229426281"/>
      <w:r>
        <w:rPr>
          <w:rFonts w:hint="eastAsia" w:eastAsiaTheme="minorEastAsia"/>
          <w:i/>
        </w:rPr>
        <w:t>r</w:t>
      </w:r>
      <w:r>
        <w:rPr>
          <w:rFonts w:hint="eastAsia" w:asciiTheme="minorEastAsia" w:hAnsiTheme="minorEastAsia" w:eastAsiaTheme="minorEastAsia"/>
        </w:rPr>
        <w:t>——线性相关系数</w:t>
      </w:r>
      <w:bookmarkEnd w:id="245"/>
      <w:bookmarkEnd w:id="246"/>
      <w:bookmarkEnd w:id="247"/>
      <w:bookmarkEnd w:id="248"/>
    </w:p>
    <w:p w14:paraId="6AAFF95A">
      <w:pPr>
        <w:spacing w:line="360" w:lineRule="auto"/>
        <w:ind w:firstLine="48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   </w:t>
      </w:r>
      <w:bookmarkStart w:id="249" w:name="_Toc229426227"/>
      <w:bookmarkStart w:id="250" w:name="_Toc229426399"/>
      <w:bookmarkStart w:id="251" w:name="_Toc229426282"/>
      <w:bookmarkStart w:id="252" w:name="_Toc229428756"/>
      <w:r>
        <w:rPr>
          <w:rFonts w:hint="eastAsia" w:eastAsiaTheme="minorEastAsia"/>
          <w:i/>
        </w:rPr>
        <w:t>n</w:t>
      </w:r>
      <w:r>
        <w:rPr>
          <w:rFonts w:hint="eastAsia" w:asciiTheme="minorEastAsia" w:hAnsiTheme="minorEastAsia" w:eastAsiaTheme="minorEastAsia"/>
        </w:rPr>
        <w:t>——标准曲线点数</w:t>
      </w:r>
      <w:bookmarkEnd w:id="249"/>
      <w:bookmarkEnd w:id="250"/>
      <w:bookmarkEnd w:id="251"/>
      <w:bookmarkEnd w:id="252"/>
    </w:p>
    <w:p w14:paraId="611ADE15">
      <w:pPr>
        <w:spacing w:line="360" w:lineRule="auto"/>
        <w:ind w:firstLine="480"/>
        <w:outlineLvl w:val="0"/>
        <w:rPr>
          <w:rFonts w:eastAsia="黑体"/>
          <w:bCs/>
          <w:szCs w:val="24"/>
        </w:rPr>
      </w:pPr>
    </w:p>
    <w:p w14:paraId="222F2669">
      <w:pPr>
        <w:widowControl/>
        <w:spacing w:line="360" w:lineRule="auto"/>
        <w:ind w:firstLine="480"/>
        <w:jc w:val="left"/>
        <w:rPr>
          <w:rFonts w:eastAsia="黑体"/>
          <w:bCs/>
          <w:szCs w:val="24"/>
        </w:rPr>
      </w:pPr>
      <w:r>
        <w:rPr>
          <w:rFonts w:eastAsia="黑体"/>
          <w:bCs/>
          <w:szCs w:val="24"/>
        </w:rPr>
        <w:br w:type="page"/>
      </w:r>
    </w:p>
    <w:p w14:paraId="277D585E">
      <w:pPr>
        <w:pStyle w:val="2"/>
      </w:pPr>
      <w:bookmarkStart w:id="253" w:name="_Toc229426400"/>
      <w:bookmarkStart w:id="254" w:name="_Toc229428757"/>
      <w:bookmarkStart w:id="255" w:name="_Toc229426228"/>
      <w:bookmarkStart w:id="256" w:name="_Toc229426283"/>
      <w:bookmarkStart w:id="257" w:name="_Toc229431124"/>
      <w:r>
        <w:t>附录</w:t>
      </w:r>
      <w:r>
        <w:rPr>
          <w:rFonts w:hint="eastAsia"/>
        </w:rPr>
        <w:t>C</w:t>
      </w:r>
      <w:bookmarkEnd w:id="253"/>
      <w:bookmarkEnd w:id="254"/>
      <w:bookmarkEnd w:id="255"/>
      <w:bookmarkEnd w:id="256"/>
      <w:bookmarkEnd w:id="257"/>
    </w:p>
    <w:bookmarkEnd w:id="198"/>
    <w:bookmarkEnd w:id="199"/>
    <w:bookmarkEnd w:id="200"/>
    <w:p w14:paraId="09FF2D96">
      <w:pPr>
        <w:spacing w:line="400" w:lineRule="exact"/>
        <w:ind w:firstLine="560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校准记录格式（参考）</w:t>
      </w:r>
    </w:p>
    <w:p w14:paraId="403E65FE">
      <w:pPr>
        <w:ind w:firstLine="48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记录（证书）编号：</w:t>
      </w:r>
    </w:p>
    <w:tbl>
      <w:tblPr>
        <w:tblStyle w:val="21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262"/>
        <w:gridCol w:w="222"/>
        <w:gridCol w:w="83"/>
        <w:gridCol w:w="763"/>
        <w:gridCol w:w="171"/>
        <w:gridCol w:w="49"/>
        <w:gridCol w:w="10"/>
        <w:gridCol w:w="7"/>
        <w:gridCol w:w="679"/>
        <w:gridCol w:w="152"/>
        <w:gridCol w:w="342"/>
        <w:gridCol w:w="14"/>
        <w:gridCol w:w="365"/>
        <w:gridCol w:w="347"/>
        <w:gridCol w:w="306"/>
        <w:gridCol w:w="155"/>
        <w:gridCol w:w="14"/>
        <w:gridCol w:w="82"/>
        <w:gridCol w:w="199"/>
        <w:gridCol w:w="299"/>
        <w:gridCol w:w="14"/>
        <w:gridCol w:w="579"/>
        <w:gridCol w:w="14"/>
        <w:gridCol w:w="170"/>
        <w:gridCol w:w="82"/>
        <w:gridCol w:w="223"/>
        <w:gridCol w:w="30"/>
        <w:gridCol w:w="592"/>
        <w:gridCol w:w="76"/>
        <w:gridCol w:w="14"/>
        <w:gridCol w:w="356"/>
        <w:gridCol w:w="31"/>
        <w:gridCol w:w="122"/>
        <w:gridCol w:w="115"/>
        <w:gridCol w:w="246"/>
        <w:gridCol w:w="317"/>
        <w:gridCol w:w="237"/>
        <w:gridCol w:w="169"/>
        <w:gridCol w:w="171"/>
        <w:gridCol w:w="125"/>
        <w:gridCol w:w="85"/>
        <w:gridCol w:w="61"/>
        <w:gridCol w:w="339"/>
        <w:gridCol w:w="70"/>
        <w:gridCol w:w="1117"/>
      </w:tblGrid>
      <w:tr w14:paraId="7D250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6"/>
            <w:vAlign w:val="center"/>
          </w:tcPr>
          <w:p w14:paraId="4DBD8E1B">
            <w:pPr>
              <w:spacing w:line="240" w:lineRule="exact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 委托单位信息</w:t>
            </w:r>
          </w:p>
        </w:tc>
      </w:tr>
      <w:tr w14:paraId="42257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3" w:type="dxa"/>
            <w:gridSpan w:val="4"/>
            <w:vAlign w:val="center"/>
          </w:tcPr>
          <w:p w14:paraId="6CCD7271">
            <w:pPr>
              <w:ind w:firstLine="0" w:firstLineChars="0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委托单位名称</w:t>
            </w:r>
          </w:p>
        </w:tc>
        <w:tc>
          <w:tcPr>
            <w:tcW w:w="5066" w:type="dxa"/>
            <w:gridSpan w:val="24"/>
            <w:vAlign w:val="center"/>
          </w:tcPr>
          <w:p w14:paraId="0EECA8F0">
            <w:pPr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52" w:type="dxa"/>
            <w:gridSpan w:val="8"/>
            <w:vAlign w:val="center"/>
          </w:tcPr>
          <w:p w14:paraId="7AD50524">
            <w:pPr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地址</w:t>
            </w:r>
          </w:p>
        </w:tc>
        <w:tc>
          <w:tcPr>
            <w:tcW w:w="2691" w:type="dxa"/>
            <w:gridSpan w:val="10"/>
            <w:vAlign w:val="center"/>
          </w:tcPr>
          <w:p w14:paraId="4D883632">
            <w:pPr>
              <w:ind w:firstLine="480"/>
              <w:jc w:val="center"/>
              <w:rPr>
                <w:rFonts w:ascii="宋体" w:hAnsi="宋体"/>
              </w:rPr>
            </w:pPr>
          </w:p>
        </w:tc>
      </w:tr>
      <w:tr w14:paraId="60D5C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6"/>
            <w:vAlign w:val="center"/>
          </w:tcPr>
          <w:p w14:paraId="0AC9EB33">
            <w:pPr>
              <w:spacing w:line="240" w:lineRule="exact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 被校计量器具信息</w:t>
            </w:r>
          </w:p>
        </w:tc>
      </w:tr>
      <w:tr w14:paraId="5AD9F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3" w:type="dxa"/>
            <w:gridSpan w:val="4"/>
            <w:vAlign w:val="center"/>
          </w:tcPr>
          <w:p w14:paraId="7020810D">
            <w:pPr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计量器具名称</w:t>
            </w:r>
          </w:p>
        </w:tc>
        <w:tc>
          <w:tcPr>
            <w:tcW w:w="3456" w:type="dxa"/>
            <w:gridSpan w:val="15"/>
            <w:vAlign w:val="center"/>
          </w:tcPr>
          <w:p w14:paraId="5A5B6FB1">
            <w:pPr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610" w:type="dxa"/>
            <w:gridSpan w:val="9"/>
            <w:vAlign w:val="center"/>
          </w:tcPr>
          <w:p w14:paraId="249E4DD0">
            <w:pPr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制造厂</w:t>
            </w:r>
          </w:p>
        </w:tc>
        <w:tc>
          <w:tcPr>
            <w:tcW w:w="4243" w:type="dxa"/>
            <w:gridSpan w:val="18"/>
            <w:vAlign w:val="center"/>
          </w:tcPr>
          <w:p w14:paraId="1D9B4907">
            <w:pPr>
              <w:ind w:firstLine="480"/>
              <w:jc w:val="center"/>
              <w:rPr>
                <w:rFonts w:ascii="宋体" w:hAnsi="宋体"/>
              </w:rPr>
            </w:pPr>
          </w:p>
        </w:tc>
      </w:tr>
      <w:tr w14:paraId="259EA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3" w:type="dxa"/>
            <w:gridSpan w:val="4"/>
            <w:vAlign w:val="center"/>
          </w:tcPr>
          <w:p w14:paraId="7A12CC3A">
            <w:pPr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规格型号</w:t>
            </w:r>
          </w:p>
        </w:tc>
        <w:tc>
          <w:tcPr>
            <w:tcW w:w="3456" w:type="dxa"/>
            <w:gridSpan w:val="15"/>
            <w:vAlign w:val="center"/>
          </w:tcPr>
          <w:p w14:paraId="67A2D96E">
            <w:pPr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610" w:type="dxa"/>
            <w:gridSpan w:val="9"/>
            <w:vAlign w:val="center"/>
          </w:tcPr>
          <w:p w14:paraId="56CEFAFC">
            <w:pPr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出厂编号</w:t>
            </w:r>
          </w:p>
        </w:tc>
        <w:tc>
          <w:tcPr>
            <w:tcW w:w="4243" w:type="dxa"/>
            <w:gridSpan w:val="18"/>
            <w:vAlign w:val="center"/>
          </w:tcPr>
          <w:p w14:paraId="3468C65E">
            <w:pPr>
              <w:ind w:firstLine="480"/>
              <w:jc w:val="center"/>
              <w:rPr>
                <w:rFonts w:ascii="宋体" w:hAnsi="宋体"/>
              </w:rPr>
            </w:pPr>
          </w:p>
        </w:tc>
      </w:tr>
      <w:tr w14:paraId="04E32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6"/>
            <w:vAlign w:val="center"/>
          </w:tcPr>
          <w:p w14:paraId="2C4FA3ED">
            <w:pPr>
              <w:spacing w:line="240" w:lineRule="exact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 本次校准使用的计量标准器信息</w:t>
            </w:r>
          </w:p>
        </w:tc>
      </w:tr>
      <w:tr w14:paraId="6E5C7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07" w:type="dxa"/>
            <w:gridSpan w:val="6"/>
            <w:vAlign w:val="center"/>
          </w:tcPr>
          <w:p w14:paraId="621A0A1F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计量标准器名称</w:t>
            </w:r>
          </w:p>
        </w:tc>
        <w:tc>
          <w:tcPr>
            <w:tcW w:w="2522" w:type="dxa"/>
            <w:gridSpan w:val="13"/>
            <w:vAlign w:val="center"/>
          </w:tcPr>
          <w:p w14:paraId="2492C1DF">
            <w:pPr>
              <w:spacing w:line="260" w:lineRule="exact"/>
              <w:ind w:firstLine="0" w:firstLineChars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不确定度或准确度等级或最大允许误差</w:t>
            </w:r>
          </w:p>
        </w:tc>
        <w:tc>
          <w:tcPr>
            <w:tcW w:w="2202" w:type="dxa"/>
            <w:gridSpan w:val="10"/>
            <w:vAlign w:val="center"/>
          </w:tcPr>
          <w:p w14:paraId="1AF6F58A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测量范围</w:t>
            </w:r>
          </w:p>
        </w:tc>
        <w:tc>
          <w:tcPr>
            <w:tcW w:w="1979" w:type="dxa"/>
            <w:gridSpan w:val="12"/>
            <w:vAlign w:val="center"/>
          </w:tcPr>
          <w:p w14:paraId="3F8E03F7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证书编号</w:t>
            </w:r>
          </w:p>
        </w:tc>
        <w:tc>
          <w:tcPr>
            <w:tcW w:w="1672" w:type="dxa"/>
            <w:gridSpan w:val="5"/>
            <w:vAlign w:val="center"/>
          </w:tcPr>
          <w:p w14:paraId="16A459EB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有效期至</w:t>
            </w:r>
          </w:p>
        </w:tc>
      </w:tr>
      <w:tr w14:paraId="145A4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07" w:type="dxa"/>
            <w:gridSpan w:val="6"/>
            <w:vAlign w:val="center"/>
          </w:tcPr>
          <w:p w14:paraId="5C5A7F96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2522" w:type="dxa"/>
            <w:gridSpan w:val="13"/>
            <w:vAlign w:val="center"/>
          </w:tcPr>
          <w:p w14:paraId="75476D13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2202" w:type="dxa"/>
            <w:gridSpan w:val="10"/>
            <w:vAlign w:val="center"/>
          </w:tcPr>
          <w:p w14:paraId="0B95311D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979" w:type="dxa"/>
            <w:gridSpan w:val="12"/>
            <w:vAlign w:val="center"/>
          </w:tcPr>
          <w:p w14:paraId="5CE07E91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672" w:type="dxa"/>
            <w:gridSpan w:val="5"/>
            <w:vAlign w:val="center"/>
          </w:tcPr>
          <w:p w14:paraId="44B336C2">
            <w:pPr>
              <w:ind w:firstLine="480"/>
              <w:jc w:val="center"/>
              <w:rPr>
                <w:rFonts w:ascii="宋体" w:hAnsi="宋体"/>
              </w:rPr>
            </w:pPr>
          </w:p>
        </w:tc>
      </w:tr>
      <w:tr w14:paraId="64AB3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0682" w:type="dxa"/>
            <w:gridSpan w:val="46"/>
            <w:vAlign w:val="center"/>
          </w:tcPr>
          <w:p w14:paraId="6D6DD7DE">
            <w:pPr>
              <w:spacing w:line="240" w:lineRule="exact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 校准环境条件及地点</w:t>
            </w:r>
          </w:p>
        </w:tc>
      </w:tr>
      <w:tr w14:paraId="7E8C5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06" w:type="dxa"/>
            <w:vAlign w:val="center"/>
          </w:tcPr>
          <w:p w14:paraId="7E6EEE13">
            <w:pPr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地点</w:t>
            </w:r>
          </w:p>
        </w:tc>
        <w:tc>
          <w:tcPr>
            <w:tcW w:w="3119" w:type="dxa"/>
            <w:gridSpan w:val="13"/>
            <w:vAlign w:val="center"/>
          </w:tcPr>
          <w:p w14:paraId="227EEBB2">
            <w:pPr>
              <w:ind w:firstLine="120" w:firstLineChars="50"/>
              <w:jc w:val="center"/>
              <w:rPr>
                <w:rFonts w:ascii="宋体" w:hAnsi="宋体"/>
              </w:rPr>
            </w:pPr>
          </w:p>
        </w:tc>
        <w:tc>
          <w:tcPr>
            <w:tcW w:w="1103" w:type="dxa"/>
            <w:gridSpan w:val="6"/>
            <w:vAlign w:val="center"/>
          </w:tcPr>
          <w:p w14:paraId="71618D62">
            <w:pPr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温度/℃</w:t>
            </w:r>
          </w:p>
        </w:tc>
        <w:tc>
          <w:tcPr>
            <w:tcW w:w="1158" w:type="dxa"/>
            <w:gridSpan w:val="6"/>
            <w:vAlign w:val="center"/>
          </w:tcPr>
          <w:p w14:paraId="3B792F88">
            <w:pPr>
              <w:ind w:firstLine="480"/>
              <w:rPr>
                <w:rFonts w:ascii="宋体" w:hAnsi="宋体"/>
              </w:rPr>
            </w:pPr>
          </w:p>
        </w:tc>
        <w:tc>
          <w:tcPr>
            <w:tcW w:w="1559" w:type="dxa"/>
            <w:gridSpan w:val="9"/>
            <w:vAlign w:val="center"/>
          </w:tcPr>
          <w:p w14:paraId="4F9E22F4">
            <w:pPr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相对湿度/%</w:t>
            </w:r>
          </w:p>
        </w:tc>
        <w:tc>
          <w:tcPr>
            <w:tcW w:w="969" w:type="dxa"/>
            <w:gridSpan w:val="4"/>
            <w:vAlign w:val="center"/>
          </w:tcPr>
          <w:p w14:paraId="5D79B972">
            <w:pPr>
              <w:ind w:firstLine="0" w:firstLineChars="0"/>
              <w:rPr>
                <w:rFonts w:ascii="宋体" w:hAnsi="宋体"/>
              </w:rPr>
            </w:pPr>
          </w:p>
        </w:tc>
        <w:tc>
          <w:tcPr>
            <w:tcW w:w="851" w:type="dxa"/>
            <w:gridSpan w:val="6"/>
            <w:vAlign w:val="center"/>
          </w:tcPr>
          <w:p w14:paraId="0E47AB42">
            <w:pPr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其它</w:t>
            </w:r>
          </w:p>
        </w:tc>
        <w:tc>
          <w:tcPr>
            <w:tcW w:w="1117" w:type="dxa"/>
            <w:vAlign w:val="center"/>
          </w:tcPr>
          <w:p w14:paraId="15A4DC4C">
            <w:pPr>
              <w:ind w:firstLine="0" w:firstLineChars="0"/>
              <w:rPr>
                <w:rFonts w:ascii="宋体" w:hAnsi="宋体"/>
              </w:rPr>
            </w:pPr>
          </w:p>
        </w:tc>
      </w:tr>
      <w:tr w14:paraId="19B1A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66" w:type="dxa"/>
            <w:gridSpan w:val="8"/>
            <w:vAlign w:val="center"/>
          </w:tcPr>
          <w:p w14:paraId="6C734EC5">
            <w:pPr>
              <w:spacing w:line="240" w:lineRule="exact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 校准技术依据</w:t>
            </w:r>
          </w:p>
        </w:tc>
        <w:tc>
          <w:tcPr>
            <w:tcW w:w="8316" w:type="dxa"/>
            <w:gridSpan w:val="38"/>
            <w:vAlign w:val="center"/>
          </w:tcPr>
          <w:p w14:paraId="71C26584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</w:tr>
      <w:tr w14:paraId="39BC7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6"/>
            <w:vAlign w:val="center"/>
          </w:tcPr>
          <w:p w14:paraId="0D25FAB8">
            <w:pPr>
              <w:spacing w:line="240" w:lineRule="exact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 校准项目</w:t>
            </w:r>
          </w:p>
        </w:tc>
      </w:tr>
      <w:tr w14:paraId="4B3EF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6"/>
            <w:vAlign w:val="center"/>
          </w:tcPr>
          <w:p w14:paraId="2E56370F">
            <w:pPr>
              <w:spacing w:line="240" w:lineRule="exact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6.1 波长                                                                            nm</w:t>
            </w:r>
          </w:p>
        </w:tc>
      </w:tr>
      <w:tr w14:paraId="339FC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356" w:type="dxa"/>
            <w:gridSpan w:val="7"/>
            <w:vAlign w:val="center"/>
          </w:tcPr>
          <w:p w14:paraId="5C592BC3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波长标称值</w:t>
            </w:r>
          </w:p>
        </w:tc>
        <w:tc>
          <w:tcPr>
            <w:tcW w:w="3564" w:type="dxa"/>
            <w:gridSpan w:val="16"/>
            <w:vAlign w:val="center"/>
          </w:tcPr>
          <w:p w14:paraId="0AA49B1B">
            <w:pPr>
              <w:spacing w:line="240" w:lineRule="exact"/>
              <w:ind w:firstLine="199" w:firstLineChars="83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波长实测值</w:t>
            </w:r>
          </w:p>
        </w:tc>
        <w:tc>
          <w:tcPr>
            <w:tcW w:w="1588" w:type="dxa"/>
            <w:gridSpan w:val="10"/>
            <w:vAlign w:val="center"/>
          </w:tcPr>
          <w:p w14:paraId="6B297D2A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平均值</w:t>
            </w:r>
          </w:p>
        </w:tc>
        <w:tc>
          <w:tcPr>
            <w:tcW w:w="1587" w:type="dxa"/>
            <w:gridSpan w:val="9"/>
            <w:vAlign w:val="center"/>
          </w:tcPr>
          <w:p w14:paraId="21A8EEFC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示值误差</w:t>
            </w:r>
          </w:p>
        </w:tc>
        <w:tc>
          <w:tcPr>
            <w:tcW w:w="1587" w:type="dxa"/>
            <w:gridSpan w:val="4"/>
            <w:vAlign w:val="center"/>
          </w:tcPr>
          <w:p w14:paraId="76A60B04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重复性</w:t>
            </w:r>
          </w:p>
        </w:tc>
      </w:tr>
      <w:tr w14:paraId="4DEF9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56" w:type="dxa"/>
            <w:gridSpan w:val="7"/>
            <w:vAlign w:val="center"/>
          </w:tcPr>
          <w:p w14:paraId="57B9D237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20EF9AF9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187" w:type="dxa"/>
            <w:gridSpan w:val="5"/>
            <w:vAlign w:val="center"/>
          </w:tcPr>
          <w:p w14:paraId="786C837D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187" w:type="dxa"/>
            <w:gridSpan w:val="6"/>
            <w:vAlign w:val="center"/>
          </w:tcPr>
          <w:p w14:paraId="2E85A531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88" w:type="dxa"/>
            <w:gridSpan w:val="10"/>
            <w:vAlign w:val="center"/>
          </w:tcPr>
          <w:p w14:paraId="4F39AA01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87" w:type="dxa"/>
            <w:gridSpan w:val="9"/>
            <w:vAlign w:val="center"/>
          </w:tcPr>
          <w:p w14:paraId="2299FDE8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5075B55B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</w:tr>
      <w:tr w14:paraId="0750D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0682" w:type="dxa"/>
            <w:gridSpan w:val="46"/>
            <w:vAlign w:val="center"/>
          </w:tcPr>
          <w:p w14:paraId="32F030BE">
            <w:pPr>
              <w:spacing w:line="240" w:lineRule="exact"/>
              <w:ind w:firstLine="0" w:firstLineChars="0"/>
              <w:rPr>
                <w:rFonts w:ascii="宋体" w:hAnsi="宋体"/>
              </w:rPr>
            </w:pPr>
            <w:r>
              <w:rPr>
                <w:rFonts w:ascii="宋体" w:hAnsi="宋体"/>
              </w:rPr>
              <w:t>6.2</w:t>
            </w:r>
            <w:r>
              <w:rPr>
                <w:rFonts w:hint="eastAsia" w:ascii="宋体" w:hAnsi="宋体"/>
              </w:rPr>
              <w:t xml:space="preserve"> 透射比示值和重复性                                                               %</w:t>
            </w:r>
          </w:p>
        </w:tc>
      </w:tr>
      <w:tr w14:paraId="04C6D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356" w:type="dxa"/>
            <w:gridSpan w:val="7"/>
            <w:vAlign w:val="center"/>
          </w:tcPr>
          <w:p w14:paraId="05FACE7C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标准值</w:t>
            </w:r>
          </w:p>
        </w:tc>
        <w:tc>
          <w:tcPr>
            <w:tcW w:w="3564" w:type="dxa"/>
            <w:gridSpan w:val="16"/>
            <w:vAlign w:val="center"/>
          </w:tcPr>
          <w:p w14:paraId="58E306FC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透射比实测值</w:t>
            </w:r>
          </w:p>
        </w:tc>
        <w:tc>
          <w:tcPr>
            <w:tcW w:w="1588" w:type="dxa"/>
            <w:gridSpan w:val="10"/>
            <w:vAlign w:val="center"/>
          </w:tcPr>
          <w:p w14:paraId="37A04E61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平均值</w:t>
            </w:r>
          </w:p>
        </w:tc>
        <w:tc>
          <w:tcPr>
            <w:tcW w:w="1587" w:type="dxa"/>
            <w:gridSpan w:val="9"/>
            <w:vAlign w:val="center"/>
          </w:tcPr>
          <w:p w14:paraId="7D2E54AD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误差</w:t>
            </w:r>
          </w:p>
        </w:tc>
        <w:tc>
          <w:tcPr>
            <w:tcW w:w="1587" w:type="dxa"/>
            <w:gridSpan w:val="4"/>
            <w:vAlign w:val="center"/>
          </w:tcPr>
          <w:p w14:paraId="75E77B2C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重复性</w:t>
            </w:r>
          </w:p>
        </w:tc>
      </w:tr>
      <w:tr w14:paraId="32962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56" w:type="dxa"/>
            <w:gridSpan w:val="7"/>
            <w:vAlign w:val="center"/>
          </w:tcPr>
          <w:p w14:paraId="35EA232F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5E7451EF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187" w:type="dxa"/>
            <w:gridSpan w:val="5"/>
            <w:vAlign w:val="center"/>
          </w:tcPr>
          <w:p w14:paraId="478FC2E3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187" w:type="dxa"/>
            <w:gridSpan w:val="6"/>
            <w:vAlign w:val="center"/>
          </w:tcPr>
          <w:p w14:paraId="2F4E1759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88" w:type="dxa"/>
            <w:gridSpan w:val="10"/>
            <w:vAlign w:val="center"/>
          </w:tcPr>
          <w:p w14:paraId="445C0593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87" w:type="dxa"/>
            <w:gridSpan w:val="9"/>
            <w:vAlign w:val="center"/>
          </w:tcPr>
          <w:p w14:paraId="00D5202C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35776A0F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</w:tr>
      <w:tr w14:paraId="13B6F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56" w:type="dxa"/>
            <w:gridSpan w:val="7"/>
            <w:vAlign w:val="center"/>
          </w:tcPr>
          <w:p w14:paraId="6C5E1B84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4DA2CB5B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187" w:type="dxa"/>
            <w:gridSpan w:val="5"/>
            <w:vAlign w:val="center"/>
          </w:tcPr>
          <w:p w14:paraId="3CA14BEE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187" w:type="dxa"/>
            <w:gridSpan w:val="6"/>
            <w:vAlign w:val="center"/>
          </w:tcPr>
          <w:p w14:paraId="27803098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88" w:type="dxa"/>
            <w:gridSpan w:val="10"/>
            <w:vAlign w:val="center"/>
          </w:tcPr>
          <w:p w14:paraId="090F2D02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87" w:type="dxa"/>
            <w:gridSpan w:val="9"/>
            <w:vAlign w:val="center"/>
          </w:tcPr>
          <w:p w14:paraId="26F592DD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2F9CDE6B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</w:tr>
      <w:tr w14:paraId="4C21E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56" w:type="dxa"/>
            <w:gridSpan w:val="7"/>
            <w:vAlign w:val="center"/>
          </w:tcPr>
          <w:p w14:paraId="163B837C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4E8A3B45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187" w:type="dxa"/>
            <w:gridSpan w:val="5"/>
            <w:vAlign w:val="center"/>
          </w:tcPr>
          <w:p w14:paraId="3092468C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187" w:type="dxa"/>
            <w:gridSpan w:val="6"/>
            <w:vAlign w:val="center"/>
          </w:tcPr>
          <w:p w14:paraId="30193752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88" w:type="dxa"/>
            <w:gridSpan w:val="10"/>
            <w:vAlign w:val="center"/>
          </w:tcPr>
          <w:p w14:paraId="05E51726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87" w:type="dxa"/>
            <w:gridSpan w:val="9"/>
            <w:vAlign w:val="center"/>
          </w:tcPr>
          <w:p w14:paraId="416E1281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4453BAEF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</w:tr>
      <w:tr w14:paraId="374EB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682" w:type="dxa"/>
            <w:gridSpan w:val="46"/>
            <w:vAlign w:val="center"/>
          </w:tcPr>
          <w:p w14:paraId="159B93ED">
            <w:pPr>
              <w:spacing w:line="240" w:lineRule="exact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6.3 线性相关系数</w:t>
            </w:r>
          </w:p>
        </w:tc>
      </w:tr>
      <w:tr w14:paraId="219A2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73" w:type="dxa"/>
            <w:gridSpan w:val="4"/>
            <w:vAlign w:val="center"/>
          </w:tcPr>
          <w:p w14:paraId="71072726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标准溶液</w:t>
            </w:r>
          </w:p>
        </w:tc>
        <w:tc>
          <w:tcPr>
            <w:tcW w:w="1679" w:type="dxa"/>
            <w:gridSpan w:val="6"/>
            <w:vAlign w:val="center"/>
          </w:tcPr>
          <w:p w14:paraId="4C1BA08C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标准溶液浓度（</w:t>
            </w:r>
            <w:r>
              <w:t>mg/L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4578" w:type="dxa"/>
            <w:gridSpan w:val="24"/>
            <w:vAlign w:val="center"/>
          </w:tcPr>
          <w:p w14:paraId="69750879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吸光度测量值</w:t>
            </w:r>
          </w:p>
        </w:tc>
        <w:tc>
          <w:tcPr>
            <w:tcW w:w="1526" w:type="dxa"/>
            <w:gridSpan w:val="9"/>
            <w:vAlign w:val="center"/>
          </w:tcPr>
          <w:p w14:paraId="1B18853A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平均值</w:t>
            </w:r>
          </w:p>
        </w:tc>
        <w:tc>
          <w:tcPr>
            <w:tcW w:w="1526" w:type="dxa"/>
            <w:gridSpan w:val="3"/>
            <w:vAlign w:val="center"/>
          </w:tcPr>
          <w:p w14:paraId="00BCF942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线性相关系数</w:t>
            </w:r>
          </w:p>
        </w:tc>
      </w:tr>
      <w:tr w14:paraId="7F264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73" w:type="dxa"/>
            <w:gridSpan w:val="4"/>
            <w:vMerge w:val="restart"/>
            <w:vAlign w:val="center"/>
          </w:tcPr>
          <w:p w14:paraId="2FC5E3FB">
            <w:pPr>
              <w:spacing w:line="240" w:lineRule="exact"/>
              <w:ind w:firstLine="199" w:firstLineChars="83"/>
              <w:rPr>
                <w:rFonts w:ascii="宋体" w:hAnsi="宋体"/>
              </w:rPr>
            </w:pPr>
          </w:p>
        </w:tc>
        <w:tc>
          <w:tcPr>
            <w:tcW w:w="1679" w:type="dxa"/>
            <w:gridSpan w:val="6"/>
            <w:vAlign w:val="center"/>
          </w:tcPr>
          <w:p w14:paraId="153E3951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6"/>
            <w:vAlign w:val="center"/>
          </w:tcPr>
          <w:p w14:paraId="79EEB940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9"/>
            <w:vAlign w:val="center"/>
          </w:tcPr>
          <w:p w14:paraId="1EF53AA3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9"/>
            <w:vAlign w:val="center"/>
          </w:tcPr>
          <w:p w14:paraId="6DD03D05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9"/>
            <w:vAlign w:val="center"/>
          </w:tcPr>
          <w:p w14:paraId="1645159F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3"/>
            <w:vMerge w:val="restart"/>
            <w:vAlign w:val="center"/>
          </w:tcPr>
          <w:p w14:paraId="4C1143B7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</w:tr>
      <w:tr w14:paraId="23A2B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73" w:type="dxa"/>
            <w:gridSpan w:val="4"/>
            <w:vMerge w:val="continue"/>
            <w:vAlign w:val="center"/>
          </w:tcPr>
          <w:p w14:paraId="4307DC3B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679" w:type="dxa"/>
            <w:gridSpan w:val="6"/>
            <w:vAlign w:val="center"/>
          </w:tcPr>
          <w:p w14:paraId="1400BCAF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6"/>
            <w:vAlign w:val="center"/>
          </w:tcPr>
          <w:p w14:paraId="4CAB2D55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9"/>
            <w:vAlign w:val="center"/>
          </w:tcPr>
          <w:p w14:paraId="2E124258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9"/>
            <w:vAlign w:val="center"/>
          </w:tcPr>
          <w:p w14:paraId="66C7D70D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9"/>
            <w:vAlign w:val="center"/>
          </w:tcPr>
          <w:p w14:paraId="6ED06042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3"/>
            <w:vMerge w:val="continue"/>
            <w:vAlign w:val="center"/>
          </w:tcPr>
          <w:p w14:paraId="42814870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</w:tr>
      <w:tr w14:paraId="31CCD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73" w:type="dxa"/>
            <w:gridSpan w:val="4"/>
            <w:vMerge w:val="continue"/>
            <w:vAlign w:val="center"/>
          </w:tcPr>
          <w:p w14:paraId="6C95745A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679" w:type="dxa"/>
            <w:gridSpan w:val="6"/>
            <w:vAlign w:val="center"/>
          </w:tcPr>
          <w:p w14:paraId="736A9DCF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6"/>
            <w:vAlign w:val="center"/>
          </w:tcPr>
          <w:p w14:paraId="466EB17A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9"/>
            <w:vAlign w:val="center"/>
          </w:tcPr>
          <w:p w14:paraId="3A5588E3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9"/>
            <w:vAlign w:val="center"/>
          </w:tcPr>
          <w:p w14:paraId="67A2D607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9"/>
            <w:vAlign w:val="center"/>
          </w:tcPr>
          <w:p w14:paraId="3A144A38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3"/>
            <w:vMerge w:val="continue"/>
            <w:vAlign w:val="center"/>
          </w:tcPr>
          <w:p w14:paraId="758288B2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</w:tr>
      <w:tr w14:paraId="0DDFD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73" w:type="dxa"/>
            <w:gridSpan w:val="4"/>
            <w:vMerge w:val="continue"/>
            <w:vAlign w:val="center"/>
          </w:tcPr>
          <w:p w14:paraId="3C0F44ED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679" w:type="dxa"/>
            <w:gridSpan w:val="6"/>
            <w:vAlign w:val="center"/>
          </w:tcPr>
          <w:p w14:paraId="01E4E049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6"/>
            <w:vAlign w:val="center"/>
          </w:tcPr>
          <w:p w14:paraId="53C790F0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9"/>
            <w:vAlign w:val="center"/>
          </w:tcPr>
          <w:p w14:paraId="013747C6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9"/>
            <w:vAlign w:val="center"/>
          </w:tcPr>
          <w:p w14:paraId="56DCF23A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9"/>
            <w:vAlign w:val="center"/>
          </w:tcPr>
          <w:p w14:paraId="5AA5EBCC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3"/>
            <w:vMerge w:val="continue"/>
            <w:vAlign w:val="center"/>
          </w:tcPr>
          <w:p w14:paraId="03067C2D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</w:tr>
      <w:tr w14:paraId="7A071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73" w:type="dxa"/>
            <w:gridSpan w:val="4"/>
            <w:vMerge w:val="continue"/>
            <w:vAlign w:val="center"/>
          </w:tcPr>
          <w:p w14:paraId="100637D2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679" w:type="dxa"/>
            <w:gridSpan w:val="6"/>
            <w:vAlign w:val="center"/>
          </w:tcPr>
          <w:p w14:paraId="0464C7AE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6"/>
            <w:vAlign w:val="center"/>
          </w:tcPr>
          <w:p w14:paraId="082B6508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9"/>
            <w:vAlign w:val="center"/>
          </w:tcPr>
          <w:p w14:paraId="3596044B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9"/>
            <w:vAlign w:val="center"/>
          </w:tcPr>
          <w:p w14:paraId="253AE178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9"/>
            <w:vAlign w:val="center"/>
          </w:tcPr>
          <w:p w14:paraId="133BFA62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26" w:type="dxa"/>
            <w:gridSpan w:val="3"/>
            <w:vMerge w:val="continue"/>
            <w:vAlign w:val="center"/>
          </w:tcPr>
          <w:p w14:paraId="4273E412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</w:tr>
      <w:tr w14:paraId="33FFB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682" w:type="dxa"/>
            <w:gridSpan w:val="46"/>
            <w:vAlign w:val="center"/>
          </w:tcPr>
          <w:p w14:paraId="6C4BEBAB">
            <w:pPr>
              <w:spacing w:line="240" w:lineRule="exact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6.4 稳定性</w:t>
            </w:r>
          </w:p>
        </w:tc>
      </w:tr>
      <w:tr w14:paraId="277D9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68" w:type="dxa"/>
            <w:gridSpan w:val="2"/>
            <w:vMerge w:val="restart"/>
            <w:vAlign w:val="center"/>
          </w:tcPr>
          <w:p w14:paraId="6EB00298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波长/nm</w:t>
            </w:r>
          </w:p>
        </w:tc>
        <w:tc>
          <w:tcPr>
            <w:tcW w:w="7477" w:type="dxa"/>
            <w:gridSpan w:val="36"/>
            <w:vAlign w:val="center"/>
          </w:tcPr>
          <w:p w14:paraId="04A2B14F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吸光度测得值</w:t>
            </w:r>
          </w:p>
        </w:tc>
        <w:tc>
          <w:tcPr>
            <w:tcW w:w="2137" w:type="dxa"/>
            <w:gridSpan w:val="8"/>
            <w:vMerge w:val="restart"/>
            <w:vAlign w:val="center"/>
          </w:tcPr>
          <w:p w14:paraId="122F24E5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稳定性</w:t>
            </w:r>
          </w:p>
        </w:tc>
      </w:tr>
      <w:tr w14:paraId="10E7E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68" w:type="dxa"/>
            <w:gridSpan w:val="2"/>
            <w:vMerge w:val="continue"/>
            <w:vAlign w:val="center"/>
          </w:tcPr>
          <w:p w14:paraId="5B516F98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gridSpan w:val="3"/>
            <w:vAlign w:val="center"/>
          </w:tcPr>
          <w:p w14:paraId="20E5BE10">
            <w:pPr>
              <w:spacing w:line="240" w:lineRule="exact"/>
              <w:ind w:firstLine="0" w:firstLineChars="0"/>
              <w:jc w:val="center"/>
            </w:pPr>
            <w:r>
              <w:t>0min</w:t>
            </w:r>
          </w:p>
        </w:tc>
        <w:tc>
          <w:tcPr>
            <w:tcW w:w="1068" w:type="dxa"/>
            <w:gridSpan w:val="6"/>
            <w:vAlign w:val="center"/>
          </w:tcPr>
          <w:p w14:paraId="79440FCB">
            <w:pPr>
              <w:spacing w:line="240" w:lineRule="exact"/>
              <w:ind w:firstLine="0" w:firstLineChars="0"/>
              <w:jc w:val="center"/>
            </w:pPr>
            <w:r>
              <w:t>5min</w:t>
            </w:r>
          </w:p>
        </w:tc>
        <w:tc>
          <w:tcPr>
            <w:tcW w:w="1068" w:type="dxa"/>
            <w:gridSpan w:val="4"/>
            <w:vAlign w:val="center"/>
          </w:tcPr>
          <w:p w14:paraId="40184FBD">
            <w:pPr>
              <w:spacing w:line="240" w:lineRule="exact"/>
              <w:ind w:firstLine="0" w:firstLineChars="0"/>
              <w:jc w:val="center"/>
            </w:pPr>
            <w:r>
              <w:t>10min</w:t>
            </w:r>
          </w:p>
        </w:tc>
        <w:tc>
          <w:tcPr>
            <w:tcW w:w="1069" w:type="dxa"/>
            <w:gridSpan w:val="7"/>
            <w:vAlign w:val="center"/>
          </w:tcPr>
          <w:p w14:paraId="116F11E1">
            <w:pPr>
              <w:spacing w:line="240" w:lineRule="exact"/>
              <w:ind w:firstLine="0" w:firstLineChars="0"/>
              <w:jc w:val="center"/>
            </w:pPr>
            <w:r>
              <w:t>15min</w:t>
            </w:r>
          </w:p>
        </w:tc>
        <w:tc>
          <w:tcPr>
            <w:tcW w:w="1068" w:type="dxa"/>
            <w:gridSpan w:val="5"/>
            <w:vAlign w:val="center"/>
          </w:tcPr>
          <w:p w14:paraId="3120E1AB">
            <w:pPr>
              <w:spacing w:line="240" w:lineRule="exact"/>
              <w:ind w:firstLine="0" w:firstLineChars="0"/>
              <w:jc w:val="center"/>
            </w:pPr>
            <w:r>
              <w:t>20min</w:t>
            </w:r>
          </w:p>
        </w:tc>
        <w:tc>
          <w:tcPr>
            <w:tcW w:w="1068" w:type="dxa"/>
            <w:gridSpan w:val="5"/>
            <w:vAlign w:val="center"/>
          </w:tcPr>
          <w:p w14:paraId="255B676B">
            <w:pPr>
              <w:spacing w:line="240" w:lineRule="exact"/>
              <w:ind w:firstLine="0" w:firstLineChars="0"/>
              <w:jc w:val="center"/>
            </w:pPr>
            <w:r>
              <w:t>25min</w:t>
            </w:r>
          </w:p>
        </w:tc>
        <w:tc>
          <w:tcPr>
            <w:tcW w:w="1068" w:type="dxa"/>
            <w:gridSpan w:val="6"/>
            <w:vAlign w:val="center"/>
          </w:tcPr>
          <w:p w14:paraId="71BEB421">
            <w:pPr>
              <w:spacing w:line="240" w:lineRule="exact"/>
              <w:ind w:firstLine="0" w:firstLineChars="0"/>
              <w:jc w:val="center"/>
            </w:pPr>
            <w:r>
              <w:t>30min</w:t>
            </w:r>
          </w:p>
        </w:tc>
        <w:tc>
          <w:tcPr>
            <w:tcW w:w="2137" w:type="dxa"/>
            <w:gridSpan w:val="8"/>
            <w:vMerge w:val="continue"/>
            <w:vAlign w:val="center"/>
          </w:tcPr>
          <w:p w14:paraId="112E64FD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</w:tr>
      <w:tr w14:paraId="387C1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8" w:hRule="atLeast"/>
          <w:jc w:val="center"/>
        </w:trPr>
        <w:tc>
          <w:tcPr>
            <w:tcW w:w="1068" w:type="dxa"/>
            <w:gridSpan w:val="2"/>
            <w:vAlign w:val="center"/>
          </w:tcPr>
          <w:p w14:paraId="7ADFC565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gridSpan w:val="3"/>
            <w:vAlign w:val="center"/>
          </w:tcPr>
          <w:p w14:paraId="4B5281AB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gridSpan w:val="6"/>
            <w:vAlign w:val="center"/>
          </w:tcPr>
          <w:p w14:paraId="2854B568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gridSpan w:val="4"/>
            <w:vAlign w:val="center"/>
          </w:tcPr>
          <w:p w14:paraId="0C3B5611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  <w:tc>
          <w:tcPr>
            <w:tcW w:w="1069" w:type="dxa"/>
            <w:gridSpan w:val="7"/>
            <w:vAlign w:val="center"/>
          </w:tcPr>
          <w:p w14:paraId="3E302838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gridSpan w:val="5"/>
            <w:vAlign w:val="center"/>
          </w:tcPr>
          <w:p w14:paraId="7E23FBCD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gridSpan w:val="5"/>
            <w:vAlign w:val="center"/>
          </w:tcPr>
          <w:p w14:paraId="64B7D7F7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gridSpan w:val="6"/>
            <w:vAlign w:val="center"/>
          </w:tcPr>
          <w:p w14:paraId="2AC73960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  <w:tc>
          <w:tcPr>
            <w:tcW w:w="2137" w:type="dxa"/>
            <w:gridSpan w:val="8"/>
            <w:vAlign w:val="center"/>
          </w:tcPr>
          <w:p w14:paraId="598595BB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</w:tr>
      <w:tr w14:paraId="5CF6A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682" w:type="dxa"/>
            <w:gridSpan w:val="46"/>
            <w:vAlign w:val="center"/>
          </w:tcPr>
          <w:p w14:paraId="06FBA27B">
            <w:pPr>
              <w:spacing w:line="240" w:lineRule="exact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6.5 通道间差异</w:t>
            </w:r>
          </w:p>
        </w:tc>
      </w:tr>
      <w:tr w14:paraId="25870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136" w:type="dxa"/>
            <w:gridSpan w:val="5"/>
            <w:vMerge w:val="restart"/>
            <w:vAlign w:val="center"/>
          </w:tcPr>
          <w:p w14:paraId="3D796D99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标准溶液浓度（重铬酸钾）</w:t>
            </w:r>
          </w:p>
        </w:tc>
        <w:tc>
          <w:tcPr>
            <w:tcW w:w="6409" w:type="dxa"/>
            <w:gridSpan w:val="33"/>
            <w:vAlign w:val="center"/>
          </w:tcPr>
          <w:p w14:paraId="79309B11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各通道吸光度测得值</w:t>
            </w:r>
          </w:p>
        </w:tc>
        <w:tc>
          <w:tcPr>
            <w:tcW w:w="2137" w:type="dxa"/>
            <w:gridSpan w:val="8"/>
            <w:vMerge w:val="restart"/>
            <w:vAlign w:val="center"/>
          </w:tcPr>
          <w:p w14:paraId="42C9817B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通道间差异</w:t>
            </w:r>
          </w:p>
        </w:tc>
      </w:tr>
      <w:tr w14:paraId="4387B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136" w:type="dxa"/>
            <w:gridSpan w:val="5"/>
            <w:vMerge w:val="continue"/>
            <w:vAlign w:val="center"/>
          </w:tcPr>
          <w:p w14:paraId="28D1E91A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gridSpan w:val="6"/>
            <w:vAlign w:val="center"/>
          </w:tcPr>
          <w:p w14:paraId="7FFD278F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068" w:type="dxa"/>
            <w:gridSpan w:val="4"/>
            <w:vAlign w:val="center"/>
          </w:tcPr>
          <w:p w14:paraId="710E2F16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069" w:type="dxa"/>
            <w:gridSpan w:val="7"/>
            <w:vAlign w:val="center"/>
          </w:tcPr>
          <w:p w14:paraId="182C4F8E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068" w:type="dxa"/>
            <w:gridSpan w:val="5"/>
            <w:vAlign w:val="center"/>
          </w:tcPr>
          <w:p w14:paraId="161C57A9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1068" w:type="dxa"/>
            <w:gridSpan w:val="5"/>
            <w:vAlign w:val="center"/>
          </w:tcPr>
          <w:p w14:paraId="1C49C843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1068" w:type="dxa"/>
            <w:gridSpan w:val="6"/>
            <w:vAlign w:val="center"/>
          </w:tcPr>
          <w:p w14:paraId="69BAB98F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137" w:type="dxa"/>
            <w:gridSpan w:val="8"/>
            <w:vMerge w:val="continue"/>
            <w:vAlign w:val="center"/>
          </w:tcPr>
          <w:p w14:paraId="1E2F3A41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</w:tr>
      <w:tr w14:paraId="11932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136" w:type="dxa"/>
            <w:gridSpan w:val="5"/>
            <w:vAlign w:val="center"/>
          </w:tcPr>
          <w:p w14:paraId="45E91A77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gridSpan w:val="6"/>
            <w:vAlign w:val="center"/>
          </w:tcPr>
          <w:p w14:paraId="209BE5C2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gridSpan w:val="4"/>
            <w:vAlign w:val="center"/>
          </w:tcPr>
          <w:p w14:paraId="3A3548F4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  <w:tc>
          <w:tcPr>
            <w:tcW w:w="1069" w:type="dxa"/>
            <w:gridSpan w:val="7"/>
            <w:vAlign w:val="center"/>
          </w:tcPr>
          <w:p w14:paraId="6FB7CB49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gridSpan w:val="5"/>
            <w:vAlign w:val="center"/>
          </w:tcPr>
          <w:p w14:paraId="152732C9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gridSpan w:val="5"/>
            <w:vAlign w:val="center"/>
          </w:tcPr>
          <w:p w14:paraId="2931A5A4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gridSpan w:val="6"/>
            <w:vAlign w:val="center"/>
          </w:tcPr>
          <w:p w14:paraId="4ACFA1B1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  <w:tc>
          <w:tcPr>
            <w:tcW w:w="2137" w:type="dxa"/>
            <w:gridSpan w:val="8"/>
            <w:vAlign w:val="center"/>
          </w:tcPr>
          <w:p w14:paraId="0988066E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</w:p>
        </w:tc>
      </w:tr>
      <w:tr w14:paraId="4ADAC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682" w:type="dxa"/>
            <w:gridSpan w:val="46"/>
            <w:vAlign w:val="center"/>
          </w:tcPr>
          <w:p w14:paraId="31087D73">
            <w:pPr>
              <w:spacing w:line="240" w:lineRule="exact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6.6 检测仪的示值误差与重复性</w:t>
            </w:r>
          </w:p>
        </w:tc>
      </w:tr>
      <w:tr w14:paraId="4C598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06" w:type="dxa"/>
            <w:vAlign w:val="center"/>
          </w:tcPr>
          <w:p w14:paraId="7AEDC8CE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参数</w:t>
            </w:r>
          </w:p>
        </w:tc>
        <w:tc>
          <w:tcPr>
            <w:tcW w:w="1567" w:type="dxa"/>
            <w:gridSpan w:val="8"/>
            <w:vAlign w:val="center"/>
          </w:tcPr>
          <w:p w14:paraId="0CEEE264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浓度（mg/L）</w:t>
            </w:r>
          </w:p>
        </w:tc>
        <w:tc>
          <w:tcPr>
            <w:tcW w:w="4748" w:type="dxa"/>
            <w:gridSpan w:val="22"/>
            <w:vAlign w:val="center"/>
          </w:tcPr>
          <w:p w14:paraId="42235025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测得值</w:t>
            </w:r>
          </w:p>
        </w:tc>
        <w:tc>
          <w:tcPr>
            <w:tcW w:w="1187" w:type="dxa"/>
            <w:gridSpan w:val="6"/>
            <w:vAlign w:val="center"/>
          </w:tcPr>
          <w:p w14:paraId="3727183C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平均值</w:t>
            </w:r>
          </w:p>
        </w:tc>
        <w:tc>
          <w:tcPr>
            <w:tcW w:w="1187" w:type="dxa"/>
            <w:gridSpan w:val="7"/>
            <w:vAlign w:val="center"/>
          </w:tcPr>
          <w:p w14:paraId="425698FC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示值误差</w:t>
            </w:r>
          </w:p>
        </w:tc>
        <w:tc>
          <w:tcPr>
            <w:tcW w:w="1187" w:type="dxa"/>
            <w:gridSpan w:val="2"/>
            <w:vAlign w:val="center"/>
          </w:tcPr>
          <w:p w14:paraId="0ABFBE75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重复性</w:t>
            </w:r>
          </w:p>
        </w:tc>
      </w:tr>
      <w:tr w14:paraId="08B0E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06" w:type="dxa"/>
            <w:vMerge w:val="restart"/>
            <w:vAlign w:val="center"/>
          </w:tcPr>
          <w:p w14:paraId="686FD68E">
            <w:pPr>
              <w:spacing w:line="240" w:lineRule="exact"/>
              <w:ind w:firstLine="480"/>
              <w:rPr>
                <w:rFonts w:ascii="宋体" w:hAnsi="宋体"/>
              </w:rPr>
            </w:pPr>
          </w:p>
        </w:tc>
        <w:tc>
          <w:tcPr>
            <w:tcW w:w="1567" w:type="dxa"/>
            <w:gridSpan w:val="8"/>
            <w:vMerge w:val="restart"/>
            <w:vAlign w:val="center"/>
          </w:tcPr>
          <w:p w14:paraId="7B66B1A3">
            <w:pPr>
              <w:spacing w:line="240" w:lineRule="exact"/>
              <w:ind w:firstLine="480"/>
              <w:rPr>
                <w:rFonts w:ascii="宋体" w:hAnsi="宋体"/>
              </w:rPr>
            </w:pPr>
          </w:p>
        </w:tc>
        <w:tc>
          <w:tcPr>
            <w:tcW w:w="1187" w:type="dxa"/>
            <w:gridSpan w:val="4"/>
            <w:vAlign w:val="center"/>
          </w:tcPr>
          <w:p w14:paraId="1553F5F4">
            <w:pPr>
              <w:spacing w:line="240" w:lineRule="exact"/>
              <w:ind w:firstLine="480"/>
              <w:rPr>
                <w:rFonts w:ascii="宋体" w:hAnsi="宋体"/>
              </w:rPr>
            </w:pPr>
          </w:p>
        </w:tc>
        <w:tc>
          <w:tcPr>
            <w:tcW w:w="1187" w:type="dxa"/>
            <w:gridSpan w:val="5"/>
            <w:vAlign w:val="center"/>
          </w:tcPr>
          <w:p w14:paraId="29046DB0">
            <w:pPr>
              <w:spacing w:line="240" w:lineRule="exact"/>
              <w:ind w:firstLine="480"/>
              <w:rPr>
                <w:rFonts w:ascii="宋体" w:hAnsi="宋体"/>
              </w:rPr>
            </w:pPr>
          </w:p>
        </w:tc>
        <w:tc>
          <w:tcPr>
            <w:tcW w:w="1187" w:type="dxa"/>
            <w:gridSpan w:val="6"/>
            <w:vAlign w:val="center"/>
          </w:tcPr>
          <w:p w14:paraId="47EEEC27">
            <w:pPr>
              <w:spacing w:line="240" w:lineRule="exact"/>
              <w:ind w:firstLine="480"/>
              <w:rPr>
                <w:rFonts w:ascii="宋体" w:hAnsi="宋体"/>
              </w:rPr>
            </w:pPr>
          </w:p>
        </w:tc>
        <w:tc>
          <w:tcPr>
            <w:tcW w:w="1187" w:type="dxa"/>
            <w:gridSpan w:val="7"/>
            <w:vAlign w:val="center"/>
          </w:tcPr>
          <w:p w14:paraId="46C2517B">
            <w:pPr>
              <w:spacing w:line="240" w:lineRule="exact"/>
              <w:ind w:firstLine="480"/>
              <w:rPr>
                <w:rFonts w:ascii="宋体" w:hAnsi="宋体"/>
              </w:rPr>
            </w:pPr>
          </w:p>
        </w:tc>
        <w:tc>
          <w:tcPr>
            <w:tcW w:w="1187" w:type="dxa"/>
            <w:gridSpan w:val="6"/>
            <w:vMerge w:val="restart"/>
            <w:vAlign w:val="center"/>
          </w:tcPr>
          <w:p w14:paraId="4E641814">
            <w:pPr>
              <w:spacing w:line="240" w:lineRule="exact"/>
              <w:ind w:firstLine="480"/>
              <w:rPr>
                <w:rFonts w:ascii="宋体" w:hAnsi="宋体"/>
              </w:rPr>
            </w:pPr>
          </w:p>
        </w:tc>
        <w:tc>
          <w:tcPr>
            <w:tcW w:w="1187" w:type="dxa"/>
            <w:gridSpan w:val="7"/>
            <w:vMerge w:val="restart"/>
            <w:vAlign w:val="center"/>
          </w:tcPr>
          <w:p w14:paraId="17AF6565">
            <w:pPr>
              <w:spacing w:line="240" w:lineRule="exact"/>
              <w:ind w:firstLine="480"/>
              <w:rPr>
                <w:rFonts w:ascii="宋体" w:hAnsi="宋体"/>
              </w:rPr>
            </w:pPr>
          </w:p>
        </w:tc>
        <w:tc>
          <w:tcPr>
            <w:tcW w:w="1187" w:type="dxa"/>
            <w:gridSpan w:val="2"/>
            <w:vMerge w:val="restart"/>
            <w:vAlign w:val="center"/>
          </w:tcPr>
          <w:p w14:paraId="4BC43D40">
            <w:pPr>
              <w:spacing w:line="240" w:lineRule="exact"/>
              <w:ind w:firstLine="480"/>
              <w:rPr>
                <w:rFonts w:ascii="宋体" w:hAnsi="宋体"/>
              </w:rPr>
            </w:pPr>
          </w:p>
        </w:tc>
      </w:tr>
      <w:tr w14:paraId="3E616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06" w:type="dxa"/>
            <w:vMerge w:val="continue"/>
            <w:vAlign w:val="center"/>
          </w:tcPr>
          <w:p w14:paraId="6A3685ED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67" w:type="dxa"/>
            <w:gridSpan w:val="8"/>
            <w:vMerge w:val="continue"/>
            <w:vAlign w:val="center"/>
          </w:tcPr>
          <w:p w14:paraId="467AE549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187" w:type="dxa"/>
            <w:gridSpan w:val="4"/>
            <w:vAlign w:val="center"/>
          </w:tcPr>
          <w:p w14:paraId="61888DC0">
            <w:pPr>
              <w:spacing w:line="240" w:lineRule="exact"/>
              <w:ind w:firstLine="480"/>
              <w:rPr>
                <w:rFonts w:ascii="宋体" w:hAnsi="宋体"/>
              </w:rPr>
            </w:pPr>
          </w:p>
        </w:tc>
        <w:tc>
          <w:tcPr>
            <w:tcW w:w="1187" w:type="dxa"/>
            <w:gridSpan w:val="5"/>
            <w:vAlign w:val="center"/>
          </w:tcPr>
          <w:p w14:paraId="76588E63">
            <w:pPr>
              <w:spacing w:line="240" w:lineRule="exact"/>
              <w:ind w:firstLine="480"/>
              <w:rPr>
                <w:rFonts w:ascii="宋体" w:hAnsi="宋体"/>
              </w:rPr>
            </w:pPr>
          </w:p>
        </w:tc>
        <w:tc>
          <w:tcPr>
            <w:tcW w:w="1187" w:type="dxa"/>
            <w:gridSpan w:val="6"/>
            <w:vAlign w:val="center"/>
          </w:tcPr>
          <w:p w14:paraId="5777B028">
            <w:pPr>
              <w:spacing w:line="240" w:lineRule="exact"/>
              <w:ind w:firstLine="480"/>
              <w:rPr>
                <w:rFonts w:ascii="宋体" w:hAnsi="宋体"/>
              </w:rPr>
            </w:pPr>
          </w:p>
        </w:tc>
        <w:tc>
          <w:tcPr>
            <w:tcW w:w="1187" w:type="dxa"/>
            <w:gridSpan w:val="7"/>
            <w:vAlign w:val="center"/>
          </w:tcPr>
          <w:p w14:paraId="0D1A04C8">
            <w:pPr>
              <w:spacing w:line="240" w:lineRule="exact"/>
              <w:ind w:firstLine="480"/>
              <w:rPr>
                <w:rFonts w:ascii="宋体" w:hAnsi="宋体"/>
              </w:rPr>
            </w:pPr>
          </w:p>
        </w:tc>
        <w:tc>
          <w:tcPr>
            <w:tcW w:w="1187" w:type="dxa"/>
            <w:gridSpan w:val="6"/>
            <w:vMerge w:val="continue"/>
            <w:vAlign w:val="center"/>
          </w:tcPr>
          <w:p w14:paraId="57E5923F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187" w:type="dxa"/>
            <w:gridSpan w:val="7"/>
            <w:vMerge w:val="continue"/>
            <w:vAlign w:val="center"/>
          </w:tcPr>
          <w:p w14:paraId="3B5E2D4C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187" w:type="dxa"/>
            <w:gridSpan w:val="2"/>
            <w:vMerge w:val="continue"/>
            <w:vAlign w:val="center"/>
          </w:tcPr>
          <w:p w14:paraId="4F368EDB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</w:tr>
      <w:tr w14:paraId="05B5E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06" w:type="dxa"/>
            <w:vMerge w:val="continue"/>
            <w:vAlign w:val="center"/>
          </w:tcPr>
          <w:p w14:paraId="6F93DBAA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567" w:type="dxa"/>
            <w:gridSpan w:val="8"/>
            <w:vMerge w:val="continue"/>
            <w:vAlign w:val="center"/>
          </w:tcPr>
          <w:p w14:paraId="5310D320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187" w:type="dxa"/>
            <w:gridSpan w:val="4"/>
            <w:vAlign w:val="center"/>
          </w:tcPr>
          <w:p w14:paraId="4D722D2F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187" w:type="dxa"/>
            <w:gridSpan w:val="5"/>
            <w:vAlign w:val="center"/>
          </w:tcPr>
          <w:p w14:paraId="048A6337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187" w:type="dxa"/>
            <w:gridSpan w:val="6"/>
            <w:vAlign w:val="center"/>
          </w:tcPr>
          <w:p w14:paraId="0C16D996">
            <w:pPr>
              <w:spacing w:line="240" w:lineRule="exact"/>
              <w:ind w:firstLine="480"/>
              <w:rPr>
                <w:rFonts w:ascii="宋体" w:hAnsi="宋体"/>
              </w:rPr>
            </w:pPr>
          </w:p>
        </w:tc>
        <w:tc>
          <w:tcPr>
            <w:tcW w:w="1187" w:type="dxa"/>
            <w:gridSpan w:val="7"/>
            <w:vAlign w:val="center"/>
          </w:tcPr>
          <w:p w14:paraId="01CDFCAA">
            <w:pPr>
              <w:spacing w:line="240" w:lineRule="exact"/>
              <w:ind w:firstLine="48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187" w:type="dxa"/>
            <w:gridSpan w:val="6"/>
            <w:vMerge w:val="continue"/>
            <w:vAlign w:val="center"/>
          </w:tcPr>
          <w:p w14:paraId="43728A32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187" w:type="dxa"/>
            <w:gridSpan w:val="7"/>
            <w:vMerge w:val="continue"/>
            <w:vAlign w:val="center"/>
          </w:tcPr>
          <w:p w14:paraId="130911E8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187" w:type="dxa"/>
            <w:gridSpan w:val="2"/>
            <w:vMerge w:val="continue"/>
            <w:vAlign w:val="center"/>
          </w:tcPr>
          <w:p w14:paraId="5EFA4F20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</w:tr>
      <w:tr w14:paraId="55CEA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682" w:type="dxa"/>
            <w:gridSpan w:val="46"/>
            <w:vAlign w:val="center"/>
          </w:tcPr>
          <w:p w14:paraId="0336AB45">
            <w:pPr>
              <w:spacing w:line="240" w:lineRule="exact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6.7 灵敏度</w:t>
            </w:r>
          </w:p>
        </w:tc>
      </w:tr>
      <w:tr w14:paraId="4D193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06" w:type="dxa"/>
            <w:vMerge w:val="restart"/>
            <w:vAlign w:val="center"/>
          </w:tcPr>
          <w:p w14:paraId="296E2A23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灵敏度</w:t>
            </w:r>
          </w:p>
        </w:tc>
        <w:tc>
          <w:tcPr>
            <w:tcW w:w="2740" w:type="dxa"/>
            <w:gridSpan w:val="11"/>
            <w:vAlign w:val="center"/>
          </w:tcPr>
          <w:p w14:paraId="5570398A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农药名称</w:t>
            </w:r>
          </w:p>
        </w:tc>
        <w:tc>
          <w:tcPr>
            <w:tcW w:w="3962" w:type="dxa"/>
            <w:gridSpan w:val="21"/>
            <w:vAlign w:val="center"/>
          </w:tcPr>
          <w:p w14:paraId="5E75CCA8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浓度/（mg/L）</w:t>
            </w:r>
          </w:p>
        </w:tc>
        <w:tc>
          <w:tcPr>
            <w:tcW w:w="3174" w:type="dxa"/>
            <w:gridSpan w:val="13"/>
            <w:vAlign w:val="center"/>
          </w:tcPr>
          <w:p w14:paraId="256EB125">
            <w:pPr>
              <w:spacing w:line="240" w:lineRule="exact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抑制率/%</w:t>
            </w:r>
          </w:p>
        </w:tc>
      </w:tr>
      <w:tr w14:paraId="29981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06" w:type="dxa"/>
            <w:vMerge w:val="continue"/>
            <w:vAlign w:val="center"/>
          </w:tcPr>
          <w:p w14:paraId="6AD274E2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2740" w:type="dxa"/>
            <w:gridSpan w:val="11"/>
            <w:vAlign w:val="center"/>
          </w:tcPr>
          <w:p w14:paraId="4310A0D5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3962" w:type="dxa"/>
            <w:gridSpan w:val="21"/>
            <w:vAlign w:val="center"/>
          </w:tcPr>
          <w:p w14:paraId="76F63CC7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3174" w:type="dxa"/>
            <w:gridSpan w:val="13"/>
            <w:vAlign w:val="center"/>
          </w:tcPr>
          <w:p w14:paraId="6757D2DA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</w:tr>
      <w:tr w14:paraId="3F350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6"/>
            <w:vAlign w:val="center"/>
          </w:tcPr>
          <w:p w14:paraId="36693A7E">
            <w:pPr>
              <w:spacing w:line="240" w:lineRule="exact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 不确定度</w:t>
            </w:r>
          </w:p>
        </w:tc>
      </w:tr>
      <w:tr w14:paraId="331FB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6"/>
            <w:vAlign w:val="center"/>
          </w:tcPr>
          <w:p w14:paraId="67F864FA">
            <w:pPr>
              <w:spacing w:line="240" w:lineRule="exact"/>
              <w:ind w:firstLine="480"/>
              <w:jc w:val="center"/>
              <w:rPr>
                <w:rFonts w:ascii="宋体" w:hAnsi="宋体"/>
              </w:rPr>
            </w:pPr>
          </w:p>
        </w:tc>
      </w:tr>
      <w:tr w14:paraId="5909B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366" w:type="dxa"/>
            <w:gridSpan w:val="8"/>
            <w:vAlign w:val="center"/>
          </w:tcPr>
          <w:p w14:paraId="1D1FC7E2">
            <w:pPr>
              <w:spacing w:line="360" w:lineRule="auto"/>
              <w:ind w:firstLine="48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校准日期</w:t>
            </w:r>
          </w:p>
        </w:tc>
        <w:tc>
          <w:tcPr>
            <w:tcW w:w="1180" w:type="dxa"/>
            <w:gridSpan w:val="4"/>
            <w:vAlign w:val="center"/>
          </w:tcPr>
          <w:p w14:paraId="78030063">
            <w:pPr>
              <w:spacing w:line="360" w:lineRule="auto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781" w:type="dxa"/>
            <w:gridSpan w:val="9"/>
            <w:vAlign w:val="center"/>
          </w:tcPr>
          <w:p w14:paraId="41914A8B">
            <w:pPr>
              <w:spacing w:line="360" w:lineRule="auto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校准员</w:t>
            </w:r>
          </w:p>
        </w:tc>
        <w:tc>
          <w:tcPr>
            <w:tcW w:w="1780" w:type="dxa"/>
            <w:gridSpan w:val="9"/>
            <w:vAlign w:val="center"/>
          </w:tcPr>
          <w:p w14:paraId="7C138168">
            <w:pPr>
              <w:spacing w:line="360" w:lineRule="auto"/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1778" w:type="dxa"/>
            <w:gridSpan w:val="10"/>
            <w:vAlign w:val="center"/>
          </w:tcPr>
          <w:p w14:paraId="37E82C87">
            <w:pPr>
              <w:spacing w:line="360" w:lineRule="auto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核验员</w:t>
            </w:r>
          </w:p>
        </w:tc>
        <w:tc>
          <w:tcPr>
            <w:tcW w:w="1797" w:type="dxa"/>
            <w:gridSpan w:val="6"/>
            <w:vAlign w:val="center"/>
          </w:tcPr>
          <w:p w14:paraId="6213FBD0">
            <w:pPr>
              <w:spacing w:line="360" w:lineRule="auto"/>
              <w:ind w:firstLine="480"/>
              <w:jc w:val="center"/>
              <w:rPr>
                <w:rFonts w:ascii="宋体" w:hAnsi="宋体"/>
              </w:rPr>
            </w:pPr>
          </w:p>
        </w:tc>
      </w:tr>
      <w:tr w14:paraId="18DB0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1290" w:type="dxa"/>
            <w:gridSpan w:val="3"/>
            <w:vAlign w:val="center"/>
          </w:tcPr>
          <w:p w14:paraId="5A7B51B2">
            <w:pPr>
              <w:spacing w:line="360" w:lineRule="auto"/>
              <w:ind w:firstLine="48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备注</w:t>
            </w:r>
          </w:p>
        </w:tc>
        <w:tc>
          <w:tcPr>
            <w:tcW w:w="9392" w:type="dxa"/>
            <w:gridSpan w:val="43"/>
            <w:vAlign w:val="center"/>
          </w:tcPr>
          <w:p w14:paraId="489280B6">
            <w:pPr>
              <w:spacing w:line="360" w:lineRule="auto"/>
              <w:ind w:firstLine="480"/>
              <w:jc w:val="center"/>
              <w:rPr>
                <w:rFonts w:ascii="宋体" w:hAnsi="宋体" w:cs="宋体"/>
              </w:rPr>
            </w:pPr>
          </w:p>
        </w:tc>
      </w:tr>
    </w:tbl>
    <w:p w14:paraId="1A5C8525">
      <w:pPr>
        <w:ind w:firstLine="480"/>
      </w:pPr>
    </w:p>
    <w:p w14:paraId="434FF193">
      <w:pPr>
        <w:ind w:firstLine="480"/>
        <w:rPr>
          <w:rFonts w:ascii="宋体" w:hAnsi="宋体" w:cs="Arial"/>
          <w:szCs w:val="24"/>
        </w:rPr>
      </w:pPr>
    </w:p>
    <w:p w14:paraId="44F82ED7">
      <w:pPr>
        <w:ind w:firstLine="480"/>
        <w:rPr>
          <w:rFonts w:ascii="宋体" w:hAnsi="宋体" w:cs="Arial"/>
          <w:szCs w:val="24"/>
        </w:rPr>
      </w:pPr>
    </w:p>
    <w:p w14:paraId="4CB97270">
      <w:pPr>
        <w:ind w:firstLine="480"/>
        <w:rPr>
          <w:rFonts w:ascii="宋体" w:hAnsi="宋体" w:cs="Arial"/>
          <w:szCs w:val="24"/>
        </w:rPr>
      </w:pPr>
    </w:p>
    <w:p w14:paraId="558A07C6">
      <w:pPr>
        <w:ind w:firstLine="480"/>
        <w:rPr>
          <w:rFonts w:ascii="宋体" w:hAnsi="宋体" w:cs="Arial"/>
          <w:szCs w:val="24"/>
        </w:rPr>
      </w:pPr>
    </w:p>
    <w:p w14:paraId="0665E94A">
      <w:pPr>
        <w:ind w:firstLine="480"/>
        <w:rPr>
          <w:rFonts w:ascii="宋体" w:hAnsi="宋体" w:cs="Arial"/>
          <w:szCs w:val="24"/>
        </w:rPr>
      </w:pPr>
    </w:p>
    <w:p w14:paraId="076DC2AB">
      <w:pPr>
        <w:ind w:firstLine="480"/>
        <w:rPr>
          <w:rFonts w:ascii="宋体" w:hAnsi="宋体" w:cs="Arial"/>
          <w:szCs w:val="24"/>
        </w:rPr>
      </w:pPr>
    </w:p>
    <w:p w14:paraId="3661781C">
      <w:pPr>
        <w:ind w:firstLine="480"/>
        <w:rPr>
          <w:rFonts w:ascii="宋体" w:hAnsi="宋体" w:cs="Arial"/>
          <w:szCs w:val="24"/>
        </w:rPr>
      </w:pPr>
    </w:p>
    <w:p w14:paraId="4F38F706">
      <w:pPr>
        <w:ind w:firstLine="480"/>
        <w:rPr>
          <w:rFonts w:ascii="宋体" w:hAnsi="宋体" w:cs="Arial"/>
          <w:szCs w:val="24"/>
        </w:rPr>
      </w:pPr>
    </w:p>
    <w:p w14:paraId="5C9282B4">
      <w:pPr>
        <w:ind w:firstLine="480"/>
        <w:rPr>
          <w:rFonts w:ascii="宋体" w:hAnsi="宋体" w:cs="Arial"/>
          <w:szCs w:val="24"/>
        </w:rPr>
      </w:pPr>
    </w:p>
    <w:p w14:paraId="3890EEC2">
      <w:pPr>
        <w:ind w:firstLine="480"/>
        <w:rPr>
          <w:rFonts w:ascii="宋体" w:hAnsi="宋体" w:cs="Arial"/>
          <w:szCs w:val="24"/>
        </w:rPr>
      </w:pPr>
    </w:p>
    <w:p w14:paraId="2C21A26E">
      <w:pPr>
        <w:ind w:firstLine="0" w:firstLineChars="0"/>
        <w:rPr>
          <w:rFonts w:ascii="宋体" w:hAnsi="宋体" w:cs="Arial"/>
          <w:szCs w:val="24"/>
        </w:rPr>
      </w:pPr>
    </w:p>
    <w:p w14:paraId="30A76D9B">
      <w:pPr>
        <w:ind w:firstLine="0" w:firstLineChars="0"/>
        <w:rPr>
          <w:rFonts w:ascii="黑体" w:hAnsi="黑体" w:eastAsia="黑体"/>
          <w:kern w:val="0"/>
          <w:szCs w:val="24"/>
        </w:rPr>
      </w:pPr>
    </w:p>
    <w:p w14:paraId="6E0FA4A4">
      <w:pPr>
        <w:pStyle w:val="2"/>
      </w:pPr>
      <w:bookmarkStart w:id="258" w:name="_Toc229431125"/>
      <w:r>
        <w:rPr>
          <w:rFonts w:hint="eastAsia"/>
        </w:rPr>
        <w:t>附录D</w:t>
      </w:r>
      <w:bookmarkEnd w:id="258"/>
    </w:p>
    <w:p w14:paraId="697BE778">
      <w:pPr>
        <w:ind w:firstLine="0" w:firstLineChars="0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校准证书内页（参考）格式</w:t>
      </w:r>
      <w:r>
        <w:rPr>
          <w:rFonts w:hint="eastAsia" w:ascii="黑体" w:hAnsi="黑体" w:eastAsia="黑体"/>
          <w:b/>
          <w:sz w:val="28"/>
          <w:szCs w:val="28"/>
        </w:rPr>
        <w:t>：</w:t>
      </w:r>
    </w:p>
    <w:p w14:paraId="082C4E97">
      <w:pPr>
        <w:tabs>
          <w:tab w:val="left" w:pos="2820"/>
          <w:tab w:val="center" w:pos="4535"/>
        </w:tabs>
        <w:ind w:firstLine="480"/>
        <w:jc w:val="left"/>
        <w:rPr>
          <w:rFonts w:ascii="宋体" w:hAnsi="宋体" w:cs="Arial"/>
          <w:szCs w:val="24"/>
        </w:rPr>
      </w:pP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268"/>
        <w:gridCol w:w="2268"/>
        <w:gridCol w:w="2268"/>
      </w:tblGrid>
      <w:tr w14:paraId="5D4AA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8" w:type="dxa"/>
            <w:vAlign w:val="center"/>
          </w:tcPr>
          <w:p w14:paraId="28F62AEC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hint="eastAsia" w:ascii="宋体" w:hAnsi="宋体" w:cs="Arial"/>
                <w:szCs w:val="24"/>
              </w:rPr>
              <w:t>序号</w:t>
            </w:r>
          </w:p>
        </w:tc>
        <w:tc>
          <w:tcPr>
            <w:tcW w:w="2268" w:type="dxa"/>
            <w:vAlign w:val="center"/>
          </w:tcPr>
          <w:p w14:paraId="564BC137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hint="eastAsia" w:ascii="宋体" w:hAnsi="宋体" w:cs="Arial"/>
                <w:szCs w:val="24"/>
              </w:rPr>
              <w:t>校准项目</w:t>
            </w:r>
          </w:p>
        </w:tc>
        <w:tc>
          <w:tcPr>
            <w:tcW w:w="2268" w:type="dxa"/>
            <w:vAlign w:val="center"/>
          </w:tcPr>
          <w:p w14:paraId="13E0D813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hint="eastAsia" w:ascii="宋体" w:hAnsi="宋体" w:cs="Arial"/>
                <w:szCs w:val="24"/>
              </w:rPr>
              <w:t>计量性能要求</w:t>
            </w:r>
          </w:p>
        </w:tc>
        <w:tc>
          <w:tcPr>
            <w:tcW w:w="2268" w:type="dxa"/>
            <w:vAlign w:val="center"/>
          </w:tcPr>
          <w:p w14:paraId="28976554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hint="eastAsia" w:ascii="宋体" w:hAnsi="宋体" w:cs="Arial"/>
                <w:szCs w:val="24"/>
              </w:rPr>
              <w:t>校准结果</w:t>
            </w:r>
          </w:p>
        </w:tc>
      </w:tr>
      <w:tr w14:paraId="0A8AA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8" w:type="dxa"/>
            <w:vAlign w:val="center"/>
          </w:tcPr>
          <w:p w14:paraId="59BA1A90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hint="eastAsia" w:ascii="宋体" w:hAnsi="宋体" w:cs="Arial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14:paraId="4DA59013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hint="eastAsia" w:ascii="宋体" w:hAnsi="宋体" w:cs="Arial"/>
                <w:szCs w:val="24"/>
              </w:rPr>
              <w:t>波长示值误差</w:t>
            </w:r>
          </w:p>
        </w:tc>
        <w:tc>
          <w:tcPr>
            <w:tcW w:w="2268" w:type="dxa"/>
            <w:vAlign w:val="center"/>
          </w:tcPr>
          <w:p w14:paraId="67757DB6">
            <w:pPr>
              <w:widowControl/>
              <w:ind w:firstLine="0" w:firstLineChars="0"/>
              <w:jc w:val="center"/>
              <w:rPr>
                <w:szCs w:val="24"/>
              </w:rPr>
            </w:pPr>
            <w:r>
              <w:rPr>
                <w:szCs w:val="24"/>
              </w:rPr>
              <w:t>MPE：±10nm</w:t>
            </w:r>
          </w:p>
        </w:tc>
        <w:tc>
          <w:tcPr>
            <w:tcW w:w="2268" w:type="dxa"/>
            <w:vAlign w:val="center"/>
          </w:tcPr>
          <w:p w14:paraId="5F13E464">
            <w:pPr>
              <w:widowControl/>
              <w:ind w:firstLine="480"/>
              <w:jc w:val="center"/>
              <w:rPr>
                <w:rFonts w:ascii="宋体" w:hAnsi="宋体" w:cs="Arial"/>
                <w:szCs w:val="24"/>
              </w:rPr>
            </w:pPr>
          </w:p>
        </w:tc>
      </w:tr>
      <w:tr w14:paraId="791DE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8" w:type="dxa"/>
            <w:vAlign w:val="center"/>
          </w:tcPr>
          <w:p w14:paraId="7AEBB6E6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hint="eastAsia" w:ascii="宋体" w:hAnsi="宋体" w:cs="Arial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14:paraId="5814A165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hint="eastAsia" w:ascii="宋体" w:hAnsi="宋体" w:cs="Arial"/>
                <w:szCs w:val="24"/>
              </w:rPr>
              <w:t>波长重复性</w:t>
            </w:r>
          </w:p>
        </w:tc>
        <w:tc>
          <w:tcPr>
            <w:tcW w:w="2268" w:type="dxa"/>
            <w:vAlign w:val="center"/>
          </w:tcPr>
          <w:p w14:paraId="6987E5F8">
            <w:pPr>
              <w:widowControl/>
              <w:ind w:firstLine="0" w:firstLineChars="0"/>
              <w:jc w:val="center"/>
              <w:rPr>
                <w:szCs w:val="24"/>
              </w:rPr>
            </w:pPr>
            <w:r>
              <w:rPr>
                <w:szCs w:val="24"/>
              </w:rPr>
              <w:t>≤2nm</w:t>
            </w:r>
          </w:p>
        </w:tc>
        <w:tc>
          <w:tcPr>
            <w:tcW w:w="2268" w:type="dxa"/>
            <w:vAlign w:val="center"/>
          </w:tcPr>
          <w:p w14:paraId="319D2C13">
            <w:pPr>
              <w:widowControl/>
              <w:ind w:firstLine="480"/>
              <w:jc w:val="center"/>
              <w:rPr>
                <w:rFonts w:ascii="宋体" w:hAnsi="宋体" w:cs="Arial"/>
                <w:szCs w:val="24"/>
              </w:rPr>
            </w:pPr>
          </w:p>
        </w:tc>
      </w:tr>
      <w:tr w14:paraId="52ADF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8" w:type="dxa"/>
            <w:vAlign w:val="center"/>
          </w:tcPr>
          <w:p w14:paraId="56BB1DB2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ascii="宋体" w:hAnsi="宋体" w:cs="Arial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47306D8F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hint="eastAsia" w:ascii="宋体" w:hAnsi="宋体" w:cs="Arial"/>
                <w:szCs w:val="24"/>
              </w:rPr>
              <w:t>透射比示值误差</w:t>
            </w:r>
          </w:p>
        </w:tc>
        <w:tc>
          <w:tcPr>
            <w:tcW w:w="2268" w:type="dxa"/>
            <w:vAlign w:val="center"/>
          </w:tcPr>
          <w:p w14:paraId="1BC0F181">
            <w:pPr>
              <w:widowControl/>
              <w:ind w:firstLine="0" w:firstLineChars="0"/>
              <w:jc w:val="center"/>
              <w:rPr>
                <w:szCs w:val="24"/>
              </w:rPr>
            </w:pPr>
            <w:r>
              <w:rPr>
                <w:szCs w:val="24"/>
              </w:rPr>
              <w:t>MPE：±2.0%</w:t>
            </w:r>
          </w:p>
        </w:tc>
        <w:tc>
          <w:tcPr>
            <w:tcW w:w="2268" w:type="dxa"/>
            <w:vAlign w:val="center"/>
          </w:tcPr>
          <w:p w14:paraId="06B90394">
            <w:pPr>
              <w:widowControl/>
              <w:ind w:firstLine="480"/>
              <w:jc w:val="center"/>
              <w:rPr>
                <w:rFonts w:ascii="宋体" w:hAnsi="宋体" w:cs="Arial"/>
                <w:szCs w:val="24"/>
              </w:rPr>
            </w:pPr>
          </w:p>
        </w:tc>
      </w:tr>
      <w:tr w14:paraId="52FE8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8" w:type="dxa"/>
            <w:vAlign w:val="center"/>
          </w:tcPr>
          <w:p w14:paraId="1B66E809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ascii="宋体" w:hAnsi="宋体" w:cs="Arial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0ABE28A1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hint="eastAsia" w:ascii="宋体" w:hAnsi="宋体" w:cs="Arial"/>
                <w:szCs w:val="24"/>
              </w:rPr>
              <w:t>透射比重复性</w:t>
            </w:r>
          </w:p>
        </w:tc>
        <w:tc>
          <w:tcPr>
            <w:tcW w:w="2268" w:type="dxa"/>
            <w:vAlign w:val="center"/>
          </w:tcPr>
          <w:p w14:paraId="55E546C3">
            <w:pPr>
              <w:widowControl/>
              <w:ind w:firstLine="0" w:firstLineChars="0"/>
              <w:jc w:val="center"/>
              <w:rPr>
                <w:szCs w:val="24"/>
              </w:rPr>
            </w:pPr>
            <w:r>
              <w:rPr>
                <w:szCs w:val="24"/>
              </w:rPr>
              <w:t>≤0.5%</w:t>
            </w:r>
          </w:p>
        </w:tc>
        <w:tc>
          <w:tcPr>
            <w:tcW w:w="2268" w:type="dxa"/>
            <w:vAlign w:val="center"/>
          </w:tcPr>
          <w:p w14:paraId="40F947F0">
            <w:pPr>
              <w:widowControl/>
              <w:ind w:firstLine="480"/>
              <w:jc w:val="center"/>
              <w:rPr>
                <w:rFonts w:ascii="宋体" w:hAnsi="宋体" w:cs="Arial"/>
                <w:szCs w:val="24"/>
              </w:rPr>
            </w:pPr>
          </w:p>
        </w:tc>
      </w:tr>
      <w:tr w14:paraId="13E6A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8" w:type="dxa"/>
            <w:vAlign w:val="center"/>
          </w:tcPr>
          <w:p w14:paraId="3CF4D56B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ascii="宋体" w:hAnsi="宋体" w:cs="Arial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14:paraId="16542B4A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hint="eastAsia" w:ascii="宋体" w:hAnsi="宋体" w:cs="Arial"/>
                <w:szCs w:val="24"/>
              </w:rPr>
              <w:t>线性</w:t>
            </w:r>
          </w:p>
        </w:tc>
        <w:tc>
          <w:tcPr>
            <w:tcW w:w="2268" w:type="dxa"/>
            <w:vAlign w:val="center"/>
          </w:tcPr>
          <w:p w14:paraId="35CE5BB0">
            <w:pPr>
              <w:widowControl/>
              <w:ind w:firstLine="0" w:firstLineChars="0"/>
              <w:jc w:val="center"/>
              <w:rPr>
                <w:szCs w:val="24"/>
              </w:rPr>
            </w:pPr>
            <w:r>
              <w:rPr>
                <w:szCs w:val="24"/>
              </w:rPr>
              <w:t>≥0.990</w:t>
            </w:r>
          </w:p>
        </w:tc>
        <w:tc>
          <w:tcPr>
            <w:tcW w:w="2268" w:type="dxa"/>
            <w:vAlign w:val="center"/>
          </w:tcPr>
          <w:p w14:paraId="4FE5CB68">
            <w:pPr>
              <w:widowControl/>
              <w:ind w:firstLine="480"/>
              <w:jc w:val="center"/>
              <w:rPr>
                <w:rFonts w:ascii="宋体" w:hAnsi="宋体" w:cs="Arial"/>
                <w:szCs w:val="24"/>
              </w:rPr>
            </w:pPr>
          </w:p>
        </w:tc>
      </w:tr>
      <w:tr w14:paraId="441C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8" w:type="dxa"/>
            <w:vAlign w:val="center"/>
          </w:tcPr>
          <w:p w14:paraId="52BB7A16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ascii="宋体" w:hAnsi="宋体" w:cs="Arial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14:paraId="1A930DDE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hint="eastAsia" w:ascii="宋体" w:hAnsi="宋体" w:cs="Arial"/>
                <w:szCs w:val="24"/>
              </w:rPr>
              <w:t>稳定性（30min）</w:t>
            </w:r>
          </w:p>
        </w:tc>
        <w:tc>
          <w:tcPr>
            <w:tcW w:w="2268" w:type="dxa"/>
            <w:vAlign w:val="center"/>
          </w:tcPr>
          <w:p w14:paraId="2D2BBB9F">
            <w:pPr>
              <w:widowControl/>
              <w:ind w:firstLine="0" w:firstLineChars="0"/>
              <w:jc w:val="center"/>
              <w:rPr>
                <w:szCs w:val="24"/>
              </w:rPr>
            </w:pPr>
            <w:r>
              <w:rPr>
                <w:szCs w:val="24"/>
              </w:rPr>
              <w:t>≤0.010</w:t>
            </w:r>
          </w:p>
        </w:tc>
        <w:tc>
          <w:tcPr>
            <w:tcW w:w="2268" w:type="dxa"/>
            <w:vAlign w:val="center"/>
          </w:tcPr>
          <w:p w14:paraId="5CAB4694">
            <w:pPr>
              <w:widowControl/>
              <w:ind w:firstLine="480"/>
              <w:jc w:val="center"/>
              <w:rPr>
                <w:rFonts w:ascii="宋体" w:hAnsi="宋体" w:cs="Arial"/>
                <w:szCs w:val="24"/>
              </w:rPr>
            </w:pPr>
          </w:p>
        </w:tc>
      </w:tr>
      <w:tr w14:paraId="0E01B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8" w:type="dxa"/>
            <w:vAlign w:val="center"/>
          </w:tcPr>
          <w:p w14:paraId="21ADF087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ascii="宋体" w:hAnsi="宋体" w:cs="Arial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2175C9A0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hint="eastAsia" w:ascii="宋体" w:hAnsi="宋体" w:cs="Arial"/>
                <w:szCs w:val="24"/>
              </w:rPr>
              <w:t>通道间差异</w:t>
            </w:r>
          </w:p>
        </w:tc>
        <w:tc>
          <w:tcPr>
            <w:tcW w:w="2268" w:type="dxa"/>
            <w:vAlign w:val="center"/>
          </w:tcPr>
          <w:p w14:paraId="683E380C">
            <w:pPr>
              <w:widowControl/>
              <w:ind w:firstLine="0" w:firstLineChars="0"/>
              <w:jc w:val="center"/>
              <w:rPr>
                <w:szCs w:val="24"/>
              </w:rPr>
            </w:pPr>
            <w:r>
              <w:rPr>
                <w:szCs w:val="24"/>
              </w:rPr>
              <w:t>≤0.05A</w:t>
            </w:r>
          </w:p>
        </w:tc>
        <w:tc>
          <w:tcPr>
            <w:tcW w:w="2268" w:type="dxa"/>
            <w:vAlign w:val="center"/>
          </w:tcPr>
          <w:p w14:paraId="368E7ABC">
            <w:pPr>
              <w:widowControl/>
              <w:ind w:firstLine="480"/>
              <w:jc w:val="center"/>
              <w:rPr>
                <w:rFonts w:ascii="宋体" w:hAnsi="宋体" w:cs="Arial"/>
                <w:szCs w:val="24"/>
              </w:rPr>
            </w:pPr>
          </w:p>
        </w:tc>
      </w:tr>
      <w:tr w14:paraId="3D49F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8" w:type="dxa"/>
            <w:vAlign w:val="center"/>
          </w:tcPr>
          <w:p w14:paraId="694094A8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ascii="宋体" w:hAnsi="宋体" w:cs="Arial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14:paraId="0272712E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hint="eastAsia" w:ascii="宋体" w:hAnsi="宋体" w:cs="Arial"/>
                <w:szCs w:val="24"/>
              </w:rPr>
              <w:t>检测仪示值误差</w:t>
            </w:r>
          </w:p>
        </w:tc>
        <w:tc>
          <w:tcPr>
            <w:tcW w:w="2268" w:type="dxa"/>
            <w:vAlign w:val="center"/>
          </w:tcPr>
          <w:p w14:paraId="6D2BCD45">
            <w:pPr>
              <w:widowControl/>
              <w:ind w:firstLine="0" w:firstLineChars="0"/>
              <w:jc w:val="center"/>
              <w:rPr>
                <w:szCs w:val="24"/>
              </w:rPr>
            </w:pPr>
            <w:r>
              <w:rPr>
                <w:szCs w:val="24"/>
              </w:rPr>
              <w:t>MPE：±20%</w:t>
            </w:r>
          </w:p>
        </w:tc>
        <w:tc>
          <w:tcPr>
            <w:tcW w:w="2268" w:type="dxa"/>
            <w:vAlign w:val="center"/>
          </w:tcPr>
          <w:p w14:paraId="6602156D">
            <w:pPr>
              <w:widowControl/>
              <w:ind w:firstLine="480"/>
              <w:jc w:val="center"/>
              <w:rPr>
                <w:rFonts w:ascii="宋体" w:hAnsi="宋体" w:cs="Arial"/>
                <w:szCs w:val="24"/>
              </w:rPr>
            </w:pPr>
          </w:p>
        </w:tc>
      </w:tr>
      <w:tr w14:paraId="3EC08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8" w:type="dxa"/>
            <w:vAlign w:val="center"/>
          </w:tcPr>
          <w:p w14:paraId="56AB73AB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ascii="宋体" w:hAnsi="宋体" w:cs="Arial"/>
                <w:szCs w:val="24"/>
              </w:rPr>
              <w:t>9</w:t>
            </w:r>
          </w:p>
        </w:tc>
        <w:tc>
          <w:tcPr>
            <w:tcW w:w="2268" w:type="dxa"/>
            <w:vAlign w:val="center"/>
          </w:tcPr>
          <w:p w14:paraId="265E07F6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hint="eastAsia" w:ascii="宋体" w:hAnsi="宋体" w:cs="Arial"/>
                <w:szCs w:val="24"/>
              </w:rPr>
              <w:t>检测仪重复性</w:t>
            </w:r>
          </w:p>
        </w:tc>
        <w:tc>
          <w:tcPr>
            <w:tcW w:w="2268" w:type="dxa"/>
            <w:vAlign w:val="center"/>
          </w:tcPr>
          <w:p w14:paraId="38CA5D64">
            <w:pPr>
              <w:widowControl/>
              <w:ind w:firstLine="0" w:firstLineChars="0"/>
              <w:jc w:val="center"/>
              <w:rPr>
                <w:szCs w:val="24"/>
              </w:rPr>
            </w:pPr>
            <w:r>
              <w:rPr>
                <w:szCs w:val="24"/>
              </w:rPr>
              <w:t>≤10%</w:t>
            </w:r>
          </w:p>
        </w:tc>
        <w:tc>
          <w:tcPr>
            <w:tcW w:w="2268" w:type="dxa"/>
            <w:vAlign w:val="center"/>
          </w:tcPr>
          <w:p w14:paraId="5C9E625D">
            <w:pPr>
              <w:widowControl/>
              <w:ind w:firstLine="480"/>
              <w:jc w:val="center"/>
              <w:rPr>
                <w:rFonts w:ascii="宋体" w:hAnsi="宋体" w:cs="Arial"/>
                <w:szCs w:val="24"/>
              </w:rPr>
            </w:pPr>
          </w:p>
        </w:tc>
      </w:tr>
      <w:tr w14:paraId="579A5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8" w:type="dxa"/>
            <w:vAlign w:val="center"/>
          </w:tcPr>
          <w:p w14:paraId="0265A3F0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ascii="宋体" w:hAnsi="宋体" w:cs="Arial"/>
                <w:szCs w:val="24"/>
              </w:rPr>
              <w:t>10</w:t>
            </w:r>
          </w:p>
        </w:tc>
        <w:tc>
          <w:tcPr>
            <w:tcW w:w="2268" w:type="dxa"/>
            <w:vAlign w:val="center"/>
          </w:tcPr>
          <w:p w14:paraId="2E3EB440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hint="eastAsia" w:ascii="宋体" w:hAnsi="宋体" w:cs="Arial"/>
                <w:szCs w:val="24"/>
              </w:rPr>
              <w:t>灵敏度</w:t>
            </w:r>
          </w:p>
        </w:tc>
        <w:tc>
          <w:tcPr>
            <w:tcW w:w="2268" w:type="dxa"/>
            <w:vAlign w:val="center"/>
          </w:tcPr>
          <w:p w14:paraId="1F70918F">
            <w:pPr>
              <w:widowControl/>
              <w:ind w:firstLine="0" w:firstLineChars="0"/>
              <w:jc w:val="center"/>
              <w:rPr>
                <w:szCs w:val="24"/>
              </w:rPr>
            </w:pPr>
            <w:r>
              <w:rPr>
                <w:szCs w:val="24"/>
              </w:rPr>
              <w:t>≥50%</w:t>
            </w:r>
          </w:p>
        </w:tc>
        <w:tc>
          <w:tcPr>
            <w:tcW w:w="2268" w:type="dxa"/>
            <w:vAlign w:val="center"/>
          </w:tcPr>
          <w:p w14:paraId="41CD3221">
            <w:pPr>
              <w:widowControl/>
              <w:ind w:firstLine="480"/>
              <w:jc w:val="center"/>
              <w:rPr>
                <w:rFonts w:ascii="宋体" w:hAnsi="宋体" w:cs="Arial"/>
                <w:szCs w:val="24"/>
              </w:rPr>
            </w:pPr>
          </w:p>
        </w:tc>
      </w:tr>
      <w:tr w14:paraId="739E0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8" w:type="dxa"/>
            <w:vAlign w:val="center"/>
          </w:tcPr>
          <w:p w14:paraId="794C1E0F">
            <w:pPr>
              <w:widowControl/>
              <w:ind w:firstLine="0" w:firstLineChars="0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hint="eastAsia" w:ascii="宋体" w:hAnsi="宋体" w:cs="Arial"/>
                <w:szCs w:val="24"/>
              </w:rPr>
              <w:t>不确定度</w:t>
            </w:r>
          </w:p>
        </w:tc>
        <w:tc>
          <w:tcPr>
            <w:tcW w:w="6804" w:type="dxa"/>
            <w:gridSpan w:val="3"/>
            <w:vAlign w:val="center"/>
          </w:tcPr>
          <w:p w14:paraId="3407D133">
            <w:pPr>
              <w:widowControl/>
              <w:ind w:firstLine="480"/>
              <w:jc w:val="center"/>
              <w:rPr>
                <w:rFonts w:ascii="宋体" w:hAnsi="宋体" w:cs="Arial"/>
                <w:szCs w:val="24"/>
              </w:rPr>
            </w:pPr>
          </w:p>
        </w:tc>
      </w:tr>
    </w:tbl>
    <w:p w14:paraId="3B6425AC">
      <w:pPr>
        <w:widowControl/>
        <w:ind w:firstLine="480"/>
        <w:jc w:val="left"/>
        <w:rPr>
          <w:rFonts w:ascii="宋体" w:hAnsi="宋体" w:cs="Arial"/>
          <w:szCs w:val="24"/>
        </w:rPr>
      </w:pPr>
    </w:p>
    <w:p w14:paraId="05F1EDC5">
      <w:pPr>
        <w:widowControl/>
        <w:ind w:firstLine="480"/>
        <w:jc w:val="left"/>
        <w:rPr>
          <w:rFonts w:ascii="宋体" w:hAnsi="宋体" w:cs="Arial"/>
          <w:szCs w:val="24"/>
        </w:rPr>
      </w:pPr>
    </w:p>
    <w:p w14:paraId="5977BED8">
      <w:pPr>
        <w:widowControl/>
        <w:ind w:firstLine="480"/>
        <w:jc w:val="left"/>
        <w:rPr>
          <w:rFonts w:ascii="宋体" w:hAnsi="宋体" w:cs="Arial"/>
          <w:szCs w:val="24"/>
        </w:rPr>
      </w:pPr>
    </w:p>
    <w:p w14:paraId="1694C38D">
      <w:pPr>
        <w:widowControl/>
        <w:ind w:firstLine="480"/>
        <w:jc w:val="left"/>
        <w:rPr>
          <w:rFonts w:ascii="宋体" w:hAnsi="宋体" w:cs="Arial"/>
          <w:szCs w:val="24"/>
        </w:rPr>
      </w:pPr>
      <w:r>
        <w:rPr>
          <w:rFonts w:ascii="宋体" w:hAnsi="宋体" w:cs="Arial"/>
          <w:szCs w:val="24"/>
        </w:rPr>
        <w:br w:type="page"/>
      </w:r>
    </w:p>
    <w:p w14:paraId="44E688D0">
      <w:pPr>
        <w:ind w:firstLine="480"/>
        <w:rPr>
          <w:rFonts w:ascii="宋体" w:hAnsi="宋体" w:cs="Arial"/>
          <w:szCs w:val="24"/>
        </w:rPr>
      </w:pPr>
    </w:p>
    <w:p w14:paraId="6B13BD8D">
      <w:pPr>
        <w:pStyle w:val="2"/>
      </w:pPr>
      <w:bookmarkStart w:id="259" w:name="_Toc229426229"/>
      <w:bookmarkStart w:id="260" w:name="_Toc229426284"/>
      <w:bookmarkStart w:id="261" w:name="_Toc229431126"/>
      <w:bookmarkStart w:id="262" w:name="_Toc229426401"/>
      <w:bookmarkStart w:id="263" w:name="_Toc229428758"/>
      <w:r>
        <w:t>附录</w:t>
      </w:r>
      <w:r>
        <w:rPr>
          <w:rFonts w:hint="eastAsia"/>
        </w:rPr>
        <w:t>E</w:t>
      </w:r>
      <w:bookmarkEnd w:id="259"/>
      <w:bookmarkEnd w:id="260"/>
      <w:bookmarkEnd w:id="261"/>
      <w:bookmarkEnd w:id="262"/>
      <w:bookmarkEnd w:id="263"/>
    </w:p>
    <w:p w14:paraId="69236E0A">
      <w:pPr>
        <w:ind w:firstLine="560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测量结果的不确定度评定示例</w:t>
      </w:r>
    </w:p>
    <w:p w14:paraId="453C9044">
      <w:pPr>
        <w:ind w:firstLine="0" w:firstLineChars="0"/>
        <w:rPr>
          <w:b/>
        </w:rPr>
      </w:pPr>
      <w:r>
        <w:rPr>
          <w:rFonts w:hint="eastAsia"/>
          <w:b/>
        </w:rPr>
        <w:t>E．1波长示值误差不确定度的评定</w:t>
      </w:r>
    </w:p>
    <w:p w14:paraId="4BEAAECD">
      <w:pPr>
        <w:ind w:firstLine="0" w:firstLineChars="0"/>
      </w:pPr>
      <w:r>
        <w:rPr>
          <w:rFonts w:hint="eastAsia"/>
        </w:rPr>
        <w:t>E．1.1 概述</w:t>
      </w:r>
    </w:p>
    <w:p w14:paraId="53403771">
      <w:pPr>
        <w:ind w:firstLine="480"/>
      </w:pPr>
      <w:r>
        <w:rPr>
          <w:rFonts w:hint="eastAsia"/>
        </w:rPr>
        <w:t>按规范要求，把光纤光谱仪的探头依次置于样品室的各个通道中，测量检测仪的峰值波长，重复测量3次取平均值，计算波长误差。</w:t>
      </w:r>
    </w:p>
    <w:p w14:paraId="07919A83">
      <w:pPr>
        <w:ind w:firstLine="0" w:firstLineChars="0"/>
      </w:pPr>
      <w:r>
        <w:rPr>
          <w:rFonts w:hint="eastAsia"/>
        </w:rPr>
        <w:t>E．1.2 测量模型</w:t>
      </w:r>
    </w:p>
    <w:p w14:paraId="70CFB642">
      <w:pPr>
        <w:ind w:firstLine="480"/>
        <w:jc w:val="center"/>
        <w:rPr>
          <w:position w:val="-12"/>
        </w:rPr>
      </w:pPr>
      <w:r>
        <w:rPr>
          <w:position w:val="-12"/>
        </w:rPr>
        <w:object>
          <v:shape id="_x0000_i1060" o:spt="75" type="#_x0000_t75" style="height:19.7pt;width:59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0" DrawAspect="Content" ObjectID="_1468075764" r:id="rId95">
            <o:LockedField>false</o:LockedField>
          </o:OLEObject>
        </w:object>
      </w:r>
    </w:p>
    <w:p w14:paraId="4DB0E1E4">
      <w:pPr>
        <w:ind w:firstLine="480"/>
      </w:pPr>
      <w:r>
        <w:rPr>
          <w:rFonts w:hint="eastAsia"/>
        </w:rPr>
        <w:t>式中：</w:t>
      </w:r>
    </w:p>
    <w:p w14:paraId="3E8C0F25">
      <w:pPr>
        <w:ind w:firstLine="480"/>
      </w:pP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  </w:t>
      </w:r>
      <w:r>
        <w:rPr>
          <w:rFonts w:hint="eastAsia" w:ascii="宋体" w:hAnsi="宋体" w:cs="宋体"/>
          <w:position w:val="-12"/>
        </w:rPr>
        <w:object>
          <v:shape id="_x0000_i1061" o:spt="75" type="#_x0000_t75" style="height:19.7pt;width:12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1" DrawAspect="Content" ObjectID="_1468075765" r:id="rId97">
            <o:LockedField>false</o:LockedField>
          </o:OLEObject>
        </w:object>
      </w:r>
      <w:r>
        <w:rPr>
          <w:rFonts w:hint="eastAsia" w:ascii="宋体" w:hAnsi="宋体" w:cs="宋体"/>
        </w:rPr>
        <w:t xml:space="preserve">  —</w:t>
      </w:r>
      <w:r>
        <w:rPr>
          <w:rFonts w:hint="eastAsia"/>
        </w:rPr>
        <w:t xml:space="preserve">3次测量的平均值，nm； </w:t>
      </w:r>
    </w:p>
    <w:p w14:paraId="286EC52B">
      <w:pPr>
        <w:ind w:firstLine="1200" w:firstLineChars="500"/>
      </w:pPr>
      <w:r>
        <w:rPr>
          <w:rFonts w:hint="eastAsia"/>
          <w:position w:val="-12"/>
        </w:rPr>
        <w:object>
          <v:shape id="_x0000_i1062" o:spt="75" type="#_x0000_t75" style="height:18.35pt;width:12.2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2" DrawAspect="Content" ObjectID="_1468075766" r:id="rId99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 w:ascii="宋体" w:hAnsi="宋体" w:cs="宋体"/>
        </w:rPr>
        <w:t>—</w:t>
      </w:r>
      <w:r>
        <w:rPr>
          <w:rFonts w:hint="eastAsia"/>
        </w:rPr>
        <w:t>波长标称值，nm。</w:t>
      </w:r>
    </w:p>
    <w:p w14:paraId="4EE35BC3">
      <w:pPr>
        <w:ind w:firstLine="480"/>
      </w:pPr>
      <w:r>
        <w:rPr>
          <w:rFonts w:hint="eastAsia"/>
        </w:rPr>
        <w:t>测量量</w:t>
      </w:r>
      <w:r>
        <w:rPr>
          <w:rFonts w:hint="eastAsia"/>
          <w:position w:val="-12"/>
        </w:rPr>
        <w:object>
          <v:shape id="_x0000_i1063" o:spt="75" type="#_x0000_t75" style="height:19.7pt;width:12.2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3" DrawAspect="Content" ObjectID="_1468075767" r:id="rId101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2"/>
        </w:rPr>
        <w:object>
          <v:shape id="_x0000_i1064" o:spt="75" type="#_x0000_t75" style="height:18.35pt;width:12.2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4" DrawAspect="Content" ObjectID="_1468075768" r:id="rId103">
            <o:LockedField>false</o:LockedField>
          </o:OLEObject>
        </w:object>
      </w:r>
      <w:r>
        <w:rPr>
          <w:rFonts w:hint="eastAsia"/>
        </w:rPr>
        <w:t>彼此不相关，有</w:t>
      </w:r>
    </w:p>
    <w:p w14:paraId="4F99BE4A">
      <w:pPr>
        <w:ind w:firstLine="480"/>
        <w:jc w:val="center"/>
      </w:pPr>
    </w:p>
    <w:p w14:paraId="68A4FD2E">
      <w:pPr>
        <w:ind w:firstLine="480"/>
        <w:jc w:val="center"/>
      </w:pPr>
      <w:r>
        <w:rPr>
          <w:position w:val="-12"/>
        </w:rPr>
        <w:object>
          <v:shape id="_x0000_i1065" o:spt="75" type="#_x0000_t75" style="height:19.7pt;width:139.9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5" DrawAspect="Content" ObjectID="_1468075769" r:id="rId105">
            <o:LockedField>false</o:LockedField>
          </o:OLEObject>
        </w:object>
      </w:r>
    </w:p>
    <w:p w14:paraId="5FA21331">
      <w:pPr>
        <w:ind w:firstLine="480"/>
      </w:pPr>
      <w:r>
        <w:rPr>
          <w:rFonts w:hint="eastAsia"/>
        </w:rPr>
        <w:t>其中，灵敏系数</w:t>
      </w:r>
      <w:r>
        <w:rPr>
          <w:rFonts w:hint="eastAsia"/>
          <w:position w:val="-10"/>
        </w:rPr>
        <w:object>
          <v:shape id="_x0000_i1066" o:spt="75" type="#_x0000_t75" style="height:19.7pt;width:117.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6" DrawAspect="Content" ObjectID="_1468075770" r:id="rId10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067" o:spt="75" type="#_x0000_t75" style="height:18.35pt;width:126.3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67" DrawAspect="Content" ObjectID="_1468075771" r:id="rId109">
            <o:LockedField>false</o:LockedField>
          </o:OLEObject>
        </w:object>
      </w:r>
    </w:p>
    <w:p w14:paraId="1E9F1D0E">
      <w:pPr>
        <w:ind w:firstLine="480"/>
      </w:pPr>
      <w:r>
        <w:rPr>
          <w:rFonts w:hint="eastAsia"/>
        </w:rPr>
        <w:t>因此，波长示值误差的不确定度可计算如下：</w:t>
      </w:r>
    </w:p>
    <w:p w14:paraId="7D15B071">
      <w:pPr>
        <w:ind w:firstLine="480"/>
        <w:rPr>
          <w:position w:val="-14"/>
        </w:rPr>
      </w:pPr>
      <w:r>
        <w:rPr>
          <w:position w:val="-14"/>
        </w:rPr>
        <w:pict>
          <v:shape id="_x0000_s1105" o:spid="_x0000_s1105" o:spt="75" type="#_x0000_t75" style="position:absolute;left:0pt;margin-top:4.1pt;height:24pt;width:127pt;mso-position-horizontal:center;z-index:25166438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</v:shape>
          <o:OLEObject Type="Embed" ProgID="Equation.DSMT4" ShapeID="_x0000_s1105" DrawAspect="Content" ObjectID="_1468075772" r:id="rId111">
            <o:LockedField>false</o:LockedField>
          </o:OLEObject>
        </w:pict>
      </w:r>
    </w:p>
    <w:p w14:paraId="181A2402">
      <w:pPr>
        <w:ind w:firstLine="480"/>
      </w:pPr>
    </w:p>
    <w:p w14:paraId="31D8D7E4">
      <w:pPr>
        <w:ind w:firstLine="0" w:firstLineChars="0"/>
      </w:pPr>
      <w:r>
        <w:rPr>
          <w:rFonts w:hint="eastAsia"/>
        </w:rPr>
        <w:t>E．1.3 不确定度的评定</w:t>
      </w:r>
    </w:p>
    <w:p w14:paraId="2422448D">
      <w:pPr>
        <w:ind w:firstLine="0" w:firstLineChars="0"/>
      </w:pPr>
      <w:r>
        <w:rPr>
          <w:rFonts w:hint="eastAsia"/>
        </w:rPr>
        <w:t>E．1.3.1 光纤光谱仪的不确定度</w:t>
      </w:r>
    </w:p>
    <w:p w14:paraId="3E27F339">
      <w:pPr>
        <w:ind w:firstLine="480"/>
      </w:pPr>
      <w:r>
        <w:rPr>
          <w:rFonts w:hint="eastAsia"/>
        </w:rPr>
        <w:t>光纤光谱仪的不确定度由校准证书给出，其扩展不确定度为</w:t>
      </w:r>
      <w:r>
        <w:rPr>
          <w:rFonts w:hint="eastAsia"/>
          <w:i/>
          <w:iCs/>
        </w:rPr>
        <w:t>U</w:t>
      </w:r>
      <w:r>
        <w:rPr>
          <w:rFonts w:hint="eastAsia"/>
        </w:rPr>
        <w:t>=1.0nm，</w:t>
      </w:r>
      <w:r>
        <w:rPr>
          <w:rFonts w:hint="eastAsia"/>
          <w:i/>
        </w:rPr>
        <w:t>k</w:t>
      </w:r>
      <w:r>
        <w:rPr>
          <w:rFonts w:hint="eastAsia"/>
        </w:rPr>
        <w:t>=2，故</w:t>
      </w:r>
    </w:p>
    <w:p w14:paraId="5050FEEE">
      <w:pPr>
        <w:ind w:firstLine="480"/>
        <w:rPr>
          <w:position w:val="-12"/>
        </w:rPr>
      </w:pPr>
      <w:r>
        <w:rPr>
          <w:position w:val="-12"/>
        </w:rPr>
        <w:pict>
          <v:shape id="_x0000_s1106" o:spid="_x0000_s1106" o:spt="75" type="#_x0000_t75" style="position:absolute;left:0pt;margin-top:6.6pt;height:18pt;width:111pt;mso-position-horizontal:center;z-index:25166540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</v:shape>
          <o:OLEObject Type="Embed" ProgID="Equation.DSMT4" ShapeID="_x0000_s1106" DrawAspect="Content" ObjectID="_1468075773" r:id="rId113">
            <o:LockedField>false</o:LockedField>
          </o:OLEObject>
        </w:pict>
      </w:r>
    </w:p>
    <w:p w14:paraId="6144E245">
      <w:pPr>
        <w:ind w:firstLine="480"/>
      </w:pPr>
    </w:p>
    <w:p w14:paraId="6A84109E">
      <w:pPr>
        <w:ind w:firstLine="0" w:firstLineChars="0"/>
      </w:pPr>
      <w:r>
        <w:rPr>
          <w:rFonts w:hint="eastAsia"/>
        </w:rPr>
        <w:t>E．1.3.2 测量重复性引入的不确定度</w:t>
      </w:r>
    </w:p>
    <w:p w14:paraId="7C303AFC">
      <w:pPr>
        <w:ind w:firstLine="480"/>
      </w:pPr>
      <w:r>
        <w:rPr>
          <w:rFonts w:hint="eastAsia"/>
        </w:rPr>
        <w:t>按照规范要求，选用一台多参数食品现场快速检测仪，其测量波长为412</w:t>
      </w:r>
      <w:bookmarkStart w:id="264" w:name="OLE_LINK9"/>
      <w:bookmarkStart w:id="265" w:name="OLE_LINK10"/>
      <w:r>
        <w:rPr>
          <w:rFonts w:hint="eastAsia"/>
        </w:rPr>
        <w:t>nm</w:t>
      </w:r>
      <w:bookmarkEnd w:id="264"/>
      <w:bookmarkEnd w:id="265"/>
      <w:r>
        <w:rPr>
          <w:rFonts w:hint="eastAsia"/>
        </w:rPr>
        <w:t>，用光纤光谱仪重复测量10次，数据如下：</w:t>
      </w:r>
    </w:p>
    <w:tbl>
      <w:tblPr>
        <w:tblStyle w:val="21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14:paraId="0FF16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 w14:paraId="1B749F78">
            <w:pPr>
              <w:ind w:firstLine="0" w:firstLineChars="0"/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850" w:type="dxa"/>
            <w:vAlign w:val="center"/>
          </w:tcPr>
          <w:p w14:paraId="016216B1">
            <w:pPr>
              <w:ind w:firstLine="0" w:firstLineChars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50" w:type="dxa"/>
            <w:vAlign w:val="center"/>
          </w:tcPr>
          <w:p w14:paraId="1751AF3E">
            <w:pPr>
              <w:ind w:firstLine="0" w:firstLineChars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50" w:type="dxa"/>
            <w:vAlign w:val="center"/>
          </w:tcPr>
          <w:p w14:paraId="1B64183E">
            <w:pPr>
              <w:ind w:firstLine="0" w:firstLineChars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50" w:type="dxa"/>
            <w:vAlign w:val="center"/>
          </w:tcPr>
          <w:p w14:paraId="7301E157">
            <w:pPr>
              <w:ind w:firstLine="0" w:firstLineChars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50" w:type="dxa"/>
            <w:vAlign w:val="center"/>
          </w:tcPr>
          <w:p w14:paraId="2C1C00A5">
            <w:pPr>
              <w:ind w:firstLine="0" w:firstLineChars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50" w:type="dxa"/>
            <w:vAlign w:val="center"/>
          </w:tcPr>
          <w:p w14:paraId="7A29B4A2">
            <w:pPr>
              <w:ind w:firstLine="0" w:firstLineChars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50" w:type="dxa"/>
            <w:vAlign w:val="center"/>
          </w:tcPr>
          <w:p w14:paraId="20907FC6">
            <w:pPr>
              <w:ind w:firstLine="0" w:firstLineChars="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50" w:type="dxa"/>
            <w:vAlign w:val="center"/>
          </w:tcPr>
          <w:p w14:paraId="450FA9B3">
            <w:pPr>
              <w:ind w:firstLine="0" w:firstLineChars="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50" w:type="dxa"/>
            <w:vAlign w:val="center"/>
          </w:tcPr>
          <w:p w14:paraId="51B23AB9">
            <w:pPr>
              <w:ind w:firstLine="0" w:firstLineChars="0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50" w:type="dxa"/>
            <w:vAlign w:val="center"/>
          </w:tcPr>
          <w:p w14:paraId="0CE3584F">
            <w:pPr>
              <w:ind w:firstLine="0" w:firstLineChars="0"/>
              <w:jc w:val="center"/>
            </w:pPr>
            <w:r>
              <w:rPr>
                <w:rFonts w:hint="eastAsia"/>
              </w:rPr>
              <w:t>10</w:t>
            </w:r>
          </w:p>
        </w:tc>
      </w:tr>
      <w:tr w14:paraId="79CCF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 w14:paraId="2CBDCAB1">
            <w:pPr>
              <w:ind w:firstLine="0" w:firstLineChars="0"/>
              <w:jc w:val="center"/>
            </w:pPr>
            <w:r>
              <w:t>测得</w:t>
            </w:r>
            <w:r>
              <w:rPr>
                <w:rFonts w:hint="eastAsia"/>
              </w:rPr>
              <w:t>值/</w:t>
            </w:r>
            <w:r>
              <w:t>nm</w:t>
            </w:r>
          </w:p>
        </w:tc>
        <w:tc>
          <w:tcPr>
            <w:tcW w:w="850" w:type="dxa"/>
            <w:vAlign w:val="center"/>
          </w:tcPr>
          <w:p w14:paraId="4B55D1FE">
            <w:pPr>
              <w:ind w:firstLine="0" w:firstLineChars="0"/>
              <w:jc w:val="center"/>
            </w:pPr>
            <w:r>
              <w:rPr>
                <w:rFonts w:hint="eastAsia"/>
              </w:rPr>
              <w:t>413.2</w:t>
            </w:r>
          </w:p>
        </w:tc>
        <w:tc>
          <w:tcPr>
            <w:tcW w:w="850" w:type="dxa"/>
            <w:vAlign w:val="center"/>
          </w:tcPr>
          <w:p w14:paraId="036323DB">
            <w:pPr>
              <w:ind w:firstLine="0" w:firstLineChars="0"/>
              <w:jc w:val="center"/>
            </w:pPr>
            <w:r>
              <w:rPr>
                <w:rFonts w:hint="eastAsia"/>
              </w:rPr>
              <w:t>414.5</w:t>
            </w:r>
          </w:p>
        </w:tc>
        <w:tc>
          <w:tcPr>
            <w:tcW w:w="850" w:type="dxa"/>
            <w:vAlign w:val="center"/>
          </w:tcPr>
          <w:p w14:paraId="0E594AA2">
            <w:pPr>
              <w:ind w:firstLine="0" w:firstLineChars="0"/>
              <w:jc w:val="center"/>
            </w:pPr>
            <w:r>
              <w:rPr>
                <w:rFonts w:hint="eastAsia"/>
              </w:rPr>
              <w:t>412．7</w:t>
            </w:r>
          </w:p>
        </w:tc>
        <w:tc>
          <w:tcPr>
            <w:tcW w:w="850" w:type="dxa"/>
            <w:vAlign w:val="center"/>
          </w:tcPr>
          <w:p w14:paraId="2D201F52">
            <w:pPr>
              <w:ind w:firstLine="0" w:firstLineChars="0"/>
              <w:jc w:val="center"/>
            </w:pPr>
            <w:r>
              <w:rPr>
                <w:rFonts w:hint="eastAsia"/>
              </w:rPr>
              <w:t>413.6</w:t>
            </w:r>
          </w:p>
        </w:tc>
        <w:tc>
          <w:tcPr>
            <w:tcW w:w="850" w:type="dxa"/>
            <w:vAlign w:val="center"/>
          </w:tcPr>
          <w:p w14:paraId="681C8D42">
            <w:pPr>
              <w:ind w:firstLine="0" w:firstLineChars="0"/>
              <w:jc w:val="center"/>
            </w:pPr>
            <w:r>
              <w:rPr>
                <w:rFonts w:hint="eastAsia"/>
              </w:rPr>
              <w:t>415.2</w:t>
            </w:r>
          </w:p>
        </w:tc>
        <w:tc>
          <w:tcPr>
            <w:tcW w:w="850" w:type="dxa"/>
            <w:vAlign w:val="center"/>
          </w:tcPr>
          <w:p w14:paraId="131B13AA">
            <w:pPr>
              <w:ind w:firstLine="0" w:firstLineChars="0"/>
              <w:jc w:val="center"/>
            </w:pPr>
            <w:r>
              <w:rPr>
                <w:rFonts w:hint="eastAsia"/>
              </w:rPr>
              <w:t>411.7</w:t>
            </w:r>
          </w:p>
        </w:tc>
        <w:tc>
          <w:tcPr>
            <w:tcW w:w="850" w:type="dxa"/>
            <w:vAlign w:val="center"/>
          </w:tcPr>
          <w:p w14:paraId="53349297">
            <w:pPr>
              <w:ind w:firstLine="0" w:firstLineChars="0"/>
              <w:jc w:val="center"/>
            </w:pPr>
            <w:r>
              <w:rPr>
                <w:rFonts w:hint="eastAsia"/>
              </w:rPr>
              <w:t>412.8</w:t>
            </w:r>
          </w:p>
        </w:tc>
        <w:tc>
          <w:tcPr>
            <w:tcW w:w="850" w:type="dxa"/>
            <w:vAlign w:val="center"/>
          </w:tcPr>
          <w:p w14:paraId="56398146">
            <w:pPr>
              <w:ind w:firstLine="0" w:firstLineChars="0"/>
              <w:jc w:val="center"/>
            </w:pPr>
            <w:r>
              <w:rPr>
                <w:rFonts w:hint="eastAsia"/>
              </w:rPr>
              <w:t>415.1</w:t>
            </w:r>
          </w:p>
        </w:tc>
        <w:tc>
          <w:tcPr>
            <w:tcW w:w="850" w:type="dxa"/>
            <w:vAlign w:val="center"/>
          </w:tcPr>
          <w:p w14:paraId="7AABEF1B">
            <w:pPr>
              <w:ind w:firstLine="0" w:firstLineChars="0"/>
              <w:jc w:val="center"/>
            </w:pPr>
            <w:r>
              <w:rPr>
                <w:rFonts w:hint="eastAsia"/>
              </w:rPr>
              <w:t>413.9</w:t>
            </w:r>
          </w:p>
        </w:tc>
        <w:tc>
          <w:tcPr>
            <w:tcW w:w="850" w:type="dxa"/>
            <w:vAlign w:val="center"/>
          </w:tcPr>
          <w:p w14:paraId="55DCEF53">
            <w:pPr>
              <w:ind w:firstLine="0" w:firstLineChars="0"/>
              <w:jc w:val="center"/>
            </w:pPr>
            <w:r>
              <w:rPr>
                <w:rFonts w:hint="eastAsia"/>
              </w:rPr>
              <w:t>414.2</w:t>
            </w:r>
          </w:p>
        </w:tc>
      </w:tr>
      <w:tr w14:paraId="1F03C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 w14:paraId="7F1BF8AD">
            <w:pPr>
              <w:ind w:firstLine="0" w:firstLineChars="0"/>
              <w:jc w:val="center"/>
            </w:pPr>
            <w:r>
              <w:t>平均值</w:t>
            </w:r>
            <w:r>
              <w:rPr>
                <w:rFonts w:hint="eastAsia"/>
              </w:rPr>
              <w:t>/</w:t>
            </w:r>
            <w:bookmarkStart w:id="266" w:name="OLE_LINK11"/>
            <w:r>
              <w:t>nm</w:t>
            </w:r>
            <w:bookmarkEnd w:id="266"/>
          </w:p>
        </w:tc>
        <w:tc>
          <w:tcPr>
            <w:tcW w:w="8500" w:type="dxa"/>
            <w:gridSpan w:val="10"/>
            <w:vAlign w:val="center"/>
          </w:tcPr>
          <w:p w14:paraId="26295005">
            <w:pPr>
              <w:ind w:firstLine="0" w:firstLineChars="0"/>
              <w:jc w:val="center"/>
            </w:pPr>
            <w:r>
              <w:rPr>
                <w:rFonts w:hint="eastAsia"/>
              </w:rPr>
              <w:t>413.69</w:t>
            </w:r>
          </w:p>
        </w:tc>
      </w:tr>
    </w:tbl>
    <w:p w14:paraId="75F9F682">
      <w:pPr>
        <w:ind w:firstLine="480"/>
        <w:rPr>
          <w:rFonts w:ascii="宋体" w:hAnsi="宋体"/>
          <w:position w:val="-26"/>
        </w:rPr>
      </w:pPr>
      <w:r>
        <w:rPr>
          <w:rFonts w:hint="eastAsia" w:ascii="宋体" w:hAnsi="宋体"/>
        </w:rPr>
        <w:t>单次实验标准偏差为：</w:t>
      </w:r>
      <w:r>
        <w:rPr>
          <w:position w:val="-26"/>
        </w:rPr>
        <w:object>
          <v:shape id="_x0000_i1068" o:spt="75" type="#_x0000_t75" style="height:52.3pt;width:135.8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68" DrawAspect="Content" ObjectID="_1468075774" r:id="rId115">
            <o:LockedField>false</o:LockedField>
          </o:OLEObject>
        </w:object>
      </w:r>
      <w:r>
        <w:t xml:space="preserve"> nm</w:t>
      </w:r>
    </w:p>
    <w:p w14:paraId="6BA28023"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>重复测量3次，则测量重复性引入的标准不确定度为：</w:t>
      </w:r>
    </w:p>
    <w:p w14:paraId="1AA815AB">
      <w:pPr>
        <w:ind w:firstLine="480"/>
        <w:jc w:val="center"/>
        <w:rPr>
          <w:rFonts w:ascii="宋体" w:hAnsi="宋体"/>
        </w:rPr>
      </w:pPr>
      <w:r>
        <w:rPr>
          <w:position w:val="-28"/>
        </w:rPr>
        <w:object>
          <v:shape id="_x0000_i1069" o:spt="75" type="#_x0000_t75" style="height:33.3pt;width:163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69" DrawAspect="Content" ObjectID="_1468075775" r:id="rId117">
            <o:LockedField>false</o:LockedField>
          </o:OLEObject>
        </w:object>
      </w:r>
    </w:p>
    <w:p w14:paraId="6F56E371">
      <w:pPr>
        <w:ind w:firstLine="0" w:firstLineChars="0"/>
        <w:rPr>
          <w:rFonts w:ascii="宋体" w:hAnsi="宋体"/>
        </w:rPr>
      </w:pPr>
      <w:r>
        <w:rPr>
          <w:rFonts w:hint="eastAsia" w:ascii="宋体" w:hAnsi="宋体"/>
        </w:rPr>
        <w:t>E．1.4 合成标准不确定度</w:t>
      </w:r>
    </w:p>
    <w:p w14:paraId="57635C95">
      <w:pPr>
        <w:ind w:firstLine="480"/>
        <w:jc w:val="center"/>
      </w:pPr>
      <w:r>
        <w:rPr>
          <w:position w:val="-14"/>
        </w:rPr>
        <w:object>
          <v:shape id="_x0000_i1070" o:spt="75" type="#_x0000_t75" style="height:23.75pt;width:177.3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0" DrawAspect="Content" ObjectID="_1468075776" r:id="rId119">
            <o:LockedField>false</o:LockedField>
          </o:OLEObject>
        </w:object>
      </w:r>
    </w:p>
    <w:p w14:paraId="605AAAC1">
      <w:pPr>
        <w:ind w:firstLine="0" w:firstLineChars="0"/>
      </w:pPr>
      <w:r>
        <w:rPr>
          <w:rFonts w:hint="eastAsia"/>
        </w:rPr>
        <w:t>E．1.5 扩展不确定度</w:t>
      </w:r>
    </w:p>
    <w:p w14:paraId="749D1724">
      <w:pPr>
        <w:ind w:firstLine="480"/>
      </w:pPr>
      <w:r>
        <w:rPr>
          <w:rFonts w:hint="eastAsia"/>
        </w:rPr>
        <w:t>取包含因子</w:t>
      </w:r>
      <w:r>
        <w:rPr>
          <w:rFonts w:hint="eastAsia"/>
          <w:i/>
        </w:rPr>
        <w:t>k</w:t>
      </w:r>
      <w:r>
        <w:rPr>
          <w:rFonts w:hint="eastAsia"/>
        </w:rPr>
        <w:t>=2，则扩展不确定度</w:t>
      </w:r>
      <w:r>
        <w:rPr>
          <w:rFonts w:hint="eastAsia"/>
          <w:i/>
        </w:rPr>
        <w:t>U</w:t>
      </w:r>
      <w:r>
        <w:rPr>
          <w:rFonts w:hint="eastAsia"/>
        </w:rPr>
        <w:t>=2×0.82 nm≈1.7</w:t>
      </w:r>
      <w:bookmarkStart w:id="267" w:name="OLE_LINK12"/>
      <w:r>
        <w:rPr>
          <w:rFonts w:hint="eastAsia"/>
        </w:rPr>
        <w:t>nm</w:t>
      </w:r>
      <w:bookmarkEnd w:id="267"/>
    </w:p>
    <w:p w14:paraId="2E84BBE8">
      <w:pPr>
        <w:ind w:firstLine="480"/>
        <w:rPr>
          <w:szCs w:val="24"/>
        </w:rPr>
      </w:pPr>
    </w:p>
    <w:p w14:paraId="1C8CC5EB">
      <w:pPr>
        <w:ind w:firstLine="0" w:firstLineChars="0"/>
        <w:rPr>
          <w:b/>
        </w:rPr>
      </w:pPr>
      <w:r>
        <w:rPr>
          <w:rFonts w:hint="eastAsia"/>
          <w:b/>
        </w:rPr>
        <w:t>E．2 透射比示值误差不确定度的评定</w:t>
      </w:r>
    </w:p>
    <w:p w14:paraId="0930ECFB">
      <w:pPr>
        <w:ind w:firstLine="0" w:firstLineChars="0"/>
      </w:pPr>
      <w:r>
        <w:rPr>
          <w:rFonts w:hint="eastAsia"/>
        </w:rPr>
        <w:t>E．2.1 概述</w:t>
      </w:r>
    </w:p>
    <w:p w14:paraId="27760822">
      <w:pPr>
        <w:ind w:firstLine="480"/>
      </w:pPr>
      <w:r>
        <w:rPr>
          <w:rFonts w:hint="eastAsia"/>
        </w:rPr>
        <w:t>按规范要求，用透射比标称值约为10%的中性滤光片，依次放入样品室每个通道中，重复测量透射比3次。计算滤光片透射比示值误差。</w:t>
      </w:r>
    </w:p>
    <w:p w14:paraId="38B2E4D4">
      <w:pPr>
        <w:ind w:firstLine="0" w:firstLineChars="0"/>
      </w:pPr>
      <w:r>
        <w:rPr>
          <w:rFonts w:hint="eastAsia"/>
        </w:rPr>
        <w:t>E．2.2 测量模型</w:t>
      </w:r>
    </w:p>
    <w:p w14:paraId="0CAE22A6">
      <w:pPr>
        <w:ind w:firstLine="480"/>
        <w:jc w:val="center"/>
        <w:rPr>
          <w:position w:val="-12"/>
        </w:rPr>
      </w:pPr>
      <w:r>
        <w:rPr>
          <w:position w:val="-12"/>
        </w:rPr>
        <w:object>
          <v:shape id="_x0000_i1071" o:spt="75" type="#_x0000_t75" style="height:19.7pt;width:57.7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1" DrawAspect="Content" ObjectID="_1468075777" r:id="rId121">
            <o:LockedField>false</o:LockedField>
          </o:OLEObject>
        </w:object>
      </w:r>
    </w:p>
    <w:p w14:paraId="0565B892">
      <w:pPr>
        <w:ind w:firstLine="480"/>
      </w:pPr>
      <w:r>
        <w:rPr>
          <w:rFonts w:hint="eastAsia"/>
        </w:rPr>
        <w:t>式中：</w:t>
      </w:r>
    </w:p>
    <w:p w14:paraId="2F33E0DA">
      <w:pPr>
        <w:ind w:firstLine="480"/>
      </w:pP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  </w:t>
      </w:r>
      <w:r>
        <w:rPr>
          <w:rFonts w:hint="eastAsia" w:ascii="宋体" w:hAnsi="宋体" w:cs="宋体"/>
          <w:position w:val="-12"/>
        </w:rPr>
        <w:object>
          <v:shape id="_x0000_i1072" o:spt="75" type="#_x0000_t75" style="height:19.7pt;width:12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2" DrawAspect="Content" ObjectID="_1468075778" r:id="rId123">
            <o:LockedField>false</o:LockedField>
          </o:OLEObject>
        </w:object>
      </w:r>
      <w:r>
        <w:rPr>
          <w:rFonts w:hint="eastAsia" w:ascii="宋体" w:hAnsi="宋体" w:cs="宋体"/>
        </w:rPr>
        <w:t xml:space="preserve">  —</w:t>
      </w:r>
      <w:r>
        <w:rPr>
          <w:rFonts w:hint="eastAsia"/>
        </w:rPr>
        <w:t xml:space="preserve">3次测量的平均值，%； </w:t>
      </w:r>
    </w:p>
    <w:p w14:paraId="6197076E">
      <w:pPr>
        <w:ind w:firstLine="960" w:firstLineChars="400"/>
      </w:pPr>
      <w:r>
        <w:rPr>
          <w:rFonts w:hint="eastAsia"/>
          <w:position w:val="-12"/>
        </w:rPr>
        <w:object>
          <v:shape id="_x0000_i1073" o:spt="75" type="#_x0000_t75" style="height:18.35pt;width:12.2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3" ShapeID="_x0000_i1073" DrawAspect="Content" ObjectID="_1468075779" r:id="rId125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 w:ascii="宋体" w:hAnsi="宋体" w:cs="宋体"/>
        </w:rPr>
        <w:t>—</w:t>
      </w:r>
      <w:r>
        <w:rPr>
          <w:rFonts w:hint="eastAsia"/>
        </w:rPr>
        <w:t>透射比标准值，%</w:t>
      </w:r>
    </w:p>
    <w:p w14:paraId="26079092">
      <w:pPr>
        <w:ind w:firstLine="480"/>
      </w:pPr>
      <w:r>
        <w:rPr>
          <w:rFonts w:hint="eastAsia"/>
        </w:rPr>
        <w:t>测量量</w:t>
      </w:r>
      <w:r>
        <w:rPr>
          <w:rFonts w:hint="eastAsia"/>
          <w:position w:val="-12"/>
        </w:rPr>
        <w:object>
          <v:shape id="_x0000_i1074" o:spt="75" type="#_x0000_t75" style="height:19.7pt;width:12.2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74" DrawAspect="Content" ObjectID="_1468075780" r:id="rId127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2"/>
        </w:rPr>
        <w:object>
          <v:shape id="_x0000_i1075" o:spt="75" type="#_x0000_t75" style="height:18.35pt;width:12.2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3" ShapeID="_x0000_i1075" DrawAspect="Content" ObjectID="_1468075781" r:id="rId129">
            <o:LockedField>false</o:LockedField>
          </o:OLEObject>
        </w:object>
      </w:r>
      <w:r>
        <w:rPr>
          <w:rFonts w:hint="eastAsia"/>
        </w:rPr>
        <w:t>彼此不相关，有：</w:t>
      </w:r>
    </w:p>
    <w:p w14:paraId="1269AFE9">
      <w:pPr>
        <w:ind w:firstLine="480"/>
        <w:jc w:val="center"/>
      </w:pPr>
      <w:r>
        <w:rPr>
          <w:position w:val="-12"/>
        </w:rPr>
        <w:object>
          <v:shape id="_x0000_i1076" o:spt="75" type="#_x0000_t75" style="height:19.7pt;width:137.9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76" DrawAspect="Content" ObjectID="_1468075782" r:id="rId131">
            <o:LockedField>false</o:LockedField>
          </o:OLEObject>
        </w:object>
      </w:r>
    </w:p>
    <w:p w14:paraId="1827F647">
      <w:pPr>
        <w:ind w:firstLine="480"/>
      </w:pPr>
      <w:r>
        <w:rPr>
          <w:rFonts w:hint="eastAsia"/>
        </w:rPr>
        <w:t>其中，灵敏系数</w:t>
      </w:r>
      <w:r>
        <w:rPr>
          <w:rFonts w:hint="eastAsia"/>
          <w:position w:val="-10"/>
        </w:rPr>
        <w:object>
          <v:shape id="_x0000_i1077" o:spt="75" type="#_x0000_t75" style="height:19.7pt;width:117.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77" DrawAspect="Content" ObjectID="_1468075783" r:id="rId13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078" o:spt="75" type="#_x0000_t75" style="height:18.35pt;width:127.7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78" DrawAspect="Content" ObjectID="_1468075784" r:id="rId135">
            <o:LockedField>false</o:LockedField>
          </o:OLEObject>
        </w:object>
      </w:r>
    </w:p>
    <w:p w14:paraId="5B0F7DED">
      <w:pPr>
        <w:ind w:firstLine="480"/>
      </w:pPr>
      <w:r>
        <w:rPr>
          <w:rFonts w:hint="eastAsia"/>
        </w:rPr>
        <w:t>因此，透射比示值误差的不确定度可计算如下：</w:t>
      </w:r>
    </w:p>
    <w:p w14:paraId="1C613A37">
      <w:pPr>
        <w:ind w:firstLine="480"/>
        <w:rPr>
          <w:position w:val="-14"/>
        </w:rPr>
      </w:pPr>
      <w:r>
        <w:rPr>
          <w:position w:val="-14"/>
        </w:rPr>
        <w:pict>
          <v:shape id="Object 72" o:spid="_x0000_s1108" o:spt="75" type="#_x0000_t75" style="position:absolute;left:0pt;margin-top:4.1pt;height:24pt;width:128pt;mso-position-horizontal:center;z-index:25166643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</v:shape>
          <o:OLEObject Type="Embed" ProgID="Equation.DSMT4" ShapeID="Object 72" DrawAspect="Content" ObjectID="_1468075785" r:id="rId137">
            <o:LockedField>false</o:LockedField>
          </o:OLEObject>
        </w:pict>
      </w:r>
    </w:p>
    <w:p w14:paraId="40D19031">
      <w:pPr>
        <w:ind w:firstLine="0" w:firstLineChars="0"/>
      </w:pPr>
      <w:r>
        <w:rPr>
          <w:rFonts w:hint="eastAsia"/>
        </w:rPr>
        <w:t>E．2.3不确定度的评定</w:t>
      </w:r>
    </w:p>
    <w:p w14:paraId="57D2A714">
      <w:pPr>
        <w:ind w:firstLine="0" w:firstLineChars="0"/>
      </w:pPr>
      <w:r>
        <w:rPr>
          <w:rFonts w:hint="eastAsia"/>
        </w:rPr>
        <w:t>E．2.3.1  中性滤光片的不确定度</w:t>
      </w:r>
    </w:p>
    <w:p w14:paraId="6B37EAA4">
      <w:pPr>
        <w:ind w:firstLine="480"/>
      </w:pPr>
      <w:r>
        <w:rPr>
          <w:rFonts w:hint="eastAsia"/>
        </w:rPr>
        <w:t>标准滤光片的不确定度由校准证书给出，其扩展不确定度为</w:t>
      </w:r>
      <w:r>
        <w:rPr>
          <w:rFonts w:hint="eastAsia"/>
          <w:i/>
          <w:iCs/>
        </w:rPr>
        <w:t>U</w:t>
      </w:r>
      <w:r>
        <w:rPr>
          <w:rFonts w:hint="eastAsia"/>
        </w:rPr>
        <w:t>=0.37%，</w:t>
      </w:r>
      <w:r>
        <w:rPr>
          <w:rFonts w:hint="eastAsia"/>
          <w:i/>
          <w:iCs/>
        </w:rPr>
        <w:t>k</w:t>
      </w:r>
      <w:r>
        <w:rPr>
          <w:rFonts w:hint="eastAsia"/>
        </w:rPr>
        <w:t>=2。故</w:t>
      </w:r>
    </w:p>
    <w:p w14:paraId="3F6B51DC">
      <w:pPr>
        <w:ind w:firstLine="480"/>
        <w:rPr>
          <w:position w:val="-12"/>
        </w:rPr>
      </w:pPr>
      <w:r>
        <w:rPr>
          <w:position w:val="-12"/>
        </w:rPr>
        <w:pict>
          <v:shape id="Object 73" o:spid="_x0000_s1109" o:spt="75" type="#_x0000_t75" style="position:absolute;left:0pt;margin-top:6.6pt;height:18pt;width:134pt;mso-position-horizontal:center;z-index:25166745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</v:shape>
          <o:OLEObject Type="Embed" ProgID="Equation.DSMT4" ShapeID="Object 73" DrawAspect="Content" ObjectID="_1468075786" r:id="rId139">
            <o:LockedField>false</o:LockedField>
          </o:OLEObject>
        </w:pict>
      </w:r>
    </w:p>
    <w:p w14:paraId="57759042">
      <w:pPr>
        <w:ind w:firstLine="0" w:firstLineChars="0"/>
      </w:pPr>
    </w:p>
    <w:p w14:paraId="4D95ACAF">
      <w:pPr>
        <w:ind w:firstLine="0" w:firstLineChars="0"/>
        <w:rPr>
          <w:position w:val="-12"/>
        </w:rPr>
      </w:pPr>
      <w:r>
        <w:rPr>
          <w:rFonts w:hint="eastAsia"/>
        </w:rPr>
        <w:t>E．2.3.2 测量重复性引入的不确定度</w:t>
      </w:r>
    </w:p>
    <w:p w14:paraId="57DCFA24">
      <w:pPr>
        <w:ind w:firstLine="480"/>
      </w:pPr>
      <w:r>
        <w:rPr>
          <w:rFonts w:hint="eastAsia"/>
        </w:rPr>
        <w:t>按照规范要求，选用透射比标称值为10%的标准滤光片，连续测量10次，数据如下表：</w:t>
      </w:r>
    </w:p>
    <w:tbl>
      <w:tblPr>
        <w:tblStyle w:val="21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14:paraId="302EB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 w14:paraId="03B82319">
            <w:pPr>
              <w:ind w:firstLine="0" w:firstLineChars="0"/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850" w:type="dxa"/>
            <w:vAlign w:val="center"/>
          </w:tcPr>
          <w:p w14:paraId="66FDA8BC">
            <w:pPr>
              <w:ind w:firstLine="0" w:firstLineChars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50" w:type="dxa"/>
            <w:vAlign w:val="center"/>
          </w:tcPr>
          <w:p w14:paraId="391A9FA8">
            <w:pPr>
              <w:ind w:firstLine="0" w:firstLineChars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50" w:type="dxa"/>
            <w:vAlign w:val="center"/>
          </w:tcPr>
          <w:p w14:paraId="1A9A7B76">
            <w:pPr>
              <w:ind w:firstLine="0" w:firstLineChars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50" w:type="dxa"/>
            <w:vAlign w:val="center"/>
          </w:tcPr>
          <w:p w14:paraId="0F117F70">
            <w:pPr>
              <w:ind w:firstLine="0" w:firstLineChars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50" w:type="dxa"/>
            <w:vAlign w:val="center"/>
          </w:tcPr>
          <w:p w14:paraId="431BD584">
            <w:pPr>
              <w:ind w:firstLine="0" w:firstLineChars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50" w:type="dxa"/>
            <w:vAlign w:val="center"/>
          </w:tcPr>
          <w:p w14:paraId="60A49F03">
            <w:pPr>
              <w:ind w:firstLine="0" w:firstLineChars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50" w:type="dxa"/>
            <w:vAlign w:val="center"/>
          </w:tcPr>
          <w:p w14:paraId="476677B0">
            <w:pPr>
              <w:ind w:firstLine="0" w:firstLineChars="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50" w:type="dxa"/>
            <w:vAlign w:val="center"/>
          </w:tcPr>
          <w:p w14:paraId="0555A522">
            <w:pPr>
              <w:ind w:firstLine="0" w:firstLineChars="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50" w:type="dxa"/>
            <w:vAlign w:val="center"/>
          </w:tcPr>
          <w:p w14:paraId="6556A23E">
            <w:pPr>
              <w:ind w:firstLine="0" w:firstLineChars="0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50" w:type="dxa"/>
            <w:vAlign w:val="center"/>
          </w:tcPr>
          <w:p w14:paraId="235521E3">
            <w:pPr>
              <w:ind w:firstLine="0" w:firstLineChars="0"/>
              <w:jc w:val="center"/>
            </w:pPr>
            <w:r>
              <w:rPr>
                <w:rFonts w:hint="eastAsia"/>
              </w:rPr>
              <w:t>10</w:t>
            </w:r>
          </w:p>
        </w:tc>
      </w:tr>
      <w:tr w14:paraId="67BCA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 w14:paraId="0431FFA4">
            <w:pPr>
              <w:ind w:firstLine="0" w:firstLineChars="0"/>
              <w:jc w:val="center"/>
            </w:pPr>
            <w:r>
              <w:t>测得</w:t>
            </w:r>
            <w:r>
              <w:rPr>
                <w:rFonts w:hint="eastAsia"/>
              </w:rPr>
              <w:t>值/%</w:t>
            </w:r>
          </w:p>
        </w:tc>
        <w:tc>
          <w:tcPr>
            <w:tcW w:w="850" w:type="dxa"/>
            <w:vAlign w:val="center"/>
          </w:tcPr>
          <w:p w14:paraId="77B565E7">
            <w:pPr>
              <w:ind w:firstLine="0" w:firstLineChars="0"/>
              <w:jc w:val="center"/>
            </w:pPr>
            <w:r>
              <w:rPr>
                <w:rFonts w:hint="eastAsia"/>
              </w:rPr>
              <w:t>8.3</w:t>
            </w:r>
          </w:p>
        </w:tc>
        <w:tc>
          <w:tcPr>
            <w:tcW w:w="850" w:type="dxa"/>
            <w:vAlign w:val="center"/>
          </w:tcPr>
          <w:p w14:paraId="535AA03A">
            <w:pPr>
              <w:ind w:firstLine="0" w:firstLineChars="0"/>
              <w:jc w:val="center"/>
            </w:pPr>
            <w:r>
              <w:rPr>
                <w:rFonts w:hint="eastAsia"/>
              </w:rPr>
              <w:t>8.5</w:t>
            </w:r>
          </w:p>
        </w:tc>
        <w:tc>
          <w:tcPr>
            <w:tcW w:w="850" w:type="dxa"/>
            <w:vAlign w:val="center"/>
          </w:tcPr>
          <w:p w14:paraId="5E6F543E">
            <w:pPr>
              <w:ind w:firstLine="0" w:firstLineChars="0"/>
              <w:jc w:val="center"/>
            </w:pPr>
            <w:r>
              <w:rPr>
                <w:rFonts w:hint="eastAsia"/>
              </w:rPr>
              <w:t>8.7</w:t>
            </w:r>
          </w:p>
        </w:tc>
        <w:tc>
          <w:tcPr>
            <w:tcW w:w="850" w:type="dxa"/>
            <w:vAlign w:val="center"/>
          </w:tcPr>
          <w:p w14:paraId="17B2D5E9">
            <w:pPr>
              <w:ind w:firstLine="0" w:firstLineChars="0"/>
              <w:jc w:val="center"/>
            </w:pPr>
            <w:r>
              <w:rPr>
                <w:rFonts w:hint="eastAsia"/>
              </w:rPr>
              <w:t>8.3</w:t>
            </w:r>
          </w:p>
        </w:tc>
        <w:tc>
          <w:tcPr>
            <w:tcW w:w="850" w:type="dxa"/>
            <w:vAlign w:val="center"/>
          </w:tcPr>
          <w:p w14:paraId="688DF7C9">
            <w:pPr>
              <w:ind w:firstLine="0" w:firstLineChars="0"/>
              <w:jc w:val="center"/>
            </w:pPr>
            <w:r>
              <w:rPr>
                <w:rFonts w:hint="eastAsia"/>
              </w:rPr>
              <w:t>8.5</w:t>
            </w:r>
          </w:p>
        </w:tc>
        <w:tc>
          <w:tcPr>
            <w:tcW w:w="850" w:type="dxa"/>
            <w:vAlign w:val="center"/>
          </w:tcPr>
          <w:p w14:paraId="5512C0C5">
            <w:pPr>
              <w:ind w:firstLine="0" w:firstLineChars="0"/>
              <w:jc w:val="center"/>
            </w:pPr>
            <w:r>
              <w:rPr>
                <w:rFonts w:hint="eastAsia"/>
              </w:rPr>
              <w:t>8.8</w:t>
            </w:r>
          </w:p>
        </w:tc>
        <w:tc>
          <w:tcPr>
            <w:tcW w:w="850" w:type="dxa"/>
            <w:vAlign w:val="center"/>
          </w:tcPr>
          <w:p w14:paraId="2D05333C">
            <w:pPr>
              <w:ind w:firstLine="0" w:firstLineChars="0"/>
              <w:jc w:val="center"/>
            </w:pPr>
            <w:r>
              <w:rPr>
                <w:rFonts w:hint="eastAsia"/>
              </w:rPr>
              <w:t>8.4</w:t>
            </w:r>
          </w:p>
        </w:tc>
        <w:tc>
          <w:tcPr>
            <w:tcW w:w="850" w:type="dxa"/>
            <w:vAlign w:val="center"/>
          </w:tcPr>
          <w:p w14:paraId="652F08BB">
            <w:pPr>
              <w:ind w:firstLine="0" w:firstLineChars="0"/>
              <w:jc w:val="center"/>
            </w:pPr>
            <w:r>
              <w:rPr>
                <w:rFonts w:hint="eastAsia"/>
              </w:rPr>
              <w:t>8.5</w:t>
            </w:r>
          </w:p>
        </w:tc>
        <w:tc>
          <w:tcPr>
            <w:tcW w:w="850" w:type="dxa"/>
            <w:vAlign w:val="center"/>
          </w:tcPr>
          <w:p w14:paraId="5F6F1074">
            <w:pPr>
              <w:ind w:firstLine="0" w:firstLineChars="0"/>
              <w:jc w:val="center"/>
            </w:pPr>
            <w:r>
              <w:rPr>
                <w:rFonts w:hint="eastAsia"/>
              </w:rPr>
              <w:t>8.6</w:t>
            </w:r>
          </w:p>
        </w:tc>
        <w:tc>
          <w:tcPr>
            <w:tcW w:w="850" w:type="dxa"/>
            <w:vAlign w:val="center"/>
          </w:tcPr>
          <w:p w14:paraId="1E575F0A">
            <w:pPr>
              <w:ind w:firstLine="0" w:firstLineChars="0"/>
              <w:jc w:val="center"/>
            </w:pPr>
            <w:r>
              <w:rPr>
                <w:rFonts w:hint="eastAsia"/>
              </w:rPr>
              <w:t>8.3</w:t>
            </w:r>
          </w:p>
        </w:tc>
      </w:tr>
      <w:tr w14:paraId="371F1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 w14:paraId="1EC40299">
            <w:pPr>
              <w:ind w:firstLine="0" w:firstLineChars="0"/>
              <w:jc w:val="center"/>
            </w:pPr>
            <w:r>
              <w:t>平均值</w:t>
            </w:r>
            <w:r>
              <w:rPr>
                <w:rFonts w:hint="eastAsia"/>
              </w:rPr>
              <w:t>/%</w:t>
            </w:r>
          </w:p>
        </w:tc>
        <w:tc>
          <w:tcPr>
            <w:tcW w:w="8500" w:type="dxa"/>
            <w:gridSpan w:val="10"/>
            <w:vAlign w:val="center"/>
          </w:tcPr>
          <w:p w14:paraId="6CAF3686">
            <w:pPr>
              <w:ind w:firstLine="0" w:firstLineChars="0"/>
              <w:jc w:val="center"/>
            </w:pPr>
            <w:r>
              <w:rPr>
                <w:rFonts w:hint="eastAsia"/>
              </w:rPr>
              <w:t>8.49</w:t>
            </w:r>
          </w:p>
        </w:tc>
      </w:tr>
    </w:tbl>
    <w:p w14:paraId="00844546">
      <w:pPr>
        <w:ind w:firstLine="480"/>
        <w:rPr>
          <w:rFonts w:ascii="宋体" w:hAnsi="宋体"/>
          <w:position w:val="-26"/>
        </w:rPr>
      </w:pPr>
      <w:r>
        <w:rPr>
          <w:rFonts w:hint="eastAsia" w:ascii="宋体" w:hAnsi="宋体"/>
        </w:rPr>
        <w:t>单次实验标准偏差为：</w:t>
      </w:r>
      <w:r>
        <w:rPr>
          <w:rFonts w:hint="eastAsia" w:ascii="宋体" w:hAnsi="宋体"/>
          <w:position w:val="-26"/>
        </w:rPr>
        <w:object>
          <v:shape id="_x0000_i1079" o:spt="75" type="#_x0000_t75" style="height:51.6pt;width:146.7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79" DrawAspect="Content" ObjectID="_1468075787" r:id="rId141">
            <o:LockedField>false</o:LockedField>
          </o:OLEObject>
        </w:object>
      </w:r>
    </w:p>
    <w:p w14:paraId="136811E5"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>重复测量3次，则测量重复性引入的标准不确定为：</w:t>
      </w:r>
    </w:p>
    <w:p w14:paraId="0EE97BAC">
      <w:pPr>
        <w:ind w:firstLine="480"/>
        <w:jc w:val="center"/>
        <w:rPr>
          <w:rFonts w:ascii="宋体" w:hAnsi="宋体"/>
        </w:rPr>
      </w:pPr>
      <w:r>
        <w:rPr>
          <w:position w:val="-28"/>
        </w:rPr>
        <w:object>
          <v:shape id="_x0000_i1080" o:spt="75" type="#_x0000_t75" style="height:33.3pt;width:148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0" DrawAspect="Content" ObjectID="_1468075788" r:id="rId143">
            <o:LockedField>false</o:LockedField>
          </o:OLEObject>
        </w:object>
      </w:r>
    </w:p>
    <w:p w14:paraId="5DF8A2B7">
      <w:pPr>
        <w:ind w:firstLine="0" w:firstLineChars="0"/>
        <w:rPr>
          <w:rFonts w:ascii="宋体" w:hAnsi="宋体"/>
        </w:rPr>
      </w:pPr>
      <w:r>
        <w:rPr>
          <w:rFonts w:hint="eastAsia" w:ascii="宋体" w:hAnsi="宋体"/>
        </w:rPr>
        <w:t>E．2.3.4 合成标准不确定度</w:t>
      </w:r>
    </w:p>
    <w:p w14:paraId="61AEF060">
      <w:pPr>
        <w:ind w:firstLine="480"/>
        <w:jc w:val="center"/>
      </w:pPr>
      <w:r>
        <w:rPr>
          <w:position w:val="-14"/>
        </w:rPr>
        <w:object>
          <v:shape id="_x0000_i1081" o:spt="75" type="#_x0000_t75" style="height:23.75pt;width:169.8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1" DrawAspect="Content" ObjectID="_1468075789" r:id="rId145">
            <o:LockedField>false</o:LockedField>
          </o:OLEObject>
        </w:object>
      </w:r>
    </w:p>
    <w:p w14:paraId="7E7C42D2">
      <w:pPr>
        <w:ind w:firstLine="0" w:firstLineChars="0"/>
      </w:pPr>
      <w:r>
        <w:rPr>
          <w:rFonts w:hint="eastAsia"/>
        </w:rPr>
        <w:t>E．2.3.5 扩展不确定度</w:t>
      </w:r>
    </w:p>
    <w:p w14:paraId="1C0C03BF">
      <w:pPr>
        <w:ind w:firstLine="480"/>
      </w:pPr>
      <w:r>
        <w:rPr>
          <w:rFonts w:hint="eastAsia"/>
        </w:rPr>
        <w:t>取包含因子</w:t>
      </w:r>
      <w:r>
        <w:rPr>
          <w:rFonts w:hint="eastAsia"/>
          <w:i/>
        </w:rPr>
        <w:t>k</w:t>
      </w:r>
      <w:r>
        <w:rPr>
          <w:rFonts w:hint="eastAsia"/>
        </w:rPr>
        <w:t>=2，则扩展不确定度</w:t>
      </w:r>
      <w:r>
        <w:rPr>
          <w:rFonts w:hint="eastAsia"/>
          <w:i/>
        </w:rPr>
        <w:t>U</w:t>
      </w:r>
      <w:r>
        <w:rPr>
          <w:rFonts w:hint="eastAsia"/>
        </w:rPr>
        <w:t>=2×0.21%≈0.5%</w:t>
      </w:r>
    </w:p>
    <w:p w14:paraId="30B721CE">
      <w:pPr>
        <w:ind w:firstLine="480"/>
      </w:pPr>
    </w:p>
    <w:p w14:paraId="03F8F8BA">
      <w:pPr>
        <w:ind w:firstLine="0" w:firstLineChars="0"/>
        <w:rPr>
          <w:b/>
        </w:rPr>
      </w:pPr>
      <w:r>
        <w:rPr>
          <w:rFonts w:hint="eastAsia"/>
          <w:b/>
        </w:rPr>
        <w:t>E.3 灵敏度校准不确定度的评定</w:t>
      </w:r>
    </w:p>
    <w:p w14:paraId="3C8D8E17">
      <w:pPr>
        <w:ind w:firstLine="0" w:firstLineChars="0"/>
      </w:pPr>
      <w:r>
        <w:rPr>
          <w:rFonts w:hint="eastAsia"/>
        </w:rPr>
        <w:t>E.3.1概述</w:t>
      </w:r>
    </w:p>
    <w:p w14:paraId="5C2CB5BA">
      <w:pPr>
        <w:ind w:firstLine="480"/>
      </w:pPr>
      <w:r>
        <w:rPr>
          <w:rFonts w:hint="eastAsia"/>
        </w:rPr>
        <w:t>按照校准规范所述农药标准溶液的要求，依据检测仪使用说明书配制相应浓度的农药标准溶液与对照溶液，读取并计算农药标准溶液反应3min吸光度变化值和对照溶液反应3min吸光度变化值，计算抑制率。</w:t>
      </w:r>
    </w:p>
    <w:p w14:paraId="08CA4891">
      <w:pPr>
        <w:ind w:firstLine="0" w:firstLineChars="0"/>
      </w:pPr>
      <w:r>
        <w:rPr>
          <w:rFonts w:hint="eastAsia"/>
        </w:rPr>
        <w:t>E.3.2 测量模型</w:t>
      </w:r>
    </w:p>
    <w:p w14:paraId="28E06D02">
      <w:pPr>
        <w:ind w:firstLine="480"/>
        <w:jc w:val="center"/>
        <w:rPr>
          <w:position w:val="-12"/>
        </w:rPr>
      </w:pPr>
      <w:r>
        <w:rPr>
          <w:position w:val="-30"/>
        </w:rPr>
        <w:object>
          <v:shape id="_x0000_i1082" o:spt="75" type="#_x0000_t75" style="height:34.65pt;width:118.2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82" DrawAspect="Content" ObjectID="_1468075790" r:id="rId147">
            <o:LockedField>false</o:LockedField>
          </o:OLEObject>
        </w:object>
      </w:r>
    </w:p>
    <w:p w14:paraId="0955AFB4">
      <w:pPr>
        <w:ind w:firstLine="480"/>
      </w:pPr>
      <w:r>
        <w:rPr>
          <w:rFonts w:hint="eastAsia"/>
        </w:rPr>
        <w:t>式中：</w:t>
      </w:r>
    </w:p>
    <w:p w14:paraId="3AE7DA30">
      <w:pPr>
        <w:ind w:firstLine="480"/>
      </w:pPr>
      <w:r>
        <w:rPr>
          <w:rFonts w:hint="eastAsia"/>
        </w:rPr>
        <w:t>IR</w:t>
      </w:r>
      <w:r>
        <w:rPr>
          <w:rFonts w:hint="eastAsia" w:ascii="宋体" w:hAnsi="宋体" w:cs="宋体"/>
        </w:rPr>
        <w:t>---抑制率</w:t>
      </w:r>
      <w:r>
        <w:rPr>
          <w:rFonts w:hint="eastAsia"/>
        </w:rPr>
        <w:t>；</w:t>
      </w:r>
    </w:p>
    <w:p w14:paraId="36F3489E">
      <w:pPr>
        <w:ind w:firstLine="480"/>
      </w:pPr>
      <w:r>
        <w:rPr>
          <w:position w:val="-12"/>
        </w:rPr>
        <w:object>
          <v:shape id="_x0000_i1083" o:spt="75" type="#_x0000_t75" style="height:18.35pt;width:23.7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83" DrawAspect="Content" ObjectID="_1468075791" r:id="rId149">
            <o:LockedField>false</o:LockedField>
          </o:OLEObject>
        </w:object>
      </w:r>
      <w:r>
        <w:rPr>
          <w:rFonts w:hint="eastAsia" w:ascii="宋体" w:hAnsi="宋体" w:cs="宋体"/>
        </w:rPr>
        <w:t>---</w:t>
      </w:r>
      <w:r>
        <w:rPr>
          <w:rFonts w:hint="eastAsia"/>
        </w:rPr>
        <w:t>对照溶液反应3min吸光度变化值；</w:t>
      </w:r>
    </w:p>
    <w:p w14:paraId="57C46625">
      <w:pPr>
        <w:ind w:firstLine="480"/>
      </w:pPr>
      <w:r>
        <w:rPr>
          <w:position w:val="-12"/>
        </w:rPr>
        <w:object>
          <v:shape id="_x0000_i1084" o:spt="75" type="#_x0000_t75" style="height:18.35pt;width:22.4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84" DrawAspect="Content" ObjectID="_1468075792" r:id="rId151">
            <o:LockedField>false</o:LockedField>
          </o:OLEObject>
        </w:object>
      </w:r>
      <w:r>
        <w:rPr>
          <w:rFonts w:hint="eastAsia" w:ascii="宋体" w:hAnsi="宋体" w:cs="宋体"/>
        </w:rPr>
        <w:t>---农药标准溶液反应3min吸光度变化值。</w:t>
      </w:r>
    </w:p>
    <w:p w14:paraId="21A10203">
      <w:pPr>
        <w:ind w:firstLine="480"/>
      </w:pPr>
      <w:r>
        <w:rPr>
          <w:rFonts w:hint="eastAsia"/>
        </w:rPr>
        <w:t>不确定度传播律</w:t>
      </w:r>
    </w:p>
    <w:p w14:paraId="00C1F038">
      <w:pPr>
        <w:ind w:firstLine="480"/>
      </w:pPr>
      <w:r>
        <w:rPr>
          <w:rFonts w:hint="eastAsia"/>
        </w:rPr>
        <w:t>测量量</w:t>
      </w:r>
      <w:r>
        <w:rPr>
          <w:position w:val="-12"/>
        </w:rPr>
        <w:object>
          <v:shape id="_x0000_i1085" o:spt="75" type="#_x0000_t75" style="height:18.35pt;width:23.7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85" DrawAspect="Content" ObjectID="_1468075793" r:id="rId153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12"/>
        </w:rPr>
        <w:object>
          <v:shape id="_x0000_i1086" o:spt="75" type="#_x0000_t75" style="height:18.35pt;width:22.4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86" DrawAspect="Content" ObjectID="_1468075794" r:id="rId154">
            <o:LockedField>false</o:LockedField>
          </o:OLEObject>
        </w:object>
      </w:r>
      <w:r>
        <w:rPr>
          <w:rFonts w:hint="eastAsia"/>
        </w:rPr>
        <w:t>彼此不相关，有：</w:t>
      </w:r>
    </w:p>
    <w:p w14:paraId="7048CEB8">
      <w:pPr>
        <w:ind w:firstLine="480"/>
        <w:jc w:val="center"/>
      </w:pPr>
      <w:r>
        <w:rPr>
          <w:position w:val="-12"/>
        </w:rPr>
        <w:object>
          <v:shape id="_x0000_i1087" o:spt="75" type="#_x0000_t75" style="height:18.35pt;width:170.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87" DrawAspect="Content" ObjectID="_1468075795" r:id="rId155">
            <o:LockedField>false</o:LockedField>
          </o:OLEObject>
        </w:object>
      </w:r>
    </w:p>
    <w:p w14:paraId="023B9916">
      <w:pPr>
        <w:ind w:firstLine="480"/>
      </w:pPr>
      <w:r>
        <w:rPr>
          <w:rFonts w:hint="eastAsia"/>
        </w:rPr>
        <w:t>其中，灵敏系数</w:t>
      </w:r>
      <w:r>
        <w:rPr>
          <w:position w:val="-30"/>
        </w:rPr>
        <w:object>
          <v:shape id="_x0000_i1088" o:spt="75" type="#_x0000_t75" style="height:34.65pt;width:144.7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88" DrawAspect="Content" ObjectID="_1468075796" r:id="rId15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30"/>
        </w:rPr>
        <w:object>
          <v:shape id="_x0000_i1089" o:spt="75" type="#_x0000_t75" style="height:34.65pt;width:152.8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89" DrawAspect="Content" ObjectID="_1468075797" r:id="rId159">
            <o:LockedField>false</o:LockedField>
          </o:OLEObject>
        </w:object>
      </w:r>
      <w:r>
        <w:t xml:space="preserve"> </w:t>
      </w:r>
    </w:p>
    <w:p w14:paraId="6F54E9D1">
      <w:pPr>
        <w:ind w:firstLine="480"/>
      </w:pPr>
      <w:r>
        <w:rPr>
          <w:rFonts w:hint="eastAsia"/>
        </w:rPr>
        <w:t>因此，抑制率的不确定度可计算如下：</w:t>
      </w:r>
    </w:p>
    <w:p w14:paraId="7D1131A0">
      <w:pPr>
        <w:ind w:firstLine="480"/>
        <w:rPr>
          <w:position w:val="-14"/>
        </w:rPr>
      </w:pPr>
      <w:r>
        <w:rPr>
          <w:position w:val="-14"/>
        </w:rPr>
        <w:pict>
          <v:shape id="_x0000_s1110" o:spid="_x0000_s1110" o:spt="75" type="#_x0000_t75" style="position:absolute;left:0pt;margin-top:4.1pt;height:23pt;width:161pt;mso-position-horizontal:center;z-index:25166848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</v:shape>
          <o:OLEObject Type="Embed" ProgID="Equation.DSMT4" ShapeID="_x0000_s1110" DrawAspect="Content" ObjectID="_1468075798" r:id="rId161">
            <o:LockedField>false</o:LockedField>
          </o:OLEObject>
        </w:pict>
      </w:r>
    </w:p>
    <w:p w14:paraId="1EB8DDDD">
      <w:pPr>
        <w:ind w:firstLine="480"/>
      </w:pPr>
    </w:p>
    <w:p w14:paraId="3F755AA1">
      <w:pPr>
        <w:ind w:firstLine="0" w:firstLineChars="0"/>
      </w:pPr>
      <w:r>
        <w:rPr>
          <w:rFonts w:hint="eastAsia"/>
        </w:rPr>
        <w:t>E.3.3 不确定度的评定</w:t>
      </w:r>
    </w:p>
    <w:p w14:paraId="17B81207">
      <w:pPr>
        <w:ind w:firstLine="0" w:firstLineChars="0"/>
      </w:pPr>
      <w:r>
        <w:rPr>
          <w:rFonts w:hint="eastAsia"/>
        </w:rPr>
        <w:t>E.3.3.1  标准溶液反应3min吸光度变化值</w:t>
      </w:r>
      <w:r>
        <w:rPr>
          <w:position w:val="-12"/>
        </w:rPr>
        <w:object>
          <v:shape id="_x0000_i1090" o:spt="75" type="#_x0000_t75" style="height:18.35pt;width:22.4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0" DrawAspect="Content" ObjectID="_1468075799" r:id="rId163">
            <o:LockedField>false</o:LockedField>
          </o:OLEObject>
        </w:object>
      </w:r>
      <w:r>
        <w:t>引入的不确定度</w:t>
      </w:r>
    </w:p>
    <w:p w14:paraId="4BF3C266">
      <w:pPr>
        <w:ind w:firstLine="480"/>
      </w:pPr>
      <w:r>
        <w:rPr>
          <w:rFonts w:hint="eastAsia"/>
        </w:rPr>
        <w:t>采用有证标准物质，其定值不确定度为3%，包含因子</w:t>
      </w:r>
      <w:r>
        <w:rPr>
          <w:rFonts w:hint="eastAsia"/>
          <w:i/>
        </w:rPr>
        <w:t>k</w:t>
      </w:r>
      <w:r>
        <w:rPr>
          <w:rFonts w:hint="eastAsia"/>
        </w:rPr>
        <w:t>=2。则标准物质的引入的不确定度分量为：</w:t>
      </w:r>
    </w:p>
    <w:p w14:paraId="00C25203">
      <w:pPr>
        <w:ind w:firstLine="480"/>
        <w:jc w:val="center"/>
      </w:pPr>
      <w:r>
        <w:rPr>
          <w:position w:val="-12"/>
        </w:rPr>
        <w:object>
          <v:shape id="_x0000_i1091" o:spt="75" type="#_x0000_t75" style="height:18.35pt;width:125.6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1" DrawAspect="Content" ObjectID="_1468075800" r:id="rId164">
            <o:LockedField>false</o:LockedField>
          </o:OLEObject>
        </w:object>
      </w:r>
    </w:p>
    <w:p w14:paraId="673432F2">
      <w:pPr>
        <w:ind w:firstLine="480"/>
      </w:pPr>
      <w:r>
        <w:rPr>
          <w:rFonts w:hint="eastAsia"/>
        </w:rPr>
        <w:t>由于环境条件、人员操作和被校仪器等各种随机因素引入的不确定度，可采用A类评定。按要求配制10份标准溶液，读取溶液反应3min吸光度变化值，计算其相对标准偏差为3.2%。按照规范实际重复测量3次，故：</w:t>
      </w:r>
    </w:p>
    <w:p w14:paraId="6A019E9E">
      <w:pPr>
        <w:tabs>
          <w:tab w:val="left" w:pos="604"/>
        </w:tabs>
        <w:ind w:firstLine="480"/>
        <w:jc w:val="center"/>
      </w:pPr>
      <w:r>
        <w:rPr>
          <w:position w:val="-12"/>
        </w:rPr>
        <w:object>
          <v:shape id="_x0000_i1092" o:spt="75" type="#_x0000_t75" style="height:20.4pt;width:143.3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2" DrawAspect="Content" ObjectID="_1468075801" r:id="rId166">
            <o:LockedField>false</o:LockedField>
          </o:OLEObject>
        </w:object>
      </w:r>
    </w:p>
    <w:p w14:paraId="744FE67D">
      <w:pPr>
        <w:tabs>
          <w:tab w:val="left" w:pos="604"/>
        </w:tabs>
        <w:ind w:firstLine="480"/>
      </w:pPr>
      <w:r>
        <w:rPr>
          <w:rFonts w:hint="eastAsia"/>
        </w:rPr>
        <w:t>由于</w:t>
      </w:r>
      <w:r>
        <w:rPr>
          <w:position w:val="-12"/>
        </w:rPr>
        <w:object>
          <v:shape id="_x0000_i1093" o:spt="75" type="#_x0000_t75" style="height:18.35pt;width:48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93" DrawAspect="Content" ObjectID="_1468075802" r:id="rId168">
            <o:LockedField>false</o:LockedField>
          </o:OLEObject>
        </w:object>
      </w:r>
      <w:r>
        <w:t>和</w:t>
      </w:r>
      <w:r>
        <w:rPr>
          <w:position w:val="-12"/>
        </w:rPr>
        <w:object>
          <v:shape id="_x0000_i1094" o:spt="75" type="#_x0000_t75" style="height:18.35pt;width:48.2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094" DrawAspect="Content" ObjectID="_1468075803" r:id="rId170">
            <o:LockedField>false</o:LockedField>
          </o:OLEObject>
        </w:object>
      </w:r>
      <w:r>
        <w:t>不相关，则：</w:t>
      </w:r>
    </w:p>
    <w:p w14:paraId="5A0EDEE7">
      <w:pPr>
        <w:tabs>
          <w:tab w:val="left" w:pos="604"/>
        </w:tabs>
        <w:ind w:firstLine="480"/>
        <w:jc w:val="center"/>
      </w:pPr>
      <w:r>
        <w:rPr>
          <w:position w:val="-14"/>
        </w:rPr>
        <w:object>
          <v:shape id="_x0000_i1095" o:spt="75" type="#_x0000_t75" style="height:23.75pt;width:306.3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095" DrawAspect="Content" ObjectID="_1468075804" r:id="rId172">
            <o:LockedField>false</o:LockedField>
          </o:OLEObject>
        </w:object>
      </w:r>
    </w:p>
    <w:p w14:paraId="76E35127">
      <w:pPr>
        <w:ind w:firstLine="0" w:firstLineChars="0"/>
        <w:jc w:val="left"/>
      </w:pPr>
      <w:r>
        <w:rPr>
          <w:rFonts w:hint="eastAsia"/>
        </w:rPr>
        <w:t>E.3.3.2  对照溶液反应3min吸光度变化值</w:t>
      </w:r>
      <w:r>
        <w:rPr>
          <w:position w:val="-12"/>
        </w:rPr>
        <w:object>
          <v:shape id="_x0000_i1096" o:spt="75" type="#_x0000_t75" style="height:18.35pt;width:23.7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096" DrawAspect="Content" ObjectID="_1468075805" r:id="rId174">
            <o:LockedField>false</o:LockedField>
          </o:OLEObject>
        </w:object>
      </w:r>
      <w:r>
        <w:t>引入的不确定度</w:t>
      </w:r>
    </w:p>
    <w:p w14:paraId="69BB48B7">
      <w:pPr>
        <w:tabs>
          <w:tab w:val="left" w:pos="604"/>
        </w:tabs>
        <w:ind w:firstLine="480"/>
      </w:pPr>
      <w:r>
        <w:rPr>
          <w:rFonts w:hint="eastAsia"/>
        </w:rPr>
        <w:t>由于环境条件、人员操作和被校仪器等各种随机因素引入的不确定度，可采用A类评定。按要求配制10份标准溶液，读取溶液反应3min吸光度变化值，计算其相对标准偏差为1.8%。按照规范实际重复测量3次，故：</w:t>
      </w:r>
    </w:p>
    <w:p w14:paraId="6A8A0627">
      <w:pPr>
        <w:tabs>
          <w:tab w:val="left" w:pos="604"/>
        </w:tabs>
        <w:ind w:firstLine="480"/>
        <w:jc w:val="center"/>
      </w:pPr>
      <w:r>
        <w:rPr>
          <w:position w:val="-12"/>
        </w:rPr>
        <w:object>
          <v:shape id="_x0000_i1097" o:spt="75" type="#_x0000_t75" style="height:20.4pt;width:138.5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097" DrawAspect="Content" ObjectID="_1468075806" r:id="rId176">
            <o:LockedField>false</o:LockedField>
          </o:OLEObject>
        </w:object>
      </w:r>
    </w:p>
    <w:p w14:paraId="2C1D3718">
      <w:pPr>
        <w:ind w:firstLine="0" w:firstLineChars="0"/>
        <w:rPr>
          <w:rFonts w:ascii="宋体" w:hAnsi="宋体"/>
        </w:rPr>
      </w:pPr>
      <w:r>
        <w:rPr>
          <w:rFonts w:hint="eastAsia" w:ascii="宋体" w:hAnsi="宋体"/>
        </w:rPr>
        <w:t>E.3.4 合成标准不确定度</w:t>
      </w:r>
    </w:p>
    <w:p w14:paraId="39ED9A31">
      <w:pPr>
        <w:ind w:firstLine="480"/>
        <w:jc w:val="center"/>
      </w:pPr>
      <w:r>
        <w:rPr>
          <w:position w:val="-14"/>
        </w:rPr>
        <w:object>
          <v:shape id="_x0000_i1098" o:spt="75" type="#_x0000_t75" style="height:22.4pt;width:198.3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098" DrawAspect="Content" ObjectID="_1468075807" r:id="rId178">
            <o:LockedField>false</o:LockedField>
          </o:OLEObject>
        </w:object>
      </w:r>
    </w:p>
    <w:p w14:paraId="002EBAD8">
      <w:pPr>
        <w:ind w:firstLine="0" w:firstLineChars="0"/>
      </w:pPr>
      <w:r>
        <w:rPr>
          <w:rFonts w:hint="eastAsia"/>
        </w:rPr>
        <w:t>E.3.5 扩展不确定度</w:t>
      </w:r>
    </w:p>
    <w:p w14:paraId="39CE0368">
      <w:pPr>
        <w:ind w:firstLine="480"/>
      </w:pPr>
      <w:r>
        <w:rPr>
          <w:rFonts w:hint="eastAsia"/>
        </w:rPr>
        <w:t>取包含因子</w:t>
      </w:r>
      <w:r>
        <w:rPr>
          <w:rFonts w:hint="eastAsia"/>
          <w:i/>
        </w:rPr>
        <w:t>k</w:t>
      </w:r>
      <w:r>
        <w:rPr>
          <w:rFonts w:hint="eastAsia"/>
        </w:rPr>
        <w:t>=2，则扩展不确定度</w:t>
      </w:r>
      <w:r>
        <w:rPr>
          <w:rFonts w:hint="eastAsia"/>
          <w:i/>
        </w:rPr>
        <w:t>U</w:t>
      </w:r>
      <w:r>
        <w:rPr>
          <w:rFonts w:hint="eastAsia"/>
        </w:rPr>
        <w:t>=2×2.6%=5.2%</w:t>
      </w:r>
    </w:p>
    <w:p w14:paraId="64C87A90">
      <w:pPr>
        <w:spacing w:line="360" w:lineRule="auto"/>
        <w:ind w:firstLine="480"/>
        <w:rPr>
          <w:szCs w:val="24"/>
        </w:rPr>
      </w:pPr>
    </w:p>
    <w:p w14:paraId="2BFC6BE5">
      <w:pPr>
        <w:spacing w:line="360" w:lineRule="auto"/>
        <w:ind w:firstLine="480"/>
        <w:rPr>
          <w:szCs w:val="24"/>
        </w:rPr>
      </w:pPr>
    </w:p>
    <w:p w14:paraId="6C3B5DBC">
      <w:pPr>
        <w:spacing w:line="360" w:lineRule="auto"/>
        <w:ind w:firstLine="480"/>
        <w:rPr>
          <w:szCs w:val="24"/>
        </w:rPr>
      </w:pPr>
    </w:p>
    <w:p w14:paraId="28770B01">
      <w:pPr>
        <w:spacing w:line="360" w:lineRule="auto"/>
        <w:ind w:firstLine="480"/>
        <w:rPr>
          <w:szCs w:val="24"/>
        </w:rPr>
      </w:pPr>
    </w:p>
    <w:p w14:paraId="42EFBE91">
      <w:pPr>
        <w:spacing w:line="360" w:lineRule="auto"/>
        <w:ind w:firstLine="480"/>
        <w:rPr>
          <w:szCs w:val="24"/>
        </w:rPr>
      </w:pPr>
    </w:p>
    <w:p w14:paraId="69DB8642">
      <w:pPr>
        <w:spacing w:line="360" w:lineRule="auto"/>
        <w:ind w:firstLine="480"/>
        <w:rPr>
          <w:szCs w:val="24"/>
        </w:rPr>
      </w:pPr>
    </w:p>
    <w:p w14:paraId="4D61825A">
      <w:pPr>
        <w:spacing w:line="360" w:lineRule="auto"/>
        <w:ind w:firstLine="480"/>
        <w:rPr>
          <w:szCs w:val="24"/>
        </w:rPr>
      </w:pPr>
    </w:p>
    <w:p w14:paraId="5BB7B068">
      <w:pPr>
        <w:spacing w:line="360" w:lineRule="auto"/>
        <w:ind w:firstLine="0" w:firstLineChars="0"/>
        <w:rPr>
          <w:szCs w:val="24"/>
        </w:rPr>
      </w:pPr>
    </w:p>
    <w:p w14:paraId="7BA6CF62">
      <w:pPr>
        <w:pStyle w:val="9"/>
        <w:tabs>
          <w:tab w:val="left" w:pos="425"/>
        </w:tabs>
        <w:adjustRightInd w:val="0"/>
        <w:spacing w:before="120" w:after="120" w:line="300" w:lineRule="auto"/>
        <w:ind w:left="0" w:right="221" w:firstLine="480"/>
        <w:jc w:val="left"/>
        <w:rPr>
          <w:b/>
          <w:color w:val="000000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                     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 xml:space="preserve">                       </w:t>
      </w:r>
      <w:r>
        <w:rPr>
          <w:b/>
          <w:color w:val="000000"/>
          <w:sz w:val="24"/>
          <w:szCs w:val="24"/>
          <w:u w:val="single"/>
        </w:rPr>
        <w:t xml:space="preserve">  </w:t>
      </w:r>
    </w:p>
    <w:p w14:paraId="22C0EB19">
      <w:pPr>
        <w:spacing w:line="360" w:lineRule="auto"/>
        <w:ind w:firstLine="480"/>
        <w:rPr>
          <w:szCs w:val="24"/>
        </w:rPr>
      </w:pPr>
    </w:p>
    <w:p w14:paraId="4D5E5D2F">
      <w:pPr>
        <w:spacing w:line="360" w:lineRule="auto"/>
        <w:ind w:firstLine="480"/>
        <w:rPr>
          <w:szCs w:val="24"/>
        </w:rPr>
      </w:pPr>
    </w:p>
    <w:p w14:paraId="09BB9683">
      <w:pPr>
        <w:pStyle w:val="9"/>
        <w:tabs>
          <w:tab w:val="left" w:pos="425"/>
        </w:tabs>
        <w:spacing w:before="120" w:after="120" w:line="360" w:lineRule="auto"/>
        <w:ind w:left="0" w:right="222" w:firstLine="480"/>
        <w:rPr>
          <w:color w:val="000000"/>
          <w:sz w:val="24"/>
          <w:szCs w:val="24"/>
        </w:rPr>
      </w:pPr>
    </w:p>
    <w:p w14:paraId="7B76E8FB">
      <w:pPr>
        <w:pStyle w:val="9"/>
        <w:tabs>
          <w:tab w:val="left" w:pos="425"/>
        </w:tabs>
        <w:spacing w:before="120" w:after="120" w:line="360" w:lineRule="auto"/>
        <w:ind w:left="0" w:right="222" w:firstLine="480"/>
        <w:rPr>
          <w:color w:val="000000"/>
          <w:sz w:val="24"/>
          <w:szCs w:val="24"/>
        </w:rPr>
      </w:pPr>
    </w:p>
    <w:p w14:paraId="4C1B219B">
      <w:pPr>
        <w:pStyle w:val="9"/>
        <w:tabs>
          <w:tab w:val="left" w:pos="425"/>
        </w:tabs>
        <w:spacing w:before="120" w:after="120" w:line="360" w:lineRule="auto"/>
        <w:ind w:left="0" w:right="222" w:firstLine="480"/>
        <w:rPr>
          <w:color w:val="000000"/>
          <w:sz w:val="24"/>
          <w:szCs w:val="24"/>
        </w:rPr>
      </w:pPr>
    </w:p>
    <w:p w14:paraId="513DAD87">
      <w:pPr>
        <w:pStyle w:val="9"/>
        <w:tabs>
          <w:tab w:val="left" w:pos="425"/>
        </w:tabs>
        <w:spacing w:before="120" w:after="120" w:line="360" w:lineRule="auto"/>
        <w:ind w:left="0" w:right="222" w:firstLine="480"/>
        <w:rPr>
          <w:color w:val="000000"/>
          <w:sz w:val="24"/>
          <w:szCs w:val="24"/>
        </w:rPr>
      </w:pPr>
    </w:p>
    <w:p w14:paraId="03C63154">
      <w:pPr>
        <w:pStyle w:val="9"/>
        <w:tabs>
          <w:tab w:val="left" w:pos="425"/>
        </w:tabs>
        <w:spacing w:before="120" w:after="120" w:line="360" w:lineRule="auto"/>
        <w:ind w:left="0" w:right="222" w:firstLine="480"/>
        <w:rPr>
          <w:color w:val="000000"/>
          <w:sz w:val="24"/>
          <w:szCs w:val="24"/>
        </w:rPr>
      </w:pPr>
    </w:p>
    <w:p w14:paraId="4D290B66">
      <w:pPr>
        <w:pStyle w:val="9"/>
        <w:tabs>
          <w:tab w:val="left" w:pos="425"/>
        </w:tabs>
        <w:spacing w:before="120" w:after="120" w:line="360" w:lineRule="auto"/>
        <w:ind w:left="0" w:right="222" w:firstLine="480"/>
        <w:rPr>
          <w:color w:val="000000"/>
          <w:sz w:val="24"/>
          <w:szCs w:val="24"/>
        </w:rPr>
      </w:pPr>
    </w:p>
    <w:p w14:paraId="41E3EDBB">
      <w:pPr>
        <w:pStyle w:val="9"/>
        <w:tabs>
          <w:tab w:val="left" w:pos="425"/>
        </w:tabs>
        <w:spacing w:before="120" w:after="120" w:line="360" w:lineRule="auto"/>
        <w:ind w:left="0" w:right="222" w:firstLine="480"/>
        <w:rPr>
          <w:color w:val="000000"/>
          <w:sz w:val="24"/>
          <w:szCs w:val="24"/>
        </w:rPr>
      </w:pPr>
    </w:p>
    <w:p w14:paraId="3AD49202">
      <w:pPr>
        <w:pStyle w:val="9"/>
        <w:tabs>
          <w:tab w:val="left" w:pos="425"/>
        </w:tabs>
        <w:spacing w:before="120" w:after="120" w:line="360" w:lineRule="auto"/>
        <w:ind w:left="0" w:right="222" w:firstLine="480"/>
        <w:rPr>
          <w:color w:val="000000"/>
          <w:sz w:val="24"/>
          <w:szCs w:val="24"/>
        </w:rPr>
      </w:pPr>
    </w:p>
    <w:p w14:paraId="431AF36F">
      <w:pPr>
        <w:pStyle w:val="47"/>
        <w:ind w:firstLine="0" w:firstLineChars="0"/>
        <w:rPr>
          <w:color w:val="000000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5951220</wp:posOffset>
                </wp:positionH>
                <wp:positionV relativeFrom="paragraph">
                  <wp:posOffset>-318135</wp:posOffset>
                </wp:positionV>
                <wp:extent cx="417830" cy="2683510"/>
                <wp:effectExtent l="0" t="0" r="0" b="0"/>
                <wp:wrapNone/>
                <wp:docPr id="8" name="Text Box 1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17830" cy="2683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79EB8E7">
                            <w:pPr>
                              <w:ind w:firstLine="482"/>
                              <w:jc w:val="right"/>
                              <w:rPr>
                                <w:b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8"/>
                              </w:rPr>
                              <w:t>JJF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Cs w:val="28"/>
                              </w:rPr>
                              <w:t>XXXX</w:t>
                            </w:r>
                            <w:r>
                              <w:rPr>
                                <w:rFonts w:ascii="宋体" w:hAnsi="宋体"/>
                                <w:szCs w:val="28"/>
                              </w:rPr>
                              <w:t>—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Cs w:val="28"/>
                              </w:rPr>
                              <w:t>XXXX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7" o:spid="_x0000_s1026" o:spt="202" type="#_x0000_t202" style="position:absolute;left:0pt;margin-left:468.6pt;margin-top:-25.05pt;height:211.3pt;width:32.9pt;z-index:251663360;mso-width-relative:page;mso-height-relative:page;" filled="f" stroked="f" coordsize="21600,21600" o:gfxdata="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ICrLTbAAAADAEAAA8AAAAAAAAA&#10;AQAgAAAAIgAAAGRycy9kb3ducmV2LnhtbFBLAQIUABQAAAAIAIdO4kDCHQvtDgIAACwEAAAOAAAA&#10;AAAAAAEAIAAAACoBAABkcnMvZTJvRG9jLnhtbFBLBQYAAAAABgAGAFkBAACqBQAAAAA=&#10;">
                <v:fill on="f" focussize="0,0"/>
                <v:stroke on="f"/>
                <v:imagedata o:title=""/>
                <o:lock v:ext="edit" aspectratio="t"/>
                <v:textbox style="layout-flow:vertical;mso-layout-flow-alt:bottom-to-top;">
                  <w:txbxContent>
                    <w:p w14:paraId="479EB8E7">
                      <w:pPr>
                        <w:ind w:firstLine="482"/>
                        <w:jc w:val="right"/>
                        <w:rPr>
                          <w:b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Cs w:val="28"/>
                        </w:rPr>
                        <w:t>JJF</w:t>
                      </w:r>
                      <w:r>
                        <w:rPr>
                          <w:rFonts w:hint="eastAsia" w:ascii="宋体" w:hAnsi="宋体"/>
                          <w:b/>
                          <w:szCs w:val="28"/>
                        </w:rPr>
                        <w:t>XXXX</w:t>
                      </w:r>
                      <w:r>
                        <w:rPr>
                          <w:rFonts w:ascii="宋体" w:hAnsi="宋体"/>
                          <w:szCs w:val="28"/>
                        </w:rPr>
                        <w:t>—</w:t>
                      </w:r>
                      <w:r>
                        <w:rPr>
                          <w:rFonts w:hint="eastAsia" w:ascii="宋体" w:hAnsi="宋体"/>
                          <w:b/>
                          <w:szCs w:val="28"/>
                        </w:rPr>
                        <w:t>XXXX</w:t>
                      </w:r>
                    </w:p>
                  </w:txbxContent>
                </v:textbox>
              </v:shape>
            </w:pict>
          </mc:Fallback>
        </mc:AlternateContent>
      </w:r>
    </w:p>
    <w:p w14:paraId="269934BB">
      <w:pPr>
        <w:ind w:firstLine="480"/>
        <w:rPr>
          <w:color w:val="000000"/>
          <w:szCs w:val="24"/>
        </w:rPr>
      </w:pPr>
    </w:p>
    <w:p w14:paraId="54E476EB">
      <w:pPr>
        <w:ind w:firstLine="480"/>
        <w:rPr>
          <w:color w:val="000000"/>
          <w:szCs w:val="24"/>
        </w:rPr>
      </w:pPr>
    </w:p>
    <w:p w14:paraId="07BF388A">
      <w:pPr>
        <w:ind w:firstLine="480"/>
        <w:rPr>
          <w:color w:val="000000"/>
          <w:szCs w:val="24"/>
        </w:rPr>
      </w:pPr>
    </w:p>
    <w:p w14:paraId="676A87C6">
      <w:pPr>
        <w:ind w:firstLine="480"/>
        <w:rPr>
          <w:color w:val="000000"/>
          <w:szCs w:val="24"/>
        </w:rPr>
      </w:pPr>
    </w:p>
    <w:p w14:paraId="0A4ACFE6">
      <w:pPr>
        <w:ind w:firstLine="480"/>
        <w:rPr>
          <w:color w:val="000000"/>
          <w:szCs w:val="24"/>
        </w:rPr>
      </w:pPr>
    </w:p>
    <w:p w14:paraId="72A2F037">
      <w:pPr>
        <w:ind w:firstLine="480"/>
        <w:rPr>
          <w:color w:val="000000"/>
          <w:szCs w:val="24"/>
        </w:rPr>
      </w:pPr>
    </w:p>
    <w:p w14:paraId="4B6F90F8">
      <w:pPr>
        <w:ind w:firstLine="480"/>
        <w:rPr>
          <w:color w:val="000000"/>
          <w:szCs w:val="24"/>
        </w:rPr>
      </w:pPr>
    </w:p>
    <w:p w14:paraId="0B375D18">
      <w:pPr>
        <w:ind w:firstLine="480"/>
        <w:rPr>
          <w:color w:val="000000"/>
          <w:szCs w:val="24"/>
        </w:rPr>
      </w:pPr>
    </w:p>
    <w:p w14:paraId="4E65A6B7">
      <w:pPr>
        <w:ind w:firstLine="480"/>
        <w:rPr>
          <w:color w:val="000000"/>
          <w:szCs w:val="24"/>
        </w:rPr>
      </w:pPr>
    </w:p>
    <w:p w14:paraId="63D5C657">
      <w:pPr>
        <w:ind w:firstLine="480"/>
        <w:rPr>
          <w:color w:val="000000"/>
          <w:szCs w:val="24"/>
        </w:rPr>
      </w:pPr>
    </w:p>
    <w:p w14:paraId="1DB93D37">
      <w:pPr>
        <w:ind w:firstLine="480"/>
        <w:rPr>
          <w:color w:val="000000"/>
          <w:szCs w:val="24"/>
        </w:rPr>
      </w:pPr>
    </w:p>
    <w:p w14:paraId="264DBBEF">
      <w:pPr>
        <w:ind w:firstLine="480"/>
        <w:rPr>
          <w:color w:val="000000"/>
          <w:szCs w:val="24"/>
        </w:rPr>
      </w:pPr>
    </w:p>
    <w:p w14:paraId="46BFA993">
      <w:pPr>
        <w:ind w:firstLine="480"/>
        <w:rPr>
          <w:color w:val="000000"/>
          <w:szCs w:val="24"/>
        </w:rPr>
      </w:pPr>
    </w:p>
    <w:p w14:paraId="70BC7389">
      <w:pPr>
        <w:ind w:firstLine="480"/>
        <w:rPr>
          <w:color w:val="000000"/>
          <w:szCs w:val="24"/>
        </w:rPr>
      </w:pPr>
    </w:p>
    <w:p w14:paraId="10D3FB53">
      <w:pPr>
        <w:ind w:firstLine="480"/>
        <w:rPr>
          <w:color w:val="000000"/>
          <w:szCs w:val="24"/>
        </w:rPr>
      </w:pPr>
    </w:p>
    <w:p w14:paraId="5CAB1D72">
      <w:pPr>
        <w:ind w:firstLine="480"/>
        <w:rPr>
          <w:color w:val="000000"/>
          <w:szCs w:val="24"/>
        </w:rPr>
      </w:pPr>
    </w:p>
    <w:p w14:paraId="3A7C3D7A">
      <w:pPr>
        <w:ind w:firstLine="480"/>
        <w:rPr>
          <w:color w:val="000000"/>
          <w:szCs w:val="24"/>
        </w:rPr>
      </w:pPr>
    </w:p>
    <w:p w14:paraId="4665A01F">
      <w:pPr>
        <w:ind w:firstLine="480"/>
        <w:rPr>
          <w:color w:val="000000"/>
          <w:szCs w:val="24"/>
        </w:rPr>
      </w:pPr>
    </w:p>
    <w:p w14:paraId="1FB5EB4E">
      <w:pPr>
        <w:ind w:firstLine="480"/>
        <w:rPr>
          <w:color w:val="000000"/>
          <w:szCs w:val="24"/>
        </w:rPr>
      </w:pPr>
    </w:p>
    <w:p w14:paraId="6926A7E6">
      <w:pPr>
        <w:ind w:firstLine="480"/>
        <w:rPr>
          <w:color w:val="000000"/>
          <w:szCs w:val="24"/>
        </w:rPr>
      </w:pPr>
    </w:p>
    <w:p w14:paraId="4EA5539A">
      <w:pPr>
        <w:ind w:firstLine="480"/>
        <w:rPr>
          <w:color w:val="000000"/>
          <w:szCs w:val="24"/>
        </w:rPr>
      </w:pPr>
    </w:p>
    <w:p w14:paraId="0F67F6E7">
      <w:pPr>
        <w:ind w:firstLine="480"/>
        <w:rPr>
          <w:color w:val="000000"/>
          <w:szCs w:val="24"/>
        </w:rPr>
      </w:pPr>
    </w:p>
    <w:p w14:paraId="33443115">
      <w:pPr>
        <w:ind w:firstLine="480"/>
        <w:rPr>
          <w:color w:val="000000"/>
          <w:szCs w:val="24"/>
        </w:rPr>
      </w:pPr>
    </w:p>
    <w:p w14:paraId="474136B2">
      <w:pPr>
        <w:ind w:firstLine="480"/>
        <w:rPr>
          <w:color w:val="000000"/>
          <w:szCs w:val="24"/>
        </w:rPr>
      </w:pPr>
    </w:p>
    <w:p w14:paraId="4D4DDC16">
      <w:pPr>
        <w:ind w:firstLine="480"/>
        <w:rPr>
          <w:color w:val="000000"/>
          <w:szCs w:val="24"/>
        </w:rPr>
      </w:pPr>
    </w:p>
    <w:p w14:paraId="5FDF17E7">
      <w:pPr>
        <w:ind w:firstLine="480"/>
        <w:rPr>
          <w:color w:val="000000"/>
          <w:szCs w:val="24"/>
        </w:rPr>
      </w:pPr>
    </w:p>
    <w:p w14:paraId="1DC98025">
      <w:pPr>
        <w:ind w:firstLine="480"/>
        <w:rPr>
          <w:color w:val="000000"/>
          <w:szCs w:val="24"/>
        </w:rPr>
      </w:pPr>
    </w:p>
    <w:p w14:paraId="2BE0403D">
      <w:pPr>
        <w:spacing w:line="324" w:lineRule="auto"/>
        <w:ind w:firstLine="600"/>
        <w:jc w:val="center"/>
        <w:rPr>
          <w:color w:val="000000"/>
          <w:spacing w:val="30"/>
          <w:szCs w:val="24"/>
        </w:rPr>
      </w:pPr>
      <w:r>
        <w:rPr>
          <w:rFonts w:hint="eastAsia"/>
          <w:color w:val="000000"/>
          <w:spacing w:val="30"/>
          <w:szCs w:val="24"/>
        </w:rPr>
        <w:t>贵州省</w:t>
      </w:r>
    </w:p>
    <w:p w14:paraId="615469FA">
      <w:pPr>
        <w:spacing w:line="324" w:lineRule="auto"/>
        <w:ind w:firstLine="600"/>
        <w:jc w:val="center"/>
        <w:rPr>
          <w:color w:val="000000"/>
          <w:spacing w:val="30"/>
          <w:szCs w:val="24"/>
        </w:rPr>
      </w:pPr>
      <w:r>
        <w:rPr>
          <w:rFonts w:hint="eastAsia"/>
          <w:color w:val="000000"/>
          <w:spacing w:val="30"/>
          <w:szCs w:val="24"/>
        </w:rPr>
        <w:t>地方计量技术规范</w:t>
      </w:r>
    </w:p>
    <w:p w14:paraId="3206F409">
      <w:pPr>
        <w:spacing w:line="324" w:lineRule="auto"/>
        <w:ind w:firstLine="680"/>
        <w:jc w:val="center"/>
        <w:rPr>
          <w:rFonts w:eastAsia="黑体"/>
          <w:color w:val="000000"/>
          <w:spacing w:val="50"/>
          <w:szCs w:val="24"/>
        </w:rPr>
      </w:pPr>
      <w:r>
        <w:rPr>
          <w:rFonts w:hint="eastAsia" w:eastAsia="黑体"/>
          <w:color w:val="000000"/>
          <w:spacing w:val="50"/>
          <w:szCs w:val="24"/>
        </w:rPr>
        <w:t>XXXXXXXX</w:t>
      </w:r>
      <w:r>
        <w:rPr>
          <w:rFonts w:eastAsia="黑体"/>
          <w:color w:val="000000"/>
          <w:spacing w:val="50"/>
          <w:szCs w:val="24"/>
        </w:rPr>
        <w:t>校准规范</w:t>
      </w:r>
    </w:p>
    <w:p w14:paraId="12944BFC">
      <w:pPr>
        <w:spacing w:line="324" w:lineRule="auto"/>
        <w:ind w:firstLine="482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JJF</w:t>
      </w:r>
      <w:r>
        <w:rPr>
          <w:rFonts w:eastAsia="黑体"/>
          <w:color w:val="000000"/>
          <w:szCs w:val="24"/>
        </w:rPr>
        <w:t>XXXX</w:t>
      </w:r>
      <w:r>
        <w:rPr>
          <w:color w:val="000000"/>
          <w:szCs w:val="24"/>
        </w:rPr>
        <w:t>—</w:t>
      </w:r>
      <w:r>
        <w:rPr>
          <w:rFonts w:eastAsia="黑体"/>
          <w:color w:val="000000"/>
          <w:szCs w:val="24"/>
        </w:rPr>
        <w:t>XXXX</w:t>
      </w:r>
    </w:p>
    <w:p w14:paraId="40F319E5">
      <w:pPr>
        <w:spacing w:line="324" w:lineRule="auto"/>
        <w:ind w:firstLine="560"/>
        <w:jc w:val="center"/>
        <w:rPr>
          <w:color w:val="000000"/>
          <w:szCs w:val="24"/>
        </w:rPr>
      </w:pPr>
      <w:r>
        <w:rPr>
          <w:rFonts w:hint="eastAsia"/>
          <w:color w:val="000000"/>
          <w:spacing w:val="20"/>
          <w:szCs w:val="24"/>
        </w:rPr>
        <w:t>贵州省市场监督管理局</w:t>
      </w:r>
      <w:r>
        <w:rPr>
          <w:color w:val="000000"/>
          <w:spacing w:val="20"/>
          <w:szCs w:val="24"/>
        </w:rPr>
        <w:t>发布</w:t>
      </w:r>
    </w:p>
    <w:sectPr>
      <w:pgSz w:w="11906" w:h="16838"/>
      <w:pgMar w:top="1264" w:right="1418" w:bottom="1418" w:left="1418" w:header="851" w:footer="992" w:gutter="0"/>
      <w:pgNumType w:start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33FEE7-EAD3-4958-A030-9472C10BC4D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C966342-480D-4C32-B380-64E4493A2FAD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6EB9432B-ED50-4B6C-A5A9-E456C5AFEDBF}"/>
  </w:font>
  <w:font w:name="方正大黑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4" w:fontKey="{5D976C27-EF75-4DB7-AC12-F189E31F9538}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5" w:fontKey="{7E410C34-C733-48A5-A955-55F3C4FF51D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3E426">
    <w:pPr>
      <w:pStyle w:val="14"/>
      <w:ind w:firstLine="1040"/>
      <w:jc w:val="center"/>
      <w:rPr>
        <w:spacing w:val="40"/>
        <w:sz w:val="4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EE20E8">
    <w:pPr>
      <w:pStyle w:val="1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7BB2D1">
    <w:pPr>
      <w:pStyle w:val="14"/>
      <w:ind w:firstLine="8640" w:firstLineChars="4800"/>
    </w:pPr>
    <w:r>
      <w:rPr>
        <w:rFonts w:hint="eastAsia"/>
      </w:rPr>
      <w:tab/>
    </w:r>
    <w:r>
      <w:rPr>
        <w:rFonts w:hint="eastAsia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7A32F">
    <w:pPr>
      <w:pStyle w:val="14"/>
      <w:ind w:firstLine="360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862C93">
    <w:pPr>
      <w:pStyle w:val="14"/>
      <w:ind w:firstLine="36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9</w:t>
    </w:r>
    <w:r>
      <w:rPr>
        <w:lang w:val="zh-CN"/>
      </w:rPr>
      <w:fldChar w:fldCharType="end"/>
    </w:r>
  </w:p>
  <w:p w14:paraId="764D7470">
    <w:pPr>
      <w:pStyle w:val="14"/>
      <w:ind w:firstLine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155AB">
    <w:pPr>
      <w:pStyle w:val="15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FD9E80">
    <w:pPr>
      <w:pStyle w:val="1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0E2D34">
    <w:pPr>
      <w:pStyle w:val="15"/>
      <w:ind w:firstLine="482"/>
      <w:rPr>
        <w:b/>
        <w:bCs/>
        <w:sz w:val="24"/>
      </w:rPr>
    </w:pPr>
  </w:p>
  <w:p w14:paraId="5B8030FC">
    <w:pPr>
      <w:pStyle w:val="15"/>
      <w:ind w:firstLine="422"/>
      <w:rPr>
        <w:sz w:val="24"/>
      </w:rPr>
    </w:pPr>
    <w:r>
      <w:rPr>
        <w:rFonts w:hint="eastAsia" w:ascii="黑体" w:hAnsi="黑体" w:eastAsia="黑体"/>
        <w:b/>
        <w:bCs/>
        <w:sz w:val="21"/>
        <w:szCs w:val="21"/>
      </w:rPr>
      <w:t>JJF XXX-XXXX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6AB37">
    <w:pPr>
      <w:pStyle w:val="15"/>
      <w:ind w:firstLine="360"/>
      <w:rPr>
        <w:lang w:eastAsia="zh-CN"/>
      </w:rPr>
    </w:pPr>
    <w:r>
      <w:rPr>
        <w:rFonts w:hint="eastAsia"/>
        <w:lang w:eastAsia="zh-CN"/>
      </w:rPr>
      <w:t>JJF XXXX</w:t>
    </w:r>
    <w:r>
      <w:t>-</w:t>
    </w:r>
    <w:r>
      <w:rPr>
        <w:rFonts w:hint="eastAsia"/>
        <w:lang w:eastAsia="zh-CN"/>
      </w:rPr>
      <w:t>XXXX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6EFA2">
    <w:pPr>
      <w:pStyle w:val="15"/>
      <w:ind w:firstLine="420"/>
      <w:rPr>
        <w:rFonts w:ascii="黑体" w:hAnsi="黑体" w:eastAsia="黑体"/>
        <w:sz w:val="21"/>
        <w:szCs w:val="21"/>
        <w:lang w:eastAsia="zh-CN"/>
      </w:rPr>
    </w:pPr>
    <w:r>
      <w:rPr>
        <w:rFonts w:hint="eastAsia" w:ascii="黑体" w:hAnsi="黑体" w:eastAsia="黑体"/>
        <w:sz w:val="21"/>
        <w:szCs w:val="21"/>
        <w:lang w:eastAsia="zh-CN"/>
      </w:rPr>
      <w:t>JJF XXXX</w:t>
    </w:r>
    <w:r>
      <w:rPr>
        <w:rFonts w:ascii="黑体" w:hAnsi="黑体" w:eastAsia="黑体"/>
        <w:sz w:val="21"/>
        <w:szCs w:val="21"/>
      </w:rPr>
      <w:t>-</w:t>
    </w:r>
    <w:r>
      <w:rPr>
        <w:rFonts w:hint="eastAsia" w:ascii="黑体" w:hAnsi="黑体" w:eastAsia="黑体"/>
        <w:sz w:val="21"/>
        <w:szCs w:val="21"/>
        <w:lang w:eastAsia="zh-CN"/>
      </w:rPr>
      <w:t>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FA410E"/>
    <w:multiLevelType w:val="multilevel"/>
    <w:tmpl w:val="3AFA410E"/>
    <w:lvl w:ilvl="0" w:tentative="0">
      <w:start w:val="1"/>
      <w:numFmt w:val="decimal"/>
      <w:pStyle w:val="51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numFmt w:val="decimalFullWidth"/>
    <w:numRestart w:val="eachPage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5D8"/>
    <w:rsid w:val="0000049F"/>
    <w:rsid w:val="00003A28"/>
    <w:rsid w:val="00004D99"/>
    <w:rsid w:val="00004DB0"/>
    <w:rsid w:val="00007E8D"/>
    <w:rsid w:val="0001516D"/>
    <w:rsid w:val="0001519C"/>
    <w:rsid w:val="000153C6"/>
    <w:rsid w:val="00024155"/>
    <w:rsid w:val="000304C7"/>
    <w:rsid w:val="00031DD5"/>
    <w:rsid w:val="000325F8"/>
    <w:rsid w:val="000414CE"/>
    <w:rsid w:val="00050D2E"/>
    <w:rsid w:val="00055B6A"/>
    <w:rsid w:val="0006290B"/>
    <w:rsid w:val="00065859"/>
    <w:rsid w:val="000714DB"/>
    <w:rsid w:val="000718BE"/>
    <w:rsid w:val="0007397F"/>
    <w:rsid w:val="000739A2"/>
    <w:rsid w:val="00077085"/>
    <w:rsid w:val="00077782"/>
    <w:rsid w:val="00081EE8"/>
    <w:rsid w:val="000820E2"/>
    <w:rsid w:val="00086FCF"/>
    <w:rsid w:val="0009004A"/>
    <w:rsid w:val="00090800"/>
    <w:rsid w:val="0009410B"/>
    <w:rsid w:val="000A10F1"/>
    <w:rsid w:val="000A4688"/>
    <w:rsid w:val="000A4A21"/>
    <w:rsid w:val="000A6D98"/>
    <w:rsid w:val="000B265F"/>
    <w:rsid w:val="000B787D"/>
    <w:rsid w:val="000C097B"/>
    <w:rsid w:val="000C0B2B"/>
    <w:rsid w:val="000C134C"/>
    <w:rsid w:val="000C1867"/>
    <w:rsid w:val="000C3E71"/>
    <w:rsid w:val="000C51D9"/>
    <w:rsid w:val="000C6402"/>
    <w:rsid w:val="000D0BDB"/>
    <w:rsid w:val="000E2D88"/>
    <w:rsid w:val="000E6736"/>
    <w:rsid w:val="000E6BFC"/>
    <w:rsid w:val="000E7181"/>
    <w:rsid w:val="000F0B8A"/>
    <w:rsid w:val="000F29A1"/>
    <w:rsid w:val="000F3284"/>
    <w:rsid w:val="00103585"/>
    <w:rsid w:val="0011182A"/>
    <w:rsid w:val="001139A7"/>
    <w:rsid w:val="0011488E"/>
    <w:rsid w:val="0011758F"/>
    <w:rsid w:val="001322D1"/>
    <w:rsid w:val="00140F98"/>
    <w:rsid w:val="00143E86"/>
    <w:rsid w:val="00146D0A"/>
    <w:rsid w:val="00152C19"/>
    <w:rsid w:val="00154D3E"/>
    <w:rsid w:val="001622C5"/>
    <w:rsid w:val="0016303A"/>
    <w:rsid w:val="00167EF5"/>
    <w:rsid w:val="001752F5"/>
    <w:rsid w:val="00175717"/>
    <w:rsid w:val="0017637E"/>
    <w:rsid w:val="00176FC7"/>
    <w:rsid w:val="001826FD"/>
    <w:rsid w:val="00190592"/>
    <w:rsid w:val="001951EE"/>
    <w:rsid w:val="001A05C9"/>
    <w:rsid w:val="001A3B0B"/>
    <w:rsid w:val="001A785F"/>
    <w:rsid w:val="001B3873"/>
    <w:rsid w:val="001B6335"/>
    <w:rsid w:val="001C1961"/>
    <w:rsid w:val="001C6169"/>
    <w:rsid w:val="001C68C2"/>
    <w:rsid w:val="001D02A6"/>
    <w:rsid w:val="001D23AE"/>
    <w:rsid w:val="001D4A06"/>
    <w:rsid w:val="001E0EC9"/>
    <w:rsid w:val="001E13DB"/>
    <w:rsid w:val="001F1A58"/>
    <w:rsid w:val="001F630D"/>
    <w:rsid w:val="001F789A"/>
    <w:rsid w:val="0020123B"/>
    <w:rsid w:val="00201512"/>
    <w:rsid w:val="00207DDC"/>
    <w:rsid w:val="002104BA"/>
    <w:rsid w:val="0021162B"/>
    <w:rsid w:val="002141E8"/>
    <w:rsid w:val="0022466F"/>
    <w:rsid w:val="00226FE3"/>
    <w:rsid w:val="00231EF8"/>
    <w:rsid w:val="00232998"/>
    <w:rsid w:val="002350DF"/>
    <w:rsid w:val="002365F0"/>
    <w:rsid w:val="0024018E"/>
    <w:rsid w:val="0024054E"/>
    <w:rsid w:val="002410C1"/>
    <w:rsid w:val="00242A08"/>
    <w:rsid w:val="00243D48"/>
    <w:rsid w:val="00251519"/>
    <w:rsid w:val="002561B7"/>
    <w:rsid w:val="00257510"/>
    <w:rsid w:val="0026460D"/>
    <w:rsid w:val="00267243"/>
    <w:rsid w:val="00271708"/>
    <w:rsid w:val="00271E0F"/>
    <w:rsid w:val="0027383D"/>
    <w:rsid w:val="00277B5B"/>
    <w:rsid w:val="002807CD"/>
    <w:rsid w:val="00281439"/>
    <w:rsid w:val="00283EDA"/>
    <w:rsid w:val="00290767"/>
    <w:rsid w:val="0029191C"/>
    <w:rsid w:val="00292A41"/>
    <w:rsid w:val="00293554"/>
    <w:rsid w:val="002948C2"/>
    <w:rsid w:val="00294A20"/>
    <w:rsid w:val="0029639D"/>
    <w:rsid w:val="002A1B6F"/>
    <w:rsid w:val="002A7B84"/>
    <w:rsid w:val="002B535E"/>
    <w:rsid w:val="002B5C81"/>
    <w:rsid w:val="002C2C21"/>
    <w:rsid w:val="002C323C"/>
    <w:rsid w:val="002C33B0"/>
    <w:rsid w:val="002C421F"/>
    <w:rsid w:val="002D3071"/>
    <w:rsid w:val="002D3210"/>
    <w:rsid w:val="002D40F6"/>
    <w:rsid w:val="002E0695"/>
    <w:rsid w:val="002E5AC9"/>
    <w:rsid w:val="002F646D"/>
    <w:rsid w:val="00301B76"/>
    <w:rsid w:val="00301E17"/>
    <w:rsid w:val="00301EF1"/>
    <w:rsid w:val="00302F9A"/>
    <w:rsid w:val="00305D1C"/>
    <w:rsid w:val="00311835"/>
    <w:rsid w:val="00315B55"/>
    <w:rsid w:val="00316894"/>
    <w:rsid w:val="00316B96"/>
    <w:rsid w:val="0032313F"/>
    <w:rsid w:val="00330CC8"/>
    <w:rsid w:val="00335CFB"/>
    <w:rsid w:val="00352780"/>
    <w:rsid w:val="00364C66"/>
    <w:rsid w:val="00370495"/>
    <w:rsid w:val="003729EA"/>
    <w:rsid w:val="00372A71"/>
    <w:rsid w:val="0037542D"/>
    <w:rsid w:val="00376E6C"/>
    <w:rsid w:val="003826AD"/>
    <w:rsid w:val="00382BAE"/>
    <w:rsid w:val="00384394"/>
    <w:rsid w:val="00384626"/>
    <w:rsid w:val="003928A0"/>
    <w:rsid w:val="0039543F"/>
    <w:rsid w:val="00395870"/>
    <w:rsid w:val="003A0A43"/>
    <w:rsid w:val="003B01F3"/>
    <w:rsid w:val="003B4F80"/>
    <w:rsid w:val="003B712C"/>
    <w:rsid w:val="003C1B1C"/>
    <w:rsid w:val="003D7C43"/>
    <w:rsid w:val="003E1E72"/>
    <w:rsid w:val="003E20DE"/>
    <w:rsid w:val="003E4542"/>
    <w:rsid w:val="003E705F"/>
    <w:rsid w:val="003F10DE"/>
    <w:rsid w:val="003F236F"/>
    <w:rsid w:val="00403CED"/>
    <w:rsid w:val="00406008"/>
    <w:rsid w:val="00417690"/>
    <w:rsid w:val="0042738C"/>
    <w:rsid w:val="004325C1"/>
    <w:rsid w:val="004347D9"/>
    <w:rsid w:val="00436022"/>
    <w:rsid w:val="00437344"/>
    <w:rsid w:val="0044401A"/>
    <w:rsid w:val="00444688"/>
    <w:rsid w:val="0044537D"/>
    <w:rsid w:val="00447713"/>
    <w:rsid w:val="004516C1"/>
    <w:rsid w:val="004532C1"/>
    <w:rsid w:val="00454844"/>
    <w:rsid w:val="0045573A"/>
    <w:rsid w:val="00457A47"/>
    <w:rsid w:val="00460196"/>
    <w:rsid w:val="004611D4"/>
    <w:rsid w:val="00465DD9"/>
    <w:rsid w:val="00467637"/>
    <w:rsid w:val="00471E9E"/>
    <w:rsid w:val="00472791"/>
    <w:rsid w:val="004756E2"/>
    <w:rsid w:val="004757A6"/>
    <w:rsid w:val="00482D3E"/>
    <w:rsid w:val="00485AC3"/>
    <w:rsid w:val="004922D1"/>
    <w:rsid w:val="00493F4F"/>
    <w:rsid w:val="00495913"/>
    <w:rsid w:val="00495DC6"/>
    <w:rsid w:val="004A1E5C"/>
    <w:rsid w:val="004A274B"/>
    <w:rsid w:val="004A355C"/>
    <w:rsid w:val="004A4E6E"/>
    <w:rsid w:val="004A7103"/>
    <w:rsid w:val="004B1E39"/>
    <w:rsid w:val="004B40F6"/>
    <w:rsid w:val="004B438C"/>
    <w:rsid w:val="004B675D"/>
    <w:rsid w:val="004C0926"/>
    <w:rsid w:val="004C5417"/>
    <w:rsid w:val="004C7CD4"/>
    <w:rsid w:val="004D5479"/>
    <w:rsid w:val="004D649A"/>
    <w:rsid w:val="004D77C6"/>
    <w:rsid w:val="004D7FA1"/>
    <w:rsid w:val="004E039D"/>
    <w:rsid w:val="004E0E28"/>
    <w:rsid w:val="004E2DE3"/>
    <w:rsid w:val="004E4331"/>
    <w:rsid w:val="004E76A2"/>
    <w:rsid w:val="004F09FF"/>
    <w:rsid w:val="004F0E08"/>
    <w:rsid w:val="00502FAF"/>
    <w:rsid w:val="00503DF8"/>
    <w:rsid w:val="00504190"/>
    <w:rsid w:val="00505F22"/>
    <w:rsid w:val="00511EDA"/>
    <w:rsid w:val="00511EE7"/>
    <w:rsid w:val="00514C1F"/>
    <w:rsid w:val="0053061A"/>
    <w:rsid w:val="005341DF"/>
    <w:rsid w:val="00535508"/>
    <w:rsid w:val="00541BA0"/>
    <w:rsid w:val="00550E29"/>
    <w:rsid w:val="00551E3A"/>
    <w:rsid w:val="00552D1A"/>
    <w:rsid w:val="00560330"/>
    <w:rsid w:val="00562C73"/>
    <w:rsid w:val="0056453C"/>
    <w:rsid w:val="00567FA5"/>
    <w:rsid w:val="005744CE"/>
    <w:rsid w:val="0057640B"/>
    <w:rsid w:val="00580CDD"/>
    <w:rsid w:val="00581B39"/>
    <w:rsid w:val="00581BD8"/>
    <w:rsid w:val="00582CED"/>
    <w:rsid w:val="0058405F"/>
    <w:rsid w:val="005876E5"/>
    <w:rsid w:val="005877F5"/>
    <w:rsid w:val="00592CF3"/>
    <w:rsid w:val="005A0E36"/>
    <w:rsid w:val="005A23AA"/>
    <w:rsid w:val="005A45A3"/>
    <w:rsid w:val="005A6105"/>
    <w:rsid w:val="005A61B6"/>
    <w:rsid w:val="005B3CBA"/>
    <w:rsid w:val="005B6D29"/>
    <w:rsid w:val="005B7924"/>
    <w:rsid w:val="005C20E4"/>
    <w:rsid w:val="005C6741"/>
    <w:rsid w:val="005C7B78"/>
    <w:rsid w:val="005D3C0A"/>
    <w:rsid w:val="005D506E"/>
    <w:rsid w:val="005D645F"/>
    <w:rsid w:val="005F22A1"/>
    <w:rsid w:val="005F2E3A"/>
    <w:rsid w:val="005F6350"/>
    <w:rsid w:val="005F79EA"/>
    <w:rsid w:val="00602342"/>
    <w:rsid w:val="00602EC9"/>
    <w:rsid w:val="00603397"/>
    <w:rsid w:val="00603E7C"/>
    <w:rsid w:val="00605129"/>
    <w:rsid w:val="00612581"/>
    <w:rsid w:val="0061586A"/>
    <w:rsid w:val="00621743"/>
    <w:rsid w:val="00624576"/>
    <w:rsid w:val="006248C4"/>
    <w:rsid w:val="00624E65"/>
    <w:rsid w:val="00625E44"/>
    <w:rsid w:val="0062662A"/>
    <w:rsid w:val="006268D0"/>
    <w:rsid w:val="00631889"/>
    <w:rsid w:val="00633BCD"/>
    <w:rsid w:val="00635C3E"/>
    <w:rsid w:val="00635D6B"/>
    <w:rsid w:val="0064388D"/>
    <w:rsid w:val="00654111"/>
    <w:rsid w:val="00654726"/>
    <w:rsid w:val="00673604"/>
    <w:rsid w:val="006754AB"/>
    <w:rsid w:val="006771FD"/>
    <w:rsid w:val="00680829"/>
    <w:rsid w:val="00681B7E"/>
    <w:rsid w:val="006830E0"/>
    <w:rsid w:val="00683EAF"/>
    <w:rsid w:val="00686C86"/>
    <w:rsid w:val="00687305"/>
    <w:rsid w:val="006877FD"/>
    <w:rsid w:val="006879C3"/>
    <w:rsid w:val="00694334"/>
    <w:rsid w:val="00695E87"/>
    <w:rsid w:val="006A1ADF"/>
    <w:rsid w:val="006A641B"/>
    <w:rsid w:val="006A6C84"/>
    <w:rsid w:val="006B116D"/>
    <w:rsid w:val="006B14A7"/>
    <w:rsid w:val="006B1DCF"/>
    <w:rsid w:val="006C29E1"/>
    <w:rsid w:val="006C3EDF"/>
    <w:rsid w:val="006C439E"/>
    <w:rsid w:val="006C5EE5"/>
    <w:rsid w:val="006D4D3F"/>
    <w:rsid w:val="006E36B0"/>
    <w:rsid w:val="006F0020"/>
    <w:rsid w:val="006F0EAD"/>
    <w:rsid w:val="006F12B3"/>
    <w:rsid w:val="006F33AA"/>
    <w:rsid w:val="00702A7E"/>
    <w:rsid w:val="00705CE7"/>
    <w:rsid w:val="00706A5B"/>
    <w:rsid w:val="00707888"/>
    <w:rsid w:val="00710AAF"/>
    <w:rsid w:val="00713B52"/>
    <w:rsid w:val="00714326"/>
    <w:rsid w:val="007227B5"/>
    <w:rsid w:val="007227DF"/>
    <w:rsid w:val="0072409F"/>
    <w:rsid w:val="0072471D"/>
    <w:rsid w:val="00725564"/>
    <w:rsid w:val="0072710B"/>
    <w:rsid w:val="007275DA"/>
    <w:rsid w:val="007319F7"/>
    <w:rsid w:val="0073363E"/>
    <w:rsid w:val="007338FB"/>
    <w:rsid w:val="00735673"/>
    <w:rsid w:val="00742931"/>
    <w:rsid w:val="007429D9"/>
    <w:rsid w:val="00742E64"/>
    <w:rsid w:val="00743CE8"/>
    <w:rsid w:val="007526C4"/>
    <w:rsid w:val="00752C79"/>
    <w:rsid w:val="00753C36"/>
    <w:rsid w:val="007550A8"/>
    <w:rsid w:val="00756218"/>
    <w:rsid w:val="0076739A"/>
    <w:rsid w:val="0077628A"/>
    <w:rsid w:val="00777F74"/>
    <w:rsid w:val="00781751"/>
    <w:rsid w:val="0078193A"/>
    <w:rsid w:val="0078201C"/>
    <w:rsid w:val="00784A34"/>
    <w:rsid w:val="0078541B"/>
    <w:rsid w:val="007871C3"/>
    <w:rsid w:val="00787EAD"/>
    <w:rsid w:val="00790EF3"/>
    <w:rsid w:val="00794F72"/>
    <w:rsid w:val="007967AC"/>
    <w:rsid w:val="007A34F3"/>
    <w:rsid w:val="007A48B7"/>
    <w:rsid w:val="007A554F"/>
    <w:rsid w:val="007B2960"/>
    <w:rsid w:val="007B2DB2"/>
    <w:rsid w:val="007B3363"/>
    <w:rsid w:val="007B63C2"/>
    <w:rsid w:val="007D507D"/>
    <w:rsid w:val="007E11DF"/>
    <w:rsid w:val="007E314D"/>
    <w:rsid w:val="007E4031"/>
    <w:rsid w:val="007F2130"/>
    <w:rsid w:val="007F65EF"/>
    <w:rsid w:val="007F7077"/>
    <w:rsid w:val="00803849"/>
    <w:rsid w:val="00803A99"/>
    <w:rsid w:val="00806556"/>
    <w:rsid w:val="008069AB"/>
    <w:rsid w:val="0080765A"/>
    <w:rsid w:val="008104E3"/>
    <w:rsid w:val="0081149A"/>
    <w:rsid w:val="00817591"/>
    <w:rsid w:val="008233AB"/>
    <w:rsid w:val="008239ED"/>
    <w:rsid w:val="00826D19"/>
    <w:rsid w:val="008315CD"/>
    <w:rsid w:val="008405E9"/>
    <w:rsid w:val="00843DA2"/>
    <w:rsid w:val="00847094"/>
    <w:rsid w:val="00851847"/>
    <w:rsid w:val="008528E6"/>
    <w:rsid w:val="00852A44"/>
    <w:rsid w:val="008636C3"/>
    <w:rsid w:val="008660BF"/>
    <w:rsid w:val="00866737"/>
    <w:rsid w:val="00875FF3"/>
    <w:rsid w:val="00885FC6"/>
    <w:rsid w:val="0088693C"/>
    <w:rsid w:val="00887C0D"/>
    <w:rsid w:val="00893932"/>
    <w:rsid w:val="008944D0"/>
    <w:rsid w:val="0089506C"/>
    <w:rsid w:val="00896255"/>
    <w:rsid w:val="008A1217"/>
    <w:rsid w:val="008A3E56"/>
    <w:rsid w:val="008A4A6C"/>
    <w:rsid w:val="008A7343"/>
    <w:rsid w:val="008B0368"/>
    <w:rsid w:val="008B0C1A"/>
    <w:rsid w:val="008C16DC"/>
    <w:rsid w:val="008C313F"/>
    <w:rsid w:val="008C36EB"/>
    <w:rsid w:val="008C5D32"/>
    <w:rsid w:val="008D0DED"/>
    <w:rsid w:val="008D1E05"/>
    <w:rsid w:val="008D4039"/>
    <w:rsid w:val="008D5627"/>
    <w:rsid w:val="008E3A75"/>
    <w:rsid w:val="008E7BBC"/>
    <w:rsid w:val="008F07E2"/>
    <w:rsid w:val="00901349"/>
    <w:rsid w:val="009038E3"/>
    <w:rsid w:val="00903C86"/>
    <w:rsid w:val="00907CAE"/>
    <w:rsid w:val="00912106"/>
    <w:rsid w:val="00913914"/>
    <w:rsid w:val="00914728"/>
    <w:rsid w:val="00914FB7"/>
    <w:rsid w:val="00917C1D"/>
    <w:rsid w:val="0092760F"/>
    <w:rsid w:val="00931BFC"/>
    <w:rsid w:val="00940570"/>
    <w:rsid w:val="00940716"/>
    <w:rsid w:val="009423B4"/>
    <w:rsid w:val="00943A0B"/>
    <w:rsid w:val="00944B78"/>
    <w:rsid w:val="009461FD"/>
    <w:rsid w:val="00947FF7"/>
    <w:rsid w:val="00954C3F"/>
    <w:rsid w:val="009551D2"/>
    <w:rsid w:val="0096795B"/>
    <w:rsid w:val="00971479"/>
    <w:rsid w:val="0097224D"/>
    <w:rsid w:val="00973731"/>
    <w:rsid w:val="009749E1"/>
    <w:rsid w:val="00977FF5"/>
    <w:rsid w:val="0098035F"/>
    <w:rsid w:val="009814F2"/>
    <w:rsid w:val="009815B1"/>
    <w:rsid w:val="00983B47"/>
    <w:rsid w:val="00984065"/>
    <w:rsid w:val="0098672B"/>
    <w:rsid w:val="009907A4"/>
    <w:rsid w:val="0099106B"/>
    <w:rsid w:val="009917BD"/>
    <w:rsid w:val="00993393"/>
    <w:rsid w:val="00994048"/>
    <w:rsid w:val="00995BEB"/>
    <w:rsid w:val="009A45A2"/>
    <w:rsid w:val="009B3E06"/>
    <w:rsid w:val="009B56C5"/>
    <w:rsid w:val="009B65EF"/>
    <w:rsid w:val="009B6C59"/>
    <w:rsid w:val="009C17F2"/>
    <w:rsid w:val="009C5241"/>
    <w:rsid w:val="009C7D47"/>
    <w:rsid w:val="009D0F46"/>
    <w:rsid w:val="009D170F"/>
    <w:rsid w:val="009D2444"/>
    <w:rsid w:val="009D76CB"/>
    <w:rsid w:val="009D7C89"/>
    <w:rsid w:val="009D7E61"/>
    <w:rsid w:val="009E084C"/>
    <w:rsid w:val="009E090F"/>
    <w:rsid w:val="009E1031"/>
    <w:rsid w:val="009E2EBB"/>
    <w:rsid w:val="009E5767"/>
    <w:rsid w:val="009E5CE8"/>
    <w:rsid w:val="009E744E"/>
    <w:rsid w:val="009E7E6B"/>
    <w:rsid w:val="009F0B6D"/>
    <w:rsid w:val="009F179A"/>
    <w:rsid w:val="009F6894"/>
    <w:rsid w:val="009F7A26"/>
    <w:rsid w:val="00A029B5"/>
    <w:rsid w:val="00A03B51"/>
    <w:rsid w:val="00A04C62"/>
    <w:rsid w:val="00A052DE"/>
    <w:rsid w:val="00A06A1C"/>
    <w:rsid w:val="00A10D2C"/>
    <w:rsid w:val="00A167F7"/>
    <w:rsid w:val="00A20CD4"/>
    <w:rsid w:val="00A30B8C"/>
    <w:rsid w:val="00A41342"/>
    <w:rsid w:val="00A43B8D"/>
    <w:rsid w:val="00A4663B"/>
    <w:rsid w:val="00A47C5E"/>
    <w:rsid w:val="00A522D8"/>
    <w:rsid w:val="00A5272B"/>
    <w:rsid w:val="00A5347E"/>
    <w:rsid w:val="00A62E03"/>
    <w:rsid w:val="00A73462"/>
    <w:rsid w:val="00A747D7"/>
    <w:rsid w:val="00A75C7A"/>
    <w:rsid w:val="00A84BDF"/>
    <w:rsid w:val="00A91D2D"/>
    <w:rsid w:val="00A93166"/>
    <w:rsid w:val="00A949BA"/>
    <w:rsid w:val="00A94C02"/>
    <w:rsid w:val="00A95377"/>
    <w:rsid w:val="00A95E63"/>
    <w:rsid w:val="00A95FF8"/>
    <w:rsid w:val="00A9692B"/>
    <w:rsid w:val="00AA26AC"/>
    <w:rsid w:val="00AA300A"/>
    <w:rsid w:val="00AA49E9"/>
    <w:rsid w:val="00AA64CF"/>
    <w:rsid w:val="00AA6E91"/>
    <w:rsid w:val="00AA7609"/>
    <w:rsid w:val="00AA7F98"/>
    <w:rsid w:val="00AB48F8"/>
    <w:rsid w:val="00AB5BDD"/>
    <w:rsid w:val="00AB6DD9"/>
    <w:rsid w:val="00AB73F3"/>
    <w:rsid w:val="00AC080A"/>
    <w:rsid w:val="00AC0868"/>
    <w:rsid w:val="00AC1FF7"/>
    <w:rsid w:val="00AC2AA3"/>
    <w:rsid w:val="00AC5734"/>
    <w:rsid w:val="00AD1726"/>
    <w:rsid w:val="00AD20DE"/>
    <w:rsid w:val="00AE0351"/>
    <w:rsid w:val="00AE6317"/>
    <w:rsid w:val="00AF381C"/>
    <w:rsid w:val="00AF50F7"/>
    <w:rsid w:val="00AF586B"/>
    <w:rsid w:val="00AF6143"/>
    <w:rsid w:val="00B0797E"/>
    <w:rsid w:val="00B12D06"/>
    <w:rsid w:val="00B1658D"/>
    <w:rsid w:val="00B17273"/>
    <w:rsid w:val="00B2052E"/>
    <w:rsid w:val="00B2108D"/>
    <w:rsid w:val="00B23E2A"/>
    <w:rsid w:val="00B24C8C"/>
    <w:rsid w:val="00B335F6"/>
    <w:rsid w:val="00B36797"/>
    <w:rsid w:val="00B368FE"/>
    <w:rsid w:val="00B45226"/>
    <w:rsid w:val="00B566C4"/>
    <w:rsid w:val="00B6044B"/>
    <w:rsid w:val="00B64A4F"/>
    <w:rsid w:val="00B65426"/>
    <w:rsid w:val="00B66206"/>
    <w:rsid w:val="00B74B35"/>
    <w:rsid w:val="00B75FC8"/>
    <w:rsid w:val="00B809CA"/>
    <w:rsid w:val="00B82399"/>
    <w:rsid w:val="00B84299"/>
    <w:rsid w:val="00B9206A"/>
    <w:rsid w:val="00B968CB"/>
    <w:rsid w:val="00B9751D"/>
    <w:rsid w:val="00BA0F3F"/>
    <w:rsid w:val="00BA4B34"/>
    <w:rsid w:val="00BA601B"/>
    <w:rsid w:val="00BB0DEF"/>
    <w:rsid w:val="00BB156E"/>
    <w:rsid w:val="00BB1C9C"/>
    <w:rsid w:val="00BB1DFD"/>
    <w:rsid w:val="00BB5114"/>
    <w:rsid w:val="00BB5C06"/>
    <w:rsid w:val="00BB6042"/>
    <w:rsid w:val="00BC0FCF"/>
    <w:rsid w:val="00BC193B"/>
    <w:rsid w:val="00BC3315"/>
    <w:rsid w:val="00BC6B18"/>
    <w:rsid w:val="00BC7130"/>
    <w:rsid w:val="00BC72E9"/>
    <w:rsid w:val="00BE2D7E"/>
    <w:rsid w:val="00BF3BEA"/>
    <w:rsid w:val="00BF4BFC"/>
    <w:rsid w:val="00BF5491"/>
    <w:rsid w:val="00BF7DDA"/>
    <w:rsid w:val="00C00848"/>
    <w:rsid w:val="00C00B4D"/>
    <w:rsid w:val="00C01417"/>
    <w:rsid w:val="00C03248"/>
    <w:rsid w:val="00C0515D"/>
    <w:rsid w:val="00C055AC"/>
    <w:rsid w:val="00C0612C"/>
    <w:rsid w:val="00C104B8"/>
    <w:rsid w:val="00C1061F"/>
    <w:rsid w:val="00C11745"/>
    <w:rsid w:val="00C12C31"/>
    <w:rsid w:val="00C213EB"/>
    <w:rsid w:val="00C2272A"/>
    <w:rsid w:val="00C23577"/>
    <w:rsid w:val="00C34DBE"/>
    <w:rsid w:val="00C41C49"/>
    <w:rsid w:val="00C42F5D"/>
    <w:rsid w:val="00C43579"/>
    <w:rsid w:val="00C43878"/>
    <w:rsid w:val="00C44820"/>
    <w:rsid w:val="00C502C0"/>
    <w:rsid w:val="00C510DE"/>
    <w:rsid w:val="00C56EDB"/>
    <w:rsid w:val="00C6392F"/>
    <w:rsid w:val="00C63EDB"/>
    <w:rsid w:val="00C65E95"/>
    <w:rsid w:val="00C72A8B"/>
    <w:rsid w:val="00C7533E"/>
    <w:rsid w:val="00C81C71"/>
    <w:rsid w:val="00C827EA"/>
    <w:rsid w:val="00C82A3D"/>
    <w:rsid w:val="00C83936"/>
    <w:rsid w:val="00C84EF4"/>
    <w:rsid w:val="00C91CFE"/>
    <w:rsid w:val="00C946C2"/>
    <w:rsid w:val="00CA1C24"/>
    <w:rsid w:val="00CA3963"/>
    <w:rsid w:val="00CB13F5"/>
    <w:rsid w:val="00CB1B8A"/>
    <w:rsid w:val="00CB4C6C"/>
    <w:rsid w:val="00CB4EC4"/>
    <w:rsid w:val="00CC3DDD"/>
    <w:rsid w:val="00CC6360"/>
    <w:rsid w:val="00CD1839"/>
    <w:rsid w:val="00CD257D"/>
    <w:rsid w:val="00CD6630"/>
    <w:rsid w:val="00CE3017"/>
    <w:rsid w:val="00CE67D0"/>
    <w:rsid w:val="00CE7749"/>
    <w:rsid w:val="00CF269F"/>
    <w:rsid w:val="00CF4827"/>
    <w:rsid w:val="00CF643C"/>
    <w:rsid w:val="00D039C9"/>
    <w:rsid w:val="00D05A8F"/>
    <w:rsid w:val="00D07A75"/>
    <w:rsid w:val="00D1010C"/>
    <w:rsid w:val="00D111C3"/>
    <w:rsid w:val="00D23A7E"/>
    <w:rsid w:val="00D25DF1"/>
    <w:rsid w:val="00D270AB"/>
    <w:rsid w:val="00D30D23"/>
    <w:rsid w:val="00D33051"/>
    <w:rsid w:val="00D33936"/>
    <w:rsid w:val="00D405D8"/>
    <w:rsid w:val="00D41842"/>
    <w:rsid w:val="00D43315"/>
    <w:rsid w:val="00D475D3"/>
    <w:rsid w:val="00D47A94"/>
    <w:rsid w:val="00D47AC5"/>
    <w:rsid w:val="00D515E7"/>
    <w:rsid w:val="00D61D3A"/>
    <w:rsid w:val="00D62931"/>
    <w:rsid w:val="00D65D00"/>
    <w:rsid w:val="00D66061"/>
    <w:rsid w:val="00D72E48"/>
    <w:rsid w:val="00D736CA"/>
    <w:rsid w:val="00D7462E"/>
    <w:rsid w:val="00D76FE5"/>
    <w:rsid w:val="00D80996"/>
    <w:rsid w:val="00D81635"/>
    <w:rsid w:val="00D81E19"/>
    <w:rsid w:val="00D86215"/>
    <w:rsid w:val="00D8661E"/>
    <w:rsid w:val="00D9565D"/>
    <w:rsid w:val="00DA2F0F"/>
    <w:rsid w:val="00DA3314"/>
    <w:rsid w:val="00DA3793"/>
    <w:rsid w:val="00DA5004"/>
    <w:rsid w:val="00DA50E6"/>
    <w:rsid w:val="00DB017E"/>
    <w:rsid w:val="00DB094D"/>
    <w:rsid w:val="00DB3E5B"/>
    <w:rsid w:val="00DB6755"/>
    <w:rsid w:val="00DB67F7"/>
    <w:rsid w:val="00DB6BC9"/>
    <w:rsid w:val="00DC1B11"/>
    <w:rsid w:val="00DD48CB"/>
    <w:rsid w:val="00DD51EB"/>
    <w:rsid w:val="00DD55A9"/>
    <w:rsid w:val="00DD5AB0"/>
    <w:rsid w:val="00DE44A6"/>
    <w:rsid w:val="00DE569E"/>
    <w:rsid w:val="00DF1654"/>
    <w:rsid w:val="00DF6D7F"/>
    <w:rsid w:val="00E00D5B"/>
    <w:rsid w:val="00E014D3"/>
    <w:rsid w:val="00E06020"/>
    <w:rsid w:val="00E10D5B"/>
    <w:rsid w:val="00E12764"/>
    <w:rsid w:val="00E162BD"/>
    <w:rsid w:val="00E21C95"/>
    <w:rsid w:val="00E23182"/>
    <w:rsid w:val="00E252EE"/>
    <w:rsid w:val="00E2628B"/>
    <w:rsid w:val="00E265F3"/>
    <w:rsid w:val="00E323BD"/>
    <w:rsid w:val="00E33877"/>
    <w:rsid w:val="00E33AC6"/>
    <w:rsid w:val="00E47390"/>
    <w:rsid w:val="00E600B9"/>
    <w:rsid w:val="00E63B6A"/>
    <w:rsid w:val="00E67F0C"/>
    <w:rsid w:val="00E700B2"/>
    <w:rsid w:val="00E71464"/>
    <w:rsid w:val="00E71B23"/>
    <w:rsid w:val="00E73576"/>
    <w:rsid w:val="00E76862"/>
    <w:rsid w:val="00E77195"/>
    <w:rsid w:val="00E771F9"/>
    <w:rsid w:val="00E77484"/>
    <w:rsid w:val="00E82FFE"/>
    <w:rsid w:val="00E863D5"/>
    <w:rsid w:val="00E86431"/>
    <w:rsid w:val="00E910C5"/>
    <w:rsid w:val="00E95761"/>
    <w:rsid w:val="00E96D8B"/>
    <w:rsid w:val="00EA029E"/>
    <w:rsid w:val="00EA29B3"/>
    <w:rsid w:val="00EA354B"/>
    <w:rsid w:val="00EA4619"/>
    <w:rsid w:val="00EC0060"/>
    <w:rsid w:val="00EC138E"/>
    <w:rsid w:val="00EC3482"/>
    <w:rsid w:val="00ED0DA4"/>
    <w:rsid w:val="00ED22E9"/>
    <w:rsid w:val="00ED2806"/>
    <w:rsid w:val="00ED51BE"/>
    <w:rsid w:val="00EE206E"/>
    <w:rsid w:val="00EE6C94"/>
    <w:rsid w:val="00EE6CA9"/>
    <w:rsid w:val="00EE7A19"/>
    <w:rsid w:val="00EF01DF"/>
    <w:rsid w:val="00EF1792"/>
    <w:rsid w:val="00EF60CA"/>
    <w:rsid w:val="00EF7646"/>
    <w:rsid w:val="00EF7D29"/>
    <w:rsid w:val="00F01959"/>
    <w:rsid w:val="00F039D4"/>
    <w:rsid w:val="00F13B7C"/>
    <w:rsid w:val="00F207AE"/>
    <w:rsid w:val="00F21D84"/>
    <w:rsid w:val="00F22851"/>
    <w:rsid w:val="00F22F08"/>
    <w:rsid w:val="00F26BBA"/>
    <w:rsid w:val="00F30453"/>
    <w:rsid w:val="00F30DFE"/>
    <w:rsid w:val="00F368EF"/>
    <w:rsid w:val="00F50FB6"/>
    <w:rsid w:val="00F55014"/>
    <w:rsid w:val="00F566C3"/>
    <w:rsid w:val="00F6169E"/>
    <w:rsid w:val="00F635FC"/>
    <w:rsid w:val="00F7006C"/>
    <w:rsid w:val="00F72953"/>
    <w:rsid w:val="00F75475"/>
    <w:rsid w:val="00F843EF"/>
    <w:rsid w:val="00F8576D"/>
    <w:rsid w:val="00F92E08"/>
    <w:rsid w:val="00F97A87"/>
    <w:rsid w:val="00FB1B82"/>
    <w:rsid w:val="00FB2141"/>
    <w:rsid w:val="00FB229F"/>
    <w:rsid w:val="00FB22D2"/>
    <w:rsid w:val="00FB3B39"/>
    <w:rsid w:val="00FB6354"/>
    <w:rsid w:val="00FB6936"/>
    <w:rsid w:val="00FB69D1"/>
    <w:rsid w:val="00FB74F3"/>
    <w:rsid w:val="00FB7B46"/>
    <w:rsid w:val="00FC0CD8"/>
    <w:rsid w:val="00FC4EDF"/>
    <w:rsid w:val="00FC6546"/>
    <w:rsid w:val="00FC7D42"/>
    <w:rsid w:val="00FD051F"/>
    <w:rsid w:val="00FD5388"/>
    <w:rsid w:val="00FE57B8"/>
    <w:rsid w:val="00FE6E21"/>
    <w:rsid w:val="00FE7628"/>
    <w:rsid w:val="00FF3111"/>
    <w:rsid w:val="00FF48F4"/>
    <w:rsid w:val="00FF4AC3"/>
    <w:rsid w:val="00FF7530"/>
    <w:rsid w:val="4D9D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semiHidden="0" w:name="heading 4" w:locked="1"/>
    <w:lsdException w:qFormat="1" w:uiPriority="0" w:semiHidden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 w:locked="1"/>
    <w:lsdException w:qFormat="1" w:unhideWhenUsed="0" w:uiPriority="39" w:semiHidden="0" w:name="toc 2" w:locked="1"/>
    <w:lsdException w:qFormat="1" w:uiPriority="39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semiHidden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9"/>
    <w:pPr>
      <w:ind w:firstLine="0" w:firstLineChars="0"/>
      <w:jc w:val="left"/>
      <w:outlineLvl w:val="0"/>
    </w:pPr>
    <w:rPr>
      <w:rFonts w:eastAsia="黑体"/>
      <w:b/>
      <w:kern w:val="0"/>
      <w:sz w:val="28"/>
      <w:szCs w:val="20"/>
      <w:lang w:val="zh-CN" w:eastAsia="zh-CN"/>
    </w:rPr>
  </w:style>
  <w:style w:type="paragraph" w:styleId="3">
    <w:name w:val="heading 2"/>
    <w:basedOn w:val="1"/>
    <w:next w:val="1"/>
    <w:link w:val="27"/>
    <w:qFormat/>
    <w:uiPriority w:val="99"/>
    <w:pPr>
      <w:ind w:firstLine="0" w:firstLineChars="0"/>
      <w:jc w:val="left"/>
      <w:outlineLvl w:val="1"/>
    </w:pPr>
    <w:rPr>
      <w:kern w:val="0"/>
      <w:sz w:val="28"/>
      <w:szCs w:val="20"/>
      <w:lang w:val="zh-CN" w:eastAsia="zh-CN"/>
    </w:rPr>
  </w:style>
  <w:style w:type="paragraph" w:styleId="4">
    <w:name w:val="heading 3"/>
    <w:basedOn w:val="1"/>
    <w:next w:val="1"/>
    <w:link w:val="28"/>
    <w:qFormat/>
    <w:uiPriority w:val="99"/>
    <w:pPr>
      <w:ind w:firstLine="0" w:firstLineChars="0"/>
      <w:jc w:val="left"/>
      <w:outlineLvl w:val="2"/>
    </w:pPr>
    <w:rPr>
      <w:kern w:val="0"/>
      <w:szCs w:val="20"/>
      <w:lang w:val="zh-CN" w:eastAsia="zh-CN"/>
    </w:rPr>
  </w:style>
  <w:style w:type="paragraph" w:styleId="5">
    <w:name w:val="heading 4"/>
    <w:basedOn w:val="1"/>
    <w:next w:val="1"/>
    <w:link w:val="54"/>
    <w:unhideWhenUsed/>
    <w:qFormat/>
    <w:locked/>
    <w:uiPriority w:val="0"/>
    <w:pPr>
      <w:keepNext/>
      <w:keepLines/>
      <w:spacing w:before="280" w:after="290" w:line="376" w:lineRule="auto"/>
      <w:outlineLvl w:val="3"/>
    </w:pPr>
    <w:rPr>
      <w:rFonts w:eastAsia="黑体" w:asciiTheme="majorHAnsi" w:hAnsiTheme="majorHAnsi" w:cstheme="majorBidi"/>
      <w:b/>
      <w:bCs/>
      <w:szCs w:val="28"/>
    </w:rPr>
  </w:style>
  <w:style w:type="paragraph" w:styleId="6">
    <w:name w:val="heading 5"/>
    <w:basedOn w:val="1"/>
    <w:next w:val="1"/>
    <w:link w:val="48"/>
    <w:unhideWhenUsed/>
    <w:qFormat/>
    <w:locked/>
    <w:uiPriority w:val="0"/>
    <w:pPr>
      <w:keepNext/>
      <w:keepLines/>
      <w:spacing w:before="280" w:after="290" w:line="376" w:lineRule="auto"/>
      <w:outlineLvl w:val="4"/>
    </w:pPr>
    <w:rPr>
      <w:b/>
      <w:bCs/>
      <w:szCs w:val="28"/>
      <w:lang w:val="zh-CN" w:eastAsia="zh-CN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unhideWhenUsed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paragraph" w:styleId="8">
    <w:name w:val="annotation text"/>
    <w:basedOn w:val="1"/>
    <w:link w:val="42"/>
    <w:semiHidden/>
    <w:unhideWhenUsed/>
    <w:qFormat/>
    <w:uiPriority w:val="99"/>
    <w:pPr>
      <w:jc w:val="left"/>
    </w:pPr>
    <w:rPr>
      <w:lang w:val="zh-CN" w:eastAsia="zh-CN"/>
    </w:rPr>
  </w:style>
  <w:style w:type="paragraph" w:styleId="9">
    <w:name w:val="Block Text"/>
    <w:basedOn w:val="1"/>
    <w:qFormat/>
    <w:uiPriority w:val="0"/>
    <w:pPr>
      <w:ind w:left="-1418" w:right="-1558" w:firstLine="1418"/>
    </w:pPr>
    <w:rPr>
      <w:sz w:val="28"/>
      <w:szCs w:val="20"/>
    </w:rPr>
  </w:style>
  <w:style w:type="paragraph" w:styleId="10">
    <w:name w:val="toc 3"/>
    <w:basedOn w:val="1"/>
    <w:next w:val="1"/>
    <w:autoRedefine/>
    <w:unhideWhenUsed/>
    <w:qFormat/>
    <w:locked/>
    <w:uiPriority w:val="39"/>
    <w:pPr>
      <w:widowControl/>
      <w:spacing w:after="100" w:line="276" w:lineRule="auto"/>
      <w:ind w:left="440"/>
      <w:jc w:val="left"/>
    </w:pPr>
    <w:rPr>
      <w:rFonts w:asciiTheme="minorHAnsi" w:hAnsiTheme="minorHAnsi" w:eastAsiaTheme="minorEastAsia" w:cstheme="minorBidi"/>
      <w:kern w:val="0"/>
      <w:sz w:val="22"/>
      <w:szCs w:val="22"/>
    </w:rPr>
  </w:style>
  <w:style w:type="paragraph" w:styleId="11">
    <w:name w:val="Plain Text"/>
    <w:basedOn w:val="1"/>
    <w:link w:val="45"/>
    <w:qFormat/>
    <w:uiPriority w:val="0"/>
    <w:rPr>
      <w:rFonts w:ascii="宋体" w:hAnsi="Courier New"/>
      <w:szCs w:val="20"/>
      <w:lang w:val="zh-CN" w:eastAsia="zh-CN"/>
    </w:rPr>
  </w:style>
  <w:style w:type="paragraph" w:styleId="12">
    <w:name w:val="Date"/>
    <w:basedOn w:val="1"/>
    <w:next w:val="1"/>
    <w:link w:val="30"/>
    <w:uiPriority w:val="99"/>
    <w:pPr>
      <w:ind w:left="100" w:leftChars="2500"/>
    </w:pPr>
    <w:rPr>
      <w:kern w:val="0"/>
      <w:szCs w:val="24"/>
      <w:lang w:val="zh-CN" w:eastAsia="zh-CN"/>
    </w:rPr>
  </w:style>
  <w:style w:type="paragraph" w:styleId="13">
    <w:name w:val="Balloon Text"/>
    <w:basedOn w:val="1"/>
    <w:link w:val="39"/>
    <w:semiHidden/>
    <w:qFormat/>
    <w:uiPriority w:val="99"/>
    <w:rPr>
      <w:rFonts w:eastAsia="仿宋_GB2312"/>
      <w:kern w:val="0"/>
      <w:sz w:val="18"/>
      <w:szCs w:val="18"/>
      <w:lang w:val="zh-CN" w:eastAsia="zh-CN"/>
    </w:rPr>
  </w:style>
  <w:style w:type="paragraph" w:styleId="14">
    <w:name w:val="footer"/>
    <w:basedOn w:val="1"/>
    <w:link w:val="29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 w:eastAsia="zh-CN"/>
    </w:rPr>
  </w:style>
  <w:style w:type="paragraph" w:styleId="15">
    <w:name w:val="header"/>
    <w:basedOn w:val="1"/>
    <w:link w:val="3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 w:eastAsia="zh-CN"/>
    </w:rPr>
  </w:style>
  <w:style w:type="paragraph" w:styleId="16">
    <w:name w:val="toc 1"/>
    <w:basedOn w:val="1"/>
    <w:next w:val="1"/>
    <w:autoRedefine/>
    <w:qFormat/>
    <w:locked/>
    <w:uiPriority w:val="39"/>
    <w:pPr>
      <w:tabs>
        <w:tab w:val="right" w:leader="dot" w:pos="9060"/>
      </w:tabs>
      <w:ind w:firstLine="560"/>
    </w:pPr>
  </w:style>
  <w:style w:type="paragraph" w:styleId="17">
    <w:name w:val="toc 2"/>
    <w:basedOn w:val="1"/>
    <w:next w:val="1"/>
    <w:autoRedefine/>
    <w:qFormat/>
    <w:locked/>
    <w:uiPriority w:val="39"/>
    <w:pPr>
      <w:tabs>
        <w:tab w:val="right" w:leader="dot" w:pos="9060"/>
      </w:tabs>
      <w:jc w:val="center"/>
    </w:pPr>
    <w:rPr>
      <w:b/>
      <w:sz w:val="44"/>
      <w:szCs w:val="44"/>
    </w:rPr>
  </w:style>
  <w:style w:type="paragraph" w:styleId="18">
    <w:name w:val="Title"/>
    <w:basedOn w:val="1"/>
    <w:next w:val="1"/>
    <w:link w:val="49"/>
    <w:qFormat/>
    <w:locked/>
    <w:uiPriority w:val="0"/>
    <w:pPr>
      <w:spacing w:before="240" w:after="60"/>
      <w:jc w:val="left"/>
      <w:outlineLvl w:val="0"/>
    </w:pPr>
    <w:rPr>
      <w:rFonts w:eastAsia="黑体" w:asciiTheme="majorHAnsi" w:hAnsiTheme="majorHAnsi" w:cstheme="majorBidi"/>
      <w:b/>
      <w:bCs/>
      <w:sz w:val="28"/>
      <w:szCs w:val="32"/>
    </w:rPr>
  </w:style>
  <w:style w:type="paragraph" w:styleId="19">
    <w:name w:val="annotation subject"/>
    <w:basedOn w:val="8"/>
    <w:next w:val="8"/>
    <w:link w:val="43"/>
    <w:semiHidden/>
    <w:unhideWhenUsed/>
    <w:qFormat/>
    <w:uiPriority w:val="99"/>
    <w:rPr>
      <w:b/>
      <w:bCs/>
    </w:rPr>
  </w:style>
  <w:style w:type="table" w:styleId="21">
    <w:name w:val="Table Grid"/>
    <w:basedOn w:val="20"/>
    <w:qFormat/>
    <w:locked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page number"/>
    <w:uiPriority w:val="99"/>
    <w:rPr>
      <w:rFonts w:eastAsia="仿宋_GB2312"/>
      <w:sz w:val="24"/>
      <w:szCs w:val="24"/>
    </w:rPr>
  </w:style>
  <w:style w:type="character" w:styleId="24">
    <w:name w:val="Hyperlink"/>
    <w:qFormat/>
    <w:uiPriority w:val="99"/>
    <w:rPr>
      <w:color w:val="0000FF"/>
      <w:u w:val="single"/>
    </w:rPr>
  </w:style>
  <w:style w:type="character" w:styleId="25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6">
    <w:name w:val="标题 1 Char"/>
    <w:link w:val="2"/>
    <w:locked/>
    <w:uiPriority w:val="99"/>
    <w:rPr>
      <w:rFonts w:ascii="Times New Roman" w:hAnsi="Times New Roman" w:eastAsia="黑体"/>
      <w:b/>
      <w:sz w:val="28"/>
      <w:lang w:val="zh-CN" w:eastAsia="zh-CN"/>
    </w:rPr>
  </w:style>
  <w:style w:type="character" w:customStyle="1" w:styleId="27">
    <w:name w:val="标题 2 Char"/>
    <w:link w:val="3"/>
    <w:locked/>
    <w:uiPriority w:val="99"/>
    <w:rPr>
      <w:rFonts w:ascii="Times New Roman" w:hAnsi="Times New Roman"/>
      <w:sz w:val="28"/>
      <w:lang w:val="zh-CN" w:eastAsia="zh-CN"/>
    </w:rPr>
  </w:style>
  <w:style w:type="character" w:customStyle="1" w:styleId="28">
    <w:name w:val="标题 3 Char"/>
    <w:link w:val="4"/>
    <w:locked/>
    <w:uiPriority w:val="99"/>
    <w:rPr>
      <w:rFonts w:ascii="Times New Roman" w:hAnsi="Times New Roman"/>
      <w:sz w:val="28"/>
      <w:lang w:val="zh-CN" w:eastAsia="zh-CN"/>
    </w:rPr>
  </w:style>
  <w:style w:type="character" w:customStyle="1" w:styleId="29">
    <w:name w:val="页脚 Char"/>
    <w:link w:val="14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0">
    <w:name w:val="日期 Char"/>
    <w:link w:val="12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31">
    <w:name w:val="页眉 Char"/>
    <w:link w:val="15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2">
    <w:name w:val="Date Char1"/>
    <w:semiHidden/>
    <w:uiPriority w:val="99"/>
    <w:rPr>
      <w:rFonts w:ascii="Times New Roman" w:hAnsi="Times New Roman"/>
      <w:szCs w:val="21"/>
    </w:rPr>
  </w:style>
  <w:style w:type="character" w:customStyle="1" w:styleId="33">
    <w:name w:val="日期 Char1"/>
    <w:semiHidden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34">
    <w:name w:val="Footer Char1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35">
    <w:name w:val="页脚 Char1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6">
    <w:name w:val="Header Char1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37">
    <w:name w:val="页眉 Char1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8">
    <w:name w:val="Char Char Char Char Char Char Char Char Char Char Char Char Char"/>
    <w:basedOn w:val="1"/>
    <w:qFormat/>
    <w:uiPriority w:val="99"/>
    <w:pPr>
      <w:snapToGrid w:val="0"/>
      <w:spacing w:line="360" w:lineRule="auto"/>
    </w:pPr>
    <w:rPr>
      <w:rFonts w:eastAsia="仿宋_GB2312"/>
      <w:szCs w:val="24"/>
    </w:rPr>
  </w:style>
  <w:style w:type="character" w:customStyle="1" w:styleId="39">
    <w:name w:val="批注框文本 Char"/>
    <w:link w:val="13"/>
    <w:semiHidden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styleId="40">
    <w:name w:val="Placeholder Text"/>
    <w:semiHidden/>
    <w:qFormat/>
    <w:uiPriority w:val="99"/>
    <w:rPr>
      <w:rFonts w:eastAsia="仿宋_GB2312"/>
      <w:color w:val="808080"/>
      <w:sz w:val="24"/>
      <w:szCs w:val="24"/>
    </w:rPr>
  </w:style>
  <w:style w:type="paragraph" w:customStyle="1" w:styleId="41">
    <w:name w:val="默认段落字体 Para Char"/>
    <w:basedOn w:val="1"/>
    <w:qFormat/>
    <w:uiPriority w:val="0"/>
    <w:rPr>
      <w:rFonts w:ascii="Tahoma" w:hAnsi="Tahoma"/>
      <w:iCs/>
      <w:szCs w:val="20"/>
    </w:rPr>
  </w:style>
  <w:style w:type="character" w:customStyle="1" w:styleId="42">
    <w:name w:val="批注文字 Char"/>
    <w:link w:val="8"/>
    <w:semiHidden/>
    <w:qFormat/>
    <w:uiPriority w:val="99"/>
    <w:rPr>
      <w:rFonts w:ascii="Times New Roman" w:hAnsi="Times New Roman"/>
      <w:kern w:val="2"/>
      <w:sz w:val="21"/>
      <w:szCs w:val="21"/>
    </w:rPr>
  </w:style>
  <w:style w:type="character" w:customStyle="1" w:styleId="43">
    <w:name w:val="批注主题 Char"/>
    <w:link w:val="19"/>
    <w:semiHidden/>
    <w:qFormat/>
    <w:uiPriority w:val="99"/>
    <w:rPr>
      <w:rFonts w:ascii="Times New Roman" w:hAnsi="Times New Roman"/>
      <w:b/>
      <w:bCs/>
      <w:kern w:val="2"/>
      <w:sz w:val="21"/>
      <w:szCs w:val="21"/>
    </w:rPr>
  </w:style>
  <w:style w:type="paragraph" w:customStyle="1" w:styleId="44">
    <w:name w:val="Char"/>
    <w:basedOn w:val="1"/>
    <w:qFormat/>
    <w:uiPriority w:val="0"/>
    <w:rPr>
      <w:szCs w:val="24"/>
    </w:rPr>
  </w:style>
  <w:style w:type="character" w:customStyle="1" w:styleId="45">
    <w:name w:val="纯文本 Char"/>
    <w:link w:val="11"/>
    <w:qFormat/>
    <w:uiPriority w:val="0"/>
    <w:rPr>
      <w:rFonts w:ascii="宋体" w:hAnsi="Courier New"/>
      <w:kern w:val="2"/>
      <w:sz w:val="21"/>
    </w:rPr>
  </w:style>
  <w:style w:type="paragraph" w:customStyle="1" w:styleId="46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47">
    <w:name w:val="标准文件_段"/>
    <w:qFormat/>
    <w:uiPriority w:val="0"/>
    <w:pPr>
      <w:autoSpaceDE w:val="0"/>
      <w:autoSpaceDN w:val="0"/>
      <w:spacing w:line="360" w:lineRule="auto"/>
      <w:ind w:firstLine="560" w:firstLineChars="200"/>
    </w:pPr>
    <w:rPr>
      <w:rFonts w:ascii="Times New Roman" w:hAnsi="Times New Roman" w:eastAsia="黑体" w:cs="Times New Roman"/>
      <w:spacing w:val="2"/>
      <w:sz w:val="24"/>
      <w:szCs w:val="24"/>
      <w:lang w:val="en-US" w:eastAsia="zh-CN" w:bidi="ar-SA"/>
    </w:rPr>
  </w:style>
  <w:style w:type="character" w:customStyle="1" w:styleId="48">
    <w:name w:val="标题 5 Char"/>
    <w:link w:val="6"/>
    <w:qFormat/>
    <w:uiPriority w:val="0"/>
    <w:rPr>
      <w:rFonts w:ascii="Times New Roman" w:hAnsi="Times New Roman"/>
      <w:b/>
      <w:bCs/>
      <w:kern w:val="2"/>
      <w:sz w:val="24"/>
      <w:szCs w:val="28"/>
      <w:lang w:val="zh-CN" w:eastAsia="zh-CN"/>
    </w:rPr>
  </w:style>
  <w:style w:type="character" w:customStyle="1" w:styleId="49">
    <w:name w:val="标题 Char"/>
    <w:basedOn w:val="22"/>
    <w:link w:val="18"/>
    <w:qFormat/>
    <w:uiPriority w:val="0"/>
    <w:rPr>
      <w:rFonts w:eastAsia="黑体" w:asciiTheme="majorHAnsi" w:hAnsiTheme="majorHAnsi" w:cstheme="majorBidi"/>
      <w:b/>
      <w:bCs/>
      <w:kern w:val="2"/>
      <w:sz w:val="28"/>
      <w:szCs w:val="32"/>
    </w:rPr>
  </w:style>
  <w:style w:type="paragraph" w:styleId="50">
    <w:name w:val="List Paragraph"/>
    <w:basedOn w:val="1"/>
    <w:link w:val="52"/>
    <w:qFormat/>
    <w:uiPriority w:val="99"/>
    <w:pPr>
      <w:ind w:firstLine="420"/>
    </w:pPr>
  </w:style>
  <w:style w:type="paragraph" w:customStyle="1" w:styleId="51">
    <w:name w:val="MTDisplayEquation"/>
    <w:basedOn w:val="50"/>
    <w:next w:val="1"/>
    <w:link w:val="53"/>
    <w:qFormat/>
    <w:uiPriority w:val="0"/>
    <w:pPr>
      <w:numPr>
        <w:ilvl w:val="0"/>
        <w:numId w:val="1"/>
      </w:numPr>
      <w:tabs>
        <w:tab w:val="center" w:pos="4720"/>
        <w:tab w:val="right" w:pos="9080"/>
      </w:tabs>
      <w:spacing w:line="500" w:lineRule="exact"/>
      <w:ind w:firstLine="0" w:firstLineChars="0"/>
      <w:outlineLvl w:val="0"/>
    </w:pPr>
    <w:rPr>
      <w:rFonts w:eastAsia="黑体"/>
      <w:bCs/>
      <w:szCs w:val="24"/>
    </w:rPr>
  </w:style>
  <w:style w:type="character" w:customStyle="1" w:styleId="52">
    <w:name w:val="列出段落 Char"/>
    <w:basedOn w:val="22"/>
    <w:link w:val="50"/>
    <w:qFormat/>
    <w:uiPriority w:val="34"/>
    <w:rPr>
      <w:rFonts w:ascii="Times New Roman" w:hAnsi="Times New Roman"/>
      <w:kern w:val="2"/>
      <w:sz w:val="21"/>
      <w:szCs w:val="21"/>
    </w:rPr>
  </w:style>
  <w:style w:type="character" w:customStyle="1" w:styleId="53">
    <w:name w:val="MTDisplayEquation Char"/>
    <w:basedOn w:val="52"/>
    <w:link w:val="51"/>
    <w:qFormat/>
    <w:uiPriority w:val="0"/>
    <w:rPr>
      <w:rFonts w:ascii="Times New Roman" w:hAnsi="Times New Roman" w:eastAsia="黑体"/>
      <w:bCs/>
      <w:kern w:val="2"/>
      <w:sz w:val="24"/>
      <w:szCs w:val="24"/>
    </w:rPr>
  </w:style>
  <w:style w:type="character" w:customStyle="1" w:styleId="54">
    <w:name w:val="标题 4 Char"/>
    <w:basedOn w:val="22"/>
    <w:link w:val="5"/>
    <w:qFormat/>
    <w:uiPriority w:val="0"/>
    <w:rPr>
      <w:rFonts w:eastAsia="黑体" w:asciiTheme="majorHAnsi" w:hAnsiTheme="majorHAnsi" w:cstheme="majorBidi"/>
      <w:b/>
      <w:bCs/>
      <w:kern w:val="2"/>
      <w:sz w:val="24"/>
      <w:szCs w:val="28"/>
    </w:rPr>
  </w:style>
  <w:style w:type="paragraph" w:customStyle="1" w:styleId="55">
    <w:name w:val="TOC Heading"/>
    <w:basedOn w:val="2"/>
    <w:next w:val="1"/>
    <w:unhideWhenUsed/>
    <w:qFormat/>
    <w:uiPriority w:val="39"/>
    <w:pPr>
      <w:keepLines/>
      <w:widowControl/>
      <w:spacing w:before="480" w:line="276" w:lineRule="auto"/>
      <w:outlineLvl w:val="9"/>
    </w:pPr>
    <w:rPr>
      <w:rFonts w:asciiTheme="majorHAnsi" w:hAnsiTheme="majorHAnsi" w:eastAsiaTheme="majorEastAsia" w:cstheme="majorBidi"/>
      <w:b w:val="0"/>
      <w:bCs/>
      <w:color w:val="376092" w:themeColor="accent1" w:themeShade="BF"/>
      <w:szCs w:val="28"/>
      <w:lang w:val="en-US" w:eastAsia="zh-CN"/>
    </w:rPr>
  </w:style>
  <w:style w:type="character" w:customStyle="1" w:styleId="56">
    <w:name w:val="MTEquationSection"/>
    <w:basedOn w:val="22"/>
    <w:qFormat/>
    <w:uiPriority w:val="0"/>
    <w:rPr>
      <w:rFonts w:ascii="宋体" w:hAnsi="宋体" w:cs="宋体"/>
      <w:vanish/>
      <w:color w:val="FF0000"/>
      <w:kern w:val="0"/>
    </w:rPr>
  </w:style>
  <w:style w:type="paragraph" w:styleId="57">
    <w:name w:val="No Spacing"/>
    <w:qFormat/>
    <w:uiPriority w:val="1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42.wmf"/><Relationship Id="rId97" Type="http://schemas.openxmlformats.org/officeDocument/2006/relationships/oleObject" Target="embeddings/oleObject41.bin"/><Relationship Id="rId96" Type="http://schemas.openxmlformats.org/officeDocument/2006/relationships/image" Target="media/image41.wmf"/><Relationship Id="rId95" Type="http://schemas.openxmlformats.org/officeDocument/2006/relationships/oleObject" Target="embeddings/oleObject40.bin"/><Relationship Id="rId94" Type="http://schemas.openxmlformats.org/officeDocument/2006/relationships/image" Target="media/image40.wmf"/><Relationship Id="rId93" Type="http://schemas.openxmlformats.org/officeDocument/2006/relationships/oleObject" Target="embeddings/oleObject39.bin"/><Relationship Id="rId92" Type="http://schemas.openxmlformats.org/officeDocument/2006/relationships/image" Target="media/image39.wmf"/><Relationship Id="rId91" Type="http://schemas.openxmlformats.org/officeDocument/2006/relationships/oleObject" Target="embeddings/oleObject38.bin"/><Relationship Id="rId90" Type="http://schemas.openxmlformats.org/officeDocument/2006/relationships/image" Target="media/image38.wmf"/><Relationship Id="rId9" Type="http://schemas.openxmlformats.org/officeDocument/2006/relationships/footer" Target="footer2.xml"/><Relationship Id="rId89" Type="http://schemas.openxmlformats.org/officeDocument/2006/relationships/oleObject" Target="embeddings/oleObject37.bin"/><Relationship Id="rId88" Type="http://schemas.openxmlformats.org/officeDocument/2006/relationships/image" Target="media/image37.wmf"/><Relationship Id="rId87" Type="http://schemas.openxmlformats.org/officeDocument/2006/relationships/oleObject" Target="embeddings/oleObject36.bin"/><Relationship Id="rId86" Type="http://schemas.openxmlformats.org/officeDocument/2006/relationships/image" Target="media/image36.wmf"/><Relationship Id="rId85" Type="http://schemas.openxmlformats.org/officeDocument/2006/relationships/oleObject" Target="embeddings/oleObject35.bin"/><Relationship Id="rId84" Type="http://schemas.openxmlformats.org/officeDocument/2006/relationships/image" Target="media/image35.wmf"/><Relationship Id="rId83" Type="http://schemas.openxmlformats.org/officeDocument/2006/relationships/oleObject" Target="embeddings/oleObject34.bin"/><Relationship Id="rId82" Type="http://schemas.openxmlformats.org/officeDocument/2006/relationships/image" Target="media/image34.wmf"/><Relationship Id="rId81" Type="http://schemas.openxmlformats.org/officeDocument/2006/relationships/oleObject" Target="embeddings/oleObject33.bin"/><Relationship Id="rId80" Type="http://schemas.openxmlformats.org/officeDocument/2006/relationships/image" Target="media/image33.wmf"/><Relationship Id="rId8" Type="http://schemas.openxmlformats.org/officeDocument/2006/relationships/footer" Target="footer1.xml"/><Relationship Id="rId79" Type="http://schemas.openxmlformats.org/officeDocument/2006/relationships/oleObject" Target="embeddings/oleObject32.bin"/><Relationship Id="rId78" Type="http://schemas.openxmlformats.org/officeDocument/2006/relationships/image" Target="media/image32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1.wmf"/><Relationship Id="rId75" Type="http://schemas.openxmlformats.org/officeDocument/2006/relationships/oleObject" Target="embeddings/oleObject30.bin"/><Relationship Id="rId74" Type="http://schemas.openxmlformats.org/officeDocument/2006/relationships/image" Target="media/image30.wmf"/><Relationship Id="rId73" Type="http://schemas.openxmlformats.org/officeDocument/2006/relationships/oleObject" Target="embeddings/oleObject29.bin"/><Relationship Id="rId72" Type="http://schemas.openxmlformats.org/officeDocument/2006/relationships/oleObject" Target="embeddings/oleObject28.bin"/><Relationship Id="rId71" Type="http://schemas.openxmlformats.org/officeDocument/2006/relationships/image" Target="media/image29.wmf"/><Relationship Id="rId70" Type="http://schemas.openxmlformats.org/officeDocument/2006/relationships/oleObject" Target="embeddings/oleObject27.bin"/><Relationship Id="rId7" Type="http://schemas.openxmlformats.org/officeDocument/2006/relationships/header" Target="header3.xml"/><Relationship Id="rId69" Type="http://schemas.openxmlformats.org/officeDocument/2006/relationships/image" Target="media/image28.wmf"/><Relationship Id="rId68" Type="http://schemas.openxmlformats.org/officeDocument/2006/relationships/oleObject" Target="embeddings/oleObject26.bin"/><Relationship Id="rId67" Type="http://schemas.openxmlformats.org/officeDocument/2006/relationships/image" Target="media/image27.wmf"/><Relationship Id="rId66" Type="http://schemas.openxmlformats.org/officeDocument/2006/relationships/oleObject" Target="embeddings/oleObject25.bin"/><Relationship Id="rId65" Type="http://schemas.openxmlformats.org/officeDocument/2006/relationships/image" Target="media/image26.wmf"/><Relationship Id="rId64" Type="http://schemas.openxmlformats.org/officeDocument/2006/relationships/oleObject" Target="embeddings/oleObject24.bin"/><Relationship Id="rId63" Type="http://schemas.openxmlformats.org/officeDocument/2006/relationships/image" Target="media/image25.wmf"/><Relationship Id="rId62" Type="http://schemas.openxmlformats.org/officeDocument/2006/relationships/oleObject" Target="embeddings/oleObject23.bin"/><Relationship Id="rId61" Type="http://schemas.openxmlformats.org/officeDocument/2006/relationships/image" Target="media/image24.wmf"/><Relationship Id="rId60" Type="http://schemas.openxmlformats.org/officeDocument/2006/relationships/oleObject" Target="embeddings/oleObject22.bin"/><Relationship Id="rId6" Type="http://schemas.openxmlformats.org/officeDocument/2006/relationships/header" Target="header2.xml"/><Relationship Id="rId59" Type="http://schemas.openxmlformats.org/officeDocument/2006/relationships/image" Target="media/image23.wmf"/><Relationship Id="rId58" Type="http://schemas.openxmlformats.org/officeDocument/2006/relationships/oleObject" Target="embeddings/oleObject21.bin"/><Relationship Id="rId57" Type="http://schemas.openxmlformats.org/officeDocument/2006/relationships/image" Target="media/image22.wmf"/><Relationship Id="rId56" Type="http://schemas.openxmlformats.org/officeDocument/2006/relationships/oleObject" Target="embeddings/oleObject20.bin"/><Relationship Id="rId55" Type="http://schemas.openxmlformats.org/officeDocument/2006/relationships/image" Target="media/image21.wmf"/><Relationship Id="rId54" Type="http://schemas.openxmlformats.org/officeDocument/2006/relationships/oleObject" Target="embeddings/oleObject19.bin"/><Relationship Id="rId53" Type="http://schemas.openxmlformats.org/officeDocument/2006/relationships/image" Target="media/image20.wmf"/><Relationship Id="rId52" Type="http://schemas.openxmlformats.org/officeDocument/2006/relationships/oleObject" Target="embeddings/oleObject18.bin"/><Relationship Id="rId51" Type="http://schemas.openxmlformats.org/officeDocument/2006/relationships/image" Target="media/image19.wmf"/><Relationship Id="rId50" Type="http://schemas.openxmlformats.org/officeDocument/2006/relationships/oleObject" Target="embeddings/oleObject17.bin"/><Relationship Id="rId5" Type="http://schemas.openxmlformats.org/officeDocument/2006/relationships/header" Target="header1.xml"/><Relationship Id="rId49" Type="http://schemas.openxmlformats.org/officeDocument/2006/relationships/image" Target="media/image18.wmf"/><Relationship Id="rId48" Type="http://schemas.openxmlformats.org/officeDocument/2006/relationships/oleObject" Target="embeddings/oleObject16.bin"/><Relationship Id="rId47" Type="http://schemas.openxmlformats.org/officeDocument/2006/relationships/image" Target="media/image17.wmf"/><Relationship Id="rId46" Type="http://schemas.openxmlformats.org/officeDocument/2006/relationships/oleObject" Target="embeddings/oleObject15.bin"/><Relationship Id="rId45" Type="http://schemas.openxmlformats.org/officeDocument/2006/relationships/image" Target="media/image16.wmf"/><Relationship Id="rId44" Type="http://schemas.openxmlformats.org/officeDocument/2006/relationships/oleObject" Target="embeddings/oleObject14.bin"/><Relationship Id="rId43" Type="http://schemas.openxmlformats.org/officeDocument/2006/relationships/image" Target="media/image15.wmf"/><Relationship Id="rId42" Type="http://schemas.openxmlformats.org/officeDocument/2006/relationships/oleObject" Target="embeddings/oleObject13.bin"/><Relationship Id="rId41" Type="http://schemas.openxmlformats.org/officeDocument/2006/relationships/image" Target="media/image14.wmf"/><Relationship Id="rId40" Type="http://schemas.openxmlformats.org/officeDocument/2006/relationships/oleObject" Target="embeddings/oleObject12.bin"/><Relationship Id="rId4" Type="http://schemas.openxmlformats.org/officeDocument/2006/relationships/endnotes" Target="endnotes.xml"/><Relationship Id="rId39" Type="http://schemas.openxmlformats.org/officeDocument/2006/relationships/image" Target="media/image13.wmf"/><Relationship Id="rId38" Type="http://schemas.openxmlformats.org/officeDocument/2006/relationships/oleObject" Target="embeddings/oleObject11.bin"/><Relationship Id="rId37" Type="http://schemas.openxmlformats.org/officeDocument/2006/relationships/image" Target="media/image12.wmf"/><Relationship Id="rId36" Type="http://schemas.openxmlformats.org/officeDocument/2006/relationships/oleObject" Target="embeddings/oleObject10.bin"/><Relationship Id="rId35" Type="http://schemas.openxmlformats.org/officeDocument/2006/relationships/image" Target="media/image11.wmf"/><Relationship Id="rId34" Type="http://schemas.openxmlformats.org/officeDocument/2006/relationships/oleObject" Target="embeddings/oleObject9.bin"/><Relationship Id="rId33" Type="http://schemas.openxmlformats.org/officeDocument/2006/relationships/image" Target="media/image10.wmf"/><Relationship Id="rId32" Type="http://schemas.openxmlformats.org/officeDocument/2006/relationships/oleObject" Target="embeddings/oleObject8.bin"/><Relationship Id="rId31" Type="http://schemas.openxmlformats.org/officeDocument/2006/relationships/image" Target="media/image9.wmf"/><Relationship Id="rId30" Type="http://schemas.openxmlformats.org/officeDocument/2006/relationships/oleObject" Target="embeddings/oleObject7.bin"/><Relationship Id="rId3" Type="http://schemas.openxmlformats.org/officeDocument/2006/relationships/footnotes" Target="footnotes.xml"/><Relationship Id="rId29" Type="http://schemas.openxmlformats.org/officeDocument/2006/relationships/image" Target="media/image8.wmf"/><Relationship Id="rId28" Type="http://schemas.openxmlformats.org/officeDocument/2006/relationships/oleObject" Target="embeddings/oleObject6.bin"/><Relationship Id="rId27" Type="http://schemas.openxmlformats.org/officeDocument/2006/relationships/image" Target="media/image7.wmf"/><Relationship Id="rId26" Type="http://schemas.openxmlformats.org/officeDocument/2006/relationships/oleObject" Target="embeddings/oleObject5.bin"/><Relationship Id="rId25" Type="http://schemas.openxmlformats.org/officeDocument/2006/relationships/image" Target="media/image6.wmf"/><Relationship Id="rId24" Type="http://schemas.openxmlformats.org/officeDocument/2006/relationships/oleObject" Target="embeddings/oleObject4.bin"/><Relationship Id="rId23" Type="http://schemas.openxmlformats.org/officeDocument/2006/relationships/image" Target="media/image5.wmf"/><Relationship Id="rId22" Type="http://schemas.openxmlformats.org/officeDocument/2006/relationships/oleObject" Target="embeddings/oleObject3.bin"/><Relationship Id="rId21" Type="http://schemas.openxmlformats.org/officeDocument/2006/relationships/image" Target="media/image4.wmf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3.wmf"/><Relationship Id="rId183" Type="http://schemas.openxmlformats.org/officeDocument/2006/relationships/fontTable" Target="fontTable.xml"/><Relationship Id="rId182" Type="http://schemas.openxmlformats.org/officeDocument/2006/relationships/customXml" Target="../customXml/item2.xml"/><Relationship Id="rId181" Type="http://schemas.openxmlformats.org/officeDocument/2006/relationships/numbering" Target="numbering.xml"/><Relationship Id="rId180" Type="http://schemas.openxmlformats.org/officeDocument/2006/relationships/customXml" Target="../customXml/item1.xml"/><Relationship Id="rId18" Type="http://schemas.openxmlformats.org/officeDocument/2006/relationships/oleObject" Target="embeddings/oleObject1.bin"/><Relationship Id="rId179" Type="http://schemas.openxmlformats.org/officeDocument/2006/relationships/image" Target="media/image81.wmf"/><Relationship Id="rId178" Type="http://schemas.openxmlformats.org/officeDocument/2006/relationships/oleObject" Target="embeddings/oleObject83.bin"/><Relationship Id="rId177" Type="http://schemas.openxmlformats.org/officeDocument/2006/relationships/image" Target="media/image80.wmf"/><Relationship Id="rId176" Type="http://schemas.openxmlformats.org/officeDocument/2006/relationships/oleObject" Target="embeddings/oleObject82.bin"/><Relationship Id="rId175" Type="http://schemas.openxmlformats.org/officeDocument/2006/relationships/image" Target="media/image79.wmf"/><Relationship Id="rId174" Type="http://schemas.openxmlformats.org/officeDocument/2006/relationships/oleObject" Target="embeddings/oleObject81.bin"/><Relationship Id="rId173" Type="http://schemas.openxmlformats.org/officeDocument/2006/relationships/image" Target="media/image78.wmf"/><Relationship Id="rId172" Type="http://schemas.openxmlformats.org/officeDocument/2006/relationships/oleObject" Target="embeddings/oleObject80.bin"/><Relationship Id="rId171" Type="http://schemas.openxmlformats.org/officeDocument/2006/relationships/image" Target="media/image77.wmf"/><Relationship Id="rId170" Type="http://schemas.openxmlformats.org/officeDocument/2006/relationships/oleObject" Target="embeddings/oleObject79.bin"/><Relationship Id="rId17" Type="http://schemas.openxmlformats.org/officeDocument/2006/relationships/image" Target="media/image2.wmf"/><Relationship Id="rId169" Type="http://schemas.openxmlformats.org/officeDocument/2006/relationships/image" Target="media/image76.wmf"/><Relationship Id="rId168" Type="http://schemas.openxmlformats.org/officeDocument/2006/relationships/oleObject" Target="embeddings/oleObject78.bin"/><Relationship Id="rId167" Type="http://schemas.openxmlformats.org/officeDocument/2006/relationships/image" Target="media/image75.wmf"/><Relationship Id="rId166" Type="http://schemas.openxmlformats.org/officeDocument/2006/relationships/oleObject" Target="embeddings/oleObject77.bin"/><Relationship Id="rId165" Type="http://schemas.openxmlformats.org/officeDocument/2006/relationships/image" Target="media/image74.wmf"/><Relationship Id="rId164" Type="http://schemas.openxmlformats.org/officeDocument/2006/relationships/oleObject" Target="embeddings/oleObject76.bin"/><Relationship Id="rId163" Type="http://schemas.openxmlformats.org/officeDocument/2006/relationships/oleObject" Target="embeddings/oleObject75.bin"/><Relationship Id="rId162" Type="http://schemas.openxmlformats.org/officeDocument/2006/relationships/image" Target="media/image73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72.wmf"/><Relationship Id="rId16" Type="http://schemas.openxmlformats.org/officeDocument/2006/relationships/image" Target="media/image1.png"/><Relationship Id="rId159" Type="http://schemas.openxmlformats.org/officeDocument/2006/relationships/oleObject" Target="embeddings/oleObject73.bin"/><Relationship Id="rId158" Type="http://schemas.openxmlformats.org/officeDocument/2006/relationships/image" Target="media/image71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70.wmf"/><Relationship Id="rId155" Type="http://schemas.openxmlformats.org/officeDocument/2006/relationships/oleObject" Target="embeddings/oleObject71.bin"/><Relationship Id="rId154" Type="http://schemas.openxmlformats.org/officeDocument/2006/relationships/oleObject" Target="embeddings/oleObject70.bin"/><Relationship Id="rId153" Type="http://schemas.openxmlformats.org/officeDocument/2006/relationships/oleObject" Target="embeddings/oleObject69.bin"/><Relationship Id="rId152" Type="http://schemas.openxmlformats.org/officeDocument/2006/relationships/image" Target="media/image69.wmf"/><Relationship Id="rId151" Type="http://schemas.openxmlformats.org/officeDocument/2006/relationships/oleObject" Target="embeddings/oleObject68.bin"/><Relationship Id="rId150" Type="http://schemas.openxmlformats.org/officeDocument/2006/relationships/image" Target="media/image68.wmf"/><Relationship Id="rId15" Type="http://schemas.openxmlformats.org/officeDocument/2006/relationships/theme" Target="theme/theme1.xml"/><Relationship Id="rId149" Type="http://schemas.openxmlformats.org/officeDocument/2006/relationships/oleObject" Target="embeddings/oleObject67.bin"/><Relationship Id="rId148" Type="http://schemas.openxmlformats.org/officeDocument/2006/relationships/image" Target="media/image67.wmf"/><Relationship Id="rId147" Type="http://schemas.openxmlformats.org/officeDocument/2006/relationships/oleObject" Target="embeddings/oleObject66.bin"/><Relationship Id="rId146" Type="http://schemas.openxmlformats.org/officeDocument/2006/relationships/image" Target="media/image66.wmf"/><Relationship Id="rId145" Type="http://schemas.openxmlformats.org/officeDocument/2006/relationships/oleObject" Target="embeddings/oleObject65.bin"/><Relationship Id="rId144" Type="http://schemas.openxmlformats.org/officeDocument/2006/relationships/image" Target="media/image65.wmf"/><Relationship Id="rId143" Type="http://schemas.openxmlformats.org/officeDocument/2006/relationships/oleObject" Target="embeddings/oleObject64.bin"/><Relationship Id="rId142" Type="http://schemas.openxmlformats.org/officeDocument/2006/relationships/image" Target="media/image64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63.wmf"/><Relationship Id="rId14" Type="http://schemas.openxmlformats.org/officeDocument/2006/relationships/footer" Target="footer5.xml"/><Relationship Id="rId139" Type="http://schemas.openxmlformats.org/officeDocument/2006/relationships/oleObject" Target="embeddings/oleObject62.bin"/><Relationship Id="rId138" Type="http://schemas.openxmlformats.org/officeDocument/2006/relationships/image" Target="media/image62.wmf"/><Relationship Id="rId137" Type="http://schemas.openxmlformats.org/officeDocument/2006/relationships/oleObject" Target="embeddings/oleObject61.bin"/><Relationship Id="rId136" Type="http://schemas.openxmlformats.org/officeDocument/2006/relationships/image" Target="media/image61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60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59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58.wmf"/><Relationship Id="rId13" Type="http://schemas.openxmlformats.org/officeDocument/2006/relationships/header" Target="header5.xml"/><Relationship Id="rId129" Type="http://schemas.openxmlformats.org/officeDocument/2006/relationships/oleObject" Target="embeddings/oleObject57.bin"/><Relationship Id="rId128" Type="http://schemas.openxmlformats.org/officeDocument/2006/relationships/image" Target="media/image57.wmf"/><Relationship Id="rId127" Type="http://schemas.openxmlformats.org/officeDocument/2006/relationships/oleObject" Target="embeddings/oleObject56.bin"/><Relationship Id="rId126" Type="http://schemas.openxmlformats.org/officeDocument/2006/relationships/image" Target="media/image56.wmf"/><Relationship Id="rId125" Type="http://schemas.openxmlformats.org/officeDocument/2006/relationships/oleObject" Target="embeddings/oleObject55.bin"/><Relationship Id="rId124" Type="http://schemas.openxmlformats.org/officeDocument/2006/relationships/image" Target="media/image55.wmf"/><Relationship Id="rId123" Type="http://schemas.openxmlformats.org/officeDocument/2006/relationships/oleObject" Target="embeddings/oleObject54.bin"/><Relationship Id="rId122" Type="http://schemas.openxmlformats.org/officeDocument/2006/relationships/image" Target="media/image54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53.wmf"/><Relationship Id="rId12" Type="http://schemas.openxmlformats.org/officeDocument/2006/relationships/footer" Target="footer4.xml"/><Relationship Id="rId119" Type="http://schemas.openxmlformats.org/officeDocument/2006/relationships/oleObject" Target="embeddings/oleObject52.bin"/><Relationship Id="rId118" Type="http://schemas.openxmlformats.org/officeDocument/2006/relationships/image" Target="media/image52.wmf"/><Relationship Id="rId117" Type="http://schemas.openxmlformats.org/officeDocument/2006/relationships/oleObject" Target="embeddings/oleObject51.bin"/><Relationship Id="rId116" Type="http://schemas.openxmlformats.org/officeDocument/2006/relationships/image" Target="media/image51.wmf"/><Relationship Id="rId115" Type="http://schemas.openxmlformats.org/officeDocument/2006/relationships/oleObject" Target="embeddings/oleObject50.bin"/><Relationship Id="rId114" Type="http://schemas.openxmlformats.org/officeDocument/2006/relationships/image" Target="media/image50.wmf"/><Relationship Id="rId113" Type="http://schemas.openxmlformats.org/officeDocument/2006/relationships/oleObject" Target="embeddings/oleObject49.bin"/><Relationship Id="rId112" Type="http://schemas.openxmlformats.org/officeDocument/2006/relationships/image" Target="media/image49.wmf"/><Relationship Id="rId111" Type="http://schemas.openxmlformats.org/officeDocument/2006/relationships/oleObject" Target="embeddings/oleObject48.bin"/><Relationship Id="rId110" Type="http://schemas.openxmlformats.org/officeDocument/2006/relationships/image" Target="media/image48.wmf"/><Relationship Id="rId11" Type="http://schemas.openxmlformats.org/officeDocument/2006/relationships/header" Target="header4.xml"/><Relationship Id="rId109" Type="http://schemas.openxmlformats.org/officeDocument/2006/relationships/oleObject" Target="embeddings/oleObject47.bin"/><Relationship Id="rId108" Type="http://schemas.openxmlformats.org/officeDocument/2006/relationships/image" Target="media/image47.wmf"/><Relationship Id="rId107" Type="http://schemas.openxmlformats.org/officeDocument/2006/relationships/oleObject" Target="embeddings/oleObject46.bin"/><Relationship Id="rId106" Type="http://schemas.openxmlformats.org/officeDocument/2006/relationships/image" Target="media/image46.wmf"/><Relationship Id="rId105" Type="http://schemas.openxmlformats.org/officeDocument/2006/relationships/oleObject" Target="embeddings/oleObject45.bin"/><Relationship Id="rId104" Type="http://schemas.openxmlformats.org/officeDocument/2006/relationships/image" Target="media/image45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44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43.wmf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  <customShpInfo spid="_x0000_s1190"/>
    <customShpInfo spid="_x0000_s1189"/>
    <customShpInfo spid="_x0000_s1193"/>
    <customShpInfo spid="_x0000_s1192"/>
    <customShpInfo spid="_x0000_s1105"/>
    <customShpInfo spid="_x0000_s1106"/>
    <customShpInfo spid="_x0000_s1108"/>
    <customShpInfo spid="_x0000_s1109"/>
    <customShpInfo spid="_x0000_s111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BDF107-77E7-4760-87C8-F8E2C59C71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20</Pages>
  <Words>3844</Words>
  <Characters>4595</Characters>
  <Lines>87</Lines>
  <Paragraphs>24</Paragraphs>
  <TotalTime>0</TotalTime>
  <ScaleCrop>false</ScaleCrop>
  <LinksUpToDate>false</LinksUpToDate>
  <CharactersWithSpaces>5575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2026-05-05T11:21:00Z</dcterms:created>
  <dc:creator>FHX</dc:creator>
  <cp:lastModifiedBy>枢</cp:lastModifiedBy>
  <cp:lastPrinted>2021-09-24T02:41:00Z</cp:lastPrinted>
  <dcterms:modified xsi:type="dcterms:W3CDTF">2026-05-18T09:57:14Z</dcterms:modified>
  <dc:title>中国测试技术研究院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Section">
    <vt:lpwstr>1</vt:lpwstr>
  </property>
  <property fmtid="{D5CDD505-2E9C-101B-9397-08002B2CF9AE}" pid="4" name="MTEquationNumber2">
    <vt:lpwstr>(#E1)</vt:lpwstr>
  </property>
  <property fmtid="{D5CDD505-2E9C-101B-9397-08002B2CF9AE}" pid="5" name="MTCustomEquationNumber">
    <vt:lpwstr>1</vt:lpwstr>
  </property>
  <property fmtid="{D5CDD505-2E9C-101B-9397-08002B2CF9AE}" pid="6" name="KSOTemplateDocerSaveRecord">
    <vt:lpwstr>eyJoZGlkIjoiODE5ZTlhNTY5MmU0Zjc5OWYwMjZjMzc4YmM2YzdjMGQiLCJ1c2VySWQiOiI0NDYzMTg5OTEifQ==</vt:lpwstr>
  </property>
  <property fmtid="{D5CDD505-2E9C-101B-9397-08002B2CF9AE}" pid="7" name="KSOProductBuildVer">
    <vt:lpwstr>2052-12.1.0.25865</vt:lpwstr>
  </property>
  <property fmtid="{D5CDD505-2E9C-101B-9397-08002B2CF9AE}" pid="8" name="ICV">
    <vt:lpwstr>8202BBCB0F704EE2BF64A1C8DBA2AB36_12</vt:lpwstr>
  </property>
</Properties>
</file>