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1DE40A">
      <w:pPr>
        <w:jc w:val="center"/>
        <w:rPr>
          <w:rFonts w:eastAsia="黑体"/>
          <w:sz w:val="52"/>
          <w:szCs w:val="22"/>
        </w:rPr>
      </w:pPr>
    </w:p>
    <w:p w14:paraId="255F1168">
      <w:pPr>
        <w:jc w:val="center"/>
        <w:rPr>
          <w:rFonts w:eastAsia="黑体"/>
          <w:sz w:val="52"/>
          <w:szCs w:val="22"/>
        </w:rPr>
      </w:pPr>
    </w:p>
    <w:p w14:paraId="079FEE8C">
      <w:pPr>
        <w:jc w:val="center"/>
        <w:rPr>
          <w:rFonts w:eastAsia="黑体"/>
          <w:sz w:val="52"/>
          <w:szCs w:val="22"/>
        </w:rPr>
      </w:pPr>
    </w:p>
    <w:p w14:paraId="2D212E12">
      <w:pPr>
        <w:jc w:val="center"/>
        <w:rPr>
          <w:rFonts w:eastAsia="黑体"/>
          <w:sz w:val="52"/>
          <w:szCs w:val="22"/>
        </w:rPr>
      </w:pPr>
    </w:p>
    <w:p w14:paraId="28A6C659">
      <w:pPr>
        <w:jc w:val="center"/>
        <w:rPr>
          <w:rFonts w:eastAsia="黑体"/>
          <w:sz w:val="52"/>
          <w:szCs w:val="22"/>
        </w:rPr>
      </w:pPr>
    </w:p>
    <w:p w14:paraId="2D1D3DD2">
      <w:pPr>
        <w:jc w:val="center"/>
        <w:rPr>
          <w:rFonts w:eastAsia="黑体"/>
          <w:sz w:val="52"/>
          <w:szCs w:val="22"/>
        </w:rPr>
      </w:pPr>
    </w:p>
    <w:p w14:paraId="7C2FBF23">
      <w:pPr>
        <w:jc w:val="center"/>
        <w:rPr>
          <w:rFonts w:eastAsia="黑体"/>
          <w:sz w:val="52"/>
          <w:szCs w:val="22"/>
        </w:rPr>
      </w:pPr>
      <w:bookmarkStart w:id="0" w:name="OLE_LINK12"/>
      <w:r>
        <w:rPr>
          <w:rFonts w:hint="eastAsia" w:eastAsia="黑体"/>
          <w:sz w:val="52"/>
          <w:szCs w:val="22"/>
        </w:rPr>
        <w:t>多参数食品现场快速检测仪</w:t>
      </w:r>
      <w:r>
        <w:rPr>
          <w:rFonts w:eastAsia="黑体"/>
          <w:sz w:val="52"/>
          <w:szCs w:val="22"/>
        </w:rPr>
        <w:t>校准规范</w:t>
      </w:r>
    </w:p>
    <w:p w14:paraId="0FC035ED">
      <w:pPr>
        <w:jc w:val="center"/>
        <w:rPr>
          <w:rFonts w:eastAsia="黑体"/>
          <w:sz w:val="52"/>
          <w:szCs w:val="22"/>
        </w:rPr>
      </w:pPr>
    </w:p>
    <w:p w14:paraId="275F29C3">
      <w:pPr>
        <w:jc w:val="center"/>
        <w:rPr>
          <w:rFonts w:eastAsia="黑体"/>
          <w:sz w:val="52"/>
          <w:szCs w:val="22"/>
        </w:rPr>
      </w:pPr>
      <w:r>
        <w:rPr>
          <w:rFonts w:eastAsia="黑体"/>
          <w:sz w:val="52"/>
          <w:szCs w:val="22"/>
        </w:rPr>
        <w:t>不确定度</w:t>
      </w:r>
      <w:r>
        <w:rPr>
          <w:rFonts w:hint="eastAsia" w:eastAsia="黑体"/>
          <w:sz w:val="52"/>
          <w:szCs w:val="22"/>
          <w:lang w:val="en-US" w:eastAsia="zh-CN"/>
        </w:rPr>
        <w:t>评定</w:t>
      </w:r>
      <w:bookmarkStart w:id="16" w:name="_GoBack"/>
      <w:bookmarkEnd w:id="16"/>
      <w:r>
        <w:rPr>
          <w:rFonts w:eastAsia="黑体"/>
          <w:sz w:val="52"/>
          <w:szCs w:val="22"/>
        </w:rPr>
        <w:t>报告</w:t>
      </w:r>
    </w:p>
    <w:bookmarkEnd w:id="0"/>
    <w:p w14:paraId="5B0DB0DE">
      <w:pPr>
        <w:jc w:val="center"/>
        <w:rPr>
          <w:sz w:val="52"/>
          <w:szCs w:val="22"/>
        </w:rPr>
      </w:pPr>
    </w:p>
    <w:p w14:paraId="3600540F">
      <w:pPr>
        <w:jc w:val="center"/>
        <w:rPr>
          <w:sz w:val="52"/>
          <w:szCs w:val="22"/>
        </w:rPr>
      </w:pPr>
    </w:p>
    <w:p w14:paraId="3A887C12">
      <w:pPr>
        <w:jc w:val="center"/>
        <w:rPr>
          <w:sz w:val="52"/>
          <w:szCs w:val="22"/>
        </w:rPr>
      </w:pPr>
    </w:p>
    <w:p w14:paraId="43100543">
      <w:pPr>
        <w:jc w:val="center"/>
        <w:rPr>
          <w:sz w:val="52"/>
          <w:szCs w:val="22"/>
        </w:rPr>
      </w:pPr>
    </w:p>
    <w:p w14:paraId="497CDD94">
      <w:pPr>
        <w:jc w:val="center"/>
        <w:rPr>
          <w:sz w:val="52"/>
          <w:szCs w:val="22"/>
        </w:rPr>
      </w:pPr>
    </w:p>
    <w:p w14:paraId="6D4C8D93">
      <w:pPr>
        <w:jc w:val="center"/>
        <w:rPr>
          <w:sz w:val="52"/>
          <w:szCs w:val="22"/>
        </w:rPr>
      </w:pPr>
    </w:p>
    <w:p w14:paraId="44DCD0F9">
      <w:pPr>
        <w:jc w:val="center"/>
        <w:rPr>
          <w:sz w:val="52"/>
          <w:szCs w:val="22"/>
        </w:rPr>
      </w:pPr>
    </w:p>
    <w:p w14:paraId="13068915">
      <w:pPr>
        <w:jc w:val="center"/>
        <w:rPr>
          <w:sz w:val="30"/>
          <w:szCs w:val="30"/>
        </w:rPr>
      </w:pPr>
    </w:p>
    <w:p w14:paraId="47D3F16A">
      <w:pPr>
        <w:jc w:val="center"/>
        <w:rPr>
          <w:sz w:val="30"/>
          <w:szCs w:val="30"/>
        </w:rPr>
      </w:pPr>
      <w:r>
        <w:rPr>
          <w:sz w:val="30"/>
          <w:szCs w:val="30"/>
        </w:rPr>
        <w:t>遵义市产品质量检验检测院</w:t>
      </w:r>
    </w:p>
    <w:p w14:paraId="28954AFF">
      <w:pPr>
        <w:jc w:val="center"/>
        <w:rPr>
          <w:sz w:val="30"/>
          <w:szCs w:val="30"/>
        </w:rPr>
      </w:pPr>
      <w:r>
        <w:rPr>
          <w:sz w:val="30"/>
          <w:szCs w:val="30"/>
        </w:rPr>
        <w:t>（遵义市综合检验检测中心）</w:t>
      </w:r>
    </w:p>
    <w:p w14:paraId="1BB00934">
      <w:pPr>
        <w:jc w:val="center"/>
        <w:rPr>
          <w:sz w:val="52"/>
          <w:szCs w:val="22"/>
        </w:rPr>
      </w:pPr>
      <w:r>
        <w:rPr>
          <w:sz w:val="28"/>
          <w:szCs w:val="28"/>
        </w:rPr>
        <w:t>2026年05月</w:t>
      </w:r>
    </w:p>
    <w:p w14:paraId="0C7623CE">
      <w:pPr>
        <w:rPr>
          <w:rFonts w:eastAsia="等线"/>
          <w:szCs w:val="22"/>
        </w:rPr>
      </w:pPr>
    </w:p>
    <w:p w14:paraId="75A3C242">
      <w:pPr>
        <w:spacing w:line="360" w:lineRule="auto"/>
        <w:rPr>
          <w:rFonts w:eastAsiaTheme="minorEastAsia"/>
          <w:b/>
          <w:sz w:val="24"/>
        </w:rPr>
      </w:pPr>
      <w:r>
        <w:rPr>
          <w:rFonts w:eastAsiaTheme="minorEastAsia"/>
          <w:b/>
          <w:sz w:val="24"/>
        </w:rPr>
        <w:br w:type="page"/>
      </w:r>
    </w:p>
    <w:p w14:paraId="29080982">
      <w:pPr>
        <w:spacing w:before="156" w:beforeLines="50" w:line="360" w:lineRule="auto"/>
        <w:jc w:val="center"/>
        <w:rPr>
          <w:rFonts w:eastAsia="黑体"/>
          <w:kern w:val="0"/>
          <w:sz w:val="28"/>
          <w:szCs w:val="28"/>
        </w:rPr>
      </w:pPr>
      <w:bookmarkStart w:id="1" w:name="OLE_LINK96"/>
      <w:bookmarkStart w:id="2" w:name="OLE_LINK97"/>
      <w:bookmarkStart w:id="3" w:name="OLE_LINK170"/>
      <w:bookmarkStart w:id="4" w:name="OLE_LINK113"/>
      <w:bookmarkStart w:id="5" w:name="OLE_LINK171"/>
      <w:r>
        <w:rPr>
          <w:rFonts w:eastAsia="黑体"/>
          <w:kern w:val="0"/>
          <w:sz w:val="28"/>
          <w:szCs w:val="28"/>
        </w:rPr>
        <w:t>前  言</w:t>
      </w:r>
    </w:p>
    <w:p w14:paraId="1A68C961">
      <w:pPr>
        <w:spacing w:before="156" w:beforeLines="50" w:line="360" w:lineRule="auto"/>
        <w:ind w:firstLine="480" w:firstLineChars="200"/>
        <w:jc w:val="left"/>
        <w:rPr>
          <w:iCs/>
          <w:sz w:val="24"/>
        </w:rPr>
      </w:pPr>
      <w:r>
        <w:rPr>
          <w:sz w:val="24"/>
        </w:rPr>
        <w:t>本分析报告选取了一台常见的生产厂家、型号和测量范围的具有代表性的</w:t>
      </w:r>
      <w:r>
        <w:rPr>
          <w:rFonts w:hint="eastAsia"/>
          <w:sz w:val="24"/>
        </w:rPr>
        <w:t>多参数食品现场快速检测仪</w:t>
      </w:r>
      <w:r>
        <w:rPr>
          <w:sz w:val="24"/>
        </w:rPr>
        <w:t>，根据校准规范的方法对</w:t>
      </w:r>
      <w:r>
        <w:rPr>
          <w:rFonts w:hint="eastAsia"/>
          <w:sz w:val="24"/>
        </w:rPr>
        <w:t>波长示值误差、透射比示值误差、灵敏度</w:t>
      </w:r>
      <w:r>
        <w:rPr>
          <w:sz w:val="24"/>
        </w:rPr>
        <w:t>、测量重复性、</w:t>
      </w:r>
      <w:r>
        <w:rPr>
          <w:iCs/>
          <w:sz w:val="24"/>
        </w:rPr>
        <w:t>线性相关系数、通道间差异等技术指标进行校准，给出示值误差测量结果的不确定度分析报告。</w:t>
      </w:r>
      <w:r>
        <w:rPr>
          <w:iCs/>
          <w:sz w:val="24"/>
        </w:rPr>
        <w:br w:type="page"/>
      </w:r>
    </w:p>
    <w:bookmarkEnd w:id="1"/>
    <w:bookmarkEnd w:id="2"/>
    <w:p w14:paraId="028E03BB">
      <w:pPr>
        <w:spacing w:line="360" w:lineRule="auto"/>
        <w:rPr>
          <w:rFonts w:eastAsia="黑体"/>
          <w:kern w:val="0"/>
          <w:sz w:val="28"/>
          <w:szCs w:val="28"/>
        </w:rPr>
      </w:pPr>
      <w:r>
        <w:rPr>
          <w:rFonts w:hint="eastAsia" w:eastAsia="黑体"/>
          <w:kern w:val="0"/>
          <w:sz w:val="28"/>
          <w:szCs w:val="28"/>
        </w:rPr>
        <w:t>一、波长示值误差不确定度的评定</w:t>
      </w:r>
    </w:p>
    <w:bookmarkEnd w:id="3"/>
    <w:bookmarkEnd w:id="4"/>
    <w:bookmarkEnd w:id="5"/>
    <w:p w14:paraId="3128C0B9">
      <w:pPr>
        <w:rPr>
          <w:sz w:val="24"/>
        </w:rPr>
      </w:pPr>
      <w:r>
        <w:rPr>
          <w:rFonts w:hint="eastAsia"/>
          <w:sz w:val="24"/>
        </w:rPr>
        <w:t>1</w:t>
      </w:r>
      <w:r>
        <w:rPr>
          <w:sz w:val="24"/>
        </w:rPr>
        <w:t>、</w:t>
      </w:r>
      <w:r>
        <w:rPr>
          <w:rFonts w:hint="eastAsia"/>
          <w:sz w:val="24"/>
        </w:rPr>
        <w:t>概述</w:t>
      </w:r>
    </w:p>
    <w:p w14:paraId="3E9510DA">
      <w:pPr>
        <w:ind w:firstLine="480" w:firstLineChars="200"/>
        <w:rPr>
          <w:sz w:val="24"/>
        </w:rPr>
      </w:pPr>
      <w:r>
        <w:rPr>
          <w:rFonts w:hint="eastAsia"/>
          <w:sz w:val="24"/>
        </w:rPr>
        <w:t>按规范要求，把光纤光谱仪的探头依次置于样品室的各个通道中，测量检测仪的峰值波长，重复测量</w:t>
      </w:r>
      <w:r>
        <w:rPr>
          <w:sz w:val="24"/>
        </w:rPr>
        <w:t>3</w:t>
      </w:r>
      <w:r>
        <w:rPr>
          <w:rFonts w:hint="eastAsia"/>
          <w:sz w:val="24"/>
        </w:rPr>
        <w:t>次取平均值，计算波长误差。</w:t>
      </w:r>
    </w:p>
    <w:p w14:paraId="3AFC74D2">
      <w:pPr>
        <w:rPr>
          <w:sz w:val="24"/>
        </w:rPr>
      </w:pPr>
      <w:r>
        <w:rPr>
          <w:rFonts w:hint="eastAsia"/>
          <w:sz w:val="24"/>
        </w:rPr>
        <w:t>2、测量模型</w:t>
      </w:r>
    </w:p>
    <w:p w14:paraId="0604B1A7">
      <w:pPr>
        <w:ind w:firstLine="480"/>
        <w:jc w:val="center"/>
        <w:rPr>
          <w:position w:val="-12"/>
          <w:sz w:val="24"/>
        </w:rPr>
      </w:pPr>
      <w:r>
        <w:rPr>
          <w:position w:val="-12"/>
          <w:sz w:val="24"/>
        </w:rPr>
        <w:object>
          <v:shape id="_x0000_i1025" o:spt="75" type="#_x0000_t75" style="height:19.6pt;width:59.9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p>
    <w:p w14:paraId="1171B90A">
      <w:pPr>
        <w:ind w:firstLine="480"/>
        <w:rPr>
          <w:sz w:val="24"/>
        </w:rPr>
      </w:pPr>
      <w:r>
        <w:rPr>
          <w:rFonts w:hint="eastAsia"/>
          <w:sz w:val="24"/>
        </w:rPr>
        <w:t>式中：</w:t>
      </w:r>
    </w:p>
    <w:p w14:paraId="15AF4204">
      <w:pPr>
        <w:ind w:firstLine="480"/>
        <w:rPr>
          <w:sz w:val="24"/>
        </w:rPr>
      </w:pPr>
      <w:r>
        <w:rPr>
          <w:rFonts w:hint="eastAsia" w:ascii="宋体" w:hAnsi="宋体" w:cs="宋体"/>
          <w:sz w:val="24"/>
        </w:rPr>
        <w:tab/>
      </w:r>
      <w:r>
        <w:rPr>
          <w:rFonts w:hint="eastAsia" w:ascii="宋体" w:hAnsi="宋体" w:cs="宋体"/>
          <w:sz w:val="24"/>
        </w:rPr>
        <w:t xml:space="preserve">  </w:t>
      </w:r>
      <w:r>
        <w:rPr>
          <w:rFonts w:hint="eastAsia" w:ascii="宋体" w:hAnsi="宋体" w:cs="宋体"/>
          <w:position w:val="-12"/>
          <w:sz w:val="24"/>
        </w:rPr>
        <w:object>
          <v:shape id="_x0000_i1026" o:spt="75" type="#_x0000_t75" style="height:19.6pt;width:12.1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rPr>
          <w:rFonts w:hint="eastAsia" w:ascii="宋体" w:hAnsi="宋体" w:cs="宋体"/>
          <w:sz w:val="24"/>
        </w:rPr>
        <w:t xml:space="preserve">  —</w:t>
      </w:r>
      <w:r>
        <w:rPr>
          <w:sz w:val="24"/>
        </w:rPr>
        <w:t>3</w:t>
      </w:r>
      <w:r>
        <w:rPr>
          <w:rFonts w:hint="eastAsia"/>
          <w:sz w:val="24"/>
        </w:rPr>
        <w:t>次测量的平均值，</w:t>
      </w:r>
      <w:r>
        <w:rPr>
          <w:sz w:val="24"/>
        </w:rPr>
        <w:t>nm</w:t>
      </w:r>
      <w:r>
        <w:rPr>
          <w:rFonts w:hint="eastAsia"/>
          <w:sz w:val="24"/>
        </w:rPr>
        <w:t>；</w:t>
      </w:r>
      <w:r>
        <w:rPr>
          <w:sz w:val="24"/>
        </w:rPr>
        <w:t xml:space="preserve"> </w:t>
      </w:r>
    </w:p>
    <w:p w14:paraId="5B453587">
      <w:pPr>
        <w:ind w:firstLine="1200" w:firstLineChars="500"/>
        <w:rPr>
          <w:sz w:val="24"/>
        </w:rPr>
      </w:pPr>
      <w:r>
        <w:rPr>
          <w:position w:val="-12"/>
          <w:sz w:val="24"/>
        </w:rPr>
        <w:object>
          <v:shape id="_x0000_i1027" o:spt="75" type="#_x0000_t75" style="height:17.85pt;width:12.1pt;" o:ole="t" filled="f" o:preferrelative="t" stroked="f" coordsize="21600,21600">
            <v:path/>
            <v:fill on="f" focussize="0,0"/>
            <v:stroke on="f" joinstyle="miter"/>
            <v:imagedata r:id="rId10" o:title=""/>
            <o:lock v:ext="edit" aspectratio="t"/>
            <w10:wrap type="none"/>
            <w10:anchorlock/>
          </v:shape>
          <o:OLEObject Type="Embed" ProgID="Equation.DSMT4" ShapeID="_x0000_i1027" DrawAspect="Content" ObjectID="_1468075727" r:id="rId9">
            <o:LockedField>false</o:LockedField>
          </o:OLEObject>
        </w:object>
      </w:r>
      <w:r>
        <w:rPr>
          <w:sz w:val="24"/>
        </w:rPr>
        <w:t xml:space="preserve">  </w:t>
      </w:r>
      <w:r>
        <w:rPr>
          <w:rFonts w:hint="eastAsia" w:ascii="宋体" w:hAnsi="宋体" w:cs="宋体"/>
          <w:sz w:val="24"/>
        </w:rPr>
        <w:t>—</w:t>
      </w:r>
      <w:r>
        <w:rPr>
          <w:rFonts w:hint="eastAsia"/>
          <w:sz w:val="24"/>
        </w:rPr>
        <w:t>波长标称值，</w:t>
      </w:r>
      <w:r>
        <w:rPr>
          <w:sz w:val="24"/>
        </w:rPr>
        <w:t>nm</w:t>
      </w:r>
      <w:r>
        <w:rPr>
          <w:rFonts w:hint="eastAsia"/>
          <w:sz w:val="24"/>
        </w:rPr>
        <w:t>。</w:t>
      </w:r>
    </w:p>
    <w:p w14:paraId="2BCB0EC4">
      <w:pPr>
        <w:ind w:firstLine="480"/>
        <w:rPr>
          <w:sz w:val="24"/>
        </w:rPr>
      </w:pPr>
      <w:r>
        <w:rPr>
          <w:rFonts w:hint="eastAsia"/>
          <w:sz w:val="24"/>
        </w:rPr>
        <w:t>测量量</w:t>
      </w:r>
      <w:r>
        <w:rPr>
          <w:position w:val="-12"/>
          <w:sz w:val="24"/>
        </w:rPr>
        <w:object>
          <v:shape id="_x0000_i1028" o:spt="75" type="#_x0000_t75" style="height:19.6pt;width:12.1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1">
            <o:LockedField>false</o:LockedField>
          </o:OLEObject>
        </w:object>
      </w:r>
      <w:r>
        <w:rPr>
          <w:rFonts w:hint="eastAsia"/>
          <w:sz w:val="24"/>
        </w:rPr>
        <w:t>与</w:t>
      </w:r>
      <w:r>
        <w:rPr>
          <w:position w:val="-12"/>
          <w:sz w:val="24"/>
        </w:rPr>
        <w:object>
          <v:shape id="_x0000_i1029" o:spt="75" type="#_x0000_t75" style="height:17.85pt;width:12.1pt;" o:ole="t" filled="f" o:preferrelative="t" stroked="f" coordsize="21600,21600">
            <v:path/>
            <v:fill on="f" focussize="0,0"/>
            <v:stroke on="f" joinstyle="miter"/>
            <v:imagedata r:id="rId14" o:title=""/>
            <o:lock v:ext="edit" aspectratio="t"/>
            <w10:wrap type="none"/>
            <w10:anchorlock/>
          </v:shape>
          <o:OLEObject Type="Embed" ProgID="Equation.DSMT4" ShapeID="_x0000_i1029" DrawAspect="Content" ObjectID="_1468075729" r:id="rId13">
            <o:LockedField>false</o:LockedField>
          </o:OLEObject>
        </w:object>
      </w:r>
      <w:r>
        <w:rPr>
          <w:rFonts w:hint="eastAsia"/>
          <w:sz w:val="24"/>
        </w:rPr>
        <w:t>彼此不相关，有</w:t>
      </w:r>
    </w:p>
    <w:p w14:paraId="62026B52">
      <w:pPr>
        <w:ind w:firstLine="480"/>
        <w:jc w:val="center"/>
        <w:rPr>
          <w:sz w:val="24"/>
        </w:rPr>
      </w:pPr>
    </w:p>
    <w:p w14:paraId="0E871BF1">
      <w:pPr>
        <w:ind w:firstLine="480"/>
        <w:jc w:val="center"/>
        <w:rPr>
          <w:sz w:val="24"/>
        </w:rPr>
      </w:pPr>
      <w:r>
        <w:rPr>
          <w:position w:val="-12"/>
          <w:sz w:val="24"/>
        </w:rPr>
        <w:object>
          <v:shape id="_x0000_i1030" o:spt="75" type="#_x0000_t75" style="height:19.6pt;width:139.95pt;" o:ole="t" filled="f" o:preferrelative="t" stroked="f" coordsize="21600,21600">
            <v:path/>
            <v:fill on="f" focussize="0,0"/>
            <v:stroke on="f" joinstyle="miter"/>
            <v:imagedata r:id="rId16" o:title=""/>
            <o:lock v:ext="edit" aspectratio="t"/>
            <w10:wrap type="none"/>
            <w10:anchorlock/>
          </v:shape>
          <o:OLEObject Type="Embed" ProgID="Equation.DSMT4" ShapeID="_x0000_i1030" DrawAspect="Content" ObjectID="_1468075730" r:id="rId15">
            <o:LockedField>false</o:LockedField>
          </o:OLEObject>
        </w:object>
      </w:r>
    </w:p>
    <w:p w14:paraId="05D23196">
      <w:pPr>
        <w:ind w:firstLine="480"/>
        <w:rPr>
          <w:sz w:val="24"/>
        </w:rPr>
      </w:pPr>
      <w:r>
        <w:rPr>
          <w:rFonts w:hint="eastAsia"/>
          <w:sz w:val="24"/>
        </w:rPr>
        <w:t>其中，灵敏系数</w:t>
      </w:r>
      <w:r>
        <w:rPr>
          <w:position w:val="-10"/>
          <w:sz w:val="24"/>
        </w:rPr>
        <w:object>
          <v:shape id="_x0000_i1031" o:spt="75" type="#_x0000_t75" style="height:19.6pt;width:117.5pt;" o:ole="t" filled="f" o:preferrelative="t" stroked="f" coordsize="21600,21600">
            <v:path/>
            <v:fill on="f" focussize="0,0"/>
            <v:stroke on="f" joinstyle="miter"/>
            <v:imagedata r:id="rId18" o:title=""/>
            <o:lock v:ext="edit" aspectratio="t"/>
            <w10:wrap type="none"/>
            <w10:anchorlock/>
          </v:shape>
          <o:OLEObject Type="Embed" ProgID="Equation.DSMT4" ShapeID="_x0000_i1031" DrawAspect="Content" ObjectID="_1468075731" r:id="rId17">
            <o:LockedField>false</o:LockedField>
          </o:OLEObject>
        </w:object>
      </w:r>
      <w:r>
        <w:rPr>
          <w:rFonts w:hint="eastAsia"/>
          <w:sz w:val="24"/>
        </w:rPr>
        <w:t>，</w:t>
      </w:r>
      <w:r>
        <w:rPr>
          <w:position w:val="-12"/>
          <w:sz w:val="24"/>
        </w:rPr>
        <w:object>
          <v:shape id="_x0000_i1032" o:spt="75" type="#_x0000_t75" style="height:17.85pt;width:126.15pt;" o:ole="t" filled="f" o:preferrelative="t" stroked="f" coordsize="21600,21600">
            <v:path/>
            <v:fill on="f" focussize="0,0"/>
            <v:stroke on="f" joinstyle="miter"/>
            <v:imagedata r:id="rId20" o:title=""/>
            <o:lock v:ext="edit" aspectratio="t"/>
            <w10:wrap type="none"/>
            <w10:anchorlock/>
          </v:shape>
          <o:OLEObject Type="Embed" ProgID="Equation.DSMT4" ShapeID="_x0000_i1032" DrawAspect="Content" ObjectID="_1468075732" r:id="rId19">
            <o:LockedField>false</o:LockedField>
          </o:OLEObject>
        </w:object>
      </w:r>
    </w:p>
    <w:p w14:paraId="14D38A2F">
      <w:pPr>
        <w:ind w:firstLine="480"/>
        <w:rPr>
          <w:sz w:val="24"/>
        </w:rPr>
      </w:pPr>
      <w:r>
        <w:rPr>
          <w:rFonts w:hint="eastAsia"/>
          <w:sz w:val="24"/>
        </w:rPr>
        <w:t>因此，波长示值误差的不确定度可计算如下：</w:t>
      </w:r>
    </w:p>
    <w:p w14:paraId="668D27BB">
      <w:pPr>
        <w:ind w:firstLine="480"/>
        <w:rPr>
          <w:position w:val="-14"/>
          <w:sz w:val="24"/>
        </w:rPr>
      </w:pPr>
      <w:r>
        <w:rPr>
          <w:sz w:val="24"/>
        </w:rPr>
        <w:pict>
          <v:shape id="_x0000_s1054" o:spid="_x0000_s1054" o:spt="75" type="#_x0000_t75" style="position:absolute;left:0pt;margin-top:4.1pt;height:24pt;width:127pt;mso-position-horizontal:center;z-index:251660288;mso-width-relative:page;mso-height-relative:page;" o:ole="t" filled="f" o:preferrelative="t" stroked="f" coordsize="21600,21600">
            <v:path/>
            <v:fill on="f" focussize="0,0"/>
            <v:stroke on="f" joinstyle="miter"/>
            <v:imagedata r:id="rId22" o:title=""/>
            <o:lock v:ext="edit" aspectratio="t"/>
          </v:shape>
          <o:OLEObject Type="Embed" ProgID="Equation.DSMT4" ShapeID="_x0000_s1054" DrawAspect="Content" ObjectID="_1468075733" r:id="rId21">
            <o:LockedField>false</o:LockedField>
          </o:OLEObject>
        </w:pict>
      </w:r>
    </w:p>
    <w:p w14:paraId="6C25BC58">
      <w:pPr>
        <w:ind w:firstLine="480"/>
        <w:rPr>
          <w:sz w:val="24"/>
        </w:rPr>
      </w:pPr>
    </w:p>
    <w:p w14:paraId="40EEEAE5">
      <w:pPr>
        <w:rPr>
          <w:sz w:val="24"/>
        </w:rPr>
      </w:pPr>
      <w:r>
        <w:rPr>
          <w:rFonts w:hint="eastAsia"/>
          <w:sz w:val="24"/>
        </w:rPr>
        <w:t>3</w:t>
      </w:r>
      <w:r>
        <w:rPr>
          <w:sz w:val="24"/>
        </w:rPr>
        <w:t>、</w:t>
      </w:r>
      <w:r>
        <w:rPr>
          <w:rFonts w:hint="eastAsia"/>
          <w:sz w:val="24"/>
        </w:rPr>
        <w:t>不确定度的评定</w:t>
      </w:r>
    </w:p>
    <w:p w14:paraId="3BCF9A92">
      <w:pPr>
        <w:rPr>
          <w:sz w:val="24"/>
        </w:rPr>
      </w:pPr>
      <w:r>
        <w:rPr>
          <w:rFonts w:hint="eastAsia"/>
          <w:sz w:val="24"/>
        </w:rPr>
        <w:t>3.</w:t>
      </w:r>
      <w:r>
        <w:rPr>
          <w:sz w:val="24"/>
        </w:rPr>
        <w:t xml:space="preserve">1 </w:t>
      </w:r>
      <w:r>
        <w:rPr>
          <w:rFonts w:hint="eastAsia"/>
          <w:sz w:val="24"/>
        </w:rPr>
        <w:t>光纤光谱仪的不确定度</w:t>
      </w:r>
    </w:p>
    <w:p w14:paraId="2DF5A84C">
      <w:pPr>
        <w:ind w:firstLine="480"/>
        <w:rPr>
          <w:sz w:val="24"/>
        </w:rPr>
      </w:pPr>
      <w:r>
        <w:rPr>
          <w:rFonts w:hint="eastAsia"/>
          <w:sz w:val="24"/>
        </w:rPr>
        <w:t>光纤光谱仪的不确定度由校准证书给出，其扩展不确定度为</w:t>
      </w:r>
      <w:r>
        <w:rPr>
          <w:i/>
          <w:iCs/>
          <w:sz w:val="24"/>
        </w:rPr>
        <w:t>U</w:t>
      </w:r>
      <w:r>
        <w:rPr>
          <w:sz w:val="24"/>
        </w:rPr>
        <w:t>=1.0nm</w:t>
      </w:r>
      <w:r>
        <w:rPr>
          <w:rFonts w:hint="eastAsia"/>
          <w:sz w:val="24"/>
        </w:rPr>
        <w:t>，</w:t>
      </w:r>
      <w:r>
        <w:rPr>
          <w:i/>
          <w:sz w:val="24"/>
        </w:rPr>
        <w:t>k</w:t>
      </w:r>
      <w:r>
        <w:rPr>
          <w:sz w:val="24"/>
        </w:rPr>
        <w:t>=2</w:t>
      </w:r>
      <w:r>
        <w:rPr>
          <w:rFonts w:hint="eastAsia"/>
          <w:sz w:val="24"/>
        </w:rPr>
        <w:t>，故</w:t>
      </w:r>
    </w:p>
    <w:p w14:paraId="35AD9DAC">
      <w:pPr>
        <w:ind w:firstLine="480"/>
        <w:rPr>
          <w:position w:val="-12"/>
          <w:sz w:val="24"/>
        </w:rPr>
      </w:pPr>
      <w:r>
        <w:rPr>
          <w:sz w:val="24"/>
        </w:rPr>
        <w:pict>
          <v:shape id="_x0000_s1055" o:spid="_x0000_s1055" o:spt="75" type="#_x0000_t75" style="position:absolute;left:0pt;margin-top:6.6pt;height:18pt;width:111pt;mso-position-horizontal:center;z-index:251661312;mso-width-relative:page;mso-height-relative:page;" o:ole="t" filled="f" o:preferrelative="t" stroked="f" coordsize="21600,21600">
            <v:path/>
            <v:fill on="f" focussize="0,0"/>
            <v:stroke on="f" joinstyle="miter"/>
            <v:imagedata r:id="rId24" o:title=""/>
            <o:lock v:ext="edit" aspectratio="t"/>
          </v:shape>
          <o:OLEObject Type="Embed" ProgID="Equation.DSMT4" ShapeID="_x0000_s1055" DrawAspect="Content" ObjectID="_1468075734" r:id="rId23">
            <o:LockedField>false</o:LockedField>
          </o:OLEObject>
        </w:pict>
      </w:r>
    </w:p>
    <w:p w14:paraId="475A7505">
      <w:pPr>
        <w:ind w:firstLine="480"/>
        <w:rPr>
          <w:sz w:val="24"/>
        </w:rPr>
      </w:pPr>
    </w:p>
    <w:p w14:paraId="2D362B59">
      <w:pPr>
        <w:rPr>
          <w:sz w:val="24"/>
        </w:rPr>
      </w:pPr>
      <w:r>
        <w:rPr>
          <w:rFonts w:hint="eastAsia"/>
          <w:sz w:val="24"/>
        </w:rPr>
        <w:t>3.</w:t>
      </w:r>
      <w:r>
        <w:rPr>
          <w:sz w:val="24"/>
        </w:rPr>
        <w:t xml:space="preserve">2 </w:t>
      </w:r>
      <w:r>
        <w:rPr>
          <w:rFonts w:hint="eastAsia"/>
          <w:sz w:val="24"/>
        </w:rPr>
        <w:t>测量重复性引入的不确定度</w:t>
      </w:r>
    </w:p>
    <w:p w14:paraId="104E2F69">
      <w:pPr>
        <w:ind w:firstLine="480"/>
        <w:rPr>
          <w:sz w:val="24"/>
        </w:rPr>
      </w:pPr>
      <w:r>
        <w:rPr>
          <w:rFonts w:hint="eastAsia"/>
          <w:sz w:val="24"/>
        </w:rPr>
        <w:t>按照规范要求，选用一台多参数食品现场快速检测仪，其测量波长为</w:t>
      </w:r>
      <w:r>
        <w:rPr>
          <w:sz w:val="24"/>
        </w:rPr>
        <w:t>412</w:t>
      </w:r>
      <w:bookmarkStart w:id="6" w:name="OLE_LINK10"/>
      <w:bookmarkStart w:id="7" w:name="OLE_LINK9"/>
      <w:r>
        <w:rPr>
          <w:sz w:val="24"/>
        </w:rPr>
        <w:t>nm</w:t>
      </w:r>
      <w:bookmarkEnd w:id="6"/>
      <w:bookmarkEnd w:id="7"/>
      <w:r>
        <w:rPr>
          <w:rFonts w:hint="eastAsia"/>
          <w:sz w:val="24"/>
        </w:rPr>
        <w:t>，用光纤光谱仪重复测量</w:t>
      </w:r>
      <w:r>
        <w:rPr>
          <w:sz w:val="24"/>
        </w:rPr>
        <w:t>10</w:t>
      </w:r>
      <w:r>
        <w:rPr>
          <w:rFonts w:hint="eastAsia"/>
          <w:sz w:val="24"/>
        </w:rPr>
        <w:t>次，数据如下：</w:t>
      </w:r>
    </w:p>
    <w:tbl>
      <w:tblPr>
        <w:tblStyle w:val="7"/>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849"/>
        <w:gridCol w:w="849"/>
        <w:gridCol w:w="850"/>
        <w:gridCol w:w="850"/>
        <w:gridCol w:w="850"/>
        <w:gridCol w:w="850"/>
        <w:gridCol w:w="850"/>
        <w:gridCol w:w="850"/>
        <w:gridCol w:w="850"/>
        <w:gridCol w:w="850"/>
      </w:tblGrid>
      <w:tr w14:paraId="343D6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14:paraId="21F747DA">
            <w:pPr>
              <w:jc w:val="center"/>
              <w:rPr>
                <w:rFonts w:ascii="Times New Roman" w:hAnsi="Times New Roman"/>
                <w:sz w:val="24"/>
              </w:rPr>
            </w:pPr>
            <w:r>
              <w:rPr>
                <w:rFonts w:hint="eastAsia" w:ascii="Calibri" w:hAnsi="Calibri"/>
                <w:sz w:val="24"/>
              </w:rPr>
              <w:t>次数</w:t>
            </w:r>
          </w:p>
        </w:tc>
        <w:tc>
          <w:tcPr>
            <w:tcW w:w="850" w:type="dxa"/>
            <w:tcBorders>
              <w:top w:val="single" w:color="auto" w:sz="4" w:space="0"/>
              <w:left w:val="single" w:color="auto" w:sz="4" w:space="0"/>
              <w:bottom w:val="single" w:color="auto" w:sz="4" w:space="0"/>
              <w:right w:val="single" w:color="auto" w:sz="4" w:space="0"/>
            </w:tcBorders>
            <w:vAlign w:val="center"/>
          </w:tcPr>
          <w:p w14:paraId="706280CA">
            <w:pPr>
              <w:jc w:val="center"/>
              <w:rPr>
                <w:rFonts w:ascii="Times New Roman" w:hAnsi="Times New Roman"/>
                <w:sz w:val="24"/>
              </w:rPr>
            </w:pPr>
            <w:r>
              <w:rPr>
                <w:rFonts w:ascii="Calibri" w:hAnsi="Calibri"/>
                <w:sz w:val="24"/>
              </w:rPr>
              <w:t>1</w:t>
            </w:r>
          </w:p>
        </w:tc>
        <w:tc>
          <w:tcPr>
            <w:tcW w:w="850" w:type="dxa"/>
            <w:tcBorders>
              <w:top w:val="single" w:color="auto" w:sz="4" w:space="0"/>
              <w:left w:val="single" w:color="auto" w:sz="4" w:space="0"/>
              <w:bottom w:val="single" w:color="auto" w:sz="4" w:space="0"/>
              <w:right w:val="single" w:color="auto" w:sz="4" w:space="0"/>
            </w:tcBorders>
            <w:vAlign w:val="center"/>
          </w:tcPr>
          <w:p w14:paraId="7D762481">
            <w:pPr>
              <w:jc w:val="center"/>
              <w:rPr>
                <w:rFonts w:ascii="Times New Roman" w:hAnsi="Times New Roman"/>
                <w:sz w:val="24"/>
              </w:rPr>
            </w:pPr>
            <w:r>
              <w:rPr>
                <w:rFonts w:ascii="Calibri" w:hAnsi="Calibri"/>
                <w:sz w:val="24"/>
              </w:rPr>
              <w:t>2</w:t>
            </w:r>
          </w:p>
        </w:tc>
        <w:tc>
          <w:tcPr>
            <w:tcW w:w="850" w:type="dxa"/>
            <w:tcBorders>
              <w:top w:val="single" w:color="auto" w:sz="4" w:space="0"/>
              <w:left w:val="single" w:color="auto" w:sz="4" w:space="0"/>
              <w:bottom w:val="single" w:color="auto" w:sz="4" w:space="0"/>
              <w:right w:val="single" w:color="auto" w:sz="4" w:space="0"/>
            </w:tcBorders>
            <w:vAlign w:val="center"/>
          </w:tcPr>
          <w:p w14:paraId="7192507A">
            <w:pPr>
              <w:jc w:val="center"/>
              <w:rPr>
                <w:rFonts w:ascii="Times New Roman" w:hAnsi="Times New Roman"/>
                <w:sz w:val="24"/>
              </w:rPr>
            </w:pPr>
            <w:r>
              <w:rPr>
                <w:rFonts w:ascii="Calibri" w:hAnsi="Calibri"/>
                <w:sz w:val="24"/>
              </w:rPr>
              <w:t>3</w:t>
            </w:r>
          </w:p>
        </w:tc>
        <w:tc>
          <w:tcPr>
            <w:tcW w:w="850" w:type="dxa"/>
            <w:tcBorders>
              <w:top w:val="single" w:color="auto" w:sz="4" w:space="0"/>
              <w:left w:val="single" w:color="auto" w:sz="4" w:space="0"/>
              <w:bottom w:val="single" w:color="auto" w:sz="4" w:space="0"/>
              <w:right w:val="single" w:color="auto" w:sz="4" w:space="0"/>
            </w:tcBorders>
            <w:vAlign w:val="center"/>
          </w:tcPr>
          <w:p w14:paraId="77EBA36B">
            <w:pPr>
              <w:jc w:val="center"/>
              <w:rPr>
                <w:rFonts w:ascii="Times New Roman" w:hAnsi="Times New Roman"/>
                <w:sz w:val="24"/>
              </w:rPr>
            </w:pPr>
            <w:r>
              <w:rPr>
                <w:rFonts w:ascii="Calibri" w:hAnsi="Calibri"/>
                <w:sz w:val="24"/>
              </w:rPr>
              <w:t>4</w:t>
            </w:r>
          </w:p>
        </w:tc>
        <w:tc>
          <w:tcPr>
            <w:tcW w:w="850" w:type="dxa"/>
            <w:tcBorders>
              <w:top w:val="single" w:color="auto" w:sz="4" w:space="0"/>
              <w:left w:val="single" w:color="auto" w:sz="4" w:space="0"/>
              <w:bottom w:val="single" w:color="auto" w:sz="4" w:space="0"/>
              <w:right w:val="single" w:color="auto" w:sz="4" w:space="0"/>
            </w:tcBorders>
            <w:vAlign w:val="center"/>
          </w:tcPr>
          <w:p w14:paraId="1451DFE3">
            <w:pPr>
              <w:jc w:val="center"/>
              <w:rPr>
                <w:rFonts w:ascii="Times New Roman" w:hAnsi="Times New Roman"/>
                <w:sz w:val="24"/>
              </w:rPr>
            </w:pPr>
            <w:r>
              <w:rPr>
                <w:rFonts w:ascii="Calibri" w:hAnsi="Calibri"/>
                <w:sz w:val="24"/>
              </w:rPr>
              <w:t>5</w:t>
            </w:r>
          </w:p>
        </w:tc>
        <w:tc>
          <w:tcPr>
            <w:tcW w:w="850" w:type="dxa"/>
            <w:tcBorders>
              <w:top w:val="single" w:color="auto" w:sz="4" w:space="0"/>
              <w:left w:val="single" w:color="auto" w:sz="4" w:space="0"/>
              <w:bottom w:val="single" w:color="auto" w:sz="4" w:space="0"/>
              <w:right w:val="single" w:color="auto" w:sz="4" w:space="0"/>
            </w:tcBorders>
            <w:vAlign w:val="center"/>
          </w:tcPr>
          <w:p w14:paraId="43634DB2">
            <w:pPr>
              <w:jc w:val="center"/>
              <w:rPr>
                <w:rFonts w:ascii="Times New Roman" w:hAnsi="Times New Roman"/>
                <w:sz w:val="24"/>
              </w:rPr>
            </w:pPr>
            <w:r>
              <w:rPr>
                <w:rFonts w:ascii="Calibri" w:hAnsi="Calibri"/>
                <w:sz w:val="24"/>
              </w:rPr>
              <w:t>6</w:t>
            </w:r>
          </w:p>
        </w:tc>
        <w:tc>
          <w:tcPr>
            <w:tcW w:w="850" w:type="dxa"/>
            <w:tcBorders>
              <w:top w:val="single" w:color="auto" w:sz="4" w:space="0"/>
              <w:left w:val="single" w:color="auto" w:sz="4" w:space="0"/>
              <w:bottom w:val="single" w:color="auto" w:sz="4" w:space="0"/>
              <w:right w:val="single" w:color="auto" w:sz="4" w:space="0"/>
            </w:tcBorders>
            <w:vAlign w:val="center"/>
          </w:tcPr>
          <w:p w14:paraId="6F66D2ED">
            <w:pPr>
              <w:jc w:val="center"/>
              <w:rPr>
                <w:rFonts w:ascii="Times New Roman" w:hAnsi="Times New Roman"/>
                <w:sz w:val="24"/>
              </w:rPr>
            </w:pPr>
            <w:r>
              <w:rPr>
                <w:rFonts w:ascii="Calibri" w:hAnsi="Calibri"/>
                <w:sz w:val="24"/>
              </w:rPr>
              <w:t>7</w:t>
            </w:r>
          </w:p>
        </w:tc>
        <w:tc>
          <w:tcPr>
            <w:tcW w:w="850" w:type="dxa"/>
            <w:tcBorders>
              <w:top w:val="single" w:color="auto" w:sz="4" w:space="0"/>
              <w:left w:val="single" w:color="auto" w:sz="4" w:space="0"/>
              <w:bottom w:val="single" w:color="auto" w:sz="4" w:space="0"/>
              <w:right w:val="single" w:color="auto" w:sz="4" w:space="0"/>
            </w:tcBorders>
            <w:vAlign w:val="center"/>
          </w:tcPr>
          <w:p w14:paraId="5B662A1B">
            <w:pPr>
              <w:jc w:val="center"/>
              <w:rPr>
                <w:rFonts w:ascii="Times New Roman" w:hAnsi="Times New Roman"/>
                <w:sz w:val="24"/>
              </w:rPr>
            </w:pPr>
            <w:r>
              <w:rPr>
                <w:rFonts w:ascii="Calibri" w:hAnsi="Calibri"/>
                <w:sz w:val="24"/>
              </w:rPr>
              <w:t>8</w:t>
            </w:r>
          </w:p>
        </w:tc>
        <w:tc>
          <w:tcPr>
            <w:tcW w:w="850" w:type="dxa"/>
            <w:tcBorders>
              <w:top w:val="single" w:color="auto" w:sz="4" w:space="0"/>
              <w:left w:val="single" w:color="auto" w:sz="4" w:space="0"/>
              <w:bottom w:val="single" w:color="auto" w:sz="4" w:space="0"/>
              <w:right w:val="single" w:color="auto" w:sz="4" w:space="0"/>
            </w:tcBorders>
            <w:vAlign w:val="center"/>
          </w:tcPr>
          <w:p w14:paraId="05BE3900">
            <w:pPr>
              <w:jc w:val="center"/>
              <w:rPr>
                <w:rFonts w:ascii="Times New Roman" w:hAnsi="Times New Roman"/>
                <w:sz w:val="24"/>
              </w:rPr>
            </w:pPr>
            <w:r>
              <w:rPr>
                <w:rFonts w:ascii="Calibri" w:hAnsi="Calibri"/>
                <w:sz w:val="24"/>
              </w:rPr>
              <w:t>9</w:t>
            </w:r>
          </w:p>
        </w:tc>
        <w:tc>
          <w:tcPr>
            <w:tcW w:w="850" w:type="dxa"/>
            <w:tcBorders>
              <w:top w:val="single" w:color="auto" w:sz="4" w:space="0"/>
              <w:left w:val="single" w:color="auto" w:sz="4" w:space="0"/>
              <w:bottom w:val="single" w:color="auto" w:sz="4" w:space="0"/>
              <w:right w:val="single" w:color="auto" w:sz="4" w:space="0"/>
            </w:tcBorders>
            <w:vAlign w:val="center"/>
          </w:tcPr>
          <w:p w14:paraId="71DAC543">
            <w:pPr>
              <w:jc w:val="center"/>
              <w:rPr>
                <w:rFonts w:ascii="Times New Roman" w:hAnsi="Times New Roman"/>
                <w:sz w:val="24"/>
              </w:rPr>
            </w:pPr>
            <w:r>
              <w:rPr>
                <w:rFonts w:ascii="Calibri" w:hAnsi="Calibri"/>
                <w:sz w:val="24"/>
              </w:rPr>
              <w:t>10</w:t>
            </w:r>
          </w:p>
        </w:tc>
      </w:tr>
      <w:tr w14:paraId="4E150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14:paraId="38545EF2">
            <w:pPr>
              <w:jc w:val="center"/>
              <w:rPr>
                <w:rFonts w:ascii="Times New Roman" w:hAnsi="Times New Roman"/>
                <w:sz w:val="24"/>
              </w:rPr>
            </w:pPr>
            <w:r>
              <w:rPr>
                <w:rFonts w:hint="eastAsia" w:ascii="Calibri" w:hAnsi="Calibri"/>
                <w:sz w:val="24"/>
              </w:rPr>
              <w:t>测得值</w:t>
            </w:r>
            <w:r>
              <w:rPr>
                <w:rFonts w:ascii="Calibri" w:hAnsi="Calibri"/>
                <w:sz w:val="24"/>
              </w:rPr>
              <w:t>/nm</w:t>
            </w:r>
          </w:p>
        </w:tc>
        <w:tc>
          <w:tcPr>
            <w:tcW w:w="850" w:type="dxa"/>
            <w:tcBorders>
              <w:top w:val="single" w:color="auto" w:sz="4" w:space="0"/>
              <w:left w:val="single" w:color="auto" w:sz="4" w:space="0"/>
              <w:bottom w:val="single" w:color="auto" w:sz="4" w:space="0"/>
              <w:right w:val="single" w:color="auto" w:sz="4" w:space="0"/>
            </w:tcBorders>
            <w:vAlign w:val="center"/>
          </w:tcPr>
          <w:p w14:paraId="700AD6AA">
            <w:pPr>
              <w:jc w:val="center"/>
              <w:rPr>
                <w:rFonts w:ascii="Times New Roman" w:hAnsi="Times New Roman"/>
                <w:sz w:val="24"/>
              </w:rPr>
            </w:pPr>
            <w:r>
              <w:rPr>
                <w:rFonts w:ascii="Calibri" w:hAnsi="Calibri"/>
                <w:sz w:val="24"/>
              </w:rPr>
              <w:t>413.2</w:t>
            </w:r>
          </w:p>
        </w:tc>
        <w:tc>
          <w:tcPr>
            <w:tcW w:w="850" w:type="dxa"/>
            <w:tcBorders>
              <w:top w:val="single" w:color="auto" w:sz="4" w:space="0"/>
              <w:left w:val="single" w:color="auto" w:sz="4" w:space="0"/>
              <w:bottom w:val="single" w:color="auto" w:sz="4" w:space="0"/>
              <w:right w:val="single" w:color="auto" w:sz="4" w:space="0"/>
            </w:tcBorders>
            <w:vAlign w:val="center"/>
          </w:tcPr>
          <w:p w14:paraId="4D870A8B">
            <w:pPr>
              <w:jc w:val="center"/>
              <w:rPr>
                <w:rFonts w:ascii="Times New Roman" w:hAnsi="Times New Roman"/>
                <w:sz w:val="24"/>
              </w:rPr>
            </w:pPr>
            <w:r>
              <w:rPr>
                <w:rFonts w:ascii="Calibri" w:hAnsi="Calibri"/>
                <w:sz w:val="24"/>
              </w:rPr>
              <w:t>414.5</w:t>
            </w:r>
          </w:p>
        </w:tc>
        <w:tc>
          <w:tcPr>
            <w:tcW w:w="850" w:type="dxa"/>
            <w:tcBorders>
              <w:top w:val="single" w:color="auto" w:sz="4" w:space="0"/>
              <w:left w:val="single" w:color="auto" w:sz="4" w:space="0"/>
              <w:bottom w:val="single" w:color="auto" w:sz="4" w:space="0"/>
              <w:right w:val="single" w:color="auto" w:sz="4" w:space="0"/>
            </w:tcBorders>
            <w:vAlign w:val="center"/>
          </w:tcPr>
          <w:p w14:paraId="18B5D0A2">
            <w:pPr>
              <w:jc w:val="center"/>
              <w:rPr>
                <w:rFonts w:ascii="Times New Roman" w:hAnsi="Times New Roman"/>
                <w:sz w:val="24"/>
              </w:rPr>
            </w:pPr>
            <w:r>
              <w:rPr>
                <w:rFonts w:ascii="Calibri" w:hAnsi="Calibri"/>
                <w:sz w:val="24"/>
              </w:rPr>
              <w:t>412</w:t>
            </w:r>
            <w:r>
              <w:rPr>
                <w:rFonts w:hint="eastAsia" w:ascii="Calibri" w:hAnsi="Calibri"/>
                <w:sz w:val="24"/>
              </w:rPr>
              <w:t>．</w:t>
            </w:r>
            <w:r>
              <w:rPr>
                <w:rFonts w:ascii="Calibri" w:hAnsi="Calibri"/>
                <w:sz w:val="24"/>
              </w:rPr>
              <w:t>7</w:t>
            </w:r>
          </w:p>
        </w:tc>
        <w:tc>
          <w:tcPr>
            <w:tcW w:w="850" w:type="dxa"/>
            <w:tcBorders>
              <w:top w:val="single" w:color="auto" w:sz="4" w:space="0"/>
              <w:left w:val="single" w:color="auto" w:sz="4" w:space="0"/>
              <w:bottom w:val="single" w:color="auto" w:sz="4" w:space="0"/>
              <w:right w:val="single" w:color="auto" w:sz="4" w:space="0"/>
            </w:tcBorders>
            <w:vAlign w:val="center"/>
          </w:tcPr>
          <w:p w14:paraId="737EB694">
            <w:pPr>
              <w:jc w:val="center"/>
              <w:rPr>
                <w:rFonts w:ascii="Times New Roman" w:hAnsi="Times New Roman"/>
                <w:sz w:val="24"/>
              </w:rPr>
            </w:pPr>
            <w:r>
              <w:rPr>
                <w:rFonts w:ascii="Calibri" w:hAnsi="Calibri"/>
                <w:sz w:val="24"/>
              </w:rPr>
              <w:t>413.6</w:t>
            </w:r>
          </w:p>
        </w:tc>
        <w:tc>
          <w:tcPr>
            <w:tcW w:w="850" w:type="dxa"/>
            <w:tcBorders>
              <w:top w:val="single" w:color="auto" w:sz="4" w:space="0"/>
              <w:left w:val="single" w:color="auto" w:sz="4" w:space="0"/>
              <w:bottom w:val="single" w:color="auto" w:sz="4" w:space="0"/>
              <w:right w:val="single" w:color="auto" w:sz="4" w:space="0"/>
            </w:tcBorders>
            <w:vAlign w:val="center"/>
          </w:tcPr>
          <w:p w14:paraId="5EC92A74">
            <w:pPr>
              <w:jc w:val="center"/>
              <w:rPr>
                <w:rFonts w:ascii="Times New Roman" w:hAnsi="Times New Roman"/>
                <w:sz w:val="24"/>
              </w:rPr>
            </w:pPr>
            <w:r>
              <w:rPr>
                <w:rFonts w:ascii="Calibri" w:hAnsi="Calibri"/>
                <w:sz w:val="24"/>
              </w:rPr>
              <w:t>415.2</w:t>
            </w:r>
          </w:p>
        </w:tc>
        <w:tc>
          <w:tcPr>
            <w:tcW w:w="850" w:type="dxa"/>
            <w:tcBorders>
              <w:top w:val="single" w:color="auto" w:sz="4" w:space="0"/>
              <w:left w:val="single" w:color="auto" w:sz="4" w:space="0"/>
              <w:bottom w:val="single" w:color="auto" w:sz="4" w:space="0"/>
              <w:right w:val="single" w:color="auto" w:sz="4" w:space="0"/>
            </w:tcBorders>
            <w:vAlign w:val="center"/>
          </w:tcPr>
          <w:p w14:paraId="0A853BDB">
            <w:pPr>
              <w:jc w:val="center"/>
              <w:rPr>
                <w:rFonts w:ascii="Times New Roman" w:hAnsi="Times New Roman"/>
                <w:sz w:val="24"/>
              </w:rPr>
            </w:pPr>
            <w:r>
              <w:rPr>
                <w:rFonts w:ascii="Calibri" w:hAnsi="Calibri"/>
                <w:sz w:val="24"/>
              </w:rPr>
              <w:t>411.7</w:t>
            </w:r>
          </w:p>
        </w:tc>
        <w:tc>
          <w:tcPr>
            <w:tcW w:w="850" w:type="dxa"/>
            <w:tcBorders>
              <w:top w:val="single" w:color="auto" w:sz="4" w:space="0"/>
              <w:left w:val="single" w:color="auto" w:sz="4" w:space="0"/>
              <w:bottom w:val="single" w:color="auto" w:sz="4" w:space="0"/>
              <w:right w:val="single" w:color="auto" w:sz="4" w:space="0"/>
            </w:tcBorders>
            <w:vAlign w:val="center"/>
          </w:tcPr>
          <w:p w14:paraId="7D7CD395">
            <w:pPr>
              <w:jc w:val="center"/>
              <w:rPr>
                <w:rFonts w:ascii="Times New Roman" w:hAnsi="Times New Roman"/>
                <w:sz w:val="24"/>
              </w:rPr>
            </w:pPr>
            <w:r>
              <w:rPr>
                <w:rFonts w:ascii="Calibri" w:hAnsi="Calibri"/>
                <w:sz w:val="24"/>
              </w:rPr>
              <w:t>412.8</w:t>
            </w:r>
          </w:p>
        </w:tc>
        <w:tc>
          <w:tcPr>
            <w:tcW w:w="850" w:type="dxa"/>
            <w:tcBorders>
              <w:top w:val="single" w:color="auto" w:sz="4" w:space="0"/>
              <w:left w:val="single" w:color="auto" w:sz="4" w:space="0"/>
              <w:bottom w:val="single" w:color="auto" w:sz="4" w:space="0"/>
              <w:right w:val="single" w:color="auto" w:sz="4" w:space="0"/>
            </w:tcBorders>
            <w:vAlign w:val="center"/>
          </w:tcPr>
          <w:p w14:paraId="7F2A9EF9">
            <w:pPr>
              <w:jc w:val="center"/>
              <w:rPr>
                <w:rFonts w:ascii="Times New Roman" w:hAnsi="Times New Roman"/>
                <w:sz w:val="24"/>
              </w:rPr>
            </w:pPr>
            <w:r>
              <w:rPr>
                <w:rFonts w:ascii="Calibri" w:hAnsi="Calibri"/>
                <w:sz w:val="24"/>
              </w:rPr>
              <w:t>415.1</w:t>
            </w:r>
          </w:p>
        </w:tc>
        <w:tc>
          <w:tcPr>
            <w:tcW w:w="850" w:type="dxa"/>
            <w:tcBorders>
              <w:top w:val="single" w:color="auto" w:sz="4" w:space="0"/>
              <w:left w:val="single" w:color="auto" w:sz="4" w:space="0"/>
              <w:bottom w:val="single" w:color="auto" w:sz="4" w:space="0"/>
              <w:right w:val="single" w:color="auto" w:sz="4" w:space="0"/>
            </w:tcBorders>
            <w:vAlign w:val="center"/>
          </w:tcPr>
          <w:p w14:paraId="4B8B33AE">
            <w:pPr>
              <w:jc w:val="center"/>
              <w:rPr>
                <w:rFonts w:ascii="Times New Roman" w:hAnsi="Times New Roman"/>
                <w:sz w:val="24"/>
              </w:rPr>
            </w:pPr>
            <w:r>
              <w:rPr>
                <w:rFonts w:ascii="Calibri" w:hAnsi="Calibri"/>
                <w:sz w:val="24"/>
              </w:rPr>
              <w:t>413.9</w:t>
            </w:r>
          </w:p>
        </w:tc>
        <w:tc>
          <w:tcPr>
            <w:tcW w:w="850" w:type="dxa"/>
            <w:tcBorders>
              <w:top w:val="single" w:color="auto" w:sz="4" w:space="0"/>
              <w:left w:val="single" w:color="auto" w:sz="4" w:space="0"/>
              <w:bottom w:val="single" w:color="auto" w:sz="4" w:space="0"/>
              <w:right w:val="single" w:color="auto" w:sz="4" w:space="0"/>
            </w:tcBorders>
            <w:vAlign w:val="center"/>
          </w:tcPr>
          <w:p w14:paraId="1C08BF03">
            <w:pPr>
              <w:jc w:val="center"/>
              <w:rPr>
                <w:rFonts w:ascii="Times New Roman" w:hAnsi="Times New Roman"/>
                <w:sz w:val="24"/>
              </w:rPr>
            </w:pPr>
            <w:r>
              <w:rPr>
                <w:rFonts w:ascii="Calibri" w:hAnsi="Calibri"/>
                <w:sz w:val="24"/>
              </w:rPr>
              <w:t>414.2</w:t>
            </w:r>
          </w:p>
        </w:tc>
      </w:tr>
      <w:tr w14:paraId="2E61E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14:paraId="202C2000">
            <w:pPr>
              <w:jc w:val="center"/>
              <w:rPr>
                <w:rFonts w:ascii="Times New Roman" w:hAnsi="Times New Roman"/>
                <w:sz w:val="24"/>
              </w:rPr>
            </w:pPr>
            <w:r>
              <w:rPr>
                <w:rFonts w:hint="eastAsia" w:ascii="Calibri" w:hAnsi="Calibri"/>
                <w:sz w:val="24"/>
              </w:rPr>
              <w:t>平均值</w:t>
            </w:r>
            <w:r>
              <w:rPr>
                <w:rFonts w:ascii="Calibri" w:hAnsi="Calibri"/>
                <w:sz w:val="24"/>
              </w:rPr>
              <w:t>/</w:t>
            </w:r>
            <w:bookmarkStart w:id="8" w:name="OLE_LINK11"/>
            <w:r>
              <w:rPr>
                <w:rFonts w:ascii="Calibri" w:hAnsi="Calibri"/>
                <w:sz w:val="24"/>
              </w:rPr>
              <w:t>nm</w:t>
            </w:r>
            <w:bookmarkEnd w:id="8"/>
          </w:p>
        </w:tc>
        <w:tc>
          <w:tcPr>
            <w:tcW w:w="8500" w:type="dxa"/>
            <w:gridSpan w:val="10"/>
            <w:tcBorders>
              <w:top w:val="single" w:color="auto" w:sz="4" w:space="0"/>
              <w:left w:val="single" w:color="auto" w:sz="4" w:space="0"/>
              <w:bottom w:val="single" w:color="auto" w:sz="4" w:space="0"/>
              <w:right w:val="single" w:color="auto" w:sz="4" w:space="0"/>
            </w:tcBorders>
            <w:vAlign w:val="center"/>
          </w:tcPr>
          <w:p w14:paraId="3A252BFE">
            <w:pPr>
              <w:jc w:val="center"/>
              <w:rPr>
                <w:rFonts w:ascii="Times New Roman" w:hAnsi="Times New Roman"/>
                <w:sz w:val="24"/>
              </w:rPr>
            </w:pPr>
            <w:r>
              <w:rPr>
                <w:rFonts w:ascii="Calibri" w:hAnsi="Calibri"/>
                <w:sz w:val="24"/>
              </w:rPr>
              <w:t>413.69</w:t>
            </w:r>
          </w:p>
        </w:tc>
      </w:tr>
    </w:tbl>
    <w:p w14:paraId="3478FDB1">
      <w:pPr>
        <w:ind w:firstLine="480"/>
        <w:rPr>
          <w:rFonts w:ascii="宋体" w:hAnsi="宋体"/>
          <w:position w:val="-26"/>
          <w:sz w:val="24"/>
        </w:rPr>
      </w:pPr>
      <w:r>
        <w:rPr>
          <w:rFonts w:hint="eastAsia" w:ascii="宋体" w:hAnsi="宋体"/>
          <w:sz w:val="24"/>
        </w:rPr>
        <w:t>单次实验标准偏差为：</w:t>
      </w:r>
      <w:r>
        <w:rPr>
          <w:position w:val="-26"/>
          <w:sz w:val="24"/>
        </w:rPr>
        <w:object>
          <v:shape id="_x0000_i1033" o:spt="75" type="#_x0000_t75" style="height:52.4pt;width:135.95pt;" o:ole="t" filled="f" o:preferrelative="t" stroked="f" coordsize="21600,21600">
            <v:path/>
            <v:fill on="f" focussize="0,0"/>
            <v:stroke on="f" joinstyle="miter"/>
            <v:imagedata r:id="rId26" o:title=""/>
            <o:lock v:ext="edit" aspectratio="t"/>
            <w10:wrap type="none"/>
            <w10:anchorlock/>
          </v:shape>
          <o:OLEObject Type="Embed" ProgID="Equation.DSMT4" ShapeID="_x0000_i1033" DrawAspect="Content" ObjectID="_1468075735" r:id="rId25">
            <o:LockedField>false</o:LockedField>
          </o:OLEObject>
        </w:object>
      </w:r>
      <w:r>
        <w:rPr>
          <w:sz w:val="24"/>
        </w:rPr>
        <w:t xml:space="preserve"> nm</w:t>
      </w:r>
    </w:p>
    <w:p w14:paraId="707FCF15">
      <w:pPr>
        <w:ind w:firstLine="480"/>
        <w:rPr>
          <w:rFonts w:hint="eastAsia" w:ascii="宋体" w:hAnsi="宋体"/>
          <w:sz w:val="24"/>
        </w:rPr>
      </w:pPr>
      <w:r>
        <w:rPr>
          <w:rFonts w:hint="eastAsia" w:ascii="宋体" w:hAnsi="宋体"/>
          <w:sz w:val="24"/>
        </w:rPr>
        <w:t>重复测量3次，则测量重复性引入的标准不确定度为：</w:t>
      </w:r>
    </w:p>
    <w:p w14:paraId="2A26E4BB">
      <w:pPr>
        <w:ind w:firstLine="480"/>
        <w:jc w:val="center"/>
        <w:rPr>
          <w:rFonts w:hint="eastAsia" w:ascii="宋体" w:hAnsi="宋体"/>
          <w:sz w:val="24"/>
        </w:rPr>
      </w:pPr>
      <w:r>
        <w:rPr>
          <w:position w:val="-28"/>
          <w:sz w:val="24"/>
        </w:rPr>
        <w:object>
          <v:shape id="_x0000_i1034" o:spt="75" type="#_x0000_t75" style="height:32.85pt;width:163pt;" o:ole="t" filled="f" o:preferrelative="t" stroked="f" coordsize="21600,21600">
            <v:path/>
            <v:fill on="f" focussize="0,0"/>
            <v:stroke on="f" joinstyle="miter"/>
            <v:imagedata r:id="rId28" o:title=""/>
            <o:lock v:ext="edit" aspectratio="t"/>
            <w10:wrap type="none"/>
            <w10:anchorlock/>
          </v:shape>
          <o:OLEObject Type="Embed" ProgID="Equation.DSMT4" ShapeID="_x0000_i1034" DrawAspect="Content" ObjectID="_1468075736" r:id="rId27">
            <o:LockedField>false</o:LockedField>
          </o:OLEObject>
        </w:object>
      </w:r>
    </w:p>
    <w:p w14:paraId="3C2149C7">
      <w:pPr>
        <w:rPr>
          <w:rFonts w:hint="eastAsia" w:ascii="宋体" w:hAnsi="宋体"/>
          <w:sz w:val="24"/>
        </w:rPr>
      </w:pPr>
      <w:r>
        <w:rPr>
          <w:rFonts w:hint="eastAsia" w:ascii="宋体" w:hAnsi="宋体"/>
          <w:sz w:val="24"/>
        </w:rPr>
        <w:t>3.3 合成标准不确定度</w:t>
      </w:r>
    </w:p>
    <w:p w14:paraId="4610881E">
      <w:pPr>
        <w:ind w:firstLine="480"/>
        <w:jc w:val="center"/>
        <w:rPr>
          <w:rFonts w:hint="eastAsia"/>
          <w:sz w:val="24"/>
        </w:rPr>
      </w:pPr>
      <w:r>
        <w:rPr>
          <w:position w:val="-14"/>
          <w:sz w:val="24"/>
        </w:rPr>
        <w:object>
          <v:shape id="_x0000_i1035" o:spt="75" type="#_x0000_t75" style="height:24.2pt;width:176.85pt;" o:ole="t" filled="f" o:preferrelative="t" stroked="f" coordsize="21600,21600">
            <v:path/>
            <v:fill on="f" focussize="0,0"/>
            <v:stroke on="f" joinstyle="miter"/>
            <v:imagedata r:id="rId30" o:title=""/>
            <o:lock v:ext="edit" aspectratio="t"/>
            <w10:wrap type="none"/>
            <w10:anchorlock/>
          </v:shape>
          <o:OLEObject Type="Embed" ProgID="Equation.DSMT4" ShapeID="_x0000_i1035" DrawAspect="Content" ObjectID="_1468075737" r:id="rId29">
            <o:LockedField>false</o:LockedField>
          </o:OLEObject>
        </w:object>
      </w:r>
    </w:p>
    <w:p w14:paraId="3CFF0A69">
      <w:pPr>
        <w:rPr>
          <w:sz w:val="24"/>
        </w:rPr>
      </w:pPr>
      <w:r>
        <w:rPr>
          <w:rFonts w:hint="eastAsia"/>
          <w:sz w:val="24"/>
        </w:rPr>
        <w:t>3.4</w:t>
      </w:r>
      <w:r>
        <w:rPr>
          <w:sz w:val="24"/>
        </w:rPr>
        <w:t xml:space="preserve"> </w:t>
      </w:r>
      <w:r>
        <w:rPr>
          <w:rFonts w:hint="eastAsia"/>
          <w:sz w:val="24"/>
        </w:rPr>
        <w:t>扩展不确定度</w:t>
      </w:r>
    </w:p>
    <w:p w14:paraId="25C7E350">
      <w:pPr>
        <w:ind w:firstLine="480"/>
        <w:rPr>
          <w:sz w:val="24"/>
        </w:rPr>
      </w:pPr>
      <w:r>
        <w:rPr>
          <w:rFonts w:hint="eastAsia"/>
          <w:sz w:val="24"/>
        </w:rPr>
        <w:t>取包含因子</w:t>
      </w:r>
      <w:r>
        <w:rPr>
          <w:i/>
          <w:sz w:val="24"/>
        </w:rPr>
        <w:t>k</w:t>
      </w:r>
      <w:r>
        <w:rPr>
          <w:sz w:val="24"/>
        </w:rPr>
        <w:t>=2</w:t>
      </w:r>
      <w:r>
        <w:rPr>
          <w:rFonts w:hint="eastAsia"/>
          <w:sz w:val="24"/>
        </w:rPr>
        <w:t>，则扩展不确定度</w:t>
      </w:r>
      <w:r>
        <w:rPr>
          <w:i/>
          <w:sz w:val="24"/>
        </w:rPr>
        <w:t>U</w:t>
      </w:r>
      <w:r>
        <w:rPr>
          <w:sz w:val="24"/>
        </w:rPr>
        <w:t>=2</w:t>
      </w:r>
      <w:r>
        <w:rPr>
          <w:rFonts w:hint="eastAsia"/>
          <w:sz w:val="24"/>
        </w:rPr>
        <w:t>×</w:t>
      </w:r>
      <w:r>
        <w:rPr>
          <w:sz w:val="24"/>
        </w:rPr>
        <w:t>0.82 nm</w:t>
      </w:r>
      <w:r>
        <w:rPr>
          <w:rFonts w:hint="eastAsia"/>
          <w:sz w:val="24"/>
        </w:rPr>
        <w:t>≈</w:t>
      </w:r>
      <w:r>
        <w:rPr>
          <w:sz w:val="24"/>
        </w:rPr>
        <w:t>1.7nm</w:t>
      </w:r>
    </w:p>
    <w:p w14:paraId="58111BD8">
      <w:pPr>
        <w:ind w:firstLine="480"/>
      </w:pPr>
    </w:p>
    <w:p w14:paraId="06B22B93">
      <w:pPr>
        <w:rPr>
          <w:b/>
          <w:sz w:val="28"/>
          <w:szCs w:val="28"/>
        </w:rPr>
      </w:pPr>
      <w:bookmarkStart w:id="9" w:name="OLE_LINK271"/>
      <w:bookmarkStart w:id="10" w:name="OLE_LINK272"/>
      <w:r>
        <w:rPr>
          <w:rFonts w:hint="eastAsia"/>
          <w:b/>
          <w:sz w:val="28"/>
          <w:szCs w:val="28"/>
        </w:rPr>
        <w:t>二、透射比示值误差</w:t>
      </w:r>
      <w:bookmarkEnd w:id="9"/>
      <w:bookmarkEnd w:id="10"/>
      <w:r>
        <w:rPr>
          <w:rFonts w:hint="eastAsia"/>
          <w:b/>
          <w:sz w:val="28"/>
          <w:szCs w:val="28"/>
        </w:rPr>
        <w:t>不确定度的评定</w:t>
      </w:r>
    </w:p>
    <w:p w14:paraId="6100D7E6">
      <w:pPr>
        <w:rPr>
          <w:sz w:val="24"/>
        </w:rPr>
      </w:pPr>
      <w:r>
        <w:rPr>
          <w:rFonts w:hint="eastAsia"/>
          <w:sz w:val="24"/>
        </w:rPr>
        <w:t>1</w:t>
      </w:r>
      <w:r>
        <w:rPr>
          <w:sz w:val="24"/>
        </w:rPr>
        <w:t>、</w:t>
      </w:r>
      <w:r>
        <w:rPr>
          <w:rFonts w:hint="eastAsia"/>
          <w:sz w:val="24"/>
        </w:rPr>
        <w:t>概述</w:t>
      </w:r>
    </w:p>
    <w:p w14:paraId="1CEE9332">
      <w:pPr>
        <w:ind w:firstLine="480"/>
        <w:rPr>
          <w:sz w:val="24"/>
        </w:rPr>
      </w:pPr>
      <w:r>
        <w:rPr>
          <w:rFonts w:hint="eastAsia"/>
          <w:sz w:val="24"/>
        </w:rPr>
        <w:t>按规范要求，用透射比标称值约为</w:t>
      </w:r>
      <w:r>
        <w:rPr>
          <w:sz w:val="24"/>
        </w:rPr>
        <w:t>10%</w:t>
      </w:r>
      <w:r>
        <w:rPr>
          <w:rFonts w:hint="eastAsia"/>
          <w:sz w:val="24"/>
        </w:rPr>
        <w:t>的中性滤光片，依次放入样品室每个通道中，重复测量透射比</w:t>
      </w:r>
      <w:r>
        <w:rPr>
          <w:sz w:val="24"/>
        </w:rPr>
        <w:t>3</w:t>
      </w:r>
      <w:r>
        <w:rPr>
          <w:rFonts w:hint="eastAsia"/>
          <w:sz w:val="24"/>
        </w:rPr>
        <w:t>次。计算滤光片透射比示值误差。</w:t>
      </w:r>
    </w:p>
    <w:p w14:paraId="497FC249">
      <w:pPr>
        <w:rPr>
          <w:sz w:val="24"/>
        </w:rPr>
      </w:pPr>
      <w:r>
        <w:rPr>
          <w:rFonts w:hint="eastAsia"/>
          <w:sz w:val="24"/>
        </w:rPr>
        <w:t>2</w:t>
      </w:r>
      <w:r>
        <w:rPr>
          <w:sz w:val="24"/>
        </w:rPr>
        <w:t xml:space="preserve">、 </w:t>
      </w:r>
      <w:r>
        <w:rPr>
          <w:rFonts w:hint="eastAsia"/>
          <w:sz w:val="24"/>
        </w:rPr>
        <w:t>测量模型</w:t>
      </w:r>
    </w:p>
    <w:p w14:paraId="1CFB7477">
      <w:pPr>
        <w:ind w:firstLine="480"/>
        <w:jc w:val="center"/>
        <w:rPr>
          <w:position w:val="-12"/>
          <w:sz w:val="24"/>
        </w:rPr>
      </w:pPr>
      <w:r>
        <w:rPr>
          <w:position w:val="-12"/>
          <w:sz w:val="24"/>
        </w:rPr>
        <w:object>
          <v:shape id="_x0000_i1036" o:spt="75" type="#_x0000_t75" style="height:19.6pt;width:57.6pt;" o:ole="t" filled="f" o:preferrelative="t" stroked="f" coordsize="21600,21600">
            <v:path/>
            <v:fill on="f" focussize="0,0"/>
            <v:stroke on="f" joinstyle="miter"/>
            <v:imagedata r:id="rId32" o:title=""/>
            <o:lock v:ext="edit" aspectratio="t"/>
            <w10:wrap type="none"/>
            <w10:anchorlock/>
          </v:shape>
          <o:OLEObject Type="Embed" ProgID="Equation.DSMT4" ShapeID="_x0000_i1036" DrawAspect="Content" ObjectID="_1468075738" r:id="rId31">
            <o:LockedField>false</o:LockedField>
          </o:OLEObject>
        </w:object>
      </w:r>
    </w:p>
    <w:p w14:paraId="78D59E87">
      <w:pPr>
        <w:ind w:firstLine="480"/>
        <w:rPr>
          <w:sz w:val="24"/>
        </w:rPr>
      </w:pPr>
      <w:r>
        <w:rPr>
          <w:rFonts w:hint="eastAsia"/>
          <w:sz w:val="24"/>
        </w:rPr>
        <w:t>式中：</w:t>
      </w:r>
    </w:p>
    <w:p w14:paraId="7A853827">
      <w:pPr>
        <w:ind w:firstLine="480"/>
        <w:rPr>
          <w:sz w:val="24"/>
        </w:rPr>
      </w:pPr>
      <w:r>
        <w:rPr>
          <w:rFonts w:hint="eastAsia" w:ascii="宋体" w:hAnsi="宋体" w:cs="宋体"/>
          <w:sz w:val="24"/>
        </w:rPr>
        <w:tab/>
      </w:r>
      <w:r>
        <w:rPr>
          <w:rFonts w:hint="eastAsia" w:ascii="宋体" w:hAnsi="宋体" w:cs="宋体"/>
          <w:sz w:val="24"/>
        </w:rPr>
        <w:t xml:space="preserve">  </w:t>
      </w:r>
      <w:r>
        <w:rPr>
          <w:rFonts w:hint="eastAsia" w:ascii="宋体" w:hAnsi="宋体" w:cs="宋体"/>
          <w:position w:val="-12"/>
          <w:sz w:val="24"/>
        </w:rPr>
        <w:object>
          <v:shape id="_x0000_i1037" o:spt="75" type="#_x0000_t75" style="height:19.6pt;width:12.1pt;" o:ole="t" filled="f" o:preferrelative="t" stroked="f" coordsize="21600,21600">
            <v:path/>
            <v:fill on="f" focussize="0,0"/>
            <v:stroke on="f" joinstyle="miter"/>
            <v:imagedata r:id="rId34" o:title=""/>
            <o:lock v:ext="edit" aspectratio="t"/>
            <w10:wrap type="none"/>
            <w10:anchorlock/>
          </v:shape>
          <o:OLEObject Type="Embed" ProgID="Equation.DSMT4" ShapeID="_x0000_i1037" DrawAspect="Content" ObjectID="_1468075739" r:id="rId33">
            <o:LockedField>false</o:LockedField>
          </o:OLEObject>
        </w:object>
      </w:r>
      <w:r>
        <w:rPr>
          <w:rFonts w:hint="eastAsia" w:ascii="宋体" w:hAnsi="宋体" w:cs="宋体"/>
          <w:sz w:val="24"/>
        </w:rPr>
        <w:t xml:space="preserve">  —</w:t>
      </w:r>
      <w:r>
        <w:rPr>
          <w:sz w:val="24"/>
        </w:rPr>
        <w:t>3</w:t>
      </w:r>
      <w:r>
        <w:rPr>
          <w:rFonts w:hint="eastAsia"/>
          <w:sz w:val="24"/>
        </w:rPr>
        <w:t>次测量的平均值，</w:t>
      </w:r>
      <w:r>
        <w:rPr>
          <w:sz w:val="24"/>
        </w:rPr>
        <w:t>%</w:t>
      </w:r>
      <w:r>
        <w:rPr>
          <w:rFonts w:hint="eastAsia"/>
          <w:sz w:val="24"/>
        </w:rPr>
        <w:t>；</w:t>
      </w:r>
      <w:r>
        <w:rPr>
          <w:sz w:val="24"/>
        </w:rPr>
        <w:t xml:space="preserve"> </w:t>
      </w:r>
    </w:p>
    <w:p w14:paraId="5D2F1BEB">
      <w:pPr>
        <w:ind w:firstLine="960" w:firstLineChars="400"/>
        <w:rPr>
          <w:sz w:val="24"/>
        </w:rPr>
      </w:pPr>
      <w:r>
        <w:rPr>
          <w:position w:val="-12"/>
          <w:sz w:val="24"/>
        </w:rPr>
        <w:object>
          <v:shape id="_x0000_i1038" o:spt="75" type="#_x0000_t75" style="height:17.85pt;width:12.1pt;" o:ole="t" filled="f" o:preferrelative="t" stroked="f" coordsize="21600,21600">
            <v:path/>
            <v:fill on="f" focussize="0,0"/>
            <v:stroke on="f" joinstyle="miter"/>
            <v:imagedata r:id="rId36" o:title=""/>
            <o:lock v:ext="edit" aspectratio="t"/>
            <w10:wrap type="none"/>
            <w10:anchorlock/>
          </v:shape>
          <o:OLEObject Type="Embed" ProgID="Equation.3" ShapeID="_x0000_i1038" DrawAspect="Content" ObjectID="_1468075740" r:id="rId35">
            <o:LockedField>false</o:LockedField>
          </o:OLEObject>
        </w:object>
      </w:r>
      <w:r>
        <w:rPr>
          <w:sz w:val="24"/>
        </w:rPr>
        <w:t xml:space="preserve">  </w:t>
      </w:r>
      <w:r>
        <w:rPr>
          <w:rFonts w:hint="eastAsia" w:ascii="宋体" w:hAnsi="宋体" w:cs="宋体"/>
          <w:sz w:val="24"/>
        </w:rPr>
        <w:t>—</w:t>
      </w:r>
      <w:r>
        <w:rPr>
          <w:rFonts w:hint="eastAsia"/>
          <w:sz w:val="24"/>
        </w:rPr>
        <w:t>透射比标准值，</w:t>
      </w:r>
      <w:r>
        <w:rPr>
          <w:sz w:val="24"/>
        </w:rPr>
        <w:t>%</w:t>
      </w:r>
    </w:p>
    <w:p w14:paraId="35060422">
      <w:pPr>
        <w:ind w:firstLine="480"/>
        <w:rPr>
          <w:sz w:val="24"/>
        </w:rPr>
      </w:pPr>
      <w:r>
        <w:rPr>
          <w:rFonts w:hint="eastAsia"/>
          <w:sz w:val="24"/>
        </w:rPr>
        <w:t>测量量</w:t>
      </w:r>
      <w:r>
        <w:rPr>
          <w:position w:val="-12"/>
          <w:sz w:val="24"/>
        </w:rPr>
        <w:object>
          <v:shape id="_x0000_i1039" o:spt="75" type="#_x0000_t75" style="height:19.6pt;width:12.1pt;" o:ole="t" filled="f" o:preferrelative="t" stroked="f" coordsize="21600,21600">
            <v:path/>
            <v:fill on="f" focussize="0,0"/>
            <v:stroke on="f" joinstyle="miter"/>
            <v:imagedata r:id="rId38" o:title=""/>
            <o:lock v:ext="edit" aspectratio="t"/>
            <w10:wrap type="none"/>
            <w10:anchorlock/>
          </v:shape>
          <o:OLEObject Type="Embed" ProgID="Equation.DSMT4" ShapeID="_x0000_i1039" DrawAspect="Content" ObjectID="_1468075741" r:id="rId37">
            <o:LockedField>false</o:LockedField>
          </o:OLEObject>
        </w:object>
      </w:r>
      <w:r>
        <w:rPr>
          <w:rFonts w:hint="eastAsia"/>
          <w:sz w:val="24"/>
        </w:rPr>
        <w:t>与</w:t>
      </w:r>
      <w:r>
        <w:rPr>
          <w:position w:val="-12"/>
          <w:sz w:val="24"/>
        </w:rPr>
        <w:object>
          <v:shape id="_x0000_i1040" o:spt="75" type="#_x0000_t75" style="height:17.85pt;width:12.1pt;" o:ole="t" filled="f" o:preferrelative="t" stroked="f" coordsize="21600,21600">
            <v:path/>
            <v:fill on="f" focussize="0,0"/>
            <v:stroke on="f" joinstyle="miter"/>
            <v:imagedata r:id="rId40" o:title=""/>
            <o:lock v:ext="edit" aspectratio="t"/>
            <w10:wrap type="none"/>
            <w10:anchorlock/>
          </v:shape>
          <o:OLEObject Type="Embed" ProgID="Equation.3" ShapeID="_x0000_i1040" DrawAspect="Content" ObjectID="_1468075742" r:id="rId39">
            <o:LockedField>false</o:LockedField>
          </o:OLEObject>
        </w:object>
      </w:r>
      <w:r>
        <w:rPr>
          <w:rFonts w:hint="eastAsia"/>
          <w:sz w:val="24"/>
        </w:rPr>
        <w:t>彼此不相关，有：</w:t>
      </w:r>
    </w:p>
    <w:p w14:paraId="6A4A4D0A">
      <w:pPr>
        <w:ind w:firstLine="480"/>
        <w:jc w:val="center"/>
        <w:rPr>
          <w:sz w:val="24"/>
        </w:rPr>
      </w:pPr>
      <w:r>
        <w:rPr>
          <w:position w:val="-12"/>
          <w:sz w:val="24"/>
        </w:rPr>
        <w:object>
          <v:shape id="_x0000_i1041" o:spt="75" type="#_x0000_t75" style="height:19.6pt;width:138.25pt;" o:ole="t" filled="f" o:preferrelative="t" stroked="f" coordsize="21600,21600">
            <v:path/>
            <v:fill on="f" focussize="0,0"/>
            <v:stroke on="f" joinstyle="miter"/>
            <v:imagedata r:id="rId42" o:title=""/>
            <o:lock v:ext="edit" aspectratio="t"/>
            <w10:wrap type="none"/>
            <w10:anchorlock/>
          </v:shape>
          <o:OLEObject Type="Embed" ProgID="Equation.DSMT4" ShapeID="_x0000_i1041" DrawAspect="Content" ObjectID="_1468075743" r:id="rId41">
            <o:LockedField>false</o:LockedField>
          </o:OLEObject>
        </w:object>
      </w:r>
    </w:p>
    <w:p w14:paraId="267C325C">
      <w:pPr>
        <w:ind w:firstLine="480"/>
        <w:rPr>
          <w:sz w:val="24"/>
        </w:rPr>
      </w:pPr>
      <w:r>
        <w:rPr>
          <w:rFonts w:hint="eastAsia"/>
          <w:sz w:val="24"/>
        </w:rPr>
        <w:t>其中，灵敏系数</w:t>
      </w:r>
      <w:r>
        <w:rPr>
          <w:position w:val="-10"/>
          <w:sz w:val="24"/>
        </w:rPr>
        <w:object>
          <v:shape id="_x0000_i1042" o:spt="75" type="#_x0000_t75" style="height:19.6pt;width:117.5pt;" o:ole="t" filled="f" o:preferrelative="t" stroked="f" coordsize="21600,21600">
            <v:path/>
            <v:fill on="f" focussize="0,0"/>
            <v:stroke on="f" joinstyle="miter"/>
            <v:imagedata r:id="rId44" o:title=""/>
            <o:lock v:ext="edit" aspectratio="t"/>
            <w10:wrap type="none"/>
            <w10:anchorlock/>
          </v:shape>
          <o:OLEObject Type="Embed" ProgID="Equation.DSMT4" ShapeID="_x0000_i1042" DrawAspect="Content" ObjectID="_1468075744" r:id="rId43">
            <o:LockedField>false</o:LockedField>
          </o:OLEObject>
        </w:object>
      </w:r>
      <w:r>
        <w:rPr>
          <w:rFonts w:hint="eastAsia"/>
          <w:sz w:val="24"/>
        </w:rPr>
        <w:t>，</w:t>
      </w:r>
      <w:r>
        <w:rPr>
          <w:position w:val="-12"/>
          <w:sz w:val="24"/>
        </w:rPr>
        <w:object>
          <v:shape id="_x0000_i1043" o:spt="75" type="#_x0000_t75" style="height:17.85pt;width:127.3pt;" o:ole="t" filled="f" o:preferrelative="t" stroked="f" coordsize="21600,21600">
            <v:path/>
            <v:fill on="f" focussize="0,0"/>
            <v:stroke on="f" joinstyle="miter"/>
            <v:imagedata r:id="rId46" o:title=""/>
            <o:lock v:ext="edit" aspectratio="t"/>
            <w10:wrap type="none"/>
            <w10:anchorlock/>
          </v:shape>
          <o:OLEObject Type="Embed" ProgID="Equation.DSMT4" ShapeID="_x0000_i1043" DrawAspect="Content" ObjectID="_1468075745" r:id="rId45">
            <o:LockedField>false</o:LockedField>
          </o:OLEObject>
        </w:object>
      </w:r>
    </w:p>
    <w:p w14:paraId="0A43B5D5">
      <w:pPr>
        <w:ind w:firstLine="480"/>
        <w:rPr>
          <w:sz w:val="24"/>
        </w:rPr>
      </w:pPr>
      <w:r>
        <w:rPr>
          <w:rFonts w:hint="eastAsia"/>
          <w:sz w:val="24"/>
        </w:rPr>
        <w:t>因此，透射比示值误差的不确定度可计算如下：</w:t>
      </w:r>
    </w:p>
    <w:p w14:paraId="7E4A22E8">
      <w:pPr>
        <w:ind w:firstLine="480"/>
        <w:rPr>
          <w:position w:val="-14"/>
          <w:sz w:val="24"/>
        </w:rPr>
      </w:pPr>
      <w:r>
        <w:rPr>
          <w:sz w:val="24"/>
        </w:rPr>
        <w:pict>
          <v:shape id="Object 72" o:spid="_x0000_s1056" o:spt="75" type="#_x0000_t75" style="position:absolute;left:0pt;margin-top:4.1pt;height:24pt;width:128pt;mso-position-horizontal:center;z-index:251659264;mso-width-relative:page;mso-height-relative:page;" o:ole="t" filled="f" o:preferrelative="t" stroked="f" coordsize="21600,21600">
            <v:path/>
            <v:fill on="f" focussize="0,0"/>
            <v:stroke on="f" joinstyle="miter"/>
            <v:imagedata r:id="rId48" o:title=""/>
            <o:lock v:ext="edit" aspectratio="t"/>
          </v:shape>
          <o:OLEObject Type="Embed" ProgID="Equation.DSMT4" ShapeID="Object 72" DrawAspect="Content" ObjectID="_1468075746" r:id="rId47">
            <o:LockedField>false</o:LockedField>
          </o:OLEObject>
        </w:pict>
      </w:r>
    </w:p>
    <w:p w14:paraId="3CEB2D22">
      <w:pPr>
        <w:rPr>
          <w:sz w:val="24"/>
        </w:rPr>
      </w:pPr>
      <w:r>
        <w:rPr>
          <w:rFonts w:hint="eastAsia"/>
          <w:sz w:val="24"/>
        </w:rPr>
        <w:t>3</w:t>
      </w:r>
      <w:r>
        <w:rPr>
          <w:sz w:val="24"/>
        </w:rPr>
        <w:t>、</w:t>
      </w:r>
      <w:r>
        <w:rPr>
          <w:rFonts w:hint="eastAsia"/>
          <w:sz w:val="24"/>
        </w:rPr>
        <w:t>不确定度的评定</w:t>
      </w:r>
    </w:p>
    <w:p w14:paraId="67A71F48">
      <w:pPr>
        <w:rPr>
          <w:sz w:val="24"/>
        </w:rPr>
      </w:pPr>
      <w:r>
        <w:rPr>
          <w:rFonts w:hint="eastAsia"/>
          <w:sz w:val="24"/>
        </w:rPr>
        <w:t>3.</w:t>
      </w:r>
      <w:r>
        <w:rPr>
          <w:sz w:val="24"/>
        </w:rPr>
        <w:t xml:space="preserve">1  </w:t>
      </w:r>
      <w:r>
        <w:rPr>
          <w:rFonts w:hint="eastAsia"/>
          <w:sz w:val="24"/>
        </w:rPr>
        <w:t>中性滤光片的不确定度</w:t>
      </w:r>
    </w:p>
    <w:p w14:paraId="41ADBA5A">
      <w:pPr>
        <w:ind w:firstLine="480"/>
        <w:rPr>
          <w:sz w:val="24"/>
        </w:rPr>
      </w:pPr>
      <w:r>
        <w:rPr>
          <w:rFonts w:hint="eastAsia"/>
          <w:sz w:val="24"/>
        </w:rPr>
        <w:t>标准滤光片的不确定度由校准证书给出，其扩展不确定度为</w:t>
      </w:r>
      <w:r>
        <w:rPr>
          <w:i/>
          <w:iCs/>
          <w:sz w:val="24"/>
        </w:rPr>
        <w:t>U</w:t>
      </w:r>
      <w:r>
        <w:rPr>
          <w:sz w:val="24"/>
        </w:rPr>
        <w:t>=0.37%</w:t>
      </w:r>
      <w:r>
        <w:rPr>
          <w:rFonts w:hint="eastAsia"/>
          <w:sz w:val="24"/>
        </w:rPr>
        <w:t>，</w:t>
      </w:r>
      <w:r>
        <w:rPr>
          <w:i/>
          <w:iCs/>
          <w:sz w:val="24"/>
        </w:rPr>
        <w:t>k</w:t>
      </w:r>
      <w:r>
        <w:rPr>
          <w:sz w:val="24"/>
        </w:rPr>
        <w:t>=2</w:t>
      </w:r>
      <w:r>
        <w:rPr>
          <w:rFonts w:hint="eastAsia"/>
          <w:sz w:val="24"/>
        </w:rPr>
        <w:t>。故</w:t>
      </w:r>
    </w:p>
    <w:p w14:paraId="69037CF4">
      <w:pPr>
        <w:ind w:firstLine="480"/>
        <w:rPr>
          <w:position w:val="-12"/>
          <w:sz w:val="24"/>
        </w:rPr>
      </w:pPr>
      <w:r>
        <w:rPr>
          <w:sz w:val="24"/>
        </w:rPr>
        <w:pict>
          <v:shape id="Object 73" o:spid="_x0000_s1057" o:spt="75" type="#_x0000_t75" style="position:absolute;left:0pt;margin-top:6.6pt;height:18pt;width:134pt;mso-position-horizontal:center;z-index:251659264;mso-width-relative:page;mso-height-relative:page;" o:ole="t" filled="f" o:preferrelative="t" stroked="f" coordsize="21600,21600">
            <v:path/>
            <v:fill on="f" focussize="0,0"/>
            <v:stroke on="f" joinstyle="miter"/>
            <v:imagedata r:id="rId50" o:title=""/>
            <o:lock v:ext="edit" aspectratio="t"/>
          </v:shape>
          <o:OLEObject Type="Embed" ProgID="Equation.DSMT4" ShapeID="Object 73" DrawAspect="Content" ObjectID="_1468075747" r:id="rId49">
            <o:LockedField>false</o:LockedField>
          </o:OLEObject>
        </w:pict>
      </w:r>
    </w:p>
    <w:p w14:paraId="274C0BC8">
      <w:pPr>
        <w:rPr>
          <w:sz w:val="24"/>
        </w:rPr>
      </w:pPr>
    </w:p>
    <w:p w14:paraId="0D7EF1F8">
      <w:pPr>
        <w:rPr>
          <w:position w:val="-12"/>
          <w:sz w:val="24"/>
        </w:rPr>
      </w:pPr>
      <w:r>
        <w:rPr>
          <w:rFonts w:hint="eastAsia"/>
          <w:sz w:val="24"/>
        </w:rPr>
        <w:t>3.</w:t>
      </w:r>
      <w:r>
        <w:rPr>
          <w:sz w:val="24"/>
        </w:rPr>
        <w:t xml:space="preserve">2 </w:t>
      </w:r>
      <w:r>
        <w:rPr>
          <w:rFonts w:hint="eastAsia"/>
          <w:sz w:val="24"/>
        </w:rPr>
        <w:t>测量重复性引入的不确定度</w:t>
      </w:r>
    </w:p>
    <w:p w14:paraId="78A80EDC">
      <w:pPr>
        <w:ind w:firstLine="480"/>
        <w:rPr>
          <w:sz w:val="24"/>
        </w:rPr>
      </w:pPr>
      <w:r>
        <w:rPr>
          <w:rFonts w:hint="eastAsia"/>
          <w:sz w:val="24"/>
        </w:rPr>
        <w:t>按照规范要求，选用透射比标称值为</w:t>
      </w:r>
      <w:r>
        <w:rPr>
          <w:sz w:val="24"/>
        </w:rPr>
        <w:t>10%</w:t>
      </w:r>
      <w:r>
        <w:rPr>
          <w:rFonts w:hint="eastAsia"/>
          <w:sz w:val="24"/>
        </w:rPr>
        <w:t>的标准滤光片，连续测量</w:t>
      </w:r>
      <w:r>
        <w:rPr>
          <w:sz w:val="24"/>
        </w:rPr>
        <w:t>10</w:t>
      </w:r>
      <w:r>
        <w:rPr>
          <w:rFonts w:hint="eastAsia"/>
          <w:sz w:val="24"/>
        </w:rPr>
        <w:t>次，数据如下表：</w:t>
      </w:r>
    </w:p>
    <w:tbl>
      <w:tblPr>
        <w:tblStyle w:val="7"/>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849"/>
        <w:gridCol w:w="849"/>
        <w:gridCol w:w="850"/>
        <w:gridCol w:w="850"/>
        <w:gridCol w:w="850"/>
        <w:gridCol w:w="850"/>
        <w:gridCol w:w="850"/>
        <w:gridCol w:w="850"/>
        <w:gridCol w:w="850"/>
        <w:gridCol w:w="850"/>
      </w:tblGrid>
      <w:tr w14:paraId="33C54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14:paraId="563DC8DB">
            <w:pPr>
              <w:jc w:val="center"/>
              <w:rPr>
                <w:rFonts w:ascii="Times New Roman" w:hAnsi="Times New Roman"/>
                <w:sz w:val="24"/>
              </w:rPr>
            </w:pPr>
            <w:r>
              <w:rPr>
                <w:rFonts w:hint="eastAsia" w:ascii="Calibri" w:hAnsi="Calibri"/>
                <w:sz w:val="24"/>
              </w:rPr>
              <w:t>次数</w:t>
            </w:r>
          </w:p>
        </w:tc>
        <w:tc>
          <w:tcPr>
            <w:tcW w:w="850" w:type="dxa"/>
            <w:tcBorders>
              <w:top w:val="single" w:color="auto" w:sz="4" w:space="0"/>
              <w:left w:val="single" w:color="auto" w:sz="4" w:space="0"/>
              <w:bottom w:val="single" w:color="auto" w:sz="4" w:space="0"/>
              <w:right w:val="single" w:color="auto" w:sz="4" w:space="0"/>
            </w:tcBorders>
            <w:vAlign w:val="center"/>
          </w:tcPr>
          <w:p w14:paraId="0CCD50B0">
            <w:pPr>
              <w:jc w:val="center"/>
              <w:rPr>
                <w:rFonts w:ascii="Times New Roman" w:hAnsi="Times New Roman"/>
                <w:sz w:val="24"/>
              </w:rPr>
            </w:pPr>
            <w:r>
              <w:rPr>
                <w:rFonts w:ascii="Calibri" w:hAnsi="Calibri"/>
                <w:sz w:val="24"/>
              </w:rPr>
              <w:t>1</w:t>
            </w:r>
          </w:p>
        </w:tc>
        <w:tc>
          <w:tcPr>
            <w:tcW w:w="850" w:type="dxa"/>
            <w:tcBorders>
              <w:top w:val="single" w:color="auto" w:sz="4" w:space="0"/>
              <w:left w:val="single" w:color="auto" w:sz="4" w:space="0"/>
              <w:bottom w:val="single" w:color="auto" w:sz="4" w:space="0"/>
              <w:right w:val="single" w:color="auto" w:sz="4" w:space="0"/>
            </w:tcBorders>
            <w:vAlign w:val="center"/>
          </w:tcPr>
          <w:p w14:paraId="3D47C172">
            <w:pPr>
              <w:jc w:val="center"/>
              <w:rPr>
                <w:rFonts w:ascii="Times New Roman" w:hAnsi="Times New Roman"/>
                <w:sz w:val="24"/>
              </w:rPr>
            </w:pPr>
            <w:r>
              <w:rPr>
                <w:rFonts w:ascii="Calibri" w:hAnsi="Calibri"/>
                <w:sz w:val="24"/>
              </w:rPr>
              <w:t>2</w:t>
            </w:r>
          </w:p>
        </w:tc>
        <w:tc>
          <w:tcPr>
            <w:tcW w:w="850" w:type="dxa"/>
            <w:tcBorders>
              <w:top w:val="single" w:color="auto" w:sz="4" w:space="0"/>
              <w:left w:val="single" w:color="auto" w:sz="4" w:space="0"/>
              <w:bottom w:val="single" w:color="auto" w:sz="4" w:space="0"/>
              <w:right w:val="single" w:color="auto" w:sz="4" w:space="0"/>
            </w:tcBorders>
            <w:vAlign w:val="center"/>
          </w:tcPr>
          <w:p w14:paraId="40913D28">
            <w:pPr>
              <w:jc w:val="center"/>
              <w:rPr>
                <w:rFonts w:ascii="Times New Roman" w:hAnsi="Times New Roman"/>
                <w:sz w:val="24"/>
              </w:rPr>
            </w:pPr>
            <w:r>
              <w:rPr>
                <w:rFonts w:ascii="Calibri" w:hAnsi="Calibri"/>
                <w:sz w:val="24"/>
              </w:rPr>
              <w:t>3</w:t>
            </w:r>
          </w:p>
        </w:tc>
        <w:tc>
          <w:tcPr>
            <w:tcW w:w="850" w:type="dxa"/>
            <w:tcBorders>
              <w:top w:val="single" w:color="auto" w:sz="4" w:space="0"/>
              <w:left w:val="single" w:color="auto" w:sz="4" w:space="0"/>
              <w:bottom w:val="single" w:color="auto" w:sz="4" w:space="0"/>
              <w:right w:val="single" w:color="auto" w:sz="4" w:space="0"/>
            </w:tcBorders>
            <w:vAlign w:val="center"/>
          </w:tcPr>
          <w:p w14:paraId="01537ABD">
            <w:pPr>
              <w:jc w:val="center"/>
              <w:rPr>
                <w:rFonts w:ascii="Times New Roman" w:hAnsi="Times New Roman"/>
                <w:sz w:val="24"/>
              </w:rPr>
            </w:pPr>
            <w:r>
              <w:rPr>
                <w:rFonts w:ascii="Calibri" w:hAnsi="Calibri"/>
                <w:sz w:val="24"/>
              </w:rPr>
              <w:t>4</w:t>
            </w:r>
          </w:p>
        </w:tc>
        <w:tc>
          <w:tcPr>
            <w:tcW w:w="850" w:type="dxa"/>
            <w:tcBorders>
              <w:top w:val="single" w:color="auto" w:sz="4" w:space="0"/>
              <w:left w:val="single" w:color="auto" w:sz="4" w:space="0"/>
              <w:bottom w:val="single" w:color="auto" w:sz="4" w:space="0"/>
              <w:right w:val="single" w:color="auto" w:sz="4" w:space="0"/>
            </w:tcBorders>
            <w:vAlign w:val="center"/>
          </w:tcPr>
          <w:p w14:paraId="204718D3">
            <w:pPr>
              <w:jc w:val="center"/>
              <w:rPr>
                <w:rFonts w:ascii="Times New Roman" w:hAnsi="Times New Roman"/>
                <w:sz w:val="24"/>
              </w:rPr>
            </w:pPr>
            <w:r>
              <w:rPr>
                <w:rFonts w:ascii="Calibri" w:hAnsi="Calibri"/>
                <w:sz w:val="24"/>
              </w:rPr>
              <w:t>5</w:t>
            </w:r>
          </w:p>
        </w:tc>
        <w:tc>
          <w:tcPr>
            <w:tcW w:w="850" w:type="dxa"/>
            <w:tcBorders>
              <w:top w:val="single" w:color="auto" w:sz="4" w:space="0"/>
              <w:left w:val="single" w:color="auto" w:sz="4" w:space="0"/>
              <w:bottom w:val="single" w:color="auto" w:sz="4" w:space="0"/>
              <w:right w:val="single" w:color="auto" w:sz="4" w:space="0"/>
            </w:tcBorders>
            <w:vAlign w:val="center"/>
          </w:tcPr>
          <w:p w14:paraId="64D1FB57">
            <w:pPr>
              <w:jc w:val="center"/>
              <w:rPr>
                <w:rFonts w:ascii="Times New Roman" w:hAnsi="Times New Roman"/>
                <w:sz w:val="24"/>
              </w:rPr>
            </w:pPr>
            <w:r>
              <w:rPr>
                <w:rFonts w:ascii="Calibri" w:hAnsi="Calibri"/>
                <w:sz w:val="24"/>
              </w:rPr>
              <w:t>6</w:t>
            </w:r>
          </w:p>
        </w:tc>
        <w:tc>
          <w:tcPr>
            <w:tcW w:w="850" w:type="dxa"/>
            <w:tcBorders>
              <w:top w:val="single" w:color="auto" w:sz="4" w:space="0"/>
              <w:left w:val="single" w:color="auto" w:sz="4" w:space="0"/>
              <w:bottom w:val="single" w:color="auto" w:sz="4" w:space="0"/>
              <w:right w:val="single" w:color="auto" w:sz="4" w:space="0"/>
            </w:tcBorders>
            <w:vAlign w:val="center"/>
          </w:tcPr>
          <w:p w14:paraId="1E89E3A1">
            <w:pPr>
              <w:jc w:val="center"/>
              <w:rPr>
                <w:rFonts w:ascii="Times New Roman" w:hAnsi="Times New Roman"/>
                <w:sz w:val="24"/>
              </w:rPr>
            </w:pPr>
            <w:r>
              <w:rPr>
                <w:rFonts w:ascii="Calibri" w:hAnsi="Calibri"/>
                <w:sz w:val="24"/>
              </w:rPr>
              <w:t>7</w:t>
            </w:r>
          </w:p>
        </w:tc>
        <w:tc>
          <w:tcPr>
            <w:tcW w:w="850" w:type="dxa"/>
            <w:tcBorders>
              <w:top w:val="single" w:color="auto" w:sz="4" w:space="0"/>
              <w:left w:val="single" w:color="auto" w:sz="4" w:space="0"/>
              <w:bottom w:val="single" w:color="auto" w:sz="4" w:space="0"/>
              <w:right w:val="single" w:color="auto" w:sz="4" w:space="0"/>
            </w:tcBorders>
            <w:vAlign w:val="center"/>
          </w:tcPr>
          <w:p w14:paraId="40439F18">
            <w:pPr>
              <w:jc w:val="center"/>
              <w:rPr>
                <w:rFonts w:ascii="Times New Roman" w:hAnsi="Times New Roman"/>
                <w:sz w:val="24"/>
              </w:rPr>
            </w:pPr>
            <w:r>
              <w:rPr>
                <w:rFonts w:ascii="Calibri" w:hAnsi="Calibri"/>
                <w:sz w:val="24"/>
              </w:rPr>
              <w:t>8</w:t>
            </w:r>
          </w:p>
        </w:tc>
        <w:tc>
          <w:tcPr>
            <w:tcW w:w="850" w:type="dxa"/>
            <w:tcBorders>
              <w:top w:val="single" w:color="auto" w:sz="4" w:space="0"/>
              <w:left w:val="single" w:color="auto" w:sz="4" w:space="0"/>
              <w:bottom w:val="single" w:color="auto" w:sz="4" w:space="0"/>
              <w:right w:val="single" w:color="auto" w:sz="4" w:space="0"/>
            </w:tcBorders>
            <w:vAlign w:val="center"/>
          </w:tcPr>
          <w:p w14:paraId="5A8179F8">
            <w:pPr>
              <w:jc w:val="center"/>
              <w:rPr>
                <w:rFonts w:ascii="Times New Roman" w:hAnsi="Times New Roman"/>
                <w:sz w:val="24"/>
              </w:rPr>
            </w:pPr>
            <w:r>
              <w:rPr>
                <w:rFonts w:ascii="Calibri" w:hAnsi="Calibri"/>
                <w:sz w:val="24"/>
              </w:rPr>
              <w:t>9</w:t>
            </w:r>
          </w:p>
        </w:tc>
        <w:tc>
          <w:tcPr>
            <w:tcW w:w="850" w:type="dxa"/>
            <w:tcBorders>
              <w:top w:val="single" w:color="auto" w:sz="4" w:space="0"/>
              <w:left w:val="single" w:color="auto" w:sz="4" w:space="0"/>
              <w:bottom w:val="single" w:color="auto" w:sz="4" w:space="0"/>
              <w:right w:val="single" w:color="auto" w:sz="4" w:space="0"/>
            </w:tcBorders>
            <w:vAlign w:val="center"/>
          </w:tcPr>
          <w:p w14:paraId="3601685F">
            <w:pPr>
              <w:jc w:val="center"/>
              <w:rPr>
                <w:rFonts w:ascii="Times New Roman" w:hAnsi="Times New Roman"/>
                <w:sz w:val="24"/>
              </w:rPr>
            </w:pPr>
            <w:r>
              <w:rPr>
                <w:rFonts w:ascii="Calibri" w:hAnsi="Calibri"/>
                <w:sz w:val="24"/>
              </w:rPr>
              <w:t>10</w:t>
            </w:r>
          </w:p>
        </w:tc>
      </w:tr>
      <w:tr w14:paraId="369F4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14:paraId="58585F41">
            <w:pPr>
              <w:jc w:val="center"/>
              <w:rPr>
                <w:rFonts w:ascii="Times New Roman" w:hAnsi="Times New Roman"/>
                <w:sz w:val="24"/>
              </w:rPr>
            </w:pPr>
            <w:r>
              <w:rPr>
                <w:rFonts w:hint="eastAsia" w:ascii="Calibri" w:hAnsi="Calibri"/>
                <w:sz w:val="24"/>
              </w:rPr>
              <w:t>测得值</w:t>
            </w:r>
            <w:r>
              <w:rPr>
                <w:rFonts w:ascii="Calibri" w:hAnsi="Calibri"/>
                <w:sz w:val="24"/>
              </w:rPr>
              <w:t>/%</w:t>
            </w:r>
          </w:p>
        </w:tc>
        <w:tc>
          <w:tcPr>
            <w:tcW w:w="850" w:type="dxa"/>
            <w:tcBorders>
              <w:top w:val="single" w:color="auto" w:sz="4" w:space="0"/>
              <w:left w:val="single" w:color="auto" w:sz="4" w:space="0"/>
              <w:bottom w:val="single" w:color="auto" w:sz="4" w:space="0"/>
              <w:right w:val="single" w:color="auto" w:sz="4" w:space="0"/>
            </w:tcBorders>
            <w:vAlign w:val="center"/>
          </w:tcPr>
          <w:p w14:paraId="77E796E8">
            <w:pPr>
              <w:jc w:val="center"/>
              <w:rPr>
                <w:rFonts w:ascii="Times New Roman" w:hAnsi="Times New Roman"/>
                <w:sz w:val="24"/>
              </w:rPr>
            </w:pPr>
            <w:r>
              <w:rPr>
                <w:rFonts w:ascii="Calibri" w:hAnsi="Calibri"/>
                <w:sz w:val="24"/>
              </w:rPr>
              <w:t>8.3</w:t>
            </w:r>
          </w:p>
        </w:tc>
        <w:tc>
          <w:tcPr>
            <w:tcW w:w="850" w:type="dxa"/>
            <w:tcBorders>
              <w:top w:val="single" w:color="auto" w:sz="4" w:space="0"/>
              <w:left w:val="single" w:color="auto" w:sz="4" w:space="0"/>
              <w:bottom w:val="single" w:color="auto" w:sz="4" w:space="0"/>
              <w:right w:val="single" w:color="auto" w:sz="4" w:space="0"/>
            </w:tcBorders>
            <w:vAlign w:val="center"/>
          </w:tcPr>
          <w:p w14:paraId="7AE8C568">
            <w:pPr>
              <w:jc w:val="center"/>
              <w:rPr>
                <w:rFonts w:ascii="Times New Roman" w:hAnsi="Times New Roman"/>
                <w:sz w:val="24"/>
              </w:rPr>
            </w:pPr>
            <w:r>
              <w:rPr>
                <w:rFonts w:ascii="Calibri" w:hAnsi="Calibri"/>
                <w:sz w:val="24"/>
              </w:rPr>
              <w:t>8.5</w:t>
            </w:r>
          </w:p>
        </w:tc>
        <w:tc>
          <w:tcPr>
            <w:tcW w:w="850" w:type="dxa"/>
            <w:tcBorders>
              <w:top w:val="single" w:color="auto" w:sz="4" w:space="0"/>
              <w:left w:val="single" w:color="auto" w:sz="4" w:space="0"/>
              <w:bottom w:val="single" w:color="auto" w:sz="4" w:space="0"/>
              <w:right w:val="single" w:color="auto" w:sz="4" w:space="0"/>
            </w:tcBorders>
            <w:vAlign w:val="center"/>
          </w:tcPr>
          <w:p w14:paraId="7A7A4170">
            <w:pPr>
              <w:jc w:val="center"/>
              <w:rPr>
                <w:rFonts w:ascii="Times New Roman" w:hAnsi="Times New Roman"/>
                <w:sz w:val="24"/>
              </w:rPr>
            </w:pPr>
            <w:r>
              <w:rPr>
                <w:rFonts w:ascii="Calibri" w:hAnsi="Calibri"/>
                <w:sz w:val="24"/>
              </w:rPr>
              <w:t>8.7</w:t>
            </w:r>
          </w:p>
        </w:tc>
        <w:tc>
          <w:tcPr>
            <w:tcW w:w="850" w:type="dxa"/>
            <w:tcBorders>
              <w:top w:val="single" w:color="auto" w:sz="4" w:space="0"/>
              <w:left w:val="single" w:color="auto" w:sz="4" w:space="0"/>
              <w:bottom w:val="single" w:color="auto" w:sz="4" w:space="0"/>
              <w:right w:val="single" w:color="auto" w:sz="4" w:space="0"/>
            </w:tcBorders>
            <w:vAlign w:val="center"/>
          </w:tcPr>
          <w:p w14:paraId="62C63550">
            <w:pPr>
              <w:jc w:val="center"/>
              <w:rPr>
                <w:rFonts w:ascii="Times New Roman" w:hAnsi="Times New Roman"/>
                <w:sz w:val="24"/>
              </w:rPr>
            </w:pPr>
            <w:r>
              <w:rPr>
                <w:rFonts w:ascii="Calibri" w:hAnsi="Calibri"/>
                <w:sz w:val="24"/>
              </w:rPr>
              <w:t>8.3</w:t>
            </w:r>
          </w:p>
        </w:tc>
        <w:tc>
          <w:tcPr>
            <w:tcW w:w="850" w:type="dxa"/>
            <w:tcBorders>
              <w:top w:val="single" w:color="auto" w:sz="4" w:space="0"/>
              <w:left w:val="single" w:color="auto" w:sz="4" w:space="0"/>
              <w:bottom w:val="single" w:color="auto" w:sz="4" w:space="0"/>
              <w:right w:val="single" w:color="auto" w:sz="4" w:space="0"/>
            </w:tcBorders>
            <w:vAlign w:val="center"/>
          </w:tcPr>
          <w:p w14:paraId="5418BFC6">
            <w:pPr>
              <w:jc w:val="center"/>
              <w:rPr>
                <w:rFonts w:ascii="Times New Roman" w:hAnsi="Times New Roman"/>
                <w:sz w:val="24"/>
              </w:rPr>
            </w:pPr>
            <w:r>
              <w:rPr>
                <w:rFonts w:ascii="Calibri" w:hAnsi="Calibri"/>
                <w:sz w:val="24"/>
              </w:rPr>
              <w:t>8.5</w:t>
            </w:r>
          </w:p>
        </w:tc>
        <w:tc>
          <w:tcPr>
            <w:tcW w:w="850" w:type="dxa"/>
            <w:tcBorders>
              <w:top w:val="single" w:color="auto" w:sz="4" w:space="0"/>
              <w:left w:val="single" w:color="auto" w:sz="4" w:space="0"/>
              <w:bottom w:val="single" w:color="auto" w:sz="4" w:space="0"/>
              <w:right w:val="single" w:color="auto" w:sz="4" w:space="0"/>
            </w:tcBorders>
            <w:vAlign w:val="center"/>
          </w:tcPr>
          <w:p w14:paraId="625219E8">
            <w:pPr>
              <w:jc w:val="center"/>
              <w:rPr>
                <w:rFonts w:ascii="Times New Roman" w:hAnsi="Times New Roman"/>
                <w:sz w:val="24"/>
              </w:rPr>
            </w:pPr>
            <w:r>
              <w:rPr>
                <w:rFonts w:ascii="Calibri" w:hAnsi="Calibri"/>
                <w:sz w:val="24"/>
              </w:rPr>
              <w:t>8.8</w:t>
            </w:r>
          </w:p>
        </w:tc>
        <w:tc>
          <w:tcPr>
            <w:tcW w:w="850" w:type="dxa"/>
            <w:tcBorders>
              <w:top w:val="single" w:color="auto" w:sz="4" w:space="0"/>
              <w:left w:val="single" w:color="auto" w:sz="4" w:space="0"/>
              <w:bottom w:val="single" w:color="auto" w:sz="4" w:space="0"/>
              <w:right w:val="single" w:color="auto" w:sz="4" w:space="0"/>
            </w:tcBorders>
            <w:vAlign w:val="center"/>
          </w:tcPr>
          <w:p w14:paraId="27D2FE85">
            <w:pPr>
              <w:jc w:val="center"/>
              <w:rPr>
                <w:rFonts w:ascii="Times New Roman" w:hAnsi="Times New Roman"/>
                <w:sz w:val="24"/>
              </w:rPr>
            </w:pPr>
            <w:r>
              <w:rPr>
                <w:rFonts w:ascii="Calibri" w:hAnsi="Calibri"/>
                <w:sz w:val="24"/>
              </w:rPr>
              <w:t>8.4</w:t>
            </w:r>
          </w:p>
        </w:tc>
        <w:tc>
          <w:tcPr>
            <w:tcW w:w="850" w:type="dxa"/>
            <w:tcBorders>
              <w:top w:val="single" w:color="auto" w:sz="4" w:space="0"/>
              <w:left w:val="single" w:color="auto" w:sz="4" w:space="0"/>
              <w:bottom w:val="single" w:color="auto" w:sz="4" w:space="0"/>
              <w:right w:val="single" w:color="auto" w:sz="4" w:space="0"/>
            </w:tcBorders>
            <w:vAlign w:val="center"/>
          </w:tcPr>
          <w:p w14:paraId="5A2BF409">
            <w:pPr>
              <w:jc w:val="center"/>
              <w:rPr>
                <w:rFonts w:ascii="Times New Roman" w:hAnsi="Times New Roman"/>
                <w:sz w:val="24"/>
              </w:rPr>
            </w:pPr>
            <w:r>
              <w:rPr>
                <w:rFonts w:ascii="Calibri" w:hAnsi="Calibri"/>
                <w:sz w:val="24"/>
              </w:rPr>
              <w:t>8.5</w:t>
            </w:r>
          </w:p>
        </w:tc>
        <w:tc>
          <w:tcPr>
            <w:tcW w:w="850" w:type="dxa"/>
            <w:tcBorders>
              <w:top w:val="single" w:color="auto" w:sz="4" w:space="0"/>
              <w:left w:val="single" w:color="auto" w:sz="4" w:space="0"/>
              <w:bottom w:val="single" w:color="auto" w:sz="4" w:space="0"/>
              <w:right w:val="single" w:color="auto" w:sz="4" w:space="0"/>
            </w:tcBorders>
            <w:vAlign w:val="center"/>
          </w:tcPr>
          <w:p w14:paraId="77A6DFA0">
            <w:pPr>
              <w:jc w:val="center"/>
              <w:rPr>
                <w:rFonts w:ascii="Times New Roman" w:hAnsi="Times New Roman"/>
                <w:sz w:val="24"/>
              </w:rPr>
            </w:pPr>
            <w:r>
              <w:rPr>
                <w:rFonts w:ascii="Calibri" w:hAnsi="Calibri"/>
                <w:sz w:val="24"/>
              </w:rPr>
              <w:t>8.6</w:t>
            </w:r>
          </w:p>
        </w:tc>
        <w:tc>
          <w:tcPr>
            <w:tcW w:w="850" w:type="dxa"/>
            <w:tcBorders>
              <w:top w:val="single" w:color="auto" w:sz="4" w:space="0"/>
              <w:left w:val="single" w:color="auto" w:sz="4" w:space="0"/>
              <w:bottom w:val="single" w:color="auto" w:sz="4" w:space="0"/>
              <w:right w:val="single" w:color="auto" w:sz="4" w:space="0"/>
            </w:tcBorders>
            <w:vAlign w:val="center"/>
          </w:tcPr>
          <w:p w14:paraId="2CB9DD4D">
            <w:pPr>
              <w:jc w:val="center"/>
              <w:rPr>
                <w:rFonts w:ascii="Times New Roman" w:hAnsi="Times New Roman"/>
                <w:sz w:val="24"/>
              </w:rPr>
            </w:pPr>
            <w:r>
              <w:rPr>
                <w:rFonts w:ascii="Calibri" w:hAnsi="Calibri"/>
                <w:sz w:val="24"/>
              </w:rPr>
              <w:t>8.3</w:t>
            </w:r>
          </w:p>
        </w:tc>
      </w:tr>
      <w:tr w14:paraId="73028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vAlign w:val="center"/>
          </w:tcPr>
          <w:p w14:paraId="5EBD396B">
            <w:pPr>
              <w:jc w:val="center"/>
              <w:rPr>
                <w:rFonts w:ascii="Times New Roman" w:hAnsi="Times New Roman"/>
                <w:sz w:val="24"/>
              </w:rPr>
            </w:pPr>
            <w:r>
              <w:rPr>
                <w:rFonts w:hint="eastAsia" w:ascii="Calibri" w:hAnsi="Calibri"/>
                <w:sz w:val="24"/>
              </w:rPr>
              <w:t>平均值</w:t>
            </w:r>
            <w:r>
              <w:rPr>
                <w:rFonts w:ascii="Calibri" w:hAnsi="Calibri"/>
                <w:sz w:val="24"/>
              </w:rPr>
              <w:t>/%</w:t>
            </w:r>
          </w:p>
        </w:tc>
        <w:tc>
          <w:tcPr>
            <w:tcW w:w="8500" w:type="dxa"/>
            <w:gridSpan w:val="10"/>
            <w:tcBorders>
              <w:top w:val="single" w:color="auto" w:sz="4" w:space="0"/>
              <w:left w:val="single" w:color="auto" w:sz="4" w:space="0"/>
              <w:bottom w:val="single" w:color="auto" w:sz="4" w:space="0"/>
              <w:right w:val="single" w:color="auto" w:sz="4" w:space="0"/>
            </w:tcBorders>
            <w:vAlign w:val="center"/>
          </w:tcPr>
          <w:p w14:paraId="15944A9F">
            <w:pPr>
              <w:jc w:val="center"/>
              <w:rPr>
                <w:rFonts w:ascii="Times New Roman" w:hAnsi="Times New Roman"/>
                <w:sz w:val="24"/>
              </w:rPr>
            </w:pPr>
            <w:r>
              <w:rPr>
                <w:rFonts w:ascii="Calibri" w:hAnsi="Calibri"/>
                <w:sz w:val="24"/>
              </w:rPr>
              <w:t>8.49</w:t>
            </w:r>
          </w:p>
        </w:tc>
      </w:tr>
    </w:tbl>
    <w:p w14:paraId="53C021D1">
      <w:pPr>
        <w:ind w:firstLine="480"/>
        <w:rPr>
          <w:rFonts w:ascii="宋体" w:hAnsi="宋体"/>
          <w:position w:val="-26"/>
          <w:sz w:val="24"/>
        </w:rPr>
      </w:pPr>
      <w:r>
        <w:rPr>
          <w:rFonts w:hint="eastAsia" w:ascii="宋体" w:hAnsi="宋体"/>
          <w:sz w:val="24"/>
        </w:rPr>
        <w:t>单次实验标准偏差为：</w:t>
      </w:r>
      <w:r>
        <w:rPr>
          <w:rFonts w:hint="eastAsia" w:ascii="宋体" w:hAnsi="宋体"/>
          <w:position w:val="-26"/>
          <w:sz w:val="24"/>
        </w:rPr>
        <w:object>
          <v:shape id="_x0000_i1044" o:spt="75" type="#_x0000_t75" style="height:51.85pt;width:146.9pt;" o:ole="t" filled="f" o:preferrelative="t" stroked="f" coordsize="21600,21600">
            <v:path/>
            <v:fill on="f" focussize="0,0"/>
            <v:stroke on="f" joinstyle="miter"/>
            <v:imagedata r:id="rId52" o:title=""/>
            <o:lock v:ext="edit" aspectratio="t"/>
            <w10:wrap type="none"/>
            <w10:anchorlock/>
          </v:shape>
          <o:OLEObject Type="Embed" ProgID="Equation.DSMT4" ShapeID="_x0000_i1044" DrawAspect="Content" ObjectID="_1468075748" r:id="rId51">
            <o:LockedField>false</o:LockedField>
          </o:OLEObject>
        </w:object>
      </w:r>
    </w:p>
    <w:p w14:paraId="0514F35E">
      <w:pPr>
        <w:ind w:firstLine="480"/>
        <w:rPr>
          <w:rFonts w:hint="eastAsia" w:ascii="宋体" w:hAnsi="宋体"/>
          <w:sz w:val="24"/>
        </w:rPr>
      </w:pPr>
      <w:r>
        <w:rPr>
          <w:rFonts w:hint="eastAsia" w:ascii="宋体" w:hAnsi="宋体"/>
          <w:sz w:val="24"/>
        </w:rPr>
        <w:t>重复测量3次，则测量重复性引入的标准不确定为：</w:t>
      </w:r>
    </w:p>
    <w:p w14:paraId="28FD4207">
      <w:pPr>
        <w:ind w:firstLine="480"/>
        <w:jc w:val="center"/>
        <w:rPr>
          <w:rFonts w:hint="eastAsia" w:ascii="宋体" w:hAnsi="宋体"/>
          <w:sz w:val="24"/>
        </w:rPr>
      </w:pPr>
      <w:r>
        <w:rPr>
          <w:position w:val="-28"/>
          <w:sz w:val="24"/>
        </w:rPr>
        <w:object>
          <v:shape id="_x0000_i1045" o:spt="75" type="#_x0000_t75" style="height:32.85pt;width:148.6pt;" o:ole="t" filled="f" o:preferrelative="t" stroked="f" coordsize="21600,21600">
            <v:path/>
            <v:fill on="f" focussize="0,0"/>
            <v:stroke on="f" joinstyle="miter"/>
            <v:imagedata r:id="rId54" o:title=""/>
            <o:lock v:ext="edit" aspectratio="t"/>
            <w10:wrap type="none"/>
            <w10:anchorlock/>
          </v:shape>
          <o:OLEObject Type="Embed" ProgID="Equation.DSMT4" ShapeID="_x0000_i1045" DrawAspect="Content" ObjectID="_1468075749" r:id="rId53">
            <o:LockedField>false</o:LockedField>
          </o:OLEObject>
        </w:object>
      </w:r>
    </w:p>
    <w:p w14:paraId="62761B29">
      <w:pPr>
        <w:rPr>
          <w:rFonts w:hint="eastAsia" w:ascii="宋体" w:hAnsi="宋体"/>
          <w:sz w:val="24"/>
        </w:rPr>
      </w:pPr>
      <w:r>
        <w:rPr>
          <w:rFonts w:hint="eastAsia" w:ascii="宋体" w:hAnsi="宋体"/>
          <w:sz w:val="24"/>
        </w:rPr>
        <w:t>3.3 合成标准不确定度</w:t>
      </w:r>
    </w:p>
    <w:p w14:paraId="37393B12">
      <w:pPr>
        <w:ind w:firstLine="480"/>
        <w:jc w:val="center"/>
        <w:rPr>
          <w:rFonts w:hint="eastAsia"/>
          <w:sz w:val="24"/>
        </w:rPr>
      </w:pPr>
      <w:r>
        <w:rPr>
          <w:position w:val="-14"/>
          <w:sz w:val="24"/>
        </w:rPr>
        <w:object>
          <v:shape id="_x0000_i1046" o:spt="75" type="#_x0000_t75" style="height:24.2pt;width:169.35pt;" o:ole="t" filled="f" o:preferrelative="t" stroked="f" coordsize="21600,21600">
            <v:path/>
            <v:fill on="f" focussize="0,0"/>
            <v:stroke on="f" joinstyle="miter"/>
            <v:imagedata r:id="rId56" o:title=""/>
            <o:lock v:ext="edit" aspectratio="t"/>
            <w10:wrap type="none"/>
            <w10:anchorlock/>
          </v:shape>
          <o:OLEObject Type="Embed" ProgID="Equation.DSMT4" ShapeID="_x0000_i1046" DrawAspect="Content" ObjectID="_1468075750" r:id="rId55">
            <o:LockedField>false</o:LockedField>
          </o:OLEObject>
        </w:object>
      </w:r>
    </w:p>
    <w:p w14:paraId="24C2498F">
      <w:pPr>
        <w:rPr>
          <w:sz w:val="24"/>
        </w:rPr>
      </w:pPr>
      <w:r>
        <w:rPr>
          <w:rFonts w:hint="eastAsia"/>
          <w:sz w:val="24"/>
        </w:rPr>
        <w:t>3.4</w:t>
      </w:r>
      <w:r>
        <w:rPr>
          <w:sz w:val="24"/>
        </w:rPr>
        <w:t xml:space="preserve"> </w:t>
      </w:r>
      <w:r>
        <w:rPr>
          <w:rFonts w:hint="eastAsia"/>
          <w:sz w:val="24"/>
        </w:rPr>
        <w:t>扩展不确定度</w:t>
      </w:r>
    </w:p>
    <w:p w14:paraId="5C64BCF1">
      <w:pPr>
        <w:ind w:firstLine="480"/>
        <w:rPr>
          <w:sz w:val="24"/>
        </w:rPr>
      </w:pPr>
      <w:r>
        <w:rPr>
          <w:rFonts w:hint="eastAsia"/>
          <w:sz w:val="24"/>
        </w:rPr>
        <w:t>取包含因子</w:t>
      </w:r>
      <w:r>
        <w:rPr>
          <w:i/>
          <w:sz w:val="24"/>
        </w:rPr>
        <w:t>k</w:t>
      </w:r>
      <w:r>
        <w:rPr>
          <w:sz w:val="24"/>
        </w:rPr>
        <w:t>=2</w:t>
      </w:r>
      <w:r>
        <w:rPr>
          <w:rFonts w:hint="eastAsia"/>
          <w:sz w:val="24"/>
        </w:rPr>
        <w:t>，则扩展不确定度</w:t>
      </w:r>
      <w:r>
        <w:rPr>
          <w:i/>
          <w:sz w:val="24"/>
        </w:rPr>
        <w:t>U</w:t>
      </w:r>
      <w:r>
        <w:rPr>
          <w:sz w:val="24"/>
        </w:rPr>
        <w:t>=2</w:t>
      </w:r>
      <w:r>
        <w:rPr>
          <w:rFonts w:hint="eastAsia"/>
          <w:sz w:val="24"/>
        </w:rPr>
        <w:t>×</w:t>
      </w:r>
      <w:r>
        <w:rPr>
          <w:sz w:val="24"/>
        </w:rPr>
        <w:t>0.21%</w:t>
      </w:r>
      <w:r>
        <w:rPr>
          <w:rFonts w:hint="eastAsia"/>
          <w:sz w:val="24"/>
        </w:rPr>
        <w:t>≈</w:t>
      </w:r>
      <w:r>
        <w:rPr>
          <w:sz w:val="24"/>
        </w:rPr>
        <w:t>0.5%</w:t>
      </w:r>
    </w:p>
    <w:p w14:paraId="17C4EB07">
      <w:pPr>
        <w:ind w:firstLine="480"/>
      </w:pPr>
    </w:p>
    <w:p w14:paraId="7FB50927">
      <w:pPr>
        <w:rPr>
          <w:b/>
          <w:sz w:val="28"/>
          <w:szCs w:val="28"/>
        </w:rPr>
      </w:pPr>
      <w:bookmarkStart w:id="11" w:name="OLE_LINK273"/>
      <w:r>
        <w:rPr>
          <w:rFonts w:hint="eastAsia"/>
          <w:b/>
          <w:sz w:val="28"/>
          <w:szCs w:val="28"/>
        </w:rPr>
        <w:t>三、灵敏度校准</w:t>
      </w:r>
      <w:bookmarkEnd w:id="11"/>
      <w:r>
        <w:rPr>
          <w:rFonts w:hint="eastAsia"/>
          <w:b/>
          <w:sz w:val="28"/>
          <w:szCs w:val="28"/>
        </w:rPr>
        <w:t>不确定度的评定</w:t>
      </w:r>
    </w:p>
    <w:p w14:paraId="5662FDAE">
      <w:pPr>
        <w:rPr>
          <w:sz w:val="24"/>
        </w:rPr>
      </w:pPr>
      <w:r>
        <w:rPr>
          <w:rFonts w:hint="eastAsia"/>
          <w:sz w:val="24"/>
        </w:rPr>
        <w:t>1</w:t>
      </w:r>
      <w:r>
        <w:rPr>
          <w:sz w:val="24"/>
        </w:rPr>
        <w:t>、</w:t>
      </w:r>
      <w:r>
        <w:rPr>
          <w:rFonts w:hint="eastAsia"/>
          <w:sz w:val="24"/>
        </w:rPr>
        <w:t>概述</w:t>
      </w:r>
    </w:p>
    <w:p w14:paraId="195CC046">
      <w:pPr>
        <w:ind w:firstLine="480"/>
        <w:rPr>
          <w:sz w:val="24"/>
        </w:rPr>
      </w:pPr>
      <w:r>
        <w:rPr>
          <w:rFonts w:hint="eastAsia"/>
          <w:sz w:val="24"/>
        </w:rPr>
        <w:t>按照校准规范所述农药标准溶液的要求，依据检测仪使用说明书配制相应浓度的农药标准溶液与对照溶液，读取并计算农药标准溶液反应</w:t>
      </w:r>
      <w:r>
        <w:rPr>
          <w:sz w:val="24"/>
        </w:rPr>
        <w:t>3min</w:t>
      </w:r>
      <w:r>
        <w:rPr>
          <w:rFonts w:hint="eastAsia"/>
          <w:sz w:val="24"/>
        </w:rPr>
        <w:t>吸光度变化值和对照溶液反应</w:t>
      </w:r>
      <w:r>
        <w:rPr>
          <w:sz w:val="24"/>
        </w:rPr>
        <w:t>3min</w:t>
      </w:r>
      <w:r>
        <w:rPr>
          <w:rFonts w:hint="eastAsia"/>
          <w:sz w:val="24"/>
        </w:rPr>
        <w:t>吸光度变化值，计算抑制率。</w:t>
      </w:r>
    </w:p>
    <w:p w14:paraId="3B2C93F3">
      <w:pPr>
        <w:rPr>
          <w:sz w:val="24"/>
        </w:rPr>
      </w:pPr>
      <w:r>
        <w:rPr>
          <w:rFonts w:hint="eastAsia"/>
          <w:sz w:val="24"/>
        </w:rPr>
        <w:t>2</w:t>
      </w:r>
      <w:r>
        <w:rPr>
          <w:sz w:val="24"/>
        </w:rPr>
        <w:t xml:space="preserve">、 </w:t>
      </w:r>
      <w:r>
        <w:rPr>
          <w:rFonts w:hint="eastAsia"/>
          <w:sz w:val="24"/>
        </w:rPr>
        <w:t>测量模型</w:t>
      </w:r>
    </w:p>
    <w:p w14:paraId="1C70898E">
      <w:pPr>
        <w:ind w:firstLine="480"/>
        <w:jc w:val="center"/>
        <w:rPr>
          <w:position w:val="-12"/>
          <w:sz w:val="24"/>
        </w:rPr>
      </w:pPr>
      <w:r>
        <w:rPr>
          <w:position w:val="-30"/>
          <w:sz w:val="24"/>
        </w:rPr>
        <w:object>
          <v:shape id="_x0000_i1047" o:spt="75" type="#_x0000_t75" style="height:34.55pt;width:118.65pt;" o:ole="t" filled="f" o:preferrelative="t" stroked="f" coordsize="21600,21600">
            <v:path/>
            <v:fill on="f" focussize="0,0"/>
            <v:stroke on="f" joinstyle="miter"/>
            <v:imagedata r:id="rId58" o:title=""/>
            <o:lock v:ext="edit" aspectratio="t"/>
            <w10:wrap type="none"/>
            <w10:anchorlock/>
          </v:shape>
          <o:OLEObject Type="Embed" ProgID="Equation.DSMT4" ShapeID="_x0000_i1047" DrawAspect="Content" ObjectID="_1468075751" r:id="rId57">
            <o:LockedField>false</o:LockedField>
          </o:OLEObject>
        </w:object>
      </w:r>
    </w:p>
    <w:p w14:paraId="76DDE78A">
      <w:pPr>
        <w:ind w:firstLine="480"/>
        <w:rPr>
          <w:sz w:val="24"/>
        </w:rPr>
      </w:pPr>
      <w:r>
        <w:rPr>
          <w:rFonts w:hint="eastAsia"/>
          <w:sz w:val="24"/>
        </w:rPr>
        <w:t>式中：</w:t>
      </w:r>
    </w:p>
    <w:p w14:paraId="56C83501">
      <w:pPr>
        <w:ind w:firstLine="480"/>
        <w:rPr>
          <w:sz w:val="24"/>
        </w:rPr>
      </w:pPr>
      <w:r>
        <w:rPr>
          <w:sz w:val="24"/>
        </w:rPr>
        <w:t>IR</w:t>
      </w:r>
      <w:r>
        <w:rPr>
          <w:rFonts w:hint="eastAsia" w:ascii="宋体" w:hAnsi="宋体" w:cs="宋体"/>
          <w:sz w:val="24"/>
        </w:rPr>
        <w:t>---抑制率</w:t>
      </w:r>
      <w:r>
        <w:rPr>
          <w:rFonts w:hint="eastAsia"/>
          <w:sz w:val="24"/>
        </w:rPr>
        <w:t>；</w:t>
      </w:r>
    </w:p>
    <w:p w14:paraId="75DE61C0">
      <w:pPr>
        <w:ind w:firstLine="480"/>
        <w:rPr>
          <w:sz w:val="24"/>
        </w:rPr>
      </w:pPr>
      <w:r>
        <w:rPr>
          <w:position w:val="-12"/>
          <w:sz w:val="24"/>
        </w:rPr>
        <w:object>
          <v:shape id="_x0000_i1048" o:spt="75" type="#_x0000_t75" style="height:17.85pt;width:24.2pt;" o:ole="t" filled="f" o:preferrelative="t" stroked="f" coordsize="21600,21600">
            <v:path/>
            <v:fill on="f" focussize="0,0"/>
            <v:stroke on="f" joinstyle="miter"/>
            <v:imagedata r:id="rId60" o:title=""/>
            <o:lock v:ext="edit" aspectratio="t"/>
            <w10:wrap type="none"/>
            <w10:anchorlock/>
          </v:shape>
          <o:OLEObject Type="Embed" ProgID="Equation.DSMT4" ShapeID="_x0000_i1048" DrawAspect="Content" ObjectID="_1468075752" r:id="rId59">
            <o:LockedField>false</o:LockedField>
          </o:OLEObject>
        </w:object>
      </w:r>
      <w:r>
        <w:rPr>
          <w:rFonts w:hint="eastAsia" w:ascii="宋体" w:hAnsi="宋体" w:cs="宋体"/>
          <w:sz w:val="24"/>
        </w:rPr>
        <w:t>---</w:t>
      </w:r>
      <w:r>
        <w:rPr>
          <w:rFonts w:hint="eastAsia"/>
          <w:sz w:val="24"/>
        </w:rPr>
        <w:t>对照溶液反应</w:t>
      </w:r>
      <w:r>
        <w:rPr>
          <w:sz w:val="24"/>
        </w:rPr>
        <w:t>3min</w:t>
      </w:r>
      <w:r>
        <w:rPr>
          <w:rFonts w:hint="eastAsia"/>
          <w:sz w:val="24"/>
        </w:rPr>
        <w:t>吸光度变化值；</w:t>
      </w:r>
    </w:p>
    <w:p w14:paraId="53494114">
      <w:pPr>
        <w:ind w:firstLine="480"/>
        <w:rPr>
          <w:sz w:val="24"/>
        </w:rPr>
      </w:pPr>
      <w:r>
        <w:rPr>
          <w:position w:val="-12"/>
          <w:sz w:val="24"/>
        </w:rPr>
        <w:object>
          <v:shape id="_x0000_i1049" o:spt="75" type="#_x0000_t75" style="height:17.85pt;width:22.45pt;" o:ole="t" filled="f" o:preferrelative="t" stroked="f" coordsize="21600,21600">
            <v:path/>
            <v:fill on="f" focussize="0,0"/>
            <v:stroke on="f" joinstyle="miter"/>
            <v:imagedata r:id="rId62" o:title=""/>
            <o:lock v:ext="edit" aspectratio="t"/>
            <w10:wrap type="none"/>
            <w10:anchorlock/>
          </v:shape>
          <o:OLEObject Type="Embed" ProgID="Equation.DSMT4" ShapeID="_x0000_i1049" DrawAspect="Content" ObjectID="_1468075753" r:id="rId61">
            <o:LockedField>false</o:LockedField>
          </o:OLEObject>
        </w:object>
      </w:r>
      <w:r>
        <w:rPr>
          <w:rFonts w:hint="eastAsia" w:ascii="宋体" w:hAnsi="宋体" w:cs="宋体"/>
          <w:sz w:val="24"/>
        </w:rPr>
        <w:t>---农药标准溶液反应3min吸光度变化值。</w:t>
      </w:r>
    </w:p>
    <w:p w14:paraId="48AAB5FD">
      <w:pPr>
        <w:ind w:firstLine="480"/>
        <w:rPr>
          <w:sz w:val="24"/>
        </w:rPr>
      </w:pPr>
      <w:r>
        <w:rPr>
          <w:rFonts w:hint="eastAsia"/>
          <w:sz w:val="24"/>
        </w:rPr>
        <w:t>不确定度传播律</w:t>
      </w:r>
    </w:p>
    <w:p w14:paraId="5F0B41D8">
      <w:pPr>
        <w:ind w:firstLine="480"/>
        <w:rPr>
          <w:sz w:val="24"/>
        </w:rPr>
      </w:pPr>
      <w:r>
        <w:rPr>
          <w:rFonts w:hint="eastAsia"/>
          <w:sz w:val="24"/>
        </w:rPr>
        <w:t>测量量</w:t>
      </w:r>
      <w:r>
        <w:rPr>
          <w:position w:val="-12"/>
          <w:sz w:val="24"/>
        </w:rPr>
        <w:object>
          <v:shape id="_x0000_i1050" o:spt="75" type="#_x0000_t75" style="height:17.85pt;width:24.2pt;" o:ole="t" filled="f" o:preferrelative="t" stroked="f" coordsize="21600,21600">
            <v:path/>
            <v:fill on="f" focussize="0,0"/>
            <v:stroke on="f" joinstyle="miter"/>
            <v:imagedata r:id="rId60" o:title=""/>
            <o:lock v:ext="edit" aspectratio="t"/>
            <w10:wrap type="none"/>
            <w10:anchorlock/>
          </v:shape>
          <o:OLEObject Type="Embed" ProgID="Equation.DSMT4" ShapeID="_x0000_i1050" DrawAspect="Content" ObjectID="_1468075754" r:id="rId63">
            <o:LockedField>false</o:LockedField>
          </o:OLEObject>
        </w:object>
      </w:r>
      <w:r>
        <w:rPr>
          <w:rFonts w:hint="eastAsia"/>
          <w:sz w:val="24"/>
        </w:rPr>
        <w:t>与</w:t>
      </w:r>
      <w:r>
        <w:rPr>
          <w:position w:val="-12"/>
          <w:sz w:val="24"/>
        </w:rPr>
        <w:object>
          <v:shape id="_x0000_i1051" o:spt="75" type="#_x0000_t75" style="height:17.85pt;width:22.45pt;" o:ole="t" filled="f" o:preferrelative="t" stroked="f" coordsize="21600,21600">
            <v:path/>
            <v:fill on="f" focussize="0,0"/>
            <v:stroke on="f" joinstyle="miter"/>
            <v:imagedata r:id="rId62" o:title=""/>
            <o:lock v:ext="edit" aspectratio="t"/>
            <w10:wrap type="none"/>
            <w10:anchorlock/>
          </v:shape>
          <o:OLEObject Type="Embed" ProgID="Equation.DSMT4" ShapeID="_x0000_i1051" DrawAspect="Content" ObjectID="_1468075755" r:id="rId64">
            <o:LockedField>false</o:LockedField>
          </o:OLEObject>
        </w:object>
      </w:r>
      <w:r>
        <w:rPr>
          <w:rFonts w:hint="eastAsia"/>
          <w:sz w:val="24"/>
        </w:rPr>
        <w:t>彼此不相关，有：</w:t>
      </w:r>
    </w:p>
    <w:p w14:paraId="57D36A8D">
      <w:pPr>
        <w:ind w:firstLine="480"/>
        <w:jc w:val="center"/>
        <w:rPr>
          <w:sz w:val="24"/>
        </w:rPr>
      </w:pPr>
      <w:r>
        <w:rPr>
          <w:position w:val="-12"/>
          <w:sz w:val="24"/>
        </w:rPr>
        <w:object>
          <v:shape id="_x0000_i1052" o:spt="75" type="#_x0000_t75" style="height:17.85pt;width:170.5pt;" o:ole="t" filled="f" o:preferrelative="t" stroked="f" coordsize="21600,21600">
            <v:path/>
            <v:fill on="f" focussize="0,0"/>
            <v:stroke on="f" joinstyle="miter"/>
            <v:imagedata r:id="rId66" o:title=""/>
            <o:lock v:ext="edit" aspectratio="t"/>
            <w10:wrap type="none"/>
            <w10:anchorlock/>
          </v:shape>
          <o:OLEObject Type="Embed" ProgID="Equation.DSMT4" ShapeID="_x0000_i1052" DrawAspect="Content" ObjectID="_1468075756" r:id="rId65">
            <o:LockedField>false</o:LockedField>
          </o:OLEObject>
        </w:object>
      </w:r>
    </w:p>
    <w:p w14:paraId="4F79FA67">
      <w:pPr>
        <w:ind w:firstLine="480"/>
        <w:rPr>
          <w:sz w:val="24"/>
        </w:rPr>
      </w:pPr>
      <w:r>
        <w:rPr>
          <w:rFonts w:hint="eastAsia"/>
          <w:sz w:val="24"/>
        </w:rPr>
        <w:t>其中，灵敏系数</w:t>
      </w:r>
      <w:r>
        <w:rPr>
          <w:position w:val="-30"/>
          <w:sz w:val="24"/>
        </w:rPr>
        <w:object>
          <v:shape id="_x0000_i1053" o:spt="75" type="#_x0000_t75" style="height:34.55pt;width:144.6pt;" o:ole="t" filled="f" o:preferrelative="t" stroked="f" coordsize="21600,21600">
            <v:path/>
            <v:fill on="f" focussize="0,0"/>
            <v:stroke on="f" joinstyle="miter"/>
            <v:imagedata r:id="rId68" o:title=""/>
            <o:lock v:ext="edit" aspectratio="t"/>
            <w10:wrap type="none"/>
            <w10:anchorlock/>
          </v:shape>
          <o:OLEObject Type="Embed" ProgID="Equation.DSMT4" ShapeID="_x0000_i1053" DrawAspect="Content" ObjectID="_1468075757" r:id="rId67">
            <o:LockedField>false</o:LockedField>
          </o:OLEObject>
        </w:object>
      </w:r>
      <w:r>
        <w:rPr>
          <w:rFonts w:hint="eastAsia"/>
          <w:sz w:val="24"/>
        </w:rPr>
        <w:t>，</w:t>
      </w:r>
      <w:r>
        <w:rPr>
          <w:position w:val="-30"/>
          <w:sz w:val="24"/>
        </w:rPr>
        <w:object>
          <v:shape id="_x0000_i1054" o:spt="75" type="#_x0000_t75" style="height:34.55pt;width:153.2pt;" o:ole="t" filled="f" o:preferrelative="t" stroked="f" coordsize="21600,21600">
            <v:path/>
            <v:fill on="f" focussize="0,0"/>
            <v:stroke on="f" joinstyle="miter"/>
            <v:imagedata r:id="rId70" o:title=""/>
            <o:lock v:ext="edit" aspectratio="t"/>
            <w10:wrap type="none"/>
            <w10:anchorlock/>
          </v:shape>
          <o:OLEObject Type="Embed" ProgID="Equation.DSMT4" ShapeID="_x0000_i1054" DrawAspect="Content" ObjectID="_1468075758" r:id="rId69">
            <o:LockedField>false</o:LockedField>
          </o:OLEObject>
        </w:object>
      </w:r>
      <w:r>
        <w:rPr>
          <w:sz w:val="24"/>
        </w:rPr>
        <w:t xml:space="preserve"> </w:t>
      </w:r>
    </w:p>
    <w:p w14:paraId="70F56F0C">
      <w:pPr>
        <w:ind w:firstLine="480"/>
        <w:rPr>
          <w:sz w:val="24"/>
        </w:rPr>
      </w:pPr>
      <w:r>
        <w:rPr>
          <w:rFonts w:hint="eastAsia"/>
          <w:sz w:val="24"/>
        </w:rPr>
        <w:t>因此，抑制率的不确定度可计算如下：</w:t>
      </w:r>
    </w:p>
    <w:p w14:paraId="67DB0061">
      <w:pPr>
        <w:ind w:firstLine="480"/>
        <w:rPr>
          <w:position w:val="-14"/>
          <w:sz w:val="24"/>
        </w:rPr>
      </w:pPr>
      <w:r>
        <w:rPr>
          <w:sz w:val="24"/>
        </w:rPr>
        <w:pict>
          <v:shape id="_x0000_s1058" o:spid="_x0000_s1058" o:spt="75" type="#_x0000_t75" style="position:absolute;left:0pt;margin-top:4.1pt;height:23pt;width:161pt;mso-position-horizontal:center;z-index:251659264;mso-width-relative:page;mso-height-relative:page;" o:ole="t" filled="f" o:preferrelative="t" stroked="f" coordsize="21600,21600">
            <v:path/>
            <v:fill on="f" focussize="0,0"/>
            <v:stroke on="f" joinstyle="miter"/>
            <v:imagedata r:id="rId72" o:title=""/>
            <o:lock v:ext="edit" aspectratio="t"/>
          </v:shape>
          <o:OLEObject Type="Embed" ProgID="Equation.DSMT4" ShapeID="_x0000_s1058" DrawAspect="Content" ObjectID="_1468075759" r:id="rId71">
            <o:LockedField>false</o:LockedField>
          </o:OLEObject>
        </w:pict>
      </w:r>
    </w:p>
    <w:p w14:paraId="3068D4CF">
      <w:pPr>
        <w:ind w:firstLine="480"/>
        <w:rPr>
          <w:sz w:val="24"/>
        </w:rPr>
      </w:pPr>
    </w:p>
    <w:p w14:paraId="28EDBDAC">
      <w:pPr>
        <w:rPr>
          <w:sz w:val="24"/>
        </w:rPr>
      </w:pPr>
      <w:r>
        <w:rPr>
          <w:rFonts w:hint="eastAsia"/>
          <w:sz w:val="24"/>
        </w:rPr>
        <w:t>3</w:t>
      </w:r>
      <w:r>
        <w:rPr>
          <w:sz w:val="24"/>
        </w:rPr>
        <w:t xml:space="preserve">、 </w:t>
      </w:r>
      <w:r>
        <w:rPr>
          <w:rFonts w:hint="eastAsia"/>
          <w:sz w:val="24"/>
        </w:rPr>
        <w:t>不确定度的评定</w:t>
      </w:r>
    </w:p>
    <w:p w14:paraId="16F71FB6">
      <w:pPr>
        <w:rPr>
          <w:sz w:val="24"/>
        </w:rPr>
      </w:pPr>
      <w:r>
        <w:rPr>
          <w:rFonts w:hint="eastAsia"/>
          <w:sz w:val="24"/>
        </w:rPr>
        <w:t>3.</w:t>
      </w:r>
      <w:r>
        <w:rPr>
          <w:sz w:val="24"/>
        </w:rPr>
        <w:t xml:space="preserve">1  </w:t>
      </w:r>
      <w:r>
        <w:rPr>
          <w:rFonts w:hint="eastAsia"/>
          <w:sz w:val="24"/>
        </w:rPr>
        <w:t>标准溶液反应</w:t>
      </w:r>
      <w:r>
        <w:rPr>
          <w:sz w:val="24"/>
        </w:rPr>
        <w:t>3min</w:t>
      </w:r>
      <w:r>
        <w:rPr>
          <w:rFonts w:hint="eastAsia"/>
          <w:sz w:val="24"/>
        </w:rPr>
        <w:t>吸光度变化值</w:t>
      </w:r>
      <w:r>
        <w:rPr>
          <w:position w:val="-12"/>
          <w:sz w:val="24"/>
        </w:rPr>
        <w:object>
          <v:shape id="_x0000_i1055" o:spt="75" type="#_x0000_t75" style="height:17.85pt;width:22.45pt;" o:ole="t" filled="f" o:preferrelative="t" stroked="f" coordsize="21600,21600">
            <v:path/>
            <v:fill on="f" focussize="0,0"/>
            <v:stroke on="f" joinstyle="miter"/>
            <v:imagedata r:id="rId62" o:title=""/>
            <o:lock v:ext="edit" aspectratio="t"/>
            <w10:wrap type="none"/>
            <w10:anchorlock/>
          </v:shape>
          <o:OLEObject Type="Embed" ProgID="Equation.DSMT4" ShapeID="_x0000_i1055" DrawAspect="Content" ObjectID="_1468075760" r:id="rId73">
            <o:LockedField>false</o:LockedField>
          </o:OLEObject>
        </w:object>
      </w:r>
      <w:r>
        <w:rPr>
          <w:rFonts w:hint="eastAsia"/>
          <w:sz w:val="24"/>
        </w:rPr>
        <w:t>引入的不确定度</w:t>
      </w:r>
    </w:p>
    <w:p w14:paraId="7235295A">
      <w:pPr>
        <w:ind w:firstLine="480"/>
        <w:rPr>
          <w:sz w:val="24"/>
        </w:rPr>
      </w:pPr>
      <w:r>
        <w:rPr>
          <w:rFonts w:hint="eastAsia"/>
          <w:sz w:val="24"/>
        </w:rPr>
        <w:t>采用有证标准物质，其定值不确定度为</w:t>
      </w:r>
      <w:r>
        <w:rPr>
          <w:sz w:val="24"/>
        </w:rPr>
        <w:t>3%</w:t>
      </w:r>
      <w:r>
        <w:rPr>
          <w:rFonts w:hint="eastAsia"/>
          <w:sz w:val="24"/>
        </w:rPr>
        <w:t>，包含因子</w:t>
      </w:r>
      <w:r>
        <w:rPr>
          <w:i/>
          <w:sz w:val="24"/>
        </w:rPr>
        <w:t>k</w:t>
      </w:r>
      <w:r>
        <w:rPr>
          <w:sz w:val="24"/>
        </w:rPr>
        <w:t>=2</w:t>
      </w:r>
      <w:r>
        <w:rPr>
          <w:rFonts w:hint="eastAsia"/>
          <w:sz w:val="24"/>
        </w:rPr>
        <w:t>。则标准物质的引入的不确定度分量为：</w:t>
      </w:r>
    </w:p>
    <w:p w14:paraId="7BC69128">
      <w:pPr>
        <w:ind w:firstLine="480"/>
        <w:jc w:val="center"/>
        <w:rPr>
          <w:sz w:val="24"/>
        </w:rPr>
      </w:pPr>
      <w:r>
        <w:rPr>
          <w:position w:val="-12"/>
          <w:sz w:val="24"/>
        </w:rPr>
        <w:object>
          <v:shape id="_x0000_i1056" o:spt="75" type="#_x0000_t75" style="height:17.85pt;width:125pt;" o:ole="t" filled="f" o:preferrelative="t" stroked="f" coordsize="21600,21600">
            <v:path/>
            <v:fill on="f" focussize="0,0"/>
            <v:stroke on="f" joinstyle="miter"/>
            <v:imagedata r:id="rId75" o:title=""/>
            <o:lock v:ext="edit" aspectratio="t"/>
            <w10:wrap type="none"/>
            <w10:anchorlock/>
          </v:shape>
          <o:OLEObject Type="Embed" ProgID="Equation.DSMT4" ShapeID="_x0000_i1056" DrawAspect="Content" ObjectID="_1468075761" r:id="rId74">
            <o:LockedField>false</o:LockedField>
          </o:OLEObject>
        </w:object>
      </w:r>
    </w:p>
    <w:p w14:paraId="4022E2E3">
      <w:pPr>
        <w:ind w:firstLine="480"/>
        <w:rPr>
          <w:sz w:val="24"/>
        </w:rPr>
      </w:pPr>
      <w:r>
        <w:rPr>
          <w:rFonts w:hint="eastAsia"/>
          <w:sz w:val="24"/>
        </w:rPr>
        <w:t>由于环境条件、人员操作和被校仪器等各种随机因素引入的不确定度，可采用</w:t>
      </w:r>
      <w:r>
        <w:rPr>
          <w:sz w:val="24"/>
        </w:rPr>
        <w:t>A</w:t>
      </w:r>
      <w:r>
        <w:rPr>
          <w:rFonts w:hint="eastAsia"/>
          <w:sz w:val="24"/>
        </w:rPr>
        <w:t>类评定。按要求配制</w:t>
      </w:r>
      <w:r>
        <w:rPr>
          <w:sz w:val="24"/>
        </w:rPr>
        <w:t>10</w:t>
      </w:r>
      <w:r>
        <w:rPr>
          <w:rFonts w:hint="eastAsia"/>
          <w:sz w:val="24"/>
        </w:rPr>
        <w:t>份标准溶液，读取溶液反应</w:t>
      </w:r>
      <w:r>
        <w:rPr>
          <w:sz w:val="24"/>
        </w:rPr>
        <w:t>3min</w:t>
      </w:r>
      <w:r>
        <w:rPr>
          <w:rFonts w:hint="eastAsia"/>
          <w:sz w:val="24"/>
        </w:rPr>
        <w:t>吸光度变化值，计算其相对标准偏差为</w:t>
      </w:r>
      <w:r>
        <w:rPr>
          <w:sz w:val="24"/>
        </w:rPr>
        <w:t>3.2%</w:t>
      </w:r>
      <w:r>
        <w:rPr>
          <w:rFonts w:hint="eastAsia"/>
          <w:sz w:val="24"/>
        </w:rPr>
        <w:t>。按照规范实际重复测量</w:t>
      </w:r>
      <w:r>
        <w:rPr>
          <w:sz w:val="24"/>
        </w:rPr>
        <w:t>3</w:t>
      </w:r>
      <w:r>
        <w:rPr>
          <w:rFonts w:hint="eastAsia"/>
          <w:sz w:val="24"/>
        </w:rPr>
        <w:t>次，故：</w:t>
      </w:r>
    </w:p>
    <w:p w14:paraId="5B31653B">
      <w:pPr>
        <w:tabs>
          <w:tab w:val="left" w:pos="604"/>
        </w:tabs>
        <w:ind w:firstLine="480"/>
        <w:jc w:val="center"/>
        <w:rPr>
          <w:sz w:val="24"/>
        </w:rPr>
      </w:pPr>
      <w:r>
        <w:rPr>
          <w:position w:val="-12"/>
          <w:sz w:val="24"/>
        </w:rPr>
        <w:object>
          <v:shape id="_x0000_i1057" o:spt="75" type="#_x0000_t75" style="height:20.15pt;width:143.4pt;" o:ole="t" filled="f" o:preferrelative="t" stroked="f" coordsize="21600,21600">
            <v:path/>
            <v:fill on="f" focussize="0,0"/>
            <v:stroke on="f" joinstyle="miter"/>
            <v:imagedata r:id="rId77" o:title=""/>
            <o:lock v:ext="edit" aspectratio="t"/>
            <w10:wrap type="none"/>
            <w10:anchorlock/>
          </v:shape>
          <o:OLEObject Type="Embed" ProgID="Equation.DSMT4" ShapeID="_x0000_i1057" DrawAspect="Content" ObjectID="_1468075762" r:id="rId76">
            <o:LockedField>false</o:LockedField>
          </o:OLEObject>
        </w:object>
      </w:r>
    </w:p>
    <w:p w14:paraId="3C5EA98E">
      <w:pPr>
        <w:tabs>
          <w:tab w:val="left" w:pos="604"/>
        </w:tabs>
        <w:ind w:firstLine="480"/>
        <w:rPr>
          <w:sz w:val="24"/>
        </w:rPr>
      </w:pPr>
      <w:r>
        <w:rPr>
          <w:rFonts w:hint="eastAsia"/>
          <w:sz w:val="24"/>
        </w:rPr>
        <w:t>由于</w:t>
      </w:r>
      <w:r>
        <w:rPr>
          <w:position w:val="-12"/>
          <w:sz w:val="24"/>
        </w:rPr>
        <w:object>
          <v:shape id="_x0000_i1058" o:spt="75" type="#_x0000_t75" style="height:17.85pt;width:47.8pt;" o:ole="t" filled="f" o:preferrelative="t" stroked="f" coordsize="21600,21600">
            <v:path/>
            <v:fill on="f" focussize="0,0"/>
            <v:stroke on="f" joinstyle="miter"/>
            <v:imagedata r:id="rId79" o:title=""/>
            <o:lock v:ext="edit" aspectratio="t"/>
            <w10:wrap type="none"/>
            <w10:anchorlock/>
          </v:shape>
          <o:OLEObject Type="Embed" ProgID="Equation.DSMT4" ShapeID="_x0000_i1058" DrawAspect="Content" ObjectID="_1468075763" r:id="rId78">
            <o:LockedField>false</o:LockedField>
          </o:OLEObject>
        </w:object>
      </w:r>
      <w:r>
        <w:rPr>
          <w:rFonts w:hint="eastAsia"/>
          <w:sz w:val="24"/>
        </w:rPr>
        <w:t>和</w:t>
      </w:r>
      <w:r>
        <w:rPr>
          <w:position w:val="-12"/>
          <w:sz w:val="24"/>
        </w:rPr>
        <w:object>
          <v:shape id="_x0000_i1059" o:spt="75" type="#_x0000_t75" style="height:17.85pt;width:47.8pt;" o:ole="t" filled="f" o:preferrelative="t" stroked="f" coordsize="21600,21600">
            <v:path/>
            <v:fill on="f" focussize="0,0"/>
            <v:stroke on="f" joinstyle="miter"/>
            <v:imagedata r:id="rId81" o:title=""/>
            <o:lock v:ext="edit" aspectratio="t"/>
            <w10:wrap type="none"/>
            <w10:anchorlock/>
          </v:shape>
          <o:OLEObject Type="Embed" ProgID="Equation.DSMT4" ShapeID="_x0000_i1059" DrawAspect="Content" ObjectID="_1468075764" r:id="rId80">
            <o:LockedField>false</o:LockedField>
          </o:OLEObject>
        </w:object>
      </w:r>
      <w:r>
        <w:rPr>
          <w:rFonts w:hint="eastAsia"/>
          <w:sz w:val="24"/>
        </w:rPr>
        <w:t>不相关，则：</w:t>
      </w:r>
    </w:p>
    <w:p w14:paraId="6DEEA370">
      <w:pPr>
        <w:tabs>
          <w:tab w:val="left" w:pos="604"/>
        </w:tabs>
        <w:ind w:firstLine="480"/>
        <w:jc w:val="center"/>
        <w:rPr>
          <w:sz w:val="24"/>
        </w:rPr>
      </w:pPr>
      <w:r>
        <w:rPr>
          <w:position w:val="-14"/>
          <w:sz w:val="24"/>
        </w:rPr>
        <w:object>
          <v:shape id="_x0000_i1060" o:spt="75" type="#_x0000_t75" style="height:24.2pt;width:307pt;" o:ole="t" filled="f" o:preferrelative="t" stroked="f" coordsize="21600,21600">
            <v:path/>
            <v:fill on="f" focussize="0,0"/>
            <v:stroke on="f" joinstyle="miter"/>
            <v:imagedata r:id="rId83" o:title=""/>
            <o:lock v:ext="edit" aspectratio="t"/>
            <w10:wrap type="none"/>
            <w10:anchorlock/>
          </v:shape>
          <o:OLEObject Type="Embed" ProgID="Equation.DSMT4" ShapeID="_x0000_i1060" DrawAspect="Content" ObjectID="_1468075765" r:id="rId82">
            <o:LockedField>false</o:LockedField>
          </o:OLEObject>
        </w:object>
      </w:r>
    </w:p>
    <w:p w14:paraId="6D0FB0E5">
      <w:pPr>
        <w:jc w:val="left"/>
        <w:rPr>
          <w:sz w:val="24"/>
        </w:rPr>
      </w:pPr>
      <w:r>
        <w:rPr>
          <w:rFonts w:hint="eastAsia"/>
          <w:sz w:val="24"/>
        </w:rPr>
        <w:t>3.</w:t>
      </w:r>
      <w:r>
        <w:rPr>
          <w:sz w:val="24"/>
        </w:rPr>
        <w:t xml:space="preserve">2  </w:t>
      </w:r>
      <w:r>
        <w:rPr>
          <w:rFonts w:hint="eastAsia"/>
          <w:sz w:val="24"/>
        </w:rPr>
        <w:t>对照溶液反应</w:t>
      </w:r>
      <w:r>
        <w:rPr>
          <w:sz w:val="24"/>
        </w:rPr>
        <w:t>3min</w:t>
      </w:r>
      <w:r>
        <w:rPr>
          <w:rFonts w:hint="eastAsia"/>
          <w:sz w:val="24"/>
        </w:rPr>
        <w:t>吸光度变化值</w:t>
      </w:r>
      <w:r>
        <w:rPr>
          <w:position w:val="-12"/>
          <w:sz w:val="24"/>
        </w:rPr>
        <w:object>
          <v:shape id="_x0000_i1061" o:spt="75" type="#_x0000_t75" style="height:17.85pt;width:24.2pt;" o:ole="t" filled="f" o:preferrelative="t" stroked="f" coordsize="21600,21600">
            <v:path/>
            <v:fill on="f" focussize="0,0"/>
            <v:stroke on="f" joinstyle="miter"/>
            <v:imagedata r:id="rId85" o:title=""/>
            <o:lock v:ext="edit" aspectratio="t"/>
            <w10:wrap type="none"/>
            <w10:anchorlock/>
          </v:shape>
          <o:OLEObject Type="Embed" ProgID="Equation.DSMT4" ShapeID="_x0000_i1061" DrawAspect="Content" ObjectID="_1468075766" r:id="rId84">
            <o:LockedField>false</o:LockedField>
          </o:OLEObject>
        </w:object>
      </w:r>
      <w:r>
        <w:rPr>
          <w:rFonts w:hint="eastAsia"/>
          <w:sz w:val="24"/>
        </w:rPr>
        <w:t>引入的不确定度</w:t>
      </w:r>
    </w:p>
    <w:p w14:paraId="0E9A6947">
      <w:pPr>
        <w:tabs>
          <w:tab w:val="left" w:pos="604"/>
        </w:tabs>
        <w:ind w:firstLine="480"/>
        <w:rPr>
          <w:sz w:val="24"/>
        </w:rPr>
      </w:pPr>
      <w:r>
        <w:rPr>
          <w:rFonts w:hint="eastAsia"/>
          <w:sz w:val="24"/>
        </w:rPr>
        <w:t>由于环境条件、人员操作和被校仪器等各种随机因素引入的不确定度，可采用</w:t>
      </w:r>
      <w:r>
        <w:rPr>
          <w:sz w:val="24"/>
        </w:rPr>
        <w:t>A</w:t>
      </w:r>
      <w:r>
        <w:rPr>
          <w:rFonts w:hint="eastAsia"/>
          <w:sz w:val="24"/>
        </w:rPr>
        <w:t>类评定。按要求配制</w:t>
      </w:r>
      <w:r>
        <w:rPr>
          <w:sz w:val="24"/>
        </w:rPr>
        <w:t>10</w:t>
      </w:r>
      <w:r>
        <w:rPr>
          <w:rFonts w:hint="eastAsia"/>
          <w:sz w:val="24"/>
        </w:rPr>
        <w:t>份标准溶液，读取溶液反应</w:t>
      </w:r>
      <w:r>
        <w:rPr>
          <w:sz w:val="24"/>
        </w:rPr>
        <w:t>3min</w:t>
      </w:r>
      <w:r>
        <w:rPr>
          <w:rFonts w:hint="eastAsia"/>
          <w:sz w:val="24"/>
        </w:rPr>
        <w:t>吸光度变化值，计算其相对标准偏差为</w:t>
      </w:r>
      <w:r>
        <w:rPr>
          <w:sz w:val="24"/>
        </w:rPr>
        <w:t>1.8%</w:t>
      </w:r>
      <w:r>
        <w:rPr>
          <w:rFonts w:hint="eastAsia"/>
          <w:sz w:val="24"/>
        </w:rPr>
        <w:t>。按照规范实际重复测量</w:t>
      </w:r>
      <w:r>
        <w:rPr>
          <w:sz w:val="24"/>
        </w:rPr>
        <w:t>3</w:t>
      </w:r>
      <w:r>
        <w:rPr>
          <w:rFonts w:hint="eastAsia"/>
          <w:sz w:val="24"/>
        </w:rPr>
        <w:t>次，故：</w:t>
      </w:r>
    </w:p>
    <w:p w14:paraId="6CFF81A8">
      <w:pPr>
        <w:tabs>
          <w:tab w:val="left" w:pos="604"/>
        </w:tabs>
        <w:ind w:firstLine="480"/>
        <w:jc w:val="center"/>
        <w:rPr>
          <w:sz w:val="24"/>
        </w:rPr>
      </w:pPr>
      <w:r>
        <w:rPr>
          <w:position w:val="-12"/>
          <w:sz w:val="24"/>
        </w:rPr>
        <w:object>
          <v:shape id="_x0000_i1062" o:spt="75" type="#_x0000_t75" style="height:20.15pt;width:138.8pt;" o:ole="t" filled="f" o:preferrelative="t" stroked="f" coordsize="21600,21600">
            <v:path/>
            <v:fill on="f" focussize="0,0"/>
            <v:stroke on="f" joinstyle="miter"/>
            <v:imagedata r:id="rId87" o:title=""/>
            <o:lock v:ext="edit" aspectratio="t"/>
            <w10:wrap type="none"/>
            <w10:anchorlock/>
          </v:shape>
          <o:OLEObject Type="Embed" ProgID="Equation.DSMT4" ShapeID="_x0000_i1062" DrawAspect="Content" ObjectID="_1468075767" r:id="rId86">
            <o:LockedField>false</o:LockedField>
          </o:OLEObject>
        </w:object>
      </w:r>
    </w:p>
    <w:p w14:paraId="5F726F9F">
      <w:pPr>
        <w:rPr>
          <w:rFonts w:ascii="宋体" w:hAnsi="宋体"/>
          <w:sz w:val="24"/>
        </w:rPr>
      </w:pPr>
      <w:r>
        <w:rPr>
          <w:rFonts w:hint="eastAsia" w:ascii="宋体" w:hAnsi="宋体"/>
          <w:sz w:val="24"/>
        </w:rPr>
        <w:t>3.3合成标准不确定度</w:t>
      </w:r>
    </w:p>
    <w:p w14:paraId="4485F19F">
      <w:pPr>
        <w:ind w:firstLine="480"/>
        <w:jc w:val="center"/>
        <w:rPr>
          <w:rFonts w:hint="eastAsia"/>
          <w:sz w:val="24"/>
        </w:rPr>
      </w:pPr>
      <w:r>
        <w:rPr>
          <w:position w:val="-14"/>
          <w:sz w:val="24"/>
        </w:rPr>
        <w:object>
          <v:shape id="_x0000_i1063" o:spt="75" type="#_x0000_t75" style="height:22.45pt;width:198.7pt;" o:ole="t" filled="f" o:preferrelative="t" stroked="f" coordsize="21600,21600">
            <v:path/>
            <v:fill on="f" focussize="0,0"/>
            <v:stroke on="f" joinstyle="miter"/>
            <v:imagedata r:id="rId89" o:title=""/>
            <o:lock v:ext="edit" aspectratio="t"/>
            <w10:wrap type="none"/>
            <w10:anchorlock/>
          </v:shape>
          <o:OLEObject Type="Embed" ProgID="Equation.DSMT4" ShapeID="_x0000_i1063" DrawAspect="Content" ObjectID="_1468075768" r:id="rId88">
            <o:LockedField>false</o:LockedField>
          </o:OLEObject>
        </w:object>
      </w:r>
    </w:p>
    <w:p w14:paraId="50C6554C">
      <w:pPr>
        <w:rPr>
          <w:sz w:val="24"/>
        </w:rPr>
      </w:pPr>
      <w:r>
        <w:rPr>
          <w:rFonts w:hint="eastAsia"/>
          <w:sz w:val="24"/>
        </w:rPr>
        <w:t>3.4</w:t>
      </w:r>
      <w:r>
        <w:rPr>
          <w:sz w:val="24"/>
        </w:rPr>
        <w:t xml:space="preserve"> </w:t>
      </w:r>
      <w:r>
        <w:rPr>
          <w:rFonts w:hint="eastAsia"/>
          <w:sz w:val="24"/>
        </w:rPr>
        <w:t>扩展不确定度</w:t>
      </w:r>
    </w:p>
    <w:p w14:paraId="1CAE8CB6">
      <w:pPr>
        <w:ind w:firstLine="480"/>
        <w:rPr>
          <w:sz w:val="24"/>
        </w:rPr>
      </w:pPr>
      <w:r>
        <w:rPr>
          <w:rFonts w:hint="eastAsia"/>
          <w:sz w:val="24"/>
        </w:rPr>
        <w:t>取包含因子</w:t>
      </w:r>
      <w:r>
        <w:rPr>
          <w:i/>
          <w:sz w:val="24"/>
        </w:rPr>
        <w:t>k</w:t>
      </w:r>
      <w:r>
        <w:rPr>
          <w:sz w:val="24"/>
        </w:rPr>
        <w:t>=2</w:t>
      </w:r>
      <w:r>
        <w:rPr>
          <w:rFonts w:hint="eastAsia"/>
          <w:sz w:val="24"/>
        </w:rPr>
        <w:t>，则扩展不确定度</w:t>
      </w:r>
      <w:r>
        <w:rPr>
          <w:i/>
          <w:sz w:val="24"/>
        </w:rPr>
        <w:t>U</w:t>
      </w:r>
      <w:r>
        <w:rPr>
          <w:sz w:val="24"/>
        </w:rPr>
        <w:t>=2</w:t>
      </w:r>
      <w:r>
        <w:rPr>
          <w:rFonts w:hint="eastAsia"/>
          <w:sz w:val="24"/>
        </w:rPr>
        <w:t>×</w:t>
      </w:r>
      <w:r>
        <w:rPr>
          <w:sz w:val="24"/>
        </w:rPr>
        <w:t>2.6%=5.2%</w:t>
      </w:r>
    </w:p>
    <w:p w14:paraId="494E11AC">
      <w:pPr>
        <w:widowControl/>
        <w:spacing w:line="360" w:lineRule="auto"/>
        <w:jc w:val="left"/>
        <w:rPr>
          <w:b/>
          <w:sz w:val="24"/>
        </w:rPr>
      </w:pPr>
      <w:r>
        <w:rPr>
          <w:rFonts w:hint="eastAsia"/>
          <w:b/>
          <w:sz w:val="24"/>
        </w:rPr>
        <w:t>四</w:t>
      </w:r>
      <w:r>
        <w:rPr>
          <w:b/>
          <w:sz w:val="24"/>
        </w:rPr>
        <w:t>、校准结果的不确定度报告</w:t>
      </w:r>
    </w:p>
    <w:p w14:paraId="512F300A">
      <w:pPr>
        <w:widowControl/>
        <w:spacing w:line="360" w:lineRule="auto"/>
        <w:ind w:firstLine="420" w:firstLineChars="200"/>
        <w:jc w:val="left"/>
        <w:rPr>
          <w:sz w:val="24"/>
        </w:rPr>
      </w:pPr>
      <w:r>
        <w:rPr>
          <w:rFonts w:hint="eastAsia"/>
        </w:rPr>
        <w:t>波长、透射比、灵敏度</w:t>
      </w:r>
      <w:r>
        <w:rPr>
          <w:sz w:val="24"/>
        </w:rPr>
        <w:t>项目校准结果的不确定度报告见表3。</w:t>
      </w:r>
    </w:p>
    <w:p w14:paraId="2DD451AF">
      <w:pPr>
        <w:widowControl/>
        <w:spacing w:line="360" w:lineRule="auto"/>
        <w:jc w:val="center"/>
        <w:rPr>
          <w:rFonts w:ascii="黑体" w:hAnsi="黑体" w:eastAsia="黑体"/>
        </w:rPr>
      </w:pPr>
      <w:r>
        <w:rPr>
          <w:rFonts w:ascii="黑体" w:hAnsi="黑体" w:eastAsia="黑体"/>
        </w:rPr>
        <w:t>表</w:t>
      </w:r>
      <w:r>
        <w:rPr>
          <w:rFonts w:eastAsia="黑体"/>
        </w:rPr>
        <w:t>3</w:t>
      </w:r>
      <w:r>
        <w:rPr>
          <w:rFonts w:ascii="黑体" w:hAnsi="黑体" w:eastAsia="黑体"/>
        </w:rPr>
        <w:t xml:space="preserve"> 葡萄糖项目示值误差校准结果的不确定度报告</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1"/>
        <w:gridCol w:w="2321"/>
        <w:gridCol w:w="2322"/>
        <w:gridCol w:w="2322"/>
      </w:tblGrid>
      <w:tr w14:paraId="39573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2161058F">
            <w:pPr>
              <w:widowControl/>
              <w:spacing w:line="360" w:lineRule="auto"/>
              <w:jc w:val="center"/>
              <w:rPr>
                <w:rFonts w:ascii="Times New Roman" w:hAnsi="Times New Roman"/>
                <w:szCs w:val="21"/>
              </w:rPr>
            </w:pPr>
            <w:r>
              <w:rPr>
                <w:rFonts w:ascii="Times New Roman" w:hAnsi="Times New Roman"/>
                <w:szCs w:val="21"/>
              </w:rPr>
              <w:t>项目名称</w:t>
            </w:r>
          </w:p>
        </w:tc>
        <w:tc>
          <w:tcPr>
            <w:tcW w:w="2321" w:type="dxa"/>
          </w:tcPr>
          <w:p w14:paraId="7E6D494B">
            <w:pPr>
              <w:widowControl/>
              <w:spacing w:line="360" w:lineRule="auto"/>
              <w:jc w:val="center"/>
              <w:rPr>
                <w:rFonts w:ascii="Times New Roman" w:hAnsi="Times New Roman"/>
                <w:szCs w:val="21"/>
              </w:rPr>
            </w:pPr>
            <w:r>
              <w:rPr>
                <w:rFonts w:ascii="Times New Roman" w:hAnsi="Times New Roman"/>
                <w:szCs w:val="21"/>
              </w:rPr>
              <w:t>校准项目</w:t>
            </w:r>
          </w:p>
        </w:tc>
        <w:tc>
          <w:tcPr>
            <w:tcW w:w="2322" w:type="dxa"/>
          </w:tcPr>
          <w:p w14:paraId="7F8FB100">
            <w:pPr>
              <w:widowControl/>
              <w:spacing w:line="360" w:lineRule="auto"/>
              <w:jc w:val="center"/>
              <w:rPr>
                <w:rFonts w:ascii="Times New Roman" w:hAnsi="Times New Roman"/>
                <w:szCs w:val="21"/>
              </w:rPr>
            </w:pPr>
            <w:r>
              <w:rPr>
                <w:rFonts w:ascii="Times New Roman" w:hAnsi="Times New Roman"/>
                <w:szCs w:val="21"/>
              </w:rPr>
              <w:t>校准结果</w:t>
            </w:r>
          </w:p>
        </w:tc>
        <w:tc>
          <w:tcPr>
            <w:tcW w:w="2322" w:type="dxa"/>
          </w:tcPr>
          <w:p w14:paraId="5C43E7C7">
            <w:pPr>
              <w:widowControl/>
              <w:spacing w:line="360" w:lineRule="auto"/>
              <w:jc w:val="center"/>
              <w:rPr>
                <w:rFonts w:ascii="Times New Roman" w:hAnsi="Times New Roman"/>
                <w:szCs w:val="21"/>
              </w:rPr>
            </w:pPr>
            <w:r>
              <w:rPr>
                <w:rFonts w:ascii="Times New Roman" w:hAnsi="Times New Roman"/>
                <w:szCs w:val="21"/>
              </w:rPr>
              <w:t>扩展不确定度（</w:t>
            </w:r>
            <w:r>
              <w:rPr>
                <w:rFonts w:ascii="Times New Roman" w:hAnsi="Times New Roman"/>
                <w:i/>
                <w:szCs w:val="21"/>
              </w:rPr>
              <w:t>k</w:t>
            </w:r>
            <w:r>
              <w:rPr>
                <w:rFonts w:ascii="Times New Roman" w:hAnsi="Times New Roman"/>
                <w:szCs w:val="21"/>
              </w:rPr>
              <w:t>=2）</w:t>
            </w:r>
          </w:p>
        </w:tc>
      </w:tr>
      <w:tr w14:paraId="494A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2F4180C3">
            <w:pPr>
              <w:widowControl/>
              <w:spacing w:line="360" w:lineRule="auto"/>
              <w:jc w:val="center"/>
              <w:rPr>
                <w:rFonts w:ascii="Times New Roman" w:hAnsi="Times New Roman"/>
                <w:szCs w:val="21"/>
              </w:rPr>
            </w:pPr>
            <w:r>
              <w:rPr>
                <w:rFonts w:hint="eastAsia" w:ascii="Times New Roman" w:hAnsi="Times New Roman"/>
                <w:szCs w:val="21"/>
              </w:rPr>
              <w:t>波长</w:t>
            </w:r>
          </w:p>
        </w:tc>
        <w:tc>
          <w:tcPr>
            <w:tcW w:w="2321" w:type="dxa"/>
          </w:tcPr>
          <w:p w14:paraId="16F09D4D">
            <w:pPr>
              <w:widowControl/>
              <w:spacing w:line="360" w:lineRule="auto"/>
              <w:jc w:val="center"/>
              <w:rPr>
                <w:rFonts w:ascii="Times New Roman" w:hAnsi="Times New Roman"/>
                <w:szCs w:val="21"/>
              </w:rPr>
            </w:pPr>
            <w:r>
              <w:rPr>
                <w:rFonts w:ascii="Times New Roman" w:hAnsi="Times New Roman"/>
                <w:szCs w:val="21"/>
              </w:rPr>
              <w:t>示值误差</w:t>
            </w:r>
          </w:p>
        </w:tc>
        <w:tc>
          <w:tcPr>
            <w:tcW w:w="2322" w:type="dxa"/>
          </w:tcPr>
          <w:p w14:paraId="21054301">
            <w:pPr>
              <w:widowControl/>
              <w:spacing w:line="360" w:lineRule="auto"/>
              <w:jc w:val="center"/>
              <w:rPr>
                <w:rFonts w:ascii="Times New Roman" w:hAnsi="Times New Roman"/>
                <w:szCs w:val="21"/>
              </w:rPr>
            </w:pPr>
            <w:r>
              <w:rPr>
                <w:rFonts w:ascii="Times New Roman" w:hAnsi="Times New Roman"/>
                <w:szCs w:val="21"/>
              </w:rPr>
              <w:t>41</w:t>
            </w:r>
            <w:r>
              <w:rPr>
                <w:rFonts w:hint="eastAsia" w:ascii="Times New Roman" w:hAnsi="Times New Roman"/>
                <w:szCs w:val="21"/>
              </w:rPr>
              <w:t xml:space="preserve">3.69 </w:t>
            </w:r>
            <w:bookmarkStart w:id="12" w:name="OLE_LINK277"/>
            <w:r>
              <w:rPr>
                <w:rFonts w:ascii="Times New Roman" w:hAnsi="Times New Roman"/>
                <w:szCs w:val="21"/>
              </w:rPr>
              <w:t>nm</w:t>
            </w:r>
            <w:bookmarkEnd w:id="12"/>
          </w:p>
        </w:tc>
        <w:tc>
          <w:tcPr>
            <w:tcW w:w="2322" w:type="dxa"/>
          </w:tcPr>
          <w:p w14:paraId="79B86DF7">
            <w:pPr>
              <w:widowControl/>
              <w:spacing w:line="360" w:lineRule="auto"/>
              <w:jc w:val="center"/>
              <w:rPr>
                <w:rFonts w:ascii="Times New Roman" w:hAnsi="Times New Roman"/>
                <w:szCs w:val="21"/>
              </w:rPr>
            </w:pPr>
            <w:r>
              <w:rPr>
                <w:rFonts w:hint="eastAsia" w:ascii="Times New Roman" w:hAnsi="Times New Roman"/>
                <w:szCs w:val="21"/>
              </w:rPr>
              <w:t>1.7</w:t>
            </w:r>
            <w:r>
              <w:rPr>
                <w:rFonts w:ascii="Calibri" w:hAnsi="Calibri"/>
                <w:szCs w:val="21"/>
              </w:rPr>
              <w:t xml:space="preserve"> </w:t>
            </w:r>
            <w:r>
              <w:rPr>
                <w:rFonts w:ascii="Times New Roman" w:hAnsi="Times New Roman"/>
                <w:szCs w:val="21"/>
              </w:rPr>
              <w:t>nm</w:t>
            </w:r>
          </w:p>
        </w:tc>
      </w:tr>
      <w:tr w14:paraId="7B656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0C1DAF9D">
            <w:pPr>
              <w:widowControl/>
              <w:spacing w:line="360" w:lineRule="auto"/>
              <w:jc w:val="center"/>
              <w:rPr>
                <w:rFonts w:ascii="Calibri" w:hAnsi="Calibri"/>
                <w:szCs w:val="21"/>
              </w:rPr>
            </w:pPr>
            <w:r>
              <w:rPr>
                <w:rFonts w:ascii="Calibri" w:hAnsi="Calibri"/>
                <w:szCs w:val="21"/>
              </w:rPr>
              <w:t>透射比</w:t>
            </w:r>
          </w:p>
        </w:tc>
        <w:tc>
          <w:tcPr>
            <w:tcW w:w="2321" w:type="dxa"/>
          </w:tcPr>
          <w:p w14:paraId="201997A2">
            <w:pPr>
              <w:widowControl/>
              <w:spacing w:line="360" w:lineRule="auto"/>
              <w:jc w:val="center"/>
              <w:rPr>
                <w:rFonts w:ascii="Calibri" w:hAnsi="Calibri"/>
                <w:szCs w:val="21"/>
              </w:rPr>
            </w:pPr>
            <w:r>
              <w:rPr>
                <w:rFonts w:ascii="Calibri" w:hAnsi="Calibri"/>
                <w:szCs w:val="21"/>
              </w:rPr>
              <w:t>示值误差</w:t>
            </w:r>
          </w:p>
        </w:tc>
        <w:tc>
          <w:tcPr>
            <w:tcW w:w="2322" w:type="dxa"/>
          </w:tcPr>
          <w:p w14:paraId="1BF8F36F">
            <w:pPr>
              <w:widowControl/>
              <w:spacing w:line="360" w:lineRule="auto"/>
              <w:jc w:val="center"/>
              <w:rPr>
                <w:rFonts w:ascii="Calibri" w:hAnsi="Calibri"/>
                <w:szCs w:val="21"/>
              </w:rPr>
            </w:pPr>
            <w:r>
              <w:rPr>
                <w:rFonts w:hint="eastAsia" w:ascii="Calibri" w:hAnsi="Calibri"/>
                <w:szCs w:val="21"/>
              </w:rPr>
              <w:t>8.49%</w:t>
            </w:r>
          </w:p>
        </w:tc>
        <w:tc>
          <w:tcPr>
            <w:tcW w:w="2322" w:type="dxa"/>
          </w:tcPr>
          <w:p w14:paraId="4265CFEF">
            <w:pPr>
              <w:widowControl/>
              <w:spacing w:line="360" w:lineRule="auto"/>
              <w:jc w:val="center"/>
              <w:rPr>
                <w:rFonts w:ascii="Calibri" w:hAnsi="Calibri"/>
                <w:szCs w:val="21"/>
              </w:rPr>
            </w:pPr>
            <w:r>
              <w:rPr>
                <w:rFonts w:hint="eastAsia" w:ascii="Calibri" w:hAnsi="Calibri"/>
                <w:szCs w:val="21"/>
              </w:rPr>
              <w:t>0.5%</w:t>
            </w:r>
          </w:p>
        </w:tc>
      </w:tr>
      <w:tr w14:paraId="2B93B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50D747D9">
            <w:pPr>
              <w:widowControl/>
              <w:spacing w:line="360" w:lineRule="auto"/>
              <w:jc w:val="center"/>
              <w:rPr>
                <w:rFonts w:ascii="Calibri" w:hAnsi="Calibri"/>
                <w:szCs w:val="21"/>
              </w:rPr>
            </w:pPr>
            <w:r>
              <w:rPr>
                <w:rFonts w:ascii="Calibri" w:hAnsi="Calibri"/>
                <w:szCs w:val="21"/>
              </w:rPr>
              <w:t>灵敏度</w:t>
            </w:r>
          </w:p>
        </w:tc>
        <w:tc>
          <w:tcPr>
            <w:tcW w:w="2321" w:type="dxa"/>
          </w:tcPr>
          <w:p w14:paraId="00AEFC3B">
            <w:pPr>
              <w:widowControl/>
              <w:spacing w:line="360" w:lineRule="auto"/>
              <w:jc w:val="center"/>
              <w:rPr>
                <w:rFonts w:ascii="Calibri" w:hAnsi="Calibri"/>
                <w:szCs w:val="21"/>
              </w:rPr>
            </w:pPr>
            <w:r>
              <w:rPr>
                <w:rFonts w:ascii="Calibri" w:hAnsi="Calibri"/>
                <w:szCs w:val="21"/>
              </w:rPr>
              <w:t>灵敏度</w:t>
            </w:r>
          </w:p>
        </w:tc>
        <w:tc>
          <w:tcPr>
            <w:tcW w:w="2322" w:type="dxa"/>
          </w:tcPr>
          <w:p w14:paraId="6384FC4F">
            <w:pPr>
              <w:widowControl/>
              <w:spacing w:line="360" w:lineRule="auto"/>
              <w:jc w:val="center"/>
              <w:rPr>
                <w:rFonts w:ascii="Calibri" w:hAnsi="Calibri"/>
                <w:szCs w:val="21"/>
              </w:rPr>
            </w:pPr>
            <w:r>
              <w:rPr>
                <w:rFonts w:hint="eastAsia" w:ascii="Calibri" w:hAnsi="Calibri"/>
                <w:szCs w:val="21"/>
              </w:rPr>
              <w:t>3.2%</w:t>
            </w:r>
          </w:p>
        </w:tc>
        <w:tc>
          <w:tcPr>
            <w:tcW w:w="2322" w:type="dxa"/>
          </w:tcPr>
          <w:p w14:paraId="5DE5E5F1">
            <w:pPr>
              <w:widowControl/>
              <w:spacing w:line="360" w:lineRule="auto"/>
              <w:jc w:val="center"/>
              <w:rPr>
                <w:rFonts w:ascii="Calibri" w:hAnsi="Calibri"/>
                <w:szCs w:val="21"/>
              </w:rPr>
            </w:pPr>
            <w:r>
              <w:rPr>
                <w:rFonts w:hint="eastAsia" w:ascii="Calibri" w:hAnsi="Calibri"/>
                <w:szCs w:val="21"/>
              </w:rPr>
              <w:t>5.2%</w:t>
            </w:r>
          </w:p>
        </w:tc>
      </w:tr>
    </w:tbl>
    <w:p w14:paraId="0582706B">
      <w:pPr>
        <w:widowControl/>
        <w:spacing w:line="360" w:lineRule="auto"/>
        <w:rPr>
          <w:b/>
          <w:sz w:val="24"/>
        </w:rPr>
      </w:pPr>
      <w:r>
        <w:rPr>
          <w:rFonts w:hint="eastAsia"/>
          <w:b/>
          <w:sz w:val="24"/>
        </w:rPr>
        <w:t>无</w:t>
      </w:r>
      <w:r>
        <w:rPr>
          <w:b/>
          <w:sz w:val="24"/>
        </w:rPr>
        <w:t>、总结</w:t>
      </w:r>
    </w:p>
    <w:p w14:paraId="5A1169AB">
      <w:pPr>
        <w:spacing w:line="360" w:lineRule="auto"/>
        <w:ind w:firstLine="480" w:firstLineChars="200"/>
        <w:rPr>
          <w:sz w:val="24"/>
        </w:rPr>
      </w:pPr>
      <w:r>
        <w:rPr>
          <w:rFonts w:hint="eastAsia"/>
          <w:sz w:val="24"/>
        </w:rPr>
        <w:t>本报告依据JJF 1059.1-2012《测量不确定度评定与表示》及相关校准规范，对多参数食品现场快速检测仪的校准结果进行了系统的测量不确定度评定。通过对校准全过程中不确定度来源的识别与分析，明确了标准物质定值及配制过程、仪器测量重复性、仪器自身分辨力等因素对最终测量结果的影响。</w:t>
      </w:r>
    </w:p>
    <w:p w14:paraId="39C2F07C">
      <w:pPr>
        <w:spacing w:line="360" w:lineRule="auto"/>
        <w:ind w:firstLine="480" w:firstLineChars="200"/>
        <w:rPr>
          <w:sz w:val="24"/>
        </w:rPr>
      </w:pPr>
      <w:r>
        <w:rPr>
          <w:rFonts w:hint="eastAsia"/>
          <w:sz w:val="24"/>
        </w:rPr>
        <w:t>结果表明，在校准过程中，</w:t>
      </w:r>
      <w:bookmarkStart w:id="13" w:name="OLE_LINK278"/>
      <w:r>
        <w:rPr>
          <w:rFonts w:hint="eastAsia"/>
          <w:sz w:val="24"/>
        </w:rPr>
        <w:t>校准波长示值误差时，仪器测量重复性引入的不确定度分量占据主导地位，其次是标准器量值溯源引入的分量；</w:t>
      </w:r>
      <w:bookmarkEnd w:id="13"/>
      <w:r>
        <w:rPr>
          <w:rFonts w:hint="eastAsia"/>
          <w:sz w:val="24"/>
        </w:rPr>
        <w:t>校准透射比示值误差时，标准物质</w:t>
      </w:r>
      <w:r>
        <w:rPr>
          <w:rFonts w:hint="eastAsia"/>
        </w:rPr>
        <w:t>中性滤光片</w:t>
      </w:r>
      <w:r>
        <w:rPr>
          <w:rFonts w:hint="eastAsia"/>
          <w:sz w:val="24"/>
        </w:rPr>
        <w:t>引入的不确定度分量占据主导地位，其次是重复性引入的不确定度分量；校准透射比时，</w:t>
      </w:r>
      <w:bookmarkStart w:id="14" w:name="OLE_LINK280"/>
      <w:bookmarkStart w:id="15" w:name="OLE_LINK281"/>
      <w:r>
        <w:rPr>
          <w:rFonts w:hint="eastAsia" w:ascii="宋体" w:hAnsi="宋体" w:cs="宋体"/>
        </w:rPr>
        <w:t>农药标准溶液</w:t>
      </w:r>
      <w:r>
        <w:rPr>
          <w:rFonts w:hint="eastAsia"/>
          <w:sz w:val="24"/>
        </w:rPr>
        <w:t>引入的不确定度分量</w:t>
      </w:r>
      <w:bookmarkEnd w:id="14"/>
      <w:bookmarkEnd w:id="15"/>
      <w:r>
        <w:rPr>
          <w:rFonts w:hint="eastAsia"/>
          <w:sz w:val="24"/>
        </w:rPr>
        <w:t>占据主导地位，其次是</w:t>
      </w:r>
      <w:r>
        <w:rPr>
          <w:rFonts w:hint="eastAsia"/>
        </w:rPr>
        <w:t>对照溶液</w:t>
      </w:r>
      <w:r>
        <w:rPr>
          <w:rFonts w:hint="eastAsia"/>
          <w:sz w:val="24"/>
        </w:rPr>
        <w:t>引入的分量；通过科学计算各分量并进行合成，最终得出该仪器波长示值误差、透射比示值误差以及灵敏度校准结果的扩展不确定度，其数值符合相关技术规范的要求。</w:t>
      </w:r>
    </w:p>
    <w:p w14:paraId="035E398A">
      <w:pPr>
        <w:spacing w:line="360" w:lineRule="auto"/>
        <w:ind w:firstLine="480" w:firstLineChars="200"/>
        <w:rPr>
          <w:sz w:val="24"/>
        </w:rPr>
      </w:pPr>
      <w:r>
        <w:rPr>
          <w:rFonts w:hint="eastAsia"/>
          <w:sz w:val="24"/>
        </w:rPr>
        <w:t>本报告客观反映了多参数食品现场快速检测仪校准规范给出的校准过程和方法可行，为仪器的后续使用、量值溯源及测量结果的合理应用提供了科学依据，对保障检测数据的准确性与一致性具有重要意义。</w:t>
      </w:r>
    </w:p>
    <w:p w14:paraId="7D267355">
      <w:pPr>
        <w:spacing w:line="360" w:lineRule="auto"/>
        <w:ind w:firstLine="480" w:firstLineChars="200"/>
        <w:rPr>
          <w:sz w:val="24"/>
        </w:rPr>
      </w:pPr>
    </w:p>
    <w:p w14:paraId="5240C29F">
      <w:pPr>
        <w:spacing w:line="360" w:lineRule="auto"/>
        <w:ind w:firstLine="480" w:firstLineChars="200"/>
        <w:rPr>
          <w:sz w:val="24"/>
        </w:rPr>
      </w:pPr>
    </w:p>
    <w:p w14:paraId="21A17619">
      <w:pPr>
        <w:spacing w:line="360" w:lineRule="auto"/>
        <w:rPr>
          <w:rFonts w:eastAsiaTheme="minorEastAsia"/>
          <w:b/>
          <w:sz w:val="28"/>
        </w:rPr>
      </w:pPr>
    </w:p>
    <w:sectPr>
      <w:footerReference r:id="rId3" w:type="default"/>
      <w:pgSz w:w="11906" w:h="16838"/>
      <w:pgMar w:top="1134" w:right="1418" w:bottom="1021" w:left="1418" w:header="851" w:footer="1134"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19FAE">
    <w:pPr>
      <w:pStyle w:val="3"/>
      <w:jc w:val="center"/>
    </w:pPr>
    <w:r>
      <w:fldChar w:fldCharType="begin"/>
    </w:r>
    <w:r>
      <w:instrText xml:space="preserve">PAGE   \* MERGEFORMAT</w:instrText>
    </w:r>
    <w:r>
      <w:fldChar w:fldCharType="separate"/>
    </w:r>
    <w:r>
      <w:rPr>
        <w:lang w:val="zh-CN"/>
      </w:rPr>
      <w:t>4</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912"/>
    <w:rsid w:val="0000433E"/>
    <w:rsid w:val="0000788B"/>
    <w:rsid w:val="00007A01"/>
    <w:rsid w:val="000115DA"/>
    <w:rsid w:val="00020A70"/>
    <w:rsid w:val="00024739"/>
    <w:rsid w:val="00041672"/>
    <w:rsid w:val="000475F0"/>
    <w:rsid w:val="00064BEF"/>
    <w:rsid w:val="00067369"/>
    <w:rsid w:val="000767F9"/>
    <w:rsid w:val="00081E84"/>
    <w:rsid w:val="000935A0"/>
    <w:rsid w:val="00095271"/>
    <w:rsid w:val="000A2166"/>
    <w:rsid w:val="000A61B0"/>
    <w:rsid w:val="000B1FD7"/>
    <w:rsid w:val="000C0EB5"/>
    <w:rsid w:val="000C12DE"/>
    <w:rsid w:val="000C612D"/>
    <w:rsid w:val="000C7AE1"/>
    <w:rsid w:val="000D117F"/>
    <w:rsid w:val="000D3C9A"/>
    <w:rsid w:val="000D4CE2"/>
    <w:rsid w:val="000E6B8B"/>
    <w:rsid w:val="000E7B1D"/>
    <w:rsid w:val="000F047E"/>
    <w:rsid w:val="000F1AC3"/>
    <w:rsid w:val="000F5E5F"/>
    <w:rsid w:val="001021CD"/>
    <w:rsid w:val="00111FE0"/>
    <w:rsid w:val="00127B7B"/>
    <w:rsid w:val="00147A57"/>
    <w:rsid w:val="001503AE"/>
    <w:rsid w:val="00151DF0"/>
    <w:rsid w:val="0015336A"/>
    <w:rsid w:val="001547C0"/>
    <w:rsid w:val="0017289C"/>
    <w:rsid w:val="00185CDE"/>
    <w:rsid w:val="00192EE9"/>
    <w:rsid w:val="001939BF"/>
    <w:rsid w:val="001A1EA7"/>
    <w:rsid w:val="001A3435"/>
    <w:rsid w:val="001A426A"/>
    <w:rsid w:val="001A7122"/>
    <w:rsid w:val="001B007C"/>
    <w:rsid w:val="001B2E51"/>
    <w:rsid w:val="001B59D4"/>
    <w:rsid w:val="001C4F38"/>
    <w:rsid w:val="001C6ED7"/>
    <w:rsid w:val="001D15AC"/>
    <w:rsid w:val="001D170F"/>
    <w:rsid w:val="001D2819"/>
    <w:rsid w:val="001D3311"/>
    <w:rsid w:val="001D6992"/>
    <w:rsid w:val="001E155C"/>
    <w:rsid w:val="001E3E6B"/>
    <w:rsid w:val="001E48B5"/>
    <w:rsid w:val="001E4E25"/>
    <w:rsid w:val="001E5281"/>
    <w:rsid w:val="001E5AE7"/>
    <w:rsid w:val="001E70F4"/>
    <w:rsid w:val="001F2612"/>
    <w:rsid w:val="001F7510"/>
    <w:rsid w:val="0021717E"/>
    <w:rsid w:val="002207B6"/>
    <w:rsid w:val="002270D9"/>
    <w:rsid w:val="00230F40"/>
    <w:rsid w:val="002367C8"/>
    <w:rsid w:val="00242436"/>
    <w:rsid w:val="00243E5C"/>
    <w:rsid w:val="002470B1"/>
    <w:rsid w:val="0024737E"/>
    <w:rsid w:val="002504AA"/>
    <w:rsid w:val="00255044"/>
    <w:rsid w:val="00260D3F"/>
    <w:rsid w:val="00264BA9"/>
    <w:rsid w:val="0026523E"/>
    <w:rsid w:val="002806B4"/>
    <w:rsid w:val="00280DD2"/>
    <w:rsid w:val="002868E7"/>
    <w:rsid w:val="00290375"/>
    <w:rsid w:val="0029544F"/>
    <w:rsid w:val="002A1902"/>
    <w:rsid w:val="002B4DFE"/>
    <w:rsid w:val="002B7C81"/>
    <w:rsid w:val="002C4295"/>
    <w:rsid w:val="002C753C"/>
    <w:rsid w:val="002D5233"/>
    <w:rsid w:val="002D7650"/>
    <w:rsid w:val="002E3A34"/>
    <w:rsid w:val="002E471F"/>
    <w:rsid w:val="002F3F3D"/>
    <w:rsid w:val="002F56A3"/>
    <w:rsid w:val="00312091"/>
    <w:rsid w:val="00322B23"/>
    <w:rsid w:val="00323302"/>
    <w:rsid w:val="0033026A"/>
    <w:rsid w:val="0034719C"/>
    <w:rsid w:val="00357A8A"/>
    <w:rsid w:val="003661D1"/>
    <w:rsid w:val="003769B4"/>
    <w:rsid w:val="00376BE0"/>
    <w:rsid w:val="00377005"/>
    <w:rsid w:val="0037716B"/>
    <w:rsid w:val="00383215"/>
    <w:rsid w:val="003846E5"/>
    <w:rsid w:val="00384751"/>
    <w:rsid w:val="00387D1D"/>
    <w:rsid w:val="003936BB"/>
    <w:rsid w:val="00393E9B"/>
    <w:rsid w:val="00397A1D"/>
    <w:rsid w:val="003B059E"/>
    <w:rsid w:val="003B089E"/>
    <w:rsid w:val="003B514C"/>
    <w:rsid w:val="003D03BD"/>
    <w:rsid w:val="003D1393"/>
    <w:rsid w:val="003D750D"/>
    <w:rsid w:val="003D7A9B"/>
    <w:rsid w:val="003E1812"/>
    <w:rsid w:val="003F7A3A"/>
    <w:rsid w:val="0041290C"/>
    <w:rsid w:val="00417933"/>
    <w:rsid w:val="004219D0"/>
    <w:rsid w:val="00423F3D"/>
    <w:rsid w:val="00424E65"/>
    <w:rsid w:val="00425403"/>
    <w:rsid w:val="00432FA5"/>
    <w:rsid w:val="00437811"/>
    <w:rsid w:val="00445028"/>
    <w:rsid w:val="00453204"/>
    <w:rsid w:val="0046342F"/>
    <w:rsid w:val="00466D82"/>
    <w:rsid w:val="004721A8"/>
    <w:rsid w:val="00473922"/>
    <w:rsid w:val="00490070"/>
    <w:rsid w:val="00492133"/>
    <w:rsid w:val="004A5B5B"/>
    <w:rsid w:val="004A6440"/>
    <w:rsid w:val="004A6803"/>
    <w:rsid w:val="004A70F3"/>
    <w:rsid w:val="004A780A"/>
    <w:rsid w:val="004B0E56"/>
    <w:rsid w:val="004B31F5"/>
    <w:rsid w:val="004B3DE2"/>
    <w:rsid w:val="004C04BB"/>
    <w:rsid w:val="004C6520"/>
    <w:rsid w:val="004C7D5C"/>
    <w:rsid w:val="004D291F"/>
    <w:rsid w:val="004E5397"/>
    <w:rsid w:val="004E7F8C"/>
    <w:rsid w:val="004F50E3"/>
    <w:rsid w:val="0050050F"/>
    <w:rsid w:val="0050507A"/>
    <w:rsid w:val="00505D23"/>
    <w:rsid w:val="005071E3"/>
    <w:rsid w:val="005275CD"/>
    <w:rsid w:val="005327C2"/>
    <w:rsid w:val="00532EE9"/>
    <w:rsid w:val="00536478"/>
    <w:rsid w:val="00543D4F"/>
    <w:rsid w:val="00545CE5"/>
    <w:rsid w:val="0054738D"/>
    <w:rsid w:val="00552C8C"/>
    <w:rsid w:val="005542E1"/>
    <w:rsid w:val="00554D89"/>
    <w:rsid w:val="0056520C"/>
    <w:rsid w:val="0056587E"/>
    <w:rsid w:val="00565DCD"/>
    <w:rsid w:val="00565E5A"/>
    <w:rsid w:val="00571368"/>
    <w:rsid w:val="00572257"/>
    <w:rsid w:val="00582152"/>
    <w:rsid w:val="00582CED"/>
    <w:rsid w:val="00583F2B"/>
    <w:rsid w:val="005921AA"/>
    <w:rsid w:val="005962B8"/>
    <w:rsid w:val="005A3197"/>
    <w:rsid w:val="005A383C"/>
    <w:rsid w:val="005A40E5"/>
    <w:rsid w:val="005A54A5"/>
    <w:rsid w:val="005B0BC3"/>
    <w:rsid w:val="005B2CEB"/>
    <w:rsid w:val="005C029B"/>
    <w:rsid w:val="005C0308"/>
    <w:rsid w:val="005C452F"/>
    <w:rsid w:val="005C693E"/>
    <w:rsid w:val="005D1359"/>
    <w:rsid w:val="005D2CE7"/>
    <w:rsid w:val="005D41E0"/>
    <w:rsid w:val="005D55A1"/>
    <w:rsid w:val="005E2DF4"/>
    <w:rsid w:val="005E3477"/>
    <w:rsid w:val="005E3718"/>
    <w:rsid w:val="005E3997"/>
    <w:rsid w:val="005F349E"/>
    <w:rsid w:val="005F3C96"/>
    <w:rsid w:val="005F4C3F"/>
    <w:rsid w:val="00607EC0"/>
    <w:rsid w:val="00610078"/>
    <w:rsid w:val="00617035"/>
    <w:rsid w:val="006235EA"/>
    <w:rsid w:val="00633810"/>
    <w:rsid w:val="0063484E"/>
    <w:rsid w:val="00641AF8"/>
    <w:rsid w:val="00641E6A"/>
    <w:rsid w:val="006518F4"/>
    <w:rsid w:val="00651978"/>
    <w:rsid w:val="006559AD"/>
    <w:rsid w:val="006666AC"/>
    <w:rsid w:val="006801B5"/>
    <w:rsid w:val="0068184A"/>
    <w:rsid w:val="00682961"/>
    <w:rsid w:val="0068312A"/>
    <w:rsid w:val="00690AC6"/>
    <w:rsid w:val="00694F0E"/>
    <w:rsid w:val="00695EA4"/>
    <w:rsid w:val="006A2E18"/>
    <w:rsid w:val="006B6D32"/>
    <w:rsid w:val="006D3651"/>
    <w:rsid w:val="006D66D7"/>
    <w:rsid w:val="006E083A"/>
    <w:rsid w:val="006E581A"/>
    <w:rsid w:val="006E598F"/>
    <w:rsid w:val="006E6E8B"/>
    <w:rsid w:val="006E736F"/>
    <w:rsid w:val="006F4000"/>
    <w:rsid w:val="006F5062"/>
    <w:rsid w:val="006F50A6"/>
    <w:rsid w:val="006F5763"/>
    <w:rsid w:val="007000FB"/>
    <w:rsid w:val="007021DC"/>
    <w:rsid w:val="00702982"/>
    <w:rsid w:val="00706DC1"/>
    <w:rsid w:val="007121DB"/>
    <w:rsid w:val="00717C48"/>
    <w:rsid w:val="007320B8"/>
    <w:rsid w:val="007357E1"/>
    <w:rsid w:val="0073685B"/>
    <w:rsid w:val="00741A68"/>
    <w:rsid w:val="007436BC"/>
    <w:rsid w:val="0074550D"/>
    <w:rsid w:val="00753E11"/>
    <w:rsid w:val="00754475"/>
    <w:rsid w:val="00755FD7"/>
    <w:rsid w:val="007610D7"/>
    <w:rsid w:val="00764044"/>
    <w:rsid w:val="00781562"/>
    <w:rsid w:val="00783D80"/>
    <w:rsid w:val="0078496C"/>
    <w:rsid w:val="00785B16"/>
    <w:rsid w:val="00786AD3"/>
    <w:rsid w:val="00791F68"/>
    <w:rsid w:val="00793F18"/>
    <w:rsid w:val="007950AE"/>
    <w:rsid w:val="00795135"/>
    <w:rsid w:val="007A4199"/>
    <w:rsid w:val="007B0C0D"/>
    <w:rsid w:val="007B5B54"/>
    <w:rsid w:val="007B68D3"/>
    <w:rsid w:val="007C13AC"/>
    <w:rsid w:val="007D43A5"/>
    <w:rsid w:val="007D532E"/>
    <w:rsid w:val="007E170F"/>
    <w:rsid w:val="007E1747"/>
    <w:rsid w:val="007E610E"/>
    <w:rsid w:val="0080394C"/>
    <w:rsid w:val="008052ED"/>
    <w:rsid w:val="00805336"/>
    <w:rsid w:val="0080555C"/>
    <w:rsid w:val="00815FB2"/>
    <w:rsid w:val="00816A82"/>
    <w:rsid w:val="0082107D"/>
    <w:rsid w:val="00824B77"/>
    <w:rsid w:val="008256CD"/>
    <w:rsid w:val="00827CAA"/>
    <w:rsid w:val="00840876"/>
    <w:rsid w:val="00841F25"/>
    <w:rsid w:val="00844235"/>
    <w:rsid w:val="008452BD"/>
    <w:rsid w:val="008466F9"/>
    <w:rsid w:val="008521E1"/>
    <w:rsid w:val="00854805"/>
    <w:rsid w:val="00861169"/>
    <w:rsid w:val="0086535F"/>
    <w:rsid w:val="0087136E"/>
    <w:rsid w:val="00873E9D"/>
    <w:rsid w:val="00880DAB"/>
    <w:rsid w:val="0088284C"/>
    <w:rsid w:val="0088339E"/>
    <w:rsid w:val="00894641"/>
    <w:rsid w:val="0089651F"/>
    <w:rsid w:val="008A29E5"/>
    <w:rsid w:val="008B2054"/>
    <w:rsid w:val="008B31AB"/>
    <w:rsid w:val="008B633C"/>
    <w:rsid w:val="008C7E60"/>
    <w:rsid w:val="008D315A"/>
    <w:rsid w:val="008F1BC3"/>
    <w:rsid w:val="008F4956"/>
    <w:rsid w:val="008F53E0"/>
    <w:rsid w:val="009008D0"/>
    <w:rsid w:val="009020FF"/>
    <w:rsid w:val="00911980"/>
    <w:rsid w:val="0091563F"/>
    <w:rsid w:val="009201EF"/>
    <w:rsid w:val="00921A91"/>
    <w:rsid w:val="00936B32"/>
    <w:rsid w:val="009405DD"/>
    <w:rsid w:val="0094330B"/>
    <w:rsid w:val="009464C2"/>
    <w:rsid w:val="00952702"/>
    <w:rsid w:val="00954B59"/>
    <w:rsid w:val="00957ED2"/>
    <w:rsid w:val="00957FD4"/>
    <w:rsid w:val="00960B5B"/>
    <w:rsid w:val="00961310"/>
    <w:rsid w:val="00972893"/>
    <w:rsid w:val="00983803"/>
    <w:rsid w:val="00990EBE"/>
    <w:rsid w:val="00992D62"/>
    <w:rsid w:val="009A725D"/>
    <w:rsid w:val="009B5C6B"/>
    <w:rsid w:val="009C18DD"/>
    <w:rsid w:val="009C1AB4"/>
    <w:rsid w:val="00A05425"/>
    <w:rsid w:val="00A11143"/>
    <w:rsid w:val="00A1153C"/>
    <w:rsid w:val="00A117FA"/>
    <w:rsid w:val="00A13029"/>
    <w:rsid w:val="00A14DB2"/>
    <w:rsid w:val="00A21D87"/>
    <w:rsid w:val="00A24F5E"/>
    <w:rsid w:val="00A26245"/>
    <w:rsid w:val="00A3082E"/>
    <w:rsid w:val="00A37D1B"/>
    <w:rsid w:val="00A41C18"/>
    <w:rsid w:val="00A53B38"/>
    <w:rsid w:val="00A560FE"/>
    <w:rsid w:val="00A62E35"/>
    <w:rsid w:val="00A7111B"/>
    <w:rsid w:val="00A72912"/>
    <w:rsid w:val="00A90D37"/>
    <w:rsid w:val="00A91193"/>
    <w:rsid w:val="00A95B35"/>
    <w:rsid w:val="00AA29C2"/>
    <w:rsid w:val="00AA35B2"/>
    <w:rsid w:val="00AD3220"/>
    <w:rsid w:val="00AD6037"/>
    <w:rsid w:val="00AE0ADF"/>
    <w:rsid w:val="00AE747E"/>
    <w:rsid w:val="00AF3C9E"/>
    <w:rsid w:val="00B12377"/>
    <w:rsid w:val="00B1698D"/>
    <w:rsid w:val="00B23F93"/>
    <w:rsid w:val="00B26E8A"/>
    <w:rsid w:val="00B3043C"/>
    <w:rsid w:val="00B316C3"/>
    <w:rsid w:val="00B32AD0"/>
    <w:rsid w:val="00B4276D"/>
    <w:rsid w:val="00B47CDA"/>
    <w:rsid w:val="00B510B7"/>
    <w:rsid w:val="00B57ABD"/>
    <w:rsid w:val="00B63552"/>
    <w:rsid w:val="00B643E2"/>
    <w:rsid w:val="00B646D8"/>
    <w:rsid w:val="00B65711"/>
    <w:rsid w:val="00B66BFD"/>
    <w:rsid w:val="00B77B2F"/>
    <w:rsid w:val="00B803B4"/>
    <w:rsid w:val="00B844CC"/>
    <w:rsid w:val="00B87E43"/>
    <w:rsid w:val="00BA2106"/>
    <w:rsid w:val="00BA5C12"/>
    <w:rsid w:val="00BB282A"/>
    <w:rsid w:val="00BB7AA4"/>
    <w:rsid w:val="00BC6A5A"/>
    <w:rsid w:val="00BE191E"/>
    <w:rsid w:val="00BE1A60"/>
    <w:rsid w:val="00BE1CCB"/>
    <w:rsid w:val="00BF0B44"/>
    <w:rsid w:val="00BF3046"/>
    <w:rsid w:val="00BF783C"/>
    <w:rsid w:val="00C023AB"/>
    <w:rsid w:val="00C05E14"/>
    <w:rsid w:val="00C062FC"/>
    <w:rsid w:val="00C06875"/>
    <w:rsid w:val="00C0689D"/>
    <w:rsid w:val="00C074AD"/>
    <w:rsid w:val="00C07ED5"/>
    <w:rsid w:val="00C152B3"/>
    <w:rsid w:val="00C158B8"/>
    <w:rsid w:val="00C1788C"/>
    <w:rsid w:val="00C23AC6"/>
    <w:rsid w:val="00C26D3A"/>
    <w:rsid w:val="00C34809"/>
    <w:rsid w:val="00C3740E"/>
    <w:rsid w:val="00C43DFB"/>
    <w:rsid w:val="00C44F3F"/>
    <w:rsid w:val="00C63780"/>
    <w:rsid w:val="00C65821"/>
    <w:rsid w:val="00C6689B"/>
    <w:rsid w:val="00C70ED9"/>
    <w:rsid w:val="00C745A3"/>
    <w:rsid w:val="00C775BE"/>
    <w:rsid w:val="00C91E4C"/>
    <w:rsid w:val="00C92E48"/>
    <w:rsid w:val="00C97D83"/>
    <w:rsid w:val="00CA3739"/>
    <w:rsid w:val="00CC6A3F"/>
    <w:rsid w:val="00CD25CD"/>
    <w:rsid w:val="00CD28FB"/>
    <w:rsid w:val="00CD654B"/>
    <w:rsid w:val="00CE1514"/>
    <w:rsid w:val="00CE2BD8"/>
    <w:rsid w:val="00CF0B08"/>
    <w:rsid w:val="00CF37D4"/>
    <w:rsid w:val="00CF534D"/>
    <w:rsid w:val="00D108EA"/>
    <w:rsid w:val="00D148F6"/>
    <w:rsid w:val="00D15C2D"/>
    <w:rsid w:val="00D208A2"/>
    <w:rsid w:val="00D30FE3"/>
    <w:rsid w:val="00D377EC"/>
    <w:rsid w:val="00D43FA1"/>
    <w:rsid w:val="00D44B40"/>
    <w:rsid w:val="00D467A9"/>
    <w:rsid w:val="00D529C0"/>
    <w:rsid w:val="00D54CFF"/>
    <w:rsid w:val="00D554A9"/>
    <w:rsid w:val="00D6146C"/>
    <w:rsid w:val="00D61876"/>
    <w:rsid w:val="00D61B2D"/>
    <w:rsid w:val="00D649E5"/>
    <w:rsid w:val="00D67602"/>
    <w:rsid w:val="00D70372"/>
    <w:rsid w:val="00D76AD6"/>
    <w:rsid w:val="00D776BA"/>
    <w:rsid w:val="00D82CD4"/>
    <w:rsid w:val="00D842FE"/>
    <w:rsid w:val="00D843B1"/>
    <w:rsid w:val="00D8575B"/>
    <w:rsid w:val="00D86928"/>
    <w:rsid w:val="00D90726"/>
    <w:rsid w:val="00DA4D8E"/>
    <w:rsid w:val="00DA5E18"/>
    <w:rsid w:val="00DB12A8"/>
    <w:rsid w:val="00DC300D"/>
    <w:rsid w:val="00DC3780"/>
    <w:rsid w:val="00DC3A4F"/>
    <w:rsid w:val="00DD1471"/>
    <w:rsid w:val="00DD79A3"/>
    <w:rsid w:val="00DE1112"/>
    <w:rsid w:val="00DE211A"/>
    <w:rsid w:val="00DF79CB"/>
    <w:rsid w:val="00DF7EB9"/>
    <w:rsid w:val="00E07FF8"/>
    <w:rsid w:val="00E2091A"/>
    <w:rsid w:val="00E33A8E"/>
    <w:rsid w:val="00E463F5"/>
    <w:rsid w:val="00E514C7"/>
    <w:rsid w:val="00E6328A"/>
    <w:rsid w:val="00E6438E"/>
    <w:rsid w:val="00E66599"/>
    <w:rsid w:val="00E6728F"/>
    <w:rsid w:val="00E74CDE"/>
    <w:rsid w:val="00E82F50"/>
    <w:rsid w:val="00E90675"/>
    <w:rsid w:val="00E92873"/>
    <w:rsid w:val="00E95D5D"/>
    <w:rsid w:val="00EA1DFF"/>
    <w:rsid w:val="00EA2B56"/>
    <w:rsid w:val="00EB29FD"/>
    <w:rsid w:val="00EC02ED"/>
    <w:rsid w:val="00ED4B92"/>
    <w:rsid w:val="00EE003A"/>
    <w:rsid w:val="00EE147A"/>
    <w:rsid w:val="00EE17B8"/>
    <w:rsid w:val="00EF7F1F"/>
    <w:rsid w:val="00F0241A"/>
    <w:rsid w:val="00F033F3"/>
    <w:rsid w:val="00F04D70"/>
    <w:rsid w:val="00F05051"/>
    <w:rsid w:val="00F12488"/>
    <w:rsid w:val="00F134D1"/>
    <w:rsid w:val="00F145FD"/>
    <w:rsid w:val="00F16D0F"/>
    <w:rsid w:val="00F24FA3"/>
    <w:rsid w:val="00F27BD9"/>
    <w:rsid w:val="00F321D6"/>
    <w:rsid w:val="00F40D5F"/>
    <w:rsid w:val="00F47F73"/>
    <w:rsid w:val="00F5722A"/>
    <w:rsid w:val="00F6064F"/>
    <w:rsid w:val="00F8260A"/>
    <w:rsid w:val="00F82652"/>
    <w:rsid w:val="00F855CE"/>
    <w:rsid w:val="00F909B0"/>
    <w:rsid w:val="00F95C68"/>
    <w:rsid w:val="00FA40E2"/>
    <w:rsid w:val="00FA4579"/>
    <w:rsid w:val="00FA6999"/>
    <w:rsid w:val="00FA7CD9"/>
    <w:rsid w:val="00FB1D5A"/>
    <w:rsid w:val="00FB528B"/>
    <w:rsid w:val="00FB61CE"/>
    <w:rsid w:val="00FB6578"/>
    <w:rsid w:val="00FB7841"/>
    <w:rsid w:val="00FC06F8"/>
    <w:rsid w:val="00FC117E"/>
    <w:rsid w:val="00FC24F6"/>
    <w:rsid w:val="00FC2873"/>
    <w:rsid w:val="00FC2B6C"/>
    <w:rsid w:val="00FC3371"/>
    <w:rsid w:val="00FD4CD8"/>
    <w:rsid w:val="00FE23F1"/>
    <w:rsid w:val="00FE25E8"/>
    <w:rsid w:val="00FE2D85"/>
    <w:rsid w:val="00FE5296"/>
    <w:rsid w:val="62804C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3"/>
    <w:qFormat/>
    <w:uiPriority w:val="0"/>
    <w:pPr>
      <w:tabs>
        <w:tab w:val="center" w:pos="4153"/>
        <w:tab w:val="right" w:pos="8306"/>
      </w:tabs>
      <w:snapToGrid w:val="0"/>
      <w:jc w:val="left"/>
    </w:pPr>
    <w:rPr>
      <w:sz w:val="18"/>
      <w:szCs w:val="18"/>
    </w:rPr>
  </w:style>
  <w:style w:type="paragraph" w:styleId="4">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uiPriority w:val="0"/>
  </w:style>
  <w:style w:type="character" w:styleId="10">
    <w:name w:val="Emphasis"/>
    <w:basedOn w:val="8"/>
    <w:qFormat/>
    <w:uiPriority w:val="0"/>
    <w:rPr>
      <w:i/>
      <w:iCs/>
    </w:rPr>
  </w:style>
  <w:style w:type="character" w:styleId="11">
    <w:name w:val="Hyperlink"/>
    <w:basedOn w:val="8"/>
    <w:qFormat/>
    <w:uiPriority w:val="0"/>
    <w:rPr>
      <w:color w:val="0000FF"/>
      <w:u w:val="single"/>
    </w:rPr>
  </w:style>
  <w:style w:type="character" w:customStyle="1" w:styleId="12">
    <w:name w:val="页眉 Char"/>
    <w:basedOn w:val="8"/>
    <w:link w:val="4"/>
    <w:uiPriority w:val="0"/>
    <w:rPr>
      <w:kern w:val="2"/>
      <w:sz w:val="18"/>
      <w:szCs w:val="18"/>
    </w:rPr>
  </w:style>
  <w:style w:type="character" w:customStyle="1" w:styleId="13">
    <w:name w:val="页脚 Char"/>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92" Type="http://schemas.openxmlformats.org/officeDocument/2006/relationships/fontTable" Target="fontTable.xml"/><Relationship Id="rId91" Type="http://schemas.openxmlformats.org/officeDocument/2006/relationships/customXml" Target="../customXml/item2.xml"/><Relationship Id="rId90" Type="http://schemas.openxmlformats.org/officeDocument/2006/relationships/customXml" Target="../customXml/item1.xml"/><Relationship Id="rId9" Type="http://schemas.openxmlformats.org/officeDocument/2006/relationships/oleObject" Target="embeddings/oleObject3.bin"/><Relationship Id="rId89" Type="http://schemas.openxmlformats.org/officeDocument/2006/relationships/image" Target="media/image41.wmf"/><Relationship Id="rId88" Type="http://schemas.openxmlformats.org/officeDocument/2006/relationships/oleObject" Target="embeddings/oleObject44.bin"/><Relationship Id="rId87" Type="http://schemas.openxmlformats.org/officeDocument/2006/relationships/image" Target="media/image40.wmf"/><Relationship Id="rId86" Type="http://schemas.openxmlformats.org/officeDocument/2006/relationships/oleObject" Target="embeddings/oleObject43.bin"/><Relationship Id="rId85" Type="http://schemas.openxmlformats.org/officeDocument/2006/relationships/image" Target="media/image39.wmf"/><Relationship Id="rId84" Type="http://schemas.openxmlformats.org/officeDocument/2006/relationships/oleObject" Target="embeddings/oleObject42.bin"/><Relationship Id="rId83" Type="http://schemas.openxmlformats.org/officeDocument/2006/relationships/image" Target="media/image38.wmf"/><Relationship Id="rId82" Type="http://schemas.openxmlformats.org/officeDocument/2006/relationships/oleObject" Target="embeddings/oleObject41.bin"/><Relationship Id="rId81" Type="http://schemas.openxmlformats.org/officeDocument/2006/relationships/image" Target="media/image37.wmf"/><Relationship Id="rId80" Type="http://schemas.openxmlformats.org/officeDocument/2006/relationships/oleObject" Target="embeddings/oleObject40.bin"/><Relationship Id="rId8" Type="http://schemas.openxmlformats.org/officeDocument/2006/relationships/image" Target="media/image2.wmf"/><Relationship Id="rId79" Type="http://schemas.openxmlformats.org/officeDocument/2006/relationships/image" Target="media/image36.wmf"/><Relationship Id="rId78" Type="http://schemas.openxmlformats.org/officeDocument/2006/relationships/oleObject" Target="embeddings/oleObject39.bin"/><Relationship Id="rId77" Type="http://schemas.openxmlformats.org/officeDocument/2006/relationships/image" Target="media/image35.wmf"/><Relationship Id="rId76" Type="http://schemas.openxmlformats.org/officeDocument/2006/relationships/oleObject" Target="embeddings/oleObject38.bin"/><Relationship Id="rId75" Type="http://schemas.openxmlformats.org/officeDocument/2006/relationships/image" Target="media/image34.wmf"/><Relationship Id="rId74" Type="http://schemas.openxmlformats.org/officeDocument/2006/relationships/oleObject" Target="embeddings/oleObject37.bin"/><Relationship Id="rId73" Type="http://schemas.openxmlformats.org/officeDocument/2006/relationships/oleObject" Target="embeddings/oleObject36.bin"/><Relationship Id="rId72" Type="http://schemas.openxmlformats.org/officeDocument/2006/relationships/image" Target="media/image33.wmf"/><Relationship Id="rId71" Type="http://schemas.openxmlformats.org/officeDocument/2006/relationships/oleObject" Target="embeddings/oleObject35.bin"/><Relationship Id="rId70" Type="http://schemas.openxmlformats.org/officeDocument/2006/relationships/image" Target="media/image32.wmf"/><Relationship Id="rId7" Type="http://schemas.openxmlformats.org/officeDocument/2006/relationships/oleObject" Target="embeddings/oleObject2.bin"/><Relationship Id="rId69" Type="http://schemas.openxmlformats.org/officeDocument/2006/relationships/oleObject" Target="embeddings/oleObject34.bin"/><Relationship Id="rId68" Type="http://schemas.openxmlformats.org/officeDocument/2006/relationships/image" Target="media/image31.wmf"/><Relationship Id="rId67" Type="http://schemas.openxmlformats.org/officeDocument/2006/relationships/oleObject" Target="embeddings/oleObject33.bin"/><Relationship Id="rId66" Type="http://schemas.openxmlformats.org/officeDocument/2006/relationships/image" Target="media/image30.wmf"/><Relationship Id="rId65" Type="http://schemas.openxmlformats.org/officeDocument/2006/relationships/oleObject" Target="embeddings/oleObject32.bin"/><Relationship Id="rId64" Type="http://schemas.openxmlformats.org/officeDocument/2006/relationships/oleObject" Target="embeddings/oleObject31.bin"/><Relationship Id="rId63" Type="http://schemas.openxmlformats.org/officeDocument/2006/relationships/oleObject" Target="embeddings/oleObject30.bin"/><Relationship Id="rId62" Type="http://schemas.openxmlformats.org/officeDocument/2006/relationships/image" Target="media/image29.wmf"/><Relationship Id="rId61" Type="http://schemas.openxmlformats.org/officeDocument/2006/relationships/oleObject" Target="embeddings/oleObject29.bin"/><Relationship Id="rId60" Type="http://schemas.openxmlformats.org/officeDocument/2006/relationships/image" Target="media/image28.wmf"/><Relationship Id="rId6" Type="http://schemas.openxmlformats.org/officeDocument/2006/relationships/image" Target="media/image1.wmf"/><Relationship Id="rId59" Type="http://schemas.openxmlformats.org/officeDocument/2006/relationships/oleObject" Target="embeddings/oleObject28.bin"/><Relationship Id="rId58" Type="http://schemas.openxmlformats.org/officeDocument/2006/relationships/image" Target="media/image27.wmf"/><Relationship Id="rId57" Type="http://schemas.openxmlformats.org/officeDocument/2006/relationships/oleObject" Target="embeddings/oleObject27.bin"/><Relationship Id="rId56" Type="http://schemas.openxmlformats.org/officeDocument/2006/relationships/image" Target="media/image26.wmf"/><Relationship Id="rId55" Type="http://schemas.openxmlformats.org/officeDocument/2006/relationships/oleObject" Target="embeddings/oleObject26.bin"/><Relationship Id="rId54" Type="http://schemas.openxmlformats.org/officeDocument/2006/relationships/image" Target="media/image25.wmf"/><Relationship Id="rId53" Type="http://schemas.openxmlformats.org/officeDocument/2006/relationships/oleObject" Target="embeddings/oleObject25.bin"/><Relationship Id="rId52" Type="http://schemas.openxmlformats.org/officeDocument/2006/relationships/image" Target="media/image24.wmf"/><Relationship Id="rId51" Type="http://schemas.openxmlformats.org/officeDocument/2006/relationships/oleObject" Target="embeddings/oleObject24.bin"/><Relationship Id="rId50" Type="http://schemas.openxmlformats.org/officeDocument/2006/relationships/image" Target="media/image23.wmf"/><Relationship Id="rId5" Type="http://schemas.openxmlformats.org/officeDocument/2006/relationships/oleObject" Target="embeddings/oleObject1.bin"/><Relationship Id="rId49" Type="http://schemas.openxmlformats.org/officeDocument/2006/relationships/oleObject" Target="embeddings/oleObject23.bin"/><Relationship Id="rId48" Type="http://schemas.openxmlformats.org/officeDocument/2006/relationships/image" Target="media/image22.wmf"/><Relationship Id="rId47" Type="http://schemas.openxmlformats.org/officeDocument/2006/relationships/oleObject" Target="embeddings/oleObject22.bin"/><Relationship Id="rId46" Type="http://schemas.openxmlformats.org/officeDocument/2006/relationships/image" Target="media/image21.wmf"/><Relationship Id="rId45" Type="http://schemas.openxmlformats.org/officeDocument/2006/relationships/oleObject" Target="embeddings/oleObject21.bin"/><Relationship Id="rId44" Type="http://schemas.openxmlformats.org/officeDocument/2006/relationships/image" Target="media/image20.wmf"/><Relationship Id="rId43" Type="http://schemas.openxmlformats.org/officeDocument/2006/relationships/oleObject" Target="embeddings/oleObject20.bin"/><Relationship Id="rId42" Type="http://schemas.openxmlformats.org/officeDocument/2006/relationships/image" Target="media/image19.wmf"/><Relationship Id="rId41" Type="http://schemas.openxmlformats.org/officeDocument/2006/relationships/oleObject" Target="embeddings/oleObject19.bin"/><Relationship Id="rId40" Type="http://schemas.openxmlformats.org/officeDocument/2006/relationships/image" Target="media/image18.wmf"/><Relationship Id="rId4" Type="http://schemas.openxmlformats.org/officeDocument/2006/relationships/theme" Target="theme/theme1.xml"/><Relationship Id="rId39" Type="http://schemas.openxmlformats.org/officeDocument/2006/relationships/oleObject" Target="embeddings/oleObject18.bin"/><Relationship Id="rId38" Type="http://schemas.openxmlformats.org/officeDocument/2006/relationships/image" Target="media/image17.wmf"/><Relationship Id="rId37" Type="http://schemas.openxmlformats.org/officeDocument/2006/relationships/oleObject" Target="embeddings/oleObject17.bin"/><Relationship Id="rId36" Type="http://schemas.openxmlformats.org/officeDocument/2006/relationships/image" Target="media/image16.wmf"/><Relationship Id="rId35" Type="http://schemas.openxmlformats.org/officeDocument/2006/relationships/oleObject" Target="embeddings/oleObject16.bin"/><Relationship Id="rId34" Type="http://schemas.openxmlformats.org/officeDocument/2006/relationships/image" Target="media/image15.wmf"/><Relationship Id="rId33" Type="http://schemas.openxmlformats.org/officeDocument/2006/relationships/oleObject" Target="embeddings/oleObject15.bin"/><Relationship Id="rId32" Type="http://schemas.openxmlformats.org/officeDocument/2006/relationships/image" Target="media/image14.wmf"/><Relationship Id="rId31" Type="http://schemas.openxmlformats.org/officeDocument/2006/relationships/oleObject" Target="embeddings/oleObject14.bin"/><Relationship Id="rId30" Type="http://schemas.openxmlformats.org/officeDocument/2006/relationships/image" Target="media/image13.wmf"/><Relationship Id="rId3" Type="http://schemas.openxmlformats.org/officeDocument/2006/relationships/footer" Target="footer1.xml"/><Relationship Id="rId29" Type="http://schemas.openxmlformats.org/officeDocument/2006/relationships/oleObject" Target="embeddings/oleObject13.bin"/><Relationship Id="rId28" Type="http://schemas.openxmlformats.org/officeDocument/2006/relationships/image" Target="media/image12.wmf"/><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54"/>
    <customShpInfo spid="_x0000_s1055"/>
    <customShpInfo spid="_x0000_s1056"/>
    <customShpInfo spid="_x0000_s1057"/>
    <customShpInfo spid="_x0000_s1058"/>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97C226-DDFE-43E2-8BAE-B1B7CD25FF2B}">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7</Pages>
  <Words>1960</Words>
  <Characters>2205</Characters>
  <Lines>25</Lines>
  <Paragraphs>7</Paragraphs>
  <TotalTime>112</TotalTime>
  <ScaleCrop>false</ScaleCrop>
  <LinksUpToDate>false</LinksUpToDate>
  <CharactersWithSpaces>2247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2026-05-19T00:27:00Z</dcterms:created>
  <dc:creator>雨林木风</dc:creator>
  <cp:lastModifiedBy>燃烧的岁月</cp:lastModifiedBy>
  <cp:lastPrinted>2026-05-10T10:44:00Z</cp:lastPrinted>
  <dcterms:modified xsi:type="dcterms:W3CDTF">2026-05-25T05:02:30Z</dcterms:modified>
  <dc:title>编写说明</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eyJoZGlkIjoiMGJiMzI3NzVmMDNmMGI4NjFmNjkxNzI5YzZlMTA0ZmYiLCJ1c2VySWQiOiIyMzY4MjYyMzMifQ==</vt:lpwstr>
  </property>
  <property fmtid="{D5CDD505-2E9C-101B-9397-08002B2CF9AE}" pid="3" name="KSOProductBuildVer">
    <vt:lpwstr>2052-12.1.0.26375</vt:lpwstr>
  </property>
  <property fmtid="{D5CDD505-2E9C-101B-9397-08002B2CF9AE}" pid="4" name="ICV">
    <vt:lpwstr>D895B9DE240241F6ADB14A83F13F20D1_12</vt:lpwstr>
  </property>
</Properties>
</file>